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attachedToolbars.bin" ContentType="application/vnd.ms-word.attachedToolbars"/>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ustomizations.xml" ContentType="application/vnd.ms-word.keyMapCustomizations+xml"/>
  <Override PartName="/word/document.xml" ContentType="application/vnd.openxmlformats-officedocument.wordprocessingml.document.main+xml"/>
  <Override PartName="/word/embeddings/Microsoft_Visio_2003-2010___3.vsd" ContentType="application/vnd.visio"/>
  <Override PartName="/word/embeddings/Microsoft_Visio___1.vsdx" ContentType="application/vnd.ms-visio.drawing"/>
  <Override PartName="/word/embeddings/Microsoft_Visio___2.vsdx" ContentType="application/vnd.ms-visio.drawing"/>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ind w:firstLine="0" w:firstLineChars="0"/>
        <w:jc w:val="center"/>
        <w:textAlignment w:val="auto"/>
      </w:pPr>
      <w:r>
        <w:drawing>
          <wp:inline distT="0" distB="0" distL="114300" distR="114300">
            <wp:extent cx="5629275" cy="7886700"/>
            <wp:effectExtent l="0" t="0" r="9525" b="0"/>
            <wp:docPr id="2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6"/>
                    <pic:cNvPicPr>
                      <a:picLocks noChangeAspect="1"/>
                    </pic:cNvPicPr>
                  </pic:nvPicPr>
                  <pic:blipFill>
                    <a:blip r:embed="rId18"/>
                    <a:stretch>
                      <a:fillRect/>
                    </a:stretch>
                  </pic:blipFill>
                  <pic:spPr>
                    <a:xfrm>
                      <a:off x="0" y="0"/>
                      <a:ext cx="5629275" cy="7886700"/>
                    </a:xfrm>
                    <a:prstGeom prst="rect">
                      <a:avLst/>
                    </a:prstGeom>
                    <a:noFill/>
                    <a:ln>
                      <a:noFill/>
                    </a:ln>
                  </pic:spPr>
                </pic:pic>
              </a:graphicData>
            </a:graphic>
          </wp:inline>
        </w:drawing>
      </w:r>
    </w:p>
    <w:p>
      <w:pPr>
        <w:pStyle w:val="2"/>
        <w:sectPr>
          <w:headerReference r:id="rId7" w:type="first"/>
          <w:footerReference r:id="rId10" w:type="first"/>
          <w:headerReference r:id="rId5" w:type="default"/>
          <w:footerReference r:id="rId8" w:type="default"/>
          <w:headerReference r:id="rId6" w:type="even"/>
          <w:footerReference r:id="rId9" w:type="even"/>
          <w:pgSz w:w="11906" w:h="16838"/>
          <w:pgMar w:top="1418" w:right="1418" w:bottom="1418" w:left="1418"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p>
    <w:p>
      <w:pPr>
        <w:pStyle w:val="2"/>
        <w:keepNext w:val="0"/>
        <w:keepLines w:val="0"/>
        <w:pageBreakBefore w:val="0"/>
        <w:widowControl w:val="0"/>
        <w:kinsoku/>
        <w:wordWrap/>
        <w:overflowPunct/>
        <w:topLinePunct w:val="0"/>
        <w:autoSpaceDE/>
        <w:autoSpaceDN/>
        <w:bidi w:val="0"/>
        <w:adjustRightInd/>
        <w:snapToGrid/>
        <w:ind w:firstLine="0" w:firstLineChars="0"/>
        <w:textAlignment w:val="auto"/>
        <w:sectPr>
          <w:footerReference r:id="rId11" w:type="default"/>
          <w:pgSz w:w="11906" w:h="16838"/>
          <w:pgMar w:top="1418" w:right="1418" w:bottom="1418" w:left="1418"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r>
        <w:drawing>
          <wp:inline distT="0" distB="0" distL="114300" distR="114300">
            <wp:extent cx="5591175" cy="7639050"/>
            <wp:effectExtent l="0" t="0" r="9525" b="0"/>
            <wp:docPr id="3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7"/>
                    <pic:cNvPicPr>
                      <a:picLocks noChangeAspect="1"/>
                    </pic:cNvPicPr>
                  </pic:nvPicPr>
                  <pic:blipFill>
                    <a:blip r:embed="rId19"/>
                    <a:stretch>
                      <a:fillRect/>
                    </a:stretch>
                  </pic:blipFill>
                  <pic:spPr>
                    <a:xfrm>
                      <a:off x="0" y="0"/>
                      <a:ext cx="5591175" cy="7639050"/>
                    </a:xfrm>
                    <a:prstGeom prst="rect">
                      <a:avLst/>
                    </a:prstGeom>
                    <a:noFill/>
                    <a:ln>
                      <a:noFill/>
                    </a:ln>
                  </pic:spPr>
                </pic:pic>
              </a:graphicData>
            </a:graphic>
          </wp:inline>
        </w:drawing>
      </w:r>
      <w:r>
        <w:drawing>
          <wp:inline distT="0" distB="0" distL="114300" distR="114300">
            <wp:extent cx="5562600" cy="7658100"/>
            <wp:effectExtent l="0" t="0" r="0" b="0"/>
            <wp:docPr id="3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8"/>
                    <pic:cNvPicPr>
                      <a:picLocks noChangeAspect="1"/>
                    </pic:cNvPicPr>
                  </pic:nvPicPr>
                  <pic:blipFill>
                    <a:blip r:embed="rId20"/>
                    <a:stretch>
                      <a:fillRect/>
                    </a:stretch>
                  </pic:blipFill>
                  <pic:spPr>
                    <a:xfrm>
                      <a:off x="0" y="0"/>
                      <a:ext cx="5562600" cy="765810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0" w:firstLineChars="0"/>
        <w:textAlignment w:val="auto"/>
        <w:sectPr>
          <w:footerReference r:id="rId12" w:type="default"/>
          <w:pgSz w:w="16838" w:h="11906" w:orient="landscape"/>
          <w:pgMar w:top="1418" w:right="1418" w:bottom="1418" w:left="1418"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r>
        <w:drawing>
          <wp:inline distT="0" distB="0" distL="114300" distR="114300">
            <wp:extent cx="7848600" cy="5543550"/>
            <wp:effectExtent l="0" t="0" r="0" b="0"/>
            <wp:docPr id="3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9"/>
                    <pic:cNvPicPr>
                      <a:picLocks noChangeAspect="1"/>
                    </pic:cNvPicPr>
                  </pic:nvPicPr>
                  <pic:blipFill>
                    <a:blip r:embed="rId21"/>
                    <a:stretch>
                      <a:fillRect/>
                    </a:stretch>
                  </pic:blipFill>
                  <pic:spPr>
                    <a:xfrm>
                      <a:off x="0" y="0"/>
                      <a:ext cx="7848600" cy="5543550"/>
                    </a:xfrm>
                    <a:prstGeom prst="rect">
                      <a:avLst/>
                    </a:prstGeom>
                    <a:noFill/>
                    <a:ln>
                      <a:noFill/>
                    </a:ln>
                  </pic:spPr>
                </pic:pic>
              </a:graphicData>
            </a:graphic>
          </wp:inline>
        </w:drawing>
      </w:r>
      <w:r>
        <w:drawing>
          <wp:inline distT="0" distB="0" distL="114300" distR="114300">
            <wp:extent cx="7839075" cy="5476875"/>
            <wp:effectExtent l="0" t="0" r="9525" b="9525"/>
            <wp:docPr id="3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0"/>
                    <pic:cNvPicPr>
                      <a:picLocks noChangeAspect="1"/>
                    </pic:cNvPicPr>
                  </pic:nvPicPr>
                  <pic:blipFill>
                    <a:blip r:embed="rId22"/>
                    <a:stretch>
                      <a:fillRect/>
                    </a:stretch>
                  </pic:blipFill>
                  <pic:spPr>
                    <a:xfrm>
                      <a:off x="0" y="0"/>
                      <a:ext cx="7839075" cy="5476875"/>
                    </a:xfrm>
                    <a:prstGeom prst="rect">
                      <a:avLst/>
                    </a:prstGeom>
                    <a:noFill/>
                    <a:ln>
                      <a:noFill/>
                    </a:ln>
                  </pic:spPr>
                </pic:pic>
              </a:graphicData>
            </a:graphic>
          </wp:inline>
        </w:drawing>
      </w:r>
      <w:r>
        <w:drawing>
          <wp:inline distT="0" distB="0" distL="114300" distR="114300">
            <wp:extent cx="7705725" cy="5305425"/>
            <wp:effectExtent l="0" t="0" r="9525" b="9525"/>
            <wp:docPr id="4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1"/>
                    <pic:cNvPicPr>
                      <a:picLocks noChangeAspect="1"/>
                    </pic:cNvPicPr>
                  </pic:nvPicPr>
                  <pic:blipFill>
                    <a:blip r:embed="rId23"/>
                    <a:stretch>
                      <a:fillRect/>
                    </a:stretch>
                  </pic:blipFill>
                  <pic:spPr>
                    <a:xfrm>
                      <a:off x="0" y="0"/>
                      <a:ext cx="7705725" cy="5305425"/>
                    </a:xfrm>
                    <a:prstGeom prst="rect">
                      <a:avLst/>
                    </a:prstGeom>
                    <a:noFill/>
                    <a:ln>
                      <a:noFill/>
                    </a:ln>
                  </pic:spPr>
                </pic:pic>
              </a:graphicData>
            </a:graphic>
          </wp:inline>
        </w:drawing>
      </w:r>
      <w:r>
        <w:drawing>
          <wp:inline distT="0" distB="0" distL="114300" distR="114300">
            <wp:extent cx="7839075" cy="5524500"/>
            <wp:effectExtent l="0" t="0" r="9525" b="0"/>
            <wp:docPr id="4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2"/>
                    <pic:cNvPicPr>
                      <a:picLocks noChangeAspect="1"/>
                    </pic:cNvPicPr>
                  </pic:nvPicPr>
                  <pic:blipFill>
                    <a:blip r:embed="rId24"/>
                    <a:stretch>
                      <a:fillRect/>
                    </a:stretch>
                  </pic:blipFill>
                  <pic:spPr>
                    <a:xfrm>
                      <a:off x="0" y="0"/>
                      <a:ext cx="7839075" cy="552450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0" w:firstLineChars="0"/>
        <w:textAlignment w:val="auto"/>
        <w:sectPr>
          <w:footerReference r:id="rId13" w:type="default"/>
          <w:pgSz w:w="11906" w:h="16838"/>
          <w:pgMar w:top="1418" w:right="1418" w:bottom="1418" w:left="1418"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r>
        <w:drawing>
          <wp:inline distT="0" distB="0" distL="114300" distR="114300">
            <wp:extent cx="5257800" cy="7477125"/>
            <wp:effectExtent l="0" t="0" r="0" b="9525"/>
            <wp:docPr id="5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4"/>
                    <pic:cNvPicPr>
                      <a:picLocks noChangeAspect="1"/>
                    </pic:cNvPicPr>
                  </pic:nvPicPr>
                  <pic:blipFill>
                    <a:blip r:embed="rId25"/>
                    <a:stretch>
                      <a:fillRect/>
                    </a:stretch>
                  </pic:blipFill>
                  <pic:spPr>
                    <a:xfrm>
                      <a:off x="0" y="0"/>
                      <a:ext cx="5257800" cy="7477125"/>
                    </a:xfrm>
                    <a:prstGeom prst="rect">
                      <a:avLst/>
                    </a:prstGeom>
                    <a:noFill/>
                    <a:ln>
                      <a:noFill/>
                    </a:ln>
                  </pic:spPr>
                </pic:pic>
              </a:graphicData>
            </a:graphic>
          </wp:inline>
        </w:drawing>
      </w:r>
      <w:r>
        <w:drawing>
          <wp:inline distT="0" distB="0" distL="114300" distR="114300">
            <wp:extent cx="5391150" cy="7334250"/>
            <wp:effectExtent l="0" t="0" r="0" b="0"/>
            <wp:docPr id="5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5"/>
                    <pic:cNvPicPr>
                      <a:picLocks noChangeAspect="1"/>
                    </pic:cNvPicPr>
                  </pic:nvPicPr>
                  <pic:blipFill>
                    <a:blip r:embed="rId26"/>
                    <a:stretch>
                      <a:fillRect/>
                    </a:stretch>
                  </pic:blipFill>
                  <pic:spPr>
                    <a:xfrm>
                      <a:off x="0" y="0"/>
                      <a:ext cx="5391150" cy="733425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0" w:firstLineChars="0"/>
        <w:textAlignment w:val="auto"/>
        <w:sectPr>
          <w:footerReference r:id="rId14" w:type="default"/>
          <w:pgSz w:w="11906" w:h="16838"/>
          <w:pgMar w:top="1418" w:right="1418" w:bottom="1418" w:left="1418"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r>
        <w:drawing>
          <wp:inline distT="0" distB="0" distL="114300" distR="114300">
            <wp:extent cx="4933950" cy="7153275"/>
            <wp:effectExtent l="0" t="0" r="0" b="9525"/>
            <wp:docPr id="5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6"/>
                    <pic:cNvPicPr>
                      <a:picLocks noChangeAspect="1"/>
                    </pic:cNvPicPr>
                  </pic:nvPicPr>
                  <pic:blipFill>
                    <a:blip r:embed="rId27"/>
                    <a:stretch>
                      <a:fillRect/>
                    </a:stretch>
                  </pic:blipFill>
                  <pic:spPr>
                    <a:xfrm>
                      <a:off x="0" y="0"/>
                      <a:ext cx="4933950" cy="7153275"/>
                    </a:xfrm>
                    <a:prstGeom prst="rect">
                      <a:avLst/>
                    </a:prstGeom>
                    <a:noFill/>
                    <a:ln>
                      <a:noFill/>
                    </a:ln>
                  </pic:spPr>
                </pic:pic>
              </a:graphicData>
            </a:graphic>
          </wp:inline>
        </w:drawing>
      </w:r>
      <w:bookmarkStart w:id="422" w:name="_GoBack"/>
      <w:bookmarkEnd w:id="422"/>
    </w:p>
    <w:p>
      <w:pPr>
        <w:ind w:firstLine="883"/>
        <w:jc w:val="center"/>
        <w:rPr>
          <w:b/>
          <w:bCs/>
          <w:sz w:val="44"/>
          <w:szCs w:val="44"/>
        </w:rPr>
      </w:pPr>
      <w:r>
        <w:rPr>
          <w:b/>
          <w:bCs/>
          <w:sz w:val="44"/>
          <w:szCs w:val="44"/>
        </w:rPr>
        <w:t>目  录</w:t>
      </w:r>
    </w:p>
    <w:p>
      <w:pPr>
        <w:pStyle w:val="74"/>
        <w:tabs>
          <w:tab w:val="right" w:leader="dot" w:pos="9070"/>
        </w:tabs>
        <w:rPr>
          <w:sz w:val="24"/>
          <w:szCs w:val="24"/>
        </w:rPr>
      </w:pPr>
      <w:r>
        <w:rPr>
          <w:b w:val="0"/>
          <w:bCs w:val="0"/>
          <w:sz w:val="24"/>
          <w:szCs w:val="24"/>
        </w:rPr>
        <w:fldChar w:fldCharType="begin"/>
      </w:r>
      <w:r>
        <w:rPr>
          <w:b w:val="0"/>
          <w:bCs w:val="0"/>
          <w:sz w:val="24"/>
          <w:szCs w:val="24"/>
        </w:rPr>
        <w:instrText xml:space="preserve"> TOC \o "1-2" \h \z \u </w:instrText>
      </w:r>
      <w:r>
        <w:rPr>
          <w:b w:val="0"/>
          <w:bCs w:val="0"/>
          <w:sz w:val="24"/>
          <w:szCs w:val="24"/>
        </w:rPr>
        <w:fldChar w:fldCharType="separate"/>
      </w:r>
      <w:r>
        <w:rPr>
          <w:bCs w:val="0"/>
          <w:sz w:val="24"/>
          <w:szCs w:val="24"/>
        </w:rPr>
        <w:fldChar w:fldCharType="begin"/>
      </w:r>
      <w:r>
        <w:rPr>
          <w:bCs w:val="0"/>
          <w:sz w:val="24"/>
          <w:szCs w:val="24"/>
        </w:rPr>
        <w:instrText xml:space="preserve"> HYPERLINK \l _Toc21950 </w:instrText>
      </w:r>
      <w:r>
        <w:rPr>
          <w:bCs w:val="0"/>
          <w:sz w:val="24"/>
          <w:szCs w:val="24"/>
        </w:rPr>
        <w:fldChar w:fldCharType="separate"/>
      </w:r>
      <w:r>
        <w:rPr>
          <w:rFonts w:ascii="Cambria Math" w:hAnsi="Cambria Math" w:cs="Cambria Math"/>
          <w:sz w:val="24"/>
          <w:szCs w:val="24"/>
        </w:rPr>
        <w:t>◆</w:t>
      </w:r>
      <w:r>
        <w:rPr>
          <w:rFonts w:ascii="Times New Roman" w:cs="Times New Roman"/>
          <w:sz w:val="24"/>
          <w:szCs w:val="24"/>
        </w:rPr>
        <w:t xml:space="preserve"> 项目背景</w:t>
      </w:r>
      <w:r>
        <w:rPr>
          <w:sz w:val="24"/>
          <w:szCs w:val="24"/>
        </w:rPr>
        <w:tab/>
      </w:r>
      <w:r>
        <w:rPr>
          <w:sz w:val="24"/>
          <w:szCs w:val="24"/>
        </w:rPr>
        <w:fldChar w:fldCharType="begin"/>
      </w:r>
      <w:r>
        <w:rPr>
          <w:sz w:val="24"/>
          <w:szCs w:val="24"/>
        </w:rPr>
        <w:instrText xml:space="preserve"> PAGEREF _Toc21950 \h </w:instrText>
      </w:r>
      <w:r>
        <w:rPr>
          <w:sz w:val="24"/>
          <w:szCs w:val="24"/>
        </w:rPr>
        <w:fldChar w:fldCharType="separate"/>
      </w:r>
      <w:r>
        <w:rPr>
          <w:sz w:val="24"/>
          <w:szCs w:val="24"/>
        </w:rPr>
        <w:t>1</w:t>
      </w:r>
      <w:r>
        <w:rPr>
          <w:sz w:val="24"/>
          <w:szCs w:val="24"/>
        </w:rPr>
        <w:fldChar w:fldCharType="end"/>
      </w:r>
      <w:r>
        <w:rPr>
          <w:bCs w:val="0"/>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_Toc21380 </w:instrText>
      </w:r>
      <w:r>
        <w:rPr>
          <w:bCs/>
          <w:sz w:val="24"/>
          <w:szCs w:val="24"/>
        </w:rPr>
        <w:fldChar w:fldCharType="separate"/>
      </w:r>
      <w:r>
        <w:rPr>
          <w:rFonts w:ascii="Cambria Math" w:hAnsi="Cambria Math" w:cs="Cambria Math"/>
          <w:sz w:val="24"/>
          <w:szCs w:val="24"/>
        </w:rPr>
        <w:t>◆</w:t>
      </w:r>
      <w:r>
        <w:rPr>
          <w:rFonts w:ascii="Times New Roman" w:cs="Times New Roman"/>
          <w:sz w:val="24"/>
          <w:szCs w:val="24"/>
        </w:rPr>
        <w:t xml:space="preserve"> 项目</w:t>
      </w:r>
      <w:r>
        <w:rPr>
          <w:rFonts w:ascii="Times New Roman" w:cs="Times New Roman"/>
          <w:sz w:val="24"/>
          <w:szCs w:val="24"/>
          <w:lang w:val="en-US"/>
        </w:rPr>
        <w:t>概况</w:t>
      </w:r>
      <w:r>
        <w:rPr>
          <w:sz w:val="24"/>
          <w:szCs w:val="24"/>
        </w:rPr>
        <w:tab/>
      </w:r>
      <w:r>
        <w:rPr>
          <w:sz w:val="24"/>
          <w:szCs w:val="24"/>
        </w:rPr>
        <w:fldChar w:fldCharType="begin"/>
      </w:r>
      <w:r>
        <w:rPr>
          <w:sz w:val="24"/>
          <w:szCs w:val="24"/>
        </w:rPr>
        <w:instrText xml:space="preserve"> PAGEREF _Toc21380 \h </w:instrText>
      </w:r>
      <w:r>
        <w:rPr>
          <w:sz w:val="24"/>
          <w:szCs w:val="24"/>
        </w:rPr>
        <w:fldChar w:fldCharType="separate"/>
      </w:r>
      <w:r>
        <w:rPr>
          <w:sz w:val="24"/>
          <w:szCs w:val="24"/>
        </w:rPr>
        <w:t>2</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_Toc277 </w:instrText>
      </w:r>
      <w:r>
        <w:rPr>
          <w:bCs/>
          <w:sz w:val="24"/>
          <w:szCs w:val="24"/>
        </w:rPr>
        <w:fldChar w:fldCharType="separate"/>
      </w:r>
      <w:r>
        <w:rPr>
          <w:rFonts w:ascii="Cambria Math" w:hAnsi="Cambria Math" w:cs="Cambria Math"/>
          <w:sz w:val="24"/>
          <w:szCs w:val="24"/>
        </w:rPr>
        <w:t>◆</w:t>
      </w:r>
      <w:r>
        <w:rPr>
          <w:rFonts w:ascii="Times New Roman" w:cs="Times New Roman"/>
          <w:sz w:val="24"/>
          <w:szCs w:val="24"/>
        </w:rPr>
        <w:t xml:space="preserve"> 环境影响评价工作过程</w:t>
      </w:r>
      <w:r>
        <w:rPr>
          <w:sz w:val="24"/>
          <w:szCs w:val="24"/>
        </w:rPr>
        <w:tab/>
      </w:r>
      <w:r>
        <w:rPr>
          <w:sz w:val="24"/>
          <w:szCs w:val="24"/>
        </w:rPr>
        <w:fldChar w:fldCharType="begin"/>
      </w:r>
      <w:r>
        <w:rPr>
          <w:sz w:val="24"/>
          <w:szCs w:val="24"/>
        </w:rPr>
        <w:instrText xml:space="preserve"> PAGEREF _Toc277 \h </w:instrText>
      </w:r>
      <w:r>
        <w:rPr>
          <w:sz w:val="24"/>
          <w:szCs w:val="24"/>
        </w:rPr>
        <w:fldChar w:fldCharType="separate"/>
      </w:r>
      <w:r>
        <w:rPr>
          <w:sz w:val="24"/>
          <w:szCs w:val="24"/>
        </w:rPr>
        <w:t>2</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_Toc17065 </w:instrText>
      </w:r>
      <w:r>
        <w:rPr>
          <w:bCs/>
          <w:sz w:val="24"/>
          <w:szCs w:val="24"/>
        </w:rPr>
        <w:fldChar w:fldCharType="separate"/>
      </w:r>
      <w:r>
        <w:rPr>
          <w:rFonts w:ascii="Cambria Math" w:hAnsi="Cambria Math" w:cs="Cambria Math"/>
          <w:sz w:val="24"/>
          <w:szCs w:val="24"/>
        </w:rPr>
        <w:t>◆</w:t>
      </w:r>
      <w:r>
        <w:rPr>
          <w:rFonts w:ascii="Times New Roman" w:cs="Times New Roman"/>
          <w:sz w:val="24"/>
          <w:szCs w:val="24"/>
        </w:rPr>
        <w:t xml:space="preserve"> 分析判定相关情况</w:t>
      </w:r>
      <w:r>
        <w:rPr>
          <w:sz w:val="24"/>
          <w:szCs w:val="24"/>
        </w:rPr>
        <w:tab/>
      </w:r>
      <w:r>
        <w:rPr>
          <w:sz w:val="24"/>
          <w:szCs w:val="24"/>
        </w:rPr>
        <w:fldChar w:fldCharType="begin"/>
      </w:r>
      <w:r>
        <w:rPr>
          <w:sz w:val="24"/>
          <w:szCs w:val="24"/>
        </w:rPr>
        <w:instrText xml:space="preserve"> PAGEREF _Toc17065 \h </w:instrText>
      </w:r>
      <w:r>
        <w:rPr>
          <w:sz w:val="24"/>
          <w:szCs w:val="24"/>
        </w:rPr>
        <w:fldChar w:fldCharType="separate"/>
      </w:r>
      <w:r>
        <w:rPr>
          <w:sz w:val="24"/>
          <w:szCs w:val="24"/>
        </w:rPr>
        <w:t>3</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_Toc8775 </w:instrText>
      </w:r>
      <w:r>
        <w:rPr>
          <w:bCs/>
          <w:sz w:val="24"/>
          <w:szCs w:val="24"/>
        </w:rPr>
        <w:fldChar w:fldCharType="separate"/>
      </w:r>
      <w:r>
        <w:rPr>
          <w:rFonts w:ascii="Cambria Math" w:hAnsi="Cambria Math" w:cs="Cambria Math"/>
          <w:sz w:val="24"/>
          <w:szCs w:val="24"/>
        </w:rPr>
        <w:t>◆</w:t>
      </w:r>
      <w:r>
        <w:rPr>
          <w:rFonts w:ascii="Times New Roman" w:cs="Times New Roman"/>
          <w:sz w:val="24"/>
          <w:szCs w:val="24"/>
        </w:rPr>
        <w:t xml:space="preserve"> 项目关注的主要环境问题及环境影响</w:t>
      </w:r>
      <w:r>
        <w:rPr>
          <w:sz w:val="24"/>
          <w:szCs w:val="24"/>
        </w:rPr>
        <w:tab/>
      </w:r>
      <w:r>
        <w:rPr>
          <w:sz w:val="24"/>
          <w:szCs w:val="24"/>
        </w:rPr>
        <w:fldChar w:fldCharType="begin"/>
      </w:r>
      <w:r>
        <w:rPr>
          <w:sz w:val="24"/>
          <w:szCs w:val="24"/>
        </w:rPr>
        <w:instrText xml:space="preserve"> PAGEREF _Toc8775 \h </w:instrText>
      </w:r>
      <w:r>
        <w:rPr>
          <w:sz w:val="24"/>
          <w:szCs w:val="24"/>
        </w:rPr>
        <w:fldChar w:fldCharType="separate"/>
      </w:r>
      <w:r>
        <w:rPr>
          <w:sz w:val="24"/>
          <w:szCs w:val="24"/>
        </w:rPr>
        <w:t>4</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_Toc19660 </w:instrText>
      </w:r>
      <w:r>
        <w:rPr>
          <w:bCs/>
          <w:sz w:val="24"/>
          <w:szCs w:val="24"/>
        </w:rPr>
        <w:fldChar w:fldCharType="separate"/>
      </w:r>
      <w:r>
        <w:rPr>
          <w:rFonts w:ascii="Cambria Math" w:hAnsi="Cambria Math" w:cs="Cambria Math"/>
          <w:sz w:val="24"/>
          <w:szCs w:val="24"/>
        </w:rPr>
        <w:t>◆</w:t>
      </w:r>
      <w:r>
        <w:rPr>
          <w:rFonts w:ascii="Times New Roman" w:cs="Times New Roman"/>
          <w:sz w:val="24"/>
          <w:szCs w:val="24"/>
        </w:rPr>
        <w:t xml:space="preserve"> 环境影响评价主要结论</w:t>
      </w:r>
      <w:r>
        <w:rPr>
          <w:sz w:val="24"/>
          <w:szCs w:val="24"/>
        </w:rPr>
        <w:tab/>
      </w:r>
      <w:r>
        <w:rPr>
          <w:sz w:val="24"/>
          <w:szCs w:val="24"/>
        </w:rPr>
        <w:fldChar w:fldCharType="begin"/>
      </w:r>
      <w:r>
        <w:rPr>
          <w:sz w:val="24"/>
          <w:szCs w:val="24"/>
        </w:rPr>
        <w:instrText xml:space="preserve"> PAGEREF _Toc19660 \h </w:instrText>
      </w:r>
      <w:r>
        <w:rPr>
          <w:sz w:val="24"/>
          <w:szCs w:val="24"/>
        </w:rPr>
        <w:fldChar w:fldCharType="separate"/>
      </w:r>
      <w:r>
        <w:rPr>
          <w:sz w:val="24"/>
          <w:szCs w:val="24"/>
        </w:rPr>
        <w:t>4</w:t>
      </w:r>
      <w:r>
        <w:rPr>
          <w:sz w:val="24"/>
          <w:szCs w:val="24"/>
        </w:rPr>
        <w:fldChar w:fldCharType="end"/>
      </w:r>
      <w:r>
        <w:rPr>
          <w:bCs/>
          <w:sz w:val="24"/>
          <w:szCs w:val="24"/>
        </w:rPr>
        <w:fldChar w:fldCharType="end"/>
      </w:r>
    </w:p>
    <w:p>
      <w:pPr>
        <w:pStyle w:val="59"/>
        <w:tabs>
          <w:tab w:val="right" w:leader="dot" w:pos="9070"/>
        </w:tabs>
        <w:rPr>
          <w:sz w:val="24"/>
          <w:szCs w:val="24"/>
        </w:rPr>
      </w:pPr>
      <w:r>
        <w:rPr>
          <w:bCs/>
          <w:sz w:val="24"/>
          <w:szCs w:val="24"/>
        </w:rPr>
        <w:fldChar w:fldCharType="begin"/>
      </w:r>
      <w:r>
        <w:rPr>
          <w:bCs/>
          <w:sz w:val="24"/>
          <w:szCs w:val="24"/>
        </w:rPr>
        <w:instrText xml:space="preserve"> HYPERLINK \l _Toc3535 </w:instrText>
      </w:r>
      <w:r>
        <w:rPr>
          <w:bCs/>
          <w:sz w:val="24"/>
          <w:szCs w:val="24"/>
        </w:rPr>
        <w:fldChar w:fldCharType="separate"/>
      </w:r>
      <w:r>
        <w:rPr>
          <w:rFonts w:ascii="Times New Roman" w:hAnsi="Times New Roman" w:eastAsia="Times New Roman" w:cs="Times New Roman"/>
          <w:sz w:val="24"/>
          <w:szCs w:val="24"/>
        </w:rPr>
        <w:t xml:space="preserve">第1章 </w:t>
      </w:r>
      <w:r>
        <w:rPr>
          <w:rFonts w:ascii="Times New Roman" w:hAnsi="Times New Roman" w:cs="Times New Roman"/>
          <w:sz w:val="24"/>
          <w:szCs w:val="24"/>
        </w:rPr>
        <w:t>总则</w:t>
      </w:r>
      <w:r>
        <w:rPr>
          <w:sz w:val="24"/>
          <w:szCs w:val="24"/>
        </w:rPr>
        <w:tab/>
      </w:r>
      <w:r>
        <w:rPr>
          <w:sz w:val="24"/>
          <w:szCs w:val="24"/>
        </w:rPr>
        <w:fldChar w:fldCharType="begin"/>
      </w:r>
      <w:r>
        <w:rPr>
          <w:sz w:val="24"/>
          <w:szCs w:val="24"/>
        </w:rPr>
        <w:instrText xml:space="preserve"> PAGEREF _Toc3535 \h </w:instrText>
      </w:r>
      <w:r>
        <w:rPr>
          <w:sz w:val="24"/>
          <w:szCs w:val="24"/>
        </w:rPr>
        <w:fldChar w:fldCharType="separate"/>
      </w:r>
      <w:r>
        <w:rPr>
          <w:sz w:val="24"/>
          <w:szCs w:val="24"/>
        </w:rPr>
        <w:t>5</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_Toc29442 </w:instrText>
      </w:r>
      <w:r>
        <w:rPr>
          <w:bCs/>
          <w:sz w:val="24"/>
          <w:szCs w:val="24"/>
        </w:rPr>
        <w:fldChar w:fldCharType="separate"/>
      </w:r>
      <w:r>
        <w:rPr>
          <w:rFonts w:hint="default" w:ascii="Times New Roman" w:hAnsi="Times New Roman" w:eastAsia="宋体" w:cs="Times New Roman"/>
          <w:i w:val="0"/>
          <w:sz w:val="24"/>
          <w:szCs w:val="24"/>
        </w:rPr>
        <w:t xml:space="preserve">1.1 </w:t>
      </w:r>
      <w:r>
        <w:rPr>
          <w:rFonts w:ascii="Times New Roman" w:cs="Times New Roman"/>
          <w:sz w:val="24"/>
          <w:szCs w:val="24"/>
        </w:rPr>
        <w:t>编制依据</w:t>
      </w:r>
      <w:r>
        <w:rPr>
          <w:sz w:val="24"/>
          <w:szCs w:val="24"/>
        </w:rPr>
        <w:tab/>
      </w:r>
      <w:r>
        <w:rPr>
          <w:sz w:val="24"/>
          <w:szCs w:val="24"/>
        </w:rPr>
        <w:fldChar w:fldCharType="begin"/>
      </w:r>
      <w:r>
        <w:rPr>
          <w:sz w:val="24"/>
          <w:szCs w:val="24"/>
        </w:rPr>
        <w:instrText xml:space="preserve"> PAGEREF _Toc29442 \h </w:instrText>
      </w:r>
      <w:r>
        <w:rPr>
          <w:sz w:val="24"/>
          <w:szCs w:val="24"/>
        </w:rPr>
        <w:fldChar w:fldCharType="separate"/>
      </w:r>
      <w:r>
        <w:rPr>
          <w:sz w:val="24"/>
          <w:szCs w:val="24"/>
        </w:rPr>
        <w:t>5</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_Toc19687 </w:instrText>
      </w:r>
      <w:r>
        <w:rPr>
          <w:bCs/>
          <w:sz w:val="24"/>
          <w:szCs w:val="24"/>
        </w:rPr>
        <w:fldChar w:fldCharType="separate"/>
      </w:r>
      <w:r>
        <w:rPr>
          <w:rFonts w:hint="default" w:ascii="Times New Roman" w:hAnsi="Times New Roman" w:eastAsia="宋体" w:cs="Times New Roman"/>
          <w:i w:val="0"/>
          <w:snapToGrid w:val="0"/>
          <w:sz w:val="24"/>
          <w:szCs w:val="24"/>
        </w:rPr>
        <w:t xml:space="preserve">1.2 </w:t>
      </w:r>
      <w:r>
        <w:rPr>
          <w:rFonts w:ascii="Times New Roman" w:cs="Times New Roman"/>
          <w:snapToGrid w:val="0"/>
          <w:sz w:val="24"/>
          <w:szCs w:val="24"/>
        </w:rPr>
        <w:t>环境影响因素识别与评价因子筛选</w:t>
      </w:r>
      <w:r>
        <w:rPr>
          <w:sz w:val="24"/>
          <w:szCs w:val="24"/>
        </w:rPr>
        <w:tab/>
      </w:r>
      <w:r>
        <w:rPr>
          <w:sz w:val="24"/>
          <w:szCs w:val="24"/>
        </w:rPr>
        <w:fldChar w:fldCharType="begin"/>
      </w:r>
      <w:r>
        <w:rPr>
          <w:sz w:val="24"/>
          <w:szCs w:val="24"/>
        </w:rPr>
        <w:instrText xml:space="preserve"> PAGEREF _Toc19687 \h </w:instrText>
      </w:r>
      <w:r>
        <w:rPr>
          <w:sz w:val="24"/>
          <w:szCs w:val="24"/>
        </w:rPr>
        <w:fldChar w:fldCharType="separate"/>
      </w:r>
      <w:r>
        <w:rPr>
          <w:sz w:val="24"/>
          <w:szCs w:val="24"/>
        </w:rPr>
        <w:t>11</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_Toc23595 </w:instrText>
      </w:r>
      <w:r>
        <w:rPr>
          <w:bCs/>
          <w:sz w:val="24"/>
          <w:szCs w:val="24"/>
        </w:rPr>
        <w:fldChar w:fldCharType="separate"/>
      </w:r>
      <w:r>
        <w:rPr>
          <w:rFonts w:hint="default" w:ascii="Times New Roman" w:hAnsi="Times New Roman" w:eastAsia="宋体" w:cs="Times New Roman"/>
          <w:i w:val="0"/>
          <w:sz w:val="24"/>
          <w:szCs w:val="24"/>
        </w:rPr>
        <w:t xml:space="preserve">1.3 </w:t>
      </w:r>
      <w:r>
        <w:rPr>
          <w:rFonts w:ascii="Times New Roman" w:cs="Times New Roman"/>
          <w:sz w:val="24"/>
          <w:szCs w:val="24"/>
        </w:rPr>
        <w:t>评价重点</w:t>
      </w:r>
      <w:r>
        <w:rPr>
          <w:sz w:val="24"/>
          <w:szCs w:val="24"/>
        </w:rPr>
        <w:tab/>
      </w:r>
      <w:r>
        <w:rPr>
          <w:sz w:val="24"/>
          <w:szCs w:val="24"/>
        </w:rPr>
        <w:fldChar w:fldCharType="begin"/>
      </w:r>
      <w:r>
        <w:rPr>
          <w:sz w:val="24"/>
          <w:szCs w:val="24"/>
        </w:rPr>
        <w:instrText xml:space="preserve"> PAGEREF _Toc23595 \h </w:instrText>
      </w:r>
      <w:r>
        <w:rPr>
          <w:sz w:val="24"/>
          <w:szCs w:val="24"/>
        </w:rPr>
        <w:fldChar w:fldCharType="separate"/>
      </w:r>
      <w:r>
        <w:rPr>
          <w:sz w:val="24"/>
          <w:szCs w:val="24"/>
        </w:rPr>
        <w:t>14</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_Toc27451 </w:instrText>
      </w:r>
      <w:r>
        <w:rPr>
          <w:bCs/>
          <w:sz w:val="24"/>
          <w:szCs w:val="24"/>
        </w:rPr>
        <w:fldChar w:fldCharType="separate"/>
      </w:r>
      <w:r>
        <w:rPr>
          <w:rFonts w:hint="default" w:ascii="Times New Roman" w:hAnsi="Times New Roman" w:eastAsia="宋体" w:cs="Times New Roman"/>
          <w:i w:val="0"/>
          <w:sz w:val="24"/>
          <w:szCs w:val="24"/>
        </w:rPr>
        <w:t xml:space="preserve">1.4 </w:t>
      </w:r>
      <w:r>
        <w:rPr>
          <w:rFonts w:ascii="Times New Roman" w:cs="Times New Roman"/>
          <w:sz w:val="24"/>
          <w:szCs w:val="24"/>
        </w:rPr>
        <w:t>评价工作等级和评价范围</w:t>
      </w:r>
      <w:r>
        <w:rPr>
          <w:sz w:val="24"/>
          <w:szCs w:val="24"/>
        </w:rPr>
        <w:tab/>
      </w:r>
      <w:r>
        <w:rPr>
          <w:sz w:val="24"/>
          <w:szCs w:val="24"/>
        </w:rPr>
        <w:fldChar w:fldCharType="begin"/>
      </w:r>
      <w:r>
        <w:rPr>
          <w:sz w:val="24"/>
          <w:szCs w:val="24"/>
        </w:rPr>
        <w:instrText xml:space="preserve"> PAGEREF _Toc27451 \h </w:instrText>
      </w:r>
      <w:r>
        <w:rPr>
          <w:sz w:val="24"/>
          <w:szCs w:val="24"/>
        </w:rPr>
        <w:fldChar w:fldCharType="separate"/>
      </w:r>
      <w:r>
        <w:rPr>
          <w:sz w:val="24"/>
          <w:szCs w:val="24"/>
        </w:rPr>
        <w:t>14</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_Toc3174 </w:instrText>
      </w:r>
      <w:r>
        <w:rPr>
          <w:bCs/>
          <w:sz w:val="24"/>
          <w:szCs w:val="24"/>
        </w:rPr>
        <w:fldChar w:fldCharType="separate"/>
      </w:r>
      <w:r>
        <w:rPr>
          <w:rFonts w:hint="default" w:ascii="Times New Roman" w:hAnsi="Times New Roman" w:eastAsia="宋体" w:cs="Times New Roman"/>
          <w:i w:val="0"/>
          <w:sz w:val="24"/>
          <w:szCs w:val="24"/>
        </w:rPr>
        <w:t xml:space="preserve">1.5 </w:t>
      </w:r>
      <w:r>
        <w:rPr>
          <w:rFonts w:ascii="Times New Roman" w:cs="Times New Roman"/>
          <w:sz w:val="24"/>
          <w:szCs w:val="24"/>
        </w:rPr>
        <w:t>环境功能区划与评价标准</w:t>
      </w:r>
      <w:r>
        <w:rPr>
          <w:sz w:val="24"/>
          <w:szCs w:val="24"/>
        </w:rPr>
        <w:tab/>
      </w:r>
      <w:r>
        <w:rPr>
          <w:sz w:val="24"/>
          <w:szCs w:val="24"/>
        </w:rPr>
        <w:fldChar w:fldCharType="begin"/>
      </w:r>
      <w:r>
        <w:rPr>
          <w:sz w:val="24"/>
          <w:szCs w:val="24"/>
        </w:rPr>
        <w:instrText xml:space="preserve"> PAGEREF _Toc3174 \h </w:instrText>
      </w:r>
      <w:r>
        <w:rPr>
          <w:sz w:val="24"/>
          <w:szCs w:val="24"/>
        </w:rPr>
        <w:fldChar w:fldCharType="separate"/>
      </w:r>
      <w:r>
        <w:rPr>
          <w:sz w:val="24"/>
          <w:szCs w:val="24"/>
        </w:rPr>
        <w:t>23</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_Toc28421 </w:instrText>
      </w:r>
      <w:r>
        <w:rPr>
          <w:bCs/>
          <w:sz w:val="24"/>
          <w:szCs w:val="24"/>
        </w:rPr>
        <w:fldChar w:fldCharType="separate"/>
      </w:r>
      <w:r>
        <w:rPr>
          <w:rFonts w:hint="default" w:ascii="Times New Roman" w:hAnsi="Times New Roman" w:eastAsia="宋体" w:cs="Times New Roman"/>
          <w:i w:val="0"/>
          <w:sz w:val="24"/>
          <w:szCs w:val="24"/>
        </w:rPr>
        <w:t xml:space="preserve">1.6 </w:t>
      </w:r>
      <w:r>
        <w:rPr>
          <w:rFonts w:ascii="Times New Roman" w:cs="Times New Roman"/>
          <w:sz w:val="24"/>
          <w:szCs w:val="24"/>
        </w:rPr>
        <w:t>主要环境保护目标</w:t>
      </w:r>
      <w:r>
        <w:rPr>
          <w:sz w:val="24"/>
          <w:szCs w:val="24"/>
        </w:rPr>
        <w:tab/>
      </w:r>
      <w:r>
        <w:rPr>
          <w:sz w:val="24"/>
          <w:szCs w:val="24"/>
        </w:rPr>
        <w:fldChar w:fldCharType="begin"/>
      </w:r>
      <w:r>
        <w:rPr>
          <w:sz w:val="24"/>
          <w:szCs w:val="24"/>
        </w:rPr>
        <w:instrText xml:space="preserve"> PAGEREF _Toc28421 \h </w:instrText>
      </w:r>
      <w:r>
        <w:rPr>
          <w:sz w:val="24"/>
          <w:szCs w:val="24"/>
        </w:rPr>
        <w:fldChar w:fldCharType="separate"/>
      </w:r>
      <w:r>
        <w:rPr>
          <w:sz w:val="24"/>
          <w:szCs w:val="24"/>
        </w:rPr>
        <w:t>28</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_Toc8502 </w:instrText>
      </w:r>
      <w:r>
        <w:rPr>
          <w:bCs/>
          <w:sz w:val="24"/>
          <w:szCs w:val="24"/>
        </w:rPr>
        <w:fldChar w:fldCharType="separate"/>
      </w:r>
      <w:r>
        <w:rPr>
          <w:rFonts w:hint="default" w:ascii="Times New Roman" w:hAnsi="Times New Roman" w:eastAsia="宋体" w:cs="Times New Roman"/>
          <w:i w:val="0"/>
          <w:sz w:val="24"/>
          <w:szCs w:val="24"/>
        </w:rPr>
        <w:t xml:space="preserve">1.7 </w:t>
      </w:r>
      <w:r>
        <w:rPr>
          <w:rFonts w:ascii="Times New Roman" w:cs="Times New Roman"/>
          <w:sz w:val="24"/>
          <w:szCs w:val="24"/>
        </w:rPr>
        <w:t>评价工作程序</w:t>
      </w:r>
      <w:r>
        <w:rPr>
          <w:sz w:val="24"/>
          <w:szCs w:val="24"/>
        </w:rPr>
        <w:tab/>
      </w:r>
      <w:r>
        <w:rPr>
          <w:sz w:val="24"/>
          <w:szCs w:val="24"/>
        </w:rPr>
        <w:fldChar w:fldCharType="begin"/>
      </w:r>
      <w:r>
        <w:rPr>
          <w:sz w:val="24"/>
          <w:szCs w:val="24"/>
        </w:rPr>
        <w:instrText xml:space="preserve"> PAGEREF _Toc8502 \h </w:instrText>
      </w:r>
      <w:r>
        <w:rPr>
          <w:sz w:val="24"/>
          <w:szCs w:val="24"/>
        </w:rPr>
        <w:fldChar w:fldCharType="separate"/>
      </w:r>
      <w:r>
        <w:rPr>
          <w:sz w:val="24"/>
          <w:szCs w:val="24"/>
        </w:rPr>
        <w:t>33</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_Toc14120 </w:instrText>
      </w:r>
      <w:r>
        <w:rPr>
          <w:bCs/>
          <w:sz w:val="24"/>
          <w:szCs w:val="24"/>
        </w:rPr>
        <w:fldChar w:fldCharType="separate"/>
      </w:r>
      <w:r>
        <w:rPr>
          <w:rFonts w:hint="default" w:ascii="Times New Roman" w:hAnsi="Times New Roman" w:eastAsia="宋体" w:cs="Times New Roman"/>
          <w:i w:val="0"/>
          <w:sz w:val="24"/>
          <w:szCs w:val="24"/>
        </w:rPr>
        <w:t xml:space="preserve">1.8 </w:t>
      </w:r>
      <w:r>
        <w:rPr>
          <w:rFonts w:ascii="Times New Roman" w:cs="Times New Roman"/>
          <w:sz w:val="24"/>
          <w:szCs w:val="24"/>
        </w:rPr>
        <w:t>产业政策</w:t>
      </w:r>
      <w:r>
        <w:rPr>
          <w:rFonts w:hint="eastAsia" w:ascii="Times New Roman" w:cs="Times New Roman"/>
          <w:sz w:val="24"/>
          <w:szCs w:val="24"/>
          <w:lang w:val="en-US" w:eastAsia="zh-CN"/>
        </w:rPr>
        <w:t>及规划</w:t>
      </w:r>
      <w:r>
        <w:rPr>
          <w:rFonts w:ascii="Times New Roman" w:cs="Times New Roman"/>
          <w:sz w:val="24"/>
          <w:szCs w:val="24"/>
        </w:rPr>
        <w:t>相符性分析</w:t>
      </w:r>
      <w:r>
        <w:rPr>
          <w:sz w:val="24"/>
          <w:szCs w:val="24"/>
        </w:rPr>
        <w:tab/>
      </w:r>
      <w:r>
        <w:rPr>
          <w:sz w:val="24"/>
          <w:szCs w:val="24"/>
        </w:rPr>
        <w:fldChar w:fldCharType="begin"/>
      </w:r>
      <w:r>
        <w:rPr>
          <w:sz w:val="24"/>
          <w:szCs w:val="24"/>
        </w:rPr>
        <w:instrText xml:space="preserve"> PAGEREF _Toc14120 \h </w:instrText>
      </w:r>
      <w:r>
        <w:rPr>
          <w:sz w:val="24"/>
          <w:szCs w:val="24"/>
        </w:rPr>
        <w:fldChar w:fldCharType="separate"/>
      </w:r>
      <w:r>
        <w:rPr>
          <w:sz w:val="24"/>
          <w:szCs w:val="24"/>
        </w:rPr>
        <w:t>34</w:t>
      </w:r>
      <w:r>
        <w:rPr>
          <w:sz w:val="24"/>
          <w:szCs w:val="24"/>
        </w:rPr>
        <w:fldChar w:fldCharType="end"/>
      </w:r>
      <w:r>
        <w:rPr>
          <w:bCs/>
          <w:sz w:val="24"/>
          <w:szCs w:val="24"/>
        </w:rPr>
        <w:fldChar w:fldCharType="end"/>
      </w:r>
    </w:p>
    <w:p>
      <w:pPr>
        <w:pStyle w:val="59"/>
        <w:tabs>
          <w:tab w:val="right" w:leader="dot" w:pos="9070"/>
        </w:tabs>
        <w:rPr>
          <w:sz w:val="24"/>
          <w:szCs w:val="24"/>
        </w:rPr>
      </w:pPr>
      <w:r>
        <w:rPr>
          <w:bCs/>
          <w:sz w:val="24"/>
          <w:szCs w:val="24"/>
        </w:rPr>
        <w:fldChar w:fldCharType="begin"/>
      </w:r>
      <w:r>
        <w:rPr>
          <w:bCs/>
          <w:sz w:val="24"/>
          <w:szCs w:val="24"/>
        </w:rPr>
        <w:instrText xml:space="preserve"> HYPERLINK \l _Toc32696 </w:instrText>
      </w:r>
      <w:r>
        <w:rPr>
          <w:bCs/>
          <w:sz w:val="24"/>
          <w:szCs w:val="24"/>
        </w:rPr>
        <w:fldChar w:fldCharType="separate"/>
      </w:r>
      <w:r>
        <w:rPr>
          <w:rFonts w:ascii="Times New Roman" w:hAnsi="Times New Roman" w:eastAsia="Times New Roman" w:cs="Times New Roman"/>
          <w:sz w:val="24"/>
          <w:szCs w:val="24"/>
        </w:rPr>
        <w:t xml:space="preserve">第2章 </w:t>
      </w:r>
      <w:r>
        <w:rPr>
          <w:rFonts w:ascii="Times New Roman" w:hAnsi="Times New Roman" w:cs="Times New Roman"/>
          <w:sz w:val="24"/>
          <w:szCs w:val="24"/>
        </w:rPr>
        <w:t>工程概况与工程分析</w:t>
      </w:r>
      <w:r>
        <w:rPr>
          <w:sz w:val="24"/>
          <w:szCs w:val="24"/>
        </w:rPr>
        <w:tab/>
      </w:r>
      <w:r>
        <w:rPr>
          <w:sz w:val="24"/>
          <w:szCs w:val="24"/>
        </w:rPr>
        <w:fldChar w:fldCharType="begin"/>
      </w:r>
      <w:r>
        <w:rPr>
          <w:sz w:val="24"/>
          <w:szCs w:val="24"/>
        </w:rPr>
        <w:instrText xml:space="preserve"> PAGEREF _Toc32696 \h </w:instrText>
      </w:r>
      <w:r>
        <w:rPr>
          <w:sz w:val="24"/>
          <w:szCs w:val="24"/>
        </w:rPr>
        <w:fldChar w:fldCharType="separate"/>
      </w:r>
      <w:r>
        <w:rPr>
          <w:sz w:val="24"/>
          <w:szCs w:val="24"/>
        </w:rPr>
        <w:t>60</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_Toc5892 </w:instrText>
      </w:r>
      <w:r>
        <w:rPr>
          <w:bCs/>
          <w:sz w:val="24"/>
          <w:szCs w:val="24"/>
        </w:rPr>
        <w:fldChar w:fldCharType="separate"/>
      </w:r>
      <w:r>
        <w:rPr>
          <w:rFonts w:hint="default" w:ascii="Times New Roman" w:hAnsi="Times New Roman" w:eastAsia="宋体" w:cs="Times New Roman"/>
          <w:i w:val="0"/>
          <w:sz w:val="24"/>
          <w:szCs w:val="24"/>
        </w:rPr>
        <w:t xml:space="preserve">2.1 </w:t>
      </w:r>
      <w:r>
        <w:rPr>
          <w:rFonts w:ascii="Times New Roman" w:cs="Times New Roman"/>
          <w:sz w:val="24"/>
          <w:szCs w:val="24"/>
        </w:rPr>
        <w:t>建设项目概况</w:t>
      </w:r>
      <w:r>
        <w:rPr>
          <w:sz w:val="24"/>
          <w:szCs w:val="24"/>
        </w:rPr>
        <w:tab/>
      </w:r>
      <w:r>
        <w:rPr>
          <w:sz w:val="24"/>
          <w:szCs w:val="24"/>
        </w:rPr>
        <w:fldChar w:fldCharType="begin"/>
      </w:r>
      <w:r>
        <w:rPr>
          <w:sz w:val="24"/>
          <w:szCs w:val="24"/>
        </w:rPr>
        <w:instrText xml:space="preserve"> PAGEREF _Toc5892 \h </w:instrText>
      </w:r>
      <w:r>
        <w:rPr>
          <w:sz w:val="24"/>
          <w:szCs w:val="24"/>
        </w:rPr>
        <w:fldChar w:fldCharType="separate"/>
      </w:r>
      <w:r>
        <w:rPr>
          <w:sz w:val="24"/>
          <w:szCs w:val="24"/>
        </w:rPr>
        <w:t>60</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_Toc3482 </w:instrText>
      </w:r>
      <w:r>
        <w:rPr>
          <w:bCs/>
          <w:sz w:val="24"/>
          <w:szCs w:val="24"/>
        </w:rPr>
        <w:fldChar w:fldCharType="separate"/>
      </w:r>
      <w:r>
        <w:rPr>
          <w:rFonts w:hint="default" w:ascii="Times New Roman" w:hAnsi="Times New Roman" w:eastAsia="宋体" w:cs="Times New Roman"/>
          <w:i w:val="0"/>
          <w:sz w:val="24"/>
          <w:szCs w:val="24"/>
        </w:rPr>
        <w:t xml:space="preserve">2.2 </w:t>
      </w:r>
      <w:r>
        <w:rPr>
          <w:rFonts w:ascii="Times New Roman" w:cs="Times New Roman"/>
          <w:sz w:val="24"/>
          <w:szCs w:val="24"/>
        </w:rPr>
        <w:t>工程分析</w:t>
      </w:r>
      <w:r>
        <w:rPr>
          <w:sz w:val="24"/>
          <w:szCs w:val="24"/>
        </w:rPr>
        <w:tab/>
      </w:r>
      <w:r>
        <w:rPr>
          <w:sz w:val="24"/>
          <w:szCs w:val="24"/>
        </w:rPr>
        <w:fldChar w:fldCharType="begin"/>
      </w:r>
      <w:r>
        <w:rPr>
          <w:sz w:val="24"/>
          <w:szCs w:val="24"/>
        </w:rPr>
        <w:instrText xml:space="preserve"> PAGEREF _Toc3482 \h </w:instrText>
      </w:r>
      <w:r>
        <w:rPr>
          <w:sz w:val="24"/>
          <w:szCs w:val="24"/>
        </w:rPr>
        <w:fldChar w:fldCharType="separate"/>
      </w:r>
      <w:r>
        <w:rPr>
          <w:sz w:val="24"/>
          <w:szCs w:val="24"/>
        </w:rPr>
        <w:t>94</w:t>
      </w:r>
      <w:r>
        <w:rPr>
          <w:sz w:val="24"/>
          <w:szCs w:val="24"/>
        </w:rPr>
        <w:fldChar w:fldCharType="end"/>
      </w:r>
      <w:r>
        <w:rPr>
          <w:bCs/>
          <w:sz w:val="24"/>
          <w:szCs w:val="24"/>
        </w:rPr>
        <w:fldChar w:fldCharType="end"/>
      </w:r>
    </w:p>
    <w:p>
      <w:pPr>
        <w:pStyle w:val="59"/>
        <w:tabs>
          <w:tab w:val="right" w:leader="dot" w:pos="9070"/>
        </w:tabs>
        <w:rPr>
          <w:sz w:val="24"/>
          <w:szCs w:val="24"/>
        </w:rPr>
      </w:pPr>
      <w:r>
        <w:rPr>
          <w:bCs/>
          <w:sz w:val="24"/>
          <w:szCs w:val="24"/>
        </w:rPr>
        <w:fldChar w:fldCharType="begin"/>
      </w:r>
      <w:r>
        <w:rPr>
          <w:bCs/>
          <w:sz w:val="24"/>
          <w:szCs w:val="24"/>
        </w:rPr>
        <w:instrText xml:space="preserve"> HYPERLINK \l _Toc1566 </w:instrText>
      </w:r>
      <w:r>
        <w:rPr>
          <w:bCs/>
          <w:sz w:val="24"/>
          <w:szCs w:val="24"/>
        </w:rPr>
        <w:fldChar w:fldCharType="separate"/>
      </w:r>
      <w:r>
        <w:rPr>
          <w:rFonts w:ascii="Times New Roman" w:hAnsi="Times New Roman" w:eastAsia="Times New Roman" w:cs="Times New Roman"/>
          <w:sz w:val="24"/>
          <w:szCs w:val="24"/>
        </w:rPr>
        <w:t xml:space="preserve">第3章 </w:t>
      </w:r>
      <w:r>
        <w:rPr>
          <w:rFonts w:ascii="Times New Roman" w:hAnsi="Times New Roman" w:cs="Times New Roman"/>
          <w:sz w:val="24"/>
          <w:szCs w:val="24"/>
        </w:rPr>
        <w:t>环境现状调查与评价</w:t>
      </w:r>
      <w:r>
        <w:rPr>
          <w:sz w:val="24"/>
          <w:szCs w:val="24"/>
        </w:rPr>
        <w:tab/>
      </w:r>
      <w:r>
        <w:rPr>
          <w:sz w:val="24"/>
          <w:szCs w:val="24"/>
        </w:rPr>
        <w:fldChar w:fldCharType="begin"/>
      </w:r>
      <w:r>
        <w:rPr>
          <w:sz w:val="24"/>
          <w:szCs w:val="24"/>
        </w:rPr>
        <w:instrText xml:space="preserve"> PAGEREF _Toc1566 \h </w:instrText>
      </w:r>
      <w:r>
        <w:rPr>
          <w:sz w:val="24"/>
          <w:szCs w:val="24"/>
        </w:rPr>
        <w:fldChar w:fldCharType="separate"/>
      </w:r>
      <w:r>
        <w:rPr>
          <w:sz w:val="24"/>
          <w:szCs w:val="24"/>
        </w:rPr>
        <w:t>132</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_Toc4784 </w:instrText>
      </w:r>
      <w:r>
        <w:rPr>
          <w:bCs/>
          <w:sz w:val="24"/>
          <w:szCs w:val="24"/>
        </w:rPr>
        <w:fldChar w:fldCharType="separate"/>
      </w:r>
      <w:r>
        <w:rPr>
          <w:rFonts w:hint="default" w:ascii="Times New Roman" w:hAnsi="Times New Roman" w:eastAsia="宋体" w:cs="Times New Roman"/>
          <w:i w:val="0"/>
          <w:sz w:val="24"/>
          <w:szCs w:val="24"/>
        </w:rPr>
        <w:t xml:space="preserve">3.1 </w:t>
      </w:r>
      <w:r>
        <w:rPr>
          <w:rFonts w:ascii="Times New Roman" w:cs="Times New Roman"/>
          <w:sz w:val="24"/>
          <w:szCs w:val="24"/>
        </w:rPr>
        <w:t>自然环境概况</w:t>
      </w:r>
      <w:r>
        <w:rPr>
          <w:sz w:val="24"/>
          <w:szCs w:val="24"/>
        </w:rPr>
        <w:tab/>
      </w:r>
      <w:r>
        <w:rPr>
          <w:sz w:val="24"/>
          <w:szCs w:val="24"/>
        </w:rPr>
        <w:fldChar w:fldCharType="begin"/>
      </w:r>
      <w:r>
        <w:rPr>
          <w:sz w:val="24"/>
          <w:szCs w:val="24"/>
        </w:rPr>
        <w:instrText xml:space="preserve"> PAGEREF _Toc4784 \h </w:instrText>
      </w:r>
      <w:r>
        <w:rPr>
          <w:sz w:val="24"/>
          <w:szCs w:val="24"/>
        </w:rPr>
        <w:fldChar w:fldCharType="separate"/>
      </w:r>
      <w:r>
        <w:rPr>
          <w:sz w:val="24"/>
          <w:szCs w:val="24"/>
        </w:rPr>
        <w:t>132</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_Toc10703 </w:instrText>
      </w:r>
      <w:r>
        <w:rPr>
          <w:bCs/>
          <w:sz w:val="24"/>
          <w:szCs w:val="24"/>
        </w:rPr>
        <w:fldChar w:fldCharType="separate"/>
      </w:r>
      <w:r>
        <w:rPr>
          <w:rFonts w:hint="default" w:ascii="Times New Roman" w:hAnsi="Times New Roman" w:eastAsia="宋体" w:cs="Times New Roman"/>
          <w:i w:val="0"/>
          <w:sz w:val="24"/>
          <w:szCs w:val="24"/>
        </w:rPr>
        <w:t xml:space="preserve">3.2 </w:t>
      </w:r>
      <w:r>
        <w:rPr>
          <w:rFonts w:ascii="Times New Roman" w:cs="Times New Roman"/>
          <w:sz w:val="24"/>
          <w:szCs w:val="24"/>
        </w:rPr>
        <w:t>港区概况</w:t>
      </w:r>
      <w:r>
        <w:rPr>
          <w:sz w:val="24"/>
          <w:szCs w:val="24"/>
        </w:rPr>
        <w:tab/>
      </w:r>
      <w:r>
        <w:rPr>
          <w:sz w:val="24"/>
          <w:szCs w:val="24"/>
        </w:rPr>
        <w:fldChar w:fldCharType="begin"/>
      </w:r>
      <w:r>
        <w:rPr>
          <w:sz w:val="24"/>
          <w:szCs w:val="24"/>
        </w:rPr>
        <w:instrText xml:space="preserve"> PAGEREF _Toc10703 \h </w:instrText>
      </w:r>
      <w:r>
        <w:rPr>
          <w:sz w:val="24"/>
          <w:szCs w:val="24"/>
        </w:rPr>
        <w:fldChar w:fldCharType="separate"/>
      </w:r>
      <w:r>
        <w:rPr>
          <w:sz w:val="24"/>
          <w:szCs w:val="24"/>
        </w:rPr>
        <w:t>142</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_Toc4191 </w:instrText>
      </w:r>
      <w:r>
        <w:rPr>
          <w:bCs/>
          <w:sz w:val="24"/>
          <w:szCs w:val="24"/>
        </w:rPr>
        <w:fldChar w:fldCharType="separate"/>
      </w:r>
      <w:r>
        <w:rPr>
          <w:rFonts w:hint="default" w:ascii="Times New Roman" w:hAnsi="Times New Roman" w:eastAsia="宋体" w:cs="Times New Roman"/>
          <w:i w:val="0"/>
          <w:sz w:val="24"/>
          <w:szCs w:val="24"/>
        </w:rPr>
        <w:t xml:space="preserve">3.3 </w:t>
      </w:r>
      <w:r>
        <w:rPr>
          <w:rFonts w:hint="eastAsia" w:ascii="Times New Roman" w:cs="Times New Roman"/>
          <w:sz w:val="24"/>
          <w:szCs w:val="24"/>
          <w:lang w:val="en-US" w:eastAsia="zh-CN"/>
        </w:rPr>
        <w:t>污染源调查</w:t>
      </w:r>
      <w:r>
        <w:rPr>
          <w:sz w:val="24"/>
          <w:szCs w:val="24"/>
        </w:rPr>
        <w:tab/>
      </w:r>
      <w:r>
        <w:rPr>
          <w:sz w:val="24"/>
          <w:szCs w:val="24"/>
        </w:rPr>
        <w:fldChar w:fldCharType="begin"/>
      </w:r>
      <w:r>
        <w:rPr>
          <w:sz w:val="24"/>
          <w:szCs w:val="24"/>
        </w:rPr>
        <w:instrText xml:space="preserve"> PAGEREF _Toc4191 \h </w:instrText>
      </w:r>
      <w:r>
        <w:rPr>
          <w:sz w:val="24"/>
          <w:szCs w:val="24"/>
        </w:rPr>
        <w:fldChar w:fldCharType="separate"/>
      </w:r>
      <w:r>
        <w:rPr>
          <w:sz w:val="24"/>
          <w:szCs w:val="24"/>
        </w:rPr>
        <w:t>144</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_Toc29076 </w:instrText>
      </w:r>
      <w:r>
        <w:rPr>
          <w:bCs/>
          <w:sz w:val="24"/>
          <w:szCs w:val="24"/>
        </w:rPr>
        <w:fldChar w:fldCharType="separate"/>
      </w:r>
      <w:r>
        <w:rPr>
          <w:rFonts w:hint="default" w:ascii="Times New Roman" w:hAnsi="Times New Roman" w:eastAsia="宋体" w:cs="Times New Roman"/>
          <w:i w:val="0"/>
          <w:sz w:val="24"/>
          <w:szCs w:val="24"/>
        </w:rPr>
        <w:t xml:space="preserve">3.4 </w:t>
      </w:r>
      <w:r>
        <w:rPr>
          <w:rFonts w:hint="eastAsia" w:ascii="Times New Roman" w:cs="Times New Roman"/>
          <w:sz w:val="24"/>
          <w:szCs w:val="24"/>
          <w:lang w:val="en-US" w:eastAsia="zh-CN"/>
        </w:rPr>
        <w:t>污水处理厂</w:t>
      </w:r>
      <w:r>
        <w:rPr>
          <w:sz w:val="24"/>
          <w:szCs w:val="24"/>
        </w:rPr>
        <w:tab/>
      </w:r>
      <w:r>
        <w:rPr>
          <w:sz w:val="24"/>
          <w:szCs w:val="24"/>
        </w:rPr>
        <w:fldChar w:fldCharType="begin"/>
      </w:r>
      <w:r>
        <w:rPr>
          <w:sz w:val="24"/>
          <w:szCs w:val="24"/>
        </w:rPr>
        <w:instrText xml:space="preserve"> PAGEREF _Toc29076 \h </w:instrText>
      </w:r>
      <w:r>
        <w:rPr>
          <w:sz w:val="24"/>
          <w:szCs w:val="24"/>
        </w:rPr>
        <w:fldChar w:fldCharType="separate"/>
      </w:r>
      <w:r>
        <w:rPr>
          <w:sz w:val="24"/>
          <w:szCs w:val="24"/>
        </w:rPr>
        <w:t>145</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_Toc1336 </w:instrText>
      </w:r>
      <w:r>
        <w:rPr>
          <w:bCs/>
          <w:sz w:val="24"/>
          <w:szCs w:val="24"/>
        </w:rPr>
        <w:fldChar w:fldCharType="separate"/>
      </w:r>
      <w:r>
        <w:rPr>
          <w:rFonts w:hint="default" w:ascii="Times New Roman" w:hAnsi="Times New Roman" w:eastAsia="宋体" w:cs="Times New Roman"/>
          <w:i w:val="0"/>
          <w:sz w:val="24"/>
          <w:szCs w:val="24"/>
        </w:rPr>
        <w:t xml:space="preserve">3.5 </w:t>
      </w:r>
      <w:r>
        <w:rPr>
          <w:rFonts w:ascii="Times New Roman" w:cs="Times New Roman"/>
          <w:sz w:val="24"/>
          <w:szCs w:val="24"/>
        </w:rPr>
        <w:t>地表水环境现状调查与评价</w:t>
      </w:r>
      <w:r>
        <w:rPr>
          <w:sz w:val="24"/>
          <w:szCs w:val="24"/>
        </w:rPr>
        <w:tab/>
      </w:r>
      <w:r>
        <w:rPr>
          <w:sz w:val="24"/>
          <w:szCs w:val="24"/>
        </w:rPr>
        <w:fldChar w:fldCharType="begin"/>
      </w:r>
      <w:r>
        <w:rPr>
          <w:sz w:val="24"/>
          <w:szCs w:val="24"/>
        </w:rPr>
        <w:instrText xml:space="preserve"> PAGEREF _Toc1336 \h </w:instrText>
      </w:r>
      <w:r>
        <w:rPr>
          <w:sz w:val="24"/>
          <w:szCs w:val="24"/>
        </w:rPr>
        <w:fldChar w:fldCharType="separate"/>
      </w:r>
      <w:r>
        <w:rPr>
          <w:sz w:val="24"/>
          <w:szCs w:val="24"/>
        </w:rPr>
        <w:t>146</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_Toc693 </w:instrText>
      </w:r>
      <w:r>
        <w:rPr>
          <w:bCs/>
          <w:sz w:val="24"/>
          <w:szCs w:val="24"/>
        </w:rPr>
        <w:fldChar w:fldCharType="separate"/>
      </w:r>
      <w:r>
        <w:rPr>
          <w:rFonts w:hint="default" w:ascii="Times New Roman" w:hAnsi="Times New Roman" w:eastAsia="宋体" w:cs="Times New Roman"/>
          <w:i w:val="0"/>
          <w:sz w:val="24"/>
          <w:szCs w:val="24"/>
        </w:rPr>
        <w:t xml:space="preserve">3.6 </w:t>
      </w:r>
      <w:r>
        <w:rPr>
          <w:rFonts w:ascii="Times New Roman" w:cs="Times New Roman"/>
          <w:sz w:val="24"/>
          <w:szCs w:val="24"/>
        </w:rPr>
        <w:t>河流底泥现状调查与评价</w:t>
      </w:r>
      <w:r>
        <w:rPr>
          <w:sz w:val="24"/>
          <w:szCs w:val="24"/>
        </w:rPr>
        <w:tab/>
      </w:r>
      <w:r>
        <w:rPr>
          <w:sz w:val="24"/>
          <w:szCs w:val="24"/>
        </w:rPr>
        <w:fldChar w:fldCharType="begin"/>
      </w:r>
      <w:r>
        <w:rPr>
          <w:sz w:val="24"/>
          <w:szCs w:val="24"/>
        </w:rPr>
        <w:instrText xml:space="preserve"> PAGEREF _Toc693 \h </w:instrText>
      </w:r>
      <w:r>
        <w:rPr>
          <w:sz w:val="24"/>
          <w:szCs w:val="24"/>
        </w:rPr>
        <w:fldChar w:fldCharType="separate"/>
      </w:r>
      <w:r>
        <w:rPr>
          <w:sz w:val="24"/>
          <w:szCs w:val="24"/>
        </w:rPr>
        <w:t>153</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_Toc1646 </w:instrText>
      </w:r>
      <w:r>
        <w:rPr>
          <w:bCs/>
          <w:sz w:val="24"/>
          <w:szCs w:val="24"/>
        </w:rPr>
        <w:fldChar w:fldCharType="separate"/>
      </w:r>
      <w:r>
        <w:rPr>
          <w:rFonts w:hint="default" w:ascii="Times New Roman" w:hAnsi="Times New Roman" w:eastAsia="宋体" w:cs="Times New Roman"/>
          <w:i w:val="0"/>
          <w:sz w:val="24"/>
          <w:szCs w:val="24"/>
        </w:rPr>
        <w:t xml:space="preserve">3.7 </w:t>
      </w:r>
      <w:r>
        <w:rPr>
          <w:rFonts w:ascii="Times New Roman" w:cs="Times New Roman"/>
          <w:sz w:val="24"/>
          <w:szCs w:val="24"/>
        </w:rPr>
        <w:t>环境空气现状调查与评价</w:t>
      </w:r>
      <w:r>
        <w:rPr>
          <w:sz w:val="24"/>
          <w:szCs w:val="24"/>
        </w:rPr>
        <w:tab/>
      </w:r>
      <w:r>
        <w:rPr>
          <w:sz w:val="24"/>
          <w:szCs w:val="24"/>
        </w:rPr>
        <w:fldChar w:fldCharType="begin"/>
      </w:r>
      <w:r>
        <w:rPr>
          <w:sz w:val="24"/>
          <w:szCs w:val="24"/>
        </w:rPr>
        <w:instrText xml:space="preserve"> PAGEREF _Toc1646 \h </w:instrText>
      </w:r>
      <w:r>
        <w:rPr>
          <w:sz w:val="24"/>
          <w:szCs w:val="24"/>
        </w:rPr>
        <w:fldChar w:fldCharType="separate"/>
      </w:r>
      <w:r>
        <w:rPr>
          <w:sz w:val="24"/>
          <w:szCs w:val="24"/>
        </w:rPr>
        <w:t>154</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_Toc22115 </w:instrText>
      </w:r>
      <w:r>
        <w:rPr>
          <w:bCs/>
          <w:sz w:val="24"/>
          <w:szCs w:val="24"/>
        </w:rPr>
        <w:fldChar w:fldCharType="separate"/>
      </w:r>
      <w:r>
        <w:rPr>
          <w:rFonts w:hint="default" w:ascii="Times New Roman" w:hAnsi="Times New Roman" w:eastAsia="宋体" w:cs="Times New Roman"/>
          <w:i w:val="0"/>
          <w:sz w:val="24"/>
          <w:szCs w:val="24"/>
        </w:rPr>
        <w:t xml:space="preserve">3.8 </w:t>
      </w:r>
      <w:r>
        <w:rPr>
          <w:rFonts w:ascii="Times New Roman" w:cs="Times New Roman"/>
          <w:sz w:val="24"/>
          <w:szCs w:val="24"/>
        </w:rPr>
        <w:t>声环境现状调查与评价</w:t>
      </w:r>
      <w:r>
        <w:rPr>
          <w:sz w:val="24"/>
          <w:szCs w:val="24"/>
        </w:rPr>
        <w:tab/>
      </w:r>
      <w:r>
        <w:rPr>
          <w:sz w:val="24"/>
          <w:szCs w:val="24"/>
        </w:rPr>
        <w:fldChar w:fldCharType="begin"/>
      </w:r>
      <w:r>
        <w:rPr>
          <w:sz w:val="24"/>
          <w:szCs w:val="24"/>
        </w:rPr>
        <w:instrText xml:space="preserve"> PAGEREF _Toc22115 \h </w:instrText>
      </w:r>
      <w:r>
        <w:rPr>
          <w:sz w:val="24"/>
          <w:szCs w:val="24"/>
        </w:rPr>
        <w:fldChar w:fldCharType="separate"/>
      </w:r>
      <w:r>
        <w:rPr>
          <w:sz w:val="24"/>
          <w:szCs w:val="24"/>
        </w:rPr>
        <w:t>158</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_Toc9750 </w:instrText>
      </w:r>
      <w:r>
        <w:rPr>
          <w:bCs/>
          <w:sz w:val="24"/>
          <w:szCs w:val="24"/>
        </w:rPr>
        <w:fldChar w:fldCharType="separate"/>
      </w:r>
      <w:r>
        <w:rPr>
          <w:rFonts w:hint="default" w:ascii="Times New Roman" w:hAnsi="Times New Roman" w:eastAsia="宋体" w:cs="Times New Roman"/>
          <w:i w:val="0"/>
          <w:sz w:val="24"/>
          <w:szCs w:val="24"/>
        </w:rPr>
        <w:t xml:space="preserve">3.9 </w:t>
      </w:r>
      <w:r>
        <w:rPr>
          <w:rFonts w:ascii="Times New Roman" w:cs="Times New Roman"/>
          <w:sz w:val="24"/>
          <w:szCs w:val="24"/>
        </w:rPr>
        <w:t>生态环境现状调查与评价</w:t>
      </w:r>
      <w:r>
        <w:rPr>
          <w:sz w:val="24"/>
          <w:szCs w:val="24"/>
        </w:rPr>
        <w:tab/>
      </w:r>
      <w:r>
        <w:rPr>
          <w:sz w:val="24"/>
          <w:szCs w:val="24"/>
        </w:rPr>
        <w:fldChar w:fldCharType="begin"/>
      </w:r>
      <w:r>
        <w:rPr>
          <w:sz w:val="24"/>
          <w:szCs w:val="24"/>
        </w:rPr>
        <w:instrText xml:space="preserve"> PAGEREF _Toc9750 \h </w:instrText>
      </w:r>
      <w:r>
        <w:rPr>
          <w:sz w:val="24"/>
          <w:szCs w:val="24"/>
        </w:rPr>
        <w:fldChar w:fldCharType="separate"/>
      </w:r>
      <w:r>
        <w:rPr>
          <w:sz w:val="24"/>
          <w:szCs w:val="24"/>
        </w:rPr>
        <w:t>160</w:t>
      </w:r>
      <w:r>
        <w:rPr>
          <w:sz w:val="24"/>
          <w:szCs w:val="24"/>
        </w:rPr>
        <w:fldChar w:fldCharType="end"/>
      </w:r>
      <w:r>
        <w:rPr>
          <w:bCs/>
          <w:sz w:val="24"/>
          <w:szCs w:val="24"/>
        </w:rPr>
        <w:fldChar w:fldCharType="end"/>
      </w:r>
    </w:p>
    <w:p>
      <w:pPr>
        <w:pStyle w:val="59"/>
        <w:tabs>
          <w:tab w:val="right" w:leader="dot" w:pos="9070"/>
        </w:tabs>
        <w:rPr>
          <w:sz w:val="24"/>
          <w:szCs w:val="24"/>
        </w:rPr>
      </w:pPr>
      <w:r>
        <w:rPr>
          <w:bCs/>
          <w:sz w:val="24"/>
          <w:szCs w:val="24"/>
        </w:rPr>
        <w:fldChar w:fldCharType="begin"/>
      </w:r>
      <w:r>
        <w:rPr>
          <w:bCs/>
          <w:sz w:val="24"/>
          <w:szCs w:val="24"/>
        </w:rPr>
        <w:instrText xml:space="preserve"> HYPERLINK \l _Toc5201 </w:instrText>
      </w:r>
      <w:r>
        <w:rPr>
          <w:bCs/>
          <w:sz w:val="24"/>
          <w:szCs w:val="24"/>
        </w:rPr>
        <w:fldChar w:fldCharType="separate"/>
      </w:r>
      <w:r>
        <w:rPr>
          <w:rFonts w:ascii="Times New Roman" w:hAnsi="Times New Roman" w:eastAsia="Times New Roman" w:cs="Times New Roman"/>
          <w:sz w:val="24"/>
          <w:szCs w:val="24"/>
        </w:rPr>
        <w:t xml:space="preserve">第4章 </w:t>
      </w:r>
      <w:r>
        <w:rPr>
          <w:rFonts w:ascii="Times New Roman" w:hAnsi="Times New Roman" w:cs="Times New Roman"/>
          <w:sz w:val="24"/>
          <w:szCs w:val="24"/>
        </w:rPr>
        <w:t>环境可行性分析</w:t>
      </w:r>
      <w:r>
        <w:rPr>
          <w:sz w:val="24"/>
          <w:szCs w:val="24"/>
        </w:rPr>
        <w:tab/>
      </w:r>
      <w:r>
        <w:rPr>
          <w:sz w:val="24"/>
          <w:szCs w:val="24"/>
        </w:rPr>
        <w:fldChar w:fldCharType="begin"/>
      </w:r>
      <w:r>
        <w:rPr>
          <w:sz w:val="24"/>
          <w:szCs w:val="24"/>
        </w:rPr>
        <w:instrText xml:space="preserve"> PAGEREF _Toc5201 \h </w:instrText>
      </w:r>
      <w:r>
        <w:rPr>
          <w:sz w:val="24"/>
          <w:szCs w:val="24"/>
        </w:rPr>
        <w:fldChar w:fldCharType="separate"/>
      </w:r>
      <w:r>
        <w:rPr>
          <w:sz w:val="24"/>
          <w:szCs w:val="24"/>
        </w:rPr>
        <w:t>190</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_Toc22395 </w:instrText>
      </w:r>
      <w:r>
        <w:rPr>
          <w:bCs/>
          <w:sz w:val="24"/>
          <w:szCs w:val="24"/>
        </w:rPr>
        <w:fldChar w:fldCharType="separate"/>
      </w:r>
      <w:r>
        <w:rPr>
          <w:rFonts w:hint="default" w:ascii="Times New Roman" w:hAnsi="Times New Roman" w:eastAsia="宋体" w:cs="Times New Roman"/>
          <w:i w:val="0"/>
          <w:sz w:val="24"/>
          <w:szCs w:val="24"/>
        </w:rPr>
        <w:t xml:space="preserve">4.1 </w:t>
      </w:r>
      <w:r>
        <w:rPr>
          <w:rFonts w:ascii="Times New Roman" w:cs="Times New Roman"/>
          <w:sz w:val="24"/>
          <w:szCs w:val="24"/>
        </w:rPr>
        <w:t>项目建设必要性</w:t>
      </w:r>
      <w:r>
        <w:rPr>
          <w:sz w:val="24"/>
          <w:szCs w:val="24"/>
        </w:rPr>
        <w:tab/>
      </w:r>
      <w:r>
        <w:rPr>
          <w:sz w:val="24"/>
          <w:szCs w:val="24"/>
        </w:rPr>
        <w:fldChar w:fldCharType="begin"/>
      </w:r>
      <w:r>
        <w:rPr>
          <w:sz w:val="24"/>
          <w:szCs w:val="24"/>
        </w:rPr>
        <w:instrText xml:space="preserve"> PAGEREF _Toc22395 \h </w:instrText>
      </w:r>
      <w:r>
        <w:rPr>
          <w:sz w:val="24"/>
          <w:szCs w:val="24"/>
        </w:rPr>
        <w:fldChar w:fldCharType="separate"/>
      </w:r>
      <w:r>
        <w:rPr>
          <w:sz w:val="24"/>
          <w:szCs w:val="24"/>
        </w:rPr>
        <w:t>190</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_Toc6860 </w:instrText>
      </w:r>
      <w:r>
        <w:rPr>
          <w:bCs/>
          <w:sz w:val="24"/>
          <w:szCs w:val="24"/>
        </w:rPr>
        <w:fldChar w:fldCharType="separate"/>
      </w:r>
      <w:r>
        <w:rPr>
          <w:rFonts w:hint="default" w:ascii="Times New Roman" w:hAnsi="Times New Roman" w:eastAsia="宋体" w:cs="Times New Roman"/>
          <w:i w:val="0"/>
          <w:sz w:val="24"/>
          <w:szCs w:val="24"/>
        </w:rPr>
        <w:t xml:space="preserve">4.2 </w:t>
      </w:r>
      <w:r>
        <w:rPr>
          <w:rFonts w:hint="eastAsia" w:ascii="Times New Roman" w:cs="Times New Roman"/>
          <w:sz w:val="24"/>
          <w:szCs w:val="24"/>
          <w:lang w:val="en-US" w:eastAsia="zh-CN"/>
        </w:rPr>
        <w:t>与《水运工程环境保护设计规范》等相关要求的符合性分析</w:t>
      </w:r>
      <w:r>
        <w:rPr>
          <w:sz w:val="24"/>
          <w:szCs w:val="24"/>
        </w:rPr>
        <w:tab/>
      </w:r>
      <w:r>
        <w:rPr>
          <w:sz w:val="24"/>
          <w:szCs w:val="24"/>
        </w:rPr>
        <w:fldChar w:fldCharType="begin"/>
      </w:r>
      <w:r>
        <w:rPr>
          <w:sz w:val="24"/>
          <w:szCs w:val="24"/>
        </w:rPr>
        <w:instrText xml:space="preserve"> PAGEREF _Toc6860 \h </w:instrText>
      </w:r>
      <w:r>
        <w:rPr>
          <w:sz w:val="24"/>
          <w:szCs w:val="24"/>
        </w:rPr>
        <w:fldChar w:fldCharType="separate"/>
      </w:r>
      <w:r>
        <w:rPr>
          <w:sz w:val="24"/>
          <w:szCs w:val="24"/>
        </w:rPr>
        <w:t>192</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_Toc5792 </w:instrText>
      </w:r>
      <w:r>
        <w:rPr>
          <w:bCs/>
          <w:sz w:val="24"/>
          <w:szCs w:val="24"/>
        </w:rPr>
        <w:fldChar w:fldCharType="separate"/>
      </w:r>
      <w:r>
        <w:rPr>
          <w:rFonts w:hint="default" w:ascii="Times New Roman" w:hAnsi="Times New Roman" w:eastAsia="宋体" w:cs="Times New Roman"/>
          <w:i w:val="0"/>
          <w:sz w:val="24"/>
          <w:szCs w:val="24"/>
        </w:rPr>
        <w:t xml:space="preserve">4.3 </w:t>
      </w:r>
      <w:r>
        <w:rPr>
          <w:rFonts w:ascii="Times New Roman" w:cs="Times New Roman"/>
          <w:sz w:val="24"/>
          <w:szCs w:val="24"/>
        </w:rPr>
        <w:t>选址符合性分析</w:t>
      </w:r>
      <w:r>
        <w:rPr>
          <w:sz w:val="24"/>
          <w:szCs w:val="24"/>
        </w:rPr>
        <w:tab/>
      </w:r>
      <w:r>
        <w:rPr>
          <w:sz w:val="24"/>
          <w:szCs w:val="24"/>
        </w:rPr>
        <w:fldChar w:fldCharType="begin"/>
      </w:r>
      <w:r>
        <w:rPr>
          <w:sz w:val="24"/>
          <w:szCs w:val="24"/>
        </w:rPr>
        <w:instrText xml:space="preserve"> PAGEREF _Toc5792 \h </w:instrText>
      </w:r>
      <w:r>
        <w:rPr>
          <w:sz w:val="24"/>
          <w:szCs w:val="24"/>
        </w:rPr>
        <w:fldChar w:fldCharType="separate"/>
      </w:r>
      <w:r>
        <w:rPr>
          <w:sz w:val="24"/>
          <w:szCs w:val="24"/>
        </w:rPr>
        <w:t>193</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_Toc19771 </w:instrText>
      </w:r>
      <w:r>
        <w:rPr>
          <w:bCs/>
          <w:sz w:val="24"/>
          <w:szCs w:val="24"/>
        </w:rPr>
        <w:fldChar w:fldCharType="separate"/>
      </w:r>
      <w:r>
        <w:rPr>
          <w:rFonts w:hint="default" w:ascii="Times New Roman" w:hAnsi="Times New Roman" w:eastAsia="宋体" w:cs="Times New Roman"/>
          <w:i w:val="0"/>
          <w:sz w:val="24"/>
          <w:szCs w:val="24"/>
        </w:rPr>
        <w:t xml:space="preserve">4.4 </w:t>
      </w:r>
      <w:r>
        <w:rPr>
          <w:rFonts w:ascii="Times New Roman" w:cs="Times New Roman"/>
          <w:sz w:val="24"/>
          <w:szCs w:val="24"/>
        </w:rPr>
        <w:t>平面布置合理性分析</w:t>
      </w:r>
      <w:r>
        <w:rPr>
          <w:sz w:val="24"/>
          <w:szCs w:val="24"/>
        </w:rPr>
        <w:tab/>
      </w:r>
      <w:r>
        <w:rPr>
          <w:sz w:val="24"/>
          <w:szCs w:val="24"/>
        </w:rPr>
        <w:fldChar w:fldCharType="begin"/>
      </w:r>
      <w:r>
        <w:rPr>
          <w:sz w:val="24"/>
          <w:szCs w:val="24"/>
        </w:rPr>
        <w:instrText xml:space="preserve"> PAGEREF _Toc19771 \h </w:instrText>
      </w:r>
      <w:r>
        <w:rPr>
          <w:sz w:val="24"/>
          <w:szCs w:val="24"/>
        </w:rPr>
        <w:fldChar w:fldCharType="separate"/>
      </w:r>
      <w:r>
        <w:rPr>
          <w:sz w:val="24"/>
          <w:szCs w:val="24"/>
        </w:rPr>
        <w:t>194</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_Toc30932 </w:instrText>
      </w:r>
      <w:r>
        <w:rPr>
          <w:bCs/>
          <w:sz w:val="24"/>
          <w:szCs w:val="24"/>
        </w:rPr>
        <w:fldChar w:fldCharType="separate"/>
      </w:r>
      <w:r>
        <w:rPr>
          <w:rFonts w:hint="default" w:ascii="Times New Roman" w:hAnsi="Times New Roman" w:eastAsia="宋体" w:cs="Times New Roman"/>
          <w:i w:val="0"/>
          <w:sz w:val="24"/>
          <w:szCs w:val="24"/>
        </w:rPr>
        <w:t xml:space="preserve">4.5 </w:t>
      </w:r>
      <w:r>
        <w:rPr>
          <w:rFonts w:ascii="Times New Roman" w:cs="Times New Roman"/>
          <w:sz w:val="24"/>
          <w:szCs w:val="24"/>
        </w:rPr>
        <w:t>航道条件符合性分析</w:t>
      </w:r>
      <w:r>
        <w:rPr>
          <w:sz w:val="24"/>
          <w:szCs w:val="24"/>
        </w:rPr>
        <w:tab/>
      </w:r>
      <w:r>
        <w:rPr>
          <w:sz w:val="24"/>
          <w:szCs w:val="24"/>
        </w:rPr>
        <w:fldChar w:fldCharType="begin"/>
      </w:r>
      <w:r>
        <w:rPr>
          <w:sz w:val="24"/>
          <w:szCs w:val="24"/>
        </w:rPr>
        <w:instrText xml:space="preserve"> PAGEREF _Toc30932 \h </w:instrText>
      </w:r>
      <w:r>
        <w:rPr>
          <w:sz w:val="24"/>
          <w:szCs w:val="24"/>
        </w:rPr>
        <w:fldChar w:fldCharType="separate"/>
      </w:r>
      <w:r>
        <w:rPr>
          <w:sz w:val="24"/>
          <w:szCs w:val="24"/>
        </w:rPr>
        <w:t>194</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_Toc24252 </w:instrText>
      </w:r>
      <w:r>
        <w:rPr>
          <w:bCs/>
          <w:sz w:val="24"/>
          <w:szCs w:val="24"/>
        </w:rPr>
        <w:fldChar w:fldCharType="separate"/>
      </w:r>
      <w:r>
        <w:rPr>
          <w:rFonts w:hint="default" w:ascii="Times New Roman" w:hAnsi="Times New Roman" w:eastAsia="宋体" w:cs="Times New Roman"/>
          <w:i w:val="0"/>
          <w:sz w:val="24"/>
          <w:szCs w:val="24"/>
        </w:rPr>
        <w:t xml:space="preserve">4.6 </w:t>
      </w:r>
      <w:r>
        <w:rPr>
          <w:rFonts w:ascii="Times New Roman" w:cs="Times New Roman"/>
          <w:sz w:val="24"/>
          <w:szCs w:val="24"/>
        </w:rPr>
        <w:t>环境制约因素及解决方案</w:t>
      </w:r>
      <w:r>
        <w:rPr>
          <w:sz w:val="24"/>
          <w:szCs w:val="24"/>
        </w:rPr>
        <w:tab/>
      </w:r>
      <w:r>
        <w:rPr>
          <w:sz w:val="24"/>
          <w:szCs w:val="24"/>
        </w:rPr>
        <w:fldChar w:fldCharType="begin"/>
      </w:r>
      <w:r>
        <w:rPr>
          <w:sz w:val="24"/>
          <w:szCs w:val="24"/>
        </w:rPr>
        <w:instrText xml:space="preserve"> PAGEREF _Toc24252 \h </w:instrText>
      </w:r>
      <w:r>
        <w:rPr>
          <w:sz w:val="24"/>
          <w:szCs w:val="24"/>
        </w:rPr>
        <w:fldChar w:fldCharType="separate"/>
      </w:r>
      <w:r>
        <w:rPr>
          <w:sz w:val="24"/>
          <w:szCs w:val="24"/>
        </w:rPr>
        <w:t>195</w:t>
      </w:r>
      <w:r>
        <w:rPr>
          <w:sz w:val="24"/>
          <w:szCs w:val="24"/>
        </w:rPr>
        <w:fldChar w:fldCharType="end"/>
      </w:r>
      <w:r>
        <w:rPr>
          <w:bCs/>
          <w:sz w:val="24"/>
          <w:szCs w:val="24"/>
        </w:rPr>
        <w:fldChar w:fldCharType="end"/>
      </w:r>
    </w:p>
    <w:p>
      <w:pPr>
        <w:pStyle w:val="59"/>
        <w:tabs>
          <w:tab w:val="right" w:leader="dot" w:pos="9070"/>
        </w:tabs>
        <w:rPr>
          <w:sz w:val="24"/>
          <w:szCs w:val="24"/>
        </w:rPr>
      </w:pPr>
      <w:r>
        <w:rPr>
          <w:bCs/>
          <w:sz w:val="24"/>
          <w:szCs w:val="24"/>
        </w:rPr>
        <w:fldChar w:fldCharType="begin"/>
      </w:r>
      <w:r>
        <w:rPr>
          <w:bCs/>
          <w:sz w:val="24"/>
          <w:szCs w:val="24"/>
        </w:rPr>
        <w:instrText xml:space="preserve"> HYPERLINK \l _Toc19272 </w:instrText>
      </w:r>
      <w:r>
        <w:rPr>
          <w:bCs/>
          <w:sz w:val="24"/>
          <w:szCs w:val="24"/>
        </w:rPr>
        <w:fldChar w:fldCharType="separate"/>
      </w:r>
      <w:r>
        <w:rPr>
          <w:rFonts w:ascii="Times New Roman" w:hAnsi="Times New Roman" w:eastAsia="Times New Roman" w:cs="Times New Roman"/>
          <w:sz w:val="24"/>
          <w:szCs w:val="24"/>
        </w:rPr>
        <w:t xml:space="preserve">第5章 </w:t>
      </w:r>
      <w:r>
        <w:rPr>
          <w:rFonts w:ascii="Times New Roman" w:hAnsi="Times New Roman" w:cs="Times New Roman"/>
          <w:sz w:val="24"/>
          <w:szCs w:val="24"/>
        </w:rPr>
        <w:t>环境影响预测与评价</w:t>
      </w:r>
      <w:r>
        <w:rPr>
          <w:sz w:val="24"/>
          <w:szCs w:val="24"/>
        </w:rPr>
        <w:tab/>
      </w:r>
      <w:r>
        <w:rPr>
          <w:sz w:val="24"/>
          <w:szCs w:val="24"/>
        </w:rPr>
        <w:fldChar w:fldCharType="begin"/>
      </w:r>
      <w:r>
        <w:rPr>
          <w:sz w:val="24"/>
          <w:szCs w:val="24"/>
        </w:rPr>
        <w:instrText xml:space="preserve"> PAGEREF _Toc19272 \h </w:instrText>
      </w:r>
      <w:r>
        <w:rPr>
          <w:sz w:val="24"/>
          <w:szCs w:val="24"/>
        </w:rPr>
        <w:fldChar w:fldCharType="separate"/>
      </w:r>
      <w:r>
        <w:rPr>
          <w:sz w:val="24"/>
          <w:szCs w:val="24"/>
        </w:rPr>
        <w:t>196</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_Toc26280 </w:instrText>
      </w:r>
      <w:r>
        <w:rPr>
          <w:bCs/>
          <w:sz w:val="24"/>
          <w:szCs w:val="24"/>
        </w:rPr>
        <w:fldChar w:fldCharType="separate"/>
      </w:r>
      <w:r>
        <w:rPr>
          <w:rFonts w:hint="default" w:ascii="Times New Roman" w:hAnsi="Times New Roman" w:eastAsia="宋体" w:cs="Times New Roman"/>
          <w:i w:val="0"/>
          <w:sz w:val="24"/>
          <w:szCs w:val="24"/>
        </w:rPr>
        <w:t xml:space="preserve">5.1 </w:t>
      </w:r>
      <w:r>
        <w:rPr>
          <w:rFonts w:ascii="Times New Roman" w:cs="Times New Roman"/>
          <w:sz w:val="24"/>
          <w:szCs w:val="24"/>
        </w:rPr>
        <w:t>地表水环境影响预测与评价</w:t>
      </w:r>
      <w:r>
        <w:rPr>
          <w:sz w:val="24"/>
          <w:szCs w:val="24"/>
        </w:rPr>
        <w:tab/>
      </w:r>
      <w:r>
        <w:rPr>
          <w:sz w:val="24"/>
          <w:szCs w:val="24"/>
        </w:rPr>
        <w:fldChar w:fldCharType="begin"/>
      </w:r>
      <w:r>
        <w:rPr>
          <w:sz w:val="24"/>
          <w:szCs w:val="24"/>
        </w:rPr>
        <w:instrText xml:space="preserve"> PAGEREF _Toc26280 \h </w:instrText>
      </w:r>
      <w:r>
        <w:rPr>
          <w:sz w:val="24"/>
          <w:szCs w:val="24"/>
        </w:rPr>
        <w:fldChar w:fldCharType="separate"/>
      </w:r>
      <w:r>
        <w:rPr>
          <w:sz w:val="24"/>
          <w:szCs w:val="24"/>
        </w:rPr>
        <w:t>196</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_Toc15760 </w:instrText>
      </w:r>
      <w:r>
        <w:rPr>
          <w:bCs/>
          <w:sz w:val="24"/>
          <w:szCs w:val="24"/>
        </w:rPr>
        <w:fldChar w:fldCharType="separate"/>
      </w:r>
      <w:r>
        <w:rPr>
          <w:rFonts w:hint="default" w:ascii="Times New Roman" w:hAnsi="Times New Roman" w:eastAsia="宋体" w:cs="Times New Roman"/>
          <w:i w:val="0"/>
          <w:sz w:val="24"/>
          <w:szCs w:val="24"/>
        </w:rPr>
        <w:t xml:space="preserve">5.2 </w:t>
      </w:r>
      <w:r>
        <w:rPr>
          <w:rFonts w:ascii="Times New Roman" w:cs="Times New Roman"/>
          <w:sz w:val="24"/>
          <w:szCs w:val="24"/>
        </w:rPr>
        <w:t>水文要素影响预测与评价</w:t>
      </w:r>
      <w:r>
        <w:rPr>
          <w:sz w:val="24"/>
          <w:szCs w:val="24"/>
        </w:rPr>
        <w:tab/>
      </w:r>
      <w:r>
        <w:rPr>
          <w:sz w:val="24"/>
          <w:szCs w:val="24"/>
        </w:rPr>
        <w:fldChar w:fldCharType="begin"/>
      </w:r>
      <w:r>
        <w:rPr>
          <w:sz w:val="24"/>
          <w:szCs w:val="24"/>
        </w:rPr>
        <w:instrText xml:space="preserve"> PAGEREF _Toc15760 \h </w:instrText>
      </w:r>
      <w:r>
        <w:rPr>
          <w:sz w:val="24"/>
          <w:szCs w:val="24"/>
        </w:rPr>
        <w:fldChar w:fldCharType="separate"/>
      </w:r>
      <w:r>
        <w:rPr>
          <w:sz w:val="24"/>
          <w:szCs w:val="24"/>
        </w:rPr>
        <w:t>206</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_Toc30701 </w:instrText>
      </w:r>
      <w:r>
        <w:rPr>
          <w:bCs/>
          <w:sz w:val="24"/>
          <w:szCs w:val="24"/>
        </w:rPr>
        <w:fldChar w:fldCharType="separate"/>
      </w:r>
      <w:r>
        <w:rPr>
          <w:rFonts w:hint="default" w:ascii="Times New Roman" w:hAnsi="Times New Roman" w:eastAsia="宋体" w:cs="Times New Roman"/>
          <w:i w:val="0"/>
          <w:sz w:val="24"/>
          <w:szCs w:val="24"/>
        </w:rPr>
        <w:t xml:space="preserve">5.3 </w:t>
      </w:r>
      <w:r>
        <w:rPr>
          <w:rFonts w:ascii="Times New Roman" w:cs="Times New Roman"/>
          <w:sz w:val="24"/>
          <w:szCs w:val="24"/>
        </w:rPr>
        <w:t>大气环境影响预测与评价</w:t>
      </w:r>
      <w:r>
        <w:rPr>
          <w:sz w:val="24"/>
          <w:szCs w:val="24"/>
        </w:rPr>
        <w:tab/>
      </w:r>
      <w:r>
        <w:rPr>
          <w:sz w:val="24"/>
          <w:szCs w:val="24"/>
        </w:rPr>
        <w:fldChar w:fldCharType="begin"/>
      </w:r>
      <w:r>
        <w:rPr>
          <w:sz w:val="24"/>
          <w:szCs w:val="24"/>
        </w:rPr>
        <w:instrText xml:space="preserve"> PAGEREF _Toc30701 \h </w:instrText>
      </w:r>
      <w:r>
        <w:rPr>
          <w:sz w:val="24"/>
          <w:szCs w:val="24"/>
        </w:rPr>
        <w:fldChar w:fldCharType="separate"/>
      </w:r>
      <w:r>
        <w:rPr>
          <w:sz w:val="24"/>
          <w:szCs w:val="24"/>
        </w:rPr>
        <w:t>212</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_Toc7429 </w:instrText>
      </w:r>
      <w:r>
        <w:rPr>
          <w:bCs/>
          <w:sz w:val="24"/>
          <w:szCs w:val="24"/>
        </w:rPr>
        <w:fldChar w:fldCharType="separate"/>
      </w:r>
      <w:r>
        <w:rPr>
          <w:rFonts w:hint="default" w:ascii="Times New Roman" w:hAnsi="Times New Roman" w:eastAsia="宋体" w:cs="Times New Roman"/>
          <w:i w:val="0"/>
          <w:sz w:val="24"/>
          <w:szCs w:val="24"/>
        </w:rPr>
        <w:t xml:space="preserve">5.4 </w:t>
      </w:r>
      <w:r>
        <w:rPr>
          <w:rFonts w:ascii="Times New Roman" w:cs="Times New Roman"/>
          <w:sz w:val="24"/>
          <w:szCs w:val="24"/>
        </w:rPr>
        <w:t>声环境影响预测与评价</w:t>
      </w:r>
      <w:r>
        <w:rPr>
          <w:sz w:val="24"/>
          <w:szCs w:val="24"/>
        </w:rPr>
        <w:tab/>
      </w:r>
      <w:r>
        <w:rPr>
          <w:sz w:val="24"/>
          <w:szCs w:val="24"/>
        </w:rPr>
        <w:fldChar w:fldCharType="begin"/>
      </w:r>
      <w:r>
        <w:rPr>
          <w:sz w:val="24"/>
          <w:szCs w:val="24"/>
        </w:rPr>
        <w:instrText xml:space="preserve"> PAGEREF _Toc7429 \h </w:instrText>
      </w:r>
      <w:r>
        <w:rPr>
          <w:sz w:val="24"/>
          <w:szCs w:val="24"/>
        </w:rPr>
        <w:fldChar w:fldCharType="separate"/>
      </w:r>
      <w:r>
        <w:rPr>
          <w:sz w:val="24"/>
          <w:szCs w:val="24"/>
        </w:rPr>
        <w:t>250</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_Toc15584 </w:instrText>
      </w:r>
      <w:r>
        <w:rPr>
          <w:bCs/>
          <w:sz w:val="24"/>
          <w:szCs w:val="24"/>
        </w:rPr>
        <w:fldChar w:fldCharType="separate"/>
      </w:r>
      <w:r>
        <w:rPr>
          <w:rFonts w:hint="default" w:ascii="Times New Roman" w:hAnsi="Times New Roman" w:eastAsia="宋体" w:cs="Times New Roman"/>
          <w:i w:val="0"/>
          <w:sz w:val="24"/>
          <w:szCs w:val="24"/>
        </w:rPr>
        <w:t xml:space="preserve">5.5 </w:t>
      </w:r>
      <w:r>
        <w:rPr>
          <w:rFonts w:ascii="Times New Roman" w:cs="Times New Roman"/>
          <w:sz w:val="24"/>
          <w:szCs w:val="24"/>
        </w:rPr>
        <w:t>固体废物环境影响预测与评价</w:t>
      </w:r>
      <w:r>
        <w:rPr>
          <w:sz w:val="24"/>
          <w:szCs w:val="24"/>
        </w:rPr>
        <w:tab/>
      </w:r>
      <w:r>
        <w:rPr>
          <w:sz w:val="24"/>
          <w:szCs w:val="24"/>
        </w:rPr>
        <w:fldChar w:fldCharType="begin"/>
      </w:r>
      <w:r>
        <w:rPr>
          <w:sz w:val="24"/>
          <w:szCs w:val="24"/>
        </w:rPr>
        <w:instrText xml:space="preserve"> PAGEREF _Toc15584 \h </w:instrText>
      </w:r>
      <w:r>
        <w:rPr>
          <w:sz w:val="24"/>
          <w:szCs w:val="24"/>
        </w:rPr>
        <w:fldChar w:fldCharType="separate"/>
      </w:r>
      <w:r>
        <w:rPr>
          <w:sz w:val="24"/>
          <w:szCs w:val="24"/>
        </w:rPr>
        <w:t>254</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_Toc19673 </w:instrText>
      </w:r>
      <w:r>
        <w:rPr>
          <w:bCs/>
          <w:sz w:val="24"/>
          <w:szCs w:val="24"/>
        </w:rPr>
        <w:fldChar w:fldCharType="separate"/>
      </w:r>
      <w:r>
        <w:rPr>
          <w:rFonts w:hint="default" w:ascii="Times New Roman" w:hAnsi="Times New Roman" w:eastAsia="宋体" w:cs="Times New Roman"/>
          <w:i w:val="0"/>
          <w:sz w:val="24"/>
          <w:szCs w:val="24"/>
        </w:rPr>
        <w:t xml:space="preserve">5.6 </w:t>
      </w:r>
      <w:r>
        <w:rPr>
          <w:rFonts w:ascii="Times New Roman" w:cs="Times New Roman"/>
          <w:sz w:val="24"/>
          <w:szCs w:val="24"/>
        </w:rPr>
        <w:t>生态环境影响预测与评价</w:t>
      </w:r>
      <w:r>
        <w:rPr>
          <w:sz w:val="24"/>
          <w:szCs w:val="24"/>
        </w:rPr>
        <w:tab/>
      </w:r>
      <w:r>
        <w:rPr>
          <w:sz w:val="24"/>
          <w:szCs w:val="24"/>
        </w:rPr>
        <w:fldChar w:fldCharType="begin"/>
      </w:r>
      <w:r>
        <w:rPr>
          <w:sz w:val="24"/>
          <w:szCs w:val="24"/>
        </w:rPr>
        <w:instrText xml:space="preserve"> PAGEREF _Toc19673 \h </w:instrText>
      </w:r>
      <w:r>
        <w:rPr>
          <w:sz w:val="24"/>
          <w:szCs w:val="24"/>
        </w:rPr>
        <w:fldChar w:fldCharType="separate"/>
      </w:r>
      <w:r>
        <w:rPr>
          <w:sz w:val="24"/>
          <w:szCs w:val="24"/>
        </w:rPr>
        <w:t>255</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_Toc14211 </w:instrText>
      </w:r>
      <w:r>
        <w:rPr>
          <w:bCs/>
          <w:sz w:val="24"/>
          <w:szCs w:val="24"/>
        </w:rPr>
        <w:fldChar w:fldCharType="separate"/>
      </w:r>
      <w:r>
        <w:rPr>
          <w:rFonts w:hint="default" w:ascii="Times New Roman" w:hAnsi="Times New Roman" w:eastAsia="宋体" w:cs="Times New Roman"/>
          <w:i w:val="0"/>
          <w:sz w:val="24"/>
          <w:szCs w:val="24"/>
        </w:rPr>
        <w:t xml:space="preserve">5.7 </w:t>
      </w:r>
      <w:r>
        <w:rPr>
          <w:rFonts w:ascii="Times New Roman" w:cs="Times New Roman"/>
          <w:sz w:val="24"/>
          <w:szCs w:val="24"/>
        </w:rPr>
        <w:t>环境风险影响预测与评价</w:t>
      </w:r>
      <w:r>
        <w:rPr>
          <w:sz w:val="24"/>
          <w:szCs w:val="24"/>
        </w:rPr>
        <w:tab/>
      </w:r>
      <w:r>
        <w:rPr>
          <w:sz w:val="24"/>
          <w:szCs w:val="24"/>
        </w:rPr>
        <w:fldChar w:fldCharType="begin"/>
      </w:r>
      <w:r>
        <w:rPr>
          <w:sz w:val="24"/>
          <w:szCs w:val="24"/>
        </w:rPr>
        <w:instrText xml:space="preserve"> PAGEREF _Toc14211 \h </w:instrText>
      </w:r>
      <w:r>
        <w:rPr>
          <w:sz w:val="24"/>
          <w:szCs w:val="24"/>
        </w:rPr>
        <w:fldChar w:fldCharType="separate"/>
      </w:r>
      <w:r>
        <w:rPr>
          <w:sz w:val="24"/>
          <w:szCs w:val="24"/>
        </w:rPr>
        <w:t>265</w:t>
      </w:r>
      <w:r>
        <w:rPr>
          <w:sz w:val="24"/>
          <w:szCs w:val="24"/>
        </w:rPr>
        <w:fldChar w:fldCharType="end"/>
      </w:r>
      <w:r>
        <w:rPr>
          <w:bCs/>
          <w:sz w:val="24"/>
          <w:szCs w:val="24"/>
        </w:rPr>
        <w:fldChar w:fldCharType="end"/>
      </w:r>
    </w:p>
    <w:p>
      <w:pPr>
        <w:pStyle w:val="59"/>
        <w:tabs>
          <w:tab w:val="right" w:leader="dot" w:pos="9070"/>
        </w:tabs>
        <w:rPr>
          <w:sz w:val="24"/>
          <w:szCs w:val="24"/>
        </w:rPr>
      </w:pPr>
      <w:r>
        <w:rPr>
          <w:bCs/>
          <w:sz w:val="24"/>
          <w:szCs w:val="24"/>
        </w:rPr>
        <w:fldChar w:fldCharType="begin"/>
      </w:r>
      <w:r>
        <w:rPr>
          <w:bCs/>
          <w:sz w:val="24"/>
          <w:szCs w:val="24"/>
        </w:rPr>
        <w:instrText xml:space="preserve"> HYPERLINK \l _Toc11315 </w:instrText>
      </w:r>
      <w:r>
        <w:rPr>
          <w:bCs/>
          <w:sz w:val="24"/>
          <w:szCs w:val="24"/>
        </w:rPr>
        <w:fldChar w:fldCharType="separate"/>
      </w:r>
      <w:r>
        <w:rPr>
          <w:rFonts w:ascii="Times New Roman" w:hAnsi="Times New Roman" w:eastAsia="Times New Roman" w:cs="Times New Roman"/>
          <w:sz w:val="24"/>
          <w:szCs w:val="24"/>
        </w:rPr>
        <w:t xml:space="preserve">第6章 </w:t>
      </w:r>
      <w:r>
        <w:rPr>
          <w:rFonts w:ascii="Times New Roman" w:hAnsi="Times New Roman" w:cs="Times New Roman"/>
          <w:sz w:val="24"/>
          <w:szCs w:val="24"/>
        </w:rPr>
        <w:t>对洞庭湖口铜鱼短颌鲚国家级水产种质资源保护区影响</w:t>
      </w:r>
      <w:r>
        <w:rPr>
          <w:sz w:val="24"/>
          <w:szCs w:val="24"/>
        </w:rPr>
        <w:tab/>
      </w:r>
      <w:r>
        <w:rPr>
          <w:sz w:val="24"/>
          <w:szCs w:val="24"/>
        </w:rPr>
        <w:fldChar w:fldCharType="begin"/>
      </w:r>
      <w:r>
        <w:rPr>
          <w:sz w:val="24"/>
          <w:szCs w:val="24"/>
        </w:rPr>
        <w:instrText xml:space="preserve"> PAGEREF _Toc11315 \h </w:instrText>
      </w:r>
      <w:r>
        <w:rPr>
          <w:sz w:val="24"/>
          <w:szCs w:val="24"/>
        </w:rPr>
        <w:fldChar w:fldCharType="separate"/>
      </w:r>
      <w:r>
        <w:rPr>
          <w:sz w:val="24"/>
          <w:szCs w:val="24"/>
        </w:rPr>
        <w:t>283</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_Toc25292 </w:instrText>
      </w:r>
      <w:r>
        <w:rPr>
          <w:bCs/>
          <w:sz w:val="24"/>
          <w:szCs w:val="24"/>
        </w:rPr>
        <w:fldChar w:fldCharType="separate"/>
      </w:r>
      <w:r>
        <w:rPr>
          <w:rFonts w:hint="default" w:ascii="Times New Roman" w:hAnsi="Times New Roman" w:eastAsia="宋体" w:cs="Times New Roman"/>
          <w:i w:val="0"/>
          <w:sz w:val="24"/>
          <w:szCs w:val="24"/>
        </w:rPr>
        <w:t xml:space="preserve">6.1 </w:t>
      </w:r>
      <w:r>
        <w:rPr>
          <w:rFonts w:hint="eastAsia" w:ascii="Times New Roman" w:cs="Times New Roman"/>
          <w:sz w:val="24"/>
          <w:szCs w:val="24"/>
          <w:lang w:val="en-US"/>
        </w:rPr>
        <w:t>保护区概况</w:t>
      </w:r>
      <w:r>
        <w:rPr>
          <w:sz w:val="24"/>
          <w:szCs w:val="24"/>
        </w:rPr>
        <w:tab/>
      </w:r>
      <w:r>
        <w:rPr>
          <w:sz w:val="24"/>
          <w:szCs w:val="24"/>
        </w:rPr>
        <w:fldChar w:fldCharType="begin"/>
      </w:r>
      <w:r>
        <w:rPr>
          <w:sz w:val="24"/>
          <w:szCs w:val="24"/>
        </w:rPr>
        <w:instrText xml:space="preserve"> PAGEREF _Toc25292 \h </w:instrText>
      </w:r>
      <w:r>
        <w:rPr>
          <w:sz w:val="24"/>
          <w:szCs w:val="24"/>
        </w:rPr>
        <w:fldChar w:fldCharType="separate"/>
      </w:r>
      <w:r>
        <w:rPr>
          <w:sz w:val="24"/>
          <w:szCs w:val="24"/>
        </w:rPr>
        <w:t>283</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_Toc10486 </w:instrText>
      </w:r>
      <w:r>
        <w:rPr>
          <w:bCs/>
          <w:sz w:val="24"/>
          <w:szCs w:val="24"/>
        </w:rPr>
        <w:fldChar w:fldCharType="separate"/>
      </w:r>
      <w:r>
        <w:rPr>
          <w:rFonts w:hint="default" w:ascii="Times New Roman" w:hAnsi="Times New Roman" w:eastAsia="宋体" w:cs="Times New Roman"/>
          <w:i w:val="0"/>
          <w:sz w:val="24"/>
          <w:szCs w:val="24"/>
        </w:rPr>
        <w:t xml:space="preserve">6.2 </w:t>
      </w:r>
      <w:r>
        <w:rPr>
          <w:rFonts w:hint="eastAsia" w:ascii="Times New Roman" w:cs="Times New Roman"/>
          <w:sz w:val="24"/>
          <w:szCs w:val="24"/>
          <w:lang w:val="en-US"/>
        </w:rPr>
        <w:t>工程与保护区的位置关系</w:t>
      </w:r>
      <w:r>
        <w:rPr>
          <w:sz w:val="24"/>
          <w:szCs w:val="24"/>
        </w:rPr>
        <w:tab/>
      </w:r>
      <w:r>
        <w:rPr>
          <w:sz w:val="24"/>
          <w:szCs w:val="24"/>
        </w:rPr>
        <w:fldChar w:fldCharType="begin"/>
      </w:r>
      <w:r>
        <w:rPr>
          <w:sz w:val="24"/>
          <w:szCs w:val="24"/>
        </w:rPr>
        <w:instrText xml:space="preserve"> PAGEREF _Toc10486 \h </w:instrText>
      </w:r>
      <w:r>
        <w:rPr>
          <w:sz w:val="24"/>
          <w:szCs w:val="24"/>
        </w:rPr>
        <w:fldChar w:fldCharType="separate"/>
      </w:r>
      <w:r>
        <w:rPr>
          <w:sz w:val="24"/>
          <w:szCs w:val="24"/>
        </w:rPr>
        <w:t>289</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_Toc24777 </w:instrText>
      </w:r>
      <w:r>
        <w:rPr>
          <w:bCs/>
          <w:sz w:val="24"/>
          <w:szCs w:val="24"/>
        </w:rPr>
        <w:fldChar w:fldCharType="separate"/>
      </w:r>
      <w:r>
        <w:rPr>
          <w:rFonts w:hint="default" w:ascii="Times New Roman" w:hAnsi="Times New Roman" w:eastAsia="宋体" w:cs="Times New Roman"/>
          <w:i w:val="0"/>
          <w:sz w:val="24"/>
          <w:szCs w:val="24"/>
        </w:rPr>
        <w:t xml:space="preserve">6.3 </w:t>
      </w:r>
      <w:r>
        <w:rPr>
          <w:rFonts w:hint="eastAsia" w:ascii="Times New Roman" w:cs="Times New Roman"/>
          <w:sz w:val="24"/>
          <w:szCs w:val="24"/>
          <w:lang w:val="en-US"/>
        </w:rPr>
        <w:t>对</w:t>
      </w:r>
      <w:r>
        <w:rPr>
          <w:rFonts w:hint="eastAsia" w:ascii="Times New Roman" w:cs="Times New Roman"/>
          <w:sz w:val="24"/>
          <w:szCs w:val="24"/>
        </w:rPr>
        <w:t>洞庭湖口铜鱼短颌鲚国家级水产种质资源保护区</w:t>
      </w:r>
      <w:r>
        <w:rPr>
          <w:rFonts w:hint="eastAsia" w:ascii="Times New Roman" w:cs="Times New Roman"/>
          <w:sz w:val="24"/>
          <w:szCs w:val="24"/>
          <w:lang w:val="en-US"/>
        </w:rPr>
        <w:t>的影响分析</w:t>
      </w:r>
      <w:r>
        <w:rPr>
          <w:sz w:val="24"/>
          <w:szCs w:val="24"/>
        </w:rPr>
        <w:tab/>
      </w:r>
      <w:r>
        <w:rPr>
          <w:sz w:val="24"/>
          <w:szCs w:val="24"/>
        </w:rPr>
        <w:fldChar w:fldCharType="begin"/>
      </w:r>
      <w:r>
        <w:rPr>
          <w:sz w:val="24"/>
          <w:szCs w:val="24"/>
        </w:rPr>
        <w:instrText xml:space="preserve"> PAGEREF _Toc24777 \h </w:instrText>
      </w:r>
      <w:r>
        <w:rPr>
          <w:sz w:val="24"/>
          <w:szCs w:val="24"/>
        </w:rPr>
        <w:fldChar w:fldCharType="separate"/>
      </w:r>
      <w:r>
        <w:rPr>
          <w:sz w:val="24"/>
          <w:szCs w:val="24"/>
        </w:rPr>
        <w:t>290</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_Toc456 </w:instrText>
      </w:r>
      <w:r>
        <w:rPr>
          <w:bCs/>
          <w:sz w:val="24"/>
          <w:szCs w:val="24"/>
        </w:rPr>
        <w:fldChar w:fldCharType="separate"/>
      </w:r>
      <w:r>
        <w:rPr>
          <w:rFonts w:hint="default" w:ascii="Times New Roman" w:hAnsi="Times New Roman" w:eastAsia="宋体" w:cs="Times New Roman"/>
          <w:i w:val="0"/>
          <w:sz w:val="24"/>
          <w:szCs w:val="24"/>
          <w:lang w:val="en-US"/>
        </w:rPr>
        <w:t xml:space="preserve">6.4 </w:t>
      </w:r>
      <w:r>
        <w:rPr>
          <w:rFonts w:hint="eastAsia" w:ascii="Times New Roman" w:cs="Times New Roman"/>
          <w:sz w:val="24"/>
          <w:szCs w:val="24"/>
          <w:lang w:val="en-US"/>
        </w:rPr>
        <w:t>保护及补偿措施</w:t>
      </w:r>
      <w:r>
        <w:rPr>
          <w:sz w:val="24"/>
          <w:szCs w:val="24"/>
        </w:rPr>
        <w:tab/>
      </w:r>
      <w:r>
        <w:rPr>
          <w:sz w:val="24"/>
          <w:szCs w:val="24"/>
        </w:rPr>
        <w:fldChar w:fldCharType="begin"/>
      </w:r>
      <w:r>
        <w:rPr>
          <w:sz w:val="24"/>
          <w:szCs w:val="24"/>
        </w:rPr>
        <w:instrText xml:space="preserve"> PAGEREF _Toc456 \h </w:instrText>
      </w:r>
      <w:r>
        <w:rPr>
          <w:sz w:val="24"/>
          <w:szCs w:val="24"/>
        </w:rPr>
        <w:fldChar w:fldCharType="separate"/>
      </w:r>
      <w:r>
        <w:rPr>
          <w:sz w:val="24"/>
          <w:szCs w:val="24"/>
        </w:rPr>
        <w:t>299</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_Toc20246 </w:instrText>
      </w:r>
      <w:r>
        <w:rPr>
          <w:bCs/>
          <w:sz w:val="24"/>
          <w:szCs w:val="24"/>
        </w:rPr>
        <w:fldChar w:fldCharType="separate"/>
      </w:r>
      <w:r>
        <w:rPr>
          <w:rFonts w:hint="default" w:ascii="Times New Roman" w:hAnsi="Times New Roman" w:eastAsia="宋体" w:cs="Times New Roman"/>
          <w:i w:val="0"/>
          <w:sz w:val="24"/>
          <w:szCs w:val="24"/>
          <w:lang w:val="en-US"/>
        </w:rPr>
        <w:t xml:space="preserve">6.5 </w:t>
      </w:r>
      <w:r>
        <w:rPr>
          <w:rFonts w:hint="eastAsia" w:ascii="Times New Roman" w:cs="Times New Roman"/>
          <w:sz w:val="24"/>
          <w:szCs w:val="24"/>
          <w:lang w:val="en-US"/>
        </w:rPr>
        <w:t>专题报告结论及审查</w:t>
      </w:r>
      <w:r>
        <w:rPr>
          <w:sz w:val="24"/>
          <w:szCs w:val="24"/>
        </w:rPr>
        <w:tab/>
      </w:r>
      <w:r>
        <w:rPr>
          <w:sz w:val="24"/>
          <w:szCs w:val="24"/>
        </w:rPr>
        <w:fldChar w:fldCharType="begin"/>
      </w:r>
      <w:r>
        <w:rPr>
          <w:sz w:val="24"/>
          <w:szCs w:val="24"/>
        </w:rPr>
        <w:instrText xml:space="preserve"> PAGEREF _Toc20246 \h </w:instrText>
      </w:r>
      <w:r>
        <w:rPr>
          <w:sz w:val="24"/>
          <w:szCs w:val="24"/>
        </w:rPr>
        <w:fldChar w:fldCharType="separate"/>
      </w:r>
      <w:r>
        <w:rPr>
          <w:sz w:val="24"/>
          <w:szCs w:val="24"/>
        </w:rPr>
        <w:t>311</w:t>
      </w:r>
      <w:r>
        <w:rPr>
          <w:sz w:val="24"/>
          <w:szCs w:val="24"/>
        </w:rPr>
        <w:fldChar w:fldCharType="end"/>
      </w:r>
      <w:r>
        <w:rPr>
          <w:bCs/>
          <w:sz w:val="24"/>
          <w:szCs w:val="24"/>
        </w:rPr>
        <w:fldChar w:fldCharType="end"/>
      </w:r>
    </w:p>
    <w:p>
      <w:pPr>
        <w:pStyle w:val="59"/>
        <w:tabs>
          <w:tab w:val="right" w:leader="dot" w:pos="9070"/>
        </w:tabs>
        <w:rPr>
          <w:sz w:val="24"/>
          <w:szCs w:val="24"/>
        </w:rPr>
      </w:pPr>
      <w:r>
        <w:rPr>
          <w:bCs/>
          <w:sz w:val="24"/>
          <w:szCs w:val="24"/>
        </w:rPr>
        <w:fldChar w:fldCharType="begin"/>
      </w:r>
      <w:r>
        <w:rPr>
          <w:bCs/>
          <w:sz w:val="24"/>
          <w:szCs w:val="24"/>
        </w:rPr>
        <w:instrText xml:space="preserve"> HYPERLINK \l _Toc31032 </w:instrText>
      </w:r>
      <w:r>
        <w:rPr>
          <w:bCs/>
          <w:sz w:val="24"/>
          <w:szCs w:val="24"/>
        </w:rPr>
        <w:fldChar w:fldCharType="separate"/>
      </w:r>
      <w:r>
        <w:rPr>
          <w:rFonts w:ascii="Times New Roman" w:hAnsi="Times New Roman" w:eastAsia="Times New Roman" w:cs="Times New Roman"/>
          <w:sz w:val="24"/>
          <w:szCs w:val="24"/>
        </w:rPr>
        <w:t xml:space="preserve">第7章 </w:t>
      </w:r>
      <w:r>
        <w:rPr>
          <w:rFonts w:ascii="Times New Roman" w:hAnsi="Times New Roman" w:cs="Times New Roman"/>
          <w:sz w:val="24"/>
          <w:szCs w:val="24"/>
        </w:rPr>
        <w:t>环境保护措施及其可行性论证</w:t>
      </w:r>
      <w:r>
        <w:rPr>
          <w:sz w:val="24"/>
          <w:szCs w:val="24"/>
        </w:rPr>
        <w:tab/>
      </w:r>
      <w:r>
        <w:rPr>
          <w:sz w:val="24"/>
          <w:szCs w:val="24"/>
        </w:rPr>
        <w:fldChar w:fldCharType="begin"/>
      </w:r>
      <w:r>
        <w:rPr>
          <w:sz w:val="24"/>
          <w:szCs w:val="24"/>
        </w:rPr>
        <w:instrText xml:space="preserve"> PAGEREF _Toc31032 \h </w:instrText>
      </w:r>
      <w:r>
        <w:rPr>
          <w:sz w:val="24"/>
          <w:szCs w:val="24"/>
        </w:rPr>
        <w:fldChar w:fldCharType="separate"/>
      </w:r>
      <w:r>
        <w:rPr>
          <w:sz w:val="24"/>
          <w:szCs w:val="24"/>
        </w:rPr>
        <w:t>313</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_Toc7135 </w:instrText>
      </w:r>
      <w:r>
        <w:rPr>
          <w:bCs/>
          <w:sz w:val="24"/>
          <w:szCs w:val="24"/>
        </w:rPr>
        <w:fldChar w:fldCharType="separate"/>
      </w:r>
      <w:r>
        <w:rPr>
          <w:rFonts w:hint="default" w:ascii="Times New Roman" w:hAnsi="Times New Roman" w:eastAsia="宋体" w:cs="Times New Roman"/>
          <w:i w:val="0"/>
          <w:sz w:val="24"/>
          <w:szCs w:val="24"/>
        </w:rPr>
        <w:t xml:space="preserve">7.1 </w:t>
      </w:r>
      <w:r>
        <w:rPr>
          <w:rFonts w:ascii="Times New Roman" w:cs="Times New Roman"/>
          <w:sz w:val="24"/>
          <w:szCs w:val="24"/>
        </w:rPr>
        <w:t>地表水环境污染防治措施</w:t>
      </w:r>
      <w:r>
        <w:rPr>
          <w:sz w:val="24"/>
          <w:szCs w:val="24"/>
        </w:rPr>
        <w:tab/>
      </w:r>
      <w:r>
        <w:rPr>
          <w:sz w:val="24"/>
          <w:szCs w:val="24"/>
        </w:rPr>
        <w:fldChar w:fldCharType="begin"/>
      </w:r>
      <w:r>
        <w:rPr>
          <w:sz w:val="24"/>
          <w:szCs w:val="24"/>
        </w:rPr>
        <w:instrText xml:space="preserve"> PAGEREF _Toc7135 \h </w:instrText>
      </w:r>
      <w:r>
        <w:rPr>
          <w:sz w:val="24"/>
          <w:szCs w:val="24"/>
        </w:rPr>
        <w:fldChar w:fldCharType="separate"/>
      </w:r>
      <w:r>
        <w:rPr>
          <w:sz w:val="24"/>
          <w:szCs w:val="24"/>
        </w:rPr>
        <w:t>313</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_Toc2871 </w:instrText>
      </w:r>
      <w:r>
        <w:rPr>
          <w:bCs/>
          <w:sz w:val="24"/>
          <w:szCs w:val="24"/>
        </w:rPr>
        <w:fldChar w:fldCharType="separate"/>
      </w:r>
      <w:r>
        <w:rPr>
          <w:rFonts w:hint="default" w:ascii="Times New Roman" w:hAnsi="Times New Roman" w:eastAsia="宋体" w:cs="Times New Roman"/>
          <w:i w:val="0"/>
          <w:sz w:val="24"/>
          <w:szCs w:val="24"/>
        </w:rPr>
        <w:t xml:space="preserve">7.2 </w:t>
      </w:r>
      <w:r>
        <w:rPr>
          <w:rFonts w:ascii="Times New Roman" w:cs="Times New Roman"/>
          <w:sz w:val="24"/>
          <w:szCs w:val="24"/>
        </w:rPr>
        <w:t>大气污染防治措施</w:t>
      </w:r>
      <w:r>
        <w:rPr>
          <w:sz w:val="24"/>
          <w:szCs w:val="24"/>
        </w:rPr>
        <w:tab/>
      </w:r>
      <w:r>
        <w:rPr>
          <w:sz w:val="24"/>
          <w:szCs w:val="24"/>
        </w:rPr>
        <w:fldChar w:fldCharType="begin"/>
      </w:r>
      <w:r>
        <w:rPr>
          <w:sz w:val="24"/>
          <w:szCs w:val="24"/>
        </w:rPr>
        <w:instrText xml:space="preserve"> PAGEREF _Toc2871 \h </w:instrText>
      </w:r>
      <w:r>
        <w:rPr>
          <w:sz w:val="24"/>
          <w:szCs w:val="24"/>
        </w:rPr>
        <w:fldChar w:fldCharType="separate"/>
      </w:r>
      <w:r>
        <w:rPr>
          <w:sz w:val="24"/>
          <w:szCs w:val="24"/>
        </w:rPr>
        <w:t>319</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_Toc18425 </w:instrText>
      </w:r>
      <w:r>
        <w:rPr>
          <w:bCs/>
          <w:sz w:val="24"/>
          <w:szCs w:val="24"/>
        </w:rPr>
        <w:fldChar w:fldCharType="separate"/>
      </w:r>
      <w:r>
        <w:rPr>
          <w:rFonts w:hint="default" w:ascii="Times New Roman" w:hAnsi="Times New Roman" w:eastAsia="宋体" w:cs="Times New Roman"/>
          <w:i w:val="0"/>
          <w:sz w:val="24"/>
          <w:szCs w:val="24"/>
        </w:rPr>
        <w:t xml:space="preserve">7.3 </w:t>
      </w:r>
      <w:r>
        <w:rPr>
          <w:rFonts w:ascii="Times New Roman" w:cs="Times New Roman"/>
          <w:sz w:val="24"/>
          <w:szCs w:val="24"/>
        </w:rPr>
        <w:t>噪声污染防治措施</w:t>
      </w:r>
      <w:r>
        <w:rPr>
          <w:sz w:val="24"/>
          <w:szCs w:val="24"/>
        </w:rPr>
        <w:tab/>
      </w:r>
      <w:r>
        <w:rPr>
          <w:sz w:val="24"/>
          <w:szCs w:val="24"/>
        </w:rPr>
        <w:fldChar w:fldCharType="begin"/>
      </w:r>
      <w:r>
        <w:rPr>
          <w:sz w:val="24"/>
          <w:szCs w:val="24"/>
        </w:rPr>
        <w:instrText xml:space="preserve"> PAGEREF _Toc18425 \h </w:instrText>
      </w:r>
      <w:r>
        <w:rPr>
          <w:sz w:val="24"/>
          <w:szCs w:val="24"/>
        </w:rPr>
        <w:fldChar w:fldCharType="separate"/>
      </w:r>
      <w:r>
        <w:rPr>
          <w:sz w:val="24"/>
          <w:szCs w:val="24"/>
        </w:rPr>
        <w:t>322</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_Toc32580 </w:instrText>
      </w:r>
      <w:r>
        <w:rPr>
          <w:bCs/>
          <w:sz w:val="24"/>
          <w:szCs w:val="24"/>
        </w:rPr>
        <w:fldChar w:fldCharType="separate"/>
      </w:r>
      <w:r>
        <w:rPr>
          <w:rFonts w:hint="default" w:ascii="Times New Roman" w:hAnsi="Times New Roman" w:eastAsia="宋体" w:cs="Times New Roman"/>
          <w:i w:val="0"/>
          <w:sz w:val="24"/>
          <w:szCs w:val="24"/>
        </w:rPr>
        <w:t xml:space="preserve">7.4 </w:t>
      </w:r>
      <w:r>
        <w:rPr>
          <w:rFonts w:ascii="Times New Roman" w:cs="Times New Roman"/>
          <w:sz w:val="24"/>
          <w:szCs w:val="24"/>
        </w:rPr>
        <w:t>固体废物治理措施</w:t>
      </w:r>
      <w:r>
        <w:rPr>
          <w:sz w:val="24"/>
          <w:szCs w:val="24"/>
        </w:rPr>
        <w:tab/>
      </w:r>
      <w:r>
        <w:rPr>
          <w:sz w:val="24"/>
          <w:szCs w:val="24"/>
        </w:rPr>
        <w:fldChar w:fldCharType="begin"/>
      </w:r>
      <w:r>
        <w:rPr>
          <w:sz w:val="24"/>
          <w:szCs w:val="24"/>
        </w:rPr>
        <w:instrText xml:space="preserve"> PAGEREF _Toc32580 \h </w:instrText>
      </w:r>
      <w:r>
        <w:rPr>
          <w:sz w:val="24"/>
          <w:szCs w:val="24"/>
        </w:rPr>
        <w:fldChar w:fldCharType="separate"/>
      </w:r>
      <w:r>
        <w:rPr>
          <w:sz w:val="24"/>
          <w:szCs w:val="24"/>
        </w:rPr>
        <w:t>325</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_Toc9956 </w:instrText>
      </w:r>
      <w:r>
        <w:rPr>
          <w:bCs/>
          <w:sz w:val="24"/>
          <w:szCs w:val="24"/>
        </w:rPr>
        <w:fldChar w:fldCharType="separate"/>
      </w:r>
      <w:r>
        <w:rPr>
          <w:rFonts w:hint="default" w:ascii="Times New Roman" w:hAnsi="Times New Roman" w:eastAsia="宋体" w:cs="Times New Roman"/>
          <w:i w:val="0"/>
          <w:sz w:val="24"/>
          <w:szCs w:val="24"/>
        </w:rPr>
        <w:t xml:space="preserve">7.5 </w:t>
      </w:r>
      <w:r>
        <w:rPr>
          <w:rFonts w:ascii="Times New Roman" w:cs="Times New Roman"/>
          <w:sz w:val="24"/>
          <w:szCs w:val="24"/>
        </w:rPr>
        <w:t>生态保护措施</w:t>
      </w:r>
      <w:r>
        <w:rPr>
          <w:sz w:val="24"/>
          <w:szCs w:val="24"/>
        </w:rPr>
        <w:tab/>
      </w:r>
      <w:r>
        <w:rPr>
          <w:sz w:val="24"/>
          <w:szCs w:val="24"/>
        </w:rPr>
        <w:fldChar w:fldCharType="begin"/>
      </w:r>
      <w:r>
        <w:rPr>
          <w:sz w:val="24"/>
          <w:szCs w:val="24"/>
        </w:rPr>
        <w:instrText xml:space="preserve"> PAGEREF _Toc9956 \h </w:instrText>
      </w:r>
      <w:r>
        <w:rPr>
          <w:sz w:val="24"/>
          <w:szCs w:val="24"/>
        </w:rPr>
        <w:fldChar w:fldCharType="separate"/>
      </w:r>
      <w:r>
        <w:rPr>
          <w:sz w:val="24"/>
          <w:szCs w:val="24"/>
        </w:rPr>
        <w:t>328</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_Toc17649 </w:instrText>
      </w:r>
      <w:r>
        <w:rPr>
          <w:bCs/>
          <w:sz w:val="24"/>
          <w:szCs w:val="24"/>
        </w:rPr>
        <w:fldChar w:fldCharType="separate"/>
      </w:r>
      <w:r>
        <w:rPr>
          <w:rFonts w:hint="default" w:ascii="Times New Roman" w:hAnsi="Times New Roman" w:eastAsia="宋体" w:cs="Times New Roman"/>
          <w:i w:val="0"/>
          <w:sz w:val="24"/>
          <w:szCs w:val="24"/>
        </w:rPr>
        <w:t xml:space="preserve">7.6 </w:t>
      </w:r>
      <w:r>
        <w:rPr>
          <w:rFonts w:ascii="Times New Roman" w:cs="Times New Roman"/>
          <w:sz w:val="24"/>
          <w:szCs w:val="24"/>
        </w:rPr>
        <w:t>环境风险防范措施</w:t>
      </w:r>
      <w:r>
        <w:rPr>
          <w:sz w:val="24"/>
          <w:szCs w:val="24"/>
        </w:rPr>
        <w:tab/>
      </w:r>
      <w:r>
        <w:rPr>
          <w:sz w:val="24"/>
          <w:szCs w:val="24"/>
        </w:rPr>
        <w:fldChar w:fldCharType="begin"/>
      </w:r>
      <w:r>
        <w:rPr>
          <w:sz w:val="24"/>
          <w:szCs w:val="24"/>
        </w:rPr>
        <w:instrText xml:space="preserve"> PAGEREF _Toc17649 \h </w:instrText>
      </w:r>
      <w:r>
        <w:rPr>
          <w:sz w:val="24"/>
          <w:szCs w:val="24"/>
        </w:rPr>
        <w:fldChar w:fldCharType="separate"/>
      </w:r>
      <w:r>
        <w:rPr>
          <w:sz w:val="24"/>
          <w:szCs w:val="24"/>
        </w:rPr>
        <w:t>333</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_Toc29614 </w:instrText>
      </w:r>
      <w:r>
        <w:rPr>
          <w:bCs/>
          <w:sz w:val="24"/>
          <w:szCs w:val="24"/>
        </w:rPr>
        <w:fldChar w:fldCharType="separate"/>
      </w:r>
      <w:r>
        <w:rPr>
          <w:rFonts w:hint="default" w:ascii="Times New Roman" w:hAnsi="Times New Roman" w:eastAsia="宋体" w:cs="Times New Roman"/>
          <w:i w:val="0"/>
          <w:sz w:val="24"/>
          <w:szCs w:val="24"/>
        </w:rPr>
        <w:t xml:space="preserve">7.7 </w:t>
      </w:r>
      <w:r>
        <w:rPr>
          <w:rFonts w:ascii="Times New Roman" w:cs="Times New Roman"/>
          <w:sz w:val="24"/>
          <w:szCs w:val="24"/>
        </w:rPr>
        <w:t>环保措施</w:t>
      </w:r>
      <w:r>
        <w:rPr>
          <w:rFonts w:ascii="Times New Roman" w:cs="Times New Roman"/>
          <w:spacing w:val="2"/>
          <w:sz w:val="24"/>
          <w:szCs w:val="24"/>
        </w:rPr>
        <w:t>及</w:t>
      </w:r>
      <w:r>
        <w:rPr>
          <w:rFonts w:cs="Times New Roman" w:asciiTheme="minorEastAsia" w:hAnsiTheme="minorEastAsia" w:eastAsiaTheme="minorEastAsia"/>
          <w:sz w:val="24"/>
          <w:szCs w:val="24"/>
        </w:rPr>
        <w:t>“</w:t>
      </w:r>
      <w:r>
        <w:rPr>
          <w:rFonts w:ascii="Times New Roman" w:cs="Times New Roman"/>
          <w:sz w:val="24"/>
          <w:szCs w:val="24"/>
        </w:rPr>
        <w:t>三同</w:t>
      </w:r>
      <w:r>
        <w:rPr>
          <w:rFonts w:ascii="Times New Roman" w:cs="Times New Roman"/>
          <w:spacing w:val="1"/>
          <w:sz w:val="24"/>
          <w:szCs w:val="24"/>
        </w:rPr>
        <w:t>时</w:t>
      </w:r>
      <w:r>
        <w:rPr>
          <w:rFonts w:cs="Times New Roman" w:asciiTheme="minorEastAsia" w:hAnsiTheme="minorEastAsia" w:eastAsiaTheme="minorEastAsia"/>
          <w:sz w:val="24"/>
          <w:szCs w:val="24"/>
        </w:rPr>
        <w:t>”</w:t>
      </w:r>
      <w:r>
        <w:rPr>
          <w:rFonts w:ascii="Times New Roman" w:cs="Times New Roman"/>
          <w:spacing w:val="1"/>
          <w:sz w:val="24"/>
          <w:szCs w:val="24"/>
        </w:rPr>
        <w:t>验收</w:t>
      </w:r>
      <w:r>
        <w:rPr>
          <w:sz w:val="24"/>
          <w:szCs w:val="24"/>
        </w:rPr>
        <w:tab/>
      </w:r>
      <w:r>
        <w:rPr>
          <w:sz w:val="24"/>
          <w:szCs w:val="24"/>
        </w:rPr>
        <w:fldChar w:fldCharType="begin"/>
      </w:r>
      <w:r>
        <w:rPr>
          <w:sz w:val="24"/>
          <w:szCs w:val="24"/>
        </w:rPr>
        <w:instrText xml:space="preserve"> PAGEREF _Toc29614 \h </w:instrText>
      </w:r>
      <w:r>
        <w:rPr>
          <w:sz w:val="24"/>
          <w:szCs w:val="24"/>
        </w:rPr>
        <w:fldChar w:fldCharType="separate"/>
      </w:r>
      <w:r>
        <w:rPr>
          <w:sz w:val="24"/>
          <w:szCs w:val="24"/>
        </w:rPr>
        <w:t>342</w:t>
      </w:r>
      <w:r>
        <w:rPr>
          <w:sz w:val="24"/>
          <w:szCs w:val="24"/>
        </w:rPr>
        <w:fldChar w:fldCharType="end"/>
      </w:r>
      <w:r>
        <w:rPr>
          <w:bCs/>
          <w:sz w:val="24"/>
          <w:szCs w:val="24"/>
        </w:rPr>
        <w:fldChar w:fldCharType="end"/>
      </w:r>
    </w:p>
    <w:p>
      <w:pPr>
        <w:pStyle w:val="59"/>
        <w:tabs>
          <w:tab w:val="right" w:leader="dot" w:pos="9070"/>
        </w:tabs>
        <w:rPr>
          <w:sz w:val="24"/>
          <w:szCs w:val="24"/>
        </w:rPr>
      </w:pPr>
      <w:r>
        <w:rPr>
          <w:bCs/>
          <w:sz w:val="24"/>
          <w:szCs w:val="24"/>
        </w:rPr>
        <w:fldChar w:fldCharType="begin"/>
      </w:r>
      <w:r>
        <w:rPr>
          <w:bCs/>
          <w:sz w:val="24"/>
          <w:szCs w:val="24"/>
        </w:rPr>
        <w:instrText xml:space="preserve"> HYPERLINK \l _Toc13752 </w:instrText>
      </w:r>
      <w:r>
        <w:rPr>
          <w:bCs/>
          <w:sz w:val="24"/>
          <w:szCs w:val="24"/>
        </w:rPr>
        <w:fldChar w:fldCharType="separate"/>
      </w:r>
      <w:r>
        <w:rPr>
          <w:rFonts w:ascii="Times New Roman" w:hAnsi="Times New Roman" w:eastAsia="Times New Roman" w:cs="Times New Roman"/>
          <w:sz w:val="24"/>
          <w:szCs w:val="24"/>
        </w:rPr>
        <w:t xml:space="preserve">第8章 </w:t>
      </w:r>
      <w:r>
        <w:rPr>
          <w:rFonts w:ascii="Times New Roman" w:hAnsi="Times New Roman" w:cs="Times New Roman"/>
          <w:sz w:val="24"/>
          <w:szCs w:val="24"/>
        </w:rPr>
        <w:t>环境影响经济损益分析</w:t>
      </w:r>
      <w:r>
        <w:rPr>
          <w:sz w:val="24"/>
          <w:szCs w:val="24"/>
        </w:rPr>
        <w:tab/>
      </w:r>
      <w:r>
        <w:rPr>
          <w:sz w:val="24"/>
          <w:szCs w:val="24"/>
        </w:rPr>
        <w:fldChar w:fldCharType="begin"/>
      </w:r>
      <w:r>
        <w:rPr>
          <w:sz w:val="24"/>
          <w:szCs w:val="24"/>
        </w:rPr>
        <w:instrText xml:space="preserve"> PAGEREF _Toc13752 \h </w:instrText>
      </w:r>
      <w:r>
        <w:rPr>
          <w:sz w:val="24"/>
          <w:szCs w:val="24"/>
        </w:rPr>
        <w:fldChar w:fldCharType="separate"/>
      </w:r>
      <w:r>
        <w:rPr>
          <w:sz w:val="24"/>
          <w:szCs w:val="24"/>
        </w:rPr>
        <w:t>346</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_Toc2572 </w:instrText>
      </w:r>
      <w:r>
        <w:rPr>
          <w:bCs/>
          <w:sz w:val="24"/>
          <w:szCs w:val="24"/>
        </w:rPr>
        <w:fldChar w:fldCharType="separate"/>
      </w:r>
      <w:r>
        <w:rPr>
          <w:rFonts w:hint="default" w:ascii="Times New Roman" w:hAnsi="Times New Roman" w:eastAsia="宋体" w:cs="Times New Roman"/>
          <w:i w:val="0"/>
          <w:sz w:val="24"/>
          <w:szCs w:val="24"/>
        </w:rPr>
        <w:t xml:space="preserve">8.1 </w:t>
      </w:r>
      <w:r>
        <w:rPr>
          <w:rFonts w:ascii="Times New Roman" w:cs="Times New Roman"/>
          <w:sz w:val="24"/>
          <w:szCs w:val="24"/>
        </w:rPr>
        <w:t>项目环境损失分析</w:t>
      </w:r>
      <w:r>
        <w:rPr>
          <w:sz w:val="24"/>
          <w:szCs w:val="24"/>
        </w:rPr>
        <w:tab/>
      </w:r>
      <w:r>
        <w:rPr>
          <w:sz w:val="24"/>
          <w:szCs w:val="24"/>
        </w:rPr>
        <w:fldChar w:fldCharType="begin"/>
      </w:r>
      <w:r>
        <w:rPr>
          <w:sz w:val="24"/>
          <w:szCs w:val="24"/>
        </w:rPr>
        <w:instrText xml:space="preserve"> PAGEREF _Toc2572 \h </w:instrText>
      </w:r>
      <w:r>
        <w:rPr>
          <w:sz w:val="24"/>
          <w:szCs w:val="24"/>
        </w:rPr>
        <w:fldChar w:fldCharType="separate"/>
      </w:r>
      <w:r>
        <w:rPr>
          <w:sz w:val="24"/>
          <w:szCs w:val="24"/>
        </w:rPr>
        <w:t>346</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_Toc28204 </w:instrText>
      </w:r>
      <w:r>
        <w:rPr>
          <w:bCs/>
          <w:sz w:val="24"/>
          <w:szCs w:val="24"/>
        </w:rPr>
        <w:fldChar w:fldCharType="separate"/>
      </w:r>
      <w:r>
        <w:rPr>
          <w:rFonts w:hint="default" w:ascii="Times New Roman" w:hAnsi="Times New Roman" w:eastAsia="宋体" w:cs="Times New Roman"/>
          <w:i w:val="0"/>
          <w:sz w:val="24"/>
          <w:szCs w:val="24"/>
        </w:rPr>
        <w:t xml:space="preserve">8.2 </w:t>
      </w:r>
      <w:r>
        <w:rPr>
          <w:rFonts w:ascii="Times New Roman" w:cs="Times New Roman"/>
          <w:sz w:val="24"/>
          <w:szCs w:val="24"/>
        </w:rPr>
        <w:t>环境影响经济效益分析</w:t>
      </w:r>
      <w:r>
        <w:rPr>
          <w:sz w:val="24"/>
          <w:szCs w:val="24"/>
        </w:rPr>
        <w:tab/>
      </w:r>
      <w:r>
        <w:rPr>
          <w:sz w:val="24"/>
          <w:szCs w:val="24"/>
        </w:rPr>
        <w:fldChar w:fldCharType="begin"/>
      </w:r>
      <w:r>
        <w:rPr>
          <w:sz w:val="24"/>
          <w:szCs w:val="24"/>
        </w:rPr>
        <w:instrText xml:space="preserve"> PAGEREF _Toc28204 \h </w:instrText>
      </w:r>
      <w:r>
        <w:rPr>
          <w:sz w:val="24"/>
          <w:szCs w:val="24"/>
        </w:rPr>
        <w:fldChar w:fldCharType="separate"/>
      </w:r>
      <w:r>
        <w:rPr>
          <w:sz w:val="24"/>
          <w:szCs w:val="24"/>
        </w:rPr>
        <w:t>346</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_Toc19751 </w:instrText>
      </w:r>
      <w:r>
        <w:rPr>
          <w:bCs/>
          <w:sz w:val="24"/>
          <w:szCs w:val="24"/>
        </w:rPr>
        <w:fldChar w:fldCharType="separate"/>
      </w:r>
      <w:r>
        <w:rPr>
          <w:rFonts w:hint="default" w:ascii="Times New Roman" w:hAnsi="Times New Roman" w:eastAsia="宋体" w:cs="Times New Roman"/>
          <w:i w:val="0"/>
          <w:sz w:val="24"/>
          <w:szCs w:val="24"/>
        </w:rPr>
        <w:t xml:space="preserve">8.3 </w:t>
      </w:r>
      <w:r>
        <w:rPr>
          <w:rFonts w:ascii="Times New Roman" w:cs="Times New Roman"/>
          <w:sz w:val="24"/>
          <w:szCs w:val="24"/>
        </w:rPr>
        <w:t>环境影响经济损益分析</w:t>
      </w:r>
      <w:r>
        <w:rPr>
          <w:sz w:val="24"/>
          <w:szCs w:val="24"/>
        </w:rPr>
        <w:tab/>
      </w:r>
      <w:r>
        <w:rPr>
          <w:sz w:val="24"/>
          <w:szCs w:val="24"/>
        </w:rPr>
        <w:fldChar w:fldCharType="begin"/>
      </w:r>
      <w:r>
        <w:rPr>
          <w:sz w:val="24"/>
          <w:szCs w:val="24"/>
        </w:rPr>
        <w:instrText xml:space="preserve"> PAGEREF _Toc19751 \h </w:instrText>
      </w:r>
      <w:r>
        <w:rPr>
          <w:sz w:val="24"/>
          <w:szCs w:val="24"/>
        </w:rPr>
        <w:fldChar w:fldCharType="separate"/>
      </w:r>
      <w:r>
        <w:rPr>
          <w:sz w:val="24"/>
          <w:szCs w:val="24"/>
        </w:rPr>
        <w:t>347</w:t>
      </w:r>
      <w:r>
        <w:rPr>
          <w:sz w:val="24"/>
          <w:szCs w:val="24"/>
        </w:rPr>
        <w:fldChar w:fldCharType="end"/>
      </w:r>
      <w:r>
        <w:rPr>
          <w:bCs/>
          <w:sz w:val="24"/>
          <w:szCs w:val="24"/>
        </w:rPr>
        <w:fldChar w:fldCharType="end"/>
      </w:r>
    </w:p>
    <w:p>
      <w:pPr>
        <w:pStyle w:val="59"/>
        <w:tabs>
          <w:tab w:val="right" w:leader="dot" w:pos="9070"/>
        </w:tabs>
        <w:rPr>
          <w:sz w:val="24"/>
          <w:szCs w:val="24"/>
        </w:rPr>
      </w:pPr>
      <w:r>
        <w:rPr>
          <w:bCs/>
          <w:sz w:val="24"/>
          <w:szCs w:val="24"/>
        </w:rPr>
        <w:fldChar w:fldCharType="begin"/>
      </w:r>
      <w:r>
        <w:rPr>
          <w:bCs/>
          <w:sz w:val="24"/>
          <w:szCs w:val="24"/>
        </w:rPr>
        <w:instrText xml:space="preserve"> HYPERLINK \l _Toc20978 </w:instrText>
      </w:r>
      <w:r>
        <w:rPr>
          <w:bCs/>
          <w:sz w:val="24"/>
          <w:szCs w:val="24"/>
        </w:rPr>
        <w:fldChar w:fldCharType="separate"/>
      </w:r>
      <w:r>
        <w:rPr>
          <w:rFonts w:ascii="Times New Roman" w:hAnsi="Times New Roman" w:eastAsia="Times New Roman" w:cs="Times New Roman"/>
          <w:sz w:val="24"/>
          <w:szCs w:val="24"/>
        </w:rPr>
        <w:t xml:space="preserve">第9章 </w:t>
      </w:r>
      <w:r>
        <w:rPr>
          <w:rFonts w:ascii="Times New Roman" w:hAnsi="Times New Roman" w:cs="Times New Roman"/>
          <w:sz w:val="24"/>
          <w:szCs w:val="24"/>
        </w:rPr>
        <w:t>环境管理与监测计划</w:t>
      </w:r>
      <w:r>
        <w:rPr>
          <w:sz w:val="24"/>
          <w:szCs w:val="24"/>
        </w:rPr>
        <w:tab/>
      </w:r>
      <w:r>
        <w:rPr>
          <w:sz w:val="24"/>
          <w:szCs w:val="24"/>
        </w:rPr>
        <w:fldChar w:fldCharType="begin"/>
      </w:r>
      <w:r>
        <w:rPr>
          <w:sz w:val="24"/>
          <w:szCs w:val="24"/>
        </w:rPr>
        <w:instrText xml:space="preserve"> PAGEREF _Toc20978 \h </w:instrText>
      </w:r>
      <w:r>
        <w:rPr>
          <w:sz w:val="24"/>
          <w:szCs w:val="24"/>
        </w:rPr>
        <w:fldChar w:fldCharType="separate"/>
      </w:r>
      <w:r>
        <w:rPr>
          <w:sz w:val="24"/>
          <w:szCs w:val="24"/>
        </w:rPr>
        <w:t>349</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_Toc10723 </w:instrText>
      </w:r>
      <w:r>
        <w:rPr>
          <w:bCs/>
          <w:sz w:val="24"/>
          <w:szCs w:val="24"/>
        </w:rPr>
        <w:fldChar w:fldCharType="separate"/>
      </w:r>
      <w:r>
        <w:rPr>
          <w:rFonts w:hint="default" w:ascii="Times New Roman" w:hAnsi="Times New Roman" w:eastAsia="宋体" w:cs="Times New Roman"/>
          <w:i w:val="0"/>
          <w:sz w:val="24"/>
          <w:szCs w:val="24"/>
        </w:rPr>
        <w:t xml:space="preserve">9.1 </w:t>
      </w:r>
      <w:r>
        <w:rPr>
          <w:rFonts w:ascii="Times New Roman" w:cs="Times New Roman"/>
          <w:sz w:val="24"/>
          <w:szCs w:val="24"/>
        </w:rPr>
        <w:t>环境管理</w:t>
      </w:r>
      <w:r>
        <w:rPr>
          <w:sz w:val="24"/>
          <w:szCs w:val="24"/>
        </w:rPr>
        <w:tab/>
      </w:r>
      <w:r>
        <w:rPr>
          <w:sz w:val="24"/>
          <w:szCs w:val="24"/>
        </w:rPr>
        <w:fldChar w:fldCharType="begin"/>
      </w:r>
      <w:r>
        <w:rPr>
          <w:sz w:val="24"/>
          <w:szCs w:val="24"/>
        </w:rPr>
        <w:instrText xml:space="preserve"> PAGEREF _Toc10723 \h </w:instrText>
      </w:r>
      <w:r>
        <w:rPr>
          <w:sz w:val="24"/>
          <w:szCs w:val="24"/>
        </w:rPr>
        <w:fldChar w:fldCharType="separate"/>
      </w:r>
      <w:r>
        <w:rPr>
          <w:sz w:val="24"/>
          <w:szCs w:val="24"/>
        </w:rPr>
        <w:t>349</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_Toc20736 </w:instrText>
      </w:r>
      <w:r>
        <w:rPr>
          <w:bCs/>
          <w:sz w:val="24"/>
          <w:szCs w:val="24"/>
        </w:rPr>
        <w:fldChar w:fldCharType="separate"/>
      </w:r>
      <w:r>
        <w:rPr>
          <w:rFonts w:hint="default" w:ascii="Times New Roman" w:hAnsi="Times New Roman" w:eastAsia="宋体" w:cs="Times New Roman"/>
          <w:i w:val="0"/>
          <w:sz w:val="24"/>
          <w:szCs w:val="24"/>
        </w:rPr>
        <w:t xml:space="preserve">9.2 </w:t>
      </w:r>
      <w:r>
        <w:rPr>
          <w:rFonts w:ascii="Times New Roman" w:cs="Times New Roman"/>
          <w:sz w:val="24"/>
          <w:szCs w:val="24"/>
        </w:rPr>
        <w:t>环境监测</w:t>
      </w:r>
      <w:r>
        <w:rPr>
          <w:sz w:val="24"/>
          <w:szCs w:val="24"/>
        </w:rPr>
        <w:tab/>
      </w:r>
      <w:r>
        <w:rPr>
          <w:sz w:val="24"/>
          <w:szCs w:val="24"/>
        </w:rPr>
        <w:fldChar w:fldCharType="begin"/>
      </w:r>
      <w:r>
        <w:rPr>
          <w:sz w:val="24"/>
          <w:szCs w:val="24"/>
        </w:rPr>
        <w:instrText xml:space="preserve"> PAGEREF _Toc20736 \h </w:instrText>
      </w:r>
      <w:r>
        <w:rPr>
          <w:sz w:val="24"/>
          <w:szCs w:val="24"/>
        </w:rPr>
        <w:fldChar w:fldCharType="separate"/>
      </w:r>
      <w:r>
        <w:rPr>
          <w:sz w:val="24"/>
          <w:szCs w:val="24"/>
        </w:rPr>
        <w:t>354</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_Toc15820 </w:instrText>
      </w:r>
      <w:r>
        <w:rPr>
          <w:bCs/>
          <w:sz w:val="24"/>
          <w:szCs w:val="24"/>
        </w:rPr>
        <w:fldChar w:fldCharType="separate"/>
      </w:r>
      <w:r>
        <w:rPr>
          <w:rFonts w:hint="default" w:ascii="Times New Roman" w:hAnsi="Times New Roman" w:eastAsia="宋体" w:cs="Times New Roman"/>
          <w:i w:val="0"/>
          <w:sz w:val="24"/>
          <w:szCs w:val="24"/>
        </w:rPr>
        <w:t xml:space="preserve">9.3 </w:t>
      </w:r>
      <w:r>
        <w:rPr>
          <w:rFonts w:ascii="Times New Roman" w:cs="Times New Roman"/>
          <w:sz w:val="24"/>
          <w:szCs w:val="24"/>
        </w:rPr>
        <w:t>环境监理</w:t>
      </w:r>
      <w:r>
        <w:rPr>
          <w:sz w:val="24"/>
          <w:szCs w:val="24"/>
        </w:rPr>
        <w:tab/>
      </w:r>
      <w:r>
        <w:rPr>
          <w:sz w:val="24"/>
          <w:szCs w:val="24"/>
        </w:rPr>
        <w:fldChar w:fldCharType="begin"/>
      </w:r>
      <w:r>
        <w:rPr>
          <w:sz w:val="24"/>
          <w:szCs w:val="24"/>
        </w:rPr>
        <w:instrText xml:space="preserve"> PAGEREF _Toc15820 \h </w:instrText>
      </w:r>
      <w:r>
        <w:rPr>
          <w:sz w:val="24"/>
          <w:szCs w:val="24"/>
        </w:rPr>
        <w:fldChar w:fldCharType="separate"/>
      </w:r>
      <w:r>
        <w:rPr>
          <w:sz w:val="24"/>
          <w:szCs w:val="24"/>
        </w:rPr>
        <w:t>356</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_Toc17456 </w:instrText>
      </w:r>
      <w:r>
        <w:rPr>
          <w:bCs/>
          <w:sz w:val="24"/>
          <w:szCs w:val="24"/>
        </w:rPr>
        <w:fldChar w:fldCharType="separate"/>
      </w:r>
      <w:r>
        <w:rPr>
          <w:rFonts w:hint="default" w:ascii="Times New Roman" w:hAnsi="Times New Roman" w:eastAsia="宋体" w:cs="Times New Roman"/>
          <w:i w:val="0"/>
          <w:sz w:val="24"/>
          <w:szCs w:val="24"/>
        </w:rPr>
        <w:t xml:space="preserve">9.4 </w:t>
      </w:r>
      <w:r>
        <w:rPr>
          <w:rFonts w:ascii="Times New Roman" w:cs="Times New Roman"/>
          <w:sz w:val="24"/>
          <w:szCs w:val="24"/>
        </w:rPr>
        <w:t>总量控制</w:t>
      </w:r>
      <w:r>
        <w:rPr>
          <w:sz w:val="24"/>
          <w:szCs w:val="24"/>
        </w:rPr>
        <w:tab/>
      </w:r>
      <w:r>
        <w:rPr>
          <w:sz w:val="24"/>
          <w:szCs w:val="24"/>
        </w:rPr>
        <w:fldChar w:fldCharType="begin"/>
      </w:r>
      <w:r>
        <w:rPr>
          <w:sz w:val="24"/>
          <w:szCs w:val="24"/>
        </w:rPr>
        <w:instrText xml:space="preserve"> PAGEREF _Toc17456 \h </w:instrText>
      </w:r>
      <w:r>
        <w:rPr>
          <w:sz w:val="24"/>
          <w:szCs w:val="24"/>
        </w:rPr>
        <w:fldChar w:fldCharType="separate"/>
      </w:r>
      <w:r>
        <w:rPr>
          <w:sz w:val="24"/>
          <w:szCs w:val="24"/>
        </w:rPr>
        <w:t>358</w:t>
      </w:r>
      <w:r>
        <w:rPr>
          <w:sz w:val="24"/>
          <w:szCs w:val="24"/>
        </w:rPr>
        <w:fldChar w:fldCharType="end"/>
      </w:r>
      <w:r>
        <w:rPr>
          <w:bCs/>
          <w:sz w:val="24"/>
          <w:szCs w:val="24"/>
        </w:rPr>
        <w:fldChar w:fldCharType="end"/>
      </w:r>
    </w:p>
    <w:p>
      <w:pPr>
        <w:pStyle w:val="59"/>
        <w:tabs>
          <w:tab w:val="right" w:leader="dot" w:pos="9070"/>
        </w:tabs>
        <w:rPr>
          <w:sz w:val="24"/>
          <w:szCs w:val="24"/>
        </w:rPr>
      </w:pPr>
      <w:r>
        <w:rPr>
          <w:bCs/>
          <w:sz w:val="24"/>
          <w:szCs w:val="24"/>
        </w:rPr>
        <w:fldChar w:fldCharType="begin"/>
      </w:r>
      <w:r>
        <w:rPr>
          <w:bCs/>
          <w:sz w:val="24"/>
          <w:szCs w:val="24"/>
        </w:rPr>
        <w:instrText xml:space="preserve"> HYPERLINK \l _Toc12574 </w:instrText>
      </w:r>
      <w:r>
        <w:rPr>
          <w:bCs/>
          <w:sz w:val="24"/>
          <w:szCs w:val="24"/>
        </w:rPr>
        <w:fldChar w:fldCharType="separate"/>
      </w:r>
      <w:r>
        <w:rPr>
          <w:rFonts w:ascii="Times New Roman" w:hAnsi="Times New Roman" w:eastAsia="Times New Roman" w:cs="Times New Roman"/>
          <w:sz w:val="24"/>
          <w:szCs w:val="24"/>
        </w:rPr>
        <w:t xml:space="preserve">第10章 </w:t>
      </w:r>
      <w:r>
        <w:rPr>
          <w:rFonts w:ascii="Times New Roman" w:hAnsi="Times New Roman" w:cs="Times New Roman"/>
          <w:sz w:val="24"/>
          <w:szCs w:val="24"/>
        </w:rPr>
        <w:t>环境影响评价结论</w:t>
      </w:r>
      <w:r>
        <w:rPr>
          <w:sz w:val="24"/>
          <w:szCs w:val="24"/>
        </w:rPr>
        <w:tab/>
      </w:r>
      <w:r>
        <w:rPr>
          <w:sz w:val="24"/>
          <w:szCs w:val="24"/>
        </w:rPr>
        <w:fldChar w:fldCharType="begin"/>
      </w:r>
      <w:r>
        <w:rPr>
          <w:sz w:val="24"/>
          <w:szCs w:val="24"/>
        </w:rPr>
        <w:instrText xml:space="preserve"> PAGEREF _Toc12574 \h </w:instrText>
      </w:r>
      <w:r>
        <w:rPr>
          <w:sz w:val="24"/>
          <w:szCs w:val="24"/>
        </w:rPr>
        <w:fldChar w:fldCharType="separate"/>
      </w:r>
      <w:r>
        <w:rPr>
          <w:sz w:val="24"/>
          <w:szCs w:val="24"/>
        </w:rPr>
        <w:t>359</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_Toc30387 </w:instrText>
      </w:r>
      <w:r>
        <w:rPr>
          <w:bCs/>
          <w:sz w:val="24"/>
          <w:szCs w:val="24"/>
        </w:rPr>
        <w:fldChar w:fldCharType="separate"/>
      </w:r>
      <w:r>
        <w:rPr>
          <w:rFonts w:hint="default" w:ascii="Times New Roman" w:hAnsi="Times New Roman" w:eastAsia="宋体" w:cs="Times New Roman"/>
          <w:i w:val="0"/>
          <w:sz w:val="24"/>
          <w:szCs w:val="24"/>
        </w:rPr>
        <w:t xml:space="preserve">10.1 </w:t>
      </w:r>
      <w:r>
        <w:rPr>
          <w:rFonts w:ascii="Times New Roman" w:cs="Times New Roman"/>
          <w:sz w:val="24"/>
          <w:szCs w:val="24"/>
        </w:rPr>
        <w:t>项目基本情况概述</w:t>
      </w:r>
      <w:r>
        <w:rPr>
          <w:sz w:val="24"/>
          <w:szCs w:val="24"/>
        </w:rPr>
        <w:tab/>
      </w:r>
      <w:r>
        <w:rPr>
          <w:sz w:val="24"/>
          <w:szCs w:val="24"/>
        </w:rPr>
        <w:fldChar w:fldCharType="begin"/>
      </w:r>
      <w:r>
        <w:rPr>
          <w:sz w:val="24"/>
          <w:szCs w:val="24"/>
        </w:rPr>
        <w:instrText xml:space="preserve"> PAGEREF _Toc30387 \h </w:instrText>
      </w:r>
      <w:r>
        <w:rPr>
          <w:sz w:val="24"/>
          <w:szCs w:val="24"/>
        </w:rPr>
        <w:fldChar w:fldCharType="separate"/>
      </w:r>
      <w:r>
        <w:rPr>
          <w:sz w:val="24"/>
          <w:szCs w:val="24"/>
        </w:rPr>
        <w:t>359</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_Toc6859 </w:instrText>
      </w:r>
      <w:r>
        <w:rPr>
          <w:bCs/>
          <w:sz w:val="24"/>
          <w:szCs w:val="24"/>
        </w:rPr>
        <w:fldChar w:fldCharType="separate"/>
      </w:r>
      <w:r>
        <w:rPr>
          <w:rFonts w:hint="default" w:ascii="Times New Roman" w:hAnsi="Times New Roman" w:eastAsia="宋体" w:cs="Times New Roman"/>
          <w:i w:val="0"/>
          <w:sz w:val="24"/>
          <w:szCs w:val="24"/>
        </w:rPr>
        <w:t xml:space="preserve">10.2 </w:t>
      </w:r>
      <w:r>
        <w:rPr>
          <w:rFonts w:ascii="Times New Roman" w:cs="Times New Roman"/>
          <w:sz w:val="24"/>
          <w:szCs w:val="24"/>
        </w:rPr>
        <w:t>产业政策及规划符合情况</w:t>
      </w:r>
      <w:r>
        <w:rPr>
          <w:sz w:val="24"/>
          <w:szCs w:val="24"/>
        </w:rPr>
        <w:tab/>
      </w:r>
      <w:r>
        <w:rPr>
          <w:sz w:val="24"/>
          <w:szCs w:val="24"/>
        </w:rPr>
        <w:fldChar w:fldCharType="begin"/>
      </w:r>
      <w:r>
        <w:rPr>
          <w:sz w:val="24"/>
          <w:szCs w:val="24"/>
        </w:rPr>
        <w:instrText xml:space="preserve"> PAGEREF _Toc6859 \h </w:instrText>
      </w:r>
      <w:r>
        <w:rPr>
          <w:sz w:val="24"/>
          <w:szCs w:val="24"/>
        </w:rPr>
        <w:fldChar w:fldCharType="separate"/>
      </w:r>
      <w:r>
        <w:rPr>
          <w:sz w:val="24"/>
          <w:szCs w:val="24"/>
        </w:rPr>
        <w:t>359</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_Toc16942 </w:instrText>
      </w:r>
      <w:r>
        <w:rPr>
          <w:bCs/>
          <w:sz w:val="24"/>
          <w:szCs w:val="24"/>
        </w:rPr>
        <w:fldChar w:fldCharType="separate"/>
      </w:r>
      <w:r>
        <w:rPr>
          <w:rFonts w:hint="default" w:ascii="Times New Roman" w:hAnsi="Times New Roman" w:eastAsia="宋体" w:cs="Times New Roman"/>
          <w:i w:val="0"/>
          <w:sz w:val="24"/>
          <w:szCs w:val="24"/>
        </w:rPr>
        <w:t xml:space="preserve">10.3 </w:t>
      </w:r>
      <w:r>
        <w:rPr>
          <w:rFonts w:ascii="Times New Roman" w:cs="Times New Roman"/>
          <w:sz w:val="24"/>
          <w:szCs w:val="24"/>
        </w:rPr>
        <w:t>环境质量现状评价结论</w:t>
      </w:r>
      <w:r>
        <w:rPr>
          <w:sz w:val="24"/>
          <w:szCs w:val="24"/>
        </w:rPr>
        <w:tab/>
      </w:r>
      <w:r>
        <w:rPr>
          <w:sz w:val="24"/>
          <w:szCs w:val="24"/>
        </w:rPr>
        <w:fldChar w:fldCharType="begin"/>
      </w:r>
      <w:r>
        <w:rPr>
          <w:sz w:val="24"/>
          <w:szCs w:val="24"/>
        </w:rPr>
        <w:instrText xml:space="preserve"> PAGEREF _Toc16942 \h </w:instrText>
      </w:r>
      <w:r>
        <w:rPr>
          <w:sz w:val="24"/>
          <w:szCs w:val="24"/>
        </w:rPr>
        <w:fldChar w:fldCharType="separate"/>
      </w:r>
      <w:r>
        <w:rPr>
          <w:sz w:val="24"/>
          <w:szCs w:val="24"/>
        </w:rPr>
        <w:t>359</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_Toc31347 </w:instrText>
      </w:r>
      <w:r>
        <w:rPr>
          <w:bCs/>
          <w:sz w:val="24"/>
          <w:szCs w:val="24"/>
        </w:rPr>
        <w:fldChar w:fldCharType="separate"/>
      </w:r>
      <w:r>
        <w:rPr>
          <w:rFonts w:hint="default" w:ascii="Times New Roman" w:hAnsi="Times New Roman" w:eastAsia="宋体" w:cs="Times New Roman"/>
          <w:i w:val="0"/>
          <w:sz w:val="24"/>
          <w:szCs w:val="24"/>
        </w:rPr>
        <w:t xml:space="preserve">10.4 </w:t>
      </w:r>
      <w:r>
        <w:rPr>
          <w:rFonts w:ascii="Times New Roman" w:cs="Times New Roman"/>
          <w:sz w:val="24"/>
          <w:szCs w:val="24"/>
        </w:rPr>
        <w:t>环境影响评价</w:t>
      </w:r>
      <w:r>
        <w:rPr>
          <w:rFonts w:hint="eastAsia" w:ascii="Times New Roman" w:cs="Times New Roman"/>
          <w:sz w:val="24"/>
          <w:szCs w:val="24"/>
          <w:lang w:val="en-US" w:eastAsia="zh-CN"/>
        </w:rPr>
        <w:t>及环境保护措施可行性结论</w:t>
      </w:r>
      <w:r>
        <w:rPr>
          <w:sz w:val="24"/>
          <w:szCs w:val="24"/>
        </w:rPr>
        <w:tab/>
      </w:r>
      <w:r>
        <w:rPr>
          <w:sz w:val="24"/>
          <w:szCs w:val="24"/>
        </w:rPr>
        <w:fldChar w:fldCharType="begin"/>
      </w:r>
      <w:r>
        <w:rPr>
          <w:sz w:val="24"/>
          <w:szCs w:val="24"/>
        </w:rPr>
        <w:instrText xml:space="preserve"> PAGEREF _Toc31347 \h </w:instrText>
      </w:r>
      <w:r>
        <w:rPr>
          <w:sz w:val="24"/>
          <w:szCs w:val="24"/>
        </w:rPr>
        <w:fldChar w:fldCharType="separate"/>
      </w:r>
      <w:r>
        <w:rPr>
          <w:sz w:val="24"/>
          <w:szCs w:val="24"/>
        </w:rPr>
        <w:t>361</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_Toc18955 </w:instrText>
      </w:r>
      <w:r>
        <w:rPr>
          <w:bCs/>
          <w:sz w:val="24"/>
          <w:szCs w:val="24"/>
        </w:rPr>
        <w:fldChar w:fldCharType="separate"/>
      </w:r>
      <w:r>
        <w:rPr>
          <w:rFonts w:hint="default" w:ascii="Times New Roman" w:hAnsi="Times New Roman" w:eastAsia="宋体" w:cs="Times New Roman"/>
          <w:i w:val="0"/>
          <w:sz w:val="24"/>
          <w:szCs w:val="24"/>
        </w:rPr>
        <w:t xml:space="preserve">10.5 </w:t>
      </w:r>
      <w:r>
        <w:rPr>
          <w:rFonts w:ascii="Times New Roman" w:cs="Times New Roman"/>
          <w:sz w:val="24"/>
          <w:szCs w:val="24"/>
        </w:rPr>
        <w:t>公众参与</w:t>
      </w:r>
      <w:r>
        <w:rPr>
          <w:sz w:val="24"/>
          <w:szCs w:val="24"/>
        </w:rPr>
        <w:tab/>
      </w:r>
      <w:r>
        <w:rPr>
          <w:sz w:val="24"/>
          <w:szCs w:val="24"/>
        </w:rPr>
        <w:fldChar w:fldCharType="begin"/>
      </w:r>
      <w:r>
        <w:rPr>
          <w:sz w:val="24"/>
          <w:szCs w:val="24"/>
        </w:rPr>
        <w:instrText xml:space="preserve"> PAGEREF _Toc18955 \h </w:instrText>
      </w:r>
      <w:r>
        <w:rPr>
          <w:sz w:val="24"/>
          <w:szCs w:val="24"/>
        </w:rPr>
        <w:fldChar w:fldCharType="separate"/>
      </w:r>
      <w:r>
        <w:rPr>
          <w:sz w:val="24"/>
          <w:szCs w:val="24"/>
        </w:rPr>
        <w:t>365</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_Toc9979 </w:instrText>
      </w:r>
      <w:r>
        <w:rPr>
          <w:bCs/>
          <w:sz w:val="24"/>
          <w:szCs w:val="24"/>
        </w:rPr>
        <w:fldChar w:fldCharType="separate"/>
      </w:r>
      <w:r>
        <w:rPr>
          <w:rFonts w:hint="default" w:ascii="Times New Roman" w:hAnsi="Times New Roman" w:eastAsia="宋体" w:cs="Times New Roman"/>
          <w:i w:val="0"/>
          <w:sz w:val="24"/>
          <w:szCs w:val="24"/>
        </w:rPr>
        <w:t xml:space="preserve">10.6 </w:t>
      </w:r>
      <w:r>
        <w:rPr>
          <w:rFonts w:ascii="Times New Roman" w:cs="Times New Roman"/>
          <w:sz w:val="24"/>
          <w:szCs w:val="24"/>
        </w:rPr>
        <w:t>评价总结论</w:t>
      </w:r>
      <w:r>
        <w:rPr>
          <w:sz w:val="24"/>
          <w:szCs w:val="24"/>
        </w:rPr>
        <w:tab/>
      </w:r>
      <w:r>
        <w:rPr>
          <w:sz w:val="24"/>
          <w:szCs w:val="24"/>
        </w:rPr>
        <w:fldChar w:fldCharType="begin"/>
      </w:r>
      <w:r>
        <w:rPr>
          <w:sz w:val="24"/>
          <w:szCs w:val="24"/>
        </w:rPr>
        <w:instrText xml:space="preserve"> PAGEREF _Toc9979 \h </w:instrText>
      </w:r>
      <w:r>
        <w:rPr>
          <w:sz w:val="24"/>
          <w:szCs w:val="24"/>
        </w:rPr>
        <w:fldChar w:fldCharType="separate"/>
      </w:r>
      <w:r>
        <w:rPr>
          <w:sz w:val="24"/>
          <w:szCs w:val="24"/>
        </w:rPr>
        <w:t>366</w:t>
      </w:r>
      <w:r>
        <w:rPr>
          <w:sz w:val="24"/>
          <w:szCs w:val="24"/>
        </w:rPr>
        <w:fldChar w:fldCharType="end"/>
      </w:r>
      <w:r>
        <w:rPr>
          <w:bCs/>
          <w:sz w:val="24"/>
          <w:szCs w:val="24"/>
        </w:rPr>
        <w:fldChar w:fldCharType="end"/>
      </w:r>
    </w:p>
    <w:p>
      <w:pPr>
        <w:pStyle w:val="74"/>
        <w:tabs>
          <w:tab w:val="right" w:leader="dot" w:pos="9070"/>
        </w:tabs>
        <w:rPr>
          <w:sz w:val="24"/>
          <w:szCs w:val="24"/>
        </w:rPr>
      </w:pPr>
      <w:r>
        <w:rPr>
          <w:bCs/>
          <w:sz w:val="24"/>
          <w:szCs w:val="24"/>
        </w:rPr>
        <w:fldChar w:fldCharType="begin"/>
      </w:r>
      <w:r>
        <w:rPr>
          <w:bCs/>
          <w:sz w:val="24"/>
          <w:szCs w:val="24"/>
        </w:rPr>
        <w:instrText xml:space="preserve"> HYPERLINK \l _Toc20023 </w:instrText>
      </w:r>
      <w:r>
        <w:rPr>
          <w:bCs/>
          <w:sz w:val="24"/>
          <w:szCs w:val="24"/>
        </w:rPr>
        <w:fldChar w:fldCharType="separate"/>
      </w:r>
      <w:r>
        <w:rPr>
          <w:rFonts w:hint="default" w:ascii="Times New Roman" w:hAnsi="Times New Roman" w:eastAsia="宋体" w:cs="Times New Roman"/>
          <w:i w:val="0"/>
          <w:sz w:val="24"/>
          <w:szCs w:val="24"/>
        </w:rPr>
        <w:t xml:space="preserve">10.7 </w:t>
      </w:r>
      <w:r>
        <w:rPr>
          <w:rFonts w:ascii="Times New Roman" w:cs="Times New Roman"/>
          <w:sz w:val="24"/>
          <w:szCs w:val="24"/>
        </w:rPr>
        <w:t>建议</w:t>
      </w:r>
      <w:r>
        <w:rPr>
          <w:sz w:val="24"/>
          <w:szCs w:val="24"/>
        </w:rPr>
        <w:tab/>
      </w:r>
      <w:r>
        <w:rPr>
          <w:sz w:val="24"/>
          <w:szCs w:val="24"/>
        </w:rPr>
        <w:fldChar w:fldCharType="begin"/>
      </w:r>
      <w:r>
        <w:rPr>
          <w:sz w:val="24"/>
          <w:szCs w:val="24"/>
        </w:rPr>
        <w:instrText xml:space="preserve"> PAGEREF _Toc20023 \h </w:instrText>
      </w:r>
      <w:r>
        <w:rPr>
          <w:sz w:val="24"/>
          <w:szCs w:val="24"/>
        </w:rPr>
        <w:fldChar w:fldCharType="separate"/>
      </w:r>
      <w:r>
        <w:rPr>
          <w:sz w:val="24"/>
          <w:szCs w:val="24"/>
        </w:rPr>
        <w:t>366</w:t>
      </w:r>
      <w:r>
        <w:rPr>
          <w:sz w:val="24"/>
          <w:szCs w:val="24"/>
        </w:rPr>
        <w:fldChar w:fldCharType="end"/>
      </w:r>
      <w:r>
        <w:rPr>
          <w:bCs/>
          <w:sz w:val="24"/>
          <w:szCs w:val="24"/>
        </w:rPr>
        <w:fldChar w:fldCharType="end"/>
      </w:r>
    </w:p>
    <w:p>
      <w:pPr>
        <w:spacing w:line="276" w:lineRule="auto"/>
        <w:ind w:firstLine="482"/>
        <w:jc w:val="center"/>
        <w:rPr>
          <w:b/>
          <w:bCs/>
          <w:sz w:val="21"/>
          <w:szCs w:val="21"/>
        </w:rPr>
      </w:pPr>
      <w:r>
        <w:rPr>
          <w:bCs/>
          <w:sz w:val="24"/>
          <w:szCs w:val="24"/>
        </w:rPr>
        <w:fldChar w:fldCharType="end"/>
      </w:r>
    </w:p>
    <w:p>
      <w:pPr>
        <w:spacing w:line="276" w:lineRule="auto"/>
        <w:ind w:firstLine="0" w:firstLineChars="0"/>
        <w:jc w:val="center"/>
        <w:rPr>
          <w:b/>
          <w:sz w:val="28"/>
        </w:rPr>
        <w:sectPr>
          <w:footerReference r:id="rId15" w:type="default"/>
          <w:pgSz w:w="11906" w:h="16838"/>
          <w:pgMar w:top="1418" w:right="1418" w:bottom="1418" w:left="1418"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p>
    <w:p>
      <w:pPr>
        <w:spacing w:line="276" w:lineRule="auto"/>
        <w:ind w:firstLine="562"/>
        <w:jc w:val="center"/>
        <w:rPr>
          <w:b/>
          <w:sz w:val="28"/>
        </w:rPr>
      </w:pPr>
      <w:r>
        <w:rPr>
          <w:b/>
          <w:sz w:val="28"/>
        </w:rPr>
        <w:t>附  件</w:t>
      </w:r>
    </w:p>
    <w:p>
      <w:pPr>
        <w:spacing w:line="276" w:lineRule="auto"/>
        <w:ind w:firstLine="482"/>
        <w:jc w:val="center"/>
        <w:rPr>
          <w:b/>
        </w:rPr>
      </w:pPr>
    </w:p>
    <w:p>
      <w:pPr>
        <w:ind w:firstLine="0" w:firstLineChars="0"/>
      </w:pPr>
      <w:r>
        <w:rPr>
          <w:rFonts w:hint="eastAsia"/>
        </w:rPr>
        <w:t>附件1  委托书</w:t>
      </w:r>
    </w:p>
    <w:p>
      <w:pPr>
        <w:ind w:firstLine="0" w:firstLineChars="0"/>
      </w:pPr>
      <w:r>
        <w:t>附件2  湖南省发展和改革委员会关于</w:t>
      </w:r>
      <w:r>
        <w:rPr>
          <w:rFonts w:hint="eastAsia"/>
        </w:rPr>
        <w:t>岳阳港道仁矶码头工程</w:t>
      </w:r>
      <w:r>
        <w:t>项目核准的批复</w:t>
      </w:r>
    </w:p>
    <w:p>
      <w:pPr>
        <w:ind w:firstLine="0" w:firstLineChars="0"/>
      </w:pPr>
      <w:r>
        <w:t xml:space="preserve">附件3  </w:t>
      </w:r>
      <w:r>
        <w:rPr>
          <w:rFonts w:hint="eastAsia"/>
        </w:rPr>
        <w:t>项目用地预审与选址意见书</w:t>
      </w:r>
    </w:p>
    <w:p>
      <w:pPr>
        <w:ind w:firstLine="0" w:firstLineChars="0"/>
      </w:pPr>
      <w:r>
        <w:t>附件4  岳阳市自然资源和规划局关于工程与生态保护红线相对位置的回复</w:t>
      </w:r>
    </w:p>
    <w:p>
      <w:pPr>
        <w:ind w:firstLine="0" w:firstLineChars="0"/>
      </w:pPr>
      <w:r>
        <w:rPr>
          <w:rFonts w:hint="eastAsia"/>
        </w:rPr>
        <w:t>附件</w:t>
      </w:r>
      <w:r>
        <w:rPr>
          <w:rFonts w:hint="eastAsia"/>
          <w:lang w:val="en-US" w:eastAsia="zh-CN"/>
        </w:rPr>
        <w:t>5</w:t>
      </w:r>
      <w:r>
        <w:rPr>
          <w:rFonts w:hint="eastAsia"/>
        </w:rPr>
        <w:t xml:space="preserve">  关于“关于申请核实岳阳港道仁矶码头工程与湖南的洞庭湖国家自然保护区位置关系的函”的复函</w:t>
      </w:r>
    </w:p>
    <w:p>
      <w:pPr>
        <w:ind w:firstLine="0" w:firstLineChars="0"/>
      </w:pPr>
      <w:r>
        <w:t>附件</w:t>
      </w:r>
      <w:r>
        <w:rPr>
          <w:rFonts w:hint="eastAsia"/>
          <w:lang w:val="en-US" w:eastAsia="zh-CN"/>
        </w:rPr>
        <w:t>6</w:t>
      </w:r>
      <w:r>
        <w:t xml:space="preserve">  环境质量现状监测报告</w:t>
      </w:r>
    </w:p>
    <w:p>
      <w:pPr>
        <w:ind w:firstLine="0" w:firstLineChars="0"/>
      </w:pPr>
      <w:r>
        <w:t>附件</w:t>
      </w:r>
      <w:r>
        <w:rPr>
          <w:rFonts w:hint="eastAsia"/>
          <w:lang w:val="en-US" w:eastAsia="zh-CN"/>
        </w:rPr>
        <w:t>7</w:t>
      </w:r>
      <w:r>
        <w:t xml:space="preserve">  关于《岳阳港总体规划（2017-2035年）环境影响报告书》的审查意见</w:t>
      </w:r>
    </w:p>
    <w:p>
      <w:pPr>
        <w:ind w:firstLine="0" w:firstLineChars="0"/>
      </w:pPr>
      <w:r>
        <w:rPr>
          <w:rFonts w:hint="eastAsia"/>
        </w:rPr>
        <w:t>附件</w:t>
      </w:r>
      <w:r>
        <w:rPr>
          <w:rFonts w:hint="eastAsia"/>
          <w:lang w:val="en-US" w:eastAsia="zh-CN"/>
        </w:rPr>
        <w:t>8</w:t>
      </w:r>
      <w:r>
        <w:rPr>
          <w:rFonts w:hint="eastAsia"/>
        </w:rPr>
        <w:t xml:space="preserve"> 岳阳港道仁矶通用码头社会稳定风险评估意见</w:t>
      </w:r>
    </w:p>
    <w:p>
      <w:pPr>
        <w:ind w:firstLine="0" w:firstLineChars="0"/>
      </w:pPr>
      <w:r>
        <w:rPr>
          <w:rFonts w:hint="eastAsia"/>
        </w:rPr>
        <w:t>附件</w:t>
      </w:r>
      <w:r>
        <w:rPr>
          <w:rFonts w:hint="eastAsia"/>
          <w:lang w:val="en-US" w:eastAsia="zh-CN"/>
        </w:rPr>
        <w:t>9</w:t>
      </w:r>
      <w:r>
        <w:rPr>
          <w:rFonts w:hint="eastAsia"/>
        </w:rPr>
        <w:t xml:space="preserve"> 长江海事局关于岳阳港道仁矶码头工程通航安全意见的复函</w:t>
      </w:r>
    </w:p>
    <w:p>
      <w:pPr>
        <w:ind w:firstLine="0" w:firstLineChars="0"/>
      </w:pPr>
      <w:r>
        <w:rPr>
          <w:rFonts w:hint="eastAsia"/>
        </w:rPr>
        <w:t>附件1</w:t>
      </w:r>
      <w:r>
        <w:rPr>
          <w:rFonts w:hint="eastAsia"/>
          <w:lang w:val="en-US" w:eastAsia="zh-CN"/>
        </w:rPr>
        <w:t>0</w:t>
      </w:r>
      <w:r>
        <w:rPr>
          <w:rFonts w:hint="eastAsia"/>
        </w:rPr>
        <w:t xml:space="preserve"> 长航局关于岳阳港道仁矶码头工程航道通航条件影响评价的审核意见</w:t>
      </w:r>
    </w:p>
    <w:p>
      <w:pPr>
        <w:ind w:firstLine="0" w:firstLineChars="0"/>
      </w:pPr>
      <w:r>
        <w:rPr>
          <w:rFonts w:hint="eastAsia"/>
        </w:rPr>
        <w:t>附件1</w:t>
      </w:r>
      <w:r>
        <w:rPr>
          <w:rFonts w:hint="eastAsia"/>
          <w:lang w:val="en-US" w:eastAsia="zh-CN"/>
        </w:rPr>
        <w:t>1</w:t>
      </w:r>
      <w:r>
        <w:rPr>
          <w:rFonts w:hint="eastAsia"/>
        </w:rPr>
        <w:t xml:space="preserve"> 岳阳港道仁矶码头工程行业意见</w:t>
      </w:r>
    </w:p>
    <w:p>
      <w:pPr>
        <w:ind w:firstLine="0" w:firstLineChars="0"/>
      </w:pPr>
      <w:r>
        <w:rPr>
          <w:rFonts w:hint="eastAsia"/>
        </w:rPr>
        <w:t>附件1</w:t>
      </w:r>
      <w:r>
        <w:rPr>
          <w:rFonts w:hint="eastAsia"/>
          <w:lang w:val="en-US" w:eastAsia="zh-CN"/>
        </w:rPr>
        <w:t>2</w:t>
      </w:r>
      <w:r>
        <w:rPr>
          <w:rFonts w:hint="eastAsia"/>
        </w:rPr>
        <w:t xml:space="preserve"> 岳阳港云溪港区道仁矶码头工程岸线使用合理性分析评估报告专家意见</w:t>
      </w:r>
    </w:p>
    <w:p>
      <w:pPr>
        <w:ind w:firstLine="0" w:firstLineChars="0"/>
        <w:rPr>
          <w:rFonts w:hint="eastAsia"/>
          <w:b/>
          <w:bCs/>
          <w:sz w:val="24"/>
          <w:szCs w:val="24"/>
          <w:lang w:val="en-US" w:eastAsia="zh-CN"/>
        </w:rPr>
      </w:pPr>
      <w:r>
        <w:rPr>
          <w:rFonts w:hint="eastAsia"/>
        </w:rPr>
        <w:t>附件1</w:t>
      </w:r>
      <w:r>
        <w:rPr>
          <w:rFonts w:hint="eastAsia"/>
          <w:lang w:val="en-US" w:eastAsia="zh-CN"/>
        </w:rPr>
        <w:t>3</w:t>
      </w:r>
      <w:r>
        <w:rPr>
          <w:rFonts w:hint="eastAsia"/>
          <w:b w:val="0"/>
          <w:bCs w:val="0"/>
        </w:rPr>
        <w:t xml:space="preserve"> </w:t>
      </w:r>
      <w:r>
        <w:rPr>
          <w:rFonts w:hint="eastAsia"/>
          <w:b w:val="0"/>
          <w:bCs w:val="0"/>
          <w:sz w:val="24"/>
          <w:szCs w:val="24"/>
          <w:lang w:val="en-US" w:eastAsia="zh-CN"/>
        </w:rPr>
        <w:t>岳阳港道仁矶码头工程对洞庭湖湖口铜鱼短颌鲚国家级水产种质资源保护区影响专题论证报告审查意见、专家签到表及专家复核意见</w:t>
      </w:r>
    </w:p>
    <w:p>
      <w:pPr>
        <w:ind w:firstLine="0" w:firstLineChars="0"/>
        <w:rPr>
          <w:rFonts w:hint="default"/>
          <w:lang w:val="en-US" w:eastAsia="zh-CN"/>
        </w:rPr>
      </w:pPr>
      <w:r>
        <w:rPr>
          <w:rFonts w:hint="eastAsia"/>
          <w:lang w:val="en-US" w:eastAsia="zh-CN"/>
        </w:rPr>
        <w:t>附件14 岳阳市生态环境局云溪分局关于岳阳港道仁矶码头工程执行标准的函</w:t>
      </w:r>
    </w:p>
    <w:p>
      <w:pPr>
        <w:ind w:firstLine="0" w:firstLineChars="0"/>
        <w:rPr>
          <w:rFonts w:hint="eastAsia" w:ascii="Times New Roman" w:hAnsi="Times New Roman" w:cs="Times New Roman"/>
          <w:b w:val="0"/>
          <w:bCs w:val="0"/>
          <w:sz w:val="24"/>
          <w:szCs w:val="24"/>
          <w:lang w:val="en-US" w:eastAsia="zh-CN"/>
        </w:rPr>
      </w:pPr>
      <w:r>
        <w:rPr>
          <w:rFonts w:hint="eastAsia" w:ascii="Times New Roman" w:hAnsi="Times New Roman" w:cs="Times New Roman"/>
          <w:lang w:val="en-US" w:eastAsia="zh-CN"/>
        </w:rPr>
        <w:t>附件15 湖南省农业农村厅关于审查岳阳港道仁矶码头工程等会洞庭湖口</w:t>
      </w:r>
      <w:r>
        <w:rPr>
          <w:rFonts w:hint="eastAsia" w:ascii="Times New Roman" w:hAnsi="Times New Roman" w:cs="Times New Roman"/>
          <w:b w:val="0"/>
          <w:bCs w:val="0"/>
          <w:sz w:val="24"/>
          <w:szCs w:val="24"/>
          <w:lang w:val="en-US" w:eastAsia="zh-CN"/>
        </w:rPr>
        <w:t>铜鱼短颌鲚国家级水产种质资源保护区影响专题论证报告的函</w:t>
      </w:r>
    </w:p>
    <w:p>
      <w:pPr>
        <w:ind w:firstLine="0" w:firstLineChars="0"/>
        <w:rPr>
          <w:rFonts w:hint="eastAsia" w:ascii="Times New Roman" w:hAnsi="Times New Roman" w:cs="Times New Roman"/>
          <w:lang w:val="en-US" w:eastAsia="zh-CN"/>
        </w:rPr>
      </w:pPr>
      <w:r>
        <w:rPr>
          <w:rFonts w:hint="eastAsia" w:ascii="Times New Roman" w:hAnsi="Times New Roman" w:cs="Times New Roman"/>
          <w:lang w:val="en-US" w:eastAsia="zh-CN"/>
        </w:rPr>
        <w:t>附件16 岳阳港道仁矶码头工程项目环境影响报告书技术评估专家意见</w:t>
      </w:r>
    </w:p>
    <w:p>
      <w:pPr>
        <w:ind w:firstLine="0" w:firstLineChars="0"/>
        <w:rPr>
          <w:rFonts w:hint="eastAsia"/>
          <w:lang w:val="en-US" w:eastAsia="zh-CN"/>
        </w:rPr>
      </w:pPr>
      <w:r>
        <w:rPr>
          <w:rFonts w:hint="eastAsia"/>
          <w:lang w:val="en-US" w:eastAsia="zh-CN"/>
        </w:rPr>
        <w:t>附件</w:t>
      </w:r>
      <w:r>
        <w:rPr>
          <w:rFonts w:hint="default"/>
          <w:lang w:val="en-US" w:eastAsia="zh-CN"/>
        </w:rPr>
        <w:t xml:space="preserve">17 </w:t>
      </w:r>
      <w:r>
        <w:rPr>
          <w:rFonts w:hint="eastAsia"/>
          <w:lang w:val="en-US" w:eastAsia="zh-CN"/>
        </w:rPr>
        <w:t>岳阳市生态环境局云溪区分局关于岳阳港道仁矶码头工程环境影响报告书的预审意见</w:t>
      </w:r>
    </w:p>
    <w:p>
      <w:pPr>
        <w:pStyle w:val="2"/>
        <w:rPr>
          <w:rFonts w:hint="default"/>
          <w:lang w:val="en-US" w:eastAsia="zh-CN"/>
        </w:rPr>
      </w:pPr>
    </w:p>
    <w:p>
      <w:pPr>
        <w:spacing w:line="276" w:lineRule="auto"/>
        <w:ind w:firstLine="562"/>
        <w:jc w:val="center"/>
        <w:rPr>
          <w:b/>
          <w:sz w:val="28"/>
        </w:rPr>
      </w:pPr>
      <w:r>
        <w:rPr>
          <w:b/>
          <w:sz w:val="28"/>
        </w:rPr>
        <w:t>附  图</w:t>
      </w:r>
    </w:p>
    <w:p>
      <w:pPr>
        <w:ind w:firstLine="0" w:firstLineChars="0"/>
      </w:pPr>
      <w:r>
        <w:rPr>
          <w:rFonts w:hint="eastAsia"/>
        </w:rPr>
        <w:t>附图1：本项目地理位置图</w:t>
      </w:r>
    </w:p>
    <w:p>
      <w:pPr>
        <w:ind w:firstLine="0" w:firstLineChars="0"/>
      </w:pPr>
      <w:r>
        <w:rPr>
          <w:rFonts w:hint="eastAsia"/>
        </w:rPr>
        <w:t>附图2：本项目码头总平面布置图</w:t>
      </w:r>
    </w:p>
    <w:p>
      <w:pPr>
        <w:ind w:firstLine="0" w:firstLineChars="0"/>
      </w:pPr>
      <w:r>
        <w:rPr>
          <w:rFonts w:hint="eastAsia"/>
        </w:rPr>
        <w:t>附图3：本项目码头水工结构图</w:t>
      </w:r>
    </w:p>
    <w:p>
      <w:pPr>
        <w:ind w:firstLine="0" w:firstLineChars="0"/>
      </w:pPr>
      <w:r>
        <w:rPr>
          <w:rFonts w:hint="eastAsia"/>
        </w:rPr>
        <w:t>附图4：本项目与岳阳港云溪港区道仁矶作业区规划布置位置关系图</w:t>
      </w:r>
    </w:p>
    <w:p>
      <w:pPr>
        <w:ind w:firstLine="0" w:firstLineChars="0"/>
      </w:pPr>
      <w:r>
        <w:rPr>
          <w:rFonts w:hint="eastAsia"/>
        </w:rPr>
        <w:t>附图5：项目周边土地利用规划图；</w:t>
      </w:r>
    </w:p>
    <w:p>
      <w:pPr>
        <w:ind w:firstLine="0" w:firstLineChars="0"/>
      </w:pPr>
      <w:r>
        <w:rPr>
          <w:rFonts w:hint="eastAsia"/>
        </w:rPr>
        <w:t>附图6：本项目沿线主要环境保护目标分布及监测点位布置示意图</w:t>
      </w:r>
    </w:p>
    <w:p>
      <w:pPr>
        <w:ind w:firstLine="0" w:firstLineChars="0"/>
      </w:pPr>
      <w:r>
        <w:rPr>
          <w:rFonts w:hint="eastAsia"/>
        </w:rPr>
        <w:t>附图7-1：本项目各环境要素评价范围图（陆生生态评价范围）</w:t>
      </w:r>
    </w:p>
    <w:p>
      <w:pPr>
        <w:ind w:firstLine="0" w:firstLineChars="0"/>
      </w:pPr>
      <w:r>
        <w:rPr>
          <w:rFonts w:hint="eastAsia"/>
        </w:rPr>
        <w:t>附图7-2：本项目各环境要素评价范围图（水生生态评价范围）</w:t>
      </w:r>
    </w:p>
    <w:p>
      <w:pPr>
        <w:ind w:firstLine="0" w:firstLineChars="0"/>
      </w:pPr>
      <w:r>
        <w:rPr>
          <w:rFonts w:hint="eastAsia"/>
        </w:rPr>
        <w:t>附图7-3：本项目各环境要素评价范围图（噪声评价范围）</w:t>
      </w:r>
    </w:p>
    <w:p>
      <w:pPr>
        <w:ind w:firstLine="0" w:firstLineChars="0"/>
      </w:pPr>
      <w:r>
        <w:rPr>
          <w:rFonts w:hint="eastAsia"/>
        </w:rPr>
        <w:t>附图7-4：本项目各环境要素评价范围图（大气评价范围）</w:t>
      </w:r>
    </w:p>
    <w:p>
      <w:pPr>
        <w:ind w:firstLine="0" w:firstLineChars="0"/>
      </w:pPr>
      <w:r>
        <w:rPr>
          <w:rFonts w:hint="eastAsia"/>
        </w:rPr>
        <w:t>附图7-5：本项目各环境要素评价范围图（地表水和环境风险评价范围）</w:t>
      </w:r>
    </w:p>
    <w:p>
      <w:pPr>
        <w:ind w:firstLine="0" w:firstLineChars="0"/>
        <w:rPr>
          <w:rFonts w:hint="default" w:eastAsia="宋体"/>
          <w:lang w:val="en-US" w:eastAsia="zh-CN"/>
        </w:rPr>
      </w:pPr>
      <w:r>
        <w:rPr>
          <w:rFonts w:hint="eastAsia"/>
          <w:lang w:val="en-US" w:eastAsia="zh-CN"/>
        </w:rPr>
        <w:t>附图8：本项目污水所在地市政污水管网图</w:t>
      </w:r>
    </w:p>
    <w:p>
      <w:pPr>
        <w:ind w:firstLine="0" w:firstLineChars="0"/>
      </w:pPr>
      <w:r>
        <w:rPr>
          <w:rFonts w:hint="eastAsia"/>
        </w:rPr>
        <w:t>附图</w:t>
      </w:r>
      <w:r>
        <w:rPr>
          <w:rFonts w:hint="eastAsia"/>
          <w:lang w:val="en-US" w:eastAsia="zh-CN"/>
        </w:rPr>
        <w:t>9</w:t>
      </w:r>
      <w:r>
        <w:rPr>
          <w:rFonts w:hint="eastAsia"/>
        </w:rPr>
        <w:t>：本项目与岳阳市城市总体规划中心城区污水管网规划叠图</w:t>
      </w:r>
    </w:p>
    <w:p>
      <w:pPr>
        <w:ind w:firstLine="0" w:firstLineChars="0"/>
      </w:pPr>
      <w:r>
        <w:rPr>
          <w:rFonts w:hint="eastAsia"/>
        </w:rPr>
        <w:t>附图</w:t>
      </w:r>
      <w:r>
        <w:rPr>
          <w:rFonts w:hint="eastAsia"/>
          <w:lang w:val="en-US" w:eastAsia="zh-CN"/>
        </w:rPr>
        <w:t>10</w:t>
      </w:r>
      <w:r>
        <w:rPr>
          <w:rFonts w:hint="eastAsia"/>
        </w:rPr>
        <w:t>：本项目与长江岸线保护和开发利用总体规划叠图</w:t>
      </w:r>
    </w:p>
    <w:p>
      <w:pPr>
        <w:ind w:firstLine="0" w:firstLineChars="0"/>
      </w:pPr>
      <w:r>
        <w:rPr>
          <w:rFonts w:hint="eastAsia"/>
        </w:rPr>
        <w:t>附图1</w:t>
      </w:r>
      <w:r>
        <w:rPr>
          <w:rFonts w:hint="eastAsia"/>
          <w:lang w:val="en-US" w:eastAsia="zh-CN"/>
        </w:rPr>
        <w:t>1</w:t>
      </w:r>
      <w:r>
        <w:rPr>
          <w:rFonts w:hint="eastAsia"/>
        </w:rPr>
        <w:t>：本项目周边水系图；</w:t>
      </w:r>
    </w:p>
    <w:p>
      <w:pPr>
        <w:ind w:firstLine="0" w:firstLineChars="0"/>
      </w:pPr>
      <w:r>
        <w:rPr>
          <w:rFonts w:hint="eastAsia"/>
        </w:rPr>
        <w:t>附图1</w:t>
      </w:r>
      <w:r>
        <w:rPr>
          <w:rFonts w:hint="eastAsia"/>
          <w:lang w:val="en-US" w:eastAsia="zh-CN"/>
        </w:rPr>
        <w:t>2</w:t>
      </w:r>
      <w:r>
        <w:rPr>
          <w:rFonts w:hint="eastAsia"/>
        </w:rPr>
        <w:t>：洞庭湖口铜鱼短颌鲚国家级水产种质资源保护区鱼类索饵场、越冬场、中华鲟洄游路线与工程位置关系图</w:t>
      </w:r>
    </w:p>
    <w:p>
      <w:pPr>
        <w:ind w:firstLine="0" w:firstLineChars="0"/>
      </w:pPr>
      <w:r>
        <w:rPr>
          <w:rFonts w:hint="eastAsia"/>
        </w:rPr>
        <w:t>附图1</w:t>
      </w:r>
      <w:r>
        <w:rPr>
          <w:rFonts w:hint="eastAsia"/>
          <w:lang w:val="en-US" w:eastAsia="zh-CN"/>
        </w:rPr>
        <w:t>3</w:t>
      </w:r>
      <w:r>
        <w:rPr>
          <w:rFonts w:hint="eastAsia"/>
        </w:rPr>
        <w:t>：本项目与洞庭湖口铜鱼短颌鲚国家级水产种质资源保护区的位置关系图</w:t>
      </w:r>
    </w:p>
    <w:p>
      <w:pPr>
        <w:ind w:firstLine="0" w:firstLineChars="0"/>
      </w:pPr>
      <w:r>
        <w:rPr>
          <w:rFonts w:hint="eastAsia"/>
        </w:rPr>
        <w:t>附图1</w:t>
      </w:r>
      <w:r>
        <w:rPr>
          <w:rFonts w:hint="eastAsia"/>
          <w:lang w:val="en-US" w:eastAsia="zh-CN"/>
        </w:rPr>
        <w:t>4</w:t>
      </w:r>
      <w:r>
        <w:rPr>
          <w:rFonts w:hint="eastAsia"/>
        </w:rPr>
        <w:t>：</w:t>
      </w:r>
      <w:r>
        <w:t>本项目与湖南东洞庭湖国家级自然保护区的位置关系图</w:t>
      </w:r>
    </w:p>
    <w:p>
      <w:pPr>
        <w:ind w:firstLine="0" w:firstLineChars="0"/>
      </w:pPr>
      <w:r>
        <w:rPr>
          <w:rFonts w:hint="eastAsia"/>
        </w:rPr>
        <w:t>附图1</w:t>
      </w:r>
      <w:r>
        <w:rPr>
          <w:rFonts w:hint="eastAsia"/>
          <w:lang w:val="en-US" w:eastAsia="zh-CN"/>
        </w:rPr>
        <w:t>5</w:t>
      </w:r>
      <w:r>
        <w:rPr>
          <w:rFonts w:hint="eastAsia"/>
        </w:rPr>
        <w:t>：本项目与长江监利四大家鱼国家级水产种质资源保护区的位置关系图</w:t>
      </w:r>
    </w:p>
    <w:p>
      <w:pPr>
        <w:ind w:firstLine="0" w:firstLineChars="0"/>
      </w:pPr>
      <w:r>
        <w:rPr>
          <w:rFonts w:hint="eastAsia"/>
        </w:rPr>
        <w:t>附图1</w:t>
      </w:r>
      <w:r>
        <w:rPr>
          <w:rFonts w:hint="eastAsia"/>
          <w:lang w:val="en-US" w:eastAsia="zh-CN"/>
        </w:rPr>
        <w:t>6</w:t>
      </w:r>
      <w:r>
        <w:rPr>
          <w:rFonts w:hint="eastAsia"/>
        </w:rPr>
        <w:t>：本项目与岳阳楼-洞庭湖风景名胜区的位置关系图</w:t>
      </w:r>
    </w:p>
    <w:p>
      <w:pPr>
        <w:ind w:firstLine="0" w:firstLineChars="0"/>
      </w:pPr>
      <w:r>
        <w:rPr>
          <w:rFonts w:hint="eastAsia"/>
        </w:rPr>
        <w:t>附图1</w:t>
      </w:r>
      <w:r>
        <w:rPr>
          <w:rFonts w:hint="eastAsia"/>
          <w:lang w:val="en-US" w:eastAsia="zh-CN"/>
        </w:rPr>
        <w:t>7</w:t>
      </w:r>
      <w:r>
        <w:rPr>
          <w:rFonts w:hint="eastAsia"/>
        </w:rPr>
        <w:t>：本项目与饮用水源保护区及取水口的位置关系图</w:t>
      </w:r>
    </w:p>
    <w:p>
      <w:pPr>
        <w:ind w:firstLine="0" w:firstLineChars="0"/>
      </w:pPr>
      <w:r>
        <w:t>附图1</w:t>
      </w:r>
      <w:r>
        <w:rPr>
          <w:rFonts w:hint="eastAsia"/>
          <w:lang w:val="en-US" w:eastAsia="zh-CN"/>
        </w:rPr>
        <w:t>8</w:t>
      </w:r>
      <w:r>
        <w:t>：本项目与湖北长江新螺段白鱀豚国家级</w:t>
      </w:r>
      <w:r>
        <w:rPr>
          <w:rFonts w:hint="eastAsia"/>
        </w:rPr>
        <w:t>自然保护区</w:t>
      </w:r>
      <w:r>
        <w:t>的位置关系图</w:t>
      </w:r>
    </w:p>
    <w:p>
      <w:pPr>
        <w:ind w:firstLine="0" w:firstLineChars="0"/>
      </w:pPr>
      <w:r>
        <w:t>附图1</w:t>
      </w:r>
      <w:r>
        <w:rPr>
          <w:rFonts w:hint="eastAsia"/>
          <w:lang w:val="en-US" w:eastAsia="zh-CN"/>
        </w:rPr>
        <w:t>9</w:t>
      </w:r>
      <w:r>
        <w:t>：本项目与湖南云溪白泥湖国家湿地公园的位置关系图</w:t>
      </w:r>
    </w:p>
    <w:p>
      <w:pPr>
        <w:ind w:firstLine="0" w:firstLineChars="0"/>
        <w:rPr>
          <w:rFonts w:hint="eastAsia"/>
          <w:lang w:val="en-US" w:eastAsia="zh-CN"/>
        </w:rPr>
      </w:pPr>
      <w:r>
        <w:rPr>
          <w:rFonts w:hint="eastAsia"/>
          <w:lang w:val="en-US" w:eastAsia="zh-CN"/>
        </w:rPr>
        <w:t>附图20：水生生态环保措施和跟踪监测点位图</w:t>
      </w:r>
    </w:p>
    <w:p>
      <w:pPr>
        <w:ind w:firstLine="0" w:firstLineChars="0"/>
        <w:rPr>
          <w:rFonts w:hint="eastAsia"/>
          <w:lang w:val="en-US" w:eastAsia="zh-CN"/>
        </w:rPr>
      </w:pPr>
      <w:r>
        <w:rPr>
          <w:rFonts w:hint="eastAsia"/>
          <w:lang w:val="en-US" w:eastAsia="zh-CN"/>
        </w:rPr>
        <w:t>附图21：本项目雨污管网平面布置图</w:t>
      </w:r>
    </w:p>
    <w:p>
      <w:pPr>
        <w:ind w:firstLine="0" w:firstLineChars="0"/>
        <w:rPr>
          <w:rFonts w:hint="eastAsia"/>
          <w:lang w:val="en-US" w:eastAsia="zh-CN"/>
        </w:rPr>
      </w:pPr>
      <w:r>
        <w:rPr>
          <w:rFonts w:hint="eastAsia"/>
          <w:lang w:val="en-US" w:eastAsia="zh-CN"/>
        </w:rPr>
        <w:t>附图22：本项目与岳阳市“三线一单”生态环境分区管控的位置关系图</w:t>
      </w:r>
    </w:p>
    <w:p>
      <w:pPr>
        <w:ind w:firstLine="0" w:firstLineChars="0"/>
        <w:rPr>
          <w:rFonts w:hint="eastAsia" w:ascii="Times New Roman" w:hAnsi="Times New Roman" w:cs="Times New Roman"/>
          <w:lang w:val="en-US" w:eastAsia="zh-CN"/>
        </w:rPr>
      </w:pPr>
      <w:r>
        <w:rPr>
          <w:rFonts w:hint="eastAsia" w:ascii="Times New Roman" w:hAnsi="Times New Roman" w:cs="Times New Roman"/>
          <w:lang w:val="en-US" w:eastAsia="zh-CN"/>
        </w:rPr>
        <w:t>附图23：工程师踏勘现场照片</w:t>
      </w:r>
    </w:p>
    <w:p>
      <w:pPr>
        <w:pStyle w:val="2"/>
        <w:rPr>
          <w:rFonts w:hint="default"/>
          <w:lang w:val="en-US" w:eastAsia="zh-CN"/>
        </w:rPr>
      </w:pPr>
    </w:p>
    <w:p>
      <w:pPr>
        <w:spacing w:line="276" w:lineRule="auto"/>
        <w:ind w:firstLine="562"/>
        <w:jc w:val="center"/>
        <w:rPr>
          <w:b/>
          <w:sz w:val="28"/>
        </w:rPr>
      </w:pPr>
      <w:r>
        <w:rPr>
          <w:b/>
          <w:sz w:val="28"/>
        </w:rPr>
        <w:t>附  表</w:t>
      </w:r>
    </w:p>
    <w:p>
      <w:pPr>
        <w:spacing w:line="276" w:lineRule="auto"/>
        <w:ind w:firstLine="482"/>
        <w:jc w:val="center"/>
        <w:rPr>
          <w:b/>
        </w:rPr>
      </w:pPr>
    </w:p>
    <w:p>
      <w:pPr>
        <w:ind w:firstLine="0" w:firstLineChars="0"/>
      </w:pPr>
      <w:r>
        <w:t>附表1  建设项目环评审批基础信息表</w:t>
      </w:r>
    </w:p>
    <w:p>
      <w:pPr>
        <w:ind w:firstLine="0" w:firstLineChars="0"/>
        <w:rPr>
          <w:b/>
          <w:sz w:val="28"/>
        </w:rPr>
      </w:pPr>
    </w:p>
    <w:p>
      <w:pPr>
        <w:ind w:firstLine="0" w:firstLineChars="0"/>
        <w:jc w:val="center"/>
        <w:rPr>
          <w:b/>
          <w:bCs/>
          <w:sz w:val="36"/>
          <w:szCs w:val="36"/>
        </w:rPr>
        <w:sectPr>
          <w:pgSz w:w="11906" w:h="16838"/>
          <w:pgMar w:top="1418" w:right="1418" w:bottom="1418" w:left="1418"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bookmarkStart w:id="0" w:name="_Toc106696981"/>
    </w:p>
    <w:p>
      <w:pPr>
        <w:ind w:firstLine="0" w:firstLineChars="0"/>
        <w:jc w:val="center"/>
        <w:rPr>
          <w:b/>
          <w:bCs/>
          <w:sz w:val="36"/>
          <w:szCs w:val="36"/>
        </w:rPr>
      </w:pPr>
      <w:r>
        <w:rPr>
          <w:b/>
          <w:bCs/>
          <w:sz w:val="36"/>
          <w:szCs w:val="36"/>
        </w:rPr>
        <w:t>概 述</w:t>
      </w:r>
      <w:bookmarkEnd w:id="0"/>
    </w:p>
    <w:p>
      <w:pPr>
        <w:pStyle w:val="453"/>
        <w:numPr>
          <w:ilvl w:val="0"/>
          <w:numId w:val="0"/>
        </w:numPr>
        <w:rPr>
          <w:rStyle w:val="3582"/>
          <w:rFonts w:ascii="Times New Roman" w:cs="Times New Roman"/>
          <w:color w:val="auto"/>
        </w:rPr>
      </w:pPr>
      <w:bookmarkStart w:id="1" w:name="_Toc15935"/>
      <w:bookmarkStart w:id="2" w:name="_Toc106696982"/>
      <w:bookmarkStart w:id="3" w:name="_Toc21950"/>
      <w:r>
        <w:rPr>
          <w:rFonts w:ascii="Cambria Math" w:hAnsi="Cambria Math" w:cs="Cambria Math"/>
        </w:rPr>
        <w:t>◆</w:t>
      </w:r>
      <w:r>
        <w:rPr>
          <w:rFonts w:ascii="Times New Roman" w:cs="Times New Roman"/>
        </w:rPr>
        <w:t xml:space="preserve"> </w:t>
      </w:r>
      <w:r>
        <w:rPr>
          <w:rStyle w:val="3582"/>
          <w:rFonts w:ascii="Times New Roman" w:cs="Times New Roman"/>
          <w:color w:val="auto"/>
        </w:rPr>
        <w:t>项目背景</w:t>
      </w:r>
      <w:bookmarkEnd w:id="1"/>
      <w:bookmarkEnd w:id="2"/>
      <w:bookmarkEnd w:id="3"/>
    </w:p>
    <w:p>
      <w:pPr>
        <w:ind w:firstLine="480"/>
      </w:pPr>
      <w:r>
        <w:rPr>
          <w:rFonts w:hint="eastAsia"/>
        </w:rPr>
        <w:t>长江经济带横跨中国东中西三大区域，是中央重点实施的</w:t>
      </w:r>
      <w:r>
        <w:rPr>
          <w:rFonts w:hint="eastAsia" w:asciiTheme="minorEastAsia" w:hAnsiTheme="minorEastAsia" w:eastAsiaTheme="minorEastAsia"/>
        </w:rPr>
        <w:t>“</w:t>
      </w:r>
      <w:r>
        <w:rPr>
          <w:rFonts w:hint="eastAsia"/>
        </w:rPr>
        <w:t>三大战略</w:t>
      </w:r>
      <w:r>
        <w:rPr>
          <w:rFonts w:hint="eastAsia" w:asciiTheme="minorEastAsia" w:hAnsiTheme="minorEastAsia" w:eastAsiaTheme="minorEastAsia"/>
        </w:rPr>
        <w:t>”</w:t>
      </w:r>
      <w:r>
        <w:rPr>
          <w:rFonts w:hint="eastAsia"/>
        </w:rPr>
        <w:t>之一，是具有全球影响力的内河经济带、东中西互动合作的协调发展带、沿海沿江沿边全面推进的对内对外开放带，也是生态文明建设的先行示范带。长江是货运量位居全球内河第一的黄金水道，依托黄金水道推动长江经济带发展，打造中国经济新支撑带，有利于挖掘中上游广阔腹地蕴含的巨大内需潜力，促进经济增长空间从沿海向沿江内陆拓展；有利于优化沿江产业结构和城镇化布局，推动我国经济提质增效升级；有利于形成上中下游优势互补、协作互动格局，缩小东中西部地区发展差距；有利于建设陆海双向对外开放新走廊，培育国际经济合作竞争新优势；有利于保护长江生态环境，引领全国生态文明建设。</w:t>
      </w:r>
    </w:p>
    <w:p>
      <w:pPr>
        <w:ind w:firstLine="480"/>
      </w:pPr>
      <w:r>
        <w:rPr>
          <w:rFonts w:hint="eastAsia"/>
        </w:rPr>
        <w:t>2018年习近平总书记在岳阳视察指出，修复长江生态环境，是新时代赋予我们的艰巨任务，也是人民群众的热切期盼，提出</w:t>
      </w:r>
      <w:r>
        <w:rPr>
          <w:rFonts w:hint="eastAsia" w:asciiTheme="minorEastAsia" w:hAnsiTheme="minorEastAsia" w:eastAsiaTheme="minorEastAsia"/>
        </w:rPr>
        <w:t>“</w:t>
      </w:r>
      <w:r>
        <w:rPr>
          <w:rFonts w:hint="eastAsia"/>
        </w:rPr>
        <w:t>共抓大保护，不搞大开发</w:t>
      </w:r>
      <w:r>
        <w:rPr>
          <w:rFonts w:hint="eastAsia" w:asciiTheme="minorEastAsia" w:hAnsiTheme="minorEastAsia" w:eastAsiaTheme="minorEastAsia"/>
        </w:rPr>
        <w:t>”</w:t>
      </w:r>
      <w:r>
        <w:rPr>
          <w:rFonts w:hint="eastAsia"/>
        </w:rPr>
        <w:t>的要求，以生态优先、绿色发展为引领，依托长江黄金水道，推动长江上中下游地区协调发展和沿江地区高质量发展。</w:t>
      </w:r>
    </w:p>
    <w:p>
      <w:pPr>
        <w:ind w:firstLine="480"/>
      </w:pPr>
      <w:r>
        <w:rPr>
          <w:rFonts w:hint="eastAsia"/>
        </w:rPr>
        <w:t>为贯彻落实习总书记的指示，湖南省开展了长江岸线港口码头</w:t>
      </w:r>
      <w:r>
        <w:rPr>
          <w:rFonts w:hint="eastAsia" w:asciiTheme="minorEastAsia" w:hAnsiTheme="minorEastAsia" w:eastAsiaTheme="minorEastAsia"/>
        </w:rPr>
        <w:t>“</w:t>
      </w:r>
      <w:r>
        <w:rPr>
          <w:rFonts w:hint="eastAsia"/>
        </w:rPr>
        <w:t>关停并转</w:t>
      </w:r>
      <w:r>
        <w:rPr>
          <w:rFonts w:hint="eastAsia" w:asciiTheme="minorEastAsia" w:hAnsiTheme="minorEastAsia" w:eastAsiaTheme="minorEastAsia"/>
        </w:rPr>
        <w:t>”</w:t>
      </w:r>
      <w:r>
        <w:rPr>
          <w:rFonts w:hint="eastAsia"/>
        </w:rPr>
        <w:t xml:space="preserve">专项整治行动，已全部退出或部分退出港口码头经营单位19家，关闭兴达码头、华新水泥等42个泊位，一个月内收回长江岸线10余公里，并拟对11个泊位实施提质改造。以壮士断腕的勇气，强力推动长江岸线迈向绿色高效利用。目前，岳阳港关停整顿长江沿线非法及环保不达标的散货码头后，岳阳市、湖南省及周边省份的经济建设所需散货水路上下岸通过能力都十分紧张，迫切需要一个环保的、规模化的散货码头来支撑周边的需求。 </w:t>
      </w:r>
    </w:p>
    <w:p>
      <w:pPr>
        <w:ind w:firstLine="480"/>
      </w:pPr>
      <w:r>
        <w:rPr>
          <w:rFonts w:hint="eastAsia"/>
        </w:rPr>
        <w:t>在需求未变而泊位数大幅减少的情况下，目前岳阳港运力相对不足。为了给长江中下游的矿建材料、非金属矿石、铁矿石、煤炭等散货的中转提供服务，保障岳阳市、湖南省及周边省份的经济建设所需原材料及产品水路运输服务，完善岳阳港功能布局，岳阳港迫切需要建设规模化的通用码头。</w:t>
      </w:r>
    </w:p>
    <w:p>
      <w:pPr>
        <w:ind w:firstLine="480"/>
      </w:pPr>
      <w:r>
        <w:rPr>
          <w:rFonts w:hint="eastAsia"/>
        </w:rPr>
        <w:t>本工程拟建港址位于《岳阳港总体规划（</w:t>
      </w:r>
      <w:r>
        <w:rPr>
          <w:rFonts w:hint="eastAsia"/>
          <w:lang w:val="en-US" w:eastAsia="zh-CN"/>
        </w:rPr>
        <w:t>2017-</w:t>
      </w:r>
      <w:r>
        <w:rPr>
          <w:rFonts w:hint="eastAsia"/>
        </w:rPr>
        <w:t>2035年）》中规划的云溪港区道仁矶作业区散货泊位一区，荆岳长江大桥上游约1.5km处。该址前沿水域条件良好，港址后方陆域紧邻S201，陆路集疏运条件良好，适宜本项目建设。</w:t>
      </w:r>
    </w:p>
    <w:p>
      <w:pPr>
        <w:pStyle w:val="453"/>
        <w:numPr>
          <w:ilvl w:val="0"/>
          <w:numId w:val="0"/>
        </w:numPr>
        <w:rPr>
          <w:rStyle w:val="3582"/>
          <w:rFonts w:ascii="Times New Roman" w:cs="Times New Roman"/>
          <w:color w:val="auto"/>
        </w:rPr>
      </w:pPr>
      <w:bookmarkStart w:id="4" w:name="_Toc106696983"/>
      <w:bookmarkStart w:id="5" w:name="_Toc1341"/>
      <w:bookmarkStart w:id="6" w:name="_Toc21380"/>
      <w:r>
        <w:rPr>
          <w:rFonts w:ascii="Cambria Math" w:hAnsi="Cambria Math" w:cs="Cambria Math"/>
        </w:rPr>
        <w:t>◆</w:t>
      </w:r>
      <w:r>
        <w:rPr>
          <w:rFonts w:ascii="Times New Roman" w:cs="Times New Roman"/>
        </w:rPr>
        <w:t xml:space="preserve"> </w:t>
      </w:r>
      <w:r>
        <w:rPr>
          <w:rStyle w:val="3582"/>
          <w:rFonts w:ascii="Times New Roman" w:cs="Times New Roman"/>
          <w:color w:val="auto"/>
        </w:rPr>
        <w:t>项目</w:t>
      </w:r>
      <w:r>
        <w:rPr>
          <w:rStyle w:val="3582"/>
          <w:rFonts w:ascii="Times New Roman" w:cs="Times New Roman"/>
          <w:color w:val="auto"/>
          <w:lang w:val="en-US"/>
        </w:rPr>
        <w:t>概况</w:t>
      </w:r>
      <w:bookmarkEnd w:id="4"/>
      <w:bookmarkEnd w:id="5"/>
      <w:bookmarkEnd w:id="6"/>
    </w:p>
    <w:p>
      <w:pPr>
        <w:ind w:firstLine="480"/>
      </w:pPr>
      <w:r>
        <w:rPr>
          <w:rFonts w:hint="eastAsia"/>
        </w:rPr>
        <w:t>岳阳港道仁矶码头工程拟建6个泊位及相应的配套设施，水工建筑物包括码头平台、引桥及皮带机廊道等。占用长江岸线长度840m。其中：1#~5#泊位为10000吨级通用泊位，6#泊位为5000吨级通用泊位，水工结构均按靠泊15000吨级船舶设计。设计货物年吞吐量为1660万吨，其中散货进口1200万吨/年，散货出口450万吨/年，防汛物资 10 万吨/年，码头设计通过能力 1804.2 万吨/年。</w:t>
      </w:r>
    </w:p>
    <w:p>
      <w:pPr>
        <w:ind w:firstLine="480"/>
      </w:pPr>
      <w:r>
        <w:rPr>
          <w:rFonts w:hint="eastAsia"/>
        </w:rPr>
        <w:t>本项目于</w:t>
      </w:r>
      <w:r>
        <w:t xml:space="preserve">2022 </w:t>
      </w:r>
      <w:r>
        <w:rPr>
          <w:rFonts w:hint="eastAsia"/>
        </w:rPr>
        <w:t xml:space="preserve">年 </w:t>
      </w:r>
      <w:r>
        <w:t xml:space="preserve">3 </w:t>
      </w:r>
      <w:r>
        <w:rPr>
          <w:rFonts w:hint="eastAsia"/>
        </w:rPr>
        <w:t xml:space="preserve">月 </w:t>
      </w:r>
      <w:r>
        <w:t xml:space="preserve">3 </w:t>
      </w:r>
      <w:r>
        <w:rPr>
          <w:rFonts w:hint="eastAsia"/>
        </w:rPr>
        <w:t xml:space="preserve">日通过工程用地预审与规划选址核准论证专家评审会，省道 </w:t>
      </w:r>
      <w:r>
        <w:t xml:space="preserve">S208 </w:t>
      </w:r>
      <w:r>
        <w:rPr>
          <w:rFonts w:hint="eastAsia"/>
        </w:rPr>
        <w:t xml:space="preserve">西侧用地于 </w:t>
      </w:r>
      <w:r>
        <w:t xml:space="preserve">2022 </w:t>
      </w:r>
      <w:r>
        <w:rPr>
          <w:rFonts w:hint="eastAsia"/>
        </w:rPr>
        <w:t xml:space="preserve">年 </w:t>
      </w:r>
      <w:r>
        <w:t xml:space="preserve">3 </w:t>
      </w:r>
      <w:r>
        <w:rPr>
          <w:rFonts w:hint="eastAsia"/>
        </w:rPr>
        <w:t xml:space="preserve">月 </w:t>
      </w:r>
      <w:r>
        <w:t xml:space="preserve">25 </w:t>
      </w:r>
      <w:r>
        <w:rPr>
          <w:rFonts w:hint="eastAsia"/>
        </w:rPr>
        <w:t>日已取得用地预审与选址意见书。</w:t>
      </w:r>
    </w:p>
    <w:p>
      <w:pPr>
        <w:ind w:firstLine="480"/>
      </w:pPr>
      <w:r>
        <w:rPr>
          <w:rFonts w:hint="eastAsia"/>
        </w:rPr>
        <w:t xml:space="preserve">工程拟于 </w:t>
      </w:r>
      <w:r>
        <w:t xml:space="preserve">2022 </w:t>
      </w:r>
      <w:r>
        <w:rPr>
          <w:rFonts w:hint="eastAsia"/>
        </w:rPr>
        <w:t xml:space="preserve">年 </w:t>
      </w:r>
      <w:r>
        <w:t xml:space="preserve">12 </w:t>
      </w:r>
      <w:r>
        <w:rPr>
          <w:rFonts w:hint="eastAsia"/>
        </w:rPr>
        <w:t xml:space="preserve">月开工建设，预计 </w:t>
      </w:r>
      <w:r>
        <w:t xml:space="preserve">2024 </w:t>
      </w:r>
      <w:r>
        <w:rPr>
          <w:rFonts w:hint="eastAsia"/>
        </w:rPr>
        <w:t xml:space="preserve">年 </w:t>
      </w:r>
      <w:r>
        <w:t xml:space="preserve">12 </w:t>
      </w:r>
      <w:r>
        <w:rPr>
          <w:rFonts w:hint="eastAsia"/>
        </w:rPr>
        <w:t xml:space="preserve">月建成。 </w:t>
      </w:r>
    </w:p>
    <w:p>
      <w:pPr>
        <w:pStyle w:val="453"/>
        <w:numPr>
          <w:ilvl w:val="0"/>
          <w:numId w:val="0"/>
        </w:numPr>
        <w:rPr>
          <w:rStyle w:val="3582"/>
          <w:rFonts w:ascii="Times New Roman" w:cs="Times New Roman"/>
          <w:color w:val="auto"/>
        </w:rPr>
      </w:pPr>
      <w:bookmarkStart w:id="7" w:name="_Toc106696984"/>
      <w:bookmarkStart w:id="8" w:name="_Toc12765"/>
      <w:bookmarkStart w:id="9" w:name="_Toc277"/>
      <w:r>
        <w:rPr>
          <w:rFonts w:ascii="Cambria Math" w:hAnsi="Cambria Math" w:cs="Cambria Math"/>
        </w:rPr>
        <w:t>◆</w:t>
      </w:r>
      <w:r>
        <w:rPr>
          <w:rFonts w:ascii="Times New Roman" w:cs="Times New Roman"/>
        </w:rPr>
        <w:t xml:space="preserve"> </w:t>
      </w:r>
      <w:r>
        <w:rPr>
          <w:rStyle w:val="3582"/>
          <w:rFonts w:ascii="Times New Roman" w:cs="Times New Roman"/>
          <w:color w:val="auto"/>
        </w:rPr>
        <w:t>环境影响评价工作过程</w:t>
      </w:r>
      <w:bookmarkEnd w:id="7"/>
      <w:bookmarkEnd w:id="8"/>
      <w:bookmarkEnd w:id="9"/>
    </w:p>
    <w:p>
      <w:pPr>
        <w:pStyle w:val="458"/>
        <w:ind w:firstLine="480"/>
        <w:rPr>
          <w:rFonts w:cs="Times New Roman"/>
          <w:color w:val="auto"/>
        </w:rPr>
      </w:pPr>
      <w:r>
        <w:rPr>
          <w:rFonts w:hint="eastAsia" w:cs="Times New Roman"/>
          <w:color w:val="auto"/>
        </w:rPr>
        <w:t>根据《中华人民共和国环境影响评价法》第十六条、第二十五条和国务院第682号令《建设项目环境保护管理条例》的有关规定，为切实做好建设项目的环境保护工作，使经济建设与环境保护协调发展，确保项目工程顺利进行，本项目必须履行环保手续</w:t>
      </w:r>
      <w:r>
        <w:rPr>
          <w:rFonts w:cs="Times New Roman"/>
          <w:color w:val="auto"/>
        </w:rPr>
        <w:t>。</w:t>
      </w:r>
      <w:r>
        <w:rPr>
          <w:rFonts w:hint="eastAsia" w:cs="Times New Roman"/>
          <w:color w:val="auto"/>
        </w:rPr>
        <w:t>对照中华人民共和国生态环境部第16号令《建设项目环境影响评价分类管理名录（2021年版）》（2020年11月30日）</w:t>
      </w:r>
      <w:r>
        <w:rPr>
          <w:rFonts w:cs="Times New Roman"/>
          <w:color w:val="auto"/>
        </w:rPr>
        <w:t>，</w:t>
      </w:r>
      <w:r>
        <w:rPr>
          <w:rFonts w:cs="Times New Roman"/>
          <w:color w:val="auto"/>
          <w:szCs w:val="24"/>
        </w:rPr>
        <w:t>本项目属于</w:t>
      </w:r>
      <w:r>
        <w:rPr>
          <w:rFonts w:hint="eastAsia" w:cs="Times New Roman"/>
          <w:color w:val="auto"/>
          <w:szCs w:val="24"/>
        </w:rPr>
        <w:t>通用</w:t>
      </w:r>
      <w:r>
        <w:rPr>
          <w:rFonts w:cs="Times New Roman"/>
          <w:color w:val="auto"/>
          <w:szCs w:val="24"/>
        </w:rPr>
        <w:t>码头，涉及</w:t>
      </w:r>
      <w:r>
        <w:rPr>
          <w:szCs w:val="28"/>
        </w:rPr>
        <w:t>洞庭湖口铜鱼短颌鲚国家级水产种质资源保护区</w:t>
      </w:r>
      <w:r>
        <w:rPr>
          <w:rFonts w:hint="eastAsia"/>
          <w:szCs w:val="28"/>
        </w:rPr>
        <w:t>实验区</w:t>
      </w:r>
      <w:r>
        <w:rPr>
          <w:rFonts w:cs="Times New Roman"/>
          <w:color w:val="auto"/>
          <w:szCs w:val="24"/>
        </w:rPr>
        <w:t>，属于</w:t>
      </w:r>
      <w:r>
        <w:rPr>
          <w:rFonts w:cs="Times New Roman" w:asciiTheme="minorEastAsia" w:hAnsiTheme="minorEastAsia" w:eastAsiaTheme="minorEastAsia"/>
          <w:color w:val="auto"/>
        </w:rPr>
        <w:t>“</w:t>
      </w:r>
      <w:r>
        <w:rPr>
          <w:rFonts w:cs="Times New Roman"/>
          <w:color w:val="auto"/>
        </w:rPr>
        <w:t>五十二、交通运输业、管道运输业</w:t>
      </w:r>
      <w:r>
        <w:rPr>
          <w:rFonts w:cs="Times New Roman" w:asciiTheme="minorEastAsia" w:hAnsiTheme="minorEastAsia" w:eastAsiaTheme="minorEastAsia"/>
          <w:color w:val="auto"/>
        </w:rPr>
        <w:t>”</w:t>
      </w:r>
      <w:r>
        <w:rPr>
          <w:rFonts w:cs="Times New Roman"/>
          <w:color w:val="auto"/>
        </w:rPr>
        <w:t>类别的</w:t>
      </w:r>
      <w:r>
        <w:rPr>
          <w:rFonts w:cs="Times New Roman" w:asciiTheme="minorEastAsia" w:hAnsiTheme="minorEastAsia" w:eastAsiaTheme="minorEastAsia"/>
          <w:color w:val="auto"/>
        </w:rPr>
        <w:t>“</w:t>
      </w:r>
      <w:r>
        <w:rPr>
          <w:rFonts w:cs="Times New Roman"/>
          <w:color w:val="auto"/>
        </w:rPr>
        <w:t>139干散货（含煤炭、矿石）、件杂、多用途、通用码头</w:t>
      </w:r>
      <w:r>
        <w:rPr>
          <w:rFonts w:cs="Times New Roman" w:asciiTheme="minorEastAsia" w:hAnsiTheme="minorEastAsia" w:eastAsiaTheme="minorEastAsia"/>
          <w:color w:val="auto"/>
        </w:rPr>
        <w:t>”</w:t>
      </w:r>
      <w:r>
        <w:rPr>
          <w:rFonts w:cs="Times New Roman"/>
          <w:color w:val="auto"/>
        </w:rPr>
        <w:t>中</w:t>
      </w:r>
      <w:r>
        <w:rPr>
          <w:rFonts w:cs="Times New Roman"/>
          <w:color w:val="auto"/>
          <w:szCs w:val="24"/>
        </w:rPr>
        <w:t>的</w:t>
      </w:r>
      <w:r>
        <w:rPr>
          <w:rFonts w:cs="Times New Roman" w:asciiTheme="minorEastAsia" w:hAnsiTheme="minorEastAsia" w:eastAsiaTheme="minorEastAsia"/>
          <w:color w:val="auto"/>
          <w:szCs w:val="24"/>
        </w:rPr>
        <w:t>“</w:t>
      </w:r>
      <w:r>
        <w:rPr>
          <w:rFonts w:cs="Times New Roman"/>
          <w:color w:val="auto"/>
          <w:szCs w:val="24"/>
        </w:rPr>
        <w:t>单个泊位1000吨级及以上的内河港口；单个泊位1万吨级及以上的沿海港口；涉及环境敏感区的</w:t>
      </w:r>
      <w:r>
        <w:rPr>
          <w:rFonts w:cs="Times New Roman" w:asciiTheme="minorEastAsia" w:hAnsiTheme="minorEastAsia" w:eastAsiaTheme="minorEastAsia"/>
          <w:color w:val="auto"/>
          <w:szCs w:val="24"/>
        </w:rPr>
        <w:t>”</w:t>
      </w:r>
      <w:r>
        <w:rPr>
          <w:rFonts w:cs="Times New Roman"/>
          <w:color w:val="auto"/>
          <w:szCs w:val="24"/>
        </w:rPr>
        <w:t>，应编制环境影响报告书</w:t>
      </w:r>
      <w:r>
        <w:rPr>
          <w:rFonts w:cs="Times New Roman"/>
          <w:color w:val="auto"/>
        </w:rPr>
        <w:t>。</w:t>
      </w:r>
    </w:p>
    <w:p>
      <w:pPr>
        <w:pStyle w:val="458"/>
        <w:ind w:firstLine="496"/>
        <w:rPr>
          <w:rFonts w:cs="Times New Roman"/>
          <w:color w:val="auto"/>
        </w:rPr>
      </w:pPr>
      <w:r>
        <w:rPr>
          <w:rFonts w:cs="Times New Roman"/>
          <w:color w:val="auto"/>
          <w:spacing w:val="4"/>
        </w:rPr>
        <w:t>湖南省港务集团有限公司</w:t>
      </w:r>
      <w:r>
        <w:rPr>
          <w:rFonts w:cs="Times New Roman"/>
          <w:color w:val="auto"/>
        </w:rPr>
        <w:t>于2020年7月委托武汉市伊美净科技发展有限公司承担本项目的环境影响评价工作，并编制环境影响报告书。</w:t>
      </w:r>
    </w:p>
    <w:p>
      <w:pPr>
        <w:pStyle w:val="458"/>
        <w:ind w:firstLine="480"/>
        <w:rPr>
          <w:rFonts w:cs="Times New Roman"/>
          <w:color w:val="auto"/>
        </w:rPr>
      </w:pPr>
      <w:r>
        <w:rPr>
          <w:rFonts w:cs="Times New Roman"/>
          <w:color w:val="auto"/>
        </w:rPr>
        <w:t>2020年7月评价单位接受环评委托后，评价技术人员收集项目设计方案及相关规划等基础资料，对现场初步调查，对项目工程进行初步分析，对环境影响因素进行识别与筛选，确定项目评价重点和环境保护目标、评价工作等级、评价范围和评价标准等。</w:t>
      </w:r>
    </w:p>
    <w:p>
      <w:pPr>
        <w:pStyle w:val="458"/>
        <w:ind w:firstLine="480"/>
      </w:pPr>
      <w:r>
        <w:rPr>
          <w:rFonts w:hint="eastAsia"/>
        </w:rPr>
        <w:t>在前述工作基础上，根据建设方提供的工程资料及文件，按照《环境影响评价技术导则》所规定的原则、方法、内容及要求，</w:t>
      </w:r>
      <w:r>
        <w:rPr>
          <w:rFonts w:cs="Times New Roman"/>
          <w:color w:val="auto"/>
        </w:rPr>
        <w:t>2020年8月~2022年6月开展对评价范围内环境质量现状调查工作，同时对项目工程进行详细分析，确定项目主要污染因素及生态影响因素。在环境现状调查和工程分析的基础上，对各环境要素环境影响进行预测与评价。在各环境要素及影响分析的基础上，提出环境保护措施，并对项目产业政策、选址规划、环境经济损益等符合性进行分析，提出环境管理及环境监测要求。</w:t>
      </w:r>
      <w:r>
        <w:rPr>
          <w:rFonts w:hint="eastAsia"/>
        </w:rPr>
        <w:t>我公司于2022年10月完成了《岳阳港道仁矶码头工程环境影响报告书（送审稿）》（以下简称“报告书”）的编制工作。</w:t>
      </w:r>
    </w:p>
    <w:p>
      <w:pPr>
        <w:ind w:firstLine="496"/>
      </w:pPr>
      <w:r>
        <w:rPr>
          <w:spacing w:val="4"/>
        </w:rPr>
        <w:t>湖南省港务集团有限公司于</w:t>
      </w:r>
      <w:r>
        <w:rPr>
          <w:rFonts w:cs="Times New Roman"/>
          <w:color w:val="auto"/>
        </w:rPr>
        <w:t>2020年7月</w:t>
      </w:r>
      <w:r>
        <w:rPr>
          <w:rFonts w:hint="eastAsia" w:cs="Times New Roman"/>
          <w:color w:val="auto"/>
          <w:lang w:val="en-US" w:eastAsia="zh-CN"/>
        </w:rPr>
        <w:t>接收委托后在湖南省港务集团有限公司网站上发布了项目环境影响评价第一次公示，2022年6月，因可研设计内容发生较大变化，</w:t>
      </w:r>
      <w:r>
        <w:rPr>
          <w:rFonts w:hint="eastAsia"/>
        </w:rPr>
        <w:t>2</w:t>
      </w:r>
      <w:r>
        <w:t>022年</w:t>
      </w:r>
      <w:r>
        <w:rPr>
          <w:rFonts w:hint="eastAsia"/>
        </w:rPr>
        <w:t>6</w:t>
      </w:r>
      <w:r>
        <w:t>月28日，在湖南省港务集团有限公司的网站上重新发布了项目环评第一次公示</w:t>
      </w:r>
      <w:r>
        <w:rPr>
          <w:rFonts w:hint="eastAsia"/>
        </w:rPr>
        <w:t>。我公司于2022年10月编制完成了《岳阳港道仁矶码头工程环境影响报告书》（征求意见稿）。</w:t>
      </w:r>
      <w:r>
        <w:rPr>
          <w:spacing w:val="4"/>
        </w:rPr>
        <w:t>湖南省港务集团有限公司</w:t>
      </w:r>
      <w:r>
        <w:rPr>
          <w:rFonts w:hint="eastAsia"/>
        </w:rPr>
        <w:t>于2022年10月14日~2022年10月28日在</w:t>
      </w:r>
      <w:r>
        <w:t>湖南省港务集团有限公司的网站上</w:t>
      </w:r>
      <w:r>
        <w:rPr>
          <w:rFonts w:hint="eastAsia"/>
        </w:rPr>
        <w:t>进行了环境影响评价报告书征求意见稿公示，并同步通过环球时报、建设项目所在地公众易于知悉的场所张贴公告的方式公开项目信息。</w:t>
      </w:r>
    </w:p>
    <w:p>
      <w:pPr>
        <w:ind w:firstLine="480"/>
        <w:jc w:val="both"/>
      </w:pPr>
      <w:r>
        <w:rPr>
          <w:rFonts w:hint="eastAsia"/>
        </w:rPr>
        <w:t>岳阳港道仁矶码头工程项目于2022年9月22取得湖南省发展和改革委员会关于岳阳港道仁矶码头工程项目核准的批复（项目代码：2203-430600-</w:t>
      </w:r>
      <w:r>
        <w:t>04</w:t>
      </w:r>
      <w:r>
        <w:rPr>
          <w:rFonts w:hint="eastAsia"/>
        </w:rPr>
        <w:t>-01-990017），属于省级部门核准的需编制环境影响报告书的建设项目，根据湖南省环境保护厅关于印发《湖南省环境保护行政主管部门审批环境影响评价文件的建设项目目录（2017年本）》的通知（湘环发</w:t>
      </w:r>
      <w:r>
        <w:t>[201</w:t>
      </w:r>
      <w:r>
        <w:rPr>
          <w:rFonts w:hint="eastAsia"/>
        </w:rPr>
        <w:t>7</w:t>
      </w:r>
      <w:r>
        <w:t>]</w:t>
      </w:r>
      <w:r>
        <w:rPr>
          <w:rFonts w:hint="eastAsia"/>
        </w:rPr>
        <w:t>19</w:t>
      </w:r>
      <w:r>
        <w:t>号</w:t>
      </w:r>
      <w:r>
        <w:rPr>
          <w:rFonts w:hint="eastAsia"/>
        </w:rPr>
        <w:t>），该项目环境影响评价文件审批部门为岳阳市生态环境局。现由建设单位将《岳阳港道仁矶码头工程项目环境影响报告书（送审稿）》送岳阳市生态环境局进行审核评估。</w:t>
      </w:r>
    </w:p>
    <w:p>
      <w:pPr>
        <w:pStyle w:val="453"/>
        <w:numPr>
          <w:ilvl w:val="0"/>
          <w:numId w:val="0"/>
        </w:numPr>
        <w:rPr>
          <w:rStyle w:val="3582"/>
          <w:rFonts w:ascii="Times New Roman" w:cs="Times New Roman"/>
          <w:color w:val="auto"/>
        </w:rPr>
      </w:pPr>
      <w:bookmarkStart w:id="10" w:name="_Toc106696985"/>
      <w:bookmarkStart w:id="11" w:name="_Toc1887"/>
      <w:bookmarkStart w:id="12" w:name="_Toc17065"/>
      <w:r>
        <w:rPr>
          <w:rFonts w:ascii="Cambria Math" w:hAnsi="Cambria Math" w:cs="Cambria Math"/>
        </w:rPr>
        <w:t>◆</w:t>
      </w:r>
      <w:r>
        <w:rPr>
          <w:rFonts w:ascii="Times New Roman" w:cs="Times New Roman"/>
        </w:rPr>
        <w:t xml:space="preserve"> </w:t>
      </w:r>
      <w:r>
        <w:rPr>
          <w:rStyle w:val="3582"/>
          <w:rFonts w:ascii="Times New Roman" w:cs="Times New Roman"/>
          <w:color w:val="auto"/>
        </w:rPr>
        <w:t>分析判定相关情况</w:t>
      </w:r>
      <w:bookmarkEnd w:id="10"/>
      <w:bookmarkEnd w:id="11"/>
      <w:bookmarkEnd w:id="12"/>
    </w:p>
    <w:p>
      <w:pPr>
        <w:pStyle w:val="458"/>
        <w:numPr>
          <w:ilvl w:val="0"/>
          <w:numId w:val="47"/>
        </w:numPr>
        <w:ind w:firstLineChars="0"/>
        <w:rPr>
          <w:rFonts w:cs="Times New Roman"/>
          <w:b/>
          <w:color w:val="auto"/>
        </w:rPr>
      </w:pPr>
      <w:r>
        <w:rPr>
          <w:rFonts w:cs="Times New Roman"/>
          <w:b/>
          <w:color w:val="auto"/>
        </w:rPr>
        <w:t>产业政策符合性分析</w:t>
      </w:r>
    </w:p>
    <w:p>
      <w:pPr>
        <w:pStyle w:val="458"/>
        <w:ind w:firstLine="480"/>
        <w:rPr>
          <w:rFonts w:cs="Times New Roman"/>
          <w:color w:val="auto"/>
        </w:rPr>
      </w:pPr>
      <w:r>
        <w:rPr>
          <w:rFonts w:cs="Times New Roman"/>
          <w:color w:val="auto"/>
          <w:szCs w:val="24"/>
        </w:rPr>
        <w:t>根据《产业结构调整指导目录（2019年本）》</w:t>
      </w:r>
      <w:r>
        <w:rPr>
          <w:rFonts w:hint="eastAsia" w:cs="Times New Roman"/>
          <w:color w:val="auto"/>
          <w:szCs w:val="24"/>
        </w:rPr>
        <w:t>（2021年修改）</w:t>
      </w:r>
      <w:r>
        <w:rPr>
          <w:rFonts w:cs="Times New Roman"/>
          <w:color w:val="auto"/>
          <w:szCs w:val="24"/>
        </w:rPr>
        <w:t>，本项目属于</w:t>
      </w:r>
      <w:r>
        <w:rPr>
          <w:rFonts w:cs="Times New Roman" w:asciiTheme="minorEastAsia" w:hAnsiTheme="minorEastAsia" w:eastAsiaTheme="minorEastAsia"/>
          <w:color w:val="auto"/>
          <w:szCs w:val="24"/>
        </w:rPr>
        <w:t>“</w:t>
      </w:r>
      <w:r>
        <w:rPr>
          <w:rFonts w:cs="Times New Roman"/>
          <w:color w:val="auto"/>
          <w:szCs w:val="24"/>
        </w:rPr>
        <w:t>鼓励类</w:t>
      </w:r>
      <w:r>
        <w:rPr>
          <w:rFonts w:cs="Times New Roman" w:asciiTheme="minorEastAsia" w:hAnsiTheme="minorEastAsia" w:eastAsiaTheme="minorEastAsia"/>
          <w:color w:val="auto"/>
          <w:szCs w:val="24"/>
        </w:rPr>
        <w:t>”</w:t>
      </w:r>
      <w:r>
        <w:rPr>
          <w:rFonts w:cs="Times New Roman"/>
          <w:color w:val="auto"/>
          <w:szCs w:val="24"/>
        </w:rPr>
        <w:t>第二十五条</w:t>
      </w:r>
      <w:r>
        <w:rPr>
          <w:rFonts w:cs="Times New Roman" w:asciiTheme="minorEastAsia" w:hAnsiTheme="minorEastAsia" w:eastAsiaTheme="minorEastAsia"/>
          <w:color w:val="auto"/>
          <w:szCs w:val="24"/>
        </w:rPr>
        <w:t>“</w:t>
      </w:r>
      <w:r>
        <w:rPr>
          <w:rFonts w:cs="Times New Roman"/>
          <w:color w:val="auto"/>
          <w:szCs w:val="24"/>
        </w:rPr>
        <w:t>水运</w:t>
      </w:r>
      <w:r>
        <w:rPr>
          <w:rFonts w:cs="Times New Roman" w:asciiTheme="minorEastAsia" w:hAnsiTheme="minorEastAsia" w:eastAsiaTheme="minorEastAsia"/>
          <w:color w:val="auto"/>
          <w:szCs w:val="24"/>
        </w:rPr>
        <w:t>”</w:t>
      </w:r>
      <w:r>
        <w:rPr>
          <w:rFonts w:cs="Times New Roman"/>
          <w:color w:val="auto"/>
          <w:szCs w:val="24"/>
        </w:rPr>
        <w:t>中的</w:t>
      </w:r>
      <w:r>
        <w:rPr>
          <w:rFonts w:cs="Times New Roman" w:asciiTheme="minorEastAsia" w:hAnsiTheme="minorEastAsia" w:eastAsiaTheme="minorEastAsia"/>
          <w:color w:val="auto"/>
          <w:szCs w:val="24"/>
        </w:rPr>
        <w:t>“</w:t>
      </w:r>
      <w:r>
        <w:rPr>
          <w:rFonts w:cs="Times New Roman"/>
          <w:color w:val="auto"/>
          <w:szCs w:val="24"/>
        </w:rPr>
        <w:t>1、深水泊位（沿海万吨级、内河千吨级及以上）建设</w:t>
      </w:r>
      <w:r>
        <w:rPr>
          <w:rFonts w:cs="Times New Roman" w:asciiTheme="minorEastAsia" w:hAnsiTheme="minorEastAsia" w:eastAsiaTheme="minorEastAsia"/>
          <w:color w:val="auto"/>
          <w:szCs w:val="24"/>
        </w:rPr>
        <w:t>”</w:t>
      </w:r>
      <w:r>
        <w:rPr>
          <w:rFonts w:cs="Times New Roman"/>
          <w:color w:val="auto"/>
          <w:szCs w:val="24"/>
        </w:rPr>
        <w:t>项目。另外，本项目不属于原国土资源部、国家发展和改革委员会</w:t>
      </w:r>
      <w:r>
        <w:rPr>
          <w:rFonts w:cs="Times New Roman" w:asciiTheme="minorEastAsia" w:hAnsiTheme="minorEastAsia" w:eastAsiaTheme="minorEastAsia"/>
          <w:color w:val="auto"/>
          <w:szCs w:val="24"/>
        </w:rPr>
        <w:t>“</w:t>
      </w:r>
      <w:r>
        <w:rPr>
          <w:rFonts w:cs="Times New Roman"/>
          <w:color w:val="auto"/>
          <w:szCs w:val="24"/>
        </w:rPr>
        <w:t>关于发布实施《限制用地项目目录（2012年本）》和《禁止用地项目目录（2012年本）》的通知</w:t>
      </w:r>
      <w:r>
        <w:rPr>
          <w:rFonts w:cs="Times New Roman" w:asciiTheme="minorEastAsia" w:hAnsiTheme="minorEastAsia" w:eastAsiaTheme="minorEastAsia"/>
          <w:color w:val="auto"/>
          <w:szCs w:val="24"/>
        </w:rPr>
        <w:t>”</w:t>
      </w:r>
      <w:r>
        <w:rPr>
          <w:rFonts w:cs="Times New Roman"/>
          <w:color w:val="auto"/>
          <w:szCs w:val="24"/>
        </w:rPr>
        <w:t>的项目。因此，</w:t>
      </w:r>
      <w:r>
        <w:rPr>
          <w:rFonts w:cs="Times New Roman" w:eastAsiaTheme="minorEastAsia"/>
          <w:color w:val="auto"/>
          <w:kern w:val="0"/>
          <w:szCs w:val="24"/>
        </w:rPr>
        <w:t>本项目的建设符合国家产业政策和相关法律、法规的要求</w:t>
      </w:r>
      <w:r>
        <w:rPr>
          <w:rFonts w:cs="Times New Roman"/>
          <w:color w:val="auto"/>
          <w:szCs w:val="24"/>
        </w:rPr>
        <w:t>。</w:t>
      </w:r>
    </w:p>
    <w:p>
      <w:pPr>
        <w:pStyle w:val="458"/>
        <w:numPr>
          <w:ilvl w:val="0"/>
          <w:numId w:val="47"/>
        </w:numPr>
        <w:ind w:firstLineChars="0"/>
        <w:rPr>
          <w:rFonts w:cs="Times New Roman"/>
          <w:b/>
          <w:color w:val="auto"/>
        </w:rPr>
      </w:pPr>
      <w:r>
        <w:rPr>
          <w:rFonts w:cs="Times New Roman"/>
          <w:b/>
          <w:color w:val="auto"/>
        </w:rPr>
        <w:t>相关规划符合性分析</w:t>
      </w:r>
    </w:p>
    <w:p>
      <w:pPr>
        <w:pStyle w:val="458"/>
        <w:ind w:firstLine="480"/>
        <w:rPr>
          <w:rFonts w:cs="Times New Roman"/>
          <w:color w:val="auto"/>
        </w:rPr>
      </w:pPr>
      <w:r>
        <w:rPr>
          <w:rFonts w:cs="Times New Roman"/>
          <w:color w:val="auto"/>
        </w:rPr>
        <w:t>本项目符合《长江干线航道总体规划纲要》、《长江干线航道建设规划》、《长江岸线保护和开发利用总体规划》、《长江经济带发展负面清单指南（试行，2022年版）》、《湖南省交通运输</w:t>
      </w:r>
      <w:r>
        <w:rPr>
          <w:rFonts w:cs="Times New Roman" w:asciiTheme="minorEastAsia" w:hAnsiTheme="minorEastAsia" w:eastAsiaTheme="minorEastAsia"/>
          <w:color w:val="auto"/>
        </w:rPr>
        <w:t>“</w:t>
      </w:r>
      <w:r>
        <w:rPr>
          <w:rFonts w:cs="Times New Roman"/>
          <w:color w:val="auto"/>
        </w:rPr>
        <w:t>十四五</w:t>
      </w:r>
      <w:r>
        <w:rPr>
          <w:rFonts w:cs="Times New Roman" w:asciiTheme="minorEastAsia" w:hAnsiTheme="minorEastAsia" w:eastAsiaTheme="minorEastAsia"/>
          <w:color w:val="auto"/>
        </w:rPr>
        <w:t>”</w:t>
      </w:r>
      <w:r>
        <w:rPr>
          <w:rFonts w:cs="Times New Roman"/>
          <w:color w:val="auto"/>
        </w:rPr>
        <w:t>发展规划》、《湖南省港口布局规划</w:t>
      </w:r>
      <w:r>
        <w:rPr>
          <w:rFonts w:hint="eastAsia" w:cs="Times New Roman"/>
          <w:color w:val="auto"/>
        </w:rPr>
        <w:t>（修订）</w:t>
      </w:r>
      <w:r>
        <w:rPr>
          <w:rFonts w:cs="Times New Roman"/>
          <w:color w:val="auto"/>
        </w:rPr>
        <w:t>》、《岳阳市城市总体规划（2008- 2030）》、《岳阳市生态环境保护</w:t>
      </w:r>
      <w:r>
        <w:rPr>
          <w:rFonts w:cs="Times New Roman" w:asciiTheme="minorEastAsia" w:hAnsiTheme="minorEastAsia" w:eastAsiaTheme="minorEastAsia"/>
          <w:color w:val="auto"/>
        </w:rPr>
        <w:t>”</w:t>
      </w:r>
      <w:r>
        <w:rPr>
          <w:rFonts w:cs="Times New Roman"/>
          <w:color w:val="auto"/>
        </w:rPr>
        <w:t>十四五</w:t>
      </w:r>
      <w:r>
        <w:rPr>
          <w:rFonts w:cs="Times New Roman" w:asciiTheme="minorEastAsia" w:hAnsiTheme="minorEastAsia" w:eastAsiaTheme="minorEastAsia"/>
          <w:color w:val="auto"/>
        </w:rPr>
        <w:t>”</w:t>
      </w:r>
      <w:r>
        <w:rPr>
          <w:rFonts w:cs="Times New Roman"/>
          <w:color w:val="auto"/>
        </w:rPr>
        <w:t>规划》、《岳阳港总体规划》及规划环评、《</w:t>
      </w:r>
      <w:r>
        <w:rPr>
          <w:rFonts w:cs="Times New Roman"/>
          <w:color w:val="auto"/>
          <w:spacing w:val="1"/>
        </w:rPr>
        <w:t>水产种质资源保护区管理暂行办法》</w:t>
      </w:r>
      <w:r>
        <w:rPr>
          <w:rFonts w:cs="Times New Roman"/>
          <w:color w:val="auto"/>
        </w:rPr>
        <w:t>等规划要求。</w:t>
      </w:r>
    </w:p>
    <w:p>
      <w:pPr>
        <w:pStyle w:val="458"/>
        <w:numPr>
          <w:ilvl w:val="0"/>
          <w:numId w:val="47"/>
        </w:numPr>
        <w:ind w:firstLineChars="0"/>
        <w:rPr>
          <w:rFonts w:cs="Times New Roman"/>
          <w:b/>
          <w:color w:val="auto"/>
        </w:rPr>
      </w:pPr>
      <w:r>
        <w:rPr>
          <w:rFonts w:cs="Times New Roman" w:asciiTheme="minorEastAsia" w:hAnsiTheme="minorEastAsia" w:eastAsiaTheme="minorEastAsia"/>
          <w:b/>
          <w:color w:val="auto"/>
        </w:rPr>
        <w:t>“</w:t>
      </w:r>
      <w:r>
        <w:rPr>
          <w:rFonts w:cs="Times New Roman"/>
          <w:b/>
          <w:color w:val="auto"/>
        </w:rPr>
        <w:t>三线一单</w:t>
      </w:r>
      <w:r>
        <w:rPr>
          <w:rFonts w:cs="Times New Roman" w:asciiTheme="minorEastAsia" w:hAnsiTheme="minorEastAsia" w:eastAsiaTheme="minorEastAsia"/>
          <w:b/>
          <w:color w:val="auto"/>
        </w:rPr>
        <w:t>”</w:t>
      </w:r>
      <w:r>
        <w:rPr>
          <w:rFonts w:cs="Times New Roman"/>
          <w:b/>
          <w:color w:val="auto"/>
        </w:rPr>
        <w:t>的符合性分析</w:t>
      </w:r>
    </w:p>
    <w:p>
      <w:pPr>
        <w:pStyle w:val="458"/>
        <w:ind w:firstLine="480"/>
        <w:rPr>
          <w:rFonts w:cs="Times New Roman"/>
          <w:color w:val="auto"/>
        </w:rPr>
      </w:pPr>
      <w:r>
        <w:rPr>
          <w:rFonts w:cs="Times New Roman"/>
          <w:color w:val="auto"/>
        </w:rPr>
        <w:t>本项目不在生态保护红线范围内，项目的建设不会造成所在区域环境质量下降或恶化，符合资源利用上限中相关规定，未纳入湖南省的产业准入负面清单，且不属于港口岸线利用功能准入负面清单中所列明的禁止项目，符合</w:t>
      </w:r>
      <w:r>
        <w:rPr>
          <w:rFonts w:cs="Times New Roman" w:asciiTheme="minorEastAsia" w:hAnsiTheme="minorEastAsia" w:eastAsiaTheme="minorEastAsia"/>
          <w:color w:val="auto"/>
        </w:rPr>
        <w:t>“</w:t>
      </w:r>
      <w:r>
        <w:rPr>
          <w:rFonts w:cs="Times New Roman"/>
          <w:color w:val="auto"/>
        </w:rPr>
        <w:t>三线一单</w:t>
      </w:r>
      <w:r>
        <w:rPr>
          <w:rFonts w:cs="Times New Roman" w:asciiTheme="minorEastAsia" w:hAnsiTheme="minorEastAsia" w:eastAsiaTheme="minorEastAsia"/>
          <w:color w:val="auto"/>
        </w:rPr>
        <w:t>”</w:t>
      </w:r>
      <w:r>
        <w:rPr>
          <w:rFonts w:cs="Times New Roman"/>
          <w:color w:val="auto"/>
        </w:rPr>
        <w:t>的要求。</w:t>
      </w:r>
    </w:p>
    <w:p>
      <w:pPr>
        <w:pStyle w:val="453"/>
        <w:numPr>
          <w:ilvl w:val="0"/>
          <w:numId w:val="0"/>
        </w:numPr>
        <w:rPr>
          <w:rStyle w:val="3582"/>
          <w:rFonts w:ascii="Times New Roman" w:cs="Times New Roman"/>
          <w:color w:val="auto"/>
        </w:rPr>
      </w:pPr>
      <w:bookmarkStart w:id="13" w:name="_Toc5159"/>
      <w:bookmarkStart w:id="14" w:name="_Toc106696986"/>
      <w:bookmarkStart w:id="15" w:name="_Toc8775"/>
      <w:r>
        <w:rPr>
          <w:rFonts w:ascii="Cambria Math" w:hAnsi="Cambria Math" w:cs="Cambria Math"/>
        </w:rPr>
        <w:t>◆</w:t>
      </w:r>
      <w:r>
        <w:rPr>
          <w:rFonts w:ascii="Times New Roman" w:cs="Times New Roman"/>
        </w:rPr>
        <w:t xml:space="preserve"> </w:t>
      </w:r>
      <w:r>
        <w:rPr>
          <w:rStyle w:val="3582"/>
          <w:rFonts w:ascii="Times New Roman" w:cs="Times New Roman"/>
          <w:color w:val="auto"/>
        </w:rPr>
        <w:t>项目关注的主要环境问题及环境影响</w:t>
      </w:r>
      <w:bookmarkEnd w:id="13"/>
      <w:bookmarkEnd w:id="14"/>
      <w:bookmarkEnd w:id="15"/>
    </w:p>
    <w:p>
      <w:pPr>
        <w:pStyle w:val="458"/>
        <w:ind w:firstLine="480"/>
        <w:rPr>
          <w:rFonts w:cs="Times New Roman"/>
          <w:color w:val="auto"/>
        </w:rPr>
      </w:pPr>
      <w:r>
        <w:rPr>
          <w:rFonts w:cs="Times New Roman"/>
          <w:color w:val="auto"/>
        </w:rPr>
        <w:t>根据《环境影响评价技术导则》的要求，结合项目特点和区域环境功能现状等的要求，本次评价关注的主要环境问题为：</w:t>
      </w:r>
    </w:p>
    <w:p>
      <w:pPr>
        <w:pStyle w:val="458"/>
        <w:numPr>
          <w:ilvl w:val="0"/>
          <w:numId w:val="48"/>
        </w:numPr>
        <w:ind w:left="0" w:firstLine="480"/>
        <w:rPr>
          <w:rFonts w:cs="Times New Roman"/>
          <w:color w:val="auto"/>
        </w:rPr>
      </w:pPr>
      <w:r>
        <w:rPr>
          <w:rFonts w:cs="Times New Roman"/>
          <w:color w:val="auto"/>
        </w:rPr>
        <w:t>码头工程施工、运营对长江水质、水生生态、洞庭湖口铜鱼短颌鲚国家级水产种质资源保护区的影响及防治和减缓影响的措施；</w:t>
      </w:r>
    </w:p>
    <w:p>
      <w:pPr>
        <w:pStyle w:val="458"/>
        <w:numPr>
          <w:ilvl w:val="0"/>
          <w:numId w:val="48"/>
        </w:numPr>
        <w:ind w:left="0" w:firstLine="480"/>
        <w:rPr>
          <w:rFonts w:cs="Times New Roman"/>
          <w:color w:val="auto"/>
        </w:rPr>
      </w:pPr>
      <w:r>
        <w:rPr>
          <w:rFonts w:cs="Times New Roman"/>
          <w:color w:val="auto"/>
        </w:rPr>
        <w:t>营运期</w:t>
      </w:r>
      <w:r>
        <w:rPr>
          <w:rFonts w:hint="eastAsia" w:cs="Times New Roman"/>
          <w:color w:val="auto"/>
        </w:rPr>
        <w:t>货物</w:t>
      </w:r>
      <w:r>
        <w:rPr>
          <w:rFonts w:cs="Times New Roman"/>
          <w:color w:val="auto"/>
        </w:rPr>
        <w:t>装卸过程产生的 TSP 对周边环境的影响，包括影响范围和程度及拟采取的环境保护措施等；</w:t>
      </w:r>
    </w:p>
    <w:p>
      <w:pPr>
        <w:pStyle w:val="458"/>
        <w:numPr>
          <w:ilvl w:val="0"/>
          <w:numId w:val="48"/>
        </w:numPr>
        <w:ind w:left="0" w:firstLine="480"/>
        <w:rPr>
          <w:rFonts w:cs="Times New Roman"/>
          <w:color w:val="auto"/>
        </w:rPr>
      </w:pPr>
      <w:r>
        <w:rPr>
          <w:rFonts w:cs="Times New Roman"/>
          <w:color w:val="auto"/>
        </w:rPr>
        <w:t>营运期废气、废水、噪声的排放对环境的影响以及各类固体废物的产生、处理处置情况；</w:t>
      </w:r>
    </w:p>
    <w:p>
      <w:pPr>
        <w:pStyle w:val="458"/>
        <w:numPr>
          <w:ilvl w:val="0"/>
          <w:numId w:val="48"/>
        </w:numPr>
        <w:ind w:left="0" w:firstLine="480"/>
        <w:rPr>
          <w:rFonts w:cs="Times New Roman"/>
          <w:color w:val="auto"/>
        </w:rPr>
      </w:pPr>
      <w:r>
        <w:rPr>
          <w:rFonts w:cs="Times New Roman"/>
          <w:color w:val="auto"/>
        </w:rPr>
        <w:t>营运期码头工程可能发生的船舶事故溢油对长江水环境的影响，包括影响范围和程度及拟采取的事故风险防范措施和应急预案等；</w:t>
      </w:r>
    </w:p>
    <w:p>
      <w:pPr>
        <w:pStyle w:val="458"/>
        <w:numPr>
          <w:ilvl w:val="0"/>
          <w:numId w:val="48"/>
        </w:numPr>
        <w:ind w:left="0" w:firstLine="480"/>
        <w:rPr>
          <w:rFonts w:cs="Times New Roman"/>
          <w:color w:val="auto"/>
        </w:rPr>
      </w:pPr>
      <w:r>
        <w:rPr>
          <w:rFonts w:cs="Times New Roman"/>
          <w:color w:val="auto"/>
        </w:rPr>
        <w:t>营运期可能发生的船舶油品泄漏对大气、地下水、土壤环境的影响及拟采取的事故风险防范措施。</w:t>
      </w:r>
    </w:p>
    <w:p>
      <w:pPr>
        <w:pStyle w:val="453"/>
        <w:numPr>
          <w:ilvl w:val="0"/>
          <w:numId w:val="0"/>
        </w:numPr>
        <w:rPr>
          <w:rStyle w:val="3582"/>
          <w:rFonts w:ascii="Times New Roman" w:cs="Times New Roman"/>
          <w:color w:val="auto"/>
        </w:rPr>
      </w:pPr>
      <w:bookmarkStart w:id="16" w:name="_Toc10138"/>
      <w:bookmarkStart w:id="17" w:name="_Toc106696987"/>
      <w:bookmarkStart w:id="18" w:name="_Toc19660"/>
      <w:r>
        <w:rPr>
          <w:rFonts w:ascii="Cambria Math" w:hAnsi="Cambria Math" w:cs="Cambria Math"/>
        </w:rPr>
        <w:t>◆</w:t>
      </w:r>
      <w:r>
        <w:rPr>
          <w:rFonts w:ascii="Times New Roman" w:cs="Times New Roman"/>
        </w:rPr>
        <w:t xml:space="preserve"> </w:t>
      </w:r>
      <w:r>
        <w:rPr>
          <w:rStyle w:val="3582"/>
          <w:rFonts w:ascii="Times New Roman" w:cs="Times New Roman"/>
          <w:color w:val="auto"/>
        </w:rPr>
        <w:t>环境影响评价主要结论</w:t>
      </w:r>
      <w:bookmarkEnd w:id="16"/>
      <w:bookmarkEnd w:id="17"/>
      <w:bookmarkEnd w:id="18"/>
    </w:p>
    <w:p>
      <w:pPr>
        <w:pStyle w:val="458"/>
        <w:ind w:firstLine="468"/>
        <w:rPr>
          <w:rFonts w:cs="Times New Roman"/>
          <w:color w:val="auto"/>
          <w:spacing w:val="-3"/>
          <w:szCs w:val="24"/>
        </w:rPr>
      </w:pPr>
      <w:r>
        <w:rPr>
          <w:rFonts w:cs="Times New Roman"/>
          <w:color w:val="auto"/>
          <w:spacing w:val="-3"/>
          <w:szCs w:val="24"/>
        </w:rPr>
        <w:t>本项目的建设符合国家产业政策</w:t>
      </w:r>
      <w:r>
        <w:rPr>
          <w:rFonts w:cs="Times New Roman"/>
          <w:color w:val="auto"/>
        </w:rPr>
        <w:t>，建设符合区域总体发展规划、土地利用规划和港口规划，项目选址合理。该工程的实施具有良好的经济效益和社会效益；通过建设单位严格执行国家有关环境保护法规，严格执行国家</w:t>
      </w:r>
      <w:r>
        <w:rPr>
          <w:rFonts w:cs="Times New Roman" w:asciiTheme="minorEastAsia" w:hAnsiTheme="minorEastAsia" w:eastAsiaTheme="minorEastAsia"/>
          <w:color w:val="auto"/>
        </w:rPr>
        <w:t>“</w:t>
      </w:r>
      <w:r>
        <w:rPr>
          <w:rFonts w:cs="Times New Roman"/>
          <w:color w:val="auto"/>
        </w:rPr>
        <w:t>三同时</w:t>
      </w:r>
      <w:r>
        <w:rPr>
          <w:rFonts w:cs="Times New Roman" w:asciiTheme="minorEastAsia" w:hAnsiTheme="minorEastAsia" w:eastAsiaTheme="minorEastAsia"/>
          <w:color w:val="auto"/>
        </w:rPr>
        <w:t>”</w:t>
      </w:r>
      <w:r>
        <w:rPr>
          <w:rFonts w:cs="Times New Roman"/>
          <w:color w:val="auto"/>
        </w:rPr>
        <w:t>制度，建立和落实各项风险防范措施和事故应急预案，杜绝重大环境污染事故的发生，可使项目建成后对周围环境影响减少到最低限度</w:t>
      </w:r>
      <w:r>
        <w:rPr>
          <w:rFonts w:cs="Times New Roman"/>
          <w:color w:val="auto"/>
          <w:spacing w:val="-3"/>
          <w:szCs w:val="24"/>
        </w:rPr>
        <w:t>。项目的建设从环境保护角度而言是可行的。</w:t>
      </w:r>
    </w:p>
    <w:p>
      <w:pPr>
        <w:pStyle w:val="458"/>
        <w:ind w:firstLine="468"/>
        <w:rPr>
          <w:rFonts w:cs="Times New Roman"/>
          <w:color w:val="auto"/>
          <w:spacing w:val="-3"/>
          <w:szCs w:val="24"/>
        </w:rPr>
        <w:sectPr>
          <w:footerReference r:id="rId16" w:type="default"/>
          <w:pgSz w:w="11906" w:h="16838"/>
          <w:pgMar w:top="1418" w:right="1418" w:bottom="1418" w:left="1418"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457"/>
        <w:ind w:firstLine="0" w:firstLineChars="0"/>
        <w:rPr>
          <w:rFonts w:ascii="Times New Roman" w:hAnsi="Times New Roman" w:cs="Times New Roman"/>
        </w:rPr>
      </w:pPr>
      <w:bookmarkStart w:id="19" w:name="_Toc401255934"/>
      <w:bookmarkStart w:id="20" w:name="_Toc18773468"/>
      <w:r>
        <w:rPr>
          <w:rFonts w:ascii="Times New Roman" w:hAnsi="Times New Roman" w:cs="Times New Roman"/>
        </w:rPr>
        <w:t xml:space="preserve">  </w:t>
      </w:r>
      <w:bookmarkStart w:id="21" w:name="_Toc106696988"/>
      <w:bookmarkStart w:id="22" w:name="_Toc23250"/>
      <w:bookmarkStart w:id="23" w:name="_Toc3535"/>
      <w:r>
        <w:rPr>
          <w:rFonts w:ascii="Times New Roman" w:hAnsi="Times New Roman" w:cs="Times New Roman"/>
        </w:rPr>
        <w:t>总则</w:t>
      </w:r>
      <w:bookmarkEnd w:id="19"/>
      <w:bookmarkEnd w:id="21"/>
      <w:bookmarkEnd w:id="22"/>
      <w:bookmarkEnd w:id="23"/>
    </w:p>
    <w:bookmarkEnd w:id="20"/>
    <w:p>
      <w:pPr>
        <w:pStyle w:val="453"/>
        <w:ind w:firstLine="643" w:firstLineChars="0"/>
        <w:rPr>
          <w:rFonts w:ascii="Times New Roman" w:cs="Times New Roman"/>
        </w:rPr>
      </w:pPr>
      <w:bookmarkStart w:id="24" w:name="_Toc26531"/>
      <w:bookmarkStart w:id="25" w:name="_Toc106696989"/>
      <w:bookmarkStart w:id="26" w:name="_Toc401255937"/>
      <w:bookmarkStart w:id="27" w:name="_Toc439880008"/>
      <w:bookmarkStart w:id="28" w:name="_Toc29442"/>
      <w:r>
        <w:rPr>
          <w:rFonts w:ascii="Times New Roman" w:cs="Times New Roman"/>
        </w:rPr>
        <w:t>编制依据</w:t>
      </w:r>
      <w:bookmarkEnd w:id="24"/>
      <w:bookmarkEnd w:id="25"/>
      <w:bookmarkEnd w:id="26"/>
      <w:bookmarkEnd w:id="27"/>
      <w:bookmarkEnd w:id="28"/>
    </w:p>
    <w:p>
      <w:pPr>
        <w:pStyle w:val="454"/>
        <w:ind w:firstLine="602"/>
        <w:rPr>
          <w:color w:val="auto"/>
        </w:rPr>
      </w:pPr>
      <w:r>
        <w:rPr>
          <w:color w:val="auto"/>
        </w:rPr>
        <w:t>国家法律法规和部门规章</w:t>
      </w:r>
    </w:p>
    <w:p>
      <w:pPr>
        <w:pStyle w:val="204"/>
        <w:numPr>
          <w:ilvl w:val="0"/>
          <w:numId w:val="49"/>
        </w:numPr>
        <w:tabs>
          <w:tab w:val="left" w:pos="900"/>
        </w:tabs>
        <w:spacing w:line="360" w:lineRule="auto"/>
        <w:ind w:left="0" w:firstLine="480"/>
      </w:pPr>
      <w:r>
        <w:t>《中华人民共和国环境保护法》（2014年4月24日</w:t>
      </w:r>
      <w:r>
        <w:rPr>
          <w:snapToGrid w:val="0"/>
        </w:rPr>
        <w:t>修订</w:t>
      </w:r>
      <w:r>
        <w:t>，2015年1月1日施行）；</w:t>
      </w:r>
    </w:p>
    <w:p>
      <w:pPr>
        <w:pStyle w:val="204"/>
        <w:numPr>
          <w:ilvl w:val="0"/>
          <w:numId w:val="49"/>
        </w:numPr>
        <w:tabs>
          <w:tab w:val="left" w:pos="900"/>
        </w:tabs>
        <w:spacing w:line="360" w:lineRule="auto"/>
        <w:ind w:left="0" w:firstLine="480"/>
      </w:pPr>
      <w:r>
        <w:t>《中华人民共和国环境影响评价法》（2018年12月29日修订）；</w:t>
      </w:r>
    </w:p>
    <w:p>
      <w:pPr>
        <w:pStyle w:val="204"/>
        <w:numPr>
          <w:ilvl w:val="0"/>
          <w:numId w:val="49"/>
        </w:numPr>
        <w:tabs>
          <w:tab w:val="left" w:pos="900"/>
        </w:tabs>
        <w:spacing w:line="360" w:lineRule="auto"/>
        <w:ind w:left="0" w:firstLine="480"/>
      </w:pPr>
      <w:r>
        <w:t>《中华人民共和国水污染防治法》（2017年6月27日修订，2018年1月1日施行）；</w:t>
      </w:r>
    </w:p>
    <w:p>
      <w:pPr>
        <w:pStyle w:val="204"/>
        <w:numPr>
          <w:ilvl w:val="0"/>
          <w:numId w:val="49"/>
        </w:numPr>
        <w:tabs>
          <w:tab w:val="left" w:pos="900"/>
        </w:tabs>
        <w:spacing w:line="360" w:lineRule="auto"/>
        <w:ind w:left="0" w:firstLine="480"/>
      </w:pPr>
      <w:r>
        <w:t>《中华人民共和国大气污染防治法》（2018年10月26日修订）；</w:t>
      </w:r>
    </w:p>
    <w:p>
      <w:pPr>
        <w:pStyle w:val="204"/>
        <w:numPr>
          <w:ilvl w:val="0"/>
          <w:numId w:val="49"/>
        </w:numPr>
        <w:tabs>
          <w:tab w:val="left" w:pos="900"/>
        </w:tabs>
        <w:spacing w:line="360" w:lineRule="auto"/>
        <w:ind w:left="0" w:firstLine="480"/>
      </w:pPr>
      <w:r>
        <w:t>《中华人民共和国噪声污染防治法》（2021年12月24日修订</w:t>
      </w:r>
      <w:r>
        <w:rPr>
          <w:rFonts w:hint="eastAsia"/>
        </w:rPr>
        <w:t>，2022年6月5日施行</w:t>
      </w:r>
      <w:r>
        <w:t>）；</w:t>
      </w:r>
    </w:p>
    <w:p>
      <w:pPr>
        <w:pStyle w:val="204"/>
        <w:numPr>
          <w:ilvl w:val="0"/>
          <w:numId w:val="49"/>
        </w:numPr>
        <w:tabs>
          <w:tab w:val="left" w:pos="900"/>
        </w:tabs>
        <w:spacing w:line="360" w:lineRule="auto"/>
        <w:ind w:left="0" w:firstLine="480"/>
      </w:pPr>
      <w:r>
        <w:t>《中华人民共和国固体废物污染环境防治法》（2020年4月29日修订）；</w:t>
      </w:r>
    </w:p>
    <w:p>
      <w:pPr>
        <w:pStyle w:val="204"/>
        <w:numPr>
          <w:ilvl w:val="0"/>
          <w:numId w:val="49"/>
        </w:numPr>
        <w:tabs>
          <w:tab w:val="left" w:pos="900"/>
        </w:tabs>
        <w:spacing w:line="360" w:lineRule="auto"/>
        <w:ind w:left="0" w:firstLine="480"/>
      </w:pPr>
      <w:r>
        <w:t>《中华人民共和国土壤污染防治法》（2019年1月1日起施行）；</w:t>
      </w:r>
    </w:p>
    <w:p>
      <w:pPr>
        <w:pStyle w:val="204"/>
        <w:numPr>
          <w:ilvl w:val="0"/>
          <w:numId w:val="49"/>
        </w:numPr>
        <w:tabs>
          <w:tab w:val="left" w:pos="900"/>
        </w:tabs>
        <w:spacing w:line="360" w:lineRule="auto"/>
        <w:ind w:left="0" w:firstLine="480"/>
      </w:pPr>
      <w:r>
        <w:t>《中华人民共和国土地管理法》（2019年8月26日修订）；</w:t>
      </w:r>
    </w:p>
    <w:p>
      <w:pPr>
        <w:pStyle w:val="204"/>
        <w:numPr>
          <w:ilvl w:val="0"/>
          <w:numId w:val="49"/>
        </w:numPr>
        <w:tabs>
          <w:tab w:val="left" w:pos="900"/>
        </w:tabs>
        <w:spacing w:line="360" w:lineRule="auto"/>
        <w:ind w:left="0" w:firstLine="480"/>
      </w:pPr>
      <w:r>
        <w:t>《中华人民共和国长江保护法》</w:t>
      </w:r>
      <w:r>
        <w:rPr>
          <w:rFonts w:hint="eastAsia"/>
        </w:rPr>
        <w:t>（</w:t>
      </w:r>
      <w:r>
        <w:rPr>
          <w:rStyle w:val="133"/>
          <w:rFonts w:hint="eastAsia"/>
          <w:b w:val="0"/>
        </w:rPr>
        <w:t>2020年12月26日第十三届全国人民代表大会常务委员会第二十四次会议通过，2021年3月1日起施行</w:t>
      </w:r>
      <w:r>
        <w:rPr>
          <w:rFonts w:hint="eastAsia"/>
        </w:rPr>
        <w:t>）；</w:t>
      </w:r>
    </w:p>
    <w:p>
      <w:pPr>
        <w:pStyle w:val="204"/>
        <w:numPr>
          <w:ilvl w:val="0"/>
          <w:numId w:val="49"/>
        </w:numPr>
        <w:tabs>
          <w:tab w:val="left" w:pos="900"/>
        </w:tabs>
        <w:spacing w:line="360" w:lineRule="auto"/>
        <w:ind w:left="0" w:firstLine="480"/>
      </w:pPr>
      <w:r>
        <w:t>《中华人民共和国水土保持法》（2010年12月25日修订，2011年3月1日实施）；</w:t>
      </w:r>
    </w:p>
    <w:p>
      <w:pPr>
        <w:pStyle w:val="204"/>
        <w:numPr>
          <w:ilvl w:val="0"/>
          <w:numId w:val="49"/>
        </w:numPr>
        <w:tabs>
          <w:tab w:val="left" w:pos="900"/>
        </w:tabs>
        <w:spacing w:line="360" w:lineRule="auto"/>
        <w:ind w:left="0" w:firstLine="480"/>
      </w:pPr>
      <w:r>
        <w:t>《中华人民共和国清洁生产促进法》（2012年7月1日起施行）；</w:t>
      </w:r>
    </w:p>
    <w:p>
      <w:pPr>
        <w:pStyle w:val="204"/>
        <w:numPr>
          <w:ilvl w:val="0"/>
          <w:numId w:val="49"/>
        </w:numPr>
        <w:tabs>
          <w:tab w:val="left" w:pos="900"/>
        </w:tabs>
        <w:spacing w:line="360" w:lineRule="auto"/>
        <w:ind w:left="0" w:firstLine="480"/>
      </w:pPr>
      <w:r>
        <w:t>《中华人民共和国节约能源法》（2018年10月26日修订并实施）；</w:t>
      </w:r>
    </w:p>
    <w:p>
      <w:pPr>
        <w:pStyle w:val="204"/>
        <w:numPr>
          <w:ilvl w:val="0"/>
          <w:numId w:val="49"/>
        </w:numPr>
        <w:tabs>
          <w:tab w:val="left" w:pos="900"/>
        </w:tabs>
        <w:spacing w:line="360" w:lineRule="auto"/>
        <w:ind w:left="0" w:firstLine="480"/>
      </w:pPr>
      <w:r>
        <w:t>《中华人民共和国渔业法》（</w:t>
      </w:r>
      <w:r>
        <w:rPr>
          <w:rFonts w:hint="eastAsia"/>
          <w:lang w:val="en-US" w:eastAsia="zh-CN"/>
        </w:rPr>
        <w:t>2013年修正，</w:t>
      </w:r>
      <w:r>
        <w:t>20</w:t>
      </w:r>
      <w:r>
        <w:rPr>
          <w:rFonts w:hint="eastAsia"/>
          <w:lang w:val="en-US" w:eastAsia="zh-CN"/>
        </w:rPr>
        <w:t>14</w:t>
      </w:r>
      <w:r>
        <w:t>年</w:t>
      </w:r>
      <w:r>
        <w:rPr>
          <w:rFonts w:hint="eastAsia"/>
          <w:lang w:val="en-US" w:eastAsia="zh-CN"/>
        </w:rPr>
        <w:t>3</w:t>
      </w:r>
      <w:r>
        <w:t>月</w:t>
      </w:r>
      <w:r>
        <w:rPr>
          <w:rFonts w:hint="eastAsia"/>
          <w:lang w:val="en-US" w:eastAsia="zh-CN"/>
        </w:rPr>
        <w:t>1</w:t>
      </w:r>
      <w:r>
        <w:t>日</w:t>
      </w:r>
      <w:r>
        <w:rPr>
          <w:rFonts w:hint="eastAsia"/>
          <w:lang w:val="en-US" w:eastAsia="zh-CN"/>
        </w:rPr>
        <w:t>起施行</w:t>
      </w:r>
      <w:r>
        <w:t>）；</w:t>
      </w:r>
    </w:p>
    <w:p>
      <w:pPr>
        <w:pStyle w:val="204"/>
        <w:numPr>
          <w:ilvl w:val="0"/>
          <w:numId w:val="49"/>
        </w:numPr>
        <w:tabs>
          <w:tab w:val="left" w:pos="900"/>
        </w:tabs>
        <w:spacing w:line="360" w:lineRule="auto"/>
        <w:ind w:left="0" w:firstLine="480"/>
      </w:pPr>
      <w:r>
        <w:t>《中华人民共和国防洪法》（2016年7月2日修订）；</w:t>
      </w:r>
    </w:p>
    <w:p>
      <w:pPr>
        <w:pStyle w:val="204"/>
        <w:numPr>
          <w:ilvl w:val="0"/>
          <w:numId w:val="49"/>
        </w:numPr>
        <w:tabs>
          <w:tab w:val="left" w:pos="900"/>
        </w:tabs>
        <w:spacing w:line="360" w:lineRule="auto"/>
        <w:ind w:left="0" w:firstLine="480"/>
      </w:pPr>
      <w:r>
        <w:t>《中华人民共和国航道法》（2016年7月2日修正）；</w:t>
      </w:r>
    </w:p>
    <w:p>
      <w:pPr>
        <w:pStyle w:val="204"/>
        <w:numPr>
          <w:ilvl w:val="0"/>
          <w:numId w:val="49"/>
        </w:numPr>
        <w:tabs>
          <w:tab w:val="left" w:pos="900"/>
        </w:tabs>
        <w:spacing w:line="360" w:lineRule="auto"/>
        <w:ind w:left="0" w:firstLine="480"/>
      </w:pPr>
      <w:r>
        <w:t>《中华人民共和国港口法》（2017年11月4日修正）；</w:t>
      </w:r>
    </w:p>
    <w:p>
      <w:pPr>
        <w:pStyle w:val="204"/>
        <w:numPr>
          <w:ilvl w:val="0"/>
          <w:numId w:val="49"/>
        </w:numPr>
        <w:tabs>
          <w:tab w:val="left" w:pos="900"/>
        </w:tabs>
        <w:spacing w:line="360" w:lineRule="auto"/>
        <w:ind w:left="0" w:firstLine="480"/>
      </w:pPr>
      <w:r>
        <w:t>《中华人民共和国野生动物保护法》（</w:t>
      </w:r>
      <w:r>
        <w:rPr>
          <w:szCs w:val="24"/>
        </w:rPr>
        <w:t>2018年10月26日修订</w:t>
      </w:r>
      <w:r>
        <w:t>）；</w:t>
      </w:r>
    </w:p>
    <w:p>
      <w:pPr>
        <w:pStyle w:val="204"/>
        <w:numPr>
          <w:ilvl w:val="0"/>
          <w:numId w:val="49"/>
        </w:numPr>
        <w:tabs>
          <w:tab w:val="left" w:pos="900"/>
        </w:tabs>
        <w:spacing w:line="360" w:lineRule="auto"/>
        <w:ind w:left="0" w:firstLine="480"/>
      </w:pPr>
      <w:r>
        <w:rPr>
          <w:rFonts w:hint="eastAsia"/>
        </w:rPr>
        <w:t>《中华人民共和国湿地保护法》（</w:t>
      </w:r>
      <w:r>
        <w:rPr>
          <w:bCs/>
        </w:rPr>
        <w:t>2021年12月24日第十三届全国人民代表大会常务委员会第</w:t>
      </w:r>
      <w:r>
        <w:rPr>
          <w:rFonts w:hint="eastAsia"/>
          <w:bCs/>
        </w:rPr>
        <w:t>三十二</w:t>
      </w:r>
      <w:r>
        <w:rPr>
          <w:bCs/>
        </w:rPr>
        <w:t>次会议通过，2022年6月1日起施行</w:t>
      </w:r>
      <w:r>
        <w:rPr>
          <w:rFonts w:hint="eastAsia"/>
        </w:rPr>
        <w:t>）；</w:t>
      </w:r>
    </w:p>
    <w:p>
      <w:pPr>
        <w:pStyle w:val="204"/>
        <w:numPr>
          <w:ilvl w:val="0"/>
          <w:numId w:val="49"/>
        </w:numPr>
        <w:tabs>
          <w:tab w:val="left" w:pos="900"/>
        </w:tabs>
        <w:spacing w:line="360" w:lineRule="auto"/>
        <w:ind w:left="0" w:firstLine="480"/>
      </w:pPr>
      <w:r>
        <w:t>《中华人民共和国陆生野生动物保护实施条例》（2016年2月6日修订）；</w:t>
      </w:r>
    </w:p>
    <w:p>
      <w:pPr>
        <w:pStyle w:val="204"/>
        <w:numPr>
          <w:ilvl w:val="0"/>
          <w:numId w:val="49"/>
        </w:numPr>
        <w:tabs>
          <w:tab w:val="left" w:pos="900"/>
        </w:tabs>
        <w:spacing w:line="360" w:lineRule="auto"/>
        <w:ind w:left="0" w:firstLine="480"/>
      </w:pPr>
      <w:r>
        <w:t>《中华人民共和国水生野生动物保护实施条例》（2013年12月7日修订）；</w:t>
      </w:r>
    </w:p>
    <w:p>
      <w:pPr>
        <w:pStyle w:val="204"/>
        <w:numPr>
          <w:ilvl w:val="0"/>
          <w:numId w:val="49"/>
        </w:numPr>
        <w:tabs>
          <w:tab w:val="left" w:pos="900"/>
        </w:tabs>
        <w:spacing w:line="360" w:lineRule="auto"/>
        <w:ind w:left="0" w:firstLine="480"/>
      </w:pPr>
      <w:r>
        <w:t>《中华人民共和国野生植物保护条例》（2017年10月7日修订）；</w:t>
      </w:r>
    </w:p>
    <w:p>
      <w:pPr>
        <w:pStyle w:val="204"/>
        <w:numPr>
          <w:ilvl w:val="0"/>
          <w:numId w:val="49"/>
        </w:numPr>
        <w:tabs>
          <w:tab w:val="left" w:pos="900"/>
        </w:tabs>
        <w:spacing w:line="360" w:lineRule="auto"/>
        <w:ind w:left="0" w:firstLine="480"/>
      </w:pPr>
      <w:r>
        <w:t>《中华人民共和国内河交通安全管理条例》（2019年3月2日修正）；</w:t>
      </w:r>
    </w:p>
    <w:p>
      <w:pPr>
        <w:pStyle w:val="204"/>
        <w:numPr>
          <w:ilvl w:val="0"/>
          <w:numId w:val="49"/>
        </w:numPr>
        <w:tabs>
          <w:tab w:val="left" w:pos="900"/>
        </w:tabs>
        <w:spacing w:line="360" w:lineRule="auto"/>
        <w:ind w:left="0" w:firstLine="480"/>
      </w:pPr>
      <w:r>
        <w:rPr>
          <w:szCs w:val="24"/>
        </w:rPr>
        <w:t>《中华人民共和国河道管理条例》（根据2017年10月07日《国务院关于修改部分行政法规的决定》第三次修正）；</w:t>
      </w:r>
    </w:p>
    <w:p>
      <w:pPr>
        <w:pStyle w:val="204"/>
        <w:numPr>
          <w:ilvl w:val="0"/>
          <w:numId w:val="49"/>
        </w:numPr>
        <w:tabs>
          <w:tab w:val="left" w:pos="900"/>
        </w:tabs>
        <w:spacing w:line="360" w:lineRule="auto"/>
        <w:ind w:left="0" w:firstLine="480"/>
      </w:pPr>
      <w:r>
        <w:t>《建设项目环境保护管理条例》（国务院令第682号，2017年7月16日修订）；</w:t>
      </w:r>
    </w:p>
    <w:p>
      <w:pPr>
        <w:pStyle w:val="204"/>
        <w:numPr>
          <w:ilvl w:val="0"/>
          <w:numId w:val="49"/>
        </w:numPr>
        <w:tabs>
          <w:tab w:val="left" w:pos="900"/>
        </w:tabs>
        <w:spacing w:line="360" w:lineRule="auto"/>
        <w:ind w:left="0" w:firstLine="480"/>
      </w:pPr>
      <w:r>
        <w:t>《危险化学品安全管理条例》（201</w:t>
      </w:r>
      <w:r>
        <w:rPr>
          <w:rFonts w:hint="eastAsia"/>
          <w:lang w:val="en-US" w:eastAsia="zh-CN"/>
        </w:rPr>
        <w:t>3</w:t>
      </w:r>
      <w:r>
        <w:t>年12月</w:t>
      </w:r>
      <w:r>
        <w:rPr>
          <w:rFonts w:hint="eastAsia"/>
          <w:lang w:val="en-US" w:eastAsia="zh-CN"/>
        </w:rPr>
        <w:t>7</w:t>
      </w:r>
      <w:r>
        <w:t>日修订</w:t>
      </w:r>
      <w:r>
        <w:rPr>
          <w:rFonts w:hint="eastAsia"/>
          <w:lang w:val="en-US" w:eastAsia="zh-CN"/>
        </w:rPr>
        <w:t>施行</w:t>
      </w:r>
      <w:r>
        <w:t>）；</w:t>
      </w:r>
    </w:p>
    <w:p>
      <w:pPr>
        <w:pStyle w:val="204"/>
        <w:numPr>
          <w:ilvl w:val="0"/>
          <w:numId w:val="49"/>
        </w:numPr>
        <w:tabs>
          <w:tab w:val="left" w:pos="900"/>
        </w:tabs>
        <w:spacing w:line="360" w:lineRule="auto"/>
        <w:ind w:left="0" w:firstLine="480"/>
      </w:pPr>
      <w:r>
        <w:t>《中华人民共和国自然保护区条例》（2017年10月7日修正）；</w:t>
      </w:r>
    </w:p>
    <w:p>
      <w:pPr>
        <w:pStyle w:val="204"/>
        <w:numPr>
          <w:ilvl w:val="0"/>
          <w:numId w:val="49"/>
        </w:numPr>
        <w:tabs>
          <w:tab w:val="left" w:pos="900"/>
        </w:tabs>
        <w:spacing w:line="360" w:lineRule="auto"/>
        <w:ind w:left="0" w:firstLine="480"/>
      </w:pPr>
      <w:r>
        <w:rPr>
          <w:szCs w:val="24"/>
        </w:rPr>
        <w:t>《国务院关于印发全国生态环境保护纲要的通知》（国务院文件国发办［2000］38号）；</w:t>
      </w:r>
    </w:p>
    <w:p>
      <w:pPr>
        <w:pStyle w:val="204"/>
        <w:numPr>
          <w:ilvl w:val="0"/>
          <w:numId w:val="49"/>
        </w:numPr>
        <w:tabs>
          <w:tab w:val="left" w:pos="900"/>
        </w:tabs>
        <w:spacing w:line="360" w:lineRule="auto"/>
        <w:ind w:left="0" w:firstLine="480"/>
      </w:pPr>
      <w:r>
        <w:t>《国务院关于印发大气污染防治行动计划的通知》（国发[2013]37号，2013年9月10日发布）；</w:t>
      </w:r>
    </w:p>
    <w:p>
      <w:pPr>
        <w:pStyle w:val="204"/>
        <w:numPr>
          <w:ilvl w:val="0"/>
          <w:numId w:val="49"/>
        </w:numPr>
        <w:tabs>
          <w:tab w:val="left" w:pos="900"/>
        </w:tabs>
        <w:spacing w:line="360" w:lineRule="auto"/>
        <w:ind w:left="0" w:firstLine="480"/>
      </w:pPr>
      <w:r>
        <w:t>《国务院关于印发水污染防治行动计划的通知》（国发[2015]17号，2015年4月2日发布）；</w:t>
      </w:r>
    </w:p>
    <w:p>
      <w:pPr>
        <w:pStyle w:val="204"/>
        <w:numPr>
          <w:ilvl w:val="0"/>
          <w:numId w:val="49"/>
        </w:numPr>
        <w:tabs>
          <w:tab w:val="left" w:pos="900"/>
        </w:tabs>
        <w:spacing w:line="360" w:lineRule="auto"/>
        <w:ind w:left="0" w:firstLine="480"/>
      </w:pPr>
      <w:r>
        <w:t>《国务院关于印发土壤污染防治行动计划的通知》（国发[2016]31号，2016年5月28日发布）；</w:t>
      </w:r>
    </w:p>
    <w:p>
      <w:pPr>
        <w:pStyle w:val="204"/>
        <w:numPr>
          <w:ilvl w:val="0"/>
          <w:numId w:val="49"/>
        </w:numPr>
        <w:tabs>
          <w:tab w:val="left" w:pos="900"/>
        </w:tabs>
        <w:spacing w:line="360" w:lineRule="auto"/>
        <w:ind w:left="0" w:firstLine="480"/>
      </w:pPr>
      <w:r>
        <w:rPr>
          <w:szCs w:val="24"/>
        </w:rPr>
        <w:t>《国务院关于印发</w:t>
      </w:r>
      <w:bookmarkStart w:id="29" w:name="OLE_LINK38"/>
      <w:r>
        <w:rPr>
          <w:szCs w:val="24"/>
        </w:rPr>
        <w:t>中国水生生物资源养护行动纲要</w:t>
      </w:r>
      <w:bookmarkEnd w:id="29"/>
      <w:r>
        <w:rPr>
          <w:szCs w:val="24"/>
        </w:rPr>
        <w:t>的通知》（国务院文件国发办［2006］9号）；</w:t>
      </w:r>
    </w:p>
    <w:p>
      <w:pPr>
        <w:pStyle w:val="204"/>
        <w:numPr>
          <w:ilvl w:val="0"/>
          <w:numId w:val="49"/>
        </w:numPr>
        <w:tabs>
          <w:tab w:val="left" w:pos="900"/>
        </w:tabs>
        <w:spacing w:line="360" w:lineRule="auto"/>
        <w:ind w:left="0" w:firstLine="480"/>
      </w:pPr>
      <w:r>
        <w:t>《国务院关于依托黄金水道推动长江经济带发展的指导意见》（国发[2014]39号，2014年9月25日）；</w:t>
      </w:r>
    </w:p>
    <w:p>
      <w:pPr>
        <w:pStyle w:val="204"/>
        <w:numPr>
          <w:ilvl w:val="0"/>
          <w:numId w:val="49"/>
        </w:numPr>
        <w:tabs>
          <w:tab w:val="left" w:pos="900"/>
        </w:tabs>
        <w:spacing w:line="360" w:lineRule="auto"/>
        <w:ind w:left="0" w:firstLine="480"/>
      </w:pPr>
      <w:r>
        <w:t>《产业结构调整指导目录（2019年本）》（2019年8月27日修订，</w:t>
      </w:r>
      <w:r>
        <w:rPr>
          <w:snapToGrid w:val="0"/>
        </w:rPr>
        <w:t>2020年1月1日实施</w:t>
      </w:r>
      <w:r>
        <w:t>）；</w:t>
      </w:r>
    </w:p>
    <w:p>
      <w:pPr>
        <w:pStyle w:val="204"/>
        <w:numPr>
          <w:ilvl w:val="0"/>
          <w:numId w:val="49"/>
        </w:numPr>
        <w:tabs>
          <w:tab w:val="left" w:pos="900"/>
        </w:tabs>
        <w:spacing w:line="360" w:lineRule="auto"/>
        <w:ind w:left="0" w:firstLine="480"/>
      </w:pPr>
      <w:r>
        <w:rPr>
          <w:snapToGrid w:val="0"/>
        </w:rPr>
        <w:t>《</w:t>
      </w:r>
      <w:bookmarkStart w:id="30" w:name="OLE_LINK26"/>
      <w:r>
        <w:rPr>
          <w:snapToGrid w:val="0"/>
        </w:rPr>
        <w:t>关于发布实施限制用地项目目录（2012年本）和禁止用地项目目录（2012年本）的通知</w:t>
      </w:r>
      <w:bookmarkEnd w:id="30"/>
      <w:r>
        <w:rPr>
          <w:snapToGrid w:val="0"/>
        </w:rPr>
        <w:t>》（国土资源部、国家发展和改革委员会文件国土资发[2012]98号，2012年5月23日起施行）；</w:t>
      </w:r>
    </w:p>
    <w:p>
      <w:pPr>
        <w:pStyle w:val="204"/>
        <w:numPr>
          <w:ilvl w:val="0"/>
          <w:numId w:val="49"/>
        </w:numPr>
        <w:tabs>
          <w:tab w:val="left" w:pos="900"/>
        </w:tabs>
        <w:spacing w:line="360" w:lineRule="auto"/>
        <w:ind w:left="0" w:firstLine="480"/>
      </w:pPr>
      <w:r>
        <w:rPr>
          <w:snapToGrid w:val="0"/>
        </w:rPr>
        <w:t>《建设项目环境影响评价分类管理名录（2021年版）》（生态环境部令第16号，2020年11月30日）；</w:t>
      </w:r>
    </w:p>
    <w:p>
      <w:pPr>
        <w:pStyle w:val="204"/>
        <w:numPr>
          <w:ilvl w:val="0"/>
          <w:numId w:val="49"/>
        </w:numPr>
        <w:tabs>
          <w:tab w:val="left" w:pos="900"/>
        </w:tabs>
        <w:spacing w:line="360" w:lineRule="auto"/>
        <w:ind w:left="0" w:firstLine="480"/>
      </w:pPr>
      <w:r>
        <w:t>《环境影响评价公众参与办法》（生态环境部令第4号，2019年1月1日起施行）；</w:t>
      </w:r>
    </w:p>
    <w:p>
      <w:pPr>
        <w:pStyle w:val="204"/>
        <w:numPr>
          <w:ilvl w:val="0"/>
          <w:numId w:val="49"/>
        </w:numPr>
        <w:tabs>
          <w:tab w:val="left" w:pos="900"/>
        </w:tabs>
        <w:spacing w:line="360" w:lineRule="auto"/>
        <w:ind w:left="0" w:firstLine="480"/>
      </w:pPr>
      <w:r>
        <w:t>《关于进一步加强环境影响评价管理防范环境风险的通知》（环发〔2012〕77号，</w:t>
      </w:r>
      <w:r>
        <w:rPr>
          <w:snapToGrid w:val="0"/>
        </w:rPr>
        <w:t>2012年7月3日起施行</w:t>
      </w:r>
      <w:r>
        <w:t>）；</w:t>
      </w:r>
    </w:p>
    <w:p>
      <w:pPr>
        <w:pStyle w:val="204"/>
        <w:numPr>
          <w:ilvl w:val="0"/>
          <w:numId w:val="49"/>
        </w:numPr>
        <w:tabs>
          <w:tab w:val="left" w:pos="900"/>
        </w:tabs>
        <w:spacing w:line="360" w:lineRule="auto"/>
        <w:ind w:left="0" w:firstLine="480"/>
      </w:pPr>
      <w:r>
        <w:t>《关于切实加强风险防范严格环境影响评价管理的通知》（环发〔2012〕98号，</w:t>
      </w:r>
      <w:r>
        <w:rPr>
          <w:snapToGrid w:val="0"/>
        </w:rPr>
        <w:t>2012年8月8日起施行</w:t>
      </w:r>
      <w:r>
        <w:t>）；</w:t>
      </w:r>
    </w:p>
    <w:p>
      <w:pPr>
        <w:pStyle w:val="204"/>
        <w:numPr>
          <w:ilvl w:val="0"/>
          <w:numId w:val="49"/>
        </w:numPr>
        <w:tabs>
          <w:tab w:val="left" w:pos="900"/>
        </w:tabs>
        <w:spacing w:line="360" w:lineRule="auto"/>
        <w:ind w:left="0" w:firstLine="480"/>
      </w:pPr>
      <w:r>
        <w:t>《关于进一步加强水生生物资源保护严格环境影响评价管理的通知》（环发〔2013〕86号，2013年8月5日）；</w:t>
      </w:r>
    </w:p>
    <w:p>
      <w:pPr>
        <w:pStyle w:val="204"/>
        <w:numPr>
          <w:ilvl w:val="0"/>
          <w:numId w:val="49"/>
        </w:numPr>
        <w:tabs>
          <w:tab w:val="left" w:pos="900"/>
        </w:tabs>
        <w:spacing w:line="360" w:lineRule="auto"/>
        <w:ind w:left="0" w:firstLine="480"/>
      </w:pPr>
      <w:r>
        <w:t>《关于进一步加强涉及自然保护区开发建设活动监督管理的通知》（环发〔2015〕57号，2015年5月8日）；</w:t>
      </w:r>
    </w:p>
    <w:p>
      <w:pPr>
        <w:pStyle w:val="204"/>
        <w:numPr>
          <w:ilvl w:val="0"/>
          <w:numId w:val="49"/>
        </w:numPr>
        <w:tabs>
          <w:tab w:val="left" w:pos="900"/>
        </w:tabs>
        <w:spacing w:line="360" w:lineRule="auto"/>
        <w:ind w:left="0" w:firstLine="480"/>
      </w:pPr>
      <w:r>
        <w:t>《中华人民共和国防治船舶污染内河水域环境管理规定》（交通运输部令2015年第25号，2015年12月31日发布，自2016年5月1日起施行）；</w:t>
      </w:r>
    </w:p>
    <w:p>
      <w:pPr>
        <w:pStyle w:val="204"/>
        <w:numPr>
          <w:ilvl w:val="0"/>
          <w:numId w:val="49"/>
        </w:numPr>
        <w:tabs>
          <w:tab w:val="left" w:pos="900"/>
        </w:tabs>
        <w:spacing w:line="360" w:lineRule="auto"/>
        <w:ind w:left="0" w:firstLine="480"/>
      </w:pPr>
      <w:r>
        <w:t>《长江经济带发展规划纲要》（中共中央、国务院中发〔2016〕14号，2016年5月30日）；</w:t>
      </w:r>
    </w:p>
    <w:p>
      <w:pPr>
        <w:pStyle w:val="204"/>
        <w:numPr>
          <w:ilvl w:val="0"/>
          <w:numId w:val="49"/>
        </w:numPr>
        <w:tabs>
          <w:tab w:val="left" w:pos="900"/>
        </w:tabs>
        <w:spacing w:line="360" w:lineRule="auto"/>
        <w:ind w:left="0" w:firstLine="480"/>
      </w:pPr>
      <w:r>
        <w:rPr>
          <w:szCs w:val="24"/>
        </w:rPr>
        <w:t>《</w:t>
      </w:r>
      <w:bookmarkStart w:id="31" w:name="OLE_LINK7"/>
      <w:r>
        <w:rPr>
          <w:szCs w:val="24"/>
        </w:rPr>
        <w:t>水产种质资源保护区管理暂行办法</w:t>
      </w:r>
      <w:bookmarkEnd w:id="31"/>
      <w:r>
        <w:rPr>
          <w:szCs w:val="24"/>
        </w:rPr>
        <w:t>》（2016年5月修订，农业部2016年第3号令）；</w:t>
      </w:r>
    </w:p>
    <w:p>
      <w:pPr>
        <w:pStyle w:val="204"/>
        <w:numPr>
          <w:ilvl w:val="0"/>
          <w:numId w:val="49"/>
        </w:numPr>
        <w:tabs>
          <w:tab w:val="left" w:pos="900"/>
        </w:tabs>
        <w:spacing w:line="360" w:lineRule="auto"/>
        <w:ind w:left="0" w:firstLine="480"/>
      </w:pPr>
      <w:r>
        <w:rPr>
          <w:szCs w:val="24"/>
        </w:rPr>
        <w:t>《农业部办公厅关于印发建设项目对国家级水产种质资源保护区影响专题论证报告编制指南的通知》（农业部办公厅，农办渔[2014]14号）</w:t>
      </w:r>
      <w:r>
        <w:rPr>
          <w:rFonts w:hint="eastAsia"/>
          <w:szCs w:val="24"/>
        </w:rPr>
        <w:t>；</w:t>
      </w:r>
    </w:p>
    <w:p>
      <w:pPr>
        <w:pStyle w:val="204"/>
        <w:numPr>
          <w:ilvl w:val="0"/>
          <w:numId w:val="49"/>
        </w:numPr>
        <w:tabs>
          <w:tab w:val="left" w:pos="900"/>
        </w:tabs>
        <w:spacing w:line="360" w:lineRule="auto"/>
        <w:ind w:left="0" w:firstLine="480"/>
      </w:pPr>
      <w:r>
        <w:rPr>
          <w:rFonts w:hint="eastAsia" w:ascii="宋体" w:hAnsi="宋体" w:cs="宋体"/>
          <w:color w:val="000000"/>
          <w:szCs w:val="24"/>
          <w:lang w:bidi="ar"/>
        </w:rPr>
        <w:t>《关于印发机场、港口、水利（河湖整治与防洪除涝工程）三个行业建设项目环境影响评价文件审批原则的通知》（环办环评</w:t>
      </w:r>
      <w:r>
        <w:rPr>
          <w:rFonts w:eastAsia="仿宋"/>
          <w:color w:val="000000"/>
          <w:szCs w:val="24"/>
          <w:lang w:bidi="ar"/>
        </w:rPr>
        <w:t>[2018]2</w:t>
      </w:r>
      <w:r>
        <w:rPr>
          <w:rFonts w:hint="eastAsia" w:ascii="宋体" w:hAnsi="宋体" w:cs="宋体"/>
          <w:color w:val="000000"/>
          <w:szCs w:val="24"/>
          <w:lang w:bidi="ar"/>
        </w:rPr>
        <w:t>号）</w:t>
      </w:r>
      <w:r>
        <w:rPr>
          <w:rFonts w:hint="eastAsia"/>
        </w:rPr>
        <w:t>。</w:t>
      </w:r>
    </w:p>
    <w:p>
      <w:pPr>
        <w:pStyle w:val="454"/>
        <w:ind w:firstLine="602"/>
        <w:rPr>
          <w:color w:val="auto"/>
        </w:rPr>
      </w:pPr>
      <w:r>
        <w:rPr>
          <w:color w:val="auto"/>
        </w:rPr>
        <w:t>地方法规和环境保护文件</w:t>
      </w:r>
    </w:p>
    <w:p>
      <w:pPr>
        <w:pStyle w:val="204"/>
        <w:numPr>
          <w:ilvl w:val="0"/>
          <w:numId w:val="50"/>
        </w:numPr>
        <w:tabs>
          <w:tab w:val="left" w:pos="900"/>
        </w:tabs>
        <w:spacing w:line="360" w:lineRule="auto"/>
        <w:ind w:left="0" w:firstLine="480"/>
      </w:pPr>
      <w:r>
        <w:t>《湖南省环境保护条例》（修正）（湖南省第十二届人民代表大会常务委员会，2020年1月1日实施）；</w:t>
      </w:r>
    </w:p>
    <w:p>
      <w:pPr>
        <w:pStyle w:val="204"/>
        <w:numPr>
          <w:ilvl w:val="0"/>
          <w:numId w:val="50"/>
        </w:numPr>
        <w:tabs>
          <w:tab w:val="left" w:pos="900"/>
        </w:tabs>
        <w:spacing w:line="360" w:lineRule="auto"/>
        <w:ind w:left="0" w:firstLine="480"/>
      </w:pPr>
      <w:r>
        <w:t>《湖南省生态文明体制改革实施方案（2014-2020 年）》（湘办发〔2015〕15 号）；</w:t>
      </w:r>
    </w:p>
    <w:p>
      <w:pPr>
        <w:pStyle w:val="204"/>
        <w:numPr>
          <w:ilvl w:val="0"/>
          <w:numId w:val="50"/>
        </w:numPr>
        <w:tabs>
          <w:tab w:val="left" w:pos="900"/>
        </w:tabs>
        <w:spacing w:line="360" w:lineRule="auto"/>
        <w:ind w:left="0" w:firstLine="480"/>
      </w:pPr>
      <w:r>
        <w:t>湖南省人民政府办公厅关于印发《洞庭湖总磷污染控制与削减攻坚行动计划（2022—2025年）》的通知（湘</w:t>
      </w:r>
      <w:r>
        <w:rPr>
          <w:rFonts w:hint="eastAsia"/>
        </w:rPr>
        <w:t>政</w:t>
      </w:r>
      <w:r>
        <w:t>办发〔20</w:t>
      </w:r>
      <w:r>
        <w:rPr>
          <w:rFonts w:hint="eastAsia"/>
        </w:rPr>
        <w:t>22</w:t>
      </w:r>
      <w:r>
        <w:t>〕</w:t>
      </w:r>
      <w:r>
        <w:rPr>
          <w:rFonts w:hint="eastAsia"/>
        </w:rPr>
        <w:t>29</w:t>
      </w:r>
      <w:r>
        <w:t>号，202</w:t>
      </w:r>
      <w:r>
        <w:rPr>
          <w:rFonts w:hint="eastAsia"/>
        </w:rPr>
        <w:t>2</w:t>
      </w:r>
      <w:r>
        <w:t>年</w:t>
      </w:r>
      <w:r>
        <w:rPr>
          <w:rFonts w:hint="eastAsia"/>
        </w:rPr>
        <w:t>6</w:t>
      </w:r>
      <w:r>
        <w:t>月</w:t>
      </w:r>
      <w:r>
        <w:rPr>
          <w:rFonts w:hint="eastAsia"/>
        </w:rPr>
        <w:t>1</w:t>
      </w:r>
      <w:r>
        <w:t>日）</w:t>
      </w:r>
      <w:r>
        <w:rPr>
          <w:rFonts w:hint="eastAsia"/>
        </w:rPr>
        <w:t>；</w:t>
      </w:r>
    </w:p>
    <w:p>
      <w:pPr>
        <w:pStyle w:val="204"/>
        <w:numPr>
          <w:ilvl w:val="0"/>
          <w:numId w:val="50"/>
        </w:numPr>
        <w:tabs>
          <w:tab w:val="left" w:pos="900"/>
        </w:tabs>
        <w:spacing w:line="360" w:lineRule="auto"/>
        <w:ind w:left="0" w:firstLine="480"/>
      </w:pPr>
      <w:r>
        <w:rPr>
          <w:rFonts w:hint="eastAsia"/>
        </w:rPr>
        <w:t>湖南省人民政府</w:t>
      </w:r>
      <w:r>
        <w:rPr>
          <w:lang w:val="en"/>
        </w:rPr>
        <w:t>办公厅</w:t>
      </w:r>
      <w:r>
        <w:rPr>
          <w:rFonts w:hint="eastAsia"/>
        </w:rPr>
        <w:t>关于印发《湖南省“十四五”生态环境保护规划》的通知</w:t>
      </w:r>
      <w:r>
        <w:t>（湘政</w:t>
      </w:r>
      <w:r>
        <w:rPr>
          <w:rFonts w:hint="eastAsia"/>
        </w:rPr>
        <w:t>办</w:t>
      </w:r>
      <w:r>
        <w:t>发〔202</w:t>
      </w:r>
      <w:r>
        <w:rPr>
          <w:rFonts w:hint="eastAsia"/>
        </w:rPr>
        <w:t>1</w:t>
      </w:r>
      <w:r>
        <w:t>〕</w:t>
      </w:r>
      <w:r>
        <w:rPr>
          <w:rFonts w:hint="eastAsia"/>
        </w:rPr>
        <w:t>61</w:t>
      </w:r>
      <w:r>
        <w:t>号，202</w:t>
      </w:r>
      <w:r>
        <w:rPr>
          <w:rFonts w:hint="eastAsia"/>
        </w:rPr>
        <w:t>1</w:t>
      </w:r>
      <w:r>
        <w:t>年</w:t>
      </w:r>
      <w:r>
        <w:rPr>
          <w:rFonts w:hint="eastAsia"/>
        </w:rPr>
        <w:t>9</w:t>
      </w:r>
      <w:r>
        <w:t>月30日）</w:t>
      </w:r>
      <w:r>
        <w:rPr>
          <w:rFonts w:hint="eastAsia"/>
        </w:rPr>
        <w:t>；</w:t>
      </w:r>
    </w:p>
    <w:p>
      <w:pPr>
        <w:pStyle w:val="204"/>
        <w:numPr>
          <w:ilvl w:val="0"/>
          <w:numId w:val="50"/>
        </w:numPr>
        <w:tabs>
          <w:tab w:val="left" w:pos="900"/>
        </w:tabs>
        <w:spacing w:line="360" w:lineRule="auto"/>
        <w:ind w:left="0" w:firstLine="480"/>
      </w:pPr>
      <w:r>
        <w:t>湖南省人民政府办公厅关于印发《湖南省贯彻落实〈中华人民共和国长江保护法〉实施方案》的通知（湘政</w:t>
      </w:r>
      <w:r>
        <w:rPr>
          <w:rFonts w:hint="eastAsia"/>
        </w:rPr>
        <w:t>办</w:t>
      </w:r>
      <w:r>
        <w:t>发〔202</w:t>
      </w:r>
      <w:r>
        <w:rPr>
          <w:rFonts w:hint="eastAsia"/>
        </w:rPr>
        <w:t>2</w:t>
      </w:r>
      <w:r>
        <w:t>〕</w:t>
      </w:r>
      <w:r>
        <w:rPr>
          <w:rFonts w:hint="eastAsia"/>
        </w:rPr>
        <w:t>6</w:t>
      </w:r>
      <w:r>
        <w:t>号，202</w:t>
      </w:r>
      <w:r>
        <w:rPr>
          <w:rFonts w:hint="eastAsia"/>
        </w:rPr>
        <w:t>2</w:t>
      </w:r>
      <w:r>
        <w:t>年</w:t>
      </w:r>
      <w:r>
        <w:rPr>
          <w:rFonts w:hint="eastAsia"/>
        </w:rPr>
        <w:t>1</w:t>
      </w:r>
      <w:r>
        <w:t>月</w:t>
      </w:r>
      <w:r>
        <w:rPr>
          <w:rFonts w:hint="eastAsia"/>
        </w:rPr>
        <w:t>18</w:t>
      </w:r>
      <w:r>
        <w:t>日）</w:t>
      </w:r>
      <w:r>
        <w:rPr>
          <w:rFonts w:hint="eastAsia"/>
        </w:rPr>
        <w:t>；</w:t>
      </w:r>
    </w:p>
    <w:p>
      <w:pPr>
        <w:pStyle w:val="204"/>
        <w:numPr>
          <w:ilvl w:val="0"/>
          <w:numId w:val="50"/>
        </w:numPr>
        <w:tabs>
          <w:tab w:val="left" w:pos="900"/>
        </w:tabs>
        <w:spacing w:line="360" w:lineRule="auto"/>
        <w:ind w:left="0" w:firstLine="480"/>
      </w:pPr>
      <w:r>
        <w:t>《湖南省人民政府关于实施</w:t>
      </w:r>
      <w:r>
        <w:rPr>
          <w:rFonts w:asciiTheme="minorEastAsia" w:hAnsiTheme="minorEastAsia" w:eastAsiaTheme="minorEastAsia"/>
        </w:rPr>
        <w:t>“</w:t>
      </w:r>
      <w:r>
        <w:t>三线一单</w:t>
      </w:r>
      <w:r>
        <w:rPr>
          <w:rFonts w:asciiTheme="minorEastAsia" w:hAnsiTheme="minorEastAsia" w:eastAsiaTheme="minorEastAsia"/>
        </w:rPr>
        <w:t>”</w:t>
      </w:r>
      <w:r>
        <w:t>生态环境分区管控的意见》（湘政发〔2020〕12号，2020年6月30日）；</w:t>
      </w:r>
    </w:p>
    <w:p>
      <w:pPr>
        <w:pStyle w:val="204"/>
        <w:numPr>
          <w:ilvl w:val="0"/>
          <w:numId w:val="50"/>
        </w:numPr>
        <w:tabs>
          <w:tab w:val="left" w:pos="900"/>
        </w:tabs>
        <w:spacing w:line="360" w:lineRule="auto"/>
        <w:ind w:left="0" w:firstLine="480"/>
      </w:pPr>
      <w:r>
        <w:rPr>
          <w:rFonts w:hint="eastAsia"/>
          <w:lang w:eastAsia="zh-CN"/>
        </w:rPr>
        <w:t>《</w:t>
      </w:r>
      <w:r>
        <w:rPr>
          <w:rFonts w:hint="eastAsia"/>
          <w:lang w:val="en-US" w:eastAsia="zh-CN"/>
        </w:rPr>
        <w:t>岳阳市人民政府关于实施岳阳市“三线一单”生态环境分区管控的意见</w:t>
      </w:r>
      <w:r>
        <w:rPr>
          <w:rFonts w:hint="eastAsia"/>
          <w:lang w:eastAsia="zh-CN"/>
        </w:rPr>
        <w:t>》（</w:t>
      </w:r>
      <w:r>
        <w:rPr>
          <w:rFonts w:hint="eastAsia"/>
          <w:lang w:val="en-US" w:eastAsia="zh-CN"/>
        </w:rPr>
        <w:t>岳</w:t>
      </w:r>
      <w:r>
        <w:t>政</w:t>
      </w:r>
      <w:r>
        <w:rPr>
          <w:rFonts w:hint="eastAsia"/>
        </w:rPr>
        <w:t>办</w:t>
      </w:r>
      <w:r>
        <w:t>发〔202</w:t>
      </w:r>
      <w:r>
        <w:rPr>
          <w:rFonts w:hint="eastAsia"/>
          <w:lang w:val="en-US" w:eastAsia="zh-CN"/>
        </w:rPr>
        <w:t>1</w:t>
      </w:r>
      <w:r>
        <w:t>〕</w:t>
      </w:r>
      <w:r>
        <w:rPr>
          <w:rFonts w:hint="eastAsia"/>
          <w:lang w:val="en-US" w:eastAsia="zh-CN"/>
        </w:rPr>
        <w:t>2</w:t>
      </w:r>
      <w:r>
        <w:t>号，202</w:t>
      </w:r>
      <w:r>
        <w:rPr>
          <w:rFonts w:hint="eastAsia"/>
          <w:lang w:val="en-US" w:eastAsia="zh-CN"/>
        </w:rPr>
        <w:t>1</w:t>
      </w:r>
      <w:r>
        <w:t>年</w:t>
      </w:r>
      <w:r>
        <w:rPr>
          <w:rFonts w:hint="eastAsia"/>
          <w:lang w:val="en-US" w:eastAsia="zh-CN"/>
        </w:rPr>
        <w:t>2</w:t>
      </w:r>
      <w:r>
        <w:t>月</w:t>
      </w:r>
      <w:r>
        <w:rPr>
          <w:rFonts w:hint="eastAsia"/>
          <w:lang w:val="en-US" w:eastAsia="zh-CN"/>
        </w:rPr>
        <w:t>01</w:t>
      </w:r>
      <w:r>
        <w:t>日</w:t>
      </w:r>
      <w:r>
        <w:rPr>
          <w:rFonts w:hint="eastAsia"/>
          <w:lang w:eastAsia="zh-CN"/>
        </w:rPr>
        <w:t>）</w:t>
      </w:r>
    </w:p>
    <w:p>
      <w:pPr>
        <w:pStyle w:val="204"/>
        <w:numPr>
          <w:ilvl w:val="0"/>
          <w:numId w:val="50"/>
        </w:numPr>
        <w:tabs>
          <w:tab w:val="left" w:pos="900"/>
        </w:tabs>
        <w:spacing w:line="360" w:lineRule="auto"/>
        <w:ind w:left="0" w:firstLine="480"/>
      </w:pPr>
      <w:r>
        <w:rPr>
          <w:rFonts w:hint="eastAsia"/>
        </w:rPr>
        <w:t>湖南省生态环境厅关于印发《湖南省生态环境厅建设项目环境影响评价文件审批程序规定》的通知，（湘环发〔2019〕37号）；</w:t>
      </w:r>
    </w:p>
    <w:p>
      <w:pPr>
        <w:pStyle w:val="204"/>
        <w:numPr>
          <w:ilvl w:val="0"/>
          <w:numId w:val="50"/>
        </w:numPr>
        <w:tabs>
          <w:tab w:val="left" w:pos="900"/>
        </w:tabs>
        <w:spacing w:line="360" w:lineRule="auto"/>
        <w:ind w:left="0" w:firstLine="480"/>
      </w:pPr>
      <w:r>
        <w:rPr>
          <w:rFonts w:hint="eastAsia"/>
        </w:rPr>
        <w:t>湖南省环境保护厅关于印发《湖南省环境保护行政主管部门审批环境影响评价文件的建设项目目录（2017年本）》的通知（湘环发</w:t>
      </w:r>
      <w:r>
        <w:t>[201</w:t>
      </w:r>
      <w:r>
        <w:rPr>
          <w:rFonts w:hint="eastAsia"/>
        </w:rPr>
        <w:t>7</w:t>
      </w:r>
      <w:r>
        <w:t>]</w:t>
      </w:r>
      <w:r>
        <w:rPr>
          <w:rFonts w:hint="eastAsia"/>
        </w:rPr>
        <w:t>19</w:t>
      </w:r>
      <w:r>
        <w:t>号</w:t>
      </w:r>
      <w:r>
        <w:rPr>
          <w:rFonts w:hint="eastAsia"/>
        </w:rPr>
        <w:t>）</w:t>
      </w:r>
    </w:p>
    <w:p>
      <w:pPr>
        <w:pStyle w:val="204"/>
        <w:numPr>
          <w:ilvl w:val="0"/>
          <w:numId w:val="50"/>
        </w:numPr>
        <w:tabs>
          <w:tab w:val="left" w:pos="900"/>
        </w:tabs>
        <w:spacing w:line="360" w:lineRule="auto"/>
        <w:ind w:left="0" w:firstLine="480"/>
      </w:pPr>
      <w:r>
        <w:t>《湖南省大气污染防治条例》（湖南省第十二届人民代表大会常务委员会，2017年6月1日）；</w:t>
      </w:r>
    </w:p>
    <w:p>
      <w:pPr>
        <w:pStyle w:val="204"/>
        <w:numPr>
          <w:ilvl w:val="0"/>
          <w:numId w:val="50"/>
        </w:numPr>
        <w:tabs>
          <w:tab w:val="left" w:pos="900"/>
        </w:tabs>
        <w:spacing w:line="360" w:lineRule="auto"/>
        <w:ind w:left="0" w:firstLine="480"/>
      </w:pPr>
      <w:r>
        <w:t>湖南省人民政府关于印发《湖南省生态保护红线》的通知（湘政发〔2018〕20 号，2018年7月28日）；</w:t>
      </w:r>
    </w:p>
    <w:p>
      <w:pPr>
        <w:pStyle w:val="204"/>
        <w:numPr>
          <w:ilvl w:val="0"/>
          <w:numId w:val="50"/>
        </w:numPr>
        <w:tabs>
          <w:tab w:val="left" w:pos="900"/>
        </w:tabs>
        <w:spacing w:line="360" w:lineRule="auto"/>
        <w:ind w:left="0" w:firstLine="480"/>
      </w:pPr>
      <w:r>
        <w:t>《湖南省长江经济带发展负面清单实施细则》（湖南省发展和改革委员会，2019年7月17日）；</w:t>
      </w:r>
    </w:p>
    <w:p>
      <w:pPr>
        <w:pStyle w:val="204"/>
        <w:numPr>
          <w:ilvl w:val="0"/>
          <w:numId w:val="50"/>
        </w:numPr>
        <w:tabs>
          <w:tab w:val="left" w:pos="900"/>
        </w:tabs>
        <w:spacing w:line="360" w:lineRule="auto"/>
        <w:ind w:left="0" w:firstLine="480"/>
      </w:pPr>
      <w:r>
        <w:t>《湖南省主要水系地表水环境功能区划》（DB43/023-2005）（湖南省环保局、湖南省质量技术监督管理局，2005年7月1日）；</w:t>
      </w:r>
    </w:p>
    <w:p>
      <w:pPr>
        <w:pStyle w:val="204"/>
        <w:numPr>
          <w:ilvl w:val="0"/>
          <w:numId w:val="50"/>
        </w:numPr>
        <w:tabs>
          <w:tab w:val="left" w:pos="900"/>
        </w:tabs>
        <w:spacing w:line="360" w:lineRule="auto"/>
        <w:ind w:left="0" w:firstLine="480"/>
      </w:pPr>
      <w:r>
        <w:t>湖南省人民政府关于印发《湖南省主体功能区规划》的通知（湖南省政府办公厅湘政发〔2012〕39号，2012年12月26日）；</w:t>
      </w:r>
    </w:p>
    <w:p>
      <w:pPr>
        <w:pStyle w:val="204"/>
        <w:numPr>
          <w:ilvl w:val="0"/>
          <w:numId w:val="50"/>
        </w:numPr>
        <w:tabs>
          <w:tab w:val="left" w:pos="900"/>
        </w:tabs>
        <w:spacing w:line="360" w:lineRule="auto"/>
        <w:ind w:left="0" w:firstLine="480"/>
      </w:pPr>
      <w:r>
        <w:t>《</w:t>
      </w:r>
      <w:r>
        <w:rPr>
          <w:rFonts w:hint="eastAsia"/>
          <w:lang w:val="en-US" w:eastAsia="zh-CN"/>
        </w:rPr>
        <w:t>湖南省县级以上城市集中式饮用水水源地名录</w:t>
      </w:r>
      <w:r>
        <w:t>》20</w:t>
      </w:r>
      <w:r>
        <w:rPr>
          <w:rFonts w:hint="eastAsia"/>
          <w:lang w:val="en-US" w:eastAsia="zh-CN"/>
        </w:rPr>
        <w:t>22</w:t>
      </w:r>
      <w:r>
        <w:t>年</w:t>
      </w:r>
      <w:r>
        <w:rPr>
          <w:rFonts w:hint="eastAsia"/>
          <w:lang w:val="en-US" w:eastAsia="zh-CN"/>
        </w:rPr>
        <w:t>7</w:t>
      </w:r>
      <w:r>
        <w:t>月</w:t>
      </w:r>
      <w:r>
        <w:rPr>
          <w:rFonts w:hint="eastAsia"/>
          <w:lang w:val="en-US" w:eastAsia="zh-CN"/>
        </w:rPr>
        <w:t>26</w:t>
      </w:r>
      <w:r>
        <w:t>日；</w:t>
      </w:r>
    </w:p>
    <w:p>
      <w:pPr>
        <w:pStyle w:val="204"/>
        <w:numPr>
          <w:ilvl w:val="0"/>
          <w:numId w:val="50"/>
        </w:numPr>
        <w:tabs>
          <w:tab w:val="left" w:pos="900"/>
        </w:tabs>
        <w:spacing w:line="360" w:lineRule="auto"/>
        <w:ind w:left="0" w:firstLine="480"/>
      </w:pPr>
      <w:r>
        <w:t>《湖南省生态环境厅关于请求下放部分行政许可事项办理项的函》（湖南省生态环境厅，湘环函〔2019〕134号，2019年5月10日）；</w:t>
      </w:r>
    </w:p>
    <w:p>
      <w:pPr>
        <w:pStyle w:val="204"/>
        <w:numPr>
          <w:ilvl w:val="0"/>
          <w:numId w:val="50"/>
        </w:numPr>
        <w:tabs>
          <w:tab w:val="left" w:pos="900"/>
        </w:tabs>
        <w:spacing w:line="360" w:lineRule="auto"/>
        <w:ind w:left="0" w:firstLine="480"/>
      </w:pPr>
      <w:r>
        <w:t>《湖南省野生动植物资源保护条例》（湖南省人大常委会，2018年7月19日修订）；</w:t>
      </w:r>
    </w:p>
    <w:p>
      <w:pPr>
        <w:pStyle w:val="204"/>
        <w:numPr>
          <w:ilvl w:val="0"/>
          <w:numId w:val="50"/>
        </w:numPr>
        <w:tabs>
          <w:tab w:val="left" w:pos="900"/>
        </w:tabs>
        <w:spacing w:line="360" w:lineRule="auto"/>
        <w:ind w:left="0" w:firstLine="480"/>
      </w:pPr>
      <w:r>
        <w:t>《湖南省人民政府关于修订湖南省地方重点保护野生动物名录和湖南省地方重点保护野生植物名录的通知》（湘政函〔2002〕172号，2002年9月5日）；</w:t>
      </w:r>
    </w:p>
    <w:p>
      <w:pPr>
        <w:pStyle w:val="204"/>
        <w:numPr>
          <w:ilvl w:val="0"/>
          <w:numId w:val="50"/>
        </w:numPr>
        <w:tabs>
          <w:tab w:val="left" w:pos="900"/>
        </w:tabs>
        <w:spacing w:line="360" w:lineRule="auto"/>
        <w:ind w:left="0" w:firstLine="480"/>
      </w:pPr>
      <w:r>
        <w:t>《关于印发&lt;湖南省环境保护厅建设项目</w:t>
      </w:r>
      <w:r>
        <w:rPr>
          <w:rFonts w:asciiTheme="minorEastAsia" w:hAnsiTheme="minorEastAsia" w:eastAsiaTheme="minorEastAsia"/>
        </w:rPr>
        <w:t>“</w:t>
      </w:r>
      <w:r>
        <w:t>三同时</w:t>
      </w:r>
      <w:r>
        <w:rPr>
          <w:rFonts w:asciiTheme="minorEastAsia" w:hAnsiTheme="minorEastAsia" w:eastAsiaTheme="minorEastAsia"/>
        </w:rPr>
        <w:t>”</w:t>
      </w:r>
      <w:r>
        <w:t>监督管理试行办法&gt;的通知》（湖南省环境保护厅办公室，湘环发〔2011〕29号，2011年6月27日）；</w:t>
      </w:r>
    </w:p>
    <w:p>
      <w:pPr>
        <w:pStyle w:val="204"/>
        <w:numPr>
          <w:ilvl w:val="0"/>
          <w:numId w:val="50"/>
        </w:numPr>
        <w:tabs>
          <w:tab w:val="left" w:pos="900"/>
        </w:tabs>
        <w:spacing w:line="360" w:lineRule="auto"/>
        <w:ind w:left="0" w:firstLine="480"/>
      </w:pPr>
      <w:r>
        <w:t>《湖南省农业生态环境保护条例》（2003年2月1日起施行，2013年</w:t>
      </w:r>
      <w:r>
        <w:rPr>
          <w:szCs w:val="24"/>
        </w:rPr>
        <w:t>5月27日修正</w:t>
      </w:r>
      <w:r>
        <w:t>）；</w:t>
      </w:r>
    </w:p>
    <w:p>
      <w:pPr>
        <w:pStyle w:val="204"/>
        <w:numPr>
          <w:ilvl w:val="0"/>
          <w:numId w:val="50"/>
        </w:numPr>
        <w:tabs>
          <w:tab w:val="left" w:pos="900"/>
        </w:tabs>
        <w:spacing w:line="360" w:lineRule="auto"/>
        <w:ind w:left="0" w:firstLine="480"/>
      </w:pPr>
      <w:r>
        <w:t>《湖南省湿地保护条例》（2005年7月30日经湖南省第十届人民代表大会常务委员会第16次会议通过，2005年10月1日起施行）；</w:t>
      </w:r>
    </w:p>
    <w:p>
      <w:pPr>
        <w:pStyle w:val="204"/>
        <w:numPr>
          <w:ilvl w:val="0"/>
          <w:numId w:val="50"/>
        </w:numPr>
        <w:tabs>
          <w:tab w:val="left" w:pos="900"/>
        </w:tabs>
        <w:spacing w:line="360" w:lineRule="auto"/>
        <w:ind w:left="0" w:firstLine="480"/>
      </w:pPr>
      <w:r>
        <w:t>《湖南省植物保护条例》（2006年9月30日经湖南省第十届人民代表大会常务委员会第23次会议通过，2006年12月1日施行）；</w:t>
      </w:r>
    </w:p>
    <w:p>
      <w:pPr>
        <w:pStyle w:val="204"/>
        <w:numPr>
          <w:ilvl w:val="0"/>
          <w:numId w:val="50"/>
        </w:numPr>
        <w:tabs>
          <w:tab w:val="left" w:pos="900"/>
        </w:tabs>
        <w:spacing w:line="360" w:lineRule="auto"/>
        <w:ind w:left="0" w:firstLine="480"/>
      </w:pPr>
      <w:r>
        <w:t>《湖南省耕地质量管理条例》（湖南省第十届人民代表大会常务委员会第29次会议于2007年9月29日通过）；</w:t>
      </w:r>
    </w:p>
    <w:p>
      <w:pPr>
        <w:pStyle w:val="204"/>
        <w:numPr>
          <w:ilvl w:val="0"/>
          <w:numId w:val="50"/>
        </w:numPr>
        <w:tabs>
          <w:tab w:val="left" w:pos="900"/>
        </w:tabs>
        <w:spacing w:line="360" w:lineRule="auto"/>
        <w:ind w:left="0" w:firstLine="480"/>
      </w:pPr>
      <w:r>
        <w:t>《关于印发&lt;岳阳市水环境功能区管理规定&gt;和&lt;岳阳市水环境功能区划分&gt;的通知》（岳政发〔2010〕30 号）；</w:t>
      </w:r>
    </w:p>
    <w:p>
      <w:pPr>
        <w:pStyle w:val="204"/>
        <w:numPr>
          <w:ilvl w:val="0"/>
          <w:numId w:val="50"/>
        </w:numPr>
        <w:tabs>
          <w:tab w:val="left" w:pos="900"/>
        </w:tabs>
        <w:spacing w:line="360" w:lineRule="auto"/>
        <w:ind w:left="0" w:firstLine="480"/>
      </w:pPr>
      <w:r>
        <w:rPr>
          <w:szCs w:val="24"/>
        </w:rPr>
        <w:t>岳阳市人民政府关于印发《岳阳市中心城区声环境功能区划分（2019年修编稿）》的通知</w:t>
      </w:r>
      <w:r>
        <w:rPr>
          <w:rFonts w:hint="eastAsia"/>
          <w:szCs w:val="24"/>
        </w:rPr>
        <w:t>；</w:t>
      </w:r>
    </w:p>
    <w:p>
      <w:pPr>
        <w:pStyle w:val="204"/>
        <w:numPr>
          <w:ilvl w:val="0"/>
          <w:numId w:val="50"/>
        </w:numPr>
        <w:tabs>
          <w:tab w:val="left" w:pos="900"/>
        </w:tabs>
        <w:spacing w:line="360" w:lineRule="auto"/>
        <w:ind w:left="0" w:firstLine="480"/>
      </w:pPr>
      <w:r>
        <w:rPr>
          <w:rFonts w:hint="eastAsia"/>
        </w:rPr>
        <w:t>《岳阳市县级及以上、“千吨万人”、“千人以上”集中式饮用水水源保护区划定及调整方案》；</w:t>
      </w:r>
    </w:p>
    <w:p>
      <w:pPr>
        <w:pStyle w:val="204"/>
        <w:numPr>
          <w:ilvl w:val="0"/>
          <w:numId w:val="50"/>
        </w:numPr>
        <w:tabs>
          <w:tab w:val="left" w:pos="900"/>
        </w:tabs>
        <w:spacing w:line="360" w:lineRule="auto"/>
        <w:ind w:left="0" w:firstLine="480"/>
      </w:pPr>
      <w:r>
        <w:t>《岳阳市贯彻落实&lt;大气污染防治行动计划&gt;实施方案》。</w:t>
      </w:r>
    </w:p>
    <w:p>
      <w:pPr>
        <w:pStyle w:val="454"/>
        <w:ind w:firstLine="602"/>
        <w:rPr>
          <w:color w:val="auto"/>
        </w:rPr>
      </w:pPr>
      <w:r>
        <w:rPr>
          <w:color w:val="auto"/>
        </w:rPr>
        <w:t>环境影响评价技术文件</w:t>
      </w:r>
    </w:p>
    <w:p>
      <w:pPr>
        <w:pStyle w:val="204"/>
        <w:numPr>
          <w:ilvl w:val="0"/>
          <w:numId w:val="51"/>
        </w:numPr>
        <w:tabs>
          <w:tab w:val="left" w:pos="900"/>
        </w:tabs>
        <w:spacing w:line="360" w:lineRule="auto"/>
        <w:ind w:left="0" w:firstLine="480"/>
      </w:pPr>
      <w:r>
        <w:t>《环境影响评价技术导则—总纲》（HJ 2.1-2016）；</w:t>
      </w:r>
    </w:p>
    <w:p>
      <w:pPr>
        <w:pStyle w:val="204"/>
        <w:numPr>
          <w:ilvl w:val="0"/>
          <w:numId w:val="51"/>
        </w:numPr>
        <w:tabs>
          <w:tab w:val="left" w:pos="900"/>
        </w:tabs>
        <w:spacing w:line="360" w:lineRule="auto"/>
        <w:ind w:left="0" w:firstLine="480"/>
      </w:pPr>
      <w:r>
        <w:t>《环境影响评价技术导则—大气环境》（HJ 2.2-2018）；</w:t>
      </w:r>
    </w:p>
    <w:p>
      <w:pPr>
        <w:pStyle w:val="204"/>
        <w:numPr>
          <w:ilvl w:val="0"/>
          <w:numId w:val="51"/>
        </w:numPr>
        <w:tabs>
          <w:tab w:val="left" w:pos="900"/>
        </w:tabs>
        <w:spacing w:line="360" w:lineRule="auto"/>
        <w:ind w:left="0" w:firstLine="480"/>
      </w:pPr>
      <w:r>
        <w:t>《环境影响评价技术导则—地表水环境》（HJ 2.3-2018）；</w:t>
      </w:r>
    </w:p>
    <w:p>
      <w:pPr>
        <w:pStyle w:val="204"/>
        <w:numPr>
          <w:ilvl w:val="0"/>
          <w:numId w:val="51"/>
        </w:numPr>
        <w:tabs>
          <w:tab w:val="left" w:pos="900"/>
        </w:tabs>
        <w:spacing w:line="360" w:lineRule="auto"/>
        <w:ind w:left="0" w:firstLine="480"/>
      </w:pPr>
      <w:r>
        <w:t>《环境影响评价技术导则—地下水环境》（HJ 610-2016）；</w:t>
      </w:r>
    </w:p>
    <w:p>
      <w:pPr>
        <w:pStyle w:val="204"/>
        <w:numPr>
          <w:ilvl w:val="0"/>
          <w:numId w:val="51"/>
        </w:numPr>
        <w:tabs>
          <w:tab w:val="left" w:pos="900"/>
        </w:tabs>
        <w:spacing w:line="360" w:lineRule="auto"/>
        <w:ind w:left="0" w:firstLine="480"/>
      </w:pPr>
      <w:r>
        <w:t>《环境影响评价技术导则—声环境》（HJ 2.4-2021）；</w:t>
      </w:r>
    </w:p>
    <w:p>
      <w:pPr>
        <w:pStyle w:val="204"/>
        <w:numPr>
          <w:ilvl w:val="0"/>
          <w:numId w:val="51"/>
        </w:numPr>
        <w:tabs>
          <w:tab w:val="left" w:pos="900"/>
        </w:tabs>
        <w:spacing w:line="360" w:lineRule="auto"/>
        <w:ind w:left="0" w:firstLine="480"/>
      </w:pPr>
      <w:r>
        <w:t>《环境影响评价技术导则—生态影响》（HJ 19-2022）；</w:t>
      </w:r>
    </w:p>
    <w:p>
      <w:pPr>
        <w:pStyle w:val="204"/>
        <w:numPr>
          <w:ilvl w:val="0"/>
          <w:numId w:val="51"/>
        </w:numPr>
        <w:tabs>
          <w:tab w:val="left" w:pos="900"/>
        </w:tabs>
        <w:spacing w:line="360" w:lineRule="auto"/>
        <w:ind w:left="0" w:firstLine="480"/>
      </w:pPr>
      <w:r>
        <w:t>《环境影响评价技术导则 土壤环境（试行）》（HJ 964-2018）；</w:t>
      </w:r>
    </w:p>
    <w:p>
      <w:pPr>
        <w:pStyle w:val="204"/>
        <w:numPr>
          <w:ilvl w:val="0"/>
          <w:numId w:val="51"/>
        </w:numPr>
        <w:tabs>
          <w:tab w:val="left" w:pos="900"/>
        </w:tabs>
        <w:spacing w:line="360" w:lineRule="auto"/>
        <w:ind w:left="0" w:firstLine="480"/>
      </w:pPr>
      <w:r>
        <w:t>《建设项目环境风险评价技术导则》（HJ 169-2018）；</w:t>
      </w:r>
    </w:p>
    <w:p>
      <w:pPr>
        <w:pStyle w:val="204"/>
        <w:numPr>
          <w:ilvl w:val="0"/>
          <w:numId w:val="51"/>
        </w:numPr>
        <w:tabs>
          <w:tab w:val="left" w:pos="900"/>
        </w:tabs>
        <w:spacing w:line="360" w:lineRule="auto"/>
        <w:ind w:left="0" w:firstLine="480"/>
      </w:pPr>
      <w:r>
        <w:t>《大气污染治理工程技术导则》（HJ 2000-2010）；</w:t>
      </w:r>
    </w:p>
    <w:p>
      <w:pPr>
        <w:pStyle w:val="204"/>
        <w:numPr>
          <w:ilvl w:val="0"/>
          <w:numId w:val="51"/>
        </w:numPr>
        <w:tabs>
          <w:tab w:val="left" w:pos="480"/>
          <w:tab w:val="left" w:pos="900"/>
        </w:tabs>
        <w:spacing w:line="360" w:lineRule="auto"/>
        <w:ind w:left="0" w:firstLine="480"/>
      </w:pPr>
      <w:r>
        <w:t>《港口建设项目环境影响评价规范》（JTS 105-1-2011）；</w:t>
      </w:r>
    </w:p>
    <w:p>
      <w:pPr>
        <w:pStyle w:val="204"/>
        <w:numPr>
          <w:ilvl w:val="0"/>
          <w:numId w:val="51"/>
        </w:numPr>
        <w:tabs>
          <w:tab w:val="left" w:pos="480"/>
          <w:tab w:val="left" w:pos="900"/>
        </w:tabs>
        <w:spacing w:line="360" w:lineRule="auto"/>
        <w:ind w:left="0" w:firstLine="480"/>
      </w:pPr>
      <w:r>
        <w:rPr>
          <w:rFonts w:hint="eastAsia"/>
        </w:rPr>
        <w:t>《排污许可证申请与核发技术规范 码头》</w:t>
      </w:r>
      <w:r>
        <w:t xml:space="preserve">（HJ </w:t>
      </w:r>
      <w:r>
        <w:rPr>
          <w:rFonts w:hint="eastAsia"/>
        </w:rPr>
        <w:t>1107</w:t>
      </w:r>
      <w:r>
        <w:t>-20</w:t>
      </w:r>
      <w:r>
        <w:rPr>
          <w:rFonts w:hint="eastAsia"/>
        </w:rPr>
        <w:t>20</w:t>
      </w:r>
      <w:r>
        <w:t>）；</w:t>
      </w:r>
    </w:p>
    <w:p>
      <w:pPr>
        <w:pStyle w:val="204"/>
        <w:numPr>
          <w:ilvl w:val="0"/>
          <w:numId w:val="51"/>
        </w:numPr>
        <w:tabs>
          <w:tab w:val="left" w:pos="480"/>
          <w:tab w:val="left" w:pos="900"/>
        </w:tabs>
        <w:spacing w:line="360" w:lineRule="auto"/>
        <w:ind w:left="0" w:firstLine="480"/>
      </w:pPr>
      <w:r>
        <w:t>《港口建设项目环境影响评价文件审批原则》（环办环评[2018]2号）；</w:t>
      </w:r>
    </w:p>
    <w:p>
      <w:pPr>
        <w:pStyle w:val="204"/>
        <w:numPr>
          <w:ilvl w:val="0"/>
          <w:numId w:val="51"/>
        </w:numPr>
        <w:tabs>
          <w:tab w:val="left" w:pos="480"/>
          <w:tab w:val="left" w:pos="900"/>
        </w:tabs>
        <w:spacing w:line="360" w:lineRule="auto"/>
        <w:ind w:left="0" w:firstLine="480"/>
      </w:pPr>
      <w:r>
        <w:t>《建设项目竣工环境保护验收技术规范 港口》（HJ 436-2008）；</w:t>
      </w:r>
    </w:p>
    <w:p>
      <w:pPr>
        <w:pStyle w:val="204"/>
        <w:numPr>
          <w:ilvl w:val="0"/>
          <w:numId w:val="51"/>
        </w:numPr>
        <w:tabs>
          <w:tab w:val="left" w:pos="900"/>
        </w:tabs>
        <w:spacing w:line="360" w:lineRule="auto"/>
        <w:ind w:left="0" w:firstLine="480"/>
      </w:pPr>
      <w:r>
        <w:t>《建设项目危险废物环境影响评价指南》（环境保护部公告2017年第43号）；</w:t>
      </w:r>
    </w:p>
    <w:p>
      <w:pPr>
        <w:pStyle w:val="204"/>
        <w:numPr>
          <w:ilvl w:val="0"/>
          <w:numId w:val="51"/>
        </w:numPr>
        <w:tabs>
          <w:tab w:val="left" w:pos="900"/>
        </w:tabs>
        <w:spacing w:line="360" w:lineRule="auto"/>
        <w:ind w:left="0" w:firstLine="480"/>
      </w:pPr>
      <w:r>
        <w:t>《国家危险废物名录（2021版）》（生态环境部部令第15号）；</w:t>
      </w:r>
    </w:p>
    <w:p>
      <w:pPr>
        <w:pStyle w:val="204"/>
        <w:numPr>
          <w:ilvl w:val="0"/>
          <w:numId w:val="51"/>
        </w:numPr>
        <w:tabs>
          <w:tab w:val="left" w:pos="900"/>
        </w:tabs>
        <w:spacing w:line="360" w:lineRule="auto"/>
        <w:ind w:left="0" w:firstLine="480"/>
      </w:pPr>
      <w:r>
        <w:t>《危险化学品重大危险源辨识》（GB 18218-2018）；</w:t>
      </w:r>
    </w:p>
    <w:p>
      <w:pPr>
        <w:pStyle w:val="204"/>
        <w:numPr>
          <w:ilvl w:val="0"/>
          <w:numId w:val="51"/>
        </w:numPr>
        <w:tabs>
          <w:tab w:val="left" w:pos="900"/>
        </w:tabs>
        <w:spacing w:line="360" w:lineRule="auto"/>
        <w:ind w:left="0" w:firstLine="480"/>
      </w:pPr>
      <w:r>
        <w:t>《生产建设项目水土保持技术标准》（GB 50433-2018）；</w:t>
      </w:r>
    </w:p>
    <w:p>
      <w:pPr>
        <w:pStyle w:val="204"/>
        <w:numPr>
          <w:ilvl w:val="0"/>
          <w:numId w:val="51"/>
        </w:numPr>
        <w:tabs>
          <w:tab w:val="left" w:pos="900"/>
        </w:tabs>
        <w:spacing w:line="360" w:lineRule="auto"/>
        <w:ind w:left="0" w:firstLine="480"/>
      </w:pPr>
      <w:r>
        <w:t>《水运工程环境保护设计规范》（</w:t>
      </w:r>
      <w:r>
        <w:rPr>
          <w:spacing w:val="-3"/>
          <w:szCs w:val="22"/>
        </w:rPr>
        <w:t>JTS 149-2018</w:t>
      </w:r>
      <w:r>
        <w:t>），（2019年10月28日修订）；</w:t>
      </w:r>
    </w:p>
    <w:p>
      <w:pPr>
        <w:pStyle w:val="204"/>
        <w:numPr>
          <w:ilvl w:val="0"/>
          <w:numId w:val="51"/>
        </w:numPr>
        <w:tabs>
          <w:tab w:val="left" w:pos="900"/>
        </w:tabs>
        <w:spacing w:line="360" w:lineRule="auto"/>
        <w:ind w:left="0" w:firstLine="480"/>
      </w:pPr>
      <w:r>
        <w:t>《港口（港区）溢油应急计划编制指南》（中国海事局，2001 年 8 月）；</w:t>
      </w:r>
    </w:p>
    <w:p>
      <w:pPr>
        <w:pStyle w:val="204"/>
        <w:numPr>
          <w:ilvl w:val="0"/>
          <w:numId w:val="51"/>
        </w:numPr>
        <w:tabs>
          <w:tab w:val="left" w:pos="900"/>
        </w:tabs>
        <w:spacing w:line="360" w:lineRule="auto"/>
        <w:ind w:left="0" w:firstLine="480"/>
      </w:pPr>
      <w:r>
        <w:t>《船舶水污染防治技术政策》（公告 2018 年第八号）；</w:t>
      </w:r>
    </w:p>
    <w:p>
      <w:pPr>
        <w:pStyle w:val="204"/>
        <w:numPr>
          <w:ilvl w:val="0"/>
          <w:numId w:val="51"/>
        </w:numPr>
        <w:tabs>
          <w:tab w:val="left" w:pos="900"/>
        </w:tabs>
        <w:spacing w:line="360" w:lineRule="auto"/>
        <w:ind w:left="0" w:firstLine="480"/>
      </w:pPr>
      <w:r>
        <w:t>《河港总体设计规范》（JTS166-2020）；</w:t>
      </w:r>
    </w:p>
    <w:p>
      <w:pPr>
        <w:pStyle w:val="204"/>
        <w:numPr>
          <w:ilvl w:val="0"/>
          <w:numId w:val="51"/>
        </w:numPr>
        <w:tabs>
          <w:tab w:val="left" w:pos="900"/>
        </w:tabs>
        <w:spacing w:line="360" w:lineRule="auto"/>
        <w:ind w:left="0" w:firstLine="480"/>
      </w:pPr>
      <w:r>
        <w:t>《内河通航标准》（GB 50139-2014）；</w:t>
      </w:r>
    </w:p>
    <w:p>
      <w:pPr>
        <w:pStyle w:val="204"/>
        <w:numPr>
          <w:ilvl w:val="0"/>
          <w:numId w:val="51"/>
        </w:numPr>
        <w:tabs>
          <w:tab w:val="left" w:pos="900"/>
        </w:tabs>
        <w:spacing w:line="360" w:lineRule="auto"/>
        <w:ind w:left="0" w:firstLine="480"/>
      </w:pPr>
      <w:r>
        <w:t>《港口工程荷载规范》（JTS 144-1-2010）</w:t>
      </w:r>
      <w:r>
        <w:rPr>
          <w:rFonts w:hint="eastAsia"/>
        </w:rPr>
        <w:t>；</w:t>
      </w:r>
    </w:p>
    <w:p>
      <w:pPr>
        <w:pStyle w:val="204"/>
        <w:numPr>
          <w:ilvl w:val="0"/>
          <w:numId w:val="51"/>
        </w:numPr>
        <w:tabs>
          <w:tab w:val="left" w:pos="900"/>
        </w:tabs>
        <w:spacing w:line="360" w:lineRule="auto"/>
        <w:ind w:left="0" w:firstLine="480"/>
      </w:pPr>
      <w:r>
        <w:rPr>
          <w:rFonts w:hint="eastAsia"/>
        </w:rPr>
        <w:t>《大气有害物质无组织排放卫生防护距离推导技术导则》</w:t>
      </w:r>
      <w:r>
        <w:t>（GB</w:t>
      </w:r>
      <w:r>
        <w:rPr>
          <w:rFonts w:hint="eastAsia"/>
        </w:rPr>
        <w:t>/T</w:t>
      </w:r>
      <w:r>
        <w:t xml:space="preserve"> </w:t>
      </w:r>
      <w:r>
        <w:rPr>
          <w:rFonts w:hint="eastAsia"/>
        </w:rPr>
        <w:t>39499</w:t>
      </w:r>
      <w:r>
        <w:t>-20</w:t>
      </w:r>
      <w:r>
        <w:rPr>
          <w:rFonts w:hint="eastAsia"/>
        </w:rPr>
        <w:t>20</w:t>
      </w:r>
      <w:r>
        <w:t>）。</w:t>
      </w:r>
    </w:p>
    <w:p>
      <w:pPr>
        <w:pStyle w:val="454"/>
        <w:ind w:firstLine="602"/>
        <w:rPr>
          <w:color w:val="auto"/>
        </w:rPr>
      </w:pPr>
      <w:r>
        <w:rPr>
          <w:color w:val="auto"/>
        </w:rPr>
        <w:t>项目设计文件及参考资料</w:t>
      </w:r>
    </w:p>
    <w:p>
      <w:pPr>
        <w:pStyle w:val="204"/>
        <w:numPr>
          <w:ilvl w:val="0"/>
          <w:numId w:val="52"/>
        </w:numPr>
        <w:tabs>
          <w:tab w:val="left" w:pos="900"/>
        </w:tabs>
        <w:spacing w:line="360" w:lineRule="auto"/>
        <w:ind w:left="0" w:firstLine="480"/>
      </w:pPr>
      <w:bookmarkStart w:id="32" w:name="_Toc16144483"/>
      <w:bookmarkStart w:id="33" w:name="_Toc439880007"/>
      <w:r>
        <w:rPr>
          <w:rFonts w:hint="eastAsia"/>
          <w:lang w:eastAsia="zh-CN"/>
        </w:rPr>
        <w:t>《</w:t>
      </w:r>
      <w:r>
        <w:rPr>
          <w:rFonts w:hint="eastAsia"/>
          <w:lang w:val="en-US" w:eastAsia="zh-CN"/>
        </w:rPr>
        <w:t>长江干线航道总体规划纲要</w:t>
      </w:r>
      <w:r>
        <w:rPr>
          <w:rFonts w:hint="eastAsia"/>
          <w:lang w:eastAsia="zh-CN"/>
        </w:rPr>
        <w:t>》；</w:t>
      </w:r>
    </w:p>
    <w:p>
      <w:pPr>
        <w:pStyle w:val="204"/>
        <w:numPr>
          <w:ilvl w:val="0"/>
          <w:numId w:val="52"/>
        </w:numPr>
        <w:tabs>
          <w:tab w:val="left" w:pos="900"/>
        </w:tabs>
        <w:spacing w:line="360" w:lineRule="auto"/>
        <w:ind w:left="0" w:firstLine="480"/>
      </w:pPr>
      <w:r>
        <w:rPr>
          <w:rFonts w:hint="eastAsia"/>
          <w:lang w:eastAsia="zh-CN"/>
        </w:rPr>
        <w:t>《</w:t>
      </w:r>
      <w:r>
        <w:rPr>
          <w:rFonts w:hint="eastAsia"/>
          <w:lang w:val="en-US" w:eastAsia="zh-CN"/>
        </w:rPr>
        <w:t>长江岸线保护和开发利用总体规划</w:t>
      </w:r>
      <w:r>
        <w:rPr>
          <w:rFonts w:hint="eastAsia"/>
          <w:lang w:eastAsia="zh-CN"/>
        </w:rPr>
        <w:t>》；</w:t>
      </w:r>
    </w:p>
    <w:p>
      <w:pPr>
        <w:pStyle w:val="204"/>
        <w:numPr>
          <w:ilvl w:val="0"/>
          <w:numId w:val="52"/>
        </w:numPr>
        <w:tabs>
          <w:tab w:val="left" w:pos="900"/>
        </w:tabs>
        <w:spacing w:line="360" w:lineRule="auto"/>
        <w:ind w:left="0" w:firstLine="480"/>
      </w:pPr>
      <w:r>
        <w:rPr>
          <w:szCs w:val="28"/>
        </w:rPr>
        <w:t>《岳阳港总体规划（2017-2035年）》（报批稿）</w:t>
      </w:r>
      <w:r>
        <w:t>；</w:t>
      </w:r>
    </w:p>
    <w:p>
      <w:pPr>
        <w:pStyle w:val="204"/>
        <w:numPr>
          <w:ilvl w:val="0"/>
          <w:numId w:val="52"/>
        </w:numPr>
        <w:tabs>
          <w:tab w:val="left" w:pos="900"/>
        </w:tabs>
        <w:spacing w:line="360" w:lineRule="auto"/>
        <w:ind w:left="0" w:firstLine="480"/>
        <w:rPr>
          <w:szCs w:val="28"/>
        </w:rPr>
      </w:pPr>
      <w:r>
        <w:rPr>
          <w:szCs w:val="28"/>
        </w:rPr>
        <w:t>《岳阳港总体规划（2017-2035年）环境影响报告书》（报批稿）</w:t>
      </w:r>
      <w:r>
        <w:rPr>
          <w:rFonts w:hint="eastAsia"/>
          <w:szCs w:val="28"/>
        </w:rPr>
        <w:t>及其批复</w:t>
      </w:r>
      <w:r>
        <w:rPr>
          <w:szCs w:val="28"/>
        </w:rPr>
        <w:t>；</w:t>
      </w:r>
    </w:p>
    <w:p>
      <w:pPr>
        <w:pStyle w:val="204"/>
        <w:numPr>
          <w:ilvl w:val="0"/>
          <w:numId w:val="52"/>
        </w:numPr>
        <w:tabs>
          <w:tab w:val="left" w:pos="900"/>
        </w:tabs>
        <w:spacing w:line="360" w:lineRule="auto"/>
        <w:ind w:left="0" w:firstLine="480"/>
      </w:pPr>
      <w:r>
        <w:rPr>
          <w:szCs w:val="28"/>
        </w:rPr>
        <w:t>《</w:t>
      </w:r>
      <w:r>
        <w:rPr>
          <w:rFonts w:hint="eastAsia"/>
        </w:rPr>
        <w:t>岳阳港道仁矶码头工程</w:t>
      </w:r>
      <w:r>
        <w:rPr>
          <w:szCs w:val="28"/>
        </w:rPr>
        <w:t>可行性研究报告》（2022年</w:t>
      </w:r>
      <w:r>
        <w:rPr>
          <w:rFonts w:hint="eastAsia"/>
          <w:szCs w:val="28"/>
        </w:rPr>
        <w:t>9</w:t>
      </w:r>
      <w:r>
        <w:rPr>
          <w:szCs w:val="28"/>
        </w:rPr>
        <w:t>月）</w:t>
      </w:r>
      <w:r>
        <w:t>；</w:t>
      </w:r>
    </w:p>
    <w:p>
      <w:pPr>
        <w:pStyle w:val="204"/>
        <w:numPr>
          <w:ilvl w:val="0"/>
          <w:numId w:val="52"/>
        </w:numPr>
        <w:tabs>
          <w:tab w:val="left" w:pos="900"/>
        </w:tabs>
        <w:spacing w:line="360" w:lineRule="auto"/>
        <w:ind w:left="0" w:firstLine="480"/>
      </w:pPr>
      <w:r>
        <w:rPr>
          <w:rFonts w:hint="eastAsia"/>
        </w:rPr>
        <w:t>湖南省发展和改革委员会关于岳阳港道仁矶码头工程项目核准的批复（湘发改基础</w:t>
      </w:r>
      <w:r>
        <w:t>〔20</w:t>
      </w:r>
      <w:r>
        <w:rPr>
          <w:rFonts w:hint="eastAsia"/>
        </w:rPr>
        <w:t>22</w:t>
      </w:r>
      <w:r>
        <w:t>〕</w:t>
      </w:r>
      <w:r>
        <w:rPr>
          <w:rFonts w:hint="eastAsia"/>
          <w:szCs w:val="24"/>
        </w:rPr>
        <w:t>760</w:t>
      </w:r>
      <w:r>
        <w:rPr>
          <w:szCs w:val="24"/>
        </w:rPr>
        <w:t>号</w:t>
      </w:r>
      <w:r>
        <w:rPr>
          <w:rFonts w:hint="eastAsia"/>
        </w:rPr>
        <w:t>）；</w:t>
      </w:r>
    </w:p>
    <w:p>
      <w:pPr>
        <w:pStyle w:val="204"/>
        <w:numPr>
          <w:ilvl w:val="0"/>
          <w:numId w:val="52"/>
        </w:numPr>
        <w:tabs>
          <w:tab w:val="left" w:pos="900"/>
        </w:tabs>
        <w:spacing w:line="360" w:lineRule="auto"/>
        <w:ind w:left="0" w:firstLine="480"/>
        <w:rPr>
          <w:szCs w:val="28"/>
        </w:rPr>
      </w:pPr>
      <w:r>
        <w:rPr>
          <w:szCs w:val="28"/>
        </w:rPr>
        <w:t>《</w:t>
      </w:r>
      <w:r>
        <w:rPr>
          <w:rFonts w:hint="eastAsia"/>
          <w:szCs w:val="28"/>
        </w:rPr>
        <w:t>岳阳港道仁矶码头工程</w:t>
      </w:r>
      <w:r>
        <w:rPr>
          <w:szCs w:val="28"/>
        </w:rPr>
        <w:t>对</w:t>
      </w:r>
      <w:r>
        <w:rPr>
          <w:szCs w:val="24"/>
        </w:rPr>
        <w:t>洞庭湖口铜鱼短颌鲚国家级水产种质资源保护区</w:t>
      </w:r>
      <w:r>
        <w:rPr>
          <w:szCs w:val="28"/>
        </w:rPr>
        <w:t>影响专题论证报告》（2022年6月）；</w:t>
      </w:r>
    </w:p>
    <w:p>
      <w:pPr>
        <w:pStyle w:val="204"/>
        <w:numPr>
          <w:ilvl w:val="0"/>
          <w:numId w:val="52"/>
        </w:numPr>
        <w:tabs>
          <w:tab w:val="left" w:pos="900"/>
        </w:tabs>
        <w:spacing w:line="360" w:lineRule="auto"/>
        <w:ind w:left="0" w:firstLine="480"/>
      </w:pPr>
      <w:r>
        <w:rPr>
          <w:szCs w:val="24"/>
        </w:rPr>
        <w:t>湖南省人民政府专题会议纪要，湘府阅</w:t>
      </w:r>
      <w:r>
        <w:t>〔2018〕</w:t>
      </w:r>
      <w:r>
        <w:rPr>
          <w:szCs w:val="24"/>
        </w:rPr>
        <w:t>28号，关于推进长江岸线湖南段港口码头专项整治工作的会议纪要；</w:t>
      </w:r>
    </w:p>
    <w:p>
      <w:pPr>
        <w:pStyle w:val="204"/>
        <w:numPr>
          <w:ilvl w:val="0"/>
          <w:numId w:val="52"/>
        </w:numPr>
        <w:tabs>
          <w:tab w:val="left" w:pos="900"/>
        </w:tabs>
        <w:spacing w:line="360" w:lineRule="auto"/>
        <w:ind w:left="0" w:firstLine="480"/>
      </w:pPr>
      <w:r>
        <w:rPr>
          <w:szCs w:val="28"/>
        </w:rPr>
        <w:t>《关于推进长江岸线湖南段港口码头专项整治工作的第二次会议纪要》（湘府阅[2018]33号）；</w:t>
      </w:r>
    </w:p>
    <w:p>
      <w:pPr>
        <w:pStyle w:val="204"/>
        <w:numPr>
          <w:ilvl w:val="0"/>
          <w:numId w:val="52"/>
        </w:numPr>
        <w:tabs>
          <w:tab w:val="left" w:pos="900"/>
        </w:tabs>
        <w:spacing w:line="360" w:lineRule="auto"/>
        <w:ind w:left="0" w:firstLine="480"/>
      </w:pPr>
      <w:r>
        <w:rPr>
          <w:szCs w:val="24"/>
        </w:rPr>
        <w:t>湖南省人民政府专题会议纪要，湘府阅</w:t>
      </w:r>
      <w:r>
        <w:t>〔2018〕</w:t>
      </w:r>
      <w:r>
        <w:rPr>
          <w:szCs w:val="24"/>
        </w:rPr>
        <w:t>48号，关于推进长江岸线湖南段港口码头专项整治工作第三次会议暨长江湖南段</w:t>
      </w:r>
      <w:r>
        <w:rPr>
          <w:rFonts w:asciiTheme="minorEastAsia" w:hAnsiTheme="minorEastAsia" w:eastAsiaTheme="minorEastAsia"/>
          <w:szCs w:val="24"/>
        </w:rPr>
        <w:t>“</w:t>
      </w:r>
      <w:r>
        <w:rPr>
          <w:szCs w:val="24"/>
        </w:rPr>
        <w:t>河长制</w:t>
      </w:r>
      <w:r>
        <w:rPr>
          <w:rFonts w:asciiTheme="minorEastAsia" w:hAnsiTheme="minorEastAsia" w:eastAsiaTheme="minorEastAsia"/>
          <w:szCs w:val="24"/>
        </w:rPr>
        <w:t>”</w:t>
      </w:r>
      <w:r>
        <w:rPr>
          <w:szCs w:val="24"/>
        </w:rPr>
        <w:t>工作会议纪要；</w:t>
      </w:r>
    </w:p>
    <w:p>
      <w:pPr>
        <w:pStyle w:val="204"/>
        <w:numPr>
          <w:ilvl w:val="0"/>
          <w:numId w:val="52"/>
        </w:numPr>
        <w:tabs>
          <w:tab w:val="left" w:pos="900"/>
        </w:tabs>
        <w:spacing w:line="360" w:lineRule="auto"/>
        <w:ind w:left="0" w:firstLine="480"/>
      </w:pPr>
      <w:r>
        <w:rPr>
          <w:rFonts w:hint="eastAsia"/>
          <w:szCs w:val="24"/>
        </w:rPr>
        <w:t>《岳阳市二〇一九年度生态环境质量公报》；</w:t>
      </w:r>
    </w:p>
    <w:p>
      <w:pPr>
        <w:pStyle w:val="204"/>
        <w:numPr>
          <w:ilvl w:val="0"/>
          <w:numId w:val="52"/>
        </w:numPr>
        <w:tabs>
          <w:tab w:val="left" w:pos="900"/>
        </w:tabs>
        <w:spacing w:line="360" w:lineRule="auto"/>
        <w:ind w:left="0" w:firstLine="480"/>
      </w:pPr>
      <w:r>
        <w:t>《</w:t>
      </w:r>
      <w:r>
        <w:rPr>
          <w:rFonts w:hint="eastAsia"/>
        </w:rPr>
        <w:t>岳阳市2020年度生态环境质量公报</w:t>
      </w:r>
      <w:r>
        <w:t>》</w:t>
      </w:r>
      <w:r>
        <w:rPr>
          <w:rFonts w:hint="eastAsia"/>
        </w:rPr>
        <w:t>；</w:t>
      </w:r>
    </w:p>
    <w:p>
      <w:pPr>
        <w:pStyle w:val="204"/>
        <w:numPr>
          <w:ilvl w:val="0"/>
          <w:numId w:val="52"/>
        </w:numPr>
        <w:tabs>
          <w:tab w:val="left" w:pos="900"/>
        </w:tabs>
        <w:spacing w:line="360" w:lineRule="auto"/>
        <w:ind w:left="0" w:firstLine="480"/>
      </w:pPr>
      <w:r>
        <w:rPr>
          <w:rFonts w:hint="eastAsia"/>
        </w:rPr>
        <w:t>《岳阳市2021年度生态环境质量公报》</w:t>
      </w:r>
      <w:r>
        <w:t>；</w:t>
      </w:r>
    </w:p>
    <w:p>
      <w:pPr>
        <w:pStyle w:val="204"/>
        <w:numPr>
          <w:ilvl w:val="0"/>
          <w:numId w:val="52"/>
        </w:numPr>
        <w:tabs>
          <w:tab w:val="left" w:pos="900"/>
        </w:tabs>
        <w:spacing w:line="360" w:lineRule="auto"/>
        <w:ind w:left="0" w:firstLine="480"/>
      </w:pPr>
      <w:r>
        <w:t>《湖南省岳阳市城市总体规划（2008-2030）》。</w:t>
      </w:r>
    </w:p>
    <w:p>
      <w:pPr>
        <w:pStyle w:val="453"/>
        <w:ind w:firstLine="643" w:firstLineChars="0"/>
        <w:rPr>
          <w:rFonts w:ascii="Times New Roman" w:cs="Times New Roman"/>
          <w:snapToGrid w:val="0"/>
        </w:rPr>
      </w:pPr>
      <w:bookmarkStart w:id="34" w:name="_Toc16434"/>
      <w:bookmarkStart w:id="35" w:name="_Toc106696990"/>
      <w:bookmarkStart w:id="36" w:name="_Toc19687"/>
      <w:bookmarkStart w:id="37" w:name="_Toc401255940"/>
      <w:r>
        <w:rPr>
          <w:rFonts w:ascii="Times New Roman" w:cs="Times New Roman"/>
          <w:snapToGrid w:val="0"/>
        </w:rPr>
        <w:t>环境影响因素识别与评价因子筛选</w:t>
      </w:r>
      <w:bookmarkEnd w:id="34"/>
      <w:bookmarkEnd w:id="35"/>
      <w:bookmarkEnd w:id="36"/>
    </w:p>
    <w:p>
      <w:pPr>
        <w:pStyle w:val="454"/>
        <w:ind w:firstLine="602"/>
        <w:rPr>
          <w:color w:val="auto"/>
        </w:rPr>
      </w:pPr>
      <w:r>
        <w:rPr>
          <w:color w:val="auto"/>
        </w:rPr>
        <w:t>环境影响因素识别</w:t>
      </w:r>
    </w:p>
    <w:p>
      <w:pPr>
        <w:pStyle w:val="458"/>
        <w:ind w:firstLine="480"/>
        <w:rPr>
          <w:rFonts w:cs="Times New Roman"/>
          <w:color w:val="auto"/>
        </w:rPr>
      </w:pPr>
      <w:r>
        <w:rPr>
          <w:rFonts w:cs="Times New Roman"/>
          <w:color w:val="auto"/>
          <w:szCs w:val="24"/>
        </w:rPr>
        <w:t>采用矩阵识别法对拟建项目在施工期和运营期产生的环境影响因素进行识别，</w:t>
      </w:r>
      <w:r>
        <w:rPr>
          <w:rFonts w:cs="Times New Roman"/>
          <w:color w:val="auto"/>
        </w:rPr>
        <w:t>识别结果见表1-1、表1-2。</w:t>
      </w:r>
    </w:p>
    <w:p>
      <w:pPr>
        <w:pStyle w:val="619"/>
        <w:rPr>
          <w:rFonts w:cs="Times New Roman"/>
        </w:rPr>
      </w:pPr>
      <w:r>
        <w:rPr>
          <w:rFonts w:cs="Times New Roman"/>
        </w:rPr>
        <w:t>施工期环境影响因素识别矩阵</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89"/>
        <w:gridCol w:w="979"/>
        <w:gridCol w:w="1401"/>
        <w:gridCol w:w="881"/>
        <w:gridCol w:w="1087"/>
        <w:gridCol w:w="1087"/>
        <w:gridCol w:w="1087"/>
        <w:gridCol w:w="1087"/>
        <w:gridCol w:w="10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blHeader/>
          <w:jc w:val="center"/>
        </w:trPr>
        <w:tc>
          <w:tcPr>
            <w:tcW w:w="844" w:type="pct"/>
            <w:gridSpan w:val="2"/>
            <w:tcBorders>
              <w:tl2br w:val="nil"/>
              <w:tr2bl w:val="nil"/>
            </w:tcBorders>
            <w:vAlign w:val="center"/>
          </w:tcPr>
          <w:p>
            <w:pPr>
              <w:pStyle w:val="2691"/>
            </w:pPr>
            <w:r>
              <w:rPr>
                <w:rFonts w:hint="eastAsia"/>
              </w:rPr>
              <w:t>时  段</w:t>
            </w:r>
          </w:p>
        </w:tc>
        <w:tc>
          <w:tcPr>
            <w:tcW w:w="754" w:type="pct"/>
            <w:tcBorders>
              <w:tl2br w:val="nil"/>
              <w:tr2bl w:val="nil"/>
            </w:tcBorders>
            <w:vAlign w:val="center"/>
          </w:tcPr>
          <w:p>
            <w:pPr>
              <w:pStyle w:val="2691"/>
            </w:pPr>
            <w:r>
              <w:rPr>
                <w:rFonts w:hint="eastAsia"/>
              </w:rPr>
              <w:t>评价因子</w:t>
            </w:r>
          </w:p>
        </w:tc>
        <w:tc>
          <w:tcPr>
            <w:tcW w:w="474" w:type="pct"/>
            <w:tcBorders>
              <w:tl2br w:val="nil"/>
              <w:tr2bl w:val="nil"/>
            </w:tcBorders>
            <w:vAlign w:val="center"/>
          </w:tcPr>
          <w:p>
            <w:pPr>
              <w:pStyle w:val="2691"/>
            </w:pPr>
            <w:r>
              <w:rPr>
                <w:rFonts w:hint="eastAsia"/>
              </w:rPr>
              <w:t>性质</w:t>
            </w:r>
          </w:p>
        </w:tc>
        <w:tc>
          <w:tcPr>
            <w:tcW w:w="585" w:type="pct"/>
            <w:tcBorders>
              <w:tl2br w:val="nil"/>
              <w:tr2bl w:val="nil"/>
            </w:tcBorders>
            <w:vAlign w:val="center"/>
          </w:tcPr>
          <w:p>
            <w:pPr>
              <w:pStyle w:val="2691"/>
            </w:pPr>
            <w:r>
              <w:rPr>
                <w:rFonts w:hint="eastAsia"/>
              </w:rPr>
              <w:t>程度</w:t>
            </w:r>
          </w:p>
        </w:tc>
        <w:tc>
          <w:tcPr>
            <w:tcW w:w="585" w:type="pct"/>
            <w:tcBorders>
              <w:tl2br w:val="nil"/>
              <w:tr2bl w:val="nil"/>
            </w:tcBorders>
            <w:vAlign w:val="center"/>
          </w:tcPr>
          <w:p>
            <w:pPr>
              <w:pStyle w:val="2691"/>
            </w:pPr>
            <w:r>
              <w:rPr>
                <w:rFonts w:hint="eastAsia"/>
              </w:rPr>
              <w:t>时间</w:t>
            </w:r>
          </w:p>
        </w:tc>
        <w:tc>
          <w:tcPr>
            <w:tcW w:w="585" w:type="pct"/>
            <w:tcBorders>
              <w:tl2br w:val="nil"/>
              <w:tr2bl w:val="nil"/>
            </w:tcBorders>
            <w:vAlign w:val="center"/>
          </w:tcPr>
          <w:p>
            <w:pPr>
              <w:pStyle w:val="2691"/>
            </w:pPr>
            <w:r>
              <w:rPr>
                <w:rFonts w:hint="eastAsia"/>
              </w:rPr>
              <w:t>可能性</w:t>
            </w:r>
          </w:p>
        </w:tc>
        <w:tc>
          <w:tcPr>
            <w:tcW w:w="585" w:type="pct"/>
            <w:tcBorders>
              <w:tl2br w:val="nil"/>
              <w:tr2bl w:val="nil"/>
            </w:tcBorders>
            <w:vAlign w:val="center"/>
          </w:tcPr>
          <w:p>
            <w:pPr>
              <w:pStyle w:val="2691"/>
            </w:pPr>
            <w:r>
              <w:rPr>
                <w:rFonts w:hint="eastAsia"/>
              </w:rPr>
              <w:t>范围</w:t>
            </w:r>
          </w:p>
        </w:tc>
        <w:tc>
          <w:tcPr>
            <w:tcW w:w="585" w:type="pct"/>
            <w:tcBorders>
              <w:tl2br w:val="nil"/>
              <w:tr2bl w:val="nil"/>
            </w:tcBorders>
            <w:vAlign w:val="center"/>
          </w:tcPr>
          <w:p>
            <w:pPr>
              <w:pStyle w:val="2691"/>
            </w:pPr>
            <w:r>
              <w:rPr>
                <w:rFonts w:hint="eastAsia"/>
              </w:rPr>
              <w:t>可逆性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317" w:type="pct"/>
            <w:vMerge w:val="restart"/>
            <w:tcBorders>
              <w:tl2br w:val="nil"/>
              <w:tr2bl w:val="nil"/>
            </w:tcBorders>
            <w:vAlign w:val="center"/>
          </w:tcPr>
          <w:p>
            <w:pPr>
              <w:pStyle w:val="2691"/>
            </w:pPr>
            <w:r>
              <w:rPr>
                <w:rFonts w:hint="eastAsia"/>
              </w:rPr>
              <w:t>施</w:t>
            </w:r>
          </w:p>
          <w:p>
            <w:pPr>
              <w:pStyle w:val="2691"/>
            </w:pPr>
            <w:r>
              <w:rPr>
                <w:rFonts w:hint="eastAsia"/>
              </w:rPr>
              <w:t>工</w:t>
            </w:r>
          </w:p>
          <w:p>
            <w:pPr>
              <w:pStyle w:val="2691"/>
            </w:pPr>
            <w:r>
              <w:rPr>
                <w:rFonts w:hint="eastAsia"/>
              </w:rPr>
              <w:t>期</w:t>
            </w:r>
          </w:p>
        </w:tc>
        <w:tc>
          <w:tcPr>
            <w:tcW w:w="527" w:type="pct"/>
            <w:vMerge w:val="restart"/>
            <w:tcBorders>
              <w:tl2br w:val="nil"/>
              <w:tr2bl w:val="nil"/>
            </w:tcBorders>
            <w:vAlign w:val="center"/>
          </w:tcPr>
          <w:p>
            <w:pPr>
              <w:pStyle w:val="2691"/>
            </w:pPr>
            <w:r>
              <w:rPr>
                <w:rFonts w:hint="eastAsia"/>
              </w:rPr>
              <w:t>场平施工</w:t>
            </w:r>
          </w:p>
        </w:tc>
        <w:tc>
          <w:tcPr>
            <w:tcW w:w="754" w:type="pct"/>
            <w:tcBorders>
              <w:tl2br w:val="nil"/>
              <w:tr2bl w:val="nil"/>
            </w:tcBorders>
            <w:vAlign w:val="center"/>
          </w:tcPr>
          <w:p>
            <w:pPr>
              <w:pStyle w:val="2691"/>
            </w:pPr>
            <w:r>
              <w:rPr>
                <w:rFonts w:hint="eastAsia"/>
              </w:rPr>
              <w:t>地表水</w:t>
            </w:r>
          </w:p>
        </w:tc>
        <w:tc>
          <w:tcPr>
            <w:tcW w:w="474" w:type="pct"/>
            <w:tcBorders>
              <w:tl2br w:val="nil"/>
              <w:tr2bl w:val="nil"/>
            </w:tcBorders>
            <w:vAlign w:val="center"/>
          </w:tcPr>
          <w:p>
            <w:pPr>
              <w:pStyle w:val="2691"/>
            </w:pPr>
            <w:r>
              <w:rPr>
                <w:rFonts w:hint="eastAsia"/>
              </w:rPr>
              <w:t>－</w:t>
            </w:r>
          </w:p>
        </w:tc>
        <w:tc>
          <w:tcPr>
            <w:tcW w:w="585" w:type="pct"/>
            <w:tcBorders>
              <w:tl2br w:val="nil"/>
              <w:tr2bl w:val="nil"/>
            </w:tcBorders>
            <w:vAlign w:val="center"/>
          </w:tcPr>
          <w:p>
            <w:pPr>
              <w:pStyle w:val="2691"/>
            </w:pPr>
            <w:r>
              <w:rPr>
                <w:rFonts w:hint="eastAsia"/>
              </w:rPr>
              <w:t>一般</w:t>
            </w:r>
          </w:p>
        </w:tc>
        <w:tc>
          <w:tcPr>
            <w:tcW w:w="585" w:type="pct"/>
            <w:tcBorders>
              <w:tl2br w:val="nil"/>
              <w:tr2bl w:val="nil"/>
            </w:tcBorders>
            <w:vAlign w:val="center"/>
          </w:tcPr>
          <w:p>
            <w:pPr>
              <w:pStyle w:val="2691"/>
            </w:pPr>
            <w:r>
              <w:rPr>
                <w:rFonts w:hint="eastAsia"/>
              </w:rPr>
              <w:t>短</w:t>
            </w:r>
          </w:p>
        </w:tc>
        <w:tc>
          <w:tcPr>
            <w:tcW w:w="585" w:type="pct"/>
            <w:tcBorders>
              <w:tl2br w:val="nil"/>
              <w:tr2bl w:val="nil"/>
            </w:tcBorders>
            <w:vAlign w:val="center"/>
          </w:tcPr>
          <w:p>
            <w:pPr>
              <w:pStyle w:val="2691"/>
            </w:pPr>
            <w:r>
              <w:rPr>
                <w:rFonts w:hint="eastAsia"/>
              </w:rPr>
              <w:t>较小</w:t>
            </w:r>
          </w:p>
        </w:tc>
        <w:tc>
          <w:tcPr>
            <w:tcW w:w="585" w:type="pct"/>
            <w:tcBorders>
              <w:tl2br w:val="nil"/>
              <w:tr2bl w:val="nil"/>
            </w:tcBorders>
            <w:vAlign w:val="center"/>
          </w:tcPr>
          <w:p>
            <w:pPr>
              <w:pStyle w:val="2691"/>
            </w:pPr>
            <w:r>
              <w:rPr>
                <w:rFonts w:hint="eastAsia"/>
              </w:rPr>
              <w:t>局部</w:t>
            </w:r>
          </w:p>
        </w:tc>
        <w:tc>
          <w:tcPr>
            <w:tcW w:w="585" w:type="pct"/>
            <w:tcBorders>
              <w:tl2br w:val="nil"/>
              <w:tr2bl w:val="nil"/>
            </w:tcBorders>
            <w:vAlign w:val="center"/>
          </w:tcPr>
          <w:p>
            <w:pPr>
              <w:pStyle w:val="2691"/>
            </w:pPr>
            <w:r>
              <w:rPr>
                <w:rFonts w:hint="eastAsia"/>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317" w:type="pct"/>
            <w:vMerge w:val="continue"/>
            <w:tcBorders>
              <w:tl2br w:val="nil"/>
              <w:tr2bl w:val="nil"/>
            </w:tcBorders>
            <w:vAlign w:val="center"/>
          </w:tcPr>
          <w:p>
            <w:pPr>
              <w:pStyle w:val="2691"/>
            </w:pPr>
          </w:p>
        </w:tc>
        <w:tc>
          <w:tcPr>
            <w:tcW w:w="527" w:type="pct"/>
            <w:vMerge w:val="continue"/>
            <w:tcBorders>
              <w:tl2br w:val="nil"/>
              <w:tr2bl w:val="nil"/>
            </w:tcBorders>
            <w:vAlign w:val="center"/>
          </w:tcPr>
          <w:p>
            <w:pPr>
              <w:pStyle w:val="2691"/>
            </w:pPr>
          </w:p>
        </w:tc>
        <w:tc>
          <w:tcPr>
            <w:tcW w:w="754" w:type="pct"/>
            <w:tcBorders>
              <w:tl2br w:val="nil"/>
              <w:tr2bl w:val="nil"/>
            </w:tcBorders>
            <w:vAlign w:val="center"/>
          </w:tcPr>
          <w:p>
            <w:pPr>
              <w:pStyle w:val="2691"/>
            </w:pPr>
            <w:r>
              <w:rPr>
                <w:rFonts w:hint="eastAsia"/>
              </w:rPr>
              <w:t>环境空气</w:t>
            </w:r>
          </w:p>
        </w:tc>
        <w:tc>
          <w:tcPr>
            <w:tcW w:w="474" w:type="pct"/>
            <w:tcBorders>
              <w:tl2br w:val="nil"/>
              <w:tr2bl w:val="nil"/>
            </w:tcBorders>
            <w:vAlign w:val="center"/>
          </w:tcPr>
          <w:p>
            <w:pPr>
              <w:pStyle w:val="2691"/>
            </w:pPr>
            <w:r>
              <w:rPr>
                <w:rFonts w:hint="eastAsia"/>
              </w:rPr>
              <w:t>－</w:t>
            </w:r>
          </w:p>
        </w:tc>
        <w:tc>
          <w:tcPr>
            <w:tcW w:w="585" w:type="pct"/>
            <w:tcBorders>
              <w:tl2br w:val="nil"/>
              <w:tr2bl w:val="nil"/>
            </w:tcBorders>
            <w:vAlign w:val="center"/>
          </w:tcPr>
          <w:p>
            <w:pPr>
              <w:pStyle w:val="2691"/>
            </w:pPr>
            <w:r>
              <w:rPr>
                <w:rFonts w:hint="eastAsia"/>
              </w:rPr>
              <w:t>较大</w:t>
            </w:r>
          </w:p>
        </w:tc>
        <w:tc>
          <w:tcPr>
            <w:tcW w:w="585" w:type="pct"/>
            <w:tcBorders>
              <w:tl2br w:val="nil"/>
              <w:tr2bl w:val="nil"/>
            </w:tcBorders>
            <w:vAlign w:val="center"/>
          </w:tcPr>
          <w:p>
            <w:pPr>
              <w:pStyle w:val="2691"/>
            </w:pPr>
            <w:r>
              <w:rPr>
                <w:rFonts w:hint="eastAsia"/>
              </w:rPr>
              <w:t>短</w:t>
            </w:r>
          </w:p>
        </w:tc>
        <w:tc>
          <w:tcPr>
            <w:tcW w:w="585" w:type="pct"/>
            <w:tcBorders>
              <w:tl2br w:val="nil"/>
              <w:tr2bl w:val="nil"/>
            </w:tcBorders>
            <w:vAlign w:val="center"/>
          </w:tcPr>
          <w:p>
            <w:pPr>
              <w:pStyle w:val="2691"/>
            </w:pPr>
            <w:r>
              <w:rPr>
                <w:rFonts w:hint="eastAsia"/>
              </w:rPr>
              <w:t>较大</w:t>
            </w:r>
          </w:p>
        </w:tc>
        <w:tc>
          <w:tcPr>
            <w:tcW w:w="585" w:type="pct"/>
            <w:tcBorders>
              <w:tl2br w:val="nil"/>
              <w:tr2bl w:val="nil"/>
            </w:tcBorders>
            <w:vAlign w:val="center"/>
          </w:tcPr>
          <w:p>
            <w:pPr>
              <w:pStyle w:val="2691"/>
            </w:pPr>
            <w:r>
              <w:rPr>
                <w:rFonts w:hint="eastAsia"/>
              </w:rPr>
              <w:t>局部</w:t>
            </w:r>
          </w:p>
        </w:tc>
        <w:tc>
          <w:tcPr>
            <w:tcW w:w="585" w:type="pct"/>
            <w:tcBorders>
              <w:tl2br w:val="nil"/>
              <w:tr2bl w:val="nil"/>
            </w:tcBorders>
            <w:vAlign w:val="center"/>
          </w:tcPr>
          <w:p>
            <w:pPr>
              <w:pStyle w:val="2691"/>
            </w:pPr>
            <w:r>
              <w:rPr>
                <w:rFonts w:hint="eastAsia"/>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317" w:type="pct"/>
            <w:vMerge w:val="continue"/>
            <w:tcBorders>
              <w:tl2br w:val="nil"/>
              <w:tr2bl w:val="nil"/>
            </w:tcBorders>
            <w:vAlign w:val="center"/>
          </w:tcPr>
          <w:p>
            <w:pPr>
              <w:pStyle w:val="2691"/>
            </w:pPr>
          </w:p>
        </w:tc>
        <w:tc>
          <w:tcPr>
            <w:tcW w:w="527" w:type="pct"/>
            <w:vMerge w:val="continue"/>
            <w:tcBorders>
              <w:tl2br w:val="nil"/>
              <w:tr2bl w:val="nil"/>
            </w:tcBorders>
            <w:vAlign w:val="center"/>
          </w:tcPr>
          <w:p>
            <w:pPr>
              <w:pStyle w:val="2691"/>
            </w:pPr>
          </w:p>
        </w:tc>
        <w:tc>
          <w:tcPr>
            <w:tcW w:w="754" w:type="pct"/>
            <w:tcBorders>
              <w:tl2br w:val="nil"/>
              <w:tr2bl w:val="nil"/>
            </w:tcBorders>
            <w:vAlign w:val="center"/>
          </w:tcPr>
          <w:p>
            <w:pPr>
              <w:pStyle w:val="2691"/>
            </w:pPr>
            <w:r>
              <w:rPr>
                <w:rFonts w:hint="eastAsia"/>
              </w:rPr>
              <w:t>声环境</w:t>
            </w:r>
          </w:p>
        </w:tc>
        <w:tc>
          <w:tcPr>
            <w:tcW w:w="474" w:type="pct"/>
            <w:tcBorders>
              <w:tl2br w:val="nil"/>
              <w:tr2bl w:val="nil"/>
            </w:tcBorders>
            <w:vAlign w:val="center"/>
          </w:tcPr>
          <w:p>
            <w:pPr>
              <w:pStyle w:val="2691"/>
            </w:pPr>
            <w:r>
              <w:rPr>
                <w:rFonts w:hint="eastAsia"/>
              </w:rPr>
              <w:t>－</w:t>
            </w:r>
          </w:p>
        </w:tc>
        <w:tc>
          <w:tcPr>
            <w:tcW w:w="585" w:type="pct"/>
            <w:tcBorders>
              <w:tl2br w:val="nil"/>
              <w:tr2bl w:val="nil"/>
            </w:tcBorders>
            <w:vAlign w:val="center"/>
          </w:tcPr>
          <w:p>
            <w:pPr>
              <w:pStyle w:val="2691"/>
            </w:pPr>
            <w:r>
              <w:rPr>
                <w:rFonts w:hint="eastAsia"/>
              </w:rPr>
              <w:t>较大</w:t>
            </w:r>
          </w:p>
        </w:tc>
        <w:tc>
          <w:tcPr>
            <w:tcW w:w="585" w:type="pct"/>
            <w:tcBorders>
              <w:tl2br w:val="nil"/>
              <w:tr2bl w:val="nil"/>
            </w:tcBorders>
            <w:vAlign w:val="center"/>
          </w:tcPr>
          <w:p>
            <w:pPr>
              <w:pStyle w:val="2691"/>
            </w:pPr>
            <w:r>
              <w:rPr>
                <w:rFonts w:hint="eastAsia"/>
              </w:rPr>
              <w:t>短</w:t>
            </w:r>
          </w:p>
        </w:tc>
        <w:tc>
          <w:tcPr>
            <w:tcW w:w="585" w:type="pct"/>
            <w:tcBorders>
              <w:tl2br w:val="nil"/>
              <w:tr2bl w:val="nil"/>
            </w:tcBorders>
            <w:vAlign w:val="center"/>
          </w:tcPr>
          <w:p>
            <w:pPr>
              <w:pStyle w:val="2691"/>
            </w:pPr>
            <w:r>
              <w:rPr>
                <w:rFonts w:hint="eastAsia"/>
              </w:rPr>
              <w:t>较大</w:t>
            </w:r>
          </w:p>
        </w:tc>
        <w:tc>
          <w:tcPr>
            <w:tcW w:w="585" w:type="pct"/>
            <w:tcBorders>
              <w:tl2br w:val="nil"/>
              <w:tr2bl w:val="nil"/>
            </w:tcBorders>
            <w:vAlign w:val="center"/>
          </w:tcPr>
          <w:p>
            <w:pPr>
              <w:pStyle w:val="2691"/>
            </w:pPr>
            <w:r>
              <w:rPr>
                <w:rFonts w:hint="eastAsia"/>
              </w:rPr>
              <w:t>局部</w:t>
            </w:r>
          </w:p>
        </w:tc>
        <w:tc>
          <w:tcPr>
            <w:tcW w:w="585" w:type="pct"/>
            <w:tcBorders>
              <w:tl2br w:val="nil"/>
              <w:tr2bl w:val="nil"/>
            </w:tcBorders>
            <w:vAlign w:val="center"/>
          </w:tcPr>
          <w:p>
            <w:pPr>
              <w:pStyle w:val="2691"/>
            </w:pPr>
            <w:r>
              <w:rPr>
                <w:rFonts w:hint="eastAsia"/>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317" w:type="pct"/>
            <w:vMerge w:val="continue"/>
            <w:tcBorders>
              <w:tl2br w:val="nil"/>
              <w:tr2bl w:val="nil"/>
            </w:tcBorders>
            <w:vAlign w:val="center"/>
          </w:tcPr>
          <w:p>
            <w:pPr>
              <w:pStyle w:val="2691"/>
            </w:pPr>
          </w:p>
        </w:tc>
        <w:tc>
          <w:tcPr>
            <w:tcW w:w="527" w:type="pct"/>
            <w:vMerge w:val="continue"/>
            <w:tcBorders>
              <w:tl2br w:val="nil"/>
              <w:tr2bl w:val="nil"/>
            </w:tcBorders>
            <w:vAlign w:val="center"/>
          </w:tcPr>
          <w:p>
            <w:pPr>
              <w:pStyle w:val="2691"/>
            </w:pPr>
          </w:p>
        </w:tc>
        <w:tc>
          <w:tcPr>
            <w:tcW w:w="754" w:type="pct"/>
            <w:tcBorders>
              <w:tl2br w:val="nil"/>
              <w:tr2bl w:val="nil"/>
            </w:tcBorders>
            <w:vAlign w:val="center"/>
          </w:tcPr>
          <w:p>
            <w:pPr>
              <w:pStyle w:val="2691"/>
            </w:pPr>
            <w:r>
              <w:rPr>
                <w:rFonts w:hint="eastAsia"/>
              </w:rPr>
              <w:t>固体废物</w:t>
            </w:r>
          </w:p>
        </w:tc>
        <w:tc>
          <w:tcPr>
            <w:tcW w:w="474" w:type="pct"/>
            <w:tcBorders>
              <w:tl2br w:val="nil"/>
              <w:tr2bl w:val="nil"/>
            </w:tcBorders>
            <w:vAlign w:val="center"/>
          </w:tcPr>
          <w:p>
            <w:pPr>
              <w:pStyle w:val="2691"/>
            </w:pPr>
            <w:r>
              <w:rPr>
                <w:rFonts w:hint="eastAsia"/>
              </w:rPr>
              <w:t>－</w:t>
            </w:r>
          </w:p>
        </w:tc>
        <w:tc>
          <w:tcPr>
            <w:tcW w:w="585" w:type="pct"/>
            <w:tcBorders>
              <w:tl2br w:val="nil"/>
              <w:tr2bl w:val="nil"/>
            </w:tcBorders>
            <w:vAlign w:val="center"/>
          </w:tcPr>
          <w:p>
            <w:pPr>
              <w:pStyle w:val="2691"/>
            </w:pPr>
            <w:r>
              <w:rPr>
                <w:rFonts w:hint="eastAsia"/>
              </w:rPr>
              <w:t>一般</w:t>
            </w:r>
          </w:p>
        </w:tc>
        <w:tc>
          <w:tcPr>
            <w:tcW w:w="585" w:type="pct"/>
            <w:tcBorders>
              <w:tl2br w:val="nil"/>
              <w:tr2bl w:val="nil"/>
            </w:tcBorders>
            <w:vAlign w:val="center"/>
          </w:tcPr>
          <w:p>
            <w:pPr>
              <w:pStyle w:val="2691"/>
            </w:pPr>
            <w:r>
              <w:rPr>
                <w:rFonts w:hint="eastAsia"/>
              </w:rPr>
              <w:t>短</w:t>
            </w:r>
          </w:p>
        </w:tc>
        <w:tc>
          <w:tcPr>
            <w:tcW w:w="585" w:type="pct"/>
            <w:tcBorders>
              <w:tl2br w:val="nil"/>
              <w:tr2bl w:val="nil"/>
            </w:tcBorders>
            <w:vAlign w:val="center"/>
          </w:tcPr>
          <w:p>
            <w:pPr>
              <w:pStyle w:val="2691"/>
            </w:pPr>
            <w:r>
              <w:rPr>
                <w:rFonts w:hint="eastAsia"/>
              </w:rPr>
              <w:t>较大</w:t>
            </w:r>
          </w:p>
        </w:tc>
        <w:tc>
          <w:tcPr>
            <w:tcW w:w="585" w:type="pct"/>
            <w:tcBorders>
              <w:tl2br w:val="nil"/>
              <w:tr2bl w:val="nil"/>
            </w:tcBorders>
            <w:vAlign w:val="center"/>
          </w:tcPr>
          <w:p>
            <w:pPr>
              <w:pStyle w:val="2691"/>
            </w:pPr>
            <w:r>
              <w:rPr>
                <w:rFonts w:hint="eastAsia"/>
              </w:rPr>
              <w:t>局部</w:t>
            </w:r>
          </w:p>
        </w:tc>
        <w:tc>
          <w:tcPr>
            <w:tcW w:w="585" w:type="pct"/>
            <w:tcBorders>
              <w:tl2br w:val="nil"/>
              <w:tr2bl w:val="nil"/>
            </w:tcBorders>
            <w:vAlign w:val="center"/>
          </w:tcPr>
          <w:p>
            <w:pPr>
              <w:pStyle w:val="2691"/>
            </w:pPr>
            <w:r>
              <w:rPr>
                <w:rFonts w:hint="eastAsia"/>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317" w:type="pct"/>
            <w:vMerge w:val="continue"/>
            <w:tcBorders>
              <w:tl2br w:val="nil"/>
              <w:tr2bl w:val="nil"/>
            </w:tcBorders>
            <w:vAlign w:val="center"/>
          </w:tcPr>
          <w:p>
            <w:pPr>
              <w:pStyle w:val="2691"/>
            </w:pPr>
          </w:p>
        </w:tc>
        <w:tc>
          <w:tcPr>
            <w:tcW w:w="527" w:type="pct"/>
            <w:vMerge w:val="continue"/>
            <w:tcBorders>
              <w:tl2br w:val="nil"/>
              <w:tr2bl w:val="nil"/>
            </w:tcBorders>
            <w:vAlign w:val="center"/>
          </w:tcPr>
          <w:p>
            <w:pPr>
              <w:pStyle w:val="2691"/>
            </w:pPr>
          </w:p>
        </w:tc>
        <w:tc>
          <w:tcPr>
            <w:tcW w:w="754" w:type="pct"/>
            <w:tcBorders>
              <w:tl2br w:val="nil"/>
              <w:tr2bl w:val="nil"/>
            </w:tcBorders>
            <w:vAlign w:val="center"/>
          </w:tcPr>
          <w:p>
            <w:pPr>
              <w:pStyle w:val="2691"/>
            </w:pPr>
            <w:r>
              <w:rPr>
                <w:rFonts w:hint="eastAsia"/>
              </w:rPr>
              <w:t>生态环境</w:t>
            </w:r>
          </w:p>
        </w:tc>
        <w:tc>
          <w:tcPr>
            <w:tcW w:w="474" w:type="pct"/>
            <w:tcBorders>
              <w:tl2br w:val="nil"/>
              <w:tr2bl w:val="nil"/>
            </w:tcBorders>
            <w:vAlign w:val="center"/>
          </w:tcPr>
          <w:p>
            <w:pPr>
              <w:pStyle w:val="2691"/>
            </w:pPr>
            <w:r>
              <w:rPr>
                <w:rFonts w:hint="eastAsia"/>
              </w:rPr>
              <w:t>－</w:t>
            </w:r>
          </w:p>
        </w:tc>
        <w:tc>
          <w:tcPr>
            <w:tcW w:w="585" w:type="pct"/>
            <w:tcBorders>
              <w:tl2br w:val="nil"/>
              <w:tr2bl w:val="nil"/>
            </w:tcBorders>
            <w:vAlign w:val="center"/>
          </w:tcPr>
          <w:p>
            <w:pPr>
              <w:pStyle w:val="2691"/>
            </w:pPr>
            <w:r>
              <w:rPr>
                <w:rFonts w:hint="eastAsia"/>
              </w:rPr>
              <w:t>一般</w:t>
            </w:r>
          </w:p>
        </w:tc>
        <w:tc>
          <w:tcPr>
            <w:tcW w:w="585" w:type="pct"/>
            <w:tcBorders>
              <w:tl2br w:val="nil"/>
              <w:tr2bl w:val="nil"/>
            </w:tcBorders>
            <w:vAlign w:val="center"/>
          </w:tcPr>
          <w:p>
            <w:pPr>
              <w:pStyle w:val="2691"/>
            </w:pPr>
            <w:r>
              <w:rPr>
                <w:rFonts w:hint="eastAsia"/>
              </w:rPr>
              <w:t>短</w:t>
            </w:r>
          </w:p>
        </w:tc>
        <w:tc>
          <w:tcPr>
            <w:tcW w:w="585" w:type="pct"/>
            <w:tcBorders>
              <w:tl2br w:val="nil"/>
              <w:tr2bl w:val="nil"/>
            </w:tcBorders>
            <w:vAlign w:val="center"/>
          </w:tcPr>
          <w:p>
            <w:pPr>
              <w:pStyle w:val="2691"/>
            </w:pPr>
            <w:r>
              <w:rPr>
                <w:rFonts w:hint="eastAsia"/>
              </w:rPr>
              <w:t>较大</w:t>
            </w:r>
          </w:p>
        </w:tc>
        <w:tc>
          <w:tcPr>
            <w:tcW w:w="585" w:type="pct"/>
            <w:tcBorders>
              <w:tl2br w:val="nil"/>
              <w:tr2bl w:val="nil"/>
            </w:tcBorders>
            <w:vAlign w:val="center"/>
          </w:tcPr>
          <w:p>
            <w:pPr>
              <w:pStyle w:val="2691"/>
            </w:pPr>
            <w:r>
              <w:rPr>
                <w:rFonts w:hint="eastAsia"/>
              </w:rPr>
              <w:t>局部</w:t>
            </w:r>
          </w:p>
        </w:tc>
        <w:tc>
          <w:tcPr>
            <w:tcW w:w="585" w:type="pct"/>
            <w:tcBorders>
              <w:tl2br w:val="nil"/>
              <w:tr2bl w:val="nil"/>
            </w:tcBorders>
            <w:vAlign w:val="center"/>
          </w:tcPr>
          <w:p>
            <w:pPr>
              <w:pStyle w:val="2691"/>
            </w:pPr>
            <w:r>
              <w:rPr>
                <w:rFonts w:hint="eastAsia"/>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317" w:type="pct"/>
            <w:vMerge w:val="continue"/>
            <w:tcBorders>
              <w:tl2br w:val="nil"/>
              <w:tr2bl w:val="nil"/>
            </w:tcBorders>
            <w:vAlign w:val="center"/>
          </w:tcPr>
          <w:p>
            <w:pPr>
              <w:pStyle w:val="2691"/>
            </w:pPr>
          </w:p>
        </w:tc>
        <w:tc>
          <w:tcPr>
            <w:tcW w:w="527" w:type="pct"/>
            <w:vMerge w:val="restart"/>
            <w:tcBorders>
              <w:tl2br w:val="nil"/>
              <w:tr2bl w:val="nil"/>
            </w:tcBorders>
            <w:vAlign w:val="center"/>
          </w:tcPr>
          <w:p>
            <w:pPr>
              <w:pStyle w:val="2691"/>
            </w:pPr>
            <w:r>
              <w:rPr>
                <w:rFonts w:hint="eastAsia"/>
              </w:rPr>
              <w:t>基础施工</w:t>
            </w:r>
          </w:p>
        </w:tc>
        <w:tc>
          <w:tcPr>
            <w:tcW w:w="754" w:type="pct"/>
            <w:tcBorders>
              <w:tl2br w:val="nil"/>
              <w:tr2bl w:val="nil"/>
            </w:tcBorders>
            <w:vAlign w:val="center"/>
          </w:tcPr>
          <w:p>
            <w:pPr>
              <w:pStyle w:val="2691"/>
            </w:pPr>
            <w:r>
              <w:rPr>
                <w:rFonts w:hint="eastAsia"/>
              </w:rPr>
              <w:t>地表水</w:t>
            </w:r>
          </w:p>
        </w:tc>
        <w:tc>
          <w:tcPr>
            <w:tcW w:w="474" w:type="pct"/>
            <w:tcBorders>
              <w:tl2br w:val="nil"/>
              <w:tr2bl w:val="nil"/>
            </w:tcBorders>
            <w:vAlign w:val="center"/>
          </w:tcPr>
          <w:p>
            <w:pPr>
              <w:pStyle w:val="2691"/>
            </w:pPr>
            <w:r>
              <w:rPr>
                <w:rFonts w:hint="eastAsia"/>
              </w:rPr>
              <w:t>－</w:t>
            </w:r>
          </w:p>
        </w:tc>
        <w:tc>
          <w:tcPr>
            <w:tcW w:w="585" w:type="pct"/>
            <w:tcBorders>
              <w:tl2br w:val="nil"/>
              <w:tr2bl w:val="nil"/>
            </w:tcBorders>
            <w:vAlign w:val="center"/>
          </w:tcPr>
          <w:p>
            <w:pPr>
              <w:pStyle w:val="2691"/>
            </w:pPr>
            <w:r>
              <w:rPr>
                <w:rFonts w:hint="eastAsia"/>
              </w:rPr>
              <w:t>较小</w:t>
            </w:r>
          </w:p>
        </w:tc>
        <w:tc>
          <w:tcPr>
            <w:tcW w:w="585" w:type="pct"/>
            <w:tcBorders>
              <w:tl2br w:val="nil"/>
              <w:tr2bl w:val="nil"/>
            </w:tcBorders>
            <w:vAlign w:val="center"/>
          </w:tcPr>
          <w:p>
            <w:pPr>
              <w:pStyle w:val="2691"/>
            </w:pPr>
            <w:r>
              <w:rPr>
                <w:rFonts w:hint="eastAsia"/>
              </w:rPr>
              <w:t>短</w:t>
            </w:r>
          </w:p>
        </w:tc>
        <w:tc>
          <w:tcPr>
            <w:tcW w:w="585" w:type="pct"/>
            <w:tcBorders>
              <w:tl2br w:val="nil"/>
              <w:tr2bl w:val="nil"/>
            </w:tcBorders>
            <w:vAlign w:val="center"/>
          </w:tcPr>
          <w:p>
            <w:pPr>
              <w:pStyle w:val="2691"/>
            </w:pPr>
            <w:r>
              <w:rPr>
                <w:rFonts w:hint="eastAsia"/>
              </w:rPr>
              <w:t>较小</w:t>
            </w:r>
          </w:p>
        </w:tc>
        <w:tc>
          <w:tcPr>
            <w:tcW w:w="585" w:type="pct"/>
            <w:tcBorders>
              <w:tl2br w:val="nil"/>
              <w:tr2bl w:val="nil"/>
            </w:tcBorders>
            <w:vAlign w:val="center"/>
          </w:tcPr>
          <w:p>
            <w:pPr>
              <w:pStyle w:val="2691"/>
            </w:pPr>
            <w:r>
              <w:rPr>
                <w:rFonts w:hint="eastAsia"/>
              </w:rPr>
              <w:t>局部</w:t>
            </w:r>
          </w:p>
        </w:tc>
        <w:tc>
          <w:tcPr>
            <w:tcW w:w="585" w:type="pct"/>
            <w:tcBorders>
              <w:tl2br w:val="nil"/>
              <w:tr2bl w:val="nil"/>
            </w:tcBorders>
            <w:vAlign w:val="center"/>
          </w:tcPr>
          <w:p>
            <w:pPr>
              <w:pStyle w:val="2691"/>
            </w:pPr>
            <w:r>
              <w:rPr>
                <w:rFonts w:hint="eastAsia"/>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317" w:type="pct"/>
            <w:vMerge w:val="continue"/>
            <w:tcBorders>
              <w:tl2br w:val="nil"/>
              <w:tr2bl w:val="nil"/>
            </w:tcBorders>
            <w:vAlign w:val="center"/>
          </w:tcPr>
          <w:p>
            <w:pPr>
              <w:pStyle w:val="2691"/>
            </w:pPr>
          </w:p>
        </w:tc>
        <w:tc>
          <w:tcPr>
            <w:tcW w:w="527" w:type="pct"/>
            <w:vMerge w:val="continue"/>
            <w:tcBorders>
              <w:tl2br w:val="nil"/>
              <w:tr2bl w:val="nil"/>
            </w:tcBorders>
            <w:vAlign w:val="center"/>
          </w:tcPr>
          <w:p>
            <w:pPr>
              <w:pStyle w:val="2691"/>
            </w:pPr>
          </w:p>
        </w:tc>
        <w:tc>
          <w:tcPr>
            <w:tcW w:w="754" w:type="pct"/>
            <w:tcBorders>
              <w:tl2br w:val="nil"/>
              <w:tr2bl w:val="nil"/>
            </w:tcBorders>
            <w:vAlign w:val="center"/>
          </w:tcPr>
          <w:p>
            <w:pPr>
              <w:pStyle w:val="2691"/>
            </w:pPr>
            <w:r>
              <w:rPr>
                <w:rFonts w:hint="eastAsia"/>
              </w:rPr>
              <w:t>环境空气</w:t>
            </w:r>
          </w:p>
        </w:tc>
        <w:tc>
          <w:tcPr>
            <w:tcW w:w="474" w:type="pct"/>
            <w:tcBorders>
              <w:tl2br w:val="nil"/>
              <w:tr2bl w:val="nil"/>
            </w:tcBorders>
            <w:vAlign w:val="center"/>
          </w:tcPr>
          <w:p>
            <w:pPr>
              <w:pStyle w:val="2691"/>
            </w:pPr>
            <w:r>
              <w:rPr>
                <w:rFonts w:hint="eastAsia"/>
              </w:rPr>
              <w:t>－</w:t>
            </w:r>
          </w:p>
        </w:tc>
        <w:tc>
          <w:tcPr>
            <w:tcW w:w="585" w:type="pct"/>
            <w:tcBorders>
              <w:tl2br w:val="nil"/>
              <w:tr2bl w:val="nil"/>
            </w:tcBorders>
            <w:vAlign w:val="center"/>
          </w:tcPr>
          <w:p>
            <w:pPr>
              <w:pStyle w:val="2691"/>
            </w:pPr>
            <w:r>
              <w:rPr>
                <w:rFonts w:hint="eastAsia"/>
              </w:rPr>
              <w:t>较大</w:t>
            </w:r>
          </w:p>
        </w:tc>
        <w:tc>
          <w:tcPr>
            <w:tcW w:w="585" w:type="pct"/>
            <w:tcBorders>
              <w:tl2br w:val="nil"/>
              <w:tr2bl w:val="nil"/>
            </w:tcBorders>
            <w:vAlign w:val="center"/>
          </w:tcPr>
          <w:p>
            <w:pPr>
              <w:pStyle w:val="2691"/>
            </w:pPr>
            <w:r>
              <w:rPr>
                <w:rFonts w:hint="eastAsia"/>
              </w:rPr>
              <w:t>短</w:t>
            </w:r>
          </w:p>
        </w:tc>
        <w:tc>
          <w:tcPr>
            <w:tcW w:w="585" w:type="pct"/>
            <w:tcBorders>
              <w:tl2br w:val="nil"/>
              <w:tr2bl w:val="nil"/>
            </w:tcBorders>
            <w:vAlign w:val="center"/>
          </w:tcPr>
          <w:p>
            <w:pPr>
              <w:pStyle w:val="2691"/>
            </w:pPr>
            <w:r>
              <w:rPr>
                <w:rFonts w:hint="eastAsia"/>
              </w:rPr>
              <w:t>较大</w:t>
            </w:r>
          </w:p>
        </w:tc>
        <w:tc>
          <w:tcPr>
            <w:tcW w:w="585" w:type="pct"/>
            <w:tcBorders>
              <w:tl2br w:val="nil"/>
              <w:tr2bl w:val="nil"/>
            </w:tcBorders>
            <w:vAlign w:val="center"/>
          </w:tcPr>
          <w:p>
            <w:pPr>
              <w:pStyle w:val="2691"/>
            </w:pPr>
            <w:r>
              <w:rPr>
                <w:rFonts w:hint="eastAsia"/>
              </w:rPr>
              <w:t>局部</w:t>
            </w:r>
          </w:p>
        </w:tc>
        <w:tc>
          <w:tcPr>
            <w:tcW w:w="585" w:type="pct"/>
            <w:tcBorders>
              <w:tl2br w:val="nil"/>
              <w:tr2bl w:val="nil"/>
            </w:tcBorders>
            <w:vAlign w:val="center"/>
          </w:tcPr>
          <w:p>
            <w:pPr>
              <w:pStyle w:val="2691"/>
            </w:pPr>
            <w:r>
              <w:rPr>
                <w:rFonts w:hint="eastAsia"/>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317" w:type="pct"/>
            <w:vMerge w:val="continue"/>
            <w:tcBorders>
              <w:tl2br w:val="nil"/>
              <w:tr2bl w:val="nil"/>
            </w:tcBorders>
            <w:vAlign w:val="center"/>
          </w:tcPr>
          <w:p>
            <w:pPr>
              <w:pStyle w:val="2691"/>
            </w:pPr>
          </w:p>
        </w:tc>
        <w:tc>
          <w:tcPr>
            <w:tcW w:w="527" w:type="pct"/>
            <w:vMerge w:val="continue"/>
            <w:tcBorders>
              <w:tl2br w:val="nil"/>
              <w:tr2bl w:val="nil"/>
            </w:tcBorders>
            <w:vAlign w:val="center"/>
          </w:tcPr>
          <w:p>
            <w:pPr>
              <w:pStyle w:val="2691"/>
            </w:pPr>
          </w:p>
        </w:tc>
        <w:tc>
          <w:tcPr>
            <w:tcW w:w="754" w:type="pct"/>
            <w:tcBorders>
              <w:tl2br w:val="nil"/>
              <w:tr2bl w:val="nil"/>
            </w:tcBorders>
            <w:vAlign w:val="center"/>
          </w:tcPr>
          <w:p>
            <w:pPr>
              <w:pStyle w:val="2691"/>
            </w:pPr>
            <w:r>
              <w:rPr>
                <w:rFonts w:hint="eastAsia"/>
              </w:rPr>
              <w:t>声环境</w:t>
            </w:r>
          </w:p>
        </w:tc>
        <w:tc>
          <w:tcPr>
            <w:tcW w:w="474" w:type="pct"/>
            <w:tcBorders>
              <w:tl2br w:val="nil"/>
              <w:tr2bl w:val="nil"/>
            </w:tcBorders>
            <w:vAlign w:val="center"/>
          </w:tcPr>
          <w:p>
            <w:pPr>
              <w:pStyle w:val="2691"/>
            </w:pPr>
            <w:r>
              <w:rPr>
                <w:rFonts w:hint="eastAsia"/>
              </w:rPr>
              <w:t>－</w:t>
            </w:r>
          </w:p>
        </w:tc>
        <w:tc>
          <w:tcPr>
            <w:tcW w:w="585" w:type="pct"/>
            <w:tcBorders>
              <w:tl2br w:val="nil"/>
              <w:tr2bl w:val="nil"/>
            </w:tcBorders>
            <w:vAlign w:val="center"/>
          </w:tcPr>
          <w:p>
            <w:pPr>
              <w:pStyle w:val="2691"/>
            </w:pPr>
            <w:r>
              <w:rPr>
                <w:rFonts w:hint="eastAsia"/>
              </w:rPr>
              <w:t>较大</w:t>
            </w:r>
          </w:p>
        </w:tc>
        <w:tc>
          <w:tcPr>
            <w:tcW w:w="585" w:type="pct"/>
            <w:tcBorders>
              <w:tl2br w:val="nil"/>
              <w:tr2bl w:val="nil"/>
            </w:tcBorders>
            <w:vAlign w:val="center"/>
          </w:tcPr>
          <w:p>
            <w:pPr>
              <w:pStyle w:val="2691"/>
            </w:pPr>
            <w:r>
              <w:rPr>
                <w:rFonts w:hint="eastAsia"/>
              </w:rPr>
              <w:t>短</w:t>
            </w:r>
          </w:p>
        </w:tc>
        <w:tc>
          <w:tcPr>
            <w:tcW w:w="585" w:type="pct"/>
            <w:tcBorders>
              <w:tl2br w:val="nil"/>
              <w:tr2bl w:val="nil"/>
            </w:tcBorders>
            <w:vAlign w:val="center"/>
          </w:tcPr>
          <w:p>
            <w:pPr>
              <w:pStyle w:val="2691"/>
            </w:pPr>
            <w:r>
              <w:rPr>
                <w:rFonts w:hint="eastAsia"/>
              </w:rPr>
              <w:t>较大</w:t>
            </w:r>
          </w:p>
        </w:tc>
        <w:tc>
          <w:tcPr>
            <w:tcW w:w="585" w:type="pct"/>
            <w:tcBorders>
              <w:tl2br w:val="nil"/>
              <w:tr2bl w:val="nil"/>
            </w:tcBorders>
            <w:vAlign w:val="center"/>
          </w:tcPr>
          <w:p>
            <w:pPr>
              <w:pStyle w:val="2691"/>
            </w:pPr>
            <w:r>
              <w:rPr>
                <w:rFonts w:hint="eastAsia"/>
              </w:rPr>
              <w:t>局部</w:t>
            </w:r>
          </w:p>
        </w:tc>
        <w:tc>
          <w:tcPr>
            <w:tcW w:w="585" w:type="pct"/>
            <w:tcBorders>
              <w:tl2br w:val="nil"/>
              <w:tr2bl w:val="nil"/>
            </w:tcBorders>
            <w:vAlign w:val="center"/>
          </w:tcPr>
          <w:p>
            <w:pPr>
              <w:pStyle w:val="2691"/>
            </w:pPr>
            <w:r>
              <w:rPr>
                <w:rFonts w:hint="eastAsia"/>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317" w:type="pct"/>
            <w:vMerge w:val="continue"/>
            <w:tcBorders>
              <w:tl2br w:val="nil"/>
              <w:tr2bl w:val="nil"/>
            </w:tcBorders>
            <w:vAlign w:val="center"/>
          </w:tcPr>
          <w:p>
            <w:pPr>
              <w:pStyle w:val="2691"/>
            </w:pPr>
          </w:p>
        </w:tc>
        <w:tc>
          <w:tcPr>
            <w:tcW w:w="527" w:type="pct"/>
            <w:vMerge w:val="continue"/>
            <w:tcBorders>
              <w:tl2br w:val="nil"/>
              <w:tr2bl w:val="nil"/>
            </w:tcBorders>
            <w:vAlign w:val="center"/>
          </w:tcPr>
          <w:p>
            <w:pPr>
              <w:pStyle w:val="2691"/>
            </w:pPr>
          </w:p>
        </w:tc>
        <w:tc>
          <w:tcPr>
            <w:tcW w:w="754" w:type="pct"/>
            <w:tcBorders>
              <w:tl2br w:val="nil"/>
              <w:tr2bl w:val="nil"/>
            </w:tcBorders>
            <w:vAlign w:val="center"/>
          </w:tcPr>
          <w:p>
            <w:pPr>
              <w:pStyle w:val="2691"/>
            </w:pPr>
            <w:r>
              <w:rPr>
                <w:rFonts w:hint="eastAsia"/>
              </w:rPr>
              <w:t>固体废物</w:t>
            </w:r>
          </w:p>
        </w:tc>
        <w:tc>
          <w:tcPr>
            <w:tcW w:w="474" w:type="pct"/>
            <w:tcBorders>
              <w:tl2br w:val="nil"/>
              <w:tr2bl w:val="nil"/>
            </w:tcBorders>
            <w:vAlign w:val="center"/>
          </w:tcPr>
          <w:p>
            <w:pPr>
              <w:pStyle w:val="2691"/>
            </w:pPr>
            <w:r>
              <w:rPr>
                <w:rFonts w:hint="eastAsia"/>
              </w:rPr>
              <w:t>－</w:t>
            </w:r>
          </w:p>
        </w:tc>
        <w:tc>
          <w:tcPr>
            <w:tcW w:w="585" w:type="pct"/>
            <w:tcBorders>
              <w:tl2br w:val="nil"/>
              <w:tr2bl w:val="nil"/>
            </w:tcBorders>
            <w:vAlign w:val="center"/>
          </w:tcPr>
          <w:p>
            <w:pPr>
              <w:pStyle w:val="2691"/>
            </w:pPr>
            <w:r>
              <w:rPr>
                <w:rFonts w:hint="eastAsia"/>
              </w:rPr>
              <w:t>一般</w:t>
            </w:r>
          </w:p>
        </w:tc>
        <w:tc>
          <w:tcPr>
            <w:tcW w:w="585" w:type="pct"/>
            <w:tcBorders>
              <w:tl2br w:val="nil"/>
              <w:tr2bl w:val="nil"/>
            </w:tcBorders>
            <w:vAlign w:val="center"/>
          </w:tcPr>
          <w:p>
            <w:pPr>
              <w:pStyle w:val="2691"/>
            </w:pPr>
            <w:r>
              <w:rPr>
                <w:rFonts w:hint="eastAsia"/>
              </w:rPr>
              <w:t>短</w:t>
            </w:r>
          </w:p>
        </w:tc>
        <w:tc>
          <w:tcPr>
            <w:tcW w:w="585" w:type="pct"/>
            <w:tcBorders>
              <w:tl2br w:val="nil"/>
              <w:tr2bl w:val="nil"/>
            </w:tcBorders>
            <w:vAlign w:val="center"/>
          </w:tcPr>
          <w:p>
            <w:pPr>
              <w:pStyle w:val="2691"/>
            </w:pPr>
            <w:r>
              <w:rPr>
                <w:rFonts w:hint="eastAsia"/>
              </w:rPr>
              <w:t>较大</w:t>
            </w:r>
          </w:p>
        </w:tc>
        <w:tc>
          <w:tcPr>
            <w:tcW w:w="585" w:type="pct"/>
            <w:tcBorders>
              <w:tl2br w:val="nil"/>
              <w:tr2bl w:val="nil"/>
            </w:tcBorders>
            <w:vAlign w:val="center"/>
          </w:tcPr>
          <w:p>
            <w:pPr>
              <w:pStyle w:val="2691"/>
            </w:pPr>
            <w:r>
              <w:rPr>
                <w:rFonts w:hint="eastAsia"/>
              </w:rPr>
              <w:t>局部</w:t>
            </w:r>
          </w:p>
        </w:tc>
        <w:tc>
          <w:tcPr>
            <w:tcW w:w="585" w:type="pct"/>
            <w:tcBorders>
              <w:tl2br w:val="nil"/>
              <w:tr2bl w:val="nil"/>
            </w:tcBorders>
            <w:vAlign w:val="center"/>
          </w:tcPr>
          <w:p>
            <w:pPr>
              <w:pStyle w:val="2691"/>
            </w:pPr>
            <w:r>
              <w:rPr>
                <w:rFonts w:hint="eastAsia"/>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317" w:type="pct"/>
            <w:vMerge w:val="continue"/>
            <w:tcBorders>
              <w:tl2br w:val="nil"/>
              <w:tr2bl w:val="nil"/>
            </w:tcBorders>
            <w:vAlign w:val="center"/>
          </w:tcPr>
          <w:p>
            <w:pPr>
              <w:pStyle w:val="2691"/>
            </w:pPr>
          </w:p>
        </w:tc>
        <w:tc>
          <w:tcPr>
            <w:tcW w:w="527" w:type="pct"/>
            <w:vMerge w:val="continue"/>
            <w:tcBorders>
              <w:tl2br w:val="nil"/>
              <w:tr2bl w:val="nil"/>
            </w:tcBorders>
            <w:vAlign w:val="center"/>
          </w:tcPr>
          <w:p>
            <w:pPr>
              <w:pStyle w:val="2691"/>
            </w:pPr>
          </w:p>
        </w:tc>
        <w:tc>
          <w:tcPr>
            <w:tcW w:w="754" w:type="pct"/>
            <w:tcBorders>
              <w:tl2br w:val="nil"/>
              <w:tr2bl w:val="nil"/>
            </w:tcBorders>
            <w:vAlign w:val="center"/>
          </w:tcPr>
          <w:p>
            <w:pPr>
              <w:pStyle w:val="2691"/>
            </w:pPr>
            <w:r>
              <w:rPr>
                <w:rFonts w:hint="eastAsia"/>
              </w:rPr>
              <w:t>生态环境</w:t>
            </w:r>
          </w:p>
        </w:tc>
        <w:tc>
          <w:tcPr>
            <w:tcW w:w="474" w:type="pct"/>
            <w:tcBorders>
              <w:tl2br w:val="nil"/>
              <w:tr2bl w:val="nil"/>
            </w:tcBorders>
            <w:vAlign w:val="center"/>
          </w:tcPr>
          <w:p>
            <w:pPr>
              <w:pStyle w:val="2691"/>
            </w:pPr>
            <w:r>
              <w:rPr>
                <w:rFonts w:hint="eastAsia"/>
              </w:rPr>
              <w:t>－</w:t>
            </w:r>
          </w:p>
        </w:tc>
        <w:tc>
          <w:tcPr>
            <w:tcW w:w="585" w:type="pct"/>
            <w:tcBorders>
              <w:tl2br w:val="nil"/>
              <w:tr2bl w:val="nil"/>
            </w:tcBorders>
            <w:vAlign w:val="center"/>
          </w:tcPr>
          <w:p>
            <w:pPr>
              <w:pStyle w:val="2691"/>
            </w:pPr>
            <w:r>
              <w:rPr>
                <w:rFonts w:hint="eastAsia"/>
              </w:rPr>
              <w:t>一般</w:t>
            </w:r>
          </w:p>
        </w:tc>
        <w:tc>
          <w:tcPr>
            <w:tcW w:w="585" w:type="pct"/>
            <w:tcBorders>
              <w:tl2br w:val="nil"/>
              <w:tr2bl w:val="nil"/>
            </w:tcBorders>
            <w:vAlign w:val="center"/>
          </w:tcPr>
          <w:p>
            <w:pPr>
              <w:pStyle w:val="2691"/>
            </w:pPr>
            <w:r>
              <w:rPr>
                <w:rFonts w:hint="eastAsia"/>
              </w:rPr>
              <w:t>短</w:t>
            </w:r>
          </w:p>
        </w:tc>
        <w:tc>
          <w:tcPr>
            <w:tcW w:w="585" w:type="pct"/>
            <w:tcBorders>
              <w:tl2br w:val="nil"/>
              <w:tr2bl w:val="nil"/>
            </w:tcBorders>
            <w:vAlign w:val="center"/>
          </w:tcPr>
          <w:p>
            <w:pPr>
              <w:pStyle w:val="2691"/>
            </w:pPr>
            <w:r>
              <w:rPr>
                <w:rFonts w:hint="eastAsia"/>
              </w:rPr>
              <w:t>较大</w:t>
            </w:r>
          </w:p>
        </w:tc>
        <w:tc>
          <w:tcPr>
            <w:tcW w:w="585" w:type="pct"/>
            <w:tcBorders>
              <w:tl2br w:val="nil"/>
              <w:tr2bl w:val="nil"/>
            </w:tcBorders>
            <w:vAlign w:val="center"/>
          </w:tcPr>
          <w:p>
            <w:pPr>
              <w:pStyle w:val="2691"/>
            </w:pPr>
            <w:r>
              <w:rPr>
                <w:rFonts w:hint="eastAsia"/>
              </w:rPr>
              <w:t>局部</w:t>
            </w:r>
          </w:p>
        </w:tc>
        <w:tc>
          <w:tcPr>
            <w:tcW w:w="585" w:type="pct"/>
            <w:tcBorders>
              <w:tl2br w:val="nil"/>
              <w:tr2bl w:val="nil"/>
            </w:tcBorders>
            <w:vAlign w:val="center"/>
          </w:tcPr>
          <w:p>
            <w:pPr>
              <w:pStyle w:val="2691"/>
            </w:pPr>
            <w:r>
              <w:rPr>
                <w:rFonts w:hint="eastAsia"/>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317" w:type="pct"/>
            <w:vMerge w:val="continue"/>
            <w:tcBorders>
              <w:tl2br w:val="nil"/>
              <w:tr2bl w:val="nil"/>
            </w:tcBorders>
            <w:vAlign w:val="center"/>
          </w:tcPr>
          <w:p>
            <w:pPr>
              <w:pStyle w:val="2691"/>
            </w:pPr>
          </w:p>
        </w:tc>
        <w:tc>
          <w:tcPr>
            <w:tcW w:w="527" w:type="pct"/>
            <w:vMerge w:val="restart"/>
            <w:tcBorders>
              <w:tl2br w:val="nil"/>
              <w:tr2bl w:val="nil"/>
            </w:tcBorders>
            <w:vAlign w:val="center"/>
          </w:tcPr>
          <w:p>
            <w:pPr>
              <w:pStyle w:val="2691"/>
            </w:pPr>
            <w:r>
              <w:rPr>
                <w:rFonts w:hint="eastAsia"/>
              </w:rPr>
              <w:t>结构施工</w:t>
            </w:r>
          </w:p>
        </w:tc>
        <w:tc>
          <w:tcPr>
            <w:tcW w:w="754" w:type="pct"/>
            <w:tcBorders>
              <w:tl2br w:val="nil"/>
              <w:tr2bl w:val="nil"/>
            </w:tcBorders>
            <w:vAlign w:val="center"/>
          </w:tcPr>
          <w:p>
            <w:pPr>
              <w:pStyle w:val="2691"/>
            </w:pPr>
            <w:r>
              <w:rPr>
                <w:rFonts w:hint="eastAsia"/>
              </w:rPr>
              <w:t>地表水</w:t>
            </w:r>
          </w:p>
        </w:tc>
        <w:tc>
          <w:tcPr>
            <w:tcW w:w="474" w:type="pct"/>
            <w:tcBorders>
              <w:tl2br w:val="nil"/>
              <w:tr2bl w:val="nil"/>
            </w:tcBorders>
            <w:vAlign w:val="center"/>
          </w:tcPr>
          <w:p>
            <w:pPr>
              <w:pStyle w:val="2691"/>
            </w:pPr>
            <w:r>
              <w:rPr>
                <w:rFonts w:hint="eastAsia"/>
              </w:rPr>
              <w:t>－</w:t>
            </w:r>
          </w:p>
        </w:tc>
        <w:tc>
          <w:tcPr>
            <w:tcW w:w="585" w:type="pct"/>
            <w:tcBorders>
              <w:tl2br w:val="nil"/>
              <w:tr2bl w:val="nil"/>
            </w:tcBorders>
            <w:vAlign w:val="center"/>
          </w:tcPr>
          <w:p>
            <w:pPr>
              <w:pStyle w:val="2691"/>
            </w:pPr>
            <w:r>
              <w:rPr>
                <w:rFonts w:hint="eastAsia"/>
              </w:rPr>
              <w:t>一般</w:t>
            </w:r>
          </w:p>
        </w:tc>
        <w:tc>
          <w:tcPr>
            <w:tcW w:w="585" w:type="pct"/>
            <w:tcBorders>
              <w:tl2br w:val="nil"/>
              <w:tr2bl w:val="nil"/>
            </w:tcBorders>
            <w:vAlign w:val="center"/>
          </w:tcPr>
          <w:p>
            <w:pPr>
              <w:pStyle w:val="2691"/>
            </w:pPr>
            <w:r>
              <w:rPr>
                <w:rFonts w:hint="eastAsia"/>
              </w:rPr>
              <w:t>短</w:t>
            </w:r>
          </w:p>
        </w:tc>
        <w:tc>
          <w:tcPr>
            <w:tcW w:w="585" w:type="pct"/>
            <w:tcBorders>
              <w:tl2br w:val="nil"/>
              <w:tr2bl w:val="nil"/>
            </w:tcBorders>
            <w:vAlign w:val="center"/>
          </w:tcPr>
          <w:p>
            <w:pPr>
              <w:pStyle w:val="2691"/>
            </w:pPr>
            <w:r>
              <w:rPr>
                <w:rFonts w:hint="eastAsia"/>
              </w:rPr>
              <w:t>较大</w:t>
            </w:r>
          </w:p>
        </w:tc>
        <w:tc>
          <w:tcPr>
            <w:tcW w:w="585" w:type="pct"/>
            <w:tcBorders>
              <w:tl2br w:val="nil"/>
              <w:tr2bl w:val="nil"/>
            </w:tcBorders>
            <w:vAlign w:val="center"/>
          </w:tcPr>
          <w:p>
            <w:pPr>
              <w:pStyle w:val="2691"/>
            </w:pPr>
            <w:r>
              <w:rPr>
                <w:rFonts w:hint="eastAsia"/>
              </w:rPr>
              <w:t>局部</w:t>
            </w:r>
          </w:p>
        </w:tc>
        <w:tc>
          <w:tcPr>
            <w:tcW w:w="585" w:type="pct"/>
            <w:tcBorders>
              <w:tl2br w:val="nil"/>
              <w:tr2bl w:val="nil"/>
            </w:tcBorders>
            <w:vAlign w:val="center"/>
          </w:tcPr>
          <w:p>
            <w:pPr>
              <w:pStyle w:val="2691"/>
            </w:pPr>
            <w:r>
              <w:rPr>
                <w:rFonts w:hint="eastAsia"/>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317" w:type="pct"/>
            <w:vMerge w:val="continue"/>
            <w:tcBorders>
              <w:tl2br w:val="nil"/>
              <w:tr2bl w:val="nil"/>
            </w:tcBorders>
            <w:vAlign w:val="center"/>
          </w:tcPr>
          <w:p>
            <w:pPr>
              <w:pStyle w:val="2691"/>
            </w:pPr>
          </w:p>
        </w:tc>
        <w:tc>
          <w:tcPr>
            <w:tcW w:w="527" w:type="pct"/>
            <w:vMerge w:val="continue"/>
            <w:tcBorders>
              <w:tl2br w:val="nil"/>
              <w:tr2bl w:val="nil"/>
            </w:tcBorders>
            <w:vAlign w:val="center"/>
          </w:tcPr>
          <w:p>
            <w:pPr>
              <w:pStyle w:val="2691"/>
            </w:pPr>
          </w:p>
        </w:tc>
        <w:tc>
          <w:tcPr>
            <w:tcW w:w="754" w:type="pct"/>
            <w:tcBorders>
              <w:tl2br w:val="nil"/>
              <w:tr2bl w:val="nil"/>
            </w:tcBorders>
            <w:vAlign w:val="center"/>
          </w:tcPr>
          <w:p>
            <w:pPr>
              <w:pStyle w:val="2691"/>
            </w:pPr>
            <w:r>
              <w:rPr>
                <w:rFonts w:hint="eastAsia"/>
              </w:rPr>
              <w:t>环境空气</w:t>
            </w:r>
          </w:p>
        </w:tc>
        <w:tc>
          <w:tcPr>
            <w:tcW w:w="474" w:type="pct"/>
            <w:tcBorders>
              <w:tl2br w:val="nil"/>
              <w:tr2bl w:val="nil"/>
            </w:tcBorders>
            <w:vAlign w:val="center"/>
          </w:tcPr>
          <w:p>
            <w:pPr>
              <w:pStyle w:val="2691"/>
            </w:pPr>
            <w:r>
              <w:rPr>
                <w:rFonts w:hint="eastAsia"/>
              </w:rPr>
              <w:t>－</w:t>
            </w:r>
          </w:p>
        </w:tc>
        <w:tc>
          <w:tcPr>
            <w:tcW w:w="585" w:type="pct"/>
            <w:tcBorders>
              <w:tl2br w:val="nil"/>
              <w:tr2bl w:val="nil"/>
            </w:tcBorders>
            <w:vAlign w:val="center"/>
          </w:tcPr>
          <w:p>
            <w:pPr>
              <w:pStyle w:val="2691"/>
            </w:pPr>
            <w:r>
              <w:rPr>
                <w:rFonts w:hint="eastAsia"/>
              </w:rPr>
              <w:t>较小</w:t>
            </w:r>
          </w:p>
        </w:tc>
        <w:tc>
          <w:tcPr>
            <w:tcW w:w="585" w:type="pct"/>
            <w:tcBorders>
              <w:tl2br w:val="nil"/>
              <w:tr2bl w:val="nil"/>
            </w:tcBorders>
            <w:vAlign w:val="center"/>
          </w:tcPr>
          <w:p>
            <w:pPr>
              <w:pStyle w:val="2691"/>
            </w:pPr>
            <w:r>
              <w:rPr>
                <w:rFonts w:hint="eastAsia"/>
              </w:rPr>
              <w:t>短</w:t>
            </w:r>
          </w:p>
        </w:tc>
        <w:tc>
          <w:tcPr>
            <w:tcW w:w="585" w:type="pct"/>
            <w:tcBorders>
              <w:tl2br w:val="nil"/>
              <w:tr2bl w:val="nil"/>
            </w:tcBorders>
            <w:vAlign w:val="center"/>
          </w:tcPr>
          <w:p>
            <w:pPr>
              <w:pStyle w:val="2691"/>
            </w:pPr>
            <w:r>
              <w:rPr>
                <w:rFonts w:hint="eastAsia"/>
              </w:rPr>
              <w:t>较大</w:t>
            </w:r>
          </w:p>
        </w:tc>
        <w:tc>
          <w:tcPr>
            <w:tcW w:w="585" w:type="pct"/>
            <w:tcBorders>
              <w:tl2br w:val="nil"/>
              <w:tr2bl w:val="nil"/>
            </w:tcBorders>
            <w:vAlign w:val="center"/>
          </w:tcPr>
          <w:p>
            <w:pPr>
              <w:pStyle w:val="2691"/>
            </w:pPr>
            <w:r>
              <w:rPr>
                <w:rFonts w:hint="eastAsia"/>
              </w:rPr>
              <w:t>局部</w:t>
            </w:r>
          </w:p>
        </w:tc>
        <w:tc>
          <w:tcPr>
            <w:tcW w:w="585" w:type="pct"/>
            <w:tcBorders>
              <w:tl2br w:val="nil"/>
              <w:tr2bl w:val="nil"/>
            </w:tcBorders>
            <w:vAlign w:val="center"/>
          </w:tcPr>
          <w:p>
            <w:pPr>
              <w:pStyle w:val="2691"/>
            </w:pPr>
            <w:r>
              <w:rPr>
                <w:rFonts w:hint="eastAsia"/>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317" w:type="pct"/>
            <w:vMerge w:val="continue"/>
            <w:tcBorders>
              <w:tl2br w:val="nil"/>
              <w:tr2bl w:val="nil"/>
            </w:tcBorders>
            <w:vAlign w:val="center"/>
          </w:tcPr>
          <w:p>
            <w:pPr>
              <w:pStyle w:val="2691"/>
            </w:pPr>
          </w:p>
        </w:tc>
        <w:tc>
          <w:tcPr>
            <w:tcW w:w="527" w:type="pct"/>
            <w:vMerge w:val="continue"/>
            <w:tcBorders>
              <w:tl2br w:val="nil"/>
              <w:tr2bl w:val="nil"/>
            </w:tcBorders>
            <w:vAlign w:val="center"/>
          </w:tcPr>
          <w:p>
            <w:pPr>
              <w:pStyle w:val="2691"/>
            </w:pPr>
          </w:p>
        </w:tc>
        <w:tc>
          <w:tcPr>
            <w:tcW w:w="754" w:type="pct"/>
            <w:tcBorders>
              <w:tl2br w:val="nil"/>
              <w:tr2bl w:val="nil"/>
            </w:tcBorders>
            <w:vAlign w:val="center"/>
          </w:tcPr>
          <w:p>
            <w:pPr>
              <w:pStyle w:val="2691"/>
            </w:pPr>
            <w:r>
              <w:rPr>
                <w:rFonts w:hint="eastAsia"/>
              </w:rPr>
              <w:t>声环境</w:t>
            </w:r>
          </w:p>
        </w:tc>
        <w:tc>
          <w:tcPr>
            <w:tcW w:w="474" w:type="pct"/>
            <w:tcBorders>
              <w:tl2br w:val="nil"/>
              <w:tr2bl w:val="nil"/>
            </w:tcBorders>
            <w:vAlign w:val="center"/>
          </w:tcPr>
          <w:p>
            <w:pPr>
              <w:pStyle w:val="2691"/>
            </w:pPr>
            <w:r>
              <w:rPr>
                <w:rFonts w:hint="eastAsia"/>
              </w:rPr>
              <w:t>－</w:t>
            </w:r>
          </w:p>
        </w:tc>
        <w:tc>
          <w:tcPr>
            <w:tcW w:w="585" w:type="pct"/>
            <w:tcBorders>
              <w:tl2br w:val="nil"/>
              <w:tr2bl w:val="nil"/>
            </w:tcBorders>
            <w:vAlign w:val="center"/>
          </w:tcPr>
          <w:p>
            <w:pPr>
              <w:pStyle w:val="2691"/>
            </w:pPr>
            <w:r>
              <w:rPr>
                <w:rFonts w:hint="eastAsia"/>
              </w:rPr>
              <w:t>一般</w:t>
            </w:r>
          </w:p>
        </w:tc>
        <w:tc>
          <w:tcPr>
            <w:tcW w:w="585" w:type="pct"/>
            <w:tcBorders>
              <w:tl2br w:val="nil"/>
              <w:tr2bl w:val="nil"/>
            </w:tcBorders>
            <w:vAlign w:val="center"/>
          </w:tcPr>
          <w:p>
            <w:pPr>
              <w:pStyle w:val="2691"/>
            </w:pPr>
            <w:r>
              <w:rPr>
                <w:rFonts w:hint="eastAsia"/>
              </w:rPr>
              <w:t>短</w:t>
            </w:r>
          </w:p>
        </w:tc>
        <w:tc>
          <w:tcPr>
            <w:tcW w:w="585" w:type="pct"/>
            <w:tcBorders>
              <w:tl2br w:val="nil"/>
              <w:tr2bl w:val="nil"/>
            </w:tcBorders>
            <w:vAlign w:val="center"/>
          </w:tcPr>
          <w:p>
            <w:pPr>
              <w:pStyle w:val="2691"/>
            </w:pPr>
            <w:r>
              <w:rPr>
                <w:rFonts w:hint="eastAsia"/>
              </w:rPr>
              <w:t>较大</w:t>
            </w:r>
          </w:p>
        </w:tc>
        <w:tc>
          <w:tcPr>
            <w:tcW w:w="585" w:type="pct"/>
            <w:tcBorders>
              <w:tl2br w:val="nil"/>
              <w:tr2bl w:val="nil"/>
            </w:tcBorders>
            <w:vAlign w:val="center"/>
          </w:tcPr>
          <w:p>
            <w:pPr>
              <w:pStyle w:val="2691"/>
            </w:pPr>
            <w:r>
              <w:rPr>
                <w:rFonts w:hint="eastAsia"/>
              </w:rPr>
              <w:t>局部</w:t>
            </w:r>
          </w:p>
        </w:tc>
        <w:tc>
          <w:tcPr>
            <w:tcW w:w="585" w:type="pct"/>
            <w:tcBorders>
              <w:tl2br w:val="nil"/>
              <w:tr2bl w:val="nil"/>
            </w:tcBorders>
            <w:vAlign w:val="center"/>
          </w:tcPr>
          <w:p>
            <w:pPr>
              <w:pStyle w:val="2691"/>
            </w:pPr>
            <w:r>
              <w:rPr>
                <w:rFonts w:hint="eastAsia"/>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317" w:type="pct"/>
            <w:vMerge w:val="continue"/>
            <w:tcBorders>
              <w:tl2br w:val="nil"/>
              <w:tr2bl w:val="nil"/>
            </w:tcBorders>
            <w:vAlign w:val="center"/>
          </w:tcPr>
          <w:p>
            <w:pPr>
              <w:pStyle w:val="2691"/>
            </w:pPr>
          </w:p>
        </w:tc>
        <w:tc>
          <w:tcPr>
            <w:tcW w:w="527" w:type="pct"/>
            <w:vMerge w:val="continue"/>
            <w:tcBorders>
              <w:tl2br w:val="nil"/>
              <w:tr2bl w:val="nil"/>
            </w:tcBorders>
            <w:vAlign w:val="center"/>
          </w:tcPr>
          <w:p>
            <w:pPr>
              <w:pStyle w:val="2691"/>
            </w:pPr>
          </w:p>
        </w:tc>
        <w:tc>
          <w:tcPr>
            <w:tcW w:w="754" w:type="pct"/>
            <w:tcBorders>
              <w:tl2br w:val="nil"/>
              <w:tr2bl w:val="nil"/>
            </w:tcBorders>
            <w:vAlign w:val="center"/>
          </w:tcPr>
          <w:p>
            <w:pPr>
              <w:pStyle w:val="2691"/>
            </w:pPr>
            <w:r>
              <w:rPr>
                <w:rFonts w:hint="eastAsia"/>
              </w:rPr>
              <w:t>固体废物</w:t>
            </w:r>
          </w:p>
        </w:tc>
        <w:tc>
          <w:tcPr>
            <w:tcW w:w="474" w:type="pct"/>
            <w:tcBorders>
              <w:tl2br w:val="nil"/>
              <w:tr2bl w:val="nil"/>
            </w:tcBorders>
            <w:vAlign w:val="center"/>
          </w:tcPr>
          <w:p>
            <w:pPr>
              <w:pStyle w:val="2691"/>
            </w:pPr>
            <w:r>
              <w:rPr>
                <w:rFonts w:hint="eastAsia"/>
              </w:rPr>
              <w:t>－</w:t>
            </w:r>
          </w:p>
        </w:tc>
        <w:tc>
          <w:tcPr>
            <w:tcW w:w="585" w:type="pct"/>
            <w:tcBorders>
              <w:tl2br w:val="nil"/>
              <w:tr2bl w:val="nil"/>
            </w:tcBorders>
            <w:vAlign w:val="center"/>
          </w:tcPr>
          <w:p>
            <w:pPr>
              <w:pStyle w:val="2691"/>
            </w:pPr>
            <w:r>
              <w:rPr>
                <w:rFonts w:hint="eastAsia"/>
              </w:rPr>
              <w:t>一般</w:t>
            </w:r>
          </w:p>
        </w:tc>
        <w:tc>
          <w:tcPr>
            <w:tcW w:w="585" w:type="pct"/>
            <w:tcBorders>
              <w:tl2br w:val="nil"/>
              <w:tr2bl w:val="nil"/>
            </w:tcBorders>
            <w:vAlign w:val="center"/>
          </w:tcPr>
          <w:p>
            <w:pPr>
              <w:pStyle w:val="2691"/>
            </w:pPr>
            <w:r>
              <w:rPr>
                <w:rFonts w:hint="eastAsia"/>
              </w:rPr>
              <w:t>短</w:t>
            </w:r>
          </w:p>
        </w:tc>
        <w:tc>
          <w:tcPr>
            <w:tcW w:w="585" w:type="pct"/>
            <w:tcBorders>
              <w:tl2br w:val="nil"/>
              <w:tr2bl w:val="nil"/>
            </w:tcBorders>
            <w:vAlign w:val="center"/>
          </w:tcPr>
          <w:p>
            <w:pPr>
              <w:pStyle w:val="2691"/>
            </w:pPr>
            <w:r>
              <w:rPr>
                <w:rFonts w:hint="eastAsia"/>
              </w:rPr>
              <w:t>较大</w:t>
            </w:r>
          </w:p>
        </w:tc>
        <w:tc>
          <w:tcPr>
            <w:tcW w:w="585" w:type="pct"/>
            <w:tcBorders>
              <w:tl2br w:val="nil"/>
              <w:tr2bl w:val="nil"/>
            </w:tcBorders>
            <w:vAlign w:val="center"/>
          </w:tcPr>
          <w:p>
            <w:pPr>
              <w:pStyle w:val="2691"/>
            </w:pPr>
            <w:r>
              <w:rPr>
                <w:rFonts w:hint="eastAsia"/>
              </w:rPr>
              <w:t>局部</w:t>
            </w:r>
          </w:p>
        </w:tc>
        <w:tc>
          <w:tcPr>
            <w:tcW w:w="585" w:type="pct"/>
            <w:tcBorders>
              <w:tl2br w:val="nil"/>
              <w:tr2bl w:val="nil"/>
            </w:tcBorders>
            <w:vAlign w:val="center"/>
          </w:tcPr>
          <w:p>
            <w:pPr>
              <w:pStyle w:val="2691"/>
            </w:pPr>
            <w:r>
              <w:rPr>
                <w:rFonts w:hint="eastAsia"/>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317" w:type="pct"/>
            <w:vMerge w:val="continue"/>
            <w:tcBorders>
              <w:tl2br w:val="nil"/>
              <w:tr2bl w:val="nil"/>
            </w:tcBorders>
            <w:vAlign w:val="center"/>
          </w:tcPr>
          <w:p>
            <w:pPr>
              <w:pStyle w:val="2691"/>
            </w:pPr>
          </w:p>
        </w:tc>
        <w:tc>
          <w:tcPr>
            <w:tcW w:w="527" w:type="pct"/>
            <w:vMerge w:val="continue"/>
            <w:tcBorders>
              <w:tl2br w:val="nil"/>
              <w:tr2bl w:val="nil"/>
            </w:tcBorders>
            <w:vAlign w:val="center"/>
          </w:tcPr>
          <w:p>
            <w:pPr>
              <w:pStyle w:val="2691"/>
            </w:pPr>
          </w:p>
        </w:tc>
        <w:tc>
          <w:tcPr>
            <w:tcW w:w="754" w:type="pct"/>
            <w:tcBorders>
              <w:tl2br w:val="nil"/>
              <w:tr2bl w:val="nil"/>
            </w:tcBorders>
            <w:vAlign w:val="center"/>
          </w:tcPr>
          <w:p>
            <w:pPr>
              <w:pStyle w:val="2691"/>
            </w:pPr>
            <w:r>
              <w:rPr>
                <w:rFonts w:hint="eastAsia"/>
              </w:rPr>
              <w:t>生态环境</w:t>
            </w:r>
          </w:p>
        </w:tc>
        <w:tc>
          <w:tcPr>
            <w:tcW w:w="474" w:type="pct"/>
            <w:tcBorders>
              <w:tl2br w:val="nil"/>
              <w:tr2bl w:val="nil"/>
            </w:tcBorders>
            <w:vAlign w:val="center"/>
          </w:tcPr>
          <w:p>
            <w:pPr>
              <w:pStyle w:val="2691"/>
            </w:pPr>
            <w:r>
              <w:rPr>
                <w:rFonts w:hint="eastAsia"/>
              </w:rPr>
              <w:t>－</w:t>
            </w:r>
          </w:p>
        </w:tc>
        <w:tc>
          <w:tcPr>
            <w:tcW w:w="585" w:type="pct"/>
            <w:tcBorders>
              <w:tl2br w:val="nil"/>
              <w:tr2bl w:val="nil"/>
            </w:tcBorders>
            <w:vAlign w:val="center"/>
          </w:tcPr>
          <w:p>
            <w:pPr>
              <w:pStyle w:val="2691"/>
            </w:pPr>
            <w:r>
              <w:rPr>
                <w:rFonts w:hint="eastAsia"/>
              </w:rPr>
              <w:t>较小</w:t>
            </w:r>
          </w:p>
        </w:tc>
        <w:tc>
          <w:tcPr>
            <w:tcW w:w="585" w:type="pct"/>
            <w:tcBorders>
              <w:tl2br w:val="nil"/>
              <w:tr2bl w:val="nil"/>
            </w:tcBorders>
            <w:vAlign w:val="center"/>
          </w:tcPr>
          <w:p>
            <w:pPr>
              <w:pStyle w:val="2691"/>
            </w:pPr>
            <w:r>
              <w:rPr>
                <w:rFonts w:hint="eastAsia"/>
              </w:rPr>
              <w:t>短</w:t>
            </w:r>
          </w:p>
        </w:tc>
        <w:tc>
          <w:tcPr>
            <w:tcW w:w="585" w:type="pct"/>
            <w:tcBorders>
              <w:tl2br w:val="nil"/>
              <w:tr2bl w:val="nil"/>
            </w:tcBorders>
            <w:vAlign w:val="center"/>
          </w:tcPr>
          <w:p>
            <w:pPr>
              <w:pStyle w:val="2691"/>
            </w:pPr>
            <w:r>
              <w:rPr>
                <w:rFonts w:hint="eastAsia"/>
              </w:rPr>
              <w:t>较大</w:t>
            </w:r>
          </w:p>
        </w:tc>
        <w:tc>
          <w:tcPr>
            <w:tcW w:w="585" w:type="pct"/>
            <w:tcBorders>
              <w:tl2br w:val="nil"/>
              <w:tr2bl w:val="nil"/>
            </w:tcBorders>
            <w:vAlign w:val="center"/>
          </w:tcPr>
          <w:p>
            <w:pPr>
              <w:pStyle w:val="2691"/>
            </w:pPr>
            <w:r>
              <w:rPr>
                <w:rFonts w:hint="eastAsia"/>
              </w:rPr>
              <w:t>局部</w:t>
            </w:r>
          </w:p>
        </w:tc>
        <w:tc>
          <w:tcPr>
            <w:tcW w:w="585" w:type="pct"/>
            <w:tcBorders>
              <w:tl2br w:val="nil"/>
              <w:tr2bl w:val="nil"/>
            </w:tcBorders>
            <w:vAlign w:val="center"/>
          </w:tcPr>
          <w:p>
            <w:pPr>
              <w:pStyle w:val="2691"/>
            </w:pPr>
            <w:r>
              <w:rPr>
                <w:rFonts w:hint="eastAsia"/>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317" w:type="pct"/>
            <w:vMerge w:val="continue"/>
            <w:tcBorders>
              <w:tl2br w:val="nil"/>
              <w:tr2bl w:val="nil"/>
            </w:tcBorders>
            <w:vAlign w:val="center"/>
          </w:tcPr>
          <w:p>
            <w:pPr>
              <w:pStyle w:val="2691"/>
            </w:pPr>
          </w:p>
        </w:tc>
        <w:tc>
          <w:tcPr>
            <w:tcW w:w="527" w:type="pct"/>
            <w:vMerge w:val="restart"/>
            <w:tcBorders>
              <w:tl2br w:val="nil"/>
              <w:tr2bl w:val="nil"/>
            </w:tcBorders>
            <w:vAlign w:val="center"/>
          </w:tcPr>
          <w:p>
            <w:pPr>
              <w:pStyle w:val="2691"/>
            </w:pPr>
            <w:r>
              <w:rPr>
                <w:rFonts w:hint="eastAsia"/>
              </w:rPr>
              <w:t>设备安装</w:t>
            </w:r>
          </w:p>
        </w:tc>
        <w:tc>
          <w:tcPr>
            <w:tcW w:w="754" w:type="pct"/>
            <w:tcBorders>
              <w:tl2br w:val="nil"/>
              <w:tr2bl w:val="nil"/>
            </w:tcBorders>
            <w:vAlign w:val="center"/>
          </w:tcPr>
          <w:p>
            <w:pPr>
              <w:pStyle w:val="2691"/>
            </w:pPr>
            <w:r>
              <w:rPr>
                <w:rFonts w:hint="eastAsia"/>
              </w:rPr>
              <w:t>地表水</w:t>
            </w:r>
          </w:p>
        </w:tc>
        <w:tc>
          <w:tcPr>
            <w:tcW w:w="474" w:type="pct"/>
            <w:tcBorders>
              <w:tl2br w:val="nil"/>
              <w:tr2bl w:val="nil"/>
            </w:tcBorders>
            <w:vAlign w:val="center"/>
          </w:tcPr>
          <w:p>
            <w:pPr>
              <w:pStyle w:val="2691"/>
            </w:pPr>
            <w:r>
              <w:rPr>
                <w:rFonts w:hint="eastAsia"/>
              </w:rPr>
              <w:t>－</w:t>
            </w:r>
          </w:p>
        </w:tc>
        <w:tc>
          <w:tcPr>
            <w:tcW w:w="585" w:type="pct"/>
            <w:tcBorders>
              <w:tl2br w:val="nil"/>
              <w:tr2bl w:val="nil"/>
            </w:tcBorders>
            <w:vAlign w:val="center"/>
          </w:tcPr>
          <w:p>
            <w:pPr>
              <w:pStyle w:val="2691"/>
            </w:pPr>
            <w:r>
              <w:rPr>
                <w:rFonts w:hint="eastAsia"/>
              </w:rPr>
              <w:t>较小</w:t>
            </w:r>
          </w:p>
        </w:tc>
        <w:tc>
          <w:tcPr>
            <w:tcW w:w="585" w:type="pct"/>
            <w:tcBorders>
              <w:tl2br w:val="nil"/>
              <w:tr2bl w:val="nil"/>
            </w:tcBorders>
            <w:vAlign w:val="center"/>
          </w:tcPr>
          <w:p>
            <w:pPr>
              <w:pStyle w:val="2691"/>
            </w:pPr>
            <w:r>
              <w:rPr>
                <w:rFonts w:hint="eastAsia"/>
              </w:rPr>
              <w:t>短</w:t>
            </w:r>
          </w:p>
        </w:tc>
        <w:tc>
          <w:tcPr>
            <w:tcW w:w="585" w:type="pct"/>
            <w:tcBorders>
              <w:tl2br w:val="nil"/>
              <w:tr2bl w:val="nil"/>
            </w:tcBorders>
            <w:vAlign w:val="center"/>
          </w:tcPr>
          <w:p>
            <w:pPr>
              <w:pStyle w:val="2691"/>
            </w:pPr>
            <w:r>
              <w:rPr>
                <w:rFonts w:hint="eastAsia"/>
              </w:rPr>
              <w:t>较大</w:t>
            </w:r>
          </w:p>
        </w:tc>
        <w:tc>
          <w:tcPr>
            <w:tcW w:w="585" w:type="pct"/>
            <w:tcBorders>
              <w:tl2br w:val="nil"/>
              <w:tr2bl w:val="nil"/>
            </w:tcBorders>
            <w:vAlign w:val="center"/>
          </w:tcPr>
          <w:p>
            <w:pPr>
              <w:pStyle w:val="2691"/>
            </w:pPr>
            <w:r>
              <w:rPr>
                <w:rFonts w:hint="eastAsia"/>
              </w:rPr>
              <w:t>局部</w:t>
            </w:r>
          </w:p>
        </w:tc>
        <w:tc>
          <w:tcPr>
            <w:tcW w:w="585" w:type="pct"/>
            <w:tcBorders>
              <w:tl2br w:val="nil"/>
              <w:tr2bl w:val="nil"/>
            </w:tcBorders>
            <w:vAlign w:val="center"/>
          </w:tcPr>
          <w:p>
            <w:pPr>
              <w:pStyle w:val="2691"/>
            </w:pPr>
            <w:r>
              <w:rPr>
                <w:rFonts w:hint="eastAsia"/>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317" w:type="pct"/>
            <w:vMerge w:val="continue"/>
            <w:tcBorders>
              <w:tl2br w:val="nil"/>
              <w:tr2bl w:val="nil"/>
            </w:tcBorders>
            <w:vAlign w:val="center"/>
          </w:tcPr>
          <w:p>
            <w:pPr>
              <w:pStyle w:val="2691"/>
            </w:pPr>
          </w:p>
        </w:tc>
        <w:tc>
          <w:tcPr>
            <w:tcW w:w="527" w:type="pct"/>
            <w:vMerge w:val="continue"/>
            <w:tcBorders>
              <w:tl2br w:val="nil"/>
              <w:tr2bl w:val="nil"/>
            </w:tcBorders>
            <w:vAlign w:val="center"/>
          </w:tcPr>
          <w:p>
            <w:pPr>
              <w:pStyle w:val="2691"/>
            </w:pPr>
          </w:p>
        </w:tc>
        <w:tc>
          <w:tcPr>
            <w:tcW w:w="754" w:type="pct"/>
            <w:tcBorders>
              <w:tl2br w:val="nil"/>
              <w:tr2bl w:val="nil"/>
            </w:tcBorders>
            <w:vAlign w:val="center"/>
          </w:tcPr>
          <w:p>
            <w:pPr>
              <w:pStyle w:val="2691"/>
            </w:pPr>
            <w:r>
              <w:rPr>
                <w:rFonts w:hint="eastAsia"/>
              </w:rPr>
              <w:t>声环境</w:t>
            </w:r>
          </w:p>
        </w:tc>
        <w:tc>
          <w:tcPr>
            <w:tcW w:w="474" w:type="pct"/>
            <w:tcBorders>
              <w:tl2br w:val="nil"/>
              <w:tr2bl w:val="nil"/>
            </w:tcBorders>
            <w:vAlign w:val="center"/>
          </w:tcPr>
          <w:p>
            <w:pPr>
              <w:pStyle w:val="2691"/>
            </w:pPr>
            <w:r>
              <w:rPr>
                <w:rFonts w:hint="eastAsia"/>
              </w:rPr>
              <w:t>－</w:t>
            </w:r>
          </w:p>
        </w:tc>
        <w:tc>
          <w:tcPr>
            <w:tcW w:w="585" w:type="pct"/>
            <w:tcBorders>
              <w:tl2br w:val="nil"/>
              <w:tr2bl w:val="nil"/>
            </w:tcBorders>
            <w:vAlign w:val="center"/>
          </w:tcPr>
          <w:p>
            <w:pPr>
              <w:pStyle w:val="2691"/>
            </w:pPr>
            <w:r>
              <w:rPr>
                <w:rFonts w:hint="eastAsia"/>
              </w:rPr>
              <w:t>较大</w:t>
            </w:r>
          </w:p>
        </w:tc>
        <w:tc>
          <w:tcPr>
            <w:tcW w:w="585" w:type="pct"/>
            <w:tcBorders>
              <w:tl2br w:val="nil"/>
              <w:tr2bl w:val="nil"/>
            </w:tcBorders>
            <w:vAlign w:val="center"/>
          </w:tcPr>
          <w:p>
            <w:pPr>
              <w:pStyle w:val="2691"/>
            </w:pPr>
            <w:r>
              <w:rPr>
                <w:rFonts w:hint="eastAsia"/>
              </w:rPr>
              <w:t>短</w:t>
            </w:r>
          </w:p>
        </w:tc>
        <w:tc>
          <w:tcPr>
            <w:tcW w:w="585" w:type="pct"/>
            <w:tcBorders>
              <w:tl2br w:val="nil"/>
              <w:tr2bl w:val="nil"/>
            </w:tcBorders>
            <w:vAlign w:val="center"/>
          </w:tcPr>
          <w:p>
            <w:pPr>
              <w:pStyle w:val="2691"/>
            </w:pPr>
            <w:r>
              <w:rPr>
                <w:rFonts w:hint="eastAsia"/>
              </w:rPr>
              <w:t>较大</w:t>
            </w:r>
          </w:p>
        </w:tc>
        <w:tc>
          <w:tcPr>
            <w:tcW w:w="585" w:type="pct"/>
            <w:tcBorders>
              <w:tl2br w:val="nil"/>
              <w:tr2bl w:val="nil"/>
            </w:tcBorders>
            <w:vAlign w:val="center"/>
          </w:tcPr>
          <w:p>
            <w:pPr>
              <w:pStyle w:val="2691"/>
            </w:pPr>
            <w:r>
              <w:rPr>
                <w:rFonts w:hint="eastAsia"/>
              </w:rPr>
              <w:t>局部</w:t>
            </w:r>
          </w:p>
        </w:tc>
        <w:tc>
          <w:tcPr>
            <w:tcW w:w="585" w:type="pct"/>
            <w:tcBorders>
              <w:tl2br w:val="nil"/>
              <w:tr2bl w:val="nil"/>
            </w:tcBorders>
            <w:vAlign w:val="center"/>
          </w:tcPr>
          <w:p>
            <w:pPr>
              <w:pStyle w:val="2691"/>
            </w:pPr>
            <w:r>
              <w:rPr>
                <w:rFonts w:hint="eastAsia"/>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317" w:type="pct"/>
            <w:vMerge w:val="continue"/>
            <w:tcBorders>
              <w:tl2br w:val="nil"/>
              <w:tr2bl w:val="nil"/>
            </w:tcBorders>
            <w:vAlign w:val="center"/>
          </w:tcPr>
          <w:p>
            <w:pPr>
              <w:pStyle w:val="2691"/>
            </w:pPr>
          </w:p>
        </w:tc>
        <w:tc>
          <w:tcPr>
            <w:tcW w:w="527" w:type="pct"/>
            <w:vMerge w:val="continue"/>
            <w:tcBorders>
              <w:tl2br w:val="nil"/>
              <w:tr2bl w:val="nil"/>
            </w:tcBorders>
            <w:vAlign w:val="center"/>
          </w:tcPr>
          <w:p>
            <w:pPr>
              <w:pStyle w:val="2691"/>
            </w:pPr>
          </w:p>
        </w:tc>
        <w:tc>
          <w:tcPr>
            <w:tcW w:w="754" w:type="pct"/>
            <w:tcBorders>
              <w:tl2br w:val="nil"/>
              <w:tr2bl w:val="nil"/>
            </w:tcBorders>
            <w:vAlign w:val="center"/>
          </w:tcPr>
          <w:p>
            <w:pPr>
              <w:pStyle w:val="2691"/>
            </w:pPr>
            <w:r>
              <w:rPr>
                <w:rFonts w:hint="eastAsia"/>
              </w:rPr>
              <w:t>固体废物</w:t>
            </w:r>
          </w:p>
        </w:tc>
        <w:tc>
          <w:tcPr>
            <w:tcW w:w="474" w:type="pct"/>
            <w:tcBorders>
              <w:tl2br w:val="nil"/>
              <w:tr2bl w:val="nil"/>
            </w:tcBorders>
            <w:vAlign w:val="center"/>
          </w:tcPr>
          <w:p>
            <w:pPr>
              <w:pStyle w:val="2691"/>
            </w:pPr>
            <w:r>
              <w:rPr>
                <w:rFonts w:hint="eastAsia"/>
              </w:rPr>
              <w:t>－</w:t>
            </w:r>
          </w:p>
        </w:tc>
        <w:tc>
          <w:tcPr>
            <w:tcW w:w="585" w:type="pct"/>
            <w:tcBorders>
              <w:tl2br w:val="nil"/>
              <w:tr2bl w:val="nil"/>
            </w:tcBorders>
            <w:vAlign w:val="center"/>
          </w:tcPr>
          <w:p>
            <w:pPr>
              <w:pStyle w:val="2691"/>
            </w:pPr>
            <w:r>
              <w:rPr>
                <w:rFonts w:hint="eastAsia"/>
              </w:rPr>
              <w:t>较小</w:t>
            </w:r>
          </w:p>
        </w:tc>
        <w:tc>
          <w:tcPr>
            <w:tcW w:w="585" w:type="pct"/>
            <w:tcBorders>
              <w:tl2br w:val="nil"/>
              <w:tr2bl w:val="nil"/>
            </w:tcBorders>
            <w:vAlign w:val="center"/>
          </w:tcPr>
          <w:p>
            <w:pPr>
              <w:pStyle w:val="2691"/>
            </w:pPr>
            <w:r>
              <w:rPr>
                <w:rFonts w:hint="eastAsia"/>
              </w:rPr>
              <w:t>短</w:t>
            </w:r>
          </w:p>
        </w:tc>
        <w:tc>
          <w:tcPr>
            <w:tcW w:w="585" w:type="pct"/>
            <w:tcBorders>
              <w:tl2br w:val="nil"/>
              <w:tr2bl w:val="nil"/>
            </w:tcBorders>
            <w:vAlign w:val="center"/>
          </w:tcPr>
          <w:p>
            <w:pPr>
              <w:pStyle w:val="2691"/>
            </w:pPr>
            <w:r>
              <w:rPr>
                <w:rFonts w:hint="eastAsia"/>
              </w:rPr>
              <w:t>较大</w:t>
            </w:r>
          </w:p>
        </w:tc>
        <w:tc>
          <w:tcPr>
            <w:tcW w:w="585" w:type="pct"/>
            <w:tcBorders>
              <w:tl2br w:val="nil"/>
              <w:tr2bl w:val="nil"/>
            </w:tcBorders>
            <w:vAlign w:val="center"/>
          </w:tcPr>
          <w:p>
            <w:pPr>
              <w:pStyle w:val="2691"/>
            </w:pPr>
            <w:r>
              <w:rPr>
                <w:rFonts w:hint="eastAsia"/>
              </w:rPr>
              <w:t>局部</w:t>
            </w:r>
          </w:p>
        </w:tc>
        <w:tc>
          <w:tcPr>
            <w:tcW w:w="585" w:type="pct"/>
            <w:tcBorders>
              <w:tl2br w:val="nil"/>
              <w:tr2bl w:val="nil"/>
            </w:tcBorders>
            <w:vAlign w:val="center"/>
          </w:tcPr>
          <w:p>
            <w:pPr>
              <w:pStyle w:val="2691"/>
            </w:pPr>
            <w:r>
              <w:rPr>
                <w:rFonts w:hint="eastAsia"/>
              </w:rP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317" w:type="pct"/>
            <w:vMerge w:val="continue"/>
            <w:tcBorders>
              <w:tl2br w:val="nil"/>
              <w:tr2bl w:val="nil"/>
            </w:tcBorders>
            <w:vAlign w:val="center"/>
          </w:tcPr>
          <w:p>
            <w:pPr>
              <w:pStyle w:val="2691"/>
            </w:pPr>
          </w:p>
        </w:tc>
        <w:tc>
          <w:tcPr>
            <w:tcW w:w="527" w:type="pct"/>
            <w:vMerge w:val="continue"/>
            <w:tcBorders>
              <w:tl2br w:val="nil"/>
              <w:tr2bl w:val="nil"/>
            </w:tcBorders>
            <w:vAlign w:val="center"/>
          </w:tcPr>
          <w:p>
            <w:pPr>
              <w:pStyle w:val="2691"/>
            </w:pPr>
          </w:p>
        </w:tc>
        <w:tc>
          <w:tcPr>
            <w:tcW w:w="754" w:type="pct"/>
            <w:tcBorders>
              <w:tl2br w:val="nil"/>
              <w:tr2bl w:val="nil"/>
            </w:tcBorders>
            <w:vAlign w:val="center"/>
          </w:tcPr>
          <w:p>
            <w:pPr>
              <w:pStyle w:val="2691"/>
            </w:pPr>
            <w:r>
              <w:rPr>
                <w:rFonts w:hint="eastAsia"/>
              </w:rPr>
              <w:t>生态环境</w:t>
            </w:r>
          </w:p>
        </w:tc>
        <w:tc>
          <w:tcPr>
            <w:tcW w:w="474" w:type="pct"/>
            <w:tcBorders>
              <w:tl2br w:val="nil"/>
              <w:tr2bl w:val="nil"/>
            </w:tcBorders>
            <w:vAlign w:val="center"/>
          </w:tcPr>
          <w:p>
            <w:pPr>
              <w:pStyle w:val="2691"/>
            </w:pPr>
            <w:r>
              <w:rPr>
                <w:rFonts w:hint="eastAsia"/>
              </w:rPr>
              <w:t>－</w:t>
            </w:r>
          </w:p>
        </w:tc>
        <w:tc>
          <w:tcPr>
            <w:tcW w:w="585" w:type="pct"/>
            <w:tcBorders>
              <w:tl2br w:val="nil"/>
              <w:tr2bl w:val="nil"/>
            </w:tcBorders>
            <w:vAlign w:val="center"/>
          </w:tcPr>
          <w:p>
            <w:pPr>
              <w:pStyle w:val="2691"/>
            </w:pPr>
            <w:r>
              <w:rPr>
                <w:rFonts w:hint="eastAsia"/>
              </w:rPr>
              <w:t>较小</w:t>
            </w:r>
          </w:p>
        </w:tc>
        <w:tc>
          <w:tcPr>
            <w:tcW w:w="585" w:type="pct"/>
            <w:tcBorders>
              <w:tl2br w:val="nil"/>
              <w:tr2bl w:val="nil"/>
            </w:tcBorders>
            <w:vAlign w:val="center"/>
          </w:tcPr>
          <w:p>
            <w:pPr>
              <w:pStyle w:val="2691"/>
            </w:pPr>
            <w:r>
              <w:rPr>
                <w:rFonts w:hint="eastAsia"/>
              </w:rPr>
              <w:t>短</w:t>
            </w:r>
          </w:p>
        </w:tc>
        <w:tc>
          <w:tcPr>
            <w:tcW w:w="585" w:type="pct"/>
            <w:tcBorders>
              <w:tl2br w:val="nil"/>
              <w:tr2bl w:val="nil"/>
            </w:tcBorders>
            <w:vAlign w:val="center"/>
          </w:tcPr>
          <w:p>
            <w:pPr>
              <w:pStyle w:val="2691"/>
            </w:pPr>
            <w:r>
              <w:rPr>
                <w:rFonts w:hint="eastAsia"/>
              </w:rPr>
              <w:t>较大</w:t>
            </w:r>
          </w:p>
        </w:tc>
        <w:tc>
          <w:tcPr>
            <w:tcW w:w="585" w:type="pct"/>
            <w:tcBorders>
              <w:tl2br w:val="nil"/>
              <w:tr2bl w:val="nil"/>
            </w:tcBorders>
            <w:vAlign w:val="center"/>
          </w:tcPr>
          <w:p>
            <w:pPr>
              <w:pStyle w:val="2691"/>
            </w:pPr>
            <w:r>
              <w:rPr>
                <w:rFonts w:hint="eastAsia"/>
              </w:rPr>
              <w:t>局部</w:t>
            </w:r>
          </w:p>
        </w:tc>
        <w:tc>
          <w:tcPr>
            <w:tcW w:w="585" w:type="pct"/>
            <w:tcBorders>
              <w:tl2br w:val="nil"/>
              <w:tr2bl w:val="nil"/>
            </w:tcBorders>
            <w:vAlign w:val="center"/>
          </w:tcPr>
          <w:p>
            <w:pPr>
              <w:pStyle w:val="2691"/>
            </w:pPr>
            <w:r>
              <w:rPr>
                <w:rFonts w:hint="eastAsia"/>
              </w:rPr>
              <w:t>可</w:t>
            </w:r>
          </w:p>
        </w:tc>
      </w:tr>
    </w:tbl>
    <w:p>
      <w:pPr>
        <w:pStyle w:val="619"/>
        <w:numPr>
          <w:ilvl w:val="0"/>
          <w:numId w:val="0"/>
        </w:numPr>
        <w:ind w:left="422"/>
        <w:jc w:val="both"/>
        <w:rPr>
          <w:rFonts w:cs="Times New Roman"/>
        </w:rPr>
      </w:pPr>
      <w:r>
        <w:rPr>
          <w:rFonts w:cs="Times New Roman"/>
        </w:rPr>
        <w:t>注：</w:t>
      </w:r>
      <w:r>
        <w:rPr>
          <w:rFonts w:cs="Times New Roman" w:asciiTheme="minorEastAsia" w:hAnsiTheme="minorEastAsia" w:eastAsiaTheme="minorEastAsia"/>
          <w:spacing w:val="-1"/>
        </w:rPr>
        <w:t>“</w:t>
      </w:r>
      <w:r>
        <w:rPr>
          <w:rFonts w:cs="Times New Roman"/>
        </w:rPr>
        <w:t>+</w:t>
      </w:r>
      <w:r>
        <w:rPr>
          <w:rFonts w:cs="Times New Roman" w:asciiTheme="minorEastAsia" w:hAnsiTheme="minorEastAsia" w:eastAsiaTheme="minorEastAsia"/>
        </w:rPr>
        <w:t>”</w:t>
      </w:r>
      <w:r>
        <w:rPr>
          <w:rFonts w:cs="Times New Roman"/>
        </w:rPr>
        <w:t xml:space="preserve"> </w:t>
      </w:r>
      <w:r>
        <w:rPr>
          <w:rFonts w:cs="Times New Roman"/>
          <w:spacing w:val="1"/>
        </w:rPr>
        <w:t xml:space="preserve"> </w:t>
      </w:r>
      <w:r>
        <w:rPr>
          <w:rFonts w:cs="Times New Roman"/>
        </w:rPr>
        <w:t>为有利影响，</w:t>
      </w:r>
      <w:r>
        <w:rPr>
          <w:rFonts w:cs="Times New Roman" w:asciiTheme="minorEastAsia" w:hAnsiTheme="minorEastAsia" w:eastAsiaTheme="minorEastAsia"/>
          <w:spacing w:val="-1"/>
        </w:rPr>
        <w:t>“</w:t>
      </w:r>
      <w:r>
        <w:rPr>
          <w:rFonts w:cs="Times New Roman"/>
        </w:rPr>
        <w:t>-</w:t>
      </w:r>
      <w:r>
        <w:rPr>
          <w:rFonts w:cs="Times New Roman" w:asciiTheme="minorEastAsia" w:hAnsiTheme="minorEastAsia" w:eastAsiaTheme="minorEastAsia"/>
        </w:rPr>
        <w:t>”</w:t>
      </w:r>
      <w:r>
        <w:rPr>
          <w:rFonts w:cs="Times New Roman"/>
        </w:rPr>
        <w:t xml:space="preserve">  为不利</w:t>
      </w:r>
      <w:r>
        <w:rPr>
          <w:rFonts w:cs="Times New Roman"/>
          <w:spacing w:val="-2"/>
        </w:rPr>
        <w:t>影</w:t>
      </w:r>
      <w:r>
        <w:rPr>
          <w:rFonts w:cs="Times New Roman"/>
        </w:rPr>
        <w:t>响。</w:t>
      </w:r>
    </w:p>
    <w:p>
      <w:pPr>
        <w:pStyle w:val="619"/>
        <w:rPr>
          <w:rFonts w:cs="Times New Roman"/>
        </w:rPr>
      </w:pPr>
      <w:r>
        <w:rPr>
          <w:rFonts w:cs="Times New Roman"/>
        </w:rPr>
        <w:t>运营期环境影响因素识别矩阵</w:t>
      </w:r>
    </w:p>
    <w:tbl>
      <w:tblPr>
        <w:tblStyle w:val="3596"/>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50"/>
        <w:gridCol w:w="1168"/>
        <w:gridCol w:w="1237"/>
        <w:gridCol w:w="847"/>
        <w:gridCol w:w="957"/>
        <w:gridCol w:w="968"/>
        <w:gridCol w:w="1252"/>
        <w:gridCol w:w="945"/>
        <w:gridCol w:w="125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0" w:hRule="exact"/>
          <w:jc w:val="center"/>
        </w:trPr>
        <w:tc>
          <w:tcPr>
            <w:tcW w:w="979" w:type="pct"/>
            <w:gridSpan w:val="2"/>
            <w:vAlign w:val="center"/>
          </w:tcPr>
          <w:p>
            <w:pPr>
              <w:pStyle w:val="2691"/>
            </w:pPr>
            <w:r>
              <w:t>时段</w:t>
            </w:r>
          </w:p>
        </w:tc>
        <w:tc>
          <w:tcPr>
            <w:tcW w:w="666" w:type="pct"/>
            <w:vAlign w:val="center"/>
          </w:tcPr>
          <w:p>
            <w:pPr>
              <w:pStyle w:val="2691"/>
            </w:pPr>
            <w:r>
              <w:t>评价因子</w:t>
            </w:r>
          </w:p>
        </w:tc>
        <w:tc>
          <w:tcPr>
            <w:tcW w:w="456" w:type="pct"/>
            <w:vAlign w:val="center"/>
          </w:tcPr>
          <w:p>
            <w:pPr>
              <w:pStyle w:val="2691"/>
            </w:pPr>
            <w:r>
              <w:t>性质</w:t>
            </w:r>
          </w:p>
        </w:tc>
        <w:tc>
          <w:tcPr>
            <w:tcW w:w="515" w:type="pct"/>
            <w:vAlign w:val="center"/>
          </w:tcPr>
          <w:p>
            <w:pPr>
              <w:pStyle w:val="2691"/>
            </w:pPr>
            <w:r>
              <w:t>程度</w:t>
            </w:r>
          </w:p>
        </w:tc>
        <w:tc>
          <w:tcPr>
            <w:tcW w:w="521" w:type="pct"/>
            <w:vAlign w:val="center"/>
          </w:tcPr>
          <w:p>
            <w:pPr>
              <w:pStyle w:val="2691"/>
            </w:pPr>
            <w:r>
              <w:t>时间</w:t>
            </w:r>
          </w:p>
        </w:tc>
        <w:tc>
          <w:tcPr>
            <w:tcW w:w="674" w:type="pct"/>
            <w:vAlign w:val="center"/>
          </w:tcPr>
          <w:p>
            <w:pPr>
              <w:pStyle w:val="2691"/>
            </w:pPr>
            <w:r>
              <w:t>可能性</w:t>
            </w:r>
          </w:p>
        </w:tc>
        <w:tc>
          <w:tcPr>
            <w:tcW w:w="509" w:type="pct"/>
            <w:vAlign w:val="center"/>
          </w:tcPr>
          <w:p>
            <w:pPr>
              <w:pStyle w:val="2691"/>
            </w:pPr>
            <w:r>
              <w:t>范围</w:t>
            </w:r>
          </w:p>
        </w:tc>
        <w:tc>
          <w:tcPr>
            <w:tcW w:w="676" w:type="pct"/>
            <w:vAlign w:val="center"/>
          </w:tcPr>
          <w:p>
            <w:pPr>
              <w:pStyle w:val="2691"/>
            </w:pPr>
            <w:r>
              <w:t>可逆性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350" w:type="pct"/>
            <w:vMerge w:val="restart"/>
            <w:vAlign w:val="center"/>
          </w:tcPr>
          <w:p>
            <w:pPr>
              <w:pStyle w:val="2691"/>
            </w:pPr>
            <w:r>
              <w:t>运</w:t>
            </w:r>
          </w:p>
          <w:p>
            <w:pPr>
              <w:pStyle w:val="2691"/>
            </w:pPr>
            <w:r>
              <w:t>行</w:t>
            </w:r>
          </w:p>
          <w:p>
            <w:pPr>
              <w:pStyle w:val="2691"/>
            </w:pPr>
            <w:r>
              <w:t>期</w:t>
            </w:r>
          </w:p>
        </w:tc>
        <w:tc>
          <w:tcPr>
            <w:tcW w:w="628" w:type="pct"/>
            <w:vMerge w:val="restart"/>
            <w:vAlign w:val="center"/>
          </w:tcPr>
          <w:p>
            <w:pPr>
              <w:pStyle w:val="2691"/>
            </w:pPr>
            <w:r>
              <w:t>自然环境</w:t>
            </w:r>
          </w:p>
        </w:tc>
        <w:tc>
          <w:tcPr>
            <w:tcW w:w="666" w:type="pct"/>
            <w:vAlign w:val="center"/>
          </w:tcPr>
          <w:p>
            <w:pPr>
              <w:pStyle w:val="2691"/>
            </w:pPr>
            <w:r>
              <w:t>环境空气</w:t>
            </w:r>
          </w:p>
        </w:tc>
        <w:tc>
          <w:tcPr>
            <w:tcW w:w="456" w:type="pct"/>
            <w:vAlign w:val="center"/>
          </w:tcPr>
          <w:p>
            <w:pPr>
              <w:pStyle w:val="2691"/>
            </w:pPr>
            <w:r>
              <w:t>-</w:t>
            </w:r>
          </w:p>
        </w:tc>
        <w:tc>
          <w:tcPr>
            <w:tcW w:w="515" w:type="pct"/>
            <w:vAlign w:val="center"/>
          </w:tcPr>
          <w:p>
            <w:pPr>
              <w:pStyle w:val="2691"/>
            </w:pPr>
            <w:r>
              <w:t>较小</w:t>
            </w:r>
          </w:p>
        </w:tc>
        <w:tc>
          <w:tcPr>
            <w:tcW w:w="521" w:type="pct"/>
            <w:vAlign w:val="center"/>
          </w:tcPr>
          <w:p>
            <w:pPr>
              <w:pStyle w:val="2691"/>
            </w:pPr>
            <w:r>
              <w:t>长期</w:t>
            </w:r>
          </w:p>
        </w:tc>
        <w:tc>
          <w:tcPr>
            <w:tcW w:w="674" w:type="pct"/>
            <w:vAlign w:val="center"/>
          </w:tcPr>
          <w:p>
            <w:pPr>
              <w:pStyle w:val="2691"/>
            </w:pPr>
            <w:r>
              <w:t>一般</w:t>
            </w:r>
          </w:p>
        </w:tc>
        <w:tc>
          <w:tcPr>
            <w:tcW w:w="509" w:type="pct"/>
            <w:vAlign w:val="center"/>
          </w:tcPr>
          <w:p>
            <w:pPr>
              <w:pStyle w:val="2691"/>
            </w:pPr>
            <w:r>
              <w:t>局部</w:t>
            </w:r>
          </w:p>
        </w:tc>
        <w:tc>
          <w:tcPr>
            <w:tcW w:w="676" w:type="pct"/>
            <w:vAlign w:val="center"/>
          </w:tcPr>
          <w:p>
            <w:pPr>
              <w:pStyle w:val="2691"/>
            </w:pPr>
            <w: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60" w:hRule="exact"/>
          <w:jc w:val="center"/>
        </w:trPr>
        <w:tc>
          <w:tcPr>
            <w:tcW w:w="350" w:type="pct"/>
            <w:vMerge w:val="continue"/>
            <w:vAlign w:val="center"/>
          </w:tcPr>
          <w:p>
            <w:pPr>
              <w:pStyle w:val="2691"/>
            </w:pPr>
          </w:p>
        </w:tc>
        <w:tc>
          <w:tcPr>
            <w:tcW w:w="628" w:type="pct"/>
            <w:vMerge w:val="continue"/>
            <w:vAlign w:val="center"/>
          </w:tcPr>
          <w:p>
            <w:pPr>
              <w:pStyle w:val="2691"/>
            </w:pPr>
          </w:p>
        </w:tc>
        <w:tc>
          <w:tcPr>
            <w:tcW w:w="666" w:type="pct"/>
            <w:vAlign w:val="center"/>
          </w:tcPr>
          <w:p>
            <w:pPr>
              <w:pStyle w:val="2691"/>
            </w:pPr>
            <w:r>
              <w:t>地表水</w:t>
            </w:r>
          </w:p>
        </w:tc>
        <w:tc>
          <w:tcPr>
            <w:tcW w:w="456" w:type="pct"/>
            <w:vAlign w:val="center"/>
          </w:tcPr>
          <w:p>
            <w:pPr>
              <w:pStyle w:val="2691"/>
            </w:pPr>
            <w:r>
              <w:t>-</w:t>
            </w:r>
          </w:p>
        </w:tc>
        <w:tc>
          <w:tcPr>
            <w:tcW w:w="515" w:type="pct"/>
            <w:vAlign w:val="center"/>
          </w:tcPr>
          <w:p>
            <w:pPr>
              <w:pStyle w:val="2691"/>
            </w:pPr>
            <w:r>
              <w:t>较小</w:t>
            </w:r>
          </w:p>
        </w:tc>
        <w:tc>
          <w:tcPr>
            <w:tcW w:w="521" w:type="pct"/>
            <w:vAlign w:val="center"/>
          </w:tcPr>
          <w:p>
            <w:pPr>
              <w:pStyle w:val="2691"/>
            </w:pPr>
            <w:r>
              <w:t>长期</w:t>
            </w:r>
          </w:p>
        </w:tc>
        <w:tc>
          <w:tcPr>
            <w:tcW w:w="674" w:type="pct"/>
            <w:vAlign w:val="center"/>
          </w:tcPr>
          <w:p>
            <w:pPr>
              <w:pStyle w:val="2691"/>
            </w:pPr>
            <w:r>
              <w:t>一般</w:t>
            </w:r>
          </w:p>
        </w:tc>
        <w:tc>
          <w:tcPr>
            <w:tcW w:w="509" w:type="pct"/>
            <w:vAlign w:val="center"/>
          </w:tcPr>
          <w:p>
            <w:pPr>
              <w:pStyle w:val="2691"/>
            </w:pPr>
            <w:r>
              <w:t>局部</w:t>
            </w:r>
          </w:p>
        </w:tc>
        <w:tc>
          <w:tcPr>
            <w:tcW w:w="676" w:type="pct"/>
            <w:vAlign w:val="center"/>
          </w:tcPr>
          <w:p>
            <w:pPr>
              <w:pStyle w:val="2691"/>
            </w:pPr>
            <w: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350" w:type="pct"/>
            <w:vMerge w:val="continue"/>
            <w:vAlign w:val="center"/>
          </w:tcPr>
          <w:p>
            <w:pPr>
              <w:pStyle w:val="2691"/>
            </w:pPr>
          </w:p>
        </w:tc>
        <w:tc>
          <w:tcPr>
            <w:tcW w:w="628" w:type="pct"/>
            <w:vMerge w:val="continue"/>
            <w:vAlign w:val="center"/>
          </w:tcPr>
          <w:p>
            <w:pPr>
              <w:pStyle w:val="2691"/>
            </w:pPr>
          </w:p>
        </w:tc>
        <w:tc>
          <w:tcPr>
            <w:tcW w:w="666" w:type="pct"/>
            <w:vAlign w:val="center"/>
          </w:tcPr>
          <w:p>
            <w:pPr>
              <w:pStyle w:val="2691"/>
            </w:pPr>
            <w:r>
              <w:t>声环境</w:t>
            </w:r>
          </w:p>
        </w:tc>
        <w:tc>
          <w:tcPr>
            <w:tcW w:w="456" w:type="pct"/>
            <w:vAlign w:val="center"/>
          </w:tcPr>
          <w:p>
            <w:pPr>
              <w:pStyle w:val="2691"/>
            </w:pPr>
            <w:r>
              <w:t>-</w:t>
            </w:r>
          </w:p>
        </w:tc>
        <w:tc>
          <w:tcPr>
            <w:tcW w:w="515" w:type="pct"/>
            <w:vAlign w:val="center"/>
          </w:tcPr>
          <w:p>
            <w:pPr>
              <w:pStyle w:val="2691"/>
            </w:pPr>
            <w:r>
              <w:t>较小</w:t>
            </w:r>
          </w:p>
        </w:tc>
        <w:tc>
          <w:tcPr>
            <w:tcW w:w="521" w:type="pct"/>
            <w:vAlign w:val="center"/>
          </w:tcPr>
          <w:p>
            <w:pPr>
              <w:pStyle w:val="2691"/>
            </w:pPr>
            <w:r>
              <w:t>长期</w:t>
            </w:r>
          </w:p>
        </w:tc>
        <w:tc>
          <w:tcPr>
            <w:tcW w:w="674" w:type="pct"/>
            <w:vAlign w:val="center"/>
          </w:tcPr>
          <w:p>
            <w:pPr>
              <w:pStyle w:val="2691"/>
            </w:pPr>
            <w:r>
              <w:t>一般</w:t>
            </w:r>
          </w:p>
        </w:tc>
        <w:tc>
          <w:tcPr>
            <w:tcW w:w="509" w:type="pct"/>
            <w:vAlign w:val="center"/>
          </w:tcPr>
          <w:p>
            <w:pPr>
              <w:pStyle w:val="2691"/>
            </w:pPr>
            <w:r>
              <w:t>局部</w:t>
            </w:r>
          </w:p>
        </w:tc>
        <w:tc>
          <w:tcPr>
            <w:tcW w:w="676" w:type="pct"/>
            <w:vAlign w:val="center"/>
          </w:tcPr>
          <w:p>
            <w:pPr>
              <w:pStyle w:val="2691"/>
            </w:pPr>
            <w: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60" w:hRule="exact"/>
          <w:jc w:val="center"/>
        </w:trPr>
        <w:tc>
          <w:tcPr>
            <w:tcW w:w="350" w:type="pct"/>
            <w:vMerge w:val="continue"/>
            <w:vAlign w:val="center"/>
          </w:tcPr>
          <w:p>
            <w:pPr>
              <w:pStyle w:val="2691"/>
            </w:pPr>
          </w:p>
        </w:tc>
        <w:tc>
          <w:tcPr>
            <w:tcW w:w="628" w:type="pct"/>
            <w:vMerge w:val="continue"/>
            <w:vAlign w:val="center"/>
          </w:tcPr>
          <w:p>
            <w:pPr>
              <w:pStyle w:val="2691"/>
            </w:pPr>
          </w:p>
        </w:tc>
        <w:tc>
          <w:tcPr>
            <w:tcW w:w="666" w:type="pct"/>
            <w:vAlign w:val="center"/>
          </w:tcPr>
          <w:p>
            <w:pPr>
              <w:pStyle w:val="2691"/>
            </w:pPr>
            <w:r>
              <w:t>固体废物</w:t>
            </w:r>
          </w:p>
        </w:tc>
        <w:tc>
          <w:tcPr>
            <w:tcW w:w="456" w:type="pct"/>
            <w:vAlign w:val="center"/>
          </w:tcPr>
          <w:p>
            <w:pPr>
              <w:pStyle w:val="2691"/>
            </w:pPr>
            <w:r>
              <w:t>-</w:t>
            </w:r>
          </w:p>
        </w:tc>
        <w:tc>
          <w:tcPr>
            <w:tcW w:w="515" w:type="pct"/>
            <w:vAlign w:val="center"/>
          </w:tcPr>
          <w:p>
            <w:pPr>
              <w:pStyle w:val="2691"/>
            </w:pPr>
            <w:r>
              <w:t>较小</w:t>
            </w:r>
          </w:p>
        </w:tc>
        <w:tc>
          <w:tcPr>
            <w:tcW w:w="521" w:type="pct"/>
            <w:vAlign w:val="center"/>
          </w:tcPr>
          <w:p>
            <w:pPr>
              <w:pStyle w:val="2691"/>
            </w:pPr>
            <w:r>
              <w:t>长期</w:t>
            </w:r>
          </w:p>
        </w:tc>
        <w:tc>
          <w:tcPr>
            <w:tcW w:w="674" w:type="pct"/>
            <w:vAlign w:val="center"/>
          </w:tcPr>
          <w:p>
            <w:pPr>
              <w:pStyle w:val="2691"/>
            </w:pPr>
            <w:r>
              <w:t>一般</w:t>
            </w:r>
          </w:p>
        </w:tc>
        <w:tc>
          <w:tcPr>
            <w:tcW w:w="509" w:type="pct"/>
            <w:vAlign w:val="center"/>
          </w:tcPr>
          <w:p>
            <w:pPr>
              <w:pStyle w:val="2691"/>
            </w:pPr>
            <w:r>
              <w:t>局部</w:t>
            </w:r>
          </w:p>
        </w:tc>
        <w:tc>
          <w:tcPr>
            <w:tcW w:w="676" w:type="pct"/>
            <w:vAlign w:val="center"/>
          </w:tcPr>
          <w:p>
            <w:pPr>
              <w:pStyle w:val="2691"/>
            </w:pPr>
            <w: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350" w:type="pct"/>
            <w:vMerge w:val="continue"/>
            <w:vAlign w:val="center"/>
          </w:tcPr>
          <w:p>
            <w:pPr>
              <w:pStyle w:val="2691"/>
            </w:pPr>
          </w:p>
        </w:tc>
        <w:tc>
          <w:tcPr>
            <w:tcW w:w="628" w:type="pct"/>
            <w:vMerge w:val="continue"/>
            <w:vAlign w:val="center"/>
          </w:tcPr>
          <w:p>
            <w:pPr>
              <w:pStyle w:val="2691"/>
            </w:pPr>
          </w:p>
        </w:tc>
        <w:tc>
          <w:tcPr>
            <w:tcW w:w="666" w:type="pct"/>
            <w:vAlign w:val="center"/>
          </w:tcPr>
          <w:p>
            <w:pPr>
              <w:pStyle w:val="2691"/>
            </w:pPr>
            <w:r>
              <w:t>地下水</w:t>
            </w:r>
          </w:p>
        </w:tc>
        <w:tc>
          <w:tcPr>
            <w:tcW w:w="456" w:type="pct"/>
            <w:vAlign w:val="center"/>
          </w:tcPr>
          <w:p>
            <w:pPr>
              <w:pStyle w:val="2691"/>
            </w:pPr>
            <w:r>
              <w:t>-</w:t>
            </w:r>
          </w:p>
        </w:tc>
        <w:tc>
          <w:tcPr>
            <w:tcW w:w="515" w:type="pct"/>
            <w:vAlign w:val="center"/>
          </w:tcPr>
          <w:p>
            <w:pPr>
              <w:pStyle w:val="2691"/>
            </w:pPr>
            <w:r>
              <w:t>较小</w:t>
            </w:r>
          </w:p>
        </w:tc>
        <w:tc>
          <w:tcPr>
            <w:tcW w:w="521" w:type="pct"/>
            <w:vAlign w:val="center"/>
          </w:tcPr>
          <w:p>
            <w:pPr>
              <w:pStyle w:val="2691"/>
            </w:pPr>
            <w:r>
              <w:t>长期</w:t>
            </w:r>
          </w:p>
        </w:tc>
        <w:tc>
          <w:tcPr>
            <w:tcW w:w="674" w:type="pct"/>
            <w:vAlign w:val="center"/>
          </w:tcPr>
          <w:p>
            <w:pPr>
              <w:pStyle w:val="2691"/>
            </w:pPr>
            <w:r>
              <w:t>较小</w:t>
            </w:r>
          </w:p>
        </w:tc>
        <w:tc>
          <w:tcPr>
            <w:tcW w:w="509" w:type="pct"/>
            <w:vAlign w:val="center"/>
          </w:tcPr>
          <w:p>
            <w:pPr>
              <w:pStyle w:val="2691"/>
            </w:pPr>
            <w:r>
              <w:t>局部</w:t>
            </w:r>
          </w:p>
        </w:tc>
        <w:tc>
          <w:tcPr>
            <w:tcW w:w="676" w:type="pct"/>
            <w:vAlign w:val="center"/>
          </w:tcPr>
          <w:p>
            <w:pPr>
              <w:pStyle w:val="2691"/>
            </w:pPr>
            <w: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350" w:type="pct"/>
            <w:vMerge w:val="continue"/>
            <w:vAlign w:val="center"/>
          </w:tcPr>
          <w:p>
            <w:pPr>
              <w:pStyle w:val="2691"/>
            </w:pPr>
          </w:p>
        </w:tc>
        <w:tc>
          <w:tcPr>
            <w:tcW w:w="628" w:type="pct"/>
            <w:vMerge w:val="continue"/>
            <w:vAlign w:val="center"/>
          </w:tcPr>
          <w:p>
            <w:pPr>
              <w:pStyle w:val="2691"/>
            </w:pPr>
          </w:p>
        </w:tc>
        <w:tc>
          <w:tcPr>
            <w:tcW w:w="666" w:type="pct"/>
            <w:vAlign w:val="center"/>
          </w:tcPr>
          <w:p>
            <w:pPr>
              <w:pStyle w:val="2691"/>
            </w:pPr>
            <w:r>
              <w:t>生态环境</w:t>
            </w:r>
          </w:p>
        </w:tc>
        <w:tc>
          <w:tcPr>
            <w:tcW w:w="456" w:type="pct"/>
            <w:vAlign w:val="center"/>
          </w:tcPr>
          <w:p>
            <w:pPr>
              <w:pStyle w:val="2691"/>
            </w:pPr>
            <w:r>
              <w:t>-</w:t>
            </w:r>
          </w:p>
        </w:tc>
        <w:tc>
          <w:tcPr>
            <w:tcW w:w="515" w:type="pct"/>
            <w:vAlign w:val="center"/>
          </w:tcPr>
          <w:p>
            <w:pPr>
              <w:pStyle w:val="2691"/>
            </w:pPr>
            <w:r>
              <w:t>较小</w:t>
            </w:r>
          </w:p>
        </w:tc>
        <w:tc>
          <w:tcPr>
            <w:tcW w:w="521" w:type="pct"/>
            <w:vAlign w:val="center"/>
          </w:tcPr>
          <w:p>
            <w:pPr>
              <w:pStyle w:val="2691"/>
            </w:pPr>
            <w:r>
              <w:t>长期</w:t>
            </w:r>
          </w:p>
        </w:tc>
        <w:tc>
          <w:tcPr>
            <w:tcW w:w="674" w:type="pct"/>
            <w:vAlign w:val="center"/>
          </w:tcPr>
          <w:p>
            <w:pPr>
              <w:pStyle w:val="2691"/>
            </w:pPr>
            <w:r>
              <w:t>一般</w:t>
            </w:r>
          </w:p>
        </w:tc>
        <w:tc>
          <w:tcPr>
            <w:tcW w:w="509" w:type="pct"/>
            <w:vAlign w:val="center"/>
          </w:tcPr>
          <w:p>
            <w:pPr>
              <w:pStyle w:val="2691"/>
            </w:pPr>
            <w:r>
              <w:t>局部</w:t>
            </w:r>
          </w:p>
        </w:tc>
        <w:tc>
          <w:tcPr>
            <w:tcW w:w="676" w:type="pct"/>
            <w:vAlign w:val="center"/>
          </w:tcPr>
          <w:p>
            <w:pPr>
              <w:pStyle w:val="2691"/>
            </w:pPr>
            <w: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350" w:type="pct"/>
            <w:vMerge w:val="continue"/>
            <w:vAlign w:val="center"/>
          </w:tcPr>
          <w:p>
            <w:pPr>
              <w:pStyle w:val="2691"/>
            </w:pPr>
          </w:p>
        </w:tc>
        <w:tc>
          <w:tcPr>
            <w:tcW w:w="628" w:type="pct"/>
            <w:vMerge w:val="restart"/>
            <w:vAlign w:val="center"/>
          </w:tcPr>
          <w:p>
            <w:pPr>
              <w:pStyle w:val="2691"/>
            </w:pPr>
            <w:r>
              <w:t>社会环境</w:t>
            </w:r>
          </w:p>
        </w:tc>
        <w:tc>
          <w:tcPr>
            <w:tcW w:w="666" w:type="pct"/>
            <w:vAlign w:val="center"/>
          </w:tcPr>
          <w:p>
            <w:pPr>
              <w:pStyle w:val="2691"/>
            </w:pPr>
            <w:r>
              <w:t>社会经济</w:t>
            </w:r>
          </w:p>
        </w:tc>
        <w:tc>
          <w:tcPr>
            <w:tcW w:w="456" w:type="pct"/>
            <w:vAlign w:val="center"/>
          </w:tcPr>
          <w:p>
            <w:pPr>
              <w:pStyle w:val="2691"/>
              <w:rPr>
                <w:rFonts w:hint="eastAsia" w:eastAsia="宋体"/>
                <w:lang w:eastAsia="zh-CN"/>
              </w:rPr>
            </w:pPr>
            <w:r>
              <w:rPr>
                <w:rFonts w:hint="eastAsia"/>
                <w:lang w:val="en-US" w:eastAsia="zh-CN"/>
              </w:rPr>
              <w:t>+</w:t>
            </w:r>
          </w:p>
        </w:tc>
        <w:tc>
          <w:tcPr>
            <w:tcW w:w="515" w:type="pct"/>
            <w:vAlign w:val="center"/>
          </w:tcPr>
          <w:p>
            <w:pPr>
              <w:pStyle w:val="2691"/>
            </w:pPr>
            <w:r>
              <w:t>较大</w:t>
            </w:r>
          </w:p>
        </w:tc>
        <w:tc>
          <w:tcPr>
            <w:tcW w:w="521" w:type="pct"/>
            <w:vAlign w:val="center"/>
          </w:tcPr>
          <w:p>
            <w:pPr>
              <w:pStyle w:val="2691"/>
            </w:pPr>
            <w:r>
              <w:t>长期</w:t>
            </w:r>
          </w:p>
        </w:tc>
        <w:tc>
          <w:tcPr>
            <w:tcW w:w="674" w:type="pct"/>
            <w:vAlign w:val="center"/>
          </w:tcPr>
          <w:p>
            <w:pPr>
              <w:pStyle w:val="2691"/>
            </w:pPr>
            <w:r>
              <w:t>较大</w:t>
            </w:r>
          </w:p>
        </w:tc>
        <w:tc>
          <w:tcPr>
            <w:tcW w:w="509" w:type="pct"/>
            <w:vAlign w:val="center"/>
          </w:tcPr>
          <w:p>
            <w:pPr>
              <w:pStyle w:val="2691"/>
            </w:pPr>
            <w:r>
              <w:t>局部</w:t>
            </w:r>
          </w:p>
        </w:tc>
        <w:tc>
          <w:tcPr>
            <w:tcW w:w="676" w:type="pct"/>
            <w:vAlign w:val="center"/>
          </w:tcPr>
          <w:p>
            <w:pPr>
              <w:pStyle w:val="2691"/>
            </w:pPr>
            <w:r>
              <w:t>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0" w:hRule="exact"/>
          <w:jc w:val="center"/>
        </w:trPr>
        <w:tc>
          <w:tcPr>
            <w:tcW w:w="350" w:type="pct"/>
            <w:vMerge w:val="continue"/>
            <w:vAlign w:val="center"/>
          </w:tcPr>
          <w:p>
            <w:pPr>
              <w:pStyle w:val="2691"/>
            </w:pPr>
          </w:p>
        </w:tc>
        <w:tc>
          <w:tcPr>
            <w:tcW w:w="628" w:type="pct"/>
            <w:vMerge w:val="continue"/>
            <w:vAlign w:val="center"/>
          </w:tcPr>
          <w:p>
            <w:pPr>
              <w:pStyle w:val="2691"/>
            </w:pPr>
          </w:p>
        </w:tc>
        <w:tc>
          <w:tcPr>
            <w:tcW w:w="666" w:type="pct"/>
            <w:vAlign w:val="center"/>
          </w:tcPr>
          <w:p>
            <w:pPr>
              <w:pStyle w:val="2691"/>
            </w:pPr>
            <w:r>
              <w:t>环境风险</w:t>
            </w:r>
          </w:p>
        </w:tc>
        <w:tc>
          <w:tcPr>
            <w:tcW w:w="456" w:type="pct"/>
            <w:vAlign w:val="center"/>
          </w:tcPr>
          <w:p>
            <w:pPr>
              <w:pStyle w:val="2691"/>
            </w:pPr>
            <w:r>
              <w:t>-</w:t>
            </w:r>
          </w:p>
        </w:tc>
        <w:tc>
          <w:tcPr>
            <w:tcW w:w="515" w:type="pct"/>
            <w:vAlign w:val="center"/>
          </w:tcPr>
          <w:p>
            <w:pPr>
              <w:pStyle w:val="2691"/>
            </w:pPr>
            <w:r>
              <w:t>较小</w:t>
            </w:r>
          </w:p>
        </w:tc>
        <w:tc>
          <w:tcPr>
            <w:tcW w:w="521" w:type="pct"/>
            <w:vAlign w:val="center"/>
          </w:tcPr>
          <w:p>
            <w:pPr>
              <w:pStyle w:val="2691"/>
            </w:pPr>
            <w:r>
              <w:t>长期</w:t>
            </w:r>
          </w:p>
        </w:tc>
        <w:tc>
          <w:tcPr>
            <w:tcW w:w="674" w:type="pct"/>
            <w:vAlign w:val="center"/>
          </w:tcPr>
          <w:p>
            <w:pPr>
              <w:pStyle w:val="2691"/>
            </w:pPr>
            <w:r>
              <w:t>一般</w:t>
            </w:r>
          </w:p>
        </w:tc>
        <w:tc>
          <w:tcPr>
            <w:tcW w:w="509" w:type="pct"/>
            <w:vAlign w:val="center"/>
          </w:tcPr>
          <w:p>
            <w:pPr>
              <w:pStyle w:val="2691"/>
            </w:pPr>
            <w:r>
              <w:t>局部</w:t>
            </w:r>
          </w:p>
        </w:tc>
        <w:tc>
          <w:tcPr>
            <w:tcW w:w="676" w:type="pct"/>
            <w:vAlign w:val="center"/>
          </w:tcPr>
          <w:p>
            <w:pPr>
              <w:pStyle w:val="2691"/>
            </w:pPr>
            <w:r>
              <w:t>可</w:t>
            </w:r>
          </w:p>
        </w:tc>
      </w:tr>
    </w:tbl>
    <w:p>
      <w:pPr>
        <w:pStyle w:val="2285"/>
        <w:numPr>
          <w:ilvl w:val="0"/>
          <w:numId w:val="0"/>
        </w:numPr>
        <w:ind w:left="420" w:hanging="420"/>
        <w:jc w:val="both"/>
        <w:rPr>
          <w:rFonts w:cs="Times New Roman"/>
        </w:rPr>
      </w:pPr>
      <w:r>
        <w:rPr>
          <w:rFonts w:cs="Times New Roman"/>
        </w:rPr>
        <w:t>注：</w:t>
      </w:r>
      <w:r>
        <w:rPr>
          <w:rFonts w:cs="Times New Roman" w:asciiTheme="minorEastAsia" w:hAnsiTheme="minorEastAsia" w:eastAsiaTheme="minorEastAsia"/>
          <w:spacing w:val="-1"/>
        </w:rPr>
        <w:t>“</w:t>
      </w:r>
      <w:r>
        <w:rPr>
          <w:rFonts w:cs="Times New Roman"/>
        </w:rPr>
        <w:t>+</w:t>
      </w:r>
      <w:r>
        <w:rPr>
          <w:rFonts w:cs="Times New Roman" w:asciiTheme="minorEastAsia" w:hAnsiTheme="minorEastAsia" w:eastAsiaTheme="minorEastAsia"/>
        </w:rPr>
        <w:t>”</w:t>
      </w:r>
      <w:r>
        <w:rPr>
          <w:rFonts w:cs="Times New Roman"/>
        </w:rPr>
        <w:t xml:space="preserve"> </w:t>
      </w:r>
      <w:r>
        <w:rPr>
          <w:rFonts w:cs="Times New Roman"/>
          <w:spacing w:val="1"/>
        </w:rPr>
        <w:t xml:space="preserve"> </w:t>
      </w:r>
      <w:r>
        <w:rPr>
          <w:rFonts w:cs="Times New Roman"/>
        </w:rPr>
        <w:t>为有利影响，</w:t>
      </w:r>
      <w:r>
        <w:rPr>
          <w:rFonts w:cs="Times New Roman" w:asciiTheme="minorEastAsia" w:hAnsiTheme="minorEastAsia" w:eastAsiaTheme="minorEastAsia"/>
          <w:spacing w:val="-1"/>
        </w:rPr>
        <w:t>“</w:t>
      </w:r>
      <w:r>
        <w:rPr>
          <w:rFonts w:cs="Times New Roman"/>
        </w:rPr>
        <w:t>-</w:t>
      </w:r>
      <w:r>
        <w:rPr>
          <w:rFonts w:cs="Times New Roman" w:asciiTheme="minorEastAsia" w:hAnsiTheme="minorEastAsia" w:eastAsiaTheme="minorEastAsia"/>
        </w:rPr>
        <w:t>”</w:t>
      </w:r>
      <w:r>
        <w:rPr>
          <w:rFonts w:cs="Times New Roman"/>
        </w:rPr>
        <w:t xml:space="preserve">  为不利</w:t>
      </w:r>
      <w:r>
        <w:rPr>
          <w:rFonts w:cs="Times New Roman"/>
          <w:spacing w:val="-2"/>
        </w:rPr>
        <w:t>影</w:t>
      </w:r>
      <w:r>
        <w:rPr>
          <w:rFonts w:cs="Times New Roman"/>
        </w:rPr>
        <w:t>响。</w:t>
      </w:r>
    </w:p>
    <w:p>
      <w:pPr>
        <w:pStyle w:val="619"/>
        <w:rPr>
          <w:rFonts w:cs="Times New Roman"/>
        </w:rPr>
      </w:pPr>
      <w:r>
        <w:rPr>
          <w:rFonts w:cs="Times New Roman"/>
        </w:rPr>
        <w:t>运营期环境影响因素识别矩阵</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28" w:type="dxa"/>
          <w:bottom w:w="0" w:type="dxa"/>
          <w:right w:w="28" w:type="dxa"/>
        </w:tblCellMar>
      </w:tblPr>
      <w:tblGrid>
        <w:gridCol w:w="838"/>
        <w:gridCol w:w="1865"/>
        <w:gridCol w:w="2210"/>
        <w:gridCol w:w="2323"/>
        <w:gridCol w:w="1398"/>
        <w:gridCol w:w="4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blHeader/>
          <w:jc w:val="center"/>
        </w:trPr>
        <w:tc>
          <w:tcPr>
            <w:tcW w:w="459" w:type="pct"/>
            <w:tcBorders>
              <w:tl2br w:val="nil"/>
              <w:tr2bl w:val="nil"/>
            </w:tcBorders>
            <w:vAlign w:val="center"/>
          </w:tcPr>
          <w:p>
            <w:pPr>
              <w:spacing w:line="240" w:lineRule="auto"/>
              <w:ind w:firstLine="0" w:firstLineChars="0"/>
              <w:jc w:val="center"/>
              <w:rPr>
                <w:b/>
                <w:bCs/>
                <w:sz w:val="21"/>
                <w:szCs w:val="21"/>
                <w:u w:val="single"/>
              </w:rPr>
            </w:pPr>
            <w:r>
              <w:rPr>
                <w:b/>
                <w:bCs/>
                <w:sz w:val="21"/>
                <w:szCs w:val="21"/>
                <w:u w:val="single"/>
              </w:rPr>
              <w:t>受影响对象</w:t>
            </w:r>
          </w:p>
        </w:tc>
        <w:tc>
          <w:tcPr>
            <w:tcW w:w="1022" w:type="pct"/>
            <w:tcBorders>
              <w:tl2br w:val="nil"/>
              <w:tr2bl w:val="nil"/>
            </w:tcBorders>
            <w:vAlign w:val="center"/>
          </w:tcPr>
          <w:p>
            <w:pPr>
              <w:spacing w:line="240" w:lineRule="auto"/>
              <w:ind w:firstLine="0" w:firstLineChars="0"/>
              <w:jc w:val="center"/>
              <w:rPr>
                <w:b/>
                <w:bCs/>
                <w:sz w:val="21"/>
                <w:szCs w:val="21"/>
                <w:u w:val="single"/>
              </w:rPr>
            </w:pPr>
            <w:r>
              <w:rPr>
                <w:b/>
                <w:bCs/>
                <w:sz w:val="21"/>
                <w:szCs w:val="21"/>
                <w:u w:val="single"/>
              </w:rPr>
              <w:t>评价因子</w:t>
            </w:r>
          </w:p>
        </w:tc>
        <w:tc>
          <w:tcPr>
            <w:tcW w:w="1211" w:type="pct"/>
            <w:tcBorders>
              <w:tl2br w:val="nil"/>
              <w:tr2bl w:val="nil"/>
            </w:tcBorders>
            <w:vAlign w:val="center"/>
          </w:tcPr>
          <w:p>
            <w:pPr>
              <w:spacing w:line="240" w:lineRule="auto"/>
              <w:ind w:firstLine="0" w:firstLineChars="0"/>
              <w:jc w:val="center"/>
              <w:rPr>
                <w:b/>
                <w:bCs/>
                <w:sz w:val="21"/>
                <w:szCs w:val="21"/>
                <w:u w:val="single"/>
              </w:rPr>
            </w:pPr>
            <w:r>
              <w:rPr>
                <w:b/>
                <w:bCs/>
                <w:sz w:val="21"/>
                <w:szCs w:val="21"/>
                <w:u w:val="single"/>
              </w:rPr>
              <w:t>工程内容</w:t>
            </w:r>
          </w:p>
        </w:tc>
        <w:tc>
          <w:tcPr>
            <w:tcW w:w="1273" w:type="pct"/>
            <w:tcBorders>
              <w:tl2br w:val="nil"/>
              <w:tr2bl w:val="nil"/>
            </w:tcBorders>
            <w:vAlign w:val="center"/>
          </w:tcPr>
          <w:p>
            <w:pPr>
              <w:spacing w:line="240" w:lineRule="auto"/>
              <w:ind w:firstLine="0" w:firstLineChars="0"/>
              <w:jc w:val="center"/>
              <w:rPr>
                <w:rFonts w:hint="eastAsia"/>
                <w:b/>
                <w:bCs/>
                <w:sz w:val="21"/>
                <w:szCs w:val="21"/>
                <w:u w:val="single"/>
              </w:rPr>
            </w:pPr>
            <w:r>
              <w:rPr>
                <w:b/>
                <w:bCs/>
                <w:sz w:val="21"/>
                <w:szCs w:val="21"/>
                <w:u w:val="single"/>
              </w:rPr>
              <w:t>影响方式</w:t>
            </w:r>
          </w:p>
        </w:tc>
        <w:tc>
          <w:tcPr>
            <w:tcW w:w="766" w:type="pct"/>
            <w:tcBorders>
              <w:tl2br w:val="nil"/>
              <w:tr2bl w:val="nil"/>
            </w:tcBorders>
            <w:vAlign w:val="center"/>
          </w:tcPr>
          <w:p>
            <w:pPr>
              <w:spacing w:line="240" w:lineRule="auto"/>
              <w:ind w:firstLine="0" w:firstLineChars="0"/>
              <w:jc w:val="center"/>
              <w:rPr>
                <w:b/>
                <w:bCs/>
                <w:sz w:val="21"/>
                <w:szCs w:val="21"/>
                <w:u w:val="single"/>
              </w:rPr>
            </w:pPr>
            <w:r>
              <w:rPr>
                <w:b/>
                <w:bCs/>
                <w:sz w:val="21"/>
                <w:szCs w:val="21"/>
                <w:u w:val="single"/>
              </w:rPr>
              <w:t>影响性质</w:t>
            </w:r>
          </w:p>
        </w:tc>
        <w:tc>
          <w:tcPr>
            <w:tcW w:w="266" w:type="pct"/>
            <w:tcBorders>
              <w:tl2br w:val="nil"/>
              <w:tr2bl w:val="nil"/>
            </w:tcBorders>
            <w:vAlign w:val="center"/>
          </w:tcPr>
          <w:p>
            <w:pPr>
              <w:spacing w:line="240" w:lineRule="auto"/>
              <w:ind w:firstLine="0" w:firstLineChars="0"/>
              <w:jc w:val="center"/>
              <w:rPr>
                <w:b/>
                <w:bCs/>
                <w:sz w:val="21"/>
                <w:szCs w:val="21"/>
                <w:u w:val="single"/>
              </w:rPr>
            </w:pPr>
            <w:r>
              <w:rPr>
                <w:b/>
                <w:bCs/>
                <w:sz w:val="21"/>
                <w:szCs w:val="21"/>
                <w:u w:val="single"/>
              </w:rPr>
              <w:t>程度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5000" w:type="pct"/>
            <w:gridSpan w:val="6"/>
            <w:tcBorders>
              <w:tl2br w:val="nil"/>
              <w:tr2bl w:val="nil"/>
            </w:tcBorders>
            <w:vAlign w:val="center"/>
          </w:tcPr>
          <w:p>
            <w:pPr>
              <w:spacing w:line="240" w:lineRule="auto"/>
              <w:ind w:firstLine="0" w:firstLineChars="0"/>
              <w:jc w:val="center"/>
              <w:rPr>
                <w:sz w:val="21"/>
                <w:szCs w:val="21"/>
                <w:u w:val="single"/>
              </w:rPr>
            </w:pPr>
            <w:r>
              <w:rPr>
                <w:sz w:val="21"/>
                <w:szCs w:val="21"/>
                <w:u w:val="single"/>
              </w:rPr>
              <w:t>施工期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物种</w:t>
            </w: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分布范围</w:t>
            </w:r>
          </w:p>
        </w:tc>
        <w:tc>
          <w:tcPr>
            <w:tcW w:w="1211"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工程占地</w:t>
            </w:r>
          </w:p>
        </w:tc>
        <w:tc>
          <w:tcPr>
            <w:tcW w:w="1273" w:type="pct"/>
            <w:tcBorders>
              <w:tl2br w:val="nil"/>
              <w:tr2bl w:val="nil"/>
            </w:tcBorders>
            <w:vAlign w:val="center"/>
          </w:tcPr>
          <w:p>
            <w:pPr>
              <w:spacing w:line="240" w:lineRule="auto"/>
              <w:ind w:firstLine="0" w:firstLineChars="0"/>
              <w:jc w:val="center"/>
              <w:rPr>
                <w:rFonts w:hint="eastAsia"/>
                <w:sz w:val="21"/>
                <w:szCs w:val="21"/>
                <w:u w:val="single"/>
              </w:rPr>
            </w:pPr>
            <w:r>
              <w:rPr>
                <w:sz w:val="21"/>
                <w:szCs w:val="21"/>
                <w:u w:val="single"/>
              </w:rPr>
              <w:t>生活环境减少</w:t>
            </w:r>
          </w:p>
        </w:tc>
        <w:tc>
          <w:tcPr>
            <w:tcW w:w="7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长期</w:t>
            </w:r>
            <w:r>
              <w:rPr>
                <w:rFonts w:hint="eastAsia"/>
                <w:sz w:val="21"/>
                <w:szCs w:val="21"/>
                <w:u w:val="single"/>
              </w:rPr>
              <w:t>、</w:t>
            </w:r>
            <w:r>
              <w:rPr>
                <w:sz w:val="21"/>
                <w:szCs w:val="21"/>
                <w:u w:val="single"/>
              </w:rPr>
              <w:t>不可逆</w:t>
            </w: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rFonts w:hint="eastAsia"/>
                <w:sz w:val="21"/>
                <w:szCs w:val="21"/>
                <w:u w:val="single"/>
              </w:rPr>
            </w:pPr>
            <w:r>
              <w:rPr>
                <w:sz w:val="21"/>
                <w:szCs w:val="21"/>
                <w:u w:val="single"/>
              </w:rPr>
              <w:t>种群数量</w:t>
            </w:r>
          </w:p>
        </w:tc>
        <w:tc>
          <w:tcPr>
            <w:tcW w:w="1211" w:type="pct"/>
            <w:vMerge w:val="continue"/>
            <w:tcBorders>
              <w:tl2br w:val="nil"/>
              <w:tr2bl w:val="nil"/>
            </w:tcBorders>
            <w:vAlign w:val="center"/>
          </w:tcPr>
          <w:p>
            <w:pPr>
              <w:spacing w:line="240" w:lineRule="auto"/>
              <w:ind w:firstLine="0" w:firstLineChars="0"/>
              <w:jc w:val="center"/>
              <w:rPr>
                <w:sz w:val="21"/>
                <w:szCs w:val="21"/>
                <w:u w:val="single"/>
              </w:rPr>
            </w:pPr>
          </w:p>
        </w:tc>
        <w:tc>
          <w:tcPr>
            <w:tcW w:w="1273"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施工活动的误伤</w:t>
            </w:r>
          </w:p>
        </w:tc>
        <w:tc>
          <w:tcPr>
            <w:tcW w:w="7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短期</w:t>
            </w:r>
            <w:r>
              <w:rPr>
                <w:rFonts w:hint="eastAsia"/>
                <w:sz w:val="21"/>
                <w:szCs w:val="21"/>
                <w:u w:val="single"/>
              </w:rPr>
              <w:t>，</w:t>
            </w:r>
            <w:r>
              <w:rPr>
                <w:sz w:val="21"/>
                <w:szCs w:val="21"/>
                <w:u w:val="single"/>
              </w:rPr>
              <w:t>可逆</w:t>
            </w: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种群结构</w:t>
            </w:r>
          </w:p>
        </w:tc>
        <w:tc>
          <w:tcPr>
            <w:tcW w:w="1211"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工程占地</w:t>
            </w:r>
            <w:r>
              <w:rPr>
                <w:rFonts w:hint="eastAsia"/>
                <w:sz w:val="21"/>
                <w:szCs w:val="21"/>
                <w:u w:val="single"/>
              </w:rPr>
              <w:t>，</w:t>
            </w:r>
            <w:r>
              <w:rPr>
                <w:sz w:val="21"/>
                <w:szCs w:val="21"/>
                <w:u w:val="single"/>
              </w:rPr>
              <w:t>施工扰动</w:t>
            </w:r>
          </w:p>
        </w:tc>
        <w:tc>
          <w:tcPr>
            <w:tcW w:w="1273" w:type="pct"/>
            <w:tcBorders>
              <w:tl2br w:val="nil"/>
              <w:tr2bl w:val="nil"/>
            </w:tcBorders>
            <w:vAlign w:val="center"/>
          </w:tcPr>
          <w:p>
            <w:pPr>
              <w:spacing w:line="240" w:lineRule="auto"/>
              <w:ind w:firstLine="0" w:firstLineChars="0"/>
              <w:jc w:val="center"/>
              <w:rPr>
                <w:rFonts w:hint="eastAsia"/>
                <w:sz w:val="21"/>
                <w:szCs w:val="21"/>
                <w:u w:val="single"/>
              </w:rPr>
            </w:pPr>
            <w:r>
              <w:rPr>
                <w:sz w:val="21"/>
                <w:szCs w:val="21"/>
                <w:u w:val="single"/>
              </w:rPr>
              <w:t>生存环境压缩</w:t>
            </w:r>
          </w:p>
        </w:tc>
        <w:tc>
          <w:tcPr>
            <w:tcW w:w="7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长期</w:t>
            </w:r>
            <w:r>
              <w:rPr>
                <w:rFonts w:hint="eastAsia"/>
                <w:sz w:val="21"/>
                <w:szCs w:val="21"/>
                <w:u w:val="single"/>
              </w:rPr>
              <w:t>、</w:t>
            </w:r>
            <w:r>
              <w:rPr>
                <w:sz w:val="21"/>
                <w:szCs w:val="21"/>
                <w:u w:val="single"/>
              </w:rPr>
              <w:t>不可逆</w:t>
            </w: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种群行为</w:t>
            </w:r>
          </w:p>
        </w:tc>
        <w:tc>
          <w:tcPr>
            <w:tcW w:w="1211" w:type="pct"/>
            <w:vMerge w:val="continue"/>
            <w:tcBorders>
              <w:tl2br w:val="nil"/>
              <w:tr2bl w:val="nil"/>
            </w:tcBorders>
            <w:vAlign w:val="center"/>
          </w:tcPr>
          <w:p>
            <w:pPr>
              <w:spacing w:line="240" w:lineRule="auto"/>
              <w:ind w:firstLine="0" w:firstLineChars="0"/>
              <w:jc w:val="center"/>
              <w:rPr>
                <w:sz w:val="21"/>
                <w:szCs w:val="21"/>
                <w:u w:val="single"/>
              </w:rPr>
            </w:pPr>
          </w:p>
        </w:tc>
        <w:tc>
          <w:tcPr>
            <w:tcW w:w="1273" w:type="pct"/>
            <w:tcBorders>
              <w:tl2br w:val="nil"/>
              <w:tr2bl w:val="nil"/>
            </w:tcBorders>
            <w:vAlign w:val="center"/>
          </w:tcPr>
          <w:p>
            <w:pPr>
              <w:spacing w:line="240" w:lineRule="auto"/>
              <w:ind w:firstLine="0" w:firstLineChars="0"/>
              <w:jc w:val="center"/>
              <w:rPr>
                <w:rFonts w:hint="default" w:eastAsia="宋体"/>
                <w:sz w:val="21"/>
                <w:szCs w:val="21"/>
                <w:u w:val="single"/>
                <w:lang w:val="en-US" w:eastAsia="zh-CN"/>
              </w:rPr>
            </w:pPr>
            <w:r>
              <w:rPr>
                <w:rFonts w:hint="eastAsia"/>
                <w:sz w:val="21"/>
                <w:szCs w:val="21"/>
                <w:u w:val="single"/>
                <w:lang w:val="en-US" w:eastAsia="zh-CN"/>
              </w:rPr>
              <w:t>清淤造成地表水悬浮物浓度升高</w:t>
            </w:r>
          </w:p>
        </w:tc>
        <w:tc>
          <w:tcPr>
            <w:tcW w:w="1398" w:type="dxa"/>
            <w:tcBorders>
              <w:tl2br w:val="nil"/>
              <w:tr2bl w:val="nil"/>
            </w:tcBorders>
            <w:vAlign w:val="center"/>
          </w:tcPr>
          <w:p>
            <w:pPr>
              <w:spacing w:line="240" w:lineRule="auto"/>
              <w:ind w:firstLine="0" w:firstLineChars="0"/>
              <w:jc w:val="center"/>
              <w:rPr>
                <w:sz w:val="21"/>
                <w:szCs w:val="21"/>
                <w:u w:val="single"/>
              </w:rPr>
            </w:pPr>
            <w:r>
              <w:rPr>
                <w:sz w:val="21"/>
                <w:szCs w:val="21"/>
                <w:u w:val="single"/>
              </w:rPr>
              <w:t>短期</w:t>
            </w:r>
            <w:r>
              <w:rPr>
                <w:rFonts w:hint="eastAsia"/>
                <w:sz w:val="21"/>
                <w:szCs w:val="21"/>
                <w:u w:val="single"/>
              </w:rPr>
              <w:t>，</w:t>
            </w:r>
            <w:r>
              <w:rPr>
                <w:sz w:val="21"/>
                <w:szCs w:val="21"/>
                <w:u w:val="single"/>
              </w:rPr>
              <w:t>可逆</w:t>
            </w:r>
          </w:p>
        </w:tc>
        <w:tc>
          <w:tcPr>
            <w:tcW w:w="492" w:type="dxa"/>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种群行为</w:t>
            </w:r>
          </w:p>
        </w:tc>
        <w:tc>
          <w:tcPr>
            <w:tcW w:w="1211" w:type="pct"/>
            <w:vMerge w:val="continue"/>
            <w:tcBorders>
              <w:tl2br w:val="nil"/>
              <w:tr2bl w:val="nil"/>
            </w:tcBorders>
            <w:vAlign w:val="center"/>
          </w:tcPr>
          <w:p>
            <w:pPr>
              <w:spacing w:line="240" w:lineRule="auto"/>
              <w:ind w:firstLine="0" w:firstLineChars="0"/>
              <w:jc w:val="center"/>
              <w:rPr>
                <w:sz w:val="21"/>
                <w:szCs w:val="21"/>
                <w:u w:val="single"/>
              </w:rPr>
            </w:pPr>
          </w:p>
        </w:tc>
        <w:tc>
          <w:tcPr>
            <w:tcW w:w="1273" w:type="pct"/>
            <w:tcBorders>
              <w:tl2br w:val="nil"/>
              <w:tr2bl w:val="nil"/>
            </w:tcBorders>
            <w:vAlign w:val="center"/>
          </w:tcPr>
          <w:p>
            <w:pPr>
              <w:spacing w:line="240" w:lineRule="auto"/>
              <w:ind w:firstLine="0" w:firstLineChars="0"/>
              <w:jc w:val="center"/>
              <w:rPr>
                <w:rFonts w:hint="eastAsia"/>
                <w:sz w:val="21"/>
                <w:szCs w:val="21"/>
                <w:u w:val="single"/>
              </w:rPr>
            </w:pPr>
            <w:r>
              <w:rPr>
                <w:sz w:val="21"/>
                <w:szCs w:val="21"/>
                <w:u w:val="single"/>
              </w:rPr>
              <w:t>施工噪声干扰</w:t>
            </w:r>
          </w:p>
        </w:tc>
        <w:tc>
          <w:tcPr>
            <w:tcW w:w="7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短期</w:t>
            </w:r>
            <w:r>
              <w:rPr>
                <w:rFonts w:hint="eastAsia"/>
                <w:sz w:val="21"/>
                <w:szCs w:val="21"/>
                <w:u w:val="single"/>
              </w:rPr>
              <w:t>，</w:t>
            </w:r>
            <w:r>
              <w:rPr>
                <w:sz w:val="21"/>
                <w:szCs w:val="21"/>
                <w:u w:val="single"/>
              </w:rPr>
              <w:t>可逆</w:t>
            </w: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生境</w:t>
            </w: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生境面积</w:t>
            </w:r>
          </w:p>
        </w:tc>
        <w:tc>
          <w:tcPr>
            <w:tcW w:w="1211"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工程占地</w:t>
            </w:r>
          </w:p>
        </w:tc>
        <w:tc>
          <w:tcPr>
            <w:tcW w:w="1273" w:type="pct"/>
            <w:tcBorders>
              <w:tl2br w:val="nil"/>
              <w:tr2bl w:val="nil"/>
            </w:tcBorders>
            <w:vAlign w:val="center"/>
          </w:tcPr>
          <w:p>
            <w:pPr>
              <w:spacing w:line="240" w:lineRule="auto"/>
              <w:ind w:firstLine="0" w:firstLineChars="0"/>
              <w:jc w:val="center"/>
              <w:rPr>
                <w:rFonts w:hint="eastAsia"/>
                <w:sz w:val="21"/>
                <w:szCs w:val="21"/>
                <w:u w:val="single"/>
              </w:rPr>
            </w:pPr>
            <w:r>
              <w:rPr>
                <w:sz w:val="21"/>
                <w:szCs w:val="21"/>
                <w:u w:val="single"/>
              </w:rPr>
              <w:t>面积减少</w:t>
            </w:r>
          </w:p>
        </w:tc>
        <w:tc>
          <w:tcPr>
            <w:tcW w:w="7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长期</w:t>
            </w:r>
            <w:r>
              <w:rPr>
                <w:rFonts w:hint="eastAsia"/>
                <w:sz w:val="21"/>
                <w:szCs w:val="21"/>
                <w:u w:val="single"/>
              </w:rPr>
              <w:t>、</w:t>
            </w:r>
            <w:r>
              <w:rPr>
                <w:sz w:val="21"/>
                <w:szCs w:val="21"/>
                <w:u w:val="single"/>
              </w:rPr>
              <w:t>不可逆</w:t>
            </w: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质量</w:t>
            </w:r>
          </w:p>
        </w:tc>
        <w:tc>
          <w:tcPr>
            <w:tcW w:w="1211"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工程占地</w:t>
            </w:r>
            <w:r>
              <w:rPr>
                <w:rFonts w:hint="eastAsia"/>
                <w:sz w:val="21"/>
                <w:szCs w:val="21"/>
                <w:u w:val="single"/>
              </w:rPr>
              <w:t>，</w:t>
            </w:r>
            <w:r>
              <w:rPr>
                <w:sz w:val="21"/>
                <w:szCs w:val="21"/>
                <w:u w:val="single"/>
              </w:rPr>
              <w:t>施工扰动</w:t>
            </w:r>
          </w:p>
        </w:tc>
        <w:tc>
          <w:tcPr>
            <w:tcW w:w="1273"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施工噪声</w:t>
            </w:r>
            <w:r>
              <w:rPr>
                <w:rFonts w:hint="eastAsia"/>
                <w:sz w:val="21"/>
                <w:szCs w:val="21"/>
                <w:u w:val="single"/>
              </w:rPr>
              <w:t>、</w:t>
            </w:r>
            <w:r>
              <w:rPr>
                <w:rFonts w:hint="eastAsia"/>
                <w:sz w:val="21"/>
                <w:szCs w:val="21"/>
                <w:u w:val="single"/>
                <w:lang w:val="en-US" w:eastAsia="zh-CN"/>
              </w:rPr>
              <w:t>施工废水、</w:t>
            </w:r>
            <w:r>
              <w:rPr>
                <w:sz w:val="21"/>
                <w:szCs w:val="21"/>
                <w:u w:val="single"/>
              </w:rPr>
              <w:t>扬尘影响</w:t>
            </w:r>
          </w:p>
        </w:tc>
        <w:tc>
          <w:tcPr>
            <w:tcW w:w="7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短期</w:t>
            </w:r>
            <w:r>
              <w:rPr>
                <w:rFonts w:hint="eastAsia"/>
                <w:sz w:val="21"/>
                <w:szCs w:val="21"/>
                <w:u w:val="single"/>
              </w:rPr>
              <w:t>，</w:t>
            </w:r>
            <w:r>
              <w:rPr>
                <w:sz w:val="21"/>
                <w:szCs w:val="21"/>
                <w:u w:val="single"/>
              </w:rPr>
              <w:t>可逆</w:t>
            </w: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连通性</w:t>
            </w:r>
          </w:p>
        </w:tc>
        <w:tc>
          <w:tcPr>
            <w:tcW w:w="1211"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工程占地</w:t>
            </w:r>
          </w:p>
        </w:tc>
        <w:tc>
          <w:tcPr>
            <w:tcW w:w="1273"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施工场地的切割</w:t>
            </w:r>
          </w:p>
        </w:tc>
        <w:tc>
          <w:tcPr>
            <w:tcW w:w="7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长期</w:t>
            </w:r>
            <w:r>
              <w:rPr>
                <w:rFonts w:hint="eastAsia"/>
                <w:sz w:val="21"/>
                <w:szCs w:val="21"/>
                <w:u w:val="single"/>
              </w:rPr>
              <w:t>、</w:t>
            </w:r>
            <w:r>
              <w:rPr>
                <w:sz w:val="21"/>
                <w:szCs w:val="21"/>
                <w:u w:val="single"/>
              </w:rPr>
              <w:t>不可逆</w:t>
            </w: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生物群落</w:t>
            </w:r>
          </w:p>
        </w:tc>
        <w:tc>
          <w:tcPr>
            <w:tcW w:w="1022" w:type="pct"/>
            <w:tcBorders>
              <w:tl2br w:val="nil"/>
              <w:tr2bl w:val="nil"/>
            </w:tcBorders>
            <w:vAlign w:val="center"/>
          </w:tcPr>
          <w:p>
            <w:pPr>
              <w:spacing w:line="240" w:lineRule="auto"/>
              <w:ind w:firstLine="0" w:firstLineChars="0"/>
              <w:jc w:val="center"/>
              <w:rPr>
                <w:rFonts w:hint="eastAsia"/>
                <w:sz w:val="21"/>
                <w:szCs w:val="21"/>
                <w:u w:val="single"/>
              </w:rPr>
            </w:pPr>
            <w:r>
              <w:rPr>
                <w:sz w:val="21"/>
                <w:szCs w:val="21"/>
                <w:u w:val="single"/>
              </w:rPr>
              <w:t>物种组成</w:t>
            </w:r>
          </w:p>
        </w:tc>
        <w:tc>
          <w:tcPr>
            <w:tcW w:w="1211"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工程占地</w:t>
            </w:r>
          </w:p>
        </w:tc>
        <w:tc>
          <w:tcPr>
            <w:tcW w:w="1273"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生存环境压缩</w:t>
            </w:r>
          </w:p>
        </w:tc>
        <w:tc>
          <w:tcPr>
            <w:tcW w:w="7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长期</w:t>
            </w:r>
            <w:r>
              <w:rPr>
                <w:rFonts w:hint="eastAsia"/>
                <w:sz w:val="21"/>
                <w:szCs w:val="21"/>
                <w:u w:val="single"/>
              </w:rPr>
              <w:t>、</w:t>
            </w:r>
            <w:r>
              <w:rPr>
                <w:sz w:val="21"/>
                <w:szCs w:val="21"/>
                <w:u w:val="single"/>
              </w:rPr>
              <w:t>不可逆</w:t>
            </w: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群落结构</w:t>
            </w:r>
          </w:p>
        </w:tc>
        <w:tc>
          <w:tcPr>
            <w:tcW w:w="1211" w:type="pct"/>
            <w:vMerge w:val="continue"/>
            <w:tcBorders>
              <w:tl2br w:val="nil"/>
              <w:tr2bl w:val="nil"/>
            </w:tcBorders>
            <w:vAlign w:val="center"/>
          </w:tcPr>
          <w:p>
            <w:pPr>
              <w:spacing w:line="240" w:lineRule="auto"/>
              <w:ind w:firstLine="0" w:firstLineChars="0"/>
              <w:jc w:val="center"/>
              <w:rPr>
                <w:sz w:val="21"/>
                <w:szCs w:val="21"/>
                <w:u w:val="single"/>
              </w:rPr>
            </w:pPr>
          </w:p>
        </w:tc>
        <w:tc>
          <w:tcPr>
            <w:tcW w:w="1273" w:type="pct"/>
            <w:vMerge w:val="continue"/>
            <w:tcBorders>
              <w:tl2br w:val="nil"/>
              <w:tr2bl w:val="nil"/>
            </w:tcBorders>
            <w:vAlign w:val="center"/>
          </w:tcPr>
          <w:p>
            <w:pPr>
              <w:spacing w:line="240" w:lineRule="auto"/>
              <w:ind w:firstLine="0" w:firstLineChars="0"/>
              <w:jc w:val="center"/>
              <w:rPr>
                <w:sz w:val="21"/>
                <w:szCs w:val="21"/>
                <w:u w:val="single"/>
              </w:rPr>
            </w:pPr>
          </w:p>
        </w:tc>
        <w:tc>
          <w:tcPr>
            <w:tcW w:w="7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长期</w:t>
            </w:r>
            <w:r>
              <w:rPr>
                <w:rFonts w:hint="eastAsia"/>
                <w:sz w:val="21"/>
                <w:szCs w:val="21"/>
                <w:u w:val="single"/>
              </w:rPr>
              <w:t>、</w:t>
            </w:r>
            <w:r>
              <w:rPr>
                <w:sz w:val="21"/>
                <w:szCs w:val="21"/>
                <w:u w:val="single"/>
              </w:rPr>
              <w:t>不可逆</w:t>
            </w: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生态系统</w:t>
            </w: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植被覆盖度</w:t>
            </w:r>
          </w:p>
        </w:tc>
        <w:tc>
          <w:tcPr>
            <w:tcW w:w="1211"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工程占地</w:t>
            </w:r>
            <w:r>
              <w:rPr>
                <w:rFonts w:hint="eastAsia"/>
                <w:sz w:val="21"/>
                <w:szCs w:val="21"/>
                <w:u w:val="single"/>
              </w:rPr>
              <w:t>，</w:t>
            </w:r>
            <w:r>
              <w:rPr>
                <w:sz w:val="21"/>
                <w:szCs w:val="21"/>
                <w:u w:val="single"/>
              </w:rPr>
              <w:t>施工扰动</w:t>
            </w:r>
          </w:p>
        </w:tc>
        <w:tc>
          <w:tcPr>
            <w:tcW w:w="1273" w:type="pct"/>
            <w:tcBorders>
              <w:tl2br w:val="nil"/>
              <w:tr2bl w:val="nil"/>
            </w:tcBorders>
            <w:vAlign w:val="center"/>
          </w:tcPr>
          <w:p>
            <w:pPr>
              <w:spacing w:line="240" w:lineRule="auto"/>
              <w:ind w:firstLine="0" w:firstLineChars="0"/>
              <w:jc w:val="center"/>
              <w:rPr>
                <w:rFonts w:hint="eastAsia"/>
                <w:sz w:val="21"/>
                <w:szCs w:val="21"/>
                <w:u w:val="single"/>
              </w:rPr>
            </w:pPr>
            <w:r>
              <w:rPr>
                <w:sz w:val="21"/>
                <w:szCs w:val="21"/>
                <w:u w:val="single"/>
              </w:rPr>
              <w:t>永久占地内植被消失</w:t>
            </w:r>
          </w:p>
        </w:tc>
        <w:tc>
          <w:tcPr>
            <w:tcW w:w="766"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长期</w:t>
            </w:r>
            <w:r>
              <w:rPr>
                <w:rFonts w:hint="eastAsia"/>
                <w:sz w:val="21"/>
                <w:szCs w:val="21"/>
                <w:u w:val="single"/>
              </w:rPr>
              <w:t>、可逆</w:t>
            </w:r>
          </w:p>
        </w:tc>
        <w:tc>
          <w:tcPr>
            <w:tcW w:w="266"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rFonts w:hint="eastAsia"/>
                <w:sz w:val="21"/>
                <w:szCs w:val="21"/>
                <w:u w:val="single"/>
              </w:rPr>
            </w:pPr>
            <w:r>
              <w:rPr>
                <w:sz w:val="21"/>
                <w:szCs w:val="21"/>
                <w:u w:val="single"/>
              </w:rPr>
              <w:t>生产力</w:t>
            </w:r>
          </w:p>
        </w:tc>
        <w:tc>
          <w:tcPr>
            <w:tcW w:w="1211" w:type="pct"/>
            <w:vMerge w:val="continue"/>
            <w:tcBorders>
              <w:tl2br w:val="nil"/>
              <w:tr2bl w:val="nil"/>
            </w:tcBorders>
            <w:vAlign w:val="center"/>
          </w:tcPr>
          <w:p>
            <w:pPr>
              <w:spacing w:line="240" w:lineRule="auto"/>
              <w:ind w:firstLine="0" w:firstLineChars="0"/>
              <w:jc w:val="center"/>
              <w:rPr>
                <w:sz w:val="21"/>
                <w:szCs w:val="21"/>
                <w:u w:val="single"/>
              </w:rPr>
            </w:pPr>
          </w:p>
        </w:tc>
        <w:tc>
          <w:tcPr>
            <w:tcW w:w="1273"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植被损失</w:t>
            </w:r>
          </w:p>
        </w:tc>
        <w:tc>
          <w:tcPr>
            <w:tcW w:w="766" w:type="pct"/>
            <w:vMerge w:val="continue"/>
            <w:tcBorders>
              <w:tl2br w:val="nil"/>
              <w:tr2bl w:val="nil"/>
            </w:tcBorders>
            <w:vAlign w:val="center"/>
          </w:tcPr>
          <w:p>
            <w:pPr>
              <w:spacing w:line="240" w:lineRule="auto"/>
              <w:ind w:firstLine="0" w:firstLineChars="0"/>
              <w:jc w:val="center"/>
              <w:rPr>
                <w:sz w:val="21"/>
                <w:szCs w:val="21"/>
                <w:u w:val="single"/>
              </w:rPr>
            </w:pPr>
          </w:p>
        </w:tc>
        <w:tc>
          <w:tcPr>
            <w:tcW w:w="266" w:type="pct"/>
            <w:vMerge w:val="continue"/>
            <w:tcBorders>
              <w:tl2br w:val="nil"/>
              <w:tr2bl w:val="nil"/>
            </w:tcBorders>
            <w:vAlign w:val="center"/>
          </w:tcPr>
          <w:p>
            <w:pPr>
              <w:spacing w:line="240" w:lineRule="auto"/>
              <w:ind w:firstLine="0" w:firstLineChars="0"/>
              <w:jc w:val="center"/>
              <w:rPr>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生物量</w:t>
            </w:r>
          </w:p>
        </w:tc>
        <w:tc>
          <w:tcPr>
            <w:tcW w:w="1211" w:type="pct"/>
            <w:vMerge w:val="continue"/>
            <w:tcBorders>
              <w:tl2br w:val="nil"/>
              <w:tr2bl w:val="nil"/>
            </w:tcBorders>
            <w:vAlign w:val="center"/>
          </w:tcPr>
          <w:p>
            <w:pPr>
              <w:spacing w:line="240" w:lineRule="auto"/>
              <w:ind w:firstLine="0" w:firstLineChars="0"/>
              <w:jc w:val="center"/>
              <w:rPr>
                <w:sz w:val="21"/>
                <w:szCs w:val="21"/>
                <w:u w:val="single"/>
              </w:rPr>
            </w:pPr>
          </w:p>
        </w:tc>
        <w:tc>
          <w:tcPr>
            <w:tcW w:w="1273" w:type="pct"/>
            <w:vMerge w:val="continue"/>
            <w:tcBorders>
              <w:tl2br w:val="nil"/>
              <w:tr2bl w:val="nil"/>
            </w:tcBorders>
            <w:vAlign w:val="center"/>
          </w:tcPr>
          <w:p>
            <w:pPr>
              <w:spacing w:line="240" w:lineRule="auto"/>
              <w:ind w:firstLine="0" w:firstLineChars="0"/>
              <w:jc w:val="center"/>
              <w:rPr>
                <w:sz w:val="21"/>
                <w:szCs w:val="21"/>
                <w:u w:val="single"/>
              </w:rPr>
            </w:pPr>
          </w:p>
        </w:tc>
        <w:tc>
          <w:tcPr>
            <w:tcW w:w="766" w:type="pct"/>
            <w:vMerge w:val="continue"/>
            <w:tcBorders>
              <w:tl2br w:val="nil"/>
              <w:tr2bl w:val="nil"/>
            </w:tcBorders>
            <w:vAlign w:val="center"/>
          </w:tcPr>
          <w:p>
            <w:pPr>
              <w:spacing w:line="240" w:lineRule="auto"/>
              <w:ind w:firstLine="0" w:firstLineChars="0"/>
              <w:jc w:val="center"/>
              <w:rPr>
                <w:sz w:val="21"/>
                <w:szCs w:val="21"/>
                <w:u w:val="single"/>
              </w:rPr>
            </w:pPr>
          </w:p>
        </w:tc>
        <w:tc>
          <w:tcPr>
            <w:tcW w:w="266" w:type="pct"/>
            <w:vMerge w:val="continue"/>
            <w:tcBorders>
              <w:tl2br w:val="nil"/>
              <w:tr2bl w:val="nil"/>
            </w:tcBorders>
            <w:vAlign w:val="center"/>
          </w:tcPr>
          <w:p>
            <w:pPr>
              <w:spacing w:line="240" w:lineRule="auto"/>
              <w:ind w:firstLine="0" w:firstLineChars="0"/>
              <w:jc w:val="center"/>
              <w:rPr>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生态系统功能</w:t>
            </w:r>
          </w:p>
        </w:tc>
        <w:tc>
          <w:tcPr>
            <w:tcW w:w="1211" w:type="pct"/>
            <w:vMerge w:val="continue"/>
            <w:tcBorders>
              <w:tl2br w:val="nil"/>
              <w:tr2bl w:val="nil"/>
            </w:tcBorders>
            <w:vAlign w:val="center"/>
          </w:tcPr>
          <w:p>
            <w:pPr>
              <w:spacing w:line="240" w:lineRule="auto"/>
              <w:ind w:firstLine="0" w:firstLineChars="0"/>
              <w:jc w:val="center"/>
              <w:rPr>
                <w:sz w:val="21"/>
                <w:szCs w:val="21"/>
                <w:u w:val="single"/>
              </w:rPr>
            </w:pPr>
          </w:p>
        </w:tc>
        <w:tc>
          <w:tcPr>
            <w:tcW w:w="1273"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植被损失</w:t>
            </w:r>
            <w:r>
              <w:rPr>
                <w:rFonts w:hint="eastAsia"/>
                <w:sz w:val="21"/>
                <w:szCs w:val="21"/>
                <w:u w:val="single"/>
              </w:rPr>
              <w:t>，</w:t>
            </w:r>
            <w:r>
              <w:rPr>
                <w:sz w:val="21"/>
                <w:szCs w:val="21"/>
                <w:u w:val="single"/>
              </w:rPr>
              <w:t>动物生存环境恶化</w:t>
            </w:r>
          </w:p>
        </w:tc>
        <w:tc>
          <w:tcPr>
            <w:tcW w:w="766" w:type="pct"/>
            <w:vMerge w:val="continue"/>
            <w:tcBorders>
              <w:tl2br w:val="nil"/>
              <w:tr2bl w:val="nil"/>
            </w:tcBorders>
            <w:vAlign w:val="center"/>
          </w:tcPr>
          <w:p>
            <w:pPr>
              <w:spacing w:line="240" w:lineRule="auto"/>
              <w:ind w:firstLine="0" w:firstLineChars="0"/>
              <w:jc w:val="center"/>
              <w:rPr>
                <w:sz w:val="21"/>
                <w:szCs w:val="21"/>
                <w:u w:val="single"/>
              </w:rPr>
            </w:pPr>
          </w:p>
        </w:tc>
        <w:tc>
          <w:tcPr>
            <w:tcW w:w="266" w:type="pct"/>
            <w:vMerge w:val="continue"/>
            <w:tcBorders>
              <w:tl2br w:val="nil"/>
              <w:tr2bl w:val="nil"/>
            </w:tcBorders>
            <w:vAlign w:val="center"/>
          </w:tcPr>
          <w:p>
            <w:pPr>
              <w:spacing w:line="240" w:lineRule="auto"/>
              <w:ind w:firstLine="0" w:firstLineChars="0"/>
              <w:jc w:val="center"/>
              <w:rPr>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生物多样性</w:t>
            </w:r>
          </w:p>
        </w:tc>
        <w:tc>
          <w:tcPr>
            <w:tcW w:w="1022" w:type="pct"/>
            <w:tcBorders>
              <w:tl2br w:val="nil"/>
              <w:tr2bl w:val="nil"/>
            </w:tcBorders>
            <w:vAlign w:val="center"/>
          </w:tcPr>
          <w:p>
            <w:pPr>
              <w:spacing w:line="240" w:lineRule="auto"/>
              <w:ind w:firstLine="0" w:firstLineChars="0"/>
              <w:jc w:val="center"/>
              <w:rPr>
                <w:rFonts w:hint="eastAsia"/>
                <w:sz w:val="21"/>
                <w:szCs w:val="21"/>
                <w:u w:val="single"/>
              </w:rPr>
            </w:pPr>
            <w:r>
              <w:rPr>
                <w:sz w:val="21"/>
                <w:szCs w:val="21"/>
                <w:u w:val="single"/>
              </w:rPr>
              <w:t>物种丰富度</w:t>
            </w:r>
          </w:p>
        </w:tc>
        <w:tc>
          <w:tcPr>
            <w:tcW w:w="1211"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工程占地</w:t>
            </w:r>
            <w:r>
              <w:rPr>
                <w:rFonts w:hint="eastAsia"/>
                <w:sz w:val="21"/>
                <w:szCs w:val="21"/>
                <w:u w:val="single"/>
              </w:rPr>
              <w:t>、</w:t>
            </w:r>
            <w:r>
              <w:rPr>
                <w:sz w:val="21"/>
                <w:szCs w:val="21"/>
                <w:u w:val="single"/>
              </w:rPr>
              <w:t>施工扰动</w:t>
            </w:r>
          </w:p>
        </w:tc>
        <w:tc>
          <w:tcPr>
            <w:tcW w:w="1273"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对动植物的直接损伤</w:t>
            </w:r>
          </w:p>
        </w:tc>
        <w:tc>
          <w:tcPr>
            <w:tcW w:w="766"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短期</w:t>
            </w:r>
            <w:r>
              <w:rPr>
                <w:rFonts w:hint="eastAsia"/>
                <w:sz w:val="21"/>
                <w:szCs w:val="21"/>
                <w:u w:val="single"/>
              </w:rPr>
              <w:t>，</w:t>
            </w:r>
            <w:r>
              <w:rPr>
                <w:sz w:val="21"/>
                <w:szCs w:val="21"/>
                <w:u w:val="single"/>
              </w:rPr>
              <w:t>可逆</w:t>
            </w:r>
          </w:p>
        </w:tc>
        <w:tc>
          <w:tcPr>
            <w:tcW w:w="266"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均匀度</w:t>
            </w:r>
          </w:p>
        </w:tc>
        <w:tc>
          <w:tcPr>
            <w:tcW w:w="1211" w:type="pct"/>
            <w:vMerge w:val="continue"/>
            <w:tcBorders>
              <w:tl2br w:val="nil"/>
              <w:tr2bl w:val="nil"/>
            </w:tcBorders>
            <w:vAlign w:val="center"/>
          </w:tcPr>
          <w:p>
            <w:pPr>
              <w:spacing w:line="240" w:lineRule="auto"/>
              <w:ind w:firstLine="0" w:firstLineChars="0"/>
              <w:jc w:val="center"/>
              <w:rPr>
                <w:sz w:val="21"/>
                <w:szCs w:val="21"/>
                <w:u w:val="single"/>
              </w:rPr>
            </w:pPr>
          </w:p>
        </w:tc>
        <w:tc>
          <w:tcPr>
            <w:tcW w:w="1273"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施工活动的驱赶</w:t>
            </w:r>
          </w:p>
        </w:tc>
        <w:tc>
          <w:tcPr>
            <w:tcW w:w="766" w:type="pct"/>
            <w:vMerge w:val="continue"/>
            <w:tcBorders>
              <w:tl2br w:val="nil"/>
              <w:tr2bl w:val="nil"/>
            </w:tcBorders>
            <w:vAlign w:val="center"/>
          </w:tcPr>
          <w:p>
            <w:pPr>
              <w:spacing w:line="240" w:lineRule="auto"/>
              <w:ind w:firstLine="0" w:firstLineChars="0"/>
              <w:jc w:val="center"/>
              <w:rPr>
                <w:sz w:val="21"/>
                <w:szCs w:val="21"/>
                <w:u w:val="single"/>
              </w:rPr>
            </w:pPr>
          </w:p>
        </w:tc>
        <w:tc>
          <w:tcPr>
            <w:tcW w:w="266" w:type="pct"/>
            <w:vMerge w:val="continue"/>
            <w:tcBorders>
              <w:tl2br w:val="nil"/>
              <w:tr2bl w:val="nil"/>
            </w:tcBorders>
            <w:vAlign w:val="center"/>
          </w:tcPr>
          <w:p>
            <w:pPr>
              <w:spacing w:line="240" w:lineRule="auto"/>
              <w:ind w:firstLine="0" w:firstLineChars="0"/>
              <w:jc w:val="center"/>
              <w:rPr>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优势度</w:t>
            </w:r>
          </w:p>
        </w:tc>
        <w:tc>
          <w:tcPr>
            <w:tcW w:w="1211" w:type="pct"/>
            <w:vMerge w:val="continue"/>
            <w:tcBorders>
              <w:tl2br w:val="nil"/>
              <w:tr2bl w:val="nil"/>
            </w:tcBorders>
            <w:vAlign w:val="center"/>
          </w:tcPr>
          <w:p>
            <w:pPr>
              <w:spacing w:line="240" w:lineRule="auto"/>
              <w:ind w:firstLine="0" w:firstLineChars="0"/>
              <w:jc w:val="center"/>
              <w:rPr>
                <w:sz w:val="21"/>
                <w:szCs w:val="21"/>
                <w:u w:val="single"/>
              </w:rPr>
            </w:pPr>
          </w:p>
        </w:tc>
        <w:tc>
          <w:tcPr>
            <w:tcW w:w="1273"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对动植物的直接损伤</w:t>
            </w:r>
          </w:p>
        </w:tc>
        <w:tc>
          <w:tcPr>
            <w:tcW w:w="766" w:type="pct"/>
            <w:vMerge w:val="continue"/>
            <w:tcBorders>
              <w:tl2br w:val="nil"/>
              <w:tr2bl w:val="nil"/>
            </w:tcBorders>
            <w:vAlign w:val="center"/>
          </w:tcPr>
          <w:p>
            <w:pPr>
              <w:spacing w:line="240" w:lineRule="auto"/>
              <w:ind w:firstLine="0" w:firstLineChars="0"/>
              <w:jc w:val="center"/>
              <w:rPr>
                <w:sz w:val="21"/>
                <w:szCs w:val="21"/>
                <w:u w:val="single"/>
              </w:rPr>
            </w:pPr>
          </w:p>
        </w:tc>
        <w:tc>
          <w:tcPr>
            <w:tcW w:w="266" w:type="pct"/>
            <w:vMerge w:val="continue"/>
            <w:tcBorders>
              <w:tl2br w:val="nil"/>
              <w:tr2bl w:val="nil"/>
            </w:tcBorders>
            <w:vAlign w:val="center"/>
          </w:tcPr>
          <w:p>
            <w:pPr>
              <w:spacing w:line="240" w:lineRule="auto"/>
              <w:ind w:firstLine="0" w:firstLineChars="0"/>
              <w:jc w:val="center"/>
              <w:rPr>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生态敏感区</w:t>
            </w:r>
          </w:p>
        </w:tc>
        <w:tc>
          <w:tcPr>
            <w:tcW w:w="1022" w:type="pct"/>
            <w:tcBorders>
              <w:tl2br w:val="nil"/>
              <w:tr2bl w:val="nil"/>
            </w:tcBorders>
            <w:vAlign w:val="center"/>
          </w:tcPr>
          <w:p>
            <w:pPr>
              <w:spacing w:line="240" w:lineRule="auto"/>
              <w:ind w:firstLine="0" w:firstLineChars="0"/>
              <w:jc w:val="center"/>
              <w:rPr>
                <w:sz w:val="21"/>
                <w:szCs w:val="21"/>
                <w:u w:val="single"/>
              </w:rPr>
            </w:pPr>
            <w:r>
              <w:rPr>
                <w:rFonts w:hint="eastAsia"/>
                <w:sz w:val="21"/>
                <w:szCs w:val="21"/>
                <w:u w:val="single"/>
              </w:rPr>
              <w:t>主要保护对象</w:t>
            </w:r>
          </w:p>
        </w:tc>
        <w:tc>
          <w:tcPr>
            <w:tcW w:w="1211"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工程占地</w:t>
            </w:r>
            <w:r>
              <w:rPr>
                <w:rFonts w:hint="eastAsia"/>
                <w:sz w:val="21"/>
                <w:szCs w:val="21"/>
                <w:u w:val="single"/>
              </w:rPr>
              <w:t>，</w:t>
            </w:r>
            <w:r>
              <w:rPr>
                <w:sz w:val="21"/>
                <w:szCs w:val="21"/>
                <w:u w:val="single"/>
              </w:rPr>
              <w:t>施工扰动</w:t>
            </w:r>
          </w:p>
        </w:tc>
        <w:tc>
          <w:tcPr>
            <w:tcW w:w="1273" w:type="pct"/>
            <w:tcBorders>
              <w:tl2br w:val="nil"/>
              <w:tr2bl w:val="nil"/>
            </w:tcBorders>
            <w:vAlign w:val="center"/>
          </w:tcPr>
          <w:p>
            <w:pPr>
              <w:spacing w:line="240" w:lineRule="auto"/>
              <w:ind w:firstLine="0" w:firstLineChars="0"/>
              <w:jc w:val="center"/>
              <w:rPr>
                <w:sz w:val="21"/>
                <w:szCs w:val="21"/>
                <w:u w:val="single"/>
              </w:rPr>
            </w:pPr>
            <w:r>
              <w:rPr>
                <w:rFonts w:hint="eastAsia"/>
                <w:sz w:val="21"/>
                <w:szCs w:val="21"/>
                <w:u w:val="single"/>
              </w:rPr>
              <w:t>对数量和生境的破坏</w:t>
            </w:r>
          </w:p>
        </w:tc>
        <w:tc>
          <w:tcPr>
            <w:tcW w:w="766"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长期</w:t>
            </w:r>
            <w:r>
              <w:rPr>
                <w:rFonts w:hint="eastAsia"/>
                <w:sz w:val="21"/>
                <w:szCs w:val="21"/>
                <w:u w:val="single"/>
              </w:rPr>
              <w:t>、不可逆</w:t>
            </w:r>
          </w:p>
        </w:tc>
        <w:tc>
          <w:tcPr>
            <w:tcW w:w="266"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rFonts w:hint="eastAsia"/>
                <w:sz w:val="21"/>
                <w:szCs w:val="21"/>
                <w:u w:val="single"/>
              </w:rPr>
              <w:t>生态功能</w:t>
            </w:r>
          </w:p>
        </w:tc>
        <w:tc>
          <w:tcPr>
            <w:tcW w:w="1211" w:type="pct"/>
            <w:vMerge w:val="continue"/>
            <w:tcBorders>
              <w:tl2br w:val="nil"/>
              <w:tr2bl w:val="nil"/>
            </w:tcBorders>
            <w:vAlign w:val="center"/>
          </w:tcPr>
          <w:p>
            <w:pPr>
              <w:spacing w:line="240" w:lineRule="auto"/>
              <w:ind w:firstLine="0" w:firstLineChars="0"/>
              <w:jc w:val="center"/>
              <w:rPr>
                <w:sz w:val="21"/>
                <w:szCs w:val="21"/>
                <w:u w:val="single"/>
              </w:rPr>
            </w:pPr>
          </w:p>
        </w:tc>
        <w:tc>
          <w:tcPr>
            <w:tcW w:w="1273" w:type="pct"/>
            <w:tcBorders>
              <w:tl2br w:val="nil"/>
              <w:tr2bl w:val="nil"/>
            </w:tcBorders>
            <w:vAlign w:val="center"/>
          </w:tcPr>
          <w:p>
            <w:pPr>
              <w:spacing w:line="240" w:lineRule="auto"/>
              <w:ind w:firstLine="0" w:firstLineChars="0"/>
              <w:jc w:val="center"/>
              <w:rPr>
                <w:rFonts w:hint="eastAsia"/>
                <w:sz w:val="21"/>
                <w:szCs w:val="21"/>
                <w:u w:val="single"/>
              </w:rPr>
            </w:pPr>
            <w:r>
              <w:rPr>
                <w:rFonts w:hint="eastAsia"/>
                <w:sz w:val="21"/>
                <w:szCs w:val="21"/>
                <w:u w:val="single"/>
              </w:rPr>
              <w:t>生态环境的恶化</w:t>
            </w:r>
          </w:p>
        </w:tc>
        <w:tc>
          <w:tcPr>
            <w:tcW w:w="766" w:type="pct"/>
            <w:vMerge w:val="continue"/>
            <w:tcBorders>
              <w:tl2br w:val="nil"/>
              <w:tr2bl w:val="nil"/>
            </w:tcBorders>
            <w:vAlign w:val="center"/>
          </w:tcPr>
          <w:p>
            <w:pPr>
              <w:spacing w:line="240" w:lineRule="auto"/>
              <w:ind w:firstLine="0" w:firstLineChars="0"/>
              <w:jc w:val="center"/>
              <w:rPr>
                <w:sz w:val="21"/>
                <w:szCs w:val="21"/>
                <w:u w:val="single"/>
              </w:rPr>
            </w:pPr>
          </w:p>
        </w:tc>
        <w:tc>
          <w:tcPr>
            <w:tcW w:w="266" w:type="pct"/>
            <w:vMerge w:val="continue"/>
            <w:tcBorders>
              <w:tl2br w:val="nil"/>
              <w:tr2bl w:val="nil"/>
            </w:tcBorders>
            <w:vAlign w:val="center"/>
          </w:tcPr>
          <w:p>
            <w:pPr>
              <w:spacing w:line="240" w:lineRule="auto"/>
              <w:ind w:firstLine="0" w:firstLineChars="0"/>
              <w:jc w:val="center"/>
              <w:rPr>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52" w:hRule="atLeast"/>
          <w:jc w:val="center"/>
        </w:trPr>
        <w:tc>
          <w:tcPr>
            <w:tcW w:w="459"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自然景观</w:t>
            </w:r>
          </w:p>
        </w:tc>
        <w:tc>
          <w:tcPr>
            <w:tcW w:w="1022" w:type="pct"/>
            <w:tcBorders>
              <w:tl2br w:val="nil"/>
              <w:tr2bl w:val="nil"/>
            </w:tcBorders>
            <w:vAlign w:val="center"/>
          </w:tcPr>
          <w:p>
            <w:pPr>
              <w:spacing w:line="240" w:lineRule="auto"/>
              <w:ind w:firstLine="0" w:firstLineChars="0"/>
              <w:jc w:val="center"/>
              <w:rPr>
                <w:sz w:val="21"/>
                <w:szCs w:val="21"/>
                <w:u w:val="single"/>
              </w:rPr>
            </w:pPr>
            <w:r>
              <w:rPr>
                <w:rFonts w:hint="eastAsia"/>
                <w:sz w:val="21"/>
                <w:szCs w:val="21"/>
                <w:u w:val="single"/>
              </w:rPr>
              <w:t>景观多样性</w:t>
            </w:r>
          </w:p>
        </w:tc>
        <w:tc>
          <w:tcPr>
            <w:tcW w:w="1211"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工程占地</w:t>
            </w:r>
          </w:p>
        </w:tc>
        <w:tc>
          <w:tcPr>
            <w:tcW w:w="1273" w:type="pct"/>
            <w:tcBorders>
              <w:tl2br w:val="nil"/>
              <w:tr2bl w:val="nil"/>
            </w:tcBorders>
            <w:vAlign w:val="center"/>
          </w:tcPr>
          <w:p>
            <w:pPr>
              <w:spacing w:line="240" w:lineRule="auto"/>
              <w:ind w:firstLine="0" w:firstLineChars="0"/>
              <w:jc w:val="center"/>
              <w:rPr>
                <w:sz w:val="21"/>
                <w:szCs w:val="21"/>
                <w:u w:val="single"/>
              </w:rPr>
            </w:pPr>
            <w:r>
              <w:rPr>
                <w:rFonts w:hint="eastAsia"/>
                <w:sz w:val="21"/>
                <w:szCs w:val="21"/>
                <w:u w:val="single"/>
              </w:rPr>
              <w:t>新增较大面积建设用地</w:t>
            </w:r>
          </w:p>
        </w:tc>
        <w:tc>
          <w:tcPr>
            <w:tcW w:w="766"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长期</w:t>
            </w:r>
            <w:r>
              <w:rPr>
                <w:rFonts w:hint="eastAsia"/>
                <w:sz w:val="21"/>
                <w:szCs w:val="21"/>
                <w:u w:val="single"/>
              </w:rPr>
              <w:t>、不可逆</w:t>
            </w:r>
          </w:p>
        </w:tc>
        <w:tc>
          <w:tcPr>
            <w:tcW w:w="266"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rFonts w:hint="eastAsia"/>
                <w:sz w:val="21"/>
                <w:szCs w:val="21"/>
                <w:u w:val="single"/>
              </w:rPr>
              <w:t>完整性</w:t>
            </w:r>
          </w:p>
        </w:tc>
        <w:tc>
          <w:tcPr>
            <w:tcW w:w="1211" w:type="pct"/>
            <w:vMerge w:val="continue"/>
            <w:tcBorders>
              <w:tl2br w:val="nil"/>
              <w:tr2bl w:val="nil"/>
            </w:tcBorders>
            <w:vAlign w:val="center"/>
          </w:tcPr>
          <w:p>
            <w:pPr>
              <w:spacing w:line="240" w:lineRule="auto"/>
              <w:ind w:firstLine="0" w:firstLineChars="0"/>
              <w:jc w:val="center"/>
              <w:rPr>
                <w:sz w:val="21"/>
                <w:szCs w:val="21"/>
                <w:u w:val="single"/>
              </w:rPr>
            </w:pPr>
          </w:p>
        </w:tc>
        <w:tc>
          <w:tcPr>
            <w:tcW w:w="1273" w:type="pct"/>
            <w:tcBorders>
              <w:tl2br w:val="nil"/>
              <w:tr2bl w:val="nil"/>
            </w:tcBorders>
            <w:vAlign w:val="center"/>
          </w:tcPr>
          <w:p>
            <w:pPr>
              <w:spacing w:line="240" w:lineRule="auto"/>
              <w:ind w:firstLine="0" w:firstLineChars="0"/>
              <w:jc w:val="center"/>
              <w:rPr>
                <w:sz w:val="21"/>
                <w:szCs w:val="21"/>
                <w:u w:val="single"/>
              </w:rPr>
            </w:pPr>
            <w:r>
              <w:rPr>
                <w:rFonts w:hint="eastAsia"/>
                <w:sz w:val="21"/>
                <w:szCs w:val="21"/>
                <w:u w:val="single"/>
              </w:rPr>
              <w:t>施工场地的切割</w:t>
            </w:r>
          </w:p>
        </w:tc>
        <w:tc>
          <w:tcPr>
            <w:tcW w:w="766" w:type="pct"/>
            <w:vMerge w:val="continue"/>
            <w:tcBorders>
              <w:tl2br w:val="nil"/>
              <w:tr2bl w:val="nil"/>
            </w:tcBorders>
            <w:vAlign w:val="center"/>
          </w:tcPr>
          <w:p>
            <w:pPr>
              <w:spacing w:line="240" w:lineRule="auto"/>
              <w:ind w:firstLine="0" w:firstLineChars="0"/>
              <w:jc w:val="center"/>
              <w:rPr>
                <w:sz w:val="21"/>
                <w:szCs w:val="21"/>
                <w:u w:val="single"/>
              </w:rPr>
            </w:pPr>
          </w:p>
        </w:tc>
        <w:tc>
          <w:tcPr>
            <w:tcW w:w="266" w:type="pct"/>
            <w:vMerge w:val="continue"/>
            <w:tcBorders>
              <w:tl2br w:val="nil"/>
              <w:tr2bl w:val="nil"/>
            </w:tcBorders>
            <w:vAlign w:val="center"/>
          </w:tcPr>
          <w:p>
            <w:pPr>
              <w:spacing w:line="240" w:lineRule="auto"/>
              <w:ind w:firstLine="0" w:firstLineChars="0"/>
              <w:jc w:val="center"/>
              <w:rPr>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5000" w:type="pct"/>
            <w:gridSpan w:val="6"/>
            <w:tcBorders>
              <w:tl2br w:val="nil"/>
              <w:tr2bl w:val="nil"/>
            </w:tcBorders>
            <w:vAlign w:val="center"/>
          </w:tcPr>
          <w:p>
            <w:pPr>
              <w:spacing w:line="240" w:lineRule="auto"/>
              <w:ind w:firstLine="0" w:firstLineChars="0"/>
              <w:jc w:val="center"/>
              <w:rPr>
                <w:sz w:val="21"/>
                <w:szCs w:val="21"/>
                <w:u w:val="single"/>
              </w:rPr>
            </w:pPr>
            <w:r>
              <w:rPr>
                <w:sz w:val="21"/>
                <w:szCs w:val="21"/>
                <w:u w:val="single"/>
              </w:rPr>
              <w:t>运行期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物种</w:t>
            </w: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分布范围</w:t>
            </w:r>
          </w:p>
        </w:tc>
        <w:tc>
          <w:tcPr>
            <w:tcW w:w="1211" w:type="pct"/>
            <w:vMerge w:val="restart"/>
            <w:tcBorders>
              <w:tl2br w:val="nil"/>
              <w:tr2bl w:val="nil"/>
            </w:tcBorders>
            <w:vAlign w:val="center"/>
          </w:tcPr>
          <w:p>
            <w:pPr>
              <w:spacing w:line="240" w:lineRule="auto"/>
              <w:ind w:firstLine="0" w:firstLineChars="0"/>
              <w:jc w:val="center"/>
              <w:rPr>
                <w:sz w:val="21"/>
                <w:szCs w:val="21"/>
                <w:u w:val="single"/>
              </w:rPr>
            </w:pPr>
            <w:r>
              <w:rPr>
                <w:rFonts w:hint="eastAsia"/>
                <w:sz w:val="21"/>
                <w:szCs w:val="21"/>
                <w:u w:val="single"/>
              </w:rPr>
              <w:t>永久</w:t>
            </w:r>
            <w:r>
              <w:rPr>
                <w:sz w:val="21"/>
                <w:szCs w:val="21"/>
                <w:u w:val="single"/>
              </w:rPr>
              <w:t>占地</w:t>
            </w:r>
          </w:p>
        </w:tc>
        <w:tc>
          <w:tcPr>
            <w:tcW w:w="1273" w:type="pct"/>
            <w:tcBorders>
              <w:tl2br w:val="nil"/>
              <w:tr2bl w:val="nil"/>
            </w:tcBorders>
            <w:vAlign w:val="center"/>
          </w:tcPr>
          <w:p>
            <w:pPr>
              <w:spacing w:line="240" w:lineRule="auto"/>
              <w:ind w:firstLine="0" w:firstLineChars="0"/>
              <w:jc w:val="center"/>
              <w:rPr>
                <w:rFonts w:hint="eastAsia"/>
                <w:sz w:val="21"/>
                <w:szCs w:val="21"/>
                <w:u w:val="single"/>
              </w:rPr>
            </w:pPr>
            <w:r>
              <w:rPr>
                <w:sz w:val="21"/>
                <w:szCs w:val="21"/>
                <w:u w:val="single"/>
              </w:rPr>
              <w:t>公路切割</w:t>
            </w:r>
          </w:p>
        </w:tc>
        <w:tc>
          <w:tcPr>
            <w:tcW w:w="7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长期</w:t>
            </w:r>
            <w:r>
              <w:rPr>
                <w:rFonts w:hint="eastAsia"/>
                <w:sz w:val="21"/>
                <w:szCs w:val="21"/>
                <w:u w:val="single"/>
              </w:rPr>
              <w:t>、不可逆</w:t>
            </w: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rFonts w:hint="eastAsia"/>
                <w:sz w:val="21"/>
                <w:szCs w:val="21"/>
                <w:u w:val="single"/>
              </w:rPr>
            </w:pPr>
            <w:r>
              <w:rPr>
                <w:sz w:val="21"/>
                <w:szCs w:val="21"/>
                <w:u w:val="single"/>
              </w:rPr>
              <w:t>种群数量</w:t>
            </w:r>
          </w:p>
        </w:tc>
        <w:tc>
          <w:tcPr>
            <w:tcW w:w="1211" w:type="pct"/>
            <w:vMerge w:val="continue"/>
            <w:tcBorders>
              <w:tl2br w:val="nil"/>
              <w:tr2bl w:val="nil"/>
            </w:tcBorders>
            <w:vAlign w:val="center"/>
          </w:tcPr>
          <w:p>
            <w:pPr>
              <w:spacing w:line="240" w:lineRule="auto"/>
              <w:ind w:firstLine="0" w:firstLineChars="0"/>
              <w:jc w:val="center"/>
              <w:rPr>
                <w:sz w:val="21"/>
                <w:szCs w:val="21"/>
                <w:u w:val="single"/>
              </w:rPr>
            </w:pPr>
          </w:p>
        </w:tc>
        <w:tc>
          <w:tcPr>
            <w:tcW w:w="1273"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车辆撞伤</w:t>
            </w:r>
          </w:p>
        </w:tc>
        <w:tc>
          <w:tcPr>
            <w:tcW w:w="766" w:type="pct"/>
            <w:tcBorders>
              <w:tl2br w:val="nil"/>
              <w:tr2bl w:val="nil"/>
            </w:tcBorders>
            <w:vAlign w:val="center"/>
          </w:tcPr>
          <w:p>
            <w:pPr>
              <w:spacing w:line="240" w:lineRule="auto"/>
              <w:ind w:firstLine="0" w:firstLineChars="0"/>
              <w:jc w:val="center"/>
              <w:rPr>
                <w:sz w:val="21"/>
                <w:szCs w:val="21"/>
                <w:u w:val="single"/>
              </w:rPr>
            </w:pPr>
            <w:r>
              <w:rPr>
                <w:rFonts w:hint="eastAsia"/>
                <w:sz w:val="21"/>
                <w:szCs w:val="21"/>
                <w:u w:val="single"/>
              </w:rPr>
              <w:t>长</w:t>
            </w:r>
            <w:r>
              <w:rPr>
                <w:sz w:val="21"/>
                <w:szCs w:val="21"/>
                <w:u w:val="single"/>
              </w:rPr>
              <w:t>期</w:t>
            </w:r>
            <w:r>
              <w:rPr>
                <w:rFonts w:hint="eastAsia"/>
                <w:sz w:val="21"/>
                <w:szCs w:val="21"/>
                <w:u w:val="single"/>
              </w:rPr>
              <w:t>，</w:t>
            </w:r>
            <w:r>
              <w:rPr>
                <w:sz w:val="21"/>
                <w:szCs w:val="21"/>
                <w:u w:val="single"/>
              </w:rPr>
              <w:t>可逆</w:t>
            </w: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种群结构</w:t>
            </w:r>
          </w:p>
        </w:tc>
        <w:tc>
          <w:tcPr>
            <w:tcW w:w="1211"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来往车辆噪声</w:t>
            </w:r>
            <w:r>
              <w:rPr>
                <w:rFonts w:hint="eastAsia"/>
                <w:sz w:val="21"/>
                <w:szCs w:val="21"/>
                <w:u w:val="single"/>
              </w:rPr>
              <w:t>、</w:t>
            </w:r>
            <w:r>
              <w:rPr>
                <w:sz w:val="21"/>
                <w:szCs w:val="21"/>
                <w:u w:val="single"/>
              </w:rPr>
              <w:t>灯光</w:t>
            </w:r>
          </w:p>
        </w:tc>
        <w:tc>
          <w:tcPr>
            <w:tcW w:w="1273" w:type="pct"/>
            <w:vMerge w:val="restart"/>
            <w:tcBorders>
              <w:tl2br w:val="nil"/>
              <w:tr2bl w:val="nil"/>
            </w:tcBorders>
            <w:vAlign w:val="center"/>
          </w:tcPr>
          <w:p>
            <w:pPr>
              <w:spacing w:line="240" w:lineRule="auto"/>
              <w:ind w:firstLine="0" w:firstLineChars="0"/>
              <w:jc w:val="center"/>
              <w:rPr>
                <w:rFonts w:hint="eastAsia"/>
                <w:sz w:val="21"/>
                <w:szCs w:val="21"/>
                <w:u w:val="single"/>
              </w:rPr>
            </w:pPr>
            <w:r>
              <w:rPr>
                <w:sz w:val="21"/>
                <w:szCs w:val="21"/>
                <w:u w:val="single"/>
              </w:rPr>
              <w:t>影响动植物交流</w:t>
            </w:r>
          </w:p>
        </w:tc>
        <w:tc>
          <w:tcPr>
            <w:tcW w:w="766" w:type="pct"/>
            <w:vMerge w:val="restart"/>
            <w:tcBorders>
              <w:tl2br w:val="nil"/>
              <w:tr2bl w:val="nil"/>
            </w:tcBorders>
            <w:vAlign w:val="center"/>
          </w:tcPr>
          <w:p>
            <w:pPr>
              <w:spacing w:line="240" w:lineRule="auto"/>
              <w:ind w:firstLine="0" w:firstLineChars="0"/>
              <w:jc w:val="center"/>
              <w:rPr>
                <w:sz w:val="21"/>
                <w:szCs w:val="21"/>
                <w:u w:val="single"/>
              </w:rPr>
            </w:pPr>
            <w:r>
              <w:rPr>
                <w:rFonts w:hint="eastAsia"/>
                <w:sz w:val="21"/>
                <w:szCs w:val="21"/>
                <w:u w:val="single"/>
              </w:rPr>
              <w:t>长</w:t>
            </w:r>
            <w:r>
              <w:rPr>
                <w:sz w:val="21"/>
                <w:szCs w:val="21"/>
                <w:u w:val="single"/>
              </w:rPr>
              <w:t>期</w:t>
            </w:r>
            <w:r>
              <w:rPr>
                <w:rFonts w:hint="eastAsia"/>
                <w:sz w:val="21"/>
                <w:szCs w:val="21"/>
                <w:u w:val="single"/>
              </w:rPr>
              <w:t>，</w:t>
            </w:r>
            <w:r>
              <w:rPr>
                <w:sz w:val="21"/>
                <w:szCs w:val="21"/>
                <w:u w:val="single"/>
              </w:rPr>
              <w:t>可逆</w:t>
            </w:r>
          </w:p>
        </w:tc>
        <w:tc>
          <w:tcPr>
            <w:tcW w:w="266"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种群行为</w:t>
            </w:r>
          </w:p>
        </w:tc>
        <w:tc>
          <w:tcPr>
            <w:tcW w:w="1211" w:type="pct"/>
            <w:vMerge w:val="continue"/>
            <w:tcBorders>
              <w:tl2br w:val="nil"/>
              <w:tr2bl w:val="nil"/>
            </w:tcBorders>
            <w:vAlign w:val="center"/>
          </w:tcPr>
          <w:p>
            <w:pPr>
              <w:spacing w:line="240" w:lineRule="auto"/>
              <w:ind w:firstLine="0" w:firstLineChars="0"/>
              <w:jc w:val="center"/>
              <w:rPr>
                <w:sz w:val="21"/>
                <w:szCs w:val="21"/>
                <w:u w:val="single"/>
              </w:rPr>
            </w:pPr>
          </w:p>
        </w:tc>
        <w:tc>
          <w:tcPr>
            <w:tcW w:w="1273" w:type="pct"/>
            <w:vMerge w:val="continue"/>
            <w:tcBorders>
              <w:tl2br w:val="nil"/>
              <w:tr2bl w:val="nil"/>
            </w:tcBorders>
            <w:vAlign w:val="center"/>
          </w:tcPr>
          <w:p>
            <w:pPr>
              <w:spacing w:line="240" w:lineRule="auto"/>
              <w:ind w:firstLine="0" w:firstLineChars="0"/>
              <w:jc w:val="center"/>
              <w:rPr>
                <w:sz w:val="21"/>
                <w:szCs w:val="21"/>
                <w:u w:val="single"/>
              </w:rPr>
            </w:pPr>
          </w:p>
        </w:tc>
        <w:tc>
          <w:tcPr>
            <w:tcW w:w="766" w:type="pct"/>
            <w:vMerge w:val="continue"/>
            <w:tcBorders>
              <w:tl2br w:val="nil"/>
              <w:tr2bl w:val="nil"/>
            </w:tcBorders>
            <w:vAlign w:val="center"/>
          </w:tcPr>
          <w:p>
            <w:pPr>
              <w:spacing w:line="240" w:lineRule="auto"/>
              <w:ind w:firstLine="0" w:firstLineChars="0"/>
              <w:jc w:val="center"/>
              <w:rPr>
                <w:sz w:val="21"/>
                <w:szCs w:val="21"/>
                <w:u w:val="single"/>
              </w:rPr>
            </w:pPr>
          </w:p>
        </w:tc>
        <w:tc>
          <w:tcPr>
            <w:tcW w:w="266" w:type="pct"/>
            <w:vMerge w:val="continue"/>
            <w:tcBorders>
              <w:tl2br w:val="nil"/>
              <w:tr2bl w:val="nil"/>
            </w:tcBorders>
            <w:vAlign w:val="center"/>
          </w:tcPr>
          <w:p>
            <w:pPr>
              <w:spacing w:line="240" w:lineRule="auto"/>
              <w:ind w:firstLine="0" w:firstLineChars="0"/>
              <w:jc w:val="center"/>
              <w:rPr>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生境</w:t>
            </w: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生境面积</w:t>
            </w:r>
          </w:p>
        </w:tc>
        <w:tc>
          <w:tcPr>
            <w:tcW w:w="1211"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永久占地</w:t>
            </w:r>
          </w:p>
        </w:tc>
        <w:tc>
          <w:tcPr>
            <w:tcW w:w="1273" w:type="pct"/>
            <w:tcBorders>
              <w:tl2br w:val="nil"/>
              <w:tr2bl w:val="nil"/>
            </w:tcBorders>
            <w:vAlign w:val="center"/>
          </w:tcPr>
          <w:p>
            <w:pPr>
              <w:spacing w:line="240" w:lineRule="auto"/>
              <w:ind w:firstLine="0" w:firstLineChars="0"/>
              <w:jc w:val="center"/>
              <w:rPr>
                <w:rFonts w:hint="eastAsia"/>
                <w:sz w:val="21"/>
                <w:szCs w:val="21"/>
                <w:u w:val="single"/>
              </w:rPr>
            </w:pPr>
            <w:r>
              <w:rPr>
                <w:sz w:val="21"/>
                <w:szCs w:val="21"/>
                <w:u w:val="single"/>
              </w:rPr>
              <w:t>适宜生境的减少</w:t>
            </w:r>
          </w:p>
        </w:tc>
        <w:tc>
          <w:tcPr>
            <w:tcW w:w="7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长期</w:t>
            </w:r>
            <w:r>
              <w:rPr>
                <w:rFonts w:hint="eastAsia"/>
                <w:sz w:val="21"/>
                <w:szCs w:val="21"/>
                <w:u w:val="single"/>
              </w:rPr>
              <w:t>、不可逆</w:t>
            </w: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质量</w:t>
            </w:r>
          </w:p>
        </w:tc>
        <w:tc>
          <w:tcPr>
            <w:tcW w:w="1211" w:type="pct"/>
            <w:tcBorders>
              <w:tl2br w:val="nil"/>
              <w:tr2bl w:val="nil"/>
            </w:tcBorders>
            <w:vAlign w:val="center"/>
          </w:tcPr>
          <w:p>
            <w:pPr>
              <w:spacing w:line="240" w:lineRule="auto"/>
              <w:ind w:firstLine="0" w:firstLineChars="0"/>
              <w:jc w:val="center"/>
              <w:rPr>
                <w:rFonts w:hint="default" w:eastAsia="宋体"/>
                <w:sz w:val="21"/>
                <w:szCs w:val="21"/>
                <w:u w:val="single"/>
                <w:lang w:val="en-US" w:eastAsia="zh-CN"/>
              </w:rPr>
            </w:pPr>
            <w:r>
              <w:rPr>
                <w:sz w:val="21"/>
                <w:szCs w:val="21"/>
                <w:u w:val="single"/>
              </w:rPr>
              <w:t>来往</w:t>
            </w:r>
            <w:r>
              <w:rPr>
                <w:rFonts w:hint="eastAsia"/>
                <w:sz w:val="21"/>
                <w:szCs w:val="21"/>
                <w:u w:val="single"/>
                <w:lang w:val="en-US" w:eastAsia="zh-CN"/>
              </w:rPr>
              <w:t>船舶</w:t>
            </w:r>
            <w:r>
              <w:rPr>
                <w:sz w:val="21"/>
                <w:szCs w:val="21"/>
                <w:u w:val="single"/>
              </w:rPr>
              <w:t>噪声</w:t>
            </w:r>
            <w:r>
              <w:rPr>
                <w:rFonts w:hint="eastAsia"/>
                <w:sz w:val="21"/>
                <w:szCs w:val="21"/>
                <w:u w:val="single"/>
              </w:rPr>
              <w:t>、</w:t>
            </w:r>
            <w:r>
              <w:rPr>
                <w:sz w:val="21"/>
                <w:szCs w:val="21"/>
                <w:u w:val="single"/>
              </w:rPr>
              <w:t>灯光</w:t>
            </w:r>
            <w:r>
              <w:rPr>
                <w:rFonts w:hint="eastAsia"/>
                <w:sz w:val="21"/>
                <w:szCs w:val="21"/>
                <w:u w:val="single"/>
                <w:lang w:eastAsia="zh-CN"/>
              </w:rPr>
              <w:t>、</w:t>
            </w:r>
            <w:r>
              <w:rPr>
                <w:rFonts w:hint="eastAsia"/>
                <w:sz w:val="21"/>
                <w:szCs w:val="21"/>
                <w:u w:val="single"/>
                <w:lang w:val="en-US" w:eastAsia="zh-CN"/>
              </w:rPr>
              <w:t>装卸粉尘污染</w:t>
            </w:r>
          </w:p>
        </w:tc>
        <w:tc>
          <w:tcPr>
            <w:tcW w:w="1273"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噪声</w:t>
            </w:r>
            <w:r>
              <w:rPr>
                <w:rFonts w:hint="eastAsia"/>
                <w:sz w:val="21"/>
                <w:szCs w:val="21"/>
                <w:u w:val="single"/>
              </w:rPr>
              <w:t>、</w:t>
            </w:r>
            <w:r>
              <w:rPr>
                <w:sz w:val="21"/>
                <w:szCs w:val="21"/>
                <w:u w:val="single"/>
              </w:rPr>
              <w:t>灯光</w:t>
            </w:r>
            <w:r>
              <w:rPr>
                <w:rFonts w:hint="eastAsia"/>
                <w:sz w:val="21"/>
                <w:szCs w:val="21"/>
                <w:u w:val="single"/>
                <w:lang w:eastAsia="zh-CN"/>
              </w:rPr>
              <w:t>、</w:t>
            </w:r>
            <w:r>
              <w:rPr>
                <w:rFonts w:hint="eastAsia"/>
                <w:sz w:val="21"/>
                <w:szCs w:val="21"/>
                <w:u w:val="single"/>
                <w:lang w:val="en-US" w:eastAsia="zh-CN"/>
              </w:rPr>
              <w:t>装卸粉尘</w:t>
            </w:r>
            <w:r>
              <w:rPr>
                <w:rFonts w:hint="eastAsia"/>
                <w:sz w:val="21"/>
                <w:szCs w:val="21"/>
                <w:u w:val="single"/>
              </w:rPr>
              <w:t>导致</w:t>
            </w:r>
            <w:r>
              <w:rPr>
                <w:sz w:val="21"/>
                <w:szCs w:val="21"/>
                <w:u w:val="single"/>
              </w:rPr>
              <w:t>生境恶化</w:t>
            </w:r>
          </w:p>
        </w:tc>
        <w:tc>
          <w:tcPr>
            <w:tcW w:w="7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短期</w:t>
            </w:r>
            <w:r>
              <w:rPr>
                <w:rFonts w:hint="eastAsia"/>
                <w:sz w:val="21"/>
                <w:szCs w:val="21"/>
                <w:u w:val="single"/>
              </w:rPr>
              <w:t>，</w:t>
            </w:r>
            <w:r>
              <w:rPr>
                <w:sz w:val="21"/>
                <w:szCs w:val="21"/>
                <w:u w:val="single"/>
              </w:rPr>
              <w:t>可逆</w:t>
            </w: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连通性</w:t>
            </w:r>
          </w:p>
        </w:tc>
        <w:tc>
          <w:tcPr>
            <w:tcW w:w="1211" w:type="pct"/>
            <w:tcBorders>
              <w:tl2br w:val="nil"/>
              <w:tr2bl w:val="nil"/>
            </w:tcBorders>
            <w:vAlign w:val="center"/>
          </w:tcPr>
          <w:p>
            <w:pPr>
              <w:spacing w:line="240" w:lineRule="auto"/>
              <w:ind w:firstLine="0" w:firstLineChars="0"/>
              <w:jc w:val="center"/>
              <w:rPr>
                <w:rFonts w:hint="default" w:eastAsia="宋体"/>
                <w:sz w:val="21"/>
                <w:szCs w:val="21"/>
                <w:u w:val="single"/>
                <w:lang w:val="en-US" w:eastAsia="zh-CN"/>
              </w:rPr>
            </w:pPr>
            <w:r>
              <w:rPr>
                <w:rFonts w:hint="eastAsia"/>
                <w:sz w:val="21"/>
                <w:szCs w:val="21"/>
                <w:u w:val="single"/>
                <w:lang w:val="en-US" w:eastAsia="zh-CN"/>
              </w:rPr>
              <w:t>占用水域</w:t>
            </w:r>
          </w:p>
        </w:tc>
        <w:tc>
          <w:tcPr>
            <w:tcW w:w="1273" w:type="pct"/>
            <w:tcBorders>
              <w:tl2br w:val="nil"/>
              <w:tr2bl w:val="nil"/>
            </w:tcBorders>
            <w:vAlign w:val="center"/>
          </w:tcPr>
          <w:p>
            <w:pPr>
              <w:spacing w:line="240" w:lineRule="auto"/>
              <w:ind w:firstLine="0" w:firstLineChars="0"/>
              <w:jc w:val="center"/>
              <w:rPr>
                <w:rFonts w:hint="default" w:eastAsia="宋体"/>
                <w:sz w:val="21"/>
                <w:szCs w:val="21"/>
                <w:u w:val="single"/>
                <w:lang w:val="en-US" w:eastAsia="zh-CN"/>
              </w:rPr>
            </w:pPr>
            <w:r>
              <w:rPr>
                <w:rFonts w:hint="eastAsia"/>
                <w:sz w:val="21"/>
                <w:szCs w:val="21"/>
                <w:u w:val="single"/>
                <w:lang w:val="en-US" w:eastAsia="zh-CN"/>
              </w:rPr>
              <w:t>水域切割</w:t>
            </w:r>
          </w:p>
        </w:tc>
        <w:tc>
          <w:tcPr>
            <w:tcW w:w="7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长期</w:t>
            </w:r>
            <w:r>
              <w:rPr>
                <w:rFonts w:hint="eastAsia"/>
                <w:sz w:val="21"/>
                <w:szCs w:val="21"/>
                <w:u w:val="single"/>
              </w:rPr>
              <w:t>、不可逆</w:t>
            </w: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生物群落</w:t>
            </w:r>
          </w:p>
        </w:tc>
        <w:tc>
          <w:tcPr>
            <w:tcW w:w="1022" w:type="pct"/>
            <w:tcBorders>
              <w:tl2br w:val="nil"/>
              <w:tr2bl w:val="nil"/>
            </w:tcBorders>
            <w:vAlign w:val="center"/>
          </w:tcPr>
          <w:p>
            <w:pPr>
              <w:spacing w:line="240" w:lineRule="auto"/>
              <w:ind w:firstLine="0" w:firstLineChars="0"/>
              <w:jc w:val="center"/>
              <w:rPr>
                <w:rFonts w:hint="eastAsia"/>
                <w:sz w:val="21"/>
                <w:szCs w:val="21"/>
                <w:u w:val="single"/>
              </w:rPr>
            </w:pPr>
            <w:r>
              <w:rPr>
                <w:sz w:val="21"/>
                <w:szCs w:val="21"/>
                <w:u w:val="single"/>
              </w:rPr>
              <w:t>物种组成</w:t>
            </w:r>
          </w:p>
        </w:tc>
        <w:tc>
          <w:tcPr>
            <w:tcW w:w="1211" w:type="pct"/>
            <w:vMerge w:val="restart"/>
            <w:tcBorders>
              <w:tl2br w:val="nil"/>
              <w:tr2bl w:val="nil"/>
            </w:tcBorders>
            <w:vAlign w:val="center"/>
          </w:tcPr>
          <w:p>
            <w:pPr>
              <w:spacing w:line="240" w:lineRule="auto"/>
              <w:ind w:firstLine="0" w:firstLineChars="0"/>
              <w:jc w:val="center"/>
              <w:rPr>
                <w:sz w:val="21"/>
                <w:szCs w:val="21"/>
                <w:u w:val="single"/>
              </w:rPr>
            </w:pPr>
            <w:r>
              <w:rPr>
                <w:rFonts w:hint="eastAsia"/>
                <w:sz w:val="21"/>
                <w:szCs w:val="21"/>
                <w:u w:val="single"/>
              </w:rPr>
              <w:t>永久</w:t>
            </w:r>
            <w:r>
              <w:rPr>
                <w:sz w:val="21"/>
                <w:szCs w:val="21"/>
                <w:u w:val="single"/>
              </w:rPr>
              <w:t>占地</w:t>
            </w:r>
          </w:p>
        </w:tc>
        <w:tc>
          <w:tcPr>
            <w:tcW w:w="1273"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适宜生境的减少</w:t>
            </w:r>
          </w:p>
        </w:tc>
        <w:tc>
          <w:tcPr>
            <w:tcW w:w="766"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短期</w:t>
            </w:r>
            <w:r>
              <w:rPr>
                <w:rFonts w:hint="eastAsia"/>
                <w:sz w:val="21"/>
                <w:szCs w:val="21"/>
                <w:u w:val="single"/>
              </w:rPr>
              <w:t>，</w:t>
            </w:r>
            <w:r>
              <w:rPr>
                <w:sz w:val="21"/>
                <w:szCs w:val="21"/>
                <w:u w:val="single"/>
              </w:rPr>
              <w:t>可逆</w:t>
            </w: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群落结构</w:t>
            </w:r>
          </w:p>
        </w:tc>
        <w:tc>
          <w:tcPr>
            <w:tcW w:w="1211" w:type="pct"/>
            <w:vMerge w:val="continue"/>
            <w:tcBorders>
              <w:tl2br w:val="nil"/>
              <w:tr2bl w:val="nil"/>
            </w:tcBorders>
            <w:vAlign w:val="center"/>
          </w:tcPr>
          <w:p>
            <w:pPr>
              <w:spacing w:line="240" w:lineRule="auto"/>
              <w:ind w:firstLine="0" w:firstLineChars="0"/>
              <w:jc w:val="center"/>
              <w:rPr>
                <w:sz w:val="21"/>
                <w:szCs w:val="21"/>
                <w:u w:val="single"/>
              </w:rPr>
            </w:pPr>
          </w:p>
        </w:tc>
        <w:tc>
          <w:tcPr>
            <w:tcW w:w="1273" w:type="pct"/>
            <w:vMerge w:val="continue"/>
            <w:tcBorders>
              <w:tl2br w:val="nil"/>
              <w:tr2bl w:val="nil"/>
            </w:tcBorders>
            <w:vAlign w:val="center"/>
          </w:tcPr>
          <w:p>
            <w:pPr>
              <w:spacing w:line="240" w:lineRule="auto"/>
              <w:ind w:firstLine="0" w:firstLineChars="0"/>
              <w:jc w:val="center"/>
              <w:rPr>
                <w:sz w:val="21"/>
                <w:szCs w:val="21"/>
                <w:u w:val="single"/>
              </w:rPr>
            </w:pPr>
          </w:p>
        </w:tc>
        <w:tc>
          <w:tcPr>
            <w:tcW w:w="766" w:type="pct"/>
            <w:vMerge w:val="continue"/>
            <w:tcBorders>
              <w:tl2br w:val="nil"/>
              <w:tr2bl w:val="nil"/>
            </w:tcBorders>
            <w:vAlign w:val="center"/>
          </w:tcPr>
          <w:p>
            <w:pPr>
              <w:spacing w:line="240" w:lineRule="auto"/>
              <w:ind w:firstLine="0" w:firstLineChars="0"/>
              <w:jc w:val="center"/>
              <w:rPr>
                <w:sz w:val="21"/>
                <w:szCs w:val="21"/>
                <w:u w:val="single"/>
              </w:rPr>
            </w:pP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生态系统</w:t>
            </w: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植被覆盖度</w:t>
            </w:r>
          </w:p>
        </w:tc>
        <w:tc>
          <w:tcPr>
            <w:tcW w:w="1211" w:type="pct"/>
            <w:vMerge w:val="restart"/>
            <w:tcBorders>
              <w:tl2br w:val="nil"/>
              <w:tr2bl w:val="nil"/>
            </w:tcBorders>
            <w:vAlign w:val="center"/>
          </w:tcPr>
          <w:p>
            <w:pPr>
              <w:spacing w:line="240" w:lineRule="auto"/>
              <w:ind w:firstLine="0" w:firstLineChars="0"/>
              <w:jc w:val="center"/>
              <w:rPr>
                <w:sz w:val="21"/>
                <w:szCs w:val="21"/>
                <w:u w:val="single"/>
              </w:rPr>
            </w:pPr>
            <w:r>
              <w:rPr>
                <w:rFonts w:hint="eastAsia"/>
                <w:sz w:val="21"/>
                <w:szCs w:val="21"/>
                <w:u w:val="single"/>
              </w:rPr>
              <w:t>永久</w:t>
            </w:r>
            <w:r>
              <w:rPr>
                <w:sz w:val="21"/>
                <w:szCs w:val="21"/>
                <w:u w:val="single"/>
              </w:rPr>
              <w:t>占地</w:t>
            </w:r>
          </w:p>
        </w:tc>
        <w:tc>
          <w:tcPr>
            <w:tcW w:w="1273" w:type="pct"/>
            <w:tcBorders>
              <w:tl2br w:val="nil"/>
              <w:tr2bl w:val="nil"/>
            </w:tcBorders>
            <w:vAlign w:val="center"/>
          </w:tcPr>
          <w:p>
            <w:pPr>
              <w:spacing w:line="240" w:lineRule="auto"/>
              <w:ind w:firstLine="0" w:firstLineChars="0"/>
              <w:jc w:val="center"/>
              <w:rPr>
                <w:rFonts w:hint="default" w:eastAsia="宋体"/>
                <w:sz w:val="21"/>
                <w:szCs w:val="21"/>
                <w:u w:val="single"/>
                <w:lang w:val="en-US" w:eastAsia="zh-CN"/>
              </w:rPr>
            </w:pPr>
            <w:r>
              <w:rPr>
                <w:sz w:val="21"/>
                <w:szCs w:val="21"/>
                <w:u w:val="single"/>
              </w:rPr>
              <w:t>永久占地内植被消失</w:t>
            </w:r>
            <w:r>
              <w:rPr>
                <w:rFonts w:hint="eastAsia"/>
                <w:sz w:val="21"/>
                <w:szCs w:val="21"/>
                <w:u w:val="single"/>
                <w:lang w:eastAsia="zh-CN"/>
              </w:rPr>
              <w:t>，</w:t>
            </w:r>
            <w:r>
              <w:rPr>
                <w:rFonts w:hint="eastAsia"/>
                <w:sz w:val="21"/>
                <w:szCs w:val="21"/>
                <w:u w:val="single"/>
                <w:lang w:val="en-US" w:eastAsia="zh-CN"/>
              </w:rPr>
              <w:t>随着绿化面积增加，植被得到补偿</w:t>
            </w:r>
          </w:p>
        </w:tc>
        <w:tc>
          <w:tcPr>
            <w:tcW w:w="7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长期</w:t>
            </w:r>
            <w:r>
              <w:rPr>
                <w:rFonts w:hint="eastAsia"/>
                <w:sz w:val="21"/>
                <w:szCs w:val="21"/>
                <w:u w:val="single"/>
              </w:rPr>
              <w:t>、不可逆</w:t>
            </w: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rFonts w:hint="eastAsia"/>
                <w:sz w:val="21"/>
                <w:szCs w:val="21"/>
                <w:u w:val="single"/>
              </w:rPr>
            </w:pPr>
            <w:r>
              <w:rPr>
                <w:sz w:val="21"/>
                <w:szCs w:val="21"/>
                <w:u w:val="single"/>
              </w:rPr>
              <w:t>生产力</w:t>
            </w:r>
          </w:p>
        </w:tc>
        <w:tc>
          <w:tcPr>
            <w:tcW w:w="1211" w:type="pct"/>
            <w:vMerge w:val="continue"/>
            <w:tcBorders>
              <w:tl2br w:val="nil"/>
              <w:tr2bl w:val="nil"/>
            </w:tcBorders>
            <w:vAlign w:val="center"/>
          </w:tcPr>
          <w:p>
            <w:pPr>
              <w:spacing w:line="240" w:lineRule="auto"/>
              <w:ind w:firstLine="0" w:firstLineChars="0"/>
              <w:jc w:val="center"/>
              <w:rPr>
                <w:sz w:val="21"/>
                <w:szCs w:val="21"/>
                <w:u w:val="single"/>
              </w:rPr>
            </w:pPr>
          </w:p>
        </w:tc>
        <w:tc>
          <w:tcPr>
            <w:tcW w:w="1273" w:type="pct"/>
            <w:vMerge w:val="restart"/>
            <w:tcBorders>
              <w:tl2br w:val="nil"/>
              <w:tr2bl w:val="nil"/>
            </w:tcBorders>
            <w:vAlign w:val="center"/>
          </w:tcPr>
          <w:p>
            <w:pPr>
              <w:spacing w:line="240" w:lineRule="auto"/>
              <w:ind w:firstLine="0" w:firstLineChars="0"/>
              <w:jc w:val="center"/>
              <w:rPr>
                <w:rFonts w:hint="default" w:eastAsia="宋体"/>
                <w:sz w:val="21"/>
                <w:szCs w:val="21"/>
                <w:u w:val="single"/>
                <w:lang w:val="en-US" w:eastAsia="zh-CN"/>
              </w:rPr>
            </w:pPr>
            <w:r>
              <w:rPr>
                <w:sz w:val="21"/>
                <w:szCs w:val="21"/>
                <w:u w:val="single"/>
              </w:rPr>
              <w:t>植被损失</w:t>
            </w:r>
            <w:r>
              <w:rPr>
                <w:rFonts w:hint="eastAsia"/>
                <w:sz w:val="21"/>
                <w:szCs w:val="21"/>
                <w:u w:val="single"/>
                <w:lang w:eastAsia="zh-CN"/>
              </w:rPr>
              <w:t>，</w:t>
            </w:r>
            <w:r>
              <w:rPr>
                <w:rFonts w:hint="eastAsia"/>
                <w:sz w:val="21"/>
                <w:szCs w:val="21"/>
                <w:u w:val="single"/>
                <w:lang w:val="en-US" w:eastAsia="zh-CN"/>
              </w:rPr>
              <w:t>绿化补偿</w:t>
            </w:r>
          </w:p>
        </w:tc>
        <w:tc>
          <w:tcPr>
            <w:tcW w:w="7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长期</w:t>
            </w:r>
            <w:r>
              <w:rPr>
                <w:rFonts w:hint="eastAsia"/>
                <w:sz w:val="21"/>
                <w:szCs w:val="21"/>
                <w:u w:val="single"/>
              </w:rPr>
              <w:t>、可逆</w:t>
            </w: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生物量</w:t>
            </w:r>
          </w:p>
        </w:tc>
        <w:tc>
          <w:tcPr>
            <w:tcW w:w="1211" w:type="pct"/>
            <w:vMerge w:val="continue"/>
            <w:tcBorders>
              <w:tl2br w:val="nil"/>
              <w:tr2bl w:val="nil"/>
            </w:tcBorders>
            <w:vAlign w:val="center"/>
          </w:tcPr>
          <w:p>
            <w:pPr>
              <w:spacing w:line="240" w:lineRule="auto"/>
              <w:ind w:firstLine="0" w:firstLineChars="0"/>
              <w:jc w:val="center"/>
              <w:rPr>
                <w:sz w:val="21"/>
                <w:szCs w:val="21"/>
                <w:u w:val="single"/>
              </w:rPr>
            </w:pPr>
          </w:p>
        </w:tc>
        <w:tc>
          <w:tcPr>
            <w:tcW w:w="1273" w:type="pct"/>
            <w:vMerge w:val="continue"/>
            <w:tcBorders>
              <w:tl2br w:val="nil"/>
              <w:tr2bl w:val="nil"/>
            </w:tcBorders>
            <w:vAlign w:val="center"/>
          </w:tcPr>
          <w:p>
            <w:pPr>
              <w:spacing w:line="240" w:lineRule="auto"/>
              <w:ind w:firstLine="0" w:firstLineChars="0"/>
              <w:jc w:val="center"/>
              <w:rPr>
                <w:sz w:val="21"/>
                <w:szCs w:val="21"/>
                <w:u w:val="single"/>
              </w:rPr>
            </w:pPr>
          </w:p>
        </w:tc>
        <w:tc>
          <w:tcPr>
            <w:tcW w:w="7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长期</w:t>
            </w:r>
            <w:r>
              <w:rPr>
                <w:rFonts w:hint="eastAsia"/>
                <w:sz w:val="21"/>
                <w:szCs w:val="21"/>
                <w:u w:val="single"/>
              </w:rPr>
              <w:t>、可逆</w:t>
            </w: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生态系统功能</w:t>
            </w:r>
          </w:p>
        </w:tc>
        <w:tc>
          <w:tcPr>
            <w:tcW w:w="1211" w:type="pct"/>
            <w:vMerge w:val="continue"/>
            <w:tcBorders>
              <w:tl2br w:val="nil"/>
              <w:tr2bl w:val="nil"/>
            </w:tcBorders>
            <w:vAlign w:val="center"/>
          </w:tcPr>
          <w:p>
            <w:pPr>
              <w:spacing w:line="240" w:lineRule="auto"/>
              <w:ind w:firstLine="0" w:firstLineChars="0"/>
              <w:jc w:val="center"/>
              <w:rPr>
                <w:sz w:val="21"/>
                <w:szCs w:val="21"/>
                <w:u w:val="single"/>
              </w:rPr>
            </w:pPr>
          </w:p>
        </w:tc>
        <w:tc>
          <w:tcPr>
            <w:tcW w:w="1273"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植被损失</w:t>
            </w:r>
            <w:r>
              <w:rPr>
                <w:rFonts w:hint="eastAsia"/>
                <w:sz w:val="21"/>
                <w:szCs w:val="21"/>
                <w:u w:val="single"/>
              </w:rPr>
              <w:t>，</w:t>
            </w:r>
            <w:r>
              <w:rPr>
                <w:sz w:val="21"/>
                <w:szCs w:val="21"/>
                <w:u w:val="single"/>
              </w:rPr>
              <w:t>动物生存环境恶化</w:t>
            </w:r>
          </w:p>
        </w:tc>
        <w:tc>
          <w:tcPr>
            <w:tcW w:w="7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长期</w:t>
            </w:r>
            <w:r>
              <w:rPr>
                <w:rFonts w:hint="eastAsia"/>
                <w:sz w:val="21"/>
                <w:szCs w:val="21"/>
                <w:u w:val="single"/>
              </w:rPr>
              <w:t>、可逆</w:t>
            </w: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生物多样性</w:t>
            </w:r>
          </w:p>
        </w:tc>
        <w:tc>
          <w:tcPr>
            <w:tcW w:w="1022" w:type="pct"/>
            <w:tcBorders>
              <w:tl2br w:val="nil"/>
              <w:tr2bl w:val="nil"/>
            </w:tcBorders>
            <w:vAlign w:val="center"/>
          </w:tcPr>
          <w:p>
            <w:pPr>
              <w:spacing w:line="240" w:lineRule="auto"/>
              <w:ind w:firstLine="0" w:firstLineChars="0"/>
              <w:jc w:val="center"/>
              <w:rPr>
                <w:rFonts w:hint="eastAsia"/>
                <w:sz w:val="21"/>
                <w:szCs w:val="21"/>
                <w:u w:val="single"/>
              </w:rPr>
            </w:pPr>
            <w:r>
              <w:rPr>
                <w:sz w:val="21"/>
                <w:szCs w:val="21"/>
                <w:u w:val="single"/>
              </w:rPr>
              <w:t>物种丰富度</w:t>
            </w:r>
          </w:p>
        </w:tc>
        <w:tc>
          <w:tcPr>
            <w:tcW w:w="1211" w:type="pct"/>
            <w:vMerge w:val="restart"/>
            <w:tcBorders>
              <w:tl2br w:val="nil"/>
              <w:tr2bl w:val="nil"/>
            </w:tcBorders>
            <w:vAlign w:val="center"/>
          </w:tcPr>
          <w:p>
            <w:pPr>
              <w:spacing w:line="240" w:lineRule="auto"/>
              <w:ind w:firstLine="0" w:firstLineChars="0"/>
              <w:jc w:val="center"/>
              <w:rPr>
                <w:sz w:val="21"/>
                <w:szCs w:val="21"/>
                <w:u w:val="single"/>
              </w:rPr>
            </w:pPr>
            <w:r>
              <w:rPr>
                <w:rFonts w:hint="eastAsia"/>
                <w:sz w:val="21"/>
                <w:szCs w:val="21"/>
                <w:u w:val="single"/>
              </w:rPr>
              <w:t>永久</w:t>
            </w:r>
            <w:r>
              <w:rPr>
                <w:sz w:val="21"/>
                <w:szCs w:val="21"/>
                <w:u w:val="single"/>
              </w:rPr>
              <w:t>占地</w:t>
            </w:r>
          </w:p>
        </w:tc>
        <w:tc>
          <w:tcPr>
            <w:tcW w:w="1273"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对动物的直接损伤</w:t>
            </w:r>
          </w:p>
        </w:tc>
        <w:tc>
          <w:tcPr>
            <w:tcW w:w="766"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短期</w:t>
            </w:r>
            <w:r>
              <w:rPr>
                <w:rFonts w:hint="eastAsia"/>
                <w:sz w:val="21"/>
                <w:szCs w:val="21"/>
                <w:u w:val="single"/>
              </w:rPr>
              <w:t>，</w:t>
            </w:r>
            <w:r>
              <w:rPr>
                <w:sz w:val="21"/>
                <w:szCs w:val="21"/>
                <w:u w:val="single"/>
              </w:rPr>
              <w:t>可逆</w:t>
            </w: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均匀度</w:t>
            </w:r>
          </w:p>
        </w:tc>
        <w:tc>
          <w:tcPr>
            <w:tcW w:w="1211" w:type="pct"/>
            <w:vMerge w:val="continue"/>
            <w:tcBorders>
              <w:tl2br w:val="nil"/>
              <w:tr2bl w:val="nil"/>
            </w:tcBorders>
            <w:vAlign w:val="center"/>
          </w:tcPr>
          <w:p>
            <w:pPr>
              <w:spacing w:line="240" w:lineRule="auto"/>
              <w:ind w:firstLine="0" w:firstLineChars="0"/>
              <w:jc w:val="center"/>
              <w:rPr>
                <w:sz w:val="21"/>
                <w:szCs w:val="21"/>
                <w:u w:val="single"/>
              </w:rPr>
            </w:pPr>
          </w:p>
        </w:tc>
        <w:tc>
          <w:tcPr>
            <w:tcW w:w="1273" w:type="pct"/>
            <w:tcBorders>
              <w:tl2br w:val="nil"/>
              <w:tr2bl w:val="nil"/>
            </w:tcBorders>
            <w:vAlign w:val="center"/>
          </w:tcPr>
          <w:p>
            <w:pPr>
              <w:spacing w:line="240" w:lineRule="auto"/>
              <w:ind w:firstLine="0" w:firstLineChars="0"/>
              <w:jc w:val="center"/>
              <w:rPr>
                <w:rFonts w:hint="eastAsia" w:eastAsia="宋体"/>
                <w:sz w:val="21"/>
                <w:szCs w:val="21"/>
                <w:u w:val="single"/>
                <w:lang w:val="en-US" w:eastAsia="zh-CN"/>
              </w:rPr>
            </w:pPr>
            <w:r>
              <w:rPr>
                <w:rFonts w:hint="eastAsia"/>
                <w:sz w:val="21"/>
                <w:szCs w:val="21"/>
                <w:u w:val="single"/>
                <w:lang w:val="en-US" w:eastAsia="zh-CN"/>
              </w:rPr>
              <w:t>码头</w:t>
            </w:r>
            <w:r>
              <w:rPr>
                <w:sz w:val="21"/>
                <w:szCs w:val="21"/>
                <w:u w:val="single"/>
              </w:rPr>
              <w:t>运营</w:t>
            </w:r>
            <w:r>
              <w:rPr>
                <w:rFonts w:hint="eastAsia"/>
                <w:sz w:val="21"/>
                <w:szCs w:val="21"/>
                <w:u w:val="single"/>
                <w:lang w:val="en-US" w:eastAsia="zh-CN"/>
              </w:rPr>
              <w:t>噪声对临近区域动物</w:t>
            </w:r>
            <w:r>
              <w:rPr>
                <w:sz w:val="21"/>
                <w:szCs w:val="21"/>
                <w:u w:val="single"/>
              </w:rPr>
              <w:t>的</w:t>
            </w:r>
            <w:r>
              <w:rPr>
                <w:rFonts w:hint="eastAsia"/>
                <w:sz w:val="21"/>
                <w:szCs w:val="21"/>
                <w:u w:val="single"/>
                <w:lang w:val="en-US" w:eastAsia="zh-CN"/>
              </w:rPr>
              <w:t>驱赶</w:t>
            </w:r>
          </w:p>
        </w:tc>
        <w:tc>
          <w:tcPr>
            <w:tcW w:w="766" w:type="pct"/>
            <w:vMerge w:val="continue"/>
            <w:tcBorders>
              <w:tl2br w:val="nil"/>
              <w:tr2bl w:val="nil"/>
            </w:tcBorders>
            <w:vAlign w:val="center"/>
          </w:tcPr>
          <w:p>
            <w:pPr>
              <w:spacing w:line="240" w:lineRule="auto"/>
              <w:ind w:firstLine="0" w:firstLineChars="0"/>
              <w:jc w:val="center"/>
              <w:rPr>
                <w:sz w:val="21"/>
                <w:szCs w:val="21"/>
                <w:u w:val="single"/>
              </w:rPr>
            </w:pP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优势度</w:t>
            </w:r>
          </w:p>
        </w:tc>
        <w:tc>
          <w:tcPr>
            <w:tcW w:w="1211" w:type="pct"/>
            <w:vMerge w:val="continue"/>
            <w:tcBorders>
              <w:tl2br w:val="nil"/>
              <w:tr2bl w:val="nil"/>
            </w:tcBorders>
            <w:vAlign w:val="center"/>
          </w:tcPr>
          <w:p>
            <w:pPr>
              <w:spacing w:line="240" w:lineRule="auto"/>
              <w:ind w:firstLine="0" w:firstLineChars="0"/>
              <w:jc w:val="center"/>
              <w:rPr>
                <w:sz w:val="21"/>
                <w:szCs w:val="21"/>
                <w:u w:val="single"/>
              </w:rPr>
            </w:pPr>
          </w:p>
        </w:tc>
        <w:tc>
          <w:tcPr>
            <w:tcW w:w="1273"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对动物的直接损伤</w:t>
            </w:r>
          </w:p>
        </w:tc>
        <w:tc>
          <w:tcPr>
            <w:tcW w:w="766" w:type="pct"/>
            <w:vMerge w:val="continue"/>
            <w:tcBorders>
              <w:tl2br w:val="nil"/>
              <w:tr2bl w:val="nil"/>
            </w:tcBorders>
            <w:vAlign w:val="center"/>
          </w:tcPr>
          <w:p>
            <w:pPr>
              <w:spacing w:line="240" w:lineRule="auto"/>
              <w:ind w:firstLine="0" w:firstLineChars="0"/>
              <w:jc w:val="center"/>
              <w:rPr>
                <w:sz w:val="21"/>
                <w:szCs w:val="21"/>
                <w:u w:val="single"/>
              </w:rPr>
            </w:pPr>
          </w:p>
        </w:tc>
        <w:tc>
          <w:tcPr>
            <w:tcW w:w="266"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restart"/>
            <w:tcBorders>
              <w:tl2br w:val="nil"/>
              <w:tr2bl w:val="nil"/>
            </w:tcBorders>
            <w:vAlign w:val="center"/>
          </w:tcPr>
          <w:p>
            <w:pPr>
              <w:spacing w:line="240" w:lineRule="auto"/>
              <w:ind w:firstLine="0" w:firstLineChars="0"/>
              <w:jc w:val="center"/>
              <w:rPr>
                <w:rFonts w:hint="eastAsia"/>
                <w:sz w:val="21"/>
                <w:szCs w:val="21"/>
                <w:u w:val="single"/>
              </w:rPr>
            </w:pPr>
            <w:r>
              <w:rPr>
                <w:sz w:val="21"/>
                <w:szCs w:val="21"/>
                <w:u w:val="single"/>
              </w:rPr>
              <w:t>生态敏感区</w:t>
            </w:r>
          </w:p>
        </w:tc>
        <w:tc>
          <w:tcPr>
            <w:tcW w:w="1022" w:type="pct"/>
            <w:tcBorders>
              <w:tl2br w:val="nil"/>
              <w:tr2bl w:val="nil"/>
            </w:tcBorders>
            <w:vAlign w:val="center"/>
          </w:tcPr>
          <w:p>
            <w:pPr>
              <w:spacing w:line="240" w:lineRule="auto"/>
              <w:ind w:firstLine="0" w:firstLineChars="0"/>
              <w:jc w:val="center"/>
              <w:rPr>
                <w:sz w:val="21"/>
                <w:szCs w:val="21"/>
                <w:u w:val="single"/>
              </w:rPr>
            </w:pPr>
            <w:r>
              <w:rPr>
                <w:rFonts w:hint="eastAsia"/>
                <w:sz w:val="21"/>
                <w:szCs w:val="21"/>
                <w:u w:val="single"/>
              </w:rPr>
              <w:t>主要保护对象</w:t>
            </w:r>
          </w:p>
        </w:tc>
        <w:tc>
          <w:tcPr>
            <w:tcW w:w="1211" w:type="pct"/>
            <w:vMerge w:val="restart"/>
            <w:tcBorders>
              <w:tl2br w:val="nil"/>
              <w:tr2bl w:val="nil"/>
            </w:tcBorders>
            <w:vAlign w:val="center"/>
          </w:tcPr>
          <w:p>
            <w:pPr>
              <w:spacing w:line="240" w:lineRule="auto"/>
              <w:ind w:firstLine="0" w:firstLineChars="0"/>
              <w:jc w:val="center"/>
              <w:rPr>
                <w:rFonts w:hint="default" w:eastAsia="宋体"/>
                <w:sz w:val="21"/>
                <w:szCs w:val="21"/>
                <w:u w:val="single"/>
                <w:lang w:val="en-US" w:eastAsia="zh-CN"/>
              </w:rPr>
            </w:pPr>
            <w:r>
              <w:rPr>
                <w:sz w:val="21"/>
                <w:szCs w:val="21"/>
                <w:u w:val="single"/>
              </w:rPr>
              <w:t>永久占地</w:t>
            </w:r>
            <w:r>
              <w:rPr>
                <w:rFonts w:hint="eastAsia"/>
                <w:sz w:val="21"/>
                <w:szCs w:val="21"/>
                <w:u w:val="single"/>
              </w:rPr>
              <w:t>、</w:t>
            </w:r>
            <w:r>
              <w:rPr>
                <w:sz w:val="21"/>
                <w:szCs w:val="21"/>
                <w:u w:val="single"/>
              </w:rPr>
              <w:t>来往</w:t>
            </w:r>
            <w:r>
              <w:rPr>
                <w:rFonts w:hint="eastAsia"/>
                <w:sz w:val="21"/>
                <w:szCs w:val="21"/>
                <w:u w:val="single"/>
                <w:lang w:val="en-US" w:eastAsia="zh-CN"/>
              </w:rPr>
              <w:t>船舶</w:t>
            </w:r>
            <w:r>
              <w:rPr>
                <w:sz w:val="21"/>
                <w:szCs w:val="21"/>
                <w:u w:val="single"/>
              </w:rPr>
              <w:t>噪声</w:t>
            </w:r>
            <w:r>
              <w:rPr>
                <w:rFonts w:hint="eastAsia"/>
                <w:sz w:val="21"/>
                <w:szCs w:val="21"/>
                <w:u w:val="single"/>
              </w:rPr>
              <w:t>、</w:t>
            </w:r>
            <w:r>
              <w:rPr>
                <w:sz w:val="21"/>
                <w:szCs w:val="21"/>
                <w:u w:val="single"/>
              </w:rPr>
              <w:t>灯光</w:t>
            </w:r>
            <w:r>
              <w:rPr>
                <w:rFonts w:hint="eastAsia"/>
                <w:sz w:val="21"/>
                <w:szCs w:val="21"/>
                <w:u w:val="single"/>
                <w:lang w:eastAsia="zh-CN"/>
              </w:rPr>
              <w:t>、</w:t>
            </w:r>
            <w:r>
              <w:rPr>
                <w:rFonts w:hint="eastAsia"/>
                <w:sz w:val="21"/>
                <w:szCs w:val="21"/>
                <w:u w:val="single"/>
                <w:lang w:val="en-US" w:eastAsia="zh-CN"/>
              </w:rPr>
              <w:t>装卸粉尘</w:t>
            </w:r>
          </w:p>
        </w:tc>
        <w:tc>
          <w:tcPr>
            <w:tcW w:w="1273" w:type="pct"/>
            <w:tcBorders>
              <w:tl2br w:val="nil"/>
              <w:tr2bl w:val="nil"/>
            </w:tcBorders>
            <w:vAlign w:val="center"/>
          </w:tcPr>
          <w:p>
            <w:pPr>
              <w:spacing w:line="240" w:lineRule="auto"/>
              <w:ind w:firstLine="0" w:firstLineChars="0"/>
              <w:jc w:val="center"/>
              <w:rPr>
                <w:sz w:val="21"/>
                <w:szCs w:val="21"/>
                <w:u w:val="single"/>
              </w:rPr>
            </w:pPr>
            <w:r>
              <w:rPr>
                <w:rFonts w:hint="eastAsia"/>
                <w:sz w:val="21"/>
                <w:szCs w:val="21"/>
                <w:u w:val="single"/>
              </w:rPr>
              <w:t>对数量和生境的破坏</w:t>
            </w:r>
          </w:p>
        </w:tc>
        <w:tc>
          <w:tcPr>
            <w:tcW w:w="766"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长期</w:t>
            </w:r>
            <w:r>
              <w:rPr>
                <w:rFonts w:hint="eastAsia"/>
                <w:sz w:val="21"/>
                <w:szCs w:val="21"/>
                <w:u w:val="single"/>
              </w:rPr>
              <w:t>、可逆</w:t>
            </w:r>
          </w:p>
        </w:tc>
        <w:tc>
          <w:tcPr>
            <w:tcW w:w="266"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rFonts w:hint="eastAsia"/>
                <w:sz w:val="21"/>
                <w:szCs w:val="21"/>
                <w:u w:val="single"/>
              </w:rPr>
              <w:t>生态功能</w:t>
            </w:r>
          </w:p>
        </w:tc>
        <w:tc>
          <w:tcPr>
            <w:tcW w:w="1211" w:type="pct"/>
            <w:vMerge w:val="continue"/>
            <w:tcBorders>
              <w:tl2br w:val="nil"/>
              <w:tr2bl w:val="nil"/>
            </w:tcBorders>
            <w:vAlign w:val="center"/>
          </w:tcPr>
          <w:p>
            <w:pPr>
              <w:spacing w:line="240" w:lineRule="auto"/>
              <w:ind w:firstLine="0" w:firstLineChars="0"/>
              <w:jc w:val="center"/>
              <w:rPr>
                <w:sz w:val="21"/>
                <w:szCs w:val="21"/>
                <w:u w:val="single"/>
              </w:rPr>
            </w:pPr>
          </w:p>
        </w:tc>
        <w:tc>
          <w:tcPr>
            <w:tcW w:w="1273" w:type="pct"/>
            <w:tcBorders>
              <w:tl2br w:val="nil"/>
              <w:tr2bl w:val="nil"/>
            </w:tcBorders>
            <w:vAlign w:val="center"/>
          </w:tcPr>
          <w:p>
            <w:pPr>
              <w:spacing w:line="240" w:lineRule="auto"/>
              <w:ind w:firstLine="0" w:firstLineChars="0"/>
              <w:jc w:val="center"/>
              <w:rPr>
                <w:rFonts w:hint="eastAsia"/>
                <w:sz w:val="21"/>
                <w:szCs w:val="21"/>
                <w:u w:val="single"/>
              </w:rPr>
            </w:pPr>
            <w:r>
              <w:rPr>
                <w:rFonts w:hint="eastAsia"/>
                <w:sz w:val="21"/>
                <w:szCs w:val="21"/>
                <w:u w:val="single"/>
              </w:rPr>
              <w:t>生态环境的恶化</w:t>
            </w:r>
          </w:p>
        </w:tc>
        <w:tc>
          <w:tcPr>
            <w:tcW w:w="766" w:type="pct"/>
            <w:vMerge w:val="continue"/>
            <w:tcBorders>
              <w:tl2br w:val="nil"/>
              <w:tr2bl w:val="nil"/>
            </w:tcBorders>
            <w:vAlign w:val="center"/>
          </w:tcPr>
          <w:p>
            <w:pPr>
              <w:spacing w:line="240" w:lineRule="auto"/>
              <w:ind w:firstLine="0" w:firstLineChars="0"/>
              <w:jc w:val="center"/>
              <w:rPr>
                <w:sz w:val="21"/>
                <w:szCs w:val="21"/>
                <w:u w:val="single"/>
              </w:rPr>
            </w:pPr>
          </w:p>
        </w:tc>
        <w:tc>
          <w:tcPr>
            <w:tcW w:w="266" w:type="pct"/>
            <w:vMerge w:val="continue"/>
            <w:tcBorders>
              <w:tl2br w:val="nil"/>
              <w:tr2bl w:val="nil"/>
            </w:tcBorders>
            <w:vAlign w:val="center"/>
          </w:tcPr>
          <w:p>
            <w:pPr>
              <w:spacing w:line="240" w:lineRule="auto"/>
              <w:ind w:firstLine="0" w:firstLineChars="0"/>
              <w:jc w:val="center"/>
              <w:rPr>
                <w:sz w:val="21"/>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自然景观</w:t>
            </w:r>
          </w:p>
        </w:tc>
        <w:tc>
          <w:tcPr>
            <w:tcW w:w="1022" w:type="pct"/>
            <w:tcBorders>
              <w:tl2br w:val="nil"/>
              <w:tr2bl w:val="nil"/>
            </w:tcBorders>
            <w:vAlign w:val="center"/>
          </w:tcPr>
          <w:p>
            <w:pPr>
              <w:spacing w:line="240" w:lineRule="auto"/>
              <w:ind w:firstLine="0" w:firstLineChars="0"/>
              <w:jc w:val="center"/>
              <w:rPr>
                <w:sz w:val="21"/>
                <w:szCs w:val="21"/>
                <w:u w:val="single"/>
              </w:rPr>
            </w:pPr>
            <w:r>
              <w:rPr>
                <w:rFonts w:hint="eastAsia"/>
                <w:sz w:val="21"/>
                <w:szCs w:val="21"/>
                <w:u w:val="single"/>
              </w:rPr>
              <w:t>景观多样性</w:t>
            </w:r>
          </w:p>
        </w:tc>
        <w:tc>
          <w:tcPr>
            <w:tcW w:w="1211"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永久占地</w:t>
            </w:r>
          </w:p>
        </w:tc>
        <w:tc>
          <w:tcPr>
            <w:tcW w:w="1273" w:type="pct"/>
            <w:tcBorders>
              <w:tl2br w:val="nil"/>
              <w:tr2bl w:val="nil"/>
            </w:tcBorders>
            <w:vAlign w:val="center"/>
          </w:tcPr>
          <w:p>
            <w:pPr>
              <w:spacing w:line="240" w:lineRule="auto"/>
              <w:ind w:firstLine="0" w:firstLineChars="0"/>
              <w:jc w:val="center"/>
              <w:rPr>
                <w:sz w:val="21"/>
                <w:szCs w:val="21"/>
                <w:u w:val="single"/>
              </w:rPr>
            </w:pPr>
            <w:r>
              <w:rPr>
                <w:sz w:val="21"/>
                <w:szCs w:val="21"/>
                <w:u w:val="single"/>
              </w:rPr>
              <w:t>建设用地增加</w:t>
            </w:r>
          </w:p>
        </w:tc>
        <w:tc>
          <w:tcPr>
            <w:tcW w:w="766" w:type="pct"/>
            <w:vMerge w:val="restart"/>
            <w:tcBorders>
              <w:tl2br w:val="nil"/>
              <w:tr2bl w:val="nil"/>
            </w:tcBorders>
            <w:vAlign w:val="center"/>
          </w:tcPr>
          <w:p>
            <w:pPr>
              <w:spacing w:line="240" w:lineRule="auto"/>
              <w:ind w:firstLine="0" w:firstLineChars="0"/>
              <w:jc w:val="center"/>
              <w:rPr>
                <w:sz w:val="21"/>
                <w:szCs w:val="21"/>
                <w:u w:val="single"/>
              </w:rPr>
            </w:pPr>
            <w:r>
              <w:rPr>
                <w:sz w:val="21"/>
                <w:szCs w:val="21"/>
                <w:u w:val="single"/>
              </w:rPr>
              <w:t>长期</w:t>
            </w:r>
            <w:r>
              <w:rPr>
                <w:rFonts w:hint="eastAsia"/>
                <w:sz w:val="21"/>
                <w:szCs w:val="21"/>
                <w:u w:val="single"/>
              </w:rPr>
              <w:t>、不可逆</w:t>
            </w:r>
          </w:p>
        </w:tc>
        <w:tc>
          <w:tcPr>
            <w:tcW w:w="266" w:type="pct"/>
            <w:vMerge w:val="restart"/>
            <w:tcBorders>
              <w:tl2br w:val="nil"/>
              <w:tr2bl w:val="nil"/>
            </w:tcBorders>
            <w:vAlign w:val="center"/>
          </w:tcPr>
          <w:p>
            <w:pPr>
              <w:spacing w:line="240" w:lineRule="auto"/>
              <w:ind w:firstLine="0" w:firstLineChars="0"/>
              <w:jc w:val="center"/>
              <w:rPr>
                <w:sz w:val="21"/>
                <w:szCs w:val="21"/>
                <w:u w:val="single"/>
              </w:rPr>
            </w:pPr>
            <w:r>
              <w:rPr>
                <w:rFonts w:hint="eastAsia"/>
                <w:sz w:val="21"/>
                <w:szCs w:val="21"/>
                <w:u w:val="single"/>
              </w:rPr>
              <w:t>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459" w:type="pct"/>
            <w:vMerge w:val="continue"/>
            <w:tcBorders>
              <w:tl2br w:val="nil"/>
              <w:tr2bl w:val="nil"/>
            </w:tcBorders>
            <w:vAlign w:val="center"/>
          </w:tcPr>
          <w:p>
            <w:pPr>
              <w:spacing w:line="240" w:lineRule="auto"/>
              <w:ind w:firstLine="0" w:firstLineChars="0"/>
              <w:jc w:val="center"/>
              <w:rPr>
                <w:sz w:val="21"/>
                <w:szCs w:val="21"/>
                <w:u w:val="single"/>
              </w:rPr>
            </w:pPr>
          </w:p>
        </w:tc>
        <w:tc>
          <w:tcPr>
            <w:tcW w:w="1022" w:type="pct"/>
            <w:tcBorders>
              <w:tl2br w:val="nil"/>
              <w:tr2bl w:val="nil"/>
            </w:tcBorders>
            <w:vAlign w:val="center"/>
          </w:tcPr>
          <w:p>
            <w:pPr>
              <w:spacing w:line="240" w:lineRule="auto"/>
              <w:ind w:firstLine="0" w:firstLineChars="0"/>
              <w:jc w:val="center"/>
              <w:rPr>
                <w:sz w:val="21"/>
                <w:szCs w:val="21"/>
                <w:u w:val="single"/>
              </w:rPr>
            </w:pPr>
            <w:r>
              <w:rPr>
                <w:rFonts w:hint="eastAsia"/>
                <w:sz w:val="21"/>
                <w:szCs w:val="21"/>
                <w:u w:val="single"/>
              </w:rPr>
              <w:t>完整性</w:t>
            </w:r>
          </w:p>
        </w:tc>
        <w:tc>
          <w:tcPr>
            <w:tcW w:w="1211" w:type="pct"/>
            <w:vMerge w:val="continue"/>
            <w:tcBorders>
              <w:tl2br w:val="nil"/>
              <w:tr2bl w:val="nil"/>
            </w:tcBorders>
            <w:vAlign w:val="center"/>
          </w:tcPr>
          <w:p>
            <w:pPr>
              <w:spacing w:line="240" w:lineRule="auto"/>
              <w:ind w:firstLine="0" w:firstLineChars="0"/>
              <w:jc w:val="center"/>
              <w:rPr>
                <w:sz w:val="21"/>
                <w:szCs w:val="21"/>
                <w:u w:val="single"/>
              </w:rPr>
            </w:pPr>
          </w:p>
        </w:tc>
        <w:tc>
          <w:tcPr>
            <w:tcW w:w="1273" w:type="pct"/>
            <w:tcBorders>
              <w:tl2br w:val="nil"/>
              <w:tr2bl w:val="nil"/>
            </w:tcBorders>
            <w:vAlign w:val="center"/>
          </w:tcPr>
          <w:p>
            <w:pPr>
              <w:spacing w:line="240" w:lineRule="auto"/>
              <w:ind w:firstLine="0" w:firstLineChars="0"/>
              <w:jc w:val="center"/>
              <w:rPr>
                <w:rFonts w:hint="default" w:eastAsia="宋体"/>
                <w:sz w:val="21"/>
                <w:szCs w:val="21"/>
                <w:u w:val="single"/>
                <w:lang w:val="en-US" w:eastAsia="zh-CN"/>
              </w:rPr>
            </w:pPr>
            <w:r>
              <w:rPr>
                <w:rFonts w:hint="eastAsia"/>
                <w:sz w:val="21"/>
                <w:szCs w:val="21"/>
                <w:u w:val="single"/>
                <w:lang w:val="en-US" w:eastAsia="zh-CN"/>
              </w:rPr>
              <w:t>工程占地对水域的切割</w:t>
            </w:r>
          </w:p>
        </w:tc>
        <w:tc>
          <w:tcPr>
            <w:tcW w:w="766" w:type="pct"/>
            <w:vMerge w:val="continue"/>
            <w:tcBorders>
              <w:tl2br w:val="nil"/>
              <w:tr2bl w:val="nil"/>
            </w:tcBorders>
            <w:vAlign w:val="center"/>
          </w:tcPr>
          <w:p>
            <w:pPr>
              <w:spacing w:line="240" w:lineRule="auto"/>
              <w:ind w:firstLine="0" w:firstLineChars="0"/>
              <w:jc w:val="center"/>
              <w:rPr>
                <w:sz w:val="21"/>
                <w:szCs w:val="21"/>
                <w:u w:val="single"/>
              </w:rPr>
            </w:pPr>
          </w:p>
        </w:tc>
        <w:tc>
          <w:tcPr>
            <w:tcW w:w="266" w:type="pct"/>
            <w:vMerge w:val="continue"/>
            <w:tcBorders>
              <w:tl2br w:val="nil"/>
              <w:tr2bl w:val="nil"/>
            </w:tcBorders>
            <w:vAlign w:val="center"/>
          </w:tcPr>
          <w:p>
            <w:pPr>
              <w:spacing w:line="240" w:lineRule="auto"/>
              <w:ind w:firstLine="0" w:firstLineChars="0"/>
              <w:jc w:val="center"/>
              <w:rPr>
                <w:sz w:val="21"/>
                <w:szCs w:val="21"/>
                <w:u w:val="single"/>
              </w:rPr>
            </w:pPr>
          </w:p>
        </w:tc>
      </w:tr>
    </w:tbl>
    <w:p>
      <w:pPr>
        <w:pStyle w:val="454"/>
        <w:ind w:firstLine="602"/>
        <w:rPr>
          <w:color w:val="auto"/>
        </w:rPr>
      </w:pPr>
      <w:r>
        <w:rPr>
          <w:color w:val="auto"/>
        </w:rPr>
        <w:t>评价因子筛选</w:t>
      </w:r>
    </w:p>
    <w:p>
      <w:pPr>
        <w:pStyle w:val="458"/>
        <w:ind w:firstLine="480"/>
        <w:rPr>
          <w:rFonts w:cs="Times New Roman"/>
          <w:color w:val="auto"/>
          <w:szCs w:val="24"/>
        </w:rPr>
      </w:pPr>
      <w:r>
        <w:rPr>
          <w:rFonts w:cs="Times New Roman"/>
          <w:color w:val="auto"/>
          <w:szCs w:val="24"/>
        </w:rPr>
        <w:t>根据环境影响要素识别结果、</w:t>
      </w:r>
      <w:r>
        <w:rPr>
          <w:rStyle w:val="2125"/>
          <w:rFonts w:hint="default" w:ascii="Times New Roman" w:hAnsi="Times New Roman" w:cs="Times New Roman"/>
          <w:color w:val="auto"/>
        </w:rPr>
        <w:t>周边地区的环境现状及项目排污的特点，</w:t>
      </w:r>
      <w:r>
        <w:rPr>
          <w:rFonts w:cs="Times New Roman"/>
          <w:color w:val="auto"/>
          <w:szCs w:val="24"/>
        </w:rPr>
        <w:t>确定本项目环境影响评价因子如下：</w:t>
      </w:r>
    </w:p>
    <w:p>
      <w:pPr>
        <w:ind w:firstLine="480"/>
        <w:jc w:val="left"/>
      </w:pPr>
      <w:r>
        <w:t>1、环境空气</w:t>
      </w:r>
    </w:p>
    <w:p>
      <w:pPr>
        <w:pStyle w:val="458"/>
        <w:ind w:firstLine="480"/>
        <w:rPr>
          <w:rFonts w:cs="Times New Roman"/>
          <w:color w:val="auto"/>
        </w:rPr>
      </w:pPr>
      <w:r>
        <w:rPr>
          <w:rFonts w:cs="Times New Roman"/>
          <w:color w:val="auto"/>
        </w:rPr>
        <w:t>现状评价因子：SO</w:t>
      </w:r>
      <w:r>
        <w:rPr>
          <w:rFonts w:cs="Times New Roman"/>
          <w:color w:val="auto"/>
          <w:vertAlign w:val="subscript"/>
        </w:rPr>
        <w:t>2</w:t>
      </w:r>
      <w:r>
        <w:rPr>
          <w:rFonts w:cs="Times New Roman"/>
          <w:color w:val="auto"/>
        </w:rPr>
        <w:t>、NO</w:t>
      </w:r>
      <w:r>
        <w:rPr>
          <w:rFonts w:cs="Times New Roman"/>
          <w:color w:val="auto"/>
          <w:vertAlign w:val="subscript"/>
        </w:rPr>
        <w:t>2</w:t>
      </w:r>
      <w:r>
        <w:rPr>
          <w:rFonts w:cs="Times New Roman"/>
          <w:color w:val="auto"/>
        </w:rPr>
        <w:t>、TSP、PM</w:t>
      </w:r>
      <w:r>
        <w:rPr>
          <w:rFonts w:cs="Times New Roman"/>
          <w:color w:val="auto"/>
          <w:vertAlign w:val="subscript"/>
        </w:rPr>
        <w:t>10</w:t>
      </w:r>
      <w:r>
        <w:rPr>
          <w:rFonts w:cs="Times New Roman"/>
          <w:color w:val="auto"/>
        </w:rPr>
        <w:t>、PM</w:t>
      </w:r>
      <w:r>
        <w:rPr>
          <w:rFonts w:cs="Times New Roman"/>
          <w:color w:val="auto"/>
          <w:vertAlign w:val="subscript"/>
        </w:rPr>
        <w:t>2.5</w:t>
      </w:r>
      <w:r>
        <w:rPr>
          <w:rFonts w:cs="Times New Roman"/>
          <w:color w:val="auto"/>
        </w:rPr>
        <w:t>、CO、O</w:t>
      </w:r>
      <w:r>
        <w:rPr>
          <w:rFonts w:cs="Times New Roman"/>
          <w:color w:val="auto"/>
          <w:vertAlign w:val="subscript"/>
        </w:rPr>
        <w:t>3</w:t>
      </w:r>
      <w:r>
        <w:rPr>
          <w:rFonts w:cs="Times New Roman"/>
          <w:color w:val="auto"/>
        </w:rPr>
        <w:t>。</w:t>
      </w:r>
    </w:p>
    <w:p>
      <w:pPr>
        <w:pStyle w:val="458"/>
        <w:ind w:firstLine="480"/>
        <w:rPr>
          <w:rFonts w:cs="Times New Roman"/>
          <w:color w:val="auto"/>
        </w:rPr>
      </w:pPr>
      <w:r>
        <w:rPr>
          <w:rFonts w:cs="Times New Roman"/>
          <w:color w:val="auto"/>
        </w:rPr>
        <w:t>影响评价因子：TSP</w:t>
      </w:r>
      <w:r>
        <w:rPr>
          <w:rFonts w:cs="Times New Roman"/>
          <w:color w:val="auto"/>
          <w:szCs w:val="24"/>
        </w:rPr>
        <w:t>、</w:t>
      </w:r>
      <w:r>
        <w:rPr>
          <w:szCs w:val="24"/>
        </w:rPr>
        <w:t>PM</w:t>
      </w:r>
      <w:r>
        <w:rPr>
          <w:szCs w:val="24"/>
          <w:vertAlign w:val="subscript"/>
        </w:rPr>
        <w:t>10</w:t>
      </w:r>
      <w:r>
        <w:rPr>
          <w:rFonts w:hint="eastAsia"/>
          <w:szCs w:val="24"/>
        </w:rPr>
        <w:t>、</w:t>
      </w:r>
      <w:r>
        <w:rPr>
          <w:szCs w:val="24"/>
        </w:rPr>
        <w:t>PM</w:t>
      </w:r>
      <w:r>
        <w:rPr>
          <w:szCs w:val="24"/>
          <w:vertAlign w:val="subscript"/>
        </w:rPr>
        <w:t>2.5</w:t>
      </w:r>
      <w:r>
        <w:rPr>
          <w:rFonts w:hint="eastAsia"/>
          <w:szCs w:val="24"/>
        </w:rPr>
        <w:t>、</w:t>
      </w:r>
      <w:r>
        <w:rPr>
          <w:rFonts w:cs="Times New Roman"/>
          <w:color w:val="auto"/>
          <w:spacing w:val="-1"/>
          <w:szCs w:val="24"/>
        </w:rPr>
        <w:t>S</w:t>
      </w:r>
      <w:r>
        <w:rPr>
          <w:rFonts w:cs="Times New Roman"/>
          <w:color w:val="auto"/>
          <w:spacing w:val="-1"/>
        </w:rPr>
        <w:t>O</w:t>
      </w:r>
      <w:r>
        <w:rPr>
          <w:rFonts w:cs="Times New Roman"/>
          <w:color w:val="auto"/>
          <w:spacing w:val="1"/>
          <w:sz w:val="16"/>
          <w:szCs w:val="16"/>
        </w:rPr>
        <w:t>2</w:t>
      </w:r>
      <w:r>
        <w:rPr>
          <w:rFonts w:cs="Times New Roman"/>
          <w:color w:val="auto"/>
        </w:rPr>
        <w:t>、</w:t>
      </w:r>
      <w:r>
        <w:rPr>
          <w:rFonts w:cs="Times New Roman"/>
          <w:color w:val="auto"/>
          <w:spacing w:val="-1"/>
        </w:rPr>
        <w:t>C</w:t>
      </w:r>
      <w:r>
        <w:rPr>
          <w:rFonts w:cs="Times New Roman"/>
          <w:color w:val="auto"/>
        </w:rPr>
        <w:t>O、</w:t>
      </w:r>
      <w:r>
        <w:rPr>
          <w:rFonts w:cs="Times New Roman"/>
          <w:color w:val="auto"/>
          <w:spacing w:val="-1"/>
        </w:rPr>
        <w:t>NO</w:t>
      </w:r>
      <w:r>
        <w:rPr>
          <w:rFonts w:cs="Times New Roman"/>
          <w:color w:val="auto"/>
        </w:rPr>
        <w:t>x</w:t>
      </w:r>
      <w:r>
        <w:rPr>
          <w:rFonts w:cs="Times New Roman"/>
          <w:color w:val="000000" w:themeColor="text1"/>
          <w14:textFill>
            <w14:solidFill>
              <w14:schemeClr w14:val="tx1"/>
            </w14:solidFill>
          </w14:textFill>
        </w:rPr>
        <w:t>、</w:t>
      </w:r>
      <w:r>
        <w:rPr>
          <w:rFonts w:hint="eastAsia"/>
          <w:color w:val="000000" w:themeColor="text1"/>
          <w14:textFill>
            <w14:solidFill>
              <w14:schemeClr w14:val="tx1"/>
            </w14:solidFill>
          </w14:textFill>
        </w:rPr>
        <w:t>THC、</w:t>
      </w:r>
      <w:r>
        <w:rPr>
          <w:rFonts w:cs="Times New Roman"/>
          <w:color w:val="000000" w:themeColor="text1"/>
          <w14:textFill>
            <w14:solidFill>
              <w14:schemeClr w14:val="tx1"/>
            </w14:solidFill>
          </w14:textFill>
        </w:rPr>
        <w:t>恶臭</w:t>
      </w:r>
      <w:r>
        <w:rPr>
          <w:rFonts w:hint="eastAsia" w:cs="Times New Roman"/>
          <w:color w:val="000000" w:themeColor="text1"/>
          <w14:textFill>
            <w14:solidFill>
              <w14:schemeClr w14:val="tx1"/>
            </w14:solidFill>
          </w14:textFill>
        </w:rPr>
        <w:t>、H</w:t>
      </w:r>
      <w:r>
        <w:rPr>
          <w:rFonts w:hint="eastAsia" w:cs="Times New Roman"/>
          <w:color w:val="000000" w:themeColor="text1"/>
          <w:vertAlign w:val="subscript"/>
          <w14:textFill>
            <w14:solidFill>
              <w14:schemeClr w14:val="tx1"/>
            </w14:solidFill>
          </w14:textFill>
        </w:rPr>
        <w:t>2</w:t>
      </w:r>
      <w:r>
        <w:rPr>
          <w:rFonts w:hint="eastAsia" w:cs="Times New Roman"/>
          <w:color w:val="000000" w:themeColor="text1"/>
          <w14:textFill>
            <w14:solidFill>
              <w14:schemeClr w14:val="tx1"/>
            </w14:solidFill>
          </w14:textFill>
        </w:rPr>
        <w:t>S、NH</w:t>
      </w:r>
      <w:r>
        <w:rPr>
          <w:rFonts w:hint="eastAsia" w:cs="Times New Roman"/>
          <w:color w:val="000000" w:themeColor="text1"/>
          <w:vertAlign w:val="subscript"/>
          <w14:textFill>
            <w14:solidFill>
              <w14:schemeClr w14:val="tx1"/>
            </w14:solidFill>
          </w14:textFill>
        </w:rPr>
        <w:t>3</w:t>
      </w:r>
      <w:r>
        <w:rPr>
          <w:rFonts w:cs="Times New Roman"/>
          <w:color w:val="auto"/>
        </w:rPr>
        <w:t>。</w:t>
      </w:r>
    </w:p>
    <w:p>
      <w:pPr>
        <w:pStyle w:val="458"/>
        <w:ind w:firstLine="480"/>
        <w:rPr>
          <w:rFonts w:cs="Times New Roman"/>
          <w:color w:val="auto"/>
        </w:rPr>
      </w:pPr>
      <w:r>
        <w:rPr>
          <w:rFonts w:hint="eastAsia" w:cs="Times New Roman"/>
          <w:color w:val="auto"/>
        </w:rPr>
        <w:t>预测因子：</w:t>
      </w:r>
      <w:r>
        <w:rPr>
          <w:rFonts w:cs="Times New Roman"/>
          <w:color w:val="auto"/>
        </w:rPr>
        <w:t>TSP</w:t>
      </w:r>
      <w:r>
        <w:rPr>
          <w:rFonts w:cs="Times New Roman"/>
          <w:color w:val="auto"/>
          <w:szCs w:val="24"/>
        </w:rPr>
        <w:t>、</w:t>
      </w:r>
      <w:r>
        <w:rPr>
          <w:szCs w:val="24"/>
        </w:rPr>
        <w:t>PM</w:t>
      </w:r>
      <w:r>
        <w:rPr>
          <w:szCs w:val="24"/>
          <w:vertAlign w:val="subscript"/>
        </w:rPr>
        <w:t>10</w:t>
      </w:r>
      <w:r>
        <w:rPr>
          <w:rFonts w:hint="eastAsia"/>
          <w:szCs w:val="24"/>
        </w:rPr>
        <w:t>、</w:t>
      </w:r>
      <w:r>
        <w:rPr>
          <w:szCs w:val="24"/>
        </w:rPr>
        <w:t>PM</w:t>
      </w:r>
      <w:r>
        <w:rPr>
          <w:szCs w:val="24"/>
          <w:vertAlign w:val="subscript"/>
        </w:rPr>
        <w:t>2.5</w:t>
      </w:r>
    </w:p>
    <w:p>
      <w:pPr>
        <w:ind w:firstLine="480"/>
        <w:jc w:val="left"/>
      </w:pPr>
      <w:r>
        <w:t>2、地表水环境</w:t>
      </w:r>
    </w:p>
    <w:p>
      <w:pPr>
        <w:pStyle w:val="458"/>
        <w:ind w:firstLine="480"/>
        <w:rPr>
          <w:rFonts w:cs="Times New Roman"/>
          <w:color w:val="auto"/>
        </w:rPr>
      </w:pPr>
      <w:r>
        <w:rPr>
          <w:rFonts w:cs="Times New Roman"/>
          <w:color w:val="auto"/>
        </w:rPr>
        <w:t>现状评价因子：</w:t>
      </w:r>
      <w:r>
        <w:rPr>
          <w:rFonts w:cs="Times New Roman"/>
          <w:color w:val="auto"/>
          <w:kern w:val="0"/>
          <w:szCs w:val="21"/>
        </w:rPr>
        <w:t>水温、pH、溶解氧（DO）、</w:t>
      </w:r>
      <w:r>
        <w:rPr>
          <w:rFonts w:hint="eastAsia" w:cs="Times New Roman"/>
          <w:color w:val="auto"/>
          <w:kern w:val="0"/>
          <w:szCs w:val="21"/>
        </w:rPr>
        <w:t>高锰酸盐指数、</w:t>
      </w:r>
      <w:r>
        <w:rPr>
          <w:rFonts w:cs="Times New Roman"/>
          <w:color w:val="auto"/>
          <w:kern w:val="0"/>
          <w:szCs w:val="21"/>
        </w:rPr>
        <w:t>化学需氧量（COD</w:t>
      </w:r>
      <w:r>
        <w:rPr>
          <w:rFonts w:cs="Times New Roman"/>
          <w:color w:val="auto"/>
          <w:kern w:val="0"/>
          <w:szCs w:val="21"/>
          <w:vertAlign w:val="subscript"/>
        </w:rPr>
        <w:t>Cr</w:t>
      </w:r>
      <w:r>
        <w:rPr>
          <w:rFonts w:cs="Times New Roman"/>
          <w:color w:val="auto"/>
          <w:kern w:val="0"/>
          <w:szCs w:val="21"/>
        </w:rPr>
        <w:t>）、五日生化需氧量（BOD</w:t>
      </w:r>
      <w:r>
        <w:rPr>
          <w:rFonts w:cs="Times New Roman"/>
          <w:color w:val="auto"/>
          <w:kern w:val="0"/>
          <w:szCs w:val="21"/>
          <w:vertAlign w:val="subscript"/>
        </w:rPr>
        <w:t>5</w:t>
      </w:r>
      <w:r>
        <w:rPr>
          <w:rFonts w:cs="Times New Roman"/>
          <w:color w:val="auto"/>
          <w:kern w:val="0"/>
          <w:szCs w:val="21"/>
        </w:rPr>
        <w:t>）、悬浮物（SS）、氨氮（NH</w:t>
      </w:r>
      <w:r>
        <w:rPr>
          <w:rFonts w:cs="Times New Roman"/>
          <w:color w:val="auto"/>
          <w:kern w:val="0"/>
          <w:szCs w:val="21"/>
          <w:vertAlign w:val="subscript"/>
        </w:rPr>
        <w:t>3</w:t>
      </w:r>
      <w:r>
        <w:rPr>
          <w:rFonts w:cs="Times New Roman"/>
          <w:color w:val="auto"/>
          <w:kern w:val="0"/>
          <w:szCs w:val="21"/>
        </w:rPr>
        <w:t>-N）、总磷、总氮、石油类</w:t>
      </w:r>
      <w:r>
        <w:rPr>
          <w:rFonts w:cs="Times New Roman"/>
          <w:color w:val="auto"/>
        </w:rPr>
        <w:t>。</w:t>
      </w:r>
    </w:p>
    <w:p>
      <w:pPr>
        <w:pStyle w:val="458"/>
        <w:ind w:firstLine="480"/>
        <w:rPr>
          <w:rFonts w:cs="Times New Roman"/>
          <w:color w:val="auto"/>
        </w:rPr>
      </w:pPr>
      <w:r>
        <w:rPr>
          <w:rFonts w:cs="Times New Roman"/>
          <w:color w:val="auto"/>
        </w:rPr>
        <w:t>影响评价因子：COD</w:t>
      </w:r>
      <w:r>
        <w:rPr>
          <w:rFonts w:cs="Times New Roman"/>
          <w:color w:val="auto"/>
          <w:vertAlign w:val="subscript"/>
        </w:rPr>
        <w:t>Cr</w:t>
      </w:r>
      <w:r>
        <w:rPr>
          <w:rFonts w:cs="Times New Roman"/>
          <w:color w:val="auto"/>
        </w:rPr>
        <w:t>、</w:t>
      </w:r>
      <w:r>
        <w:rPr>
          <w:rFonts w:cs="Times New Roman"/>
          <w:color w:val="auto"/>
          <w:kern w:val="0"/>
          <w:szCs w:val="21"/>
        </w:rPr>
        <w:t>BOD</w:t>
      </w:r>
      <w:r>
        <w:rPr>
          <w:rFonts w:cs="Times New Roman"/>
          <w:color w:val="auto"/>
          <w:kern w:val="0"/>
          <w:szCs w:val="21"/>
          <w:vertAlign w:val="subscript"/>
        </w:rPr>
        <w:t>5</w:t>
      </w:r>
      <w:r>
        <w:rPr>
          <w:rFonts w:cs="Times New Roman"/>
          <w:color w:val="auto"/>
          <w:kern w:val="0"/>
          <w:szCs w:val="21"/>
        </w:rPr>
        <w:t>、SS、</w:t>
      </w:r>
      <w:r>
        <w:rPr>
          <w:rFonts w:cs="Times New Roman"/>
          <w:color w:val="auto"/>
        </w:rPr>
        <w:t>氨氮、石油类。</w:t>
      </w:r>
    </w:p>
    <w:p>
      <w:pPr>
        <w:ind w:firstLine="480"/>
        <w:jc w:val="left"/>
      </w:pPr>
      <w:r>
        <w:t>3、河流底泥</w:t>
      </w:r>
    </w:p>
    <w:p>
      <w:pPr>
        <w:pStyle w:val="458"/>
        <w:ind w:firstLine="480"/>
        <w:rPr>
          <w:rFonts w:cs="Times New Roman"/>
          <w:color w:val="auto"/>
        </w:rPr>
      </w:pPr>
      <w:r>
        <w:rPr>
          <w:rFonts w:cs="Times New Roman"/>
          <w:color w:val="auto"/>
          <w:szCs w:val="24"/>
        </w:rPr>
        <w:t>现状</w:t>
      </w:r>
      <w:r>
        <w:rPr>
          <w:rFonts w:cs="Times New Roman"/>
          <w:color w:val="auto"/>
        </w:rPr>
        <w:t>评价</w:t>
      </w:r>
      <w:r>
        <w:rPr>
          <w:rFonts w:cs="Times New Roman"/>
          <w:color w:val="auto"/>
          <w:szCs w:val="24"/>
        </w:rPr>
        <w:t>因子：</w:t>
      </w:r>
      <w:r>
        <w:rPr>
          <w:rFonts w:cs="Times New Roman"/>
          <w:color w:val="auto"/>
        </w:rPr>
        <w:t>pH值（无量纲）、镉、汞、砷、铅、</w:t>
      </w:r>
      <w:r>
        <w:rPr>
          <w:rFonts w:hint="eastAsia" w:cs="Times New Roman"/>
          <w:color w:val="auto"/>
        </w:rPr>
        <w:t>总</w:t>
      </w:r>
      <w:r>
        <w:rPr>
          <w:rFonts w:cs="Times New Roman"/>
          <w:color w:val="auto"/>
        </w:rPr>
        <w:t>铬、铜、</w:t>
      </w:r>
      <w:r>
        <w:rPr>
          <w:rFonts w:hint="eastAsia" w:cs="Times New Roman"/>
          <w:color w:val="auto"/>
        </w:rPr>
        <w:t>镍、</w:t>
      </w:r>
      <w:r>
        <w:rPr>
          <w:rFonts w:cs="Times New Roman"/>
          <w:color w:val="auto"/>
        </w:rPr>
        <w:t>锌</w:t>
      </w:r>
      <w:r>
        <w:rPr>
          <w:rFonts w:hint="eastAsia" w:cs="Times New Roman"/>
          <w:color w:val="auto"/>
        </w:rPr>
        <w:t>、锰、钴</w:t>
      </w:r>
      <w:r>
        <w:rPr>
          <w:rFonts w:cs="Times New Roman"/>
          <w:color w:val="auto"/>
          <w:szCs w:val="24"/>
        </w:rPr>
        <w:t>。</w:t>
      </w:r>
    </w:p>
    <w:p>
      <w:pPr>
        <w:ind w:firstLine="480"/>
        <w:jc w:val="left"/>
      </w:pPr>
      <w:r>
        <w:t>4、声环境</w:t>
      </w:r>
    </w:p>
    <w:p>
      <w:pPr>
        <w:pStyle w:val="458"/>
        <w:ind w:firstLine="480"/>
        <w:rPr>
          <w:rFonts w:cs="Times New Roman"/>
          <w:color w:val="auto"/>
        </w:rPr>
      </w:pPr>
      <w:r>
        <w:rPr>
          <w:rFonts w:cs="Times New Roman"/>
          <w:color w:val="auto"/>
        </w:rPr>
        <w:t>现状评价因子：等效连续A声级Leq(A)</w:t>
      </w:r>
    </w:p>
    <w:p>
      <w:pPr>
        <w:pStyle w:val="458"/>
        <w:ind w:firstLine="480"/>
        <w:rPr>
          <w:rFonts w:cs="Times New Roman"/>
          <w:color w:val="auto"/>
        </w:rPr>
      </w:pPr>
      <w:r>
        <w:rPr>
          <w:rFonts w:cs="Times New Roman"/>
          <w:color w:val="auto"/>
        </w:rPr>
        <w:t>影响评价因子：等效连续A声级Leq(A)。</w:t>
      </w:r>
    </w:p>
    <w:p>
      <w:pPr>
        <w:pStyle w:val="458"/>
        <w:ind w:firstLine="482"/>
        <w:rPr>
          <w:rFonts w:cs="Times New Roman"/>
          <w:b/>
          <w:color w:val="auto"/>
        </w:rPr>
      </w:pPr>
      <w:r>
        <w:rPr>
          <w:rFonts w:cs="Times New Roman"/>
          <w:b/>
          <w:color w:val="auto"/>
        </w:rPr>
        <w:t>5、生态评价</w:t>
      </w:r>
    </w:p>
    <w:p>
      <w:pPr>
        <w:pStyle w:val="458"/>
        <w:ind w:firstLine="480"/>
        <w:rPr>
          <w:rFonts w:cs="Times New Roman"/>
          <w:color w:val="auto"/>
        </w:rPr>
      </w:pPr>
      <w:r>
        <w:rPr>
          <w:rFonts w:cs="Times New Roman"/>
          <w:color w:val="auto"/>
        </w:rPr>
        <w:t>（1）水生生态：</w:t>
      </w:r>
      <w:r>
        <w:rPr>
          <w:rFonts w:hint="eastAsia" w:cs="Times New Roman"/>
          <w:color w:val="auto"/>
          <w:lang w:eastAsia="zh-CN"/>
        </w:rPr>
        <w:t>以水生生物为主要保护对象的生态敏感区；</w:t>
      </w:r>
      <w:r>
        <w:rPr>
          <w:rFonts w:cs="Times New Roman"/>
          <w:color w:val="auto"/>
        </w:rPr>
        <w:t>鱼类、浮游植物、浮游动物和大型底栖动物。包括鱼类种群结构与资源量；</w:t>
      </w:r>
      <w:r>
        <w:rPr>
          <w:rFonts w:hint="eastAsia" w:cs="Times New Roman"/>
          <w:color w:val="auto"/>
          <w:kern w:val="2"/>
          <w:lang w:eastAsia="zh-CN"/>
        </w:rPr>
        <w:t>重要物种</w:t>
      </w:r>
      <w:r>
        <w:rPr>
          <w:rFonts w:cs="Times New Roman"/>
          <w:color w:val="auto"/>
        </w:rPr>
        <w:t>；浮游植物、浮游动物、底栖生物种类和丰度等。</w:t>
      </w:r>
    </w:p>
    <w:p>
      <w:pPr>
        <w:pStyle w:val="458"/>
        <w:ind w:firstLine="480"/>
        <w:rPr>
          <w:rFonts w:cs="Times New Roman"/>
          <w:color w:val="auto"/>
        </w:rPr>
      </w:pPr>
      <w:r>
        <w:rPr>
          <w:rFonts w:cs="Times New Roman"/>
          <w:color w:val="auto"/>
        </w:rPr>
        <w:t>（2）陆生生态：植被、生物量。</w:t>
      </w:r>
    </w:p>
    <w:p>
      <w:pPr>
        <w:pStyle w:val="453"/>
        <w:ind w:firstLine="643" w:firstLineChars="0"/>
        <w:rPr>
          <w:rFonts w:ascii="Times New Roman" w:cs="Times New Roman"/>
        </w:rPr>
      </w:pPr>
      <w:bookmarkStart w:id="38" w:name="_Toc106696991"/>
      <w:bookmarkStart w:id="39" w:name="_Toc8750"/>
      <w:bookmarkStart w:id="40" w:name="_Toc23595"/>
      <w:r>
        <w:rPr>
          <w:rFonts w:ascii="Times New Roman" w:cs="Times New Roman"/>
        </w:rPr>
        <w:t>评价</w:t>
      </w:r>
      <w:bookmarkEnd w:id="37"/>
      <w:r>
        <w:rPr>
          <w:rFonts w:ascii="Times New Roman" w:cs="Times New Roman"/>
        </w:rPr>
        <w:t>重点</w:t>
      </w:r>
      <w:bookmarkEnd w:id="38"/>
      <w:bookmarkEnd w:id="39"/>
      <w:bookmarkEnd w:id="40"/>
    </w:p>
    <w:p>
      <w:pPr>
        <w:pStyle w:val="458"/>
        <w:ind w:firstLine="480"/>
        <w:rPr>
          <w:rFonts w:cs="Times New Roman"/>
          <w:color w:val="auto"/>
        </w:rPr>
      </w:pPr>
      <w:r>
        <w:rPr>
          <w:rFonts w:cs="Times New Roman"/>
          <w:color w:val="auto"/>
        </w:rPr>
        <w:t>根据本项目对环境污染的特点，在工程分析、环境质量现状监测的基础上，以大气环境影响评价、水环境影响评价、生态环境影响评价、环境风险评价、环境保护措施及其经济技术论证为重点，并对项目选址的合法合理性进行分析等。</w:t>
      </w:r>
      <w:r>
        <w:rPr>
          <w:rFonts w:hint="eastAsia" w:cs="Times New Roman"/>
          <w:color w:val="auto"/>
        </w:rPr>
        <w:t>本项目评价的重点主要包括：</w:t>
      </w:r>
    </w:p>
    <w:p>
      <w:pPr>
        <w:pStyle w:val="458"/>
        <w:numPr>
          <w:ilvl w:val="0"/>
          <w:numId w:val="53"/>
        </w:numPr>
        <w:ind w:firstLine="480"/>
        <w:rPr>
          <w:rFonts w:cs="Times New Roman"/>
          <w:color w:val="auto"/>
        </w:rPr>
      </w:pPr>
      <w:r>
        <w:rPr>
          <w:rFonts w:cs="Times New Roman"/>
          <w:color w:val="auto"/>
        </w:rPr>
        <w:t>码头工程施工、运营对长江水质、水生生态、洞庭湖口铜鱼短颌鲚国家级水产种质资源保护区的影响及防治和减缓影响的措施；</w:t>
      </w:r>
    </w:p>
    <w:p>
      <w:pPr>
        <w:pStyle w:val="458"/>
        <w:numPr>
          <w:ilvl w:val="0"/>
          <w:numId w:val="53"/>
        </w:numPr>
        <w:ind w:firstLine="480"/>
        <w:rPr>
          <w:rFonts w:cs="Times New Roman"/>
          <w:color w:val="auto"/>
        </w:rPr>
      </w:pPr>
      <w:r>
        <w:rPr>
          <w:rFonts w:cs="Times New Roman"/>
          <w:color w:val="auto"/>
        </w:rPr>
        <w:t>营运期</w:t>
      </w:r>
      <w:r>
        <w:rPr>
          <w:rFonts w:hint="eastAsia" w:cs="Times New Roman"/>
          <w:color w:val="auto"/>
        </w:rPr>
        <w:t>货物</w:t>
      </w:r>
      <w:r>
        <w:rPr>
          <w:rFonts w:cs="Times New Roman"/>
          <w:color w:val="auto"/>
        </w:rPr>
        <w:t>装卸过程产生的 TSP 对周边环境的影响，包括影响范围和程度及拟采取的环境保护措施等；</w:t>
      </w:r>
    </w:p>
    <w:p>
      <w:pPr>
        <w:pStyle w:val="458"/>
        <w:numPr>
          <w:ilvl w:val="0"/>
          <w:numId w:val="53"/>
        </w:numPr>
        <w:ind w:firstLine="480"/>
        <w:rPr>
          <w:rFonts w:cs="Times New Roman"/>
          <w:color w:val="auto"/>
        </w:rPr>
      </w:pPr>
      <w:r>
        <w:rPr>
          <w:rFonts w:cs="Times New Roman"/>
          <w:color w:val="auto"/>
        </w:rPr>
        <w:t>营运期废气、废水、噪声的排放对环境的影响以及各类固体废物的产生、处理处置情况；</w:t>
      </w:r>
    </w:p>
    <w:p>
      <w:pPr>
        <w:pStyle w:val="458"/>
        <w:numPr>
          <w:ilvl w:val="0"/>
          <w:numId w:val="53"/>
        </w:numPr>
        <w:ind w:firstLine="480"/>
        <w:rPr>
          <w:rFonts w:cs="Times New Roman"/>
          <w:color w:val="auto"/>
        </w:rPr>
      </w:pPr>
      <w:r>
        <w:rPr>
          <w:rFonts w:cs="Times New Roman"/>
          <w:color w:val="auto"/>
        </w:rPr>
        <w:t>营运期码头工程可能发生的船舶事故溢油对长江水环境的影响，包括影响范围和程度及拟采取的事故风险防范措施和应急预案等；</w:t>
      </w:r>
    </w:p>
    <w:bookmarkEnd w:id="32"/>
    <w:bookmarkEnd w:id="33"/>
    <w:p>
      <w:pPr>
        <w:pStyle w:val="453"/>
        <w:ind w:firstLine="643" w:firstLineChars="0"/>
        <w:rPr>
          <w:rFonts w:ascii="Times New Roman" w:cs="Times New Roman"/>
        </w:rPr>
      </w:pPr>
      <w:bookmarkStart w:id="41" w:name="_Toc16176"/>
      <w:bookmarkStart w:id="42" w:name="_Toc106696992"/>
      <w:bookmarkStart w:id="43" w:name="_Toc27451"/>
      <w:r>
        <w:rPr>
          <w:rFonts w:ascii="Times New Roman" w:cs="Times New Roman"/>
        </w:rPr>
        <w:t>评价工作等级和评价范围</w:t>
      </w:r>
      <w:bookmarkEnd w:id="41"/>
      <w:bookmarkEnd w:id="42"/>
      <w:bookmarkEnd w:id="43"/>
    </w:p>
    <w:p>
      <w:pPr>
        <w:pStyle w:val="454"/>
        <w:ind w:firstLine="602"/>
        <w:rPr>
          <w:color w:val="auto"/>
        </w:rPr>
      </w:pPr>
      <w:r>
        <w:rPr>
          <w:color w:val="auto"/>
        </w:rPr>
        <w:t>评价工作等级</w:t>
      </w:r>
    </w:p>
    <w:p>
      <w:pPr>
        <w:pStyle w:val="458"/>
        <w:ind w:firstLine="480"/>
        <w:rPr>
          <w:rFonts w:cs="Times New Roman"/>
          <w:color w:val="auto"/>
        </w:rPr>
      </w:pPr>
      <w:r>
        <w:rPr>
          <w:rFonts w:cs="Times New Roman"/>
          <w:color w:val="auto"/>
        </w:rPr>
        <w:t>根据本项目污染物排放性质、特征、项目所在地区的地形特点和环境功能区划，按照《环境影响评价技术导则》所规定的方法，确定本次环境影响评价等级和评价范围。</w:t>
      </w:r>
    </w:p>
    <w:p>
      <w:pPr>
        <w:pStyle w:val="456"/>
        <w:ind w:firstLine="482"/>
      </w:pPr>
      <w:r>
        <w:t>地表水环境评价等级</w:t>
      </w:r>
    </w:p>
    <w:p>
      <w:pPr>
        <w:pStyle w:val="458"/>
        <w:ind w:firstLine="480"/>
        <w:rPr>
          <w:rFonts w:cs="Times New Roman"/>
          <w:color w:val="auto"/>
        </w:rPr>
      </w:pPr>
      <w:r>
        <w:rPr>
          <w:rFonts w:cs="Times New Roman"/>
          <w:color w:val="auto"/>
        </w:rPr>
        <w:t>根据《环境影响评价技术导则 地表水环境》（HJ2.3-2018）的规定，地表水环境影响评价划分为水污染影响型、水文要素型以及两者兼有的复合型。本项目为通用码头</w:t>
      </w:r>
      <w:r>
        <w:rPr>
          <w:rFonts w:hint="eastAsia" w:cs="Times New Roman"/>
          <w:color w:val="auto"/>
        </w:rPr>
        <w:t>项目，</w:t>
      </w:r>
      <w:r>
        <w:rPr>
          <w:rFonts w:cs="Times New Roman"/>
          <w:color w:val="auto"/>
        </w:rPr>
        <w:t>包含水域</w:t>
      </w:r>
      <w:r>
        <w:rPr>
          <w:rFonts w:hint="eastAsia" w:cs="Times New Roman"/>
          <w:color w:val="auto"/>
        </w:rPr>
        <w:t>、陆域</w:t>
      </w:r>
      <w:r>
        <w:rPr>
          <w:rFonts w:cs="Times New Roman"/>
          <w:color w:val="auto"/>
        </w:rPr>
        <w:t>工程。因此，本项目的地表水环境影响评价属于水污染影响型和水文要素型兼有的复合型。</w:t>
      </w:r>
    </w:p>
    <w:p>
      <w:pPr>
        <w:ind w:firstLine="480"/>
      </w:pPr>
      <w:r>
        <w:rPr>
          <w:rFonts w:hint="eastAsia"/>
        </w:rPr>
        <w:t>（1）水污染影响型</w:t>
      </w:r>
    </w:p>
    <w:p>
      <w:pPr>
        <w:pStyle w:val="458"/>
        <w:ind w:firstLine="480"/>
        <w:rPr>
          <w:rFonts w:cs="Times New Roman"/>
          <w:color w:val="auto"/>
        </w:rPr>
      </w:pPr>
      <w:r>
        <w:rPr>
          <w:rFonts w:cs="Times New Roman"/>
          <w:color w:val="auto"/>
        </w:rPr>
        <w:t>水污染影响型评价等级按照影响类型、排放方式、排放量或影响情况、受纳水体环境质量现状、水环境保护目标等综合确定，具体判定依据见表1-3。</w:t>
      </w:r>
    </w:p>
    <w:p>
      <w:pPr>
        <w:pStyle w:val="619"/>
        <w:rPr>
          <w:rFonts w:cs="Times New Roman"/>
        </w:rPr>
      </w:pPr>
      <w:r>
        <w:rPr>
          <w:rFonts w:cs="Times New Roman"/>
        </w:rPr>
        <w:t>水污染影响型建设项目影响评价工作等级判定表</w:t>
      </w:r>
    </w:p>
    <w:tbl>
      <w:tblPr>
        <w:tblStyle w:val="87"/>
        <w:tblW w:w="9041"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476"/>
        <w:gridCol w:w="1434"/>
        <w:gridCol w:w="613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476" w:type="dxa"/>
            <w:vMerge w:val="restart"/>
            <w:tcBorders>
              <w:tl2br w:val="nil"/>
              <w:tr2bl w:val="nil"/>
            </w:tcBorders>
            <w:shd w:val="clear" w:color="auto" w:fill="auto"/>
            <w:vAlign w:val="center"/>
          </w:tcPr>
          <w:p>
            <w:pPr>
              <w:tabs>
                <w:tab w:val="clear" w:pos="480"/>
              </w:tabs>
              <w:kinsoku w:val="0"/>
              <w:overflowPunct w:val="0"/>
              <w:autoSpaceDE w:val="0"/>
              <w:autoSpaceDN w:val="0"/>
              <w:adjustRightInd w:val="0"/>
              <w:spacing w:line="272" w:lineRule="exact"/>
              <w:ind w:left="491" w:right="503" w:firstLine="0" w:firstLineChars="0"/>
              <w:jc w:val="center"/>
              <w:rPr>
                <w:b/>
                <w:bCs/>
                <w:kern w:val="0"/>
                <w:sz w:val="21"/>
                <w:szCs w:val="21"/>
              </w:rPr>
            </w:pPr>
            <w:r>
              <w:rPr>
                <w:b/>
                <w:bCs/>
                <w:kern w:val="0"/>
                <w:sz w:val="21"/>
                <w:szCs w:val="21"/>
              </w:rPr>
              <w:t>评价等级</w:t>
            </w:r>
          </w:p>
        </w:tc>
        <w:tc>
          <w:tcPr>
            <w:tcW w:w="7565" w:type="dxa"/>
            <w:gridSpan w:val="2"/>
            <w:tcBorders>
              <w:tl2br w:val="nil"/>
              <w:tr2bl w:val="nil"/>
            </w:tcBorders>
            <w:shd w:val="clear" w:color="auto" w:fill="auto"/>
            <w:vAlign w:val="center"/>
          </w:tcPr>
          <w:p>
            <w:pPr>
              <w:tabs>
                <w:tab w:val="clear" w:pos="480"/>
              </w:tabs>
              <w:kinsoku w:val="0"/>
              <w:overflowPunct w:val="0"/>
              <w:autoSpaceDE w:val="0"/>
              <w:autoSpaceDN w:val="0"/>
              <w:adjustRightInd w:val="0"/>
              <w:spacing w:line="272" w:lineRule="exact"/>
              <w:ind w:left="8" w:firstLine="0" w:firstLineChars="0"/>
              <w:jc w:val="center"/>
              <w:rPr>
                <w:b/>
                <w:bCs/>
                <w:kern w:val="0"/>
                <w:sz w:val="21"/>
                <w:szCs w:val="21"/>
              </w:rPr>
            </w:pPr>
            <w:r>
              <w:rPr>
                <w:b/>
                <w:bCs/>
                <w:spacing w:val="1"/>
                <w:kern w:val="0"/>
                <w:sz w:val="21"/>
                <w:szCs w:val="21"/>
              </w:rPr>
              <w:t>判断依据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476" w:type="dxa"/>
            <w:vMerge w:val="continue"/>
            <w:tcBorders>
              <w:tl2br w:val="nil"/>
              <w:tr2bl w:val="nil"/>
            </w:tcBorders>
            <w:shd w:val="clear" w:color="auto" w:fill="auto"/>
            <w:vAlign w:val="center"/>
          </w:tcPr>
          <w:p>
            <w:pPr>
              <w:tabs>
                <w:tab w:val="clear" w:pos="480"/>
              </w:tabs>
              <w:kinsoku w:val="0"/>
              <w:overflowPunct w:val="0"/>
              <w:autoSpaceDE w:val="0"/>
              <w:autoSpaceDN w:val="0"/>
              <w:adjustRightInd w:val="0"/>
              <w:spacing w:line="272" w:lineRule="exact"/>
              <w:ind w:left="8" w:firstLine="0" w:firstLineChars="0"/>
              <w:jc w:val="center"/>
              <w:rPr>
                <w:b/>
                <w:bCs/>
                <w:kern w:val="0"/>
                <w:sz w:val="21"/>
                <w:szCs w:val="21"/>
              </w:rPr>
            </w:pPr>
          </w:p>
        </w:tc>
        <w:tc>
          <w:tcPr>
            <w:tcW w:w="1434" w:type="dxa"/>
            <w:tcBorders>
              <w:tl2br w:val="nil"/>
              <w:tr2bl w:val="nil"/>
            </w:tcBorders>
            <w:shd w:val="clear" w:color="auto" w:fill="auto"/>
            <w:vAlign w:val="center"/>
          </w:tcPr>
          <w:p>
            <w:pPr>
              <w:tabs>
                <w:tab w:val="clear" w:pos="480"/>
              </w:tabs>
              <w:kinsoku w:val="0"/>
              <w:overflowPunct w:val="0"/>
              <w:autoSpaceDE w:val="0"/>
              <w:autoSpaceDN w:val="0"/>
              <w:adjustRightInd w:val="0"/>
              <w:spacing w:line="272" w:lineRule="exact"/>
              <w:ind w:left="288" w:firstLine="0" w:firstLineChars="0"/>
              <w:jc w:val="left"/>
              <w:rPr>
                <w:b/>
                <w:bCs/>
                <w:kern w:val="0"/>
                <w:sz w:val="21"/>
                <w:szCs w:val="21"/>
              </w:rPr>
            </w:pPr>
            <w:r>
              <w:rPr>
                <w:b/>
                <w:bCs/>
                <w:spacing w:val="1"/>
                <w:kern w:val="0"/>
                <w:sz w:val="21"/>
                <w:szCs w:val="21"/>
              </w:rPr>
              <w:t>排放方式</w:t>
            </w:r>
          </w:p>
        </w:tc>
        <w:tc>
          <w:tcPr>
            <w:tcW w:w="6131" w:type="dxa"/>
            <w:tcBorders>
              <w:tl2br w:val="nil"/>
              <w:tr2bl w:val="nil"/>
            </w:tcBorders>
            <w:shd w:val="clear" w:color="auto" w:fill="auto"/>
            <w:vAlign w:val="center"/>
          </w:tcPr>
          <w:p>
            <w:pPr>
              <w:tabs>
                <w:tab w:val="clear" w:pos="480"/>
              </w:tabs>
              <w:kinsoku w:val="0"/>
              <w:overflowPunct w:val="0"/>
              <w:autoSpaceDE w:val="0"/>
              <w:autoSpaceDN w:val="0"/>
              <w:adjustRightInd w:val="0"/>
              <w:spacing w:line="288" w:lineRule="exact"/>
              <w:ind w:left="630" w:firstLine="0" w:firstLineChars="0"/>
              <w:jc w:val="left"/>
              <w:rPr>
                <w:b/>
                <w:bCs/>
                <w:kern w:val="0"/>
                <w:sz w:val="21"/>
                <w:szCs w:val="21"/>
              </w:rPr>
            </w:pPr>
            <w:r>
              <w:rPr>
                <w:b/>
                <w:bCs/>
                <w:spacing w:val="1"/>
                <w:kern w:val="0"/>
                <w:sz w:val="21"/>
                <w:szCs w:val="21"/>
              </w:rPr>
              <w:t>废水排</w:t>
            </w:r>
            <w:r>
              <w:rPr>
                <w:b/>
                <w:bCs/>
                <w:kern w:val="0"/>
                <w:sz w:val="21"/>
                <w:szCs w:val="21"/>
              </w:rPr>
              <w:t>放</w:t>
            </w:r>
            <w:r>
              <w:rPr>
                <w:b/>
                <w:bCs/>
                <w:spacing w:val="1"/>
                <w:kern w:val="0"/>
                <w:sz w:val="21"/>
                <w:szCs w:val="21"/>
              </w:rPr>
              <w:t>量</w:t>
            </w:r>
            <w:r>
              <w:rPr>
                <w:b/>
                <w:bCs/>
                <w:spacing w:val="-2"/>
                <w:kern w:val="0"/>
                <w:sz w:val="21"/>
                <w:szCs w:val="21"/>
              </w:rPr>
              <w:t>Q</w:t>
            </w:r>
            <w:r>
              <w:rPr>
                <w:b/>
                <w:bCs/>
                <w:spacing w:val="1"/>
                <w:kern w:val="0"/>
                <w:sz w:val="21"/>
                <w:szCs w:val="21"/>
              </w:rPr>
              <w:t>（</w:t>
            </w:r>
            <w:r>
              <w:rPr>
                <w:b/>
                <w:bCs/>
                <w:kern w:val="0"/>
                <w:sz w:val="21"/>
                <w:szCs w:val="21"/>
              </w:rPr>
              <w:t>m</w:t>
            </w:r>
            <w:r>
              <w:rPr>
                <w:b/>
                <w:bCs/>
                <w:kern w:val="0"/>
                <w:sz w:val="21"/>
                <w:szCs w:val="21"/>
                <w:vertAlign w:val="superscript"/>
              </w:rPr>
              <w:t>3</w:t>
            </w:r>
            <w:r>
              <w:rPr>
                <w:b/>
                <w:bCs/>
                <w:kern w:val="0"/>
                <w:sz w:val="21"/>
                <w:szCs w:val="21"/>
              </w:rPr>
              <w:t>/</w:t>
            </w:r>
            <w:r>
              <w:rPr>
                <w:b/>
                <w:bCs/>
                <w:spacing w:val="-1"/>
                <w:kern w:val="0"/>
                <w:sz w:val="21"/>
                <w:szCs w:val="21"/>
              </w:rPr>
              <w:t>d</w:t>
            </w:r>
            <w:r>
              <w:rPr>
                <w:b/>
                <w:bCs/>
                <w:spacing w:val="1"/>
                <w:kern w:val="0"/>
                <w:sz w:val="21"/>
                <w:szCs w:val="21"/>
              </w:rPr>
              <w:t>）</w:t>
            </w:r>
            <w:r>
              <w:rPr>
                <w:b/>
                <w:bCs/>
                <w:kern w:val="0"/>
                <w:sz w:val="21"/>
                <w:szCs w:val="21"/>
              </w:rPr>
              <w:t>/水</w:t>
            </w:r>
            <w:r>
              <w:rPr>
                <w:b/>
                <w:bCs/>
                <w:spacing w:val="1"/>
                <w:kern w:val="0"/>
                <w:sz w:val="21"/>
                <w:szCs w:val="21"/>
              </w:rPr>
              <w:t>污染物</w:t>
            </w:r>
            <w:r>
              <w:rPr>
                <w:b/>
                <w:bCs/>
                <w:kern w:val="0"/>
                <w:sz w:val="21"/>
                <w:szCs w:val="21"/>
              </w:rPr>
              <w:t>当量</w:t>
            </w:r>
            <w:r>
              <w:rPr>
                <w:b/>
                <w:bCs/>
                <w:spacing w:val="2"/>
                <w:kern w:val="0"/>
                <w:sz w:val="21"/>
                <w:szCs w:val="21"/>
              </w:rPr>
              <w:t>数</w:t>
            </w:r>
            <w:r>
              <w:rPr>
                <w:b/>
                <w:bCs/>
                <w:kern w:val="0"/>
                <w:sz w:val="21"/>
                <w:szCs w:val="21"/>
              </w:rPr>
              <w:t>W</w:t>
            </w:r>
            <w:r>
              <w:rPr>
                <w:b/>
                <w:bCs/>
                <w:spacing w:val="1"/>
                <w:kern w:val="0"/>
                <w:sz w:val="21"/>
                <w:szCs w:val="21"/>
              </w:rPr>
              <w:t>（无</w:t>
            </w:r>
            <w:r>
              <w:rPr>
                <w:b/>
                <w:bCs/>
                <w:kern w:val="0"/>
                <w:sz w:val="21"/>
                <w:szCs w:val="21"/>
              </w:rPr>
              <w:t>量</w:t>
            </w:r>
            <w:r>
              <w:rPr>
                <w:b/>
                <w:bCs/>
                <w:spacing w:val="1"/>
                <w:kern w:val="0"/>
                <w:sz w:val="21"/>
                <w:szCs w:val="21"/>
              </w:rPr>
              <w:t>纲</w:t>
            </w:r>
            <w:r>
              <w:rPr>
                <w:b/>
                <w:bCs/>
                <w:kern w:val="0"/>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476" w:type="dxa"/>
            <w:tcBorders>
              <w:tl2br w:val="nil"/>
              <w:tr2bl w:val="nil"/>
            </w:tcBorders>
            <w:shd w:val="clear" w:color="auto" w:fill="auto"/>
            <w:vAlign w:val="center"/>
          </w:tcPr>
          <w:p>
            <w:pPr>
              <w:tabs>
                <w:tab w:val="clear" w:pos="480"/>
              </w:tabs>
              <w:kinsoku w:val="0"/>
              <w:overflowPunct w:val="0"/>
              <w:autoSpaceDE w:val="0"/>
              <w:autoSpaceDN w:val="0"/>
              <w:adjustRightInd w:val="0"/>
              <w:spacing w:line="272" w:lineRule="exact"/>
              <w:ind w:left="491" w:right="503" w:firstLine="0" w:firstLineChars="0"/>
              <w:jc w:val="center"/>
              <w:rPr>
                <w:kern w:val="0"/>
                <w:sz w:val="21"/>
                <w:szCs w:val="21"/>
              </w:rPr>
            </w:pPr>
            <w:r>
              <w:rPr>
                <w:kern w:val="0"/>
                <w:sz w:val="21"/>
                <w:szCs w:val="21"/>
              </w:rPr>
              <w:t>一级</w:t>
            </w:r>
          </w:p>
        </w:tc>
        <w:tc>
          <w:tcPr>
            <w:tcW w:w="1434" w:type="dxa"/>
            <w:tcBorders>
              <w:tl2br w:val="nil"/>
              <w:tr2bl w:val="nil"/>
            </w:tcBorders>
            <w:shd w:val="clear" w:color="auto" w:fill="auto"/>
            <w:vAlign w:val="center"/>
          </w:tcPr>
          <w:p>
            <w:pPr>
              <w:tabs>
                <w:tab w:val="clear" w:pos="480"/>
              </w:tabs>
              <w:kinsoku w:val="0"/>
              <w:overflowPunct w:val="0"/>
              <w:autoSpaceDE w:val="0"/>
              <w:autoSpaceDN w:val="0"/>
              <w:adjustRightInd w:val="0"/>
              <w:spacing w:line="272" w:lineRule="exact"/>
              <w:ind w:left="289" w:firstLine="0" w:firstLineChars="0"/>
              <w:jc w:val="left"/>
              <w:rPr>
                <w:kern w:val="0"/>
                <w:sz w:val="21"/>
                <w:szCs w:val="21"/>
              </w:rPr>
            </w:pPr>
            <w:r>
              <w:rPr>
                <w:kern w:val="0"/>
                <w:sz w:val="21"/>
                <w:szCs w:val="21"/>
              </w:rPr>
              <w:t>直接排放</w:t>
            </w:r>
          </w:p>
        </w:tc>
        <w:tc>
          <w:tcPr>
            <w:tcW w:w="6131" w:type="dxa"/>
            <w:tcBorders>
              <w:tl2br w:val="nil"/>
              <w:tr2bl w:val="nil"/>
            </w:tcBorders>
            <w:shd w:val="clear" w:color="auto" w:fill="auto"/>
            <w:vAlign w:val="center"/>
          </w:tcPr>
          <w:p>
            <w:pPr>
              <w:tabs>
                <w:tab w:val="clear" w:pos="480"/>
              </w:tabs>
              <w:kinsoku w:val="0"/>
              <w:overflowPunct w:val="0"/>
              <w:autoSpaceDE w:val="0"/>
              <w:autoSpaceDN w:val="0"/>
              <w:adjustRightInd w:val="0"/>
              <w:spacing w:line="288" w:lineRule="exact"/>
              <w:ind w:right="2058" w:firstLine="0" w:firstLineChars="0"/>
              <w:jc w:val="center"/>
              <w:rPr>
                <w:kern w:val="0"/>
                <w:sz w:val="21"/>
                <w:szCs w:val="21"/>
              </w:rPr>
            </w:pPr>
            <w:r>
              <w:rPr>
                <w:kern w:val="0"/>
                <w:sz w:val="21"/>
                <w:szCs w:val="21"/>
              </w:rPr>
              <w:t xml:space="preserve">          Q≥20000或</w:t>
            </w:r>
            <w:r>
              <w:rPr>
                <w:spacing w:val="-2"/>
                <w:kern w:val="0"/>
                <w:sz w:val="21"/>
                <w:szCs w:val="21"/>
              </w:rPr>
              <w:t>W</w:t>
            </w:r>
            <w:r>
              <w:rPr>
                <w:kern w:val="0"/>
                <w:sz w:val="21"/>
                <w:szCs w:val="21"/>
              </w:rPr>
              <w:t>≥600000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476" w:type="dxa"/>
            <w:tcBorders>
              <w:tl2br w:val="nil"/>
              <w:tr2bl w:val="nil"/>
            </w:tcBorders>
            <w:shd w:val="clear" w:color="auto" w:fill="auto"/>
            <w:vAlign w:val="center"/>
          </w:tcPr>
          <w:p>
            <w:pPr>
              <w:tabs>
                <w:tab w:val="clear" w:pos="480"/>
              </w:tabs>
              <w:kinsoku w:val="0"/>
              <w:overflowPunct w:val="0"/>
              <w:autoSpaceDE w:val="0"/>
              <w:autoSpaceDN w:val="0"/>
              <w:adjustRightInd w:val="0"/>
              <w:spacing w:line="273" w:lineRule="exact"/>
              <w:ind w:left="491" w:right="503" w:firstLine="0" w:firstLineChars="0"/>
              <w:jc w:val="center"/>
              <w:rPr>
                <w:kern w:val="0"/>
                <w:sz w:val="21"/>
                <w:szCs w:val="21"/>
              </w:rPr>
            </w:pPr>
            <w:r>
              <w:rPr>
                <w:kern w:val="0"/>
                <w:sz w:val="21"/>
                <w:szCs w:val="21"/>
              </w:rPr>
              <w:t>二级</w:t>
            </w:r>
          </w:p>
        </w:tc>
        <w:tc>
          <w:tcPr>
            <w:tcW w:w="1434" w:type="dxa"/>
            <w:tcBorders>
              <w:tl2br w:val="nil"/>
              <w:tr2bl w:val="nil"/>
            </w:tcBorders>
            <w:shd w:val="clear" w:color="auto" w:fill="auto"/>
            <w:vAlign w:val="center"/>
          </w:tcPr>
          <w:p>
            <w:pPr>
              <w:tabs>
                <w:tab w:val="clear" w:pos="480"/>
              </w:tabs>
              <w:kinsoku w:val="0"/>
              <w:overflowPunct w:val="0"/>
              <w:autoSpaceDE w:val="0"/>
              <w:autoSpaceDN w:val="0"/>
              <w:adjustRightInd w:val="0"/>
              <w:spacing w:line="273" w:lineRule="exact"/>
              <w:ind w:left="289" w:firstLine="0" w:firstLineChars="0"/>
              <w:jc w:val="left"/>
              <w:rPr>
                <w:kern w:val="0"/>
                <w:sz w:val="21"/>
                <w:szCs w:val="21"/>
              </w:rPr>
            </w:pPr>
            <w:r>
              <w:rPr>
                <w:kern w:val="0"/>
                <w:sz w:val="21"/>
                <w:szCs w:val="21"/>
              </w:rPr>
              <w:t>直接排放</w:t>
            </w:r>
          </w:p>
        </w:tc>
        <w:tc>
          <w:tcPr>
            <w:tcW w:w="6131" w:type="dxa"/>
            <w:tcBorders>
              <w:tl2br w:val="nil"/>
              <w:tr2bl w:val="nil"/>
            </w:tcBorders>
            <w:shd w:val="clear" w:color="auto" w:fill="auto"/>
            <w:vAlign w:val="center"/>
          </w:tcPr>
          <w:p>
            <w:pPr>
              <w:tabs>
                <w:tab w:val="clear" w:pos="480"/>
              </w:tabs>
              <w:kinsoku w:val="0"/>
              <w:overflowPunct w:val="0"/>
              <w:autoSpaceDE w:val="0"/>
              <w:autoSpaceDN w:val="0"/>
              <w:adjustRightInd w:val="0"/>
              <w:spacing w:line="273" w:lineRule="exact"/>
              <w:ind w:left="7" w:firstLine="0" w:firstLineChars="0"/>
              <w:jc w:val="center"/>
              <w:rPr>
                <w:kern w:val="0"/>
                <w:sz w:val="21"/>
                <w:szCs w:val="21"/>
              </w:rPr>
            </w:pPr>
            <w:r>
              <w:rPr>
                <w:kern w:val="0"/>
                <w:sz w:val="21"/>
                <w:szCs w:val="21"/>
              </w:rPr>
              <w:t>其他</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476" w:type="dxa"/>
            <w:tcBorders>
              <w:tl2br w:val="nil"/>
              <w:tr2bl w:val="nil"/>
            </w:tcBorders>
            <w:shd w:val="clear" w:color="auto" w:fill="auto"/>
            <w:vAlign w:val="center"/>
          </w:tcPr>
          <w:p>
            <w:pPr>
              <w:tabs>
                <w:tab w:val="clear" w:pos="480"/>
              </w:tabs>
              <w:kinsoku w:val="0"/>
              <w:overflowPunct w:val="0"/>
              <w:autoSpaceDE w:val="0"/>
              <w:autoSpaceDN w:val="0"/>
              <w:adjustRightInd w:val="0"/>
              <w:spacing w:line="273" w:lineRule="exact"/>
              <w:ind w:left="491" w:right="503" w:firstLine="0" w:firstLineChars="0"/>
              <w:jc w:val="center"/>
              <w:rPr>
                <w:kern w:val="0"/>
                <w:sz w:val="21"/>
                <w:szCs w:val="21"/>
              </w:rPr>
            </w:pPr>
            <w:r>
              <w:rPr>
                <w:kern w:val="0"/>
                <w:sz w:val="21"/>
                <w:szCs w:val="21"/>
              </w:rPr>
              <w:t>三级A</w:t>
            </w:r>
          </w:p>
        </w:tc>
        <w:tc>
          <w:tcPr>
            <w:tcW w:w="1434" w:type="dxa"/>
            <w:tcBorders>
              <w:tl2br w:val="nil"/>
              <w:tr2bl w:val="nil"/>
            </w:tcBorders>
            <w:shd w:val="clear" w:color="auto" w:fill="auto"/>
            <w:vAlign w:val="center"/>
          </w:tcPr>
          <w:p>
            <w:pPr>
              <w:tabs>
                <w:tab w:val="clear" w:pos="480"/>
              </w:tabs>
              <w:kinsoku w:val="0"/>
              <w:overflowPunct w:val="0"/>
              <w:autoSpaceDE w:val="0"/>
              <w:autoSpaceDN w:val="0"/>
              <w:adjustRightInd w:val="0"/>
              <w:spacing w:line="273" w:lineRule="exact"/>
              <w:ind w:left="289" w:firstLine="0" w:firstLineChars="0"/>
              <w:jc w:val="left"/>
              <w:rPr>
                <w:kern w:val="0"/>
                <w:sz w:val="21"/>
                <w:szCs w:val="21"/>
              </w:rPr>
            </w:pPr>
            <w:r>
              <w:rPr>
                <w:kern w:val="0"/>
                <w:sz w:val="21"/>
                <w:szCs w:val="21"/>
              </w:rPr>
              <w:t>直接排放</w:t>
            </w:r>
          </w:p>
        </w:tc>
        <w:tc>
          <w:tcPr>
            <w:tcW w:w="6131" w:type="dxa"/>
            <w:tcBorders>
              <w:tl2br w:val="nil"/>
              <w:tr2bl w:val="nil"/>
            </w:tcBorders>
            <w:shd w:val="clear" w:color="auto" w:fill="auto"/>
            <w:vAlign w:val="center"/>
          </w:tcPr>
          <w:p>
            <w:pPr>
              <w:tabs>
                <w:tab w:val="clear" w:pos="480"/>
              </w:tabs>
              <w:kinsoku w:val="0"/>
              <w:overflowPunct w:val="0"/>
              <w:autoSpaceDE w:val="0"/>
              <w:autoSpaceDN w:val="0"/>
              <w:adjustRightInd w:val="0"/>
              <w:spacing w:line="273" w:lineRule="exact"/>
              <w:ind w:right="503" w:firstLine="0" w:firstLineChars="0"/>
              <w:jc w:val="center"/>
              <w:rPr>
                <w:kern w:val="0"/>
                <w:sz w:val="21"/>
                <w:szCs w:val="21"/>
              </w:rPr>
            </w:pPr>
            <w:r>
              <w:rPr>
                <w:kern w:val="0"/>
                <w:sz w:val="21"/>
                <w:szCs w:val="21"/>
              </w:rPr>
              <w:t>Q＜200且W＜6000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476" w:type="dxa"/>
            <w:tcBorders>
              <w:tl2br w:val="nil"/>
              <w:tr2bl w:val="nil"/>
            </w:tcBorders>
            <w:shd w:val="clear" w:color="auto" w:fill="auto"/>
            <w:vAlign w:val="center"/>
          </w:tcPr>
          <w:p>
            <w:pPr>
              <w:tabs>
                <w:tab w:val="clear" w:pos="480"/>
              </w:tabs>
              <w:kinsoku w:val="0"/>
              <w:overflowPunct w:val="0"/>
              <w:autoSpaceDE w:val="0"/>
              <w:autoSpaceDN w:val="0"/>
              <w:adjustRightInd w:val="0"/>
              <w:spacing w:line="288" w:lineRule="exact"/>
              <w:ind w:left="441" w:firstLine="0" w:firstLineChars="0"/>
              <w:jc w:val="left"/>
              <w:rPr>
                <w:kern w:val="0"/>
                <w:sz w:val="21"/>
                <w:szCs w:val="21"/>
              </w:rPr>
            </w:pPr>
            <w:r>
              <w:rPr>
                <w:kern w:val="0"/>
                <w:sz w:val="21"/>
                <w:szCs w:val="21"/>
              </w:rPr>
              <w:t>三级B</w:t>
            </w:r>
          </w:p>
        </w:tc>
        <w:tc>
          <w:tcPr>
            <w:tcW w:w="1434" w:type="dxa"/>
            <w:tcBorders>
              <w:tl2br w:val="nil"/>
              <w:tr2bl w:val="nil"/>
            </w:tcBorders>
            <w:shd w:val="clear" w:color="auto" w:fill="auto"/>
            <w:vAlign w:val="center"/>
          </w:tcPr>
          <w:p>
            <w:pPr>
              <w:tabs>
                <w:tab w:val="clear" w:pos="480"/>
              </w:tabs>
              <w:kinsoku w:val="0"/>
              <w:overflowPunct w:val="0"/>
              <w:autoSpaceDE w:val="0"/>
              <w:autoSpaceDN w:val="0"/>
              <w:adjustRightInd w:val="0"/>
              <w:spacing w:line="272" w:lineRule="exact"/>
              <w:ind w:left="289" w:firstLine="0" w:firstLineChars="0"/>
              <w:jc w:val="left"/>
              <w:rPr>
                <w:kern w:val="0"/>
                <w:sz w:val="21"/>
                <w:szCs w:val="21"/>
              </w:rPr>
            </w:pPr>
            <w:r>
              <w:rPr>
                <w:kern w:val="0"/>
                <w:sz w:val="21"/>
                <w:szCs w:val="21"/>
              </w:rPr>
              <w:t>间接排放</w:t>
            </w:r>
          </w:p>
        </w:tc>
        <w:tc>
          <w:tcPr>
            <w:tcW w:w="6131" w:type="dxa"/>
            <w:tcBorders>
              <w:tl2br w:val="nil"/>
              <w:tr2bl w:val="nil"/>
            </w:tcBorders>
            <w:shd w:val="clear" w:color="auto" w:fill="auto"/>
            <w:vAlign w:val="center"/>
          </w:tcPr>
          <w:p>
            <w:pPr>
              <w:tabs>
                <w:tab w:val="clear" w:pos="480"/>
              </w:tabs>
              <w:kinsoku w:val="0"/>
              <w:overflowPunct w:val="0"/>
              <w:autoSpaceDE w:val="0"/>
              <w:autoSpaceDN w:val="0"/>
              <w:adjustRightInd w:val="0"/>
              <w:spacing w:before="46" w:line="240" w:lineRule="auto"/>
              <w:ind w:left="8" w:firstLine="0" w:firstLineChars="0"/>
              <w:jc w:val="center"/>
              <w:rPr>
                <w:kern w:val="0"/>
                <w:sz w:val="21"/>
                <w:szCs w:val="21"/>
              </w:rPr>
            </w:pPr>
            <w:r>
              <w:rPr>
                <w:kern w:val="0"/>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9041" w:type="dxa"/>
            <w:gridSpan w:val="3"/>
            <w:tcBorders>
              <w:tl2br w:val="nil"/>
              <w:tr2bl w:val="nil"/>
            </w:tcBorders>
            <w:shd w:val="clear" w:color="auto" w:fill="auto"/>
            <w:vAlign w:val="center"/>
          </w:tcPr>
          <w:p>
            <w:pPr>
              <w:pStyle w:val="2057"/>
              <w:spacing w:afterLines="0" w:line="240" w:lineRule="atLeast"/>
              <w:ind w:firstLine="0" w:firstLineChars="0"/>
              <w:jc w:val="both"/>
              <w:rPr>
                <w:sz w:val="18"/>
                <w:szCs w:val="18"/>
              </w:rPr>
            </w:pPr>
            <w:r>
              <w:rPr>
                <w:rFonts w:hint="eastAsia"/>
                <w:sz w:val="18"/>
                <w:szCs w:val="18"/>
              </w:rPr>
              <w:t>注1：水污染当量数等于该污染物的年排放量除以该污染物当量值（见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pPr>
              <w:pStyle w:val="2057"/>
              <w:spacing w:afterLines="0" w:line="240" w:lineRule="atLeast"/>
              <w:ind w:firstLine="0" w:firstLineChars="0"/>
              <w:jc w:val="both"/>
              <w:rPr>
                <w:sz w:val="18"/>
                <w:szCs w:val="18"/>
              </w:rPr>
            </w:pPr>
            <w:r>
              <w:rPr>
                <w:rFonts w:hint="eastAsia"/>
                <w:sz w:val="18"/>
                <w:szCs w:val="18"/>
              </w:rPr>
              <w:t>注2：废水排放量按行业排放标准中规定的废水种类统计，没有相关行业排放标准要求的通过工程分析合理确定，应统计含热量大的冷却水的排放量，可不统计间接冷却水、循环水以及其他污染物极少的清净下水的排放量。</w:t>
            </w:r>
          </w:p>
          <w:p>
            <w:pPr>
              <w:pStyle w:val="2057"/>
              <w:spacing w:afterLines="0" w:line="240" w:lineRule="atLeast"/>
              <w:ind w:firstLine="0" w:firstLineChars="0"/>
              <w:jc w:val="both"/>
              <w:rPr>
                <w:sz w:val="18"/>
                <w:szCs w:val="18"/>
              </w:rPr>
            </w:pPr>
            <w:r>
              <w:rPr>
                <w:rFonts w:hint="eastAsia"/>
                <w:sz w:val="18"/>
                <w:szCs w:val="18"/>
              </w:rPr>
              <w:t>注3：厂区存在堆积物（露天堆放的原料、燃料、废渣等以及垃圾堆放场）、降尘污染的，应将初期雨污水纳入废水排放量，相应的主要污染物纳入水污染当量计算。</w:t>
            </w:r>
          </w:p>
          <w:p>
            <w:pPr>
              <w:pStyle w:val="2057"/>
              <w:spacing w:afterLines="0" w:line="240" w:lineRule="atLeast"/>
              <w:ind w:firstLine="0" w:firstLineChars="0"/>
              <w:jc w:val="both"/>
              <w:rPr>
                <w:sz w:val="18"/>
                <w:szCs w:val="18"/>
              </w:rPr>
            </w:pPr>
            <w:r>
              <w:rPr>
                <w:rFonts w:hint="eastAsia"/>
                <w:sz w:val="18"/>
                <w:szCs w:val="18"/>
              </w:rPr>
              <w:t>注4：建设项目直接排放第一类污染物的，其评价等级为一级；建设项目直接排放的污染物为受纳水体超标因子的，评价等级不低于二级。</w:t>
            </w:r>
          </w:p>
          <w:p>
            <w:pPr>
              <w:pStyle w:val="2057"/>
              <w:spacing w:afterLines="0" w:line="240" w:lineRule="atLeast"/>
              <w:ind w:firstLine="0" w:firstLineChars="0"/>
              <w:jc w:val="both"/>
              <w:rPr>
                <w:sz w:val="18"/>
                <w:szCs w:val="18"/>
              </w:rPr>
            </w:pPr>
            <w:r>
              <w:rPr>
                <w:rFonts w:hint="eastAsia"/>
                <w:sz w:val="18"/>
                <w:szCs w:val="18"/>
              </w:rPr>
              <w:t>注5：直接排放受纳水体影响范围涉及饮用水水源保护区、饮用水取水口、重点保护与珍稀水生生物的栖息地、重要水生生物的自然产卵场等保护目标时，等价等级不低于二级。</w:t>
            </w:r>
          </w:p>
          <w:p>
            <w:pPr>
              <w:pStyle w:val="2057"/>
              <w:spacing w:afterLines="0" w:line="240" w:lineRule="atLeast"/>
              <w:ind w:firstLine="0" w:firstLineChars="0"/>
              <w:jc w:val="both"/>
              <w:rPr>
                <w:sz w:val="18"/>
                <w:szCs w:val="18"/>
              </w:rPr>
            </w:pPr>
            <w:r>
              <w:rPr>
                <w:rFonts w:hint="eastAsia"/>
                <w:sz w:val="18"/>
                <w:szCs w:val="18"/>
              </w:rPr>
              <w:t>注6：建设项目向河流、湖泊排放温排水引起受纳水体水温变化超过水环境质量标准要求，且评价范围有水温敏感目标时，评价等级为一级。</w:t>
            </w:r>
          </w:p>
          <w:p>
            <w:pPr>
              <w:pStyle w:val="2057"/>
              <w:spacing w:afterLines="0" w:line="240" w:lineRule="atLeast"/>
              <w:ind w:firstLine="0" w:firstLineChars="0"/>
              <w:jc w:val="both"/>
              <w:rPr>
                <w:sz w:val="18"/>
                <w:szCs w:val="18"/>
              </w:rPr>
            </w:pPr>
            <w:r>
              <w:rPr>
                <w:rFonts w:hint="eastAsia"/>
                <w:sz w:val="18"/>
                <w:szCs w:val="18"/>
              </w:rPr>
              <w:t>注7：建设项目利用海水作为调节温度介质，排水量≥500万m</w:t>
            </w:r>
            <w:r>
              <w:rPr>
                <w:rFonts w:hint="eastAsia"/>
                <w:sz w:val="18"/>
                <w:szCs w:val="18"/>
                <w:vertAlign w:val="superscript"/>
              </w:rPr>
              <w:t>3</w:t>
            </w:r>
            <w:r>
              <w:rPr>
                <w:rFonts w:hint="eastAsia"/>
                <w:sz w:val="18"/>
                <w:szCs w:val="18"/>
              </w:rPr>
              <w:t>/d，评价等级为一级；排水量&lt;500 万m</w:t>
            </w:r>
            <w:r>
              <w:rPr>
                <w:rFonts w:hint="eastAsia"/>
                <w:sz w:val="18"/>
                <w:szCs w:val="18"/>
                <w:vertAlign w:val="superscript"/>
              </w:rPr>
              <w:t>3</w:t>
            </w:r>
            <w:r>
              <w:rPr>
                <w:rFonts w:hint="eastAsia"/>
                <w:sz w:val="18"/>
                <w:szCs w:val="18"/>
              </w:rPr>
              <w:t>/d，评价等级为二级。</w:t>
            </w:r>
          </w:p>
          <w:p>
            <w:pPr>
              <w:pStyle w:val="2057"/>
              <w:spacing w:afterLines="0" w:line="240" w:lineRule="atLeast"/>
              <w:ind w:firstLine="0" w:firstLineChars="0"/>
              <w:jc w:val="both"/>
              <w:rPr>
                <w:sz w:val="18"/>
                <w:szCs w:val="18"/>
              </w:rPr>
            </w:pPr>
            <w:r>
              <w:rPr>
                <w:rFonts w:hint="eastAsia"/>
                <w:sz w:val="18"/>
                <w:szCs w:val="18"/>
              </w:rPr>
              <w:t>注8：仅涉及清净下水排放的，如其排放水质满足受纳水体水环境质量标准要求的，评价等级为三级A。</w:t>
            </w:r>
          </w:p>
          <w:p>
            <w:pPr>
              <w:pStyle w:val="2057"/>
              <w:spacing w:afterLines="0" w:line="240" w:lineRule="atLeast"/>
              <w:ind w:firstLine="0" w:firstLineChars="0"/>
              <w:jc w:val="both"/>
              <w:rPr>
                <w:sz w:val="18"/>
                <w:szCs w:val="18"/>
              </w:rPr>
            </w:pPr>
            <w:r>
              <w:rPr>
                <w:rFonts w:hint="eastAsia"/>
                <w:sz w:val="18"/>
                <w:szCs w:val="18"/>
              </w:rPr>
              <w:t>注9：依托现有排放口，且对外环境未新增排放污染物的直接排放建设项目，评价等级参照间接排放，定为三级B。</w:t>
            </w:r>
          </w:p>
          <w:p>
            <w:pPr>
              <w:pStyle w:val="2057"/>
              <w:spacing w:afterLines="0" w:line="240" w:lineRule="atLeast"/>
              <w:ind w:firstLine="0" w:firstLineChars="0"/>
              <w:jc w:val="both"/>
              <w:rPr>
                <w:kern w:val="0"/>
                <w:sz w:val="21"/>
                <w:szCs w:val="21"/>
              </w:rPr>
            </w:pPr>
            <w:r>
              <w:rPr>
                <w:rFonts w:hint="eastAsia"/>
                <w:sz w:val="18"/>
                <w:szCs w:val="18"/>
              </w:rPr>
              <w:t>注10：建设项目生产工艺中有废水产生，但作为回水利用，不排放到外环境的，按三级B评价。</w:t>
            </w:r>
          </w:p>
        </w:tc>
      </w:tr>
    </w:tbl>
    <w:p>
      <w:pPr>
        <w:pStyle w:val="458"/>
        <w:ind w:firstLine="468"/>
        <w:rPr>
          <w:rFonts w:cs="Times New Roman"/>
          <w:color w:val="auto"/>
          <w:lang w:val="zh-CN"/>
        </w:rPr>
      </w:pPr>
      <w:r>
        <w:rPr>
          <w:sz w:val="24"/>
          <w:szCs w:val="24"/>
        </w:rPr>
        <w:t>本项目</w:t>
      </w:r>
      <w:r>
        <w:rPr>
          <w:spacing w:val="0"/>
          <w:sz w:val="24"/>
          <w:szCs w:val="24"/>
        </w:rPr>
        <w:t>到港船舶油污水和生活污水</w:t>
      </w:r>
      <w:r>
        <w:rPr>
          <w:rFonts w:hint="default" w:ascii="Times New Roman" w:hAnsi="Times New Roman" w:eastAsia="宋体" w:cs="Times New Roman"/>
          <w:kern w:val="2"/>
          <w:sz w:val="24"/>
          <w:szCs w:val="24"/>
          <w:lang w:val="en-US" w:eastAsia="zh-CN" w:bidi="ar"/>
        </w:rPr>
        <w:t>上岸进入港区专用</w:t>
      </w:r>
      <w:r>
        <w:rPr>
          <w:rFonts w:hint="default" w:eastAsia="宋体" w:cs="Times New Roman"/>
          <w:kern w:val="2"/>
          <w:sz w:val="24"/>
          <w:szCs w:val="24"/>
          <w:lang w:val="en-US" w:eastAsia="zh-CN" w:bidi="ar"/>
        </w:rPr>
        <w:t>接收装置</w:t>
      </w:r>
      <w:r>
        <w:rPr>
          <w:rFonts w:hint="default" w:ascii="Times New Roman" w:hAnsi="Times New Roman" w:eastAsia="宋体" w:cs="Times New Roman"/>
          <w:kern w:val="2"/>
          <w:sz w:val="24"/>
          <w:szCs w:val="24"/>
          <w:lang w:val="en-US" w:eastAsia="zh-CN" w:bidi="ar"/>
        </w:rPr>
        <w:t>，</w:t>
      </w:r>
      <w:r>
        <w:rPr>
          <w:spacing w:val="0"/>
          <w:sz w:val="24"/>
          <w:szCs w:val="24"/>
        </w:rPr>
        <w:t>申请海事部门的环保工作船进行专业收集处理</w:t>
      </w:r>
      <w:r>
        <w:rPr>
          <w:rFonts w:cs="Times New Roman"/>
          <w:color w:val="auto"/>
        </w:rPr>
        <w:t>；</w:t>
      </w:r>
      <w:r>
        <w:rPr>
          <w:rFonts w:cs="Times New Roman"/>
          <w:color w:val="auto"/>
          <w:spacing w:val="-3"/>
          <w:szCs w:val="22"/>
        </w:rPr>
        <w:t>码头平台冲洗废水、初期雨水经围坎</w:t>
      </w:r>
      <w:r>
        <w:rPr>
          <w:rFonts w:cs="Times New Roman"/>
          <w:color w:val="auto"/>
        </w:rPr>
        <w:t>收集后进入污水收集池，</w:t>
      </w:r>
      <w:r>
        <w:rPr>
          <w:rFonts w:cs="Times New Roman"/>
          <w:color w:val="auto"/>
          <w:szCs w:val="28"/>
        </w:rPr>
        <w:t>收集池内设置排污泵，定期将污水输送至后方陆域工程区</w:t>
      </w:r>
      <w:r>
        <w:rPr>
          <w:rFonts w:cs="Times New Roman"/>
          <w:color w:val="auto"/>
          <w:spacing w:val="4"/>
        </w:rPr>
        <w:t>，进行处理</w:t>
      </w:r>
      <w:r>
        <w:rPr>
          <w:rFonts w:hint="eastAsia" w:cs="Times New Roman"/>
          <w:color w:val="auto"/>
          <w:spacing w:val="4"/>
        </w:rPr>
        <w:t>后回用</w:t>
      </w:r>
      <w:r>
        <w:rPr>
          <w:rFonts w:cs="Times New Roman"/>
          <w:color w:val="auto"/>
        </w:rPr>
        <w:t>，</w:t>
      </w:r>
      <w:r>
        <w:rPr>
          <w:rFonts w:cs="Times New Roman"/>
          <w:color w:val="auto"/>
          <w:spacing w:val="-3"/>
          <w:szCs w:val="22"/>
        </w:rPr>
        <w:t>不外排</w:t>
      </w:r>
      <w:r>
        <w:rPr>
          <w:rFonts w:hint="eastAsia" w:cs="Times New Roman"/>
          <w:color w:val="auto"/>
          <w:spacing w:val="-3"/>
          <w:szCs w:val="22"/>
        </w:rPr>
        <w:t>，后方陆域员工生活污水通过处理装置处理后排入市政管网，进入</w:t>
      </w:r>
      <w:r>
        <w:rPr>
          <w:rFonts w:hint="eastAsia"/>
          <w:lang w:val="en-US" w:eastAsia="zh-CN"/>
        </w:rPr>
        <w:t>临港水质净化厂</w:t>
      </w:r>
      <w:r>
        <w:rPr>
          <w:rFonts w:cs="Times New Roman"/>
          <w:color w:val="auto"/>
          <w:lang w:val="zh-CN"/>
        </w:rPr>
        <w:t>。</w:t>
      </w:r>
      <w:r>
        <w:rPr>
          <w:rFonts w:hint="eastAsia" w:cs="Times New Roman"/>
          <w:color w:val="auto"/>
          <w:lang w:val="zh-CN"/>
        </w:rPr>
        <w:t>根据上文</w:t>
      </w:r>
      <w:r>
        <w:rPr>
          <w:rFonts w:cs="Times New Roman"/>
          <w:color w:val="auto"/>
          <w:lang w:val="zh-CN"/>
        </w:rPr>
        <w:t>表1-3</w:t>
      </w:r>
      <w:r>
        <w:rPr>
          <w:rFonts w:hint="eastAsia" w:cs="Times New Roman"/>
          <w:color w:val="auto"/>
          <w:lang w:val="zh-CN"/>
        </w:rPr>
        <w:t>判定依据</w:t>
      </w:r>
      <w:r>
        <w:rPr>
          <w:rFonts w:cs="Times New Roman"/>
          <w:color w:val="auto"/>
          <w:lang w:val="zh-CN"/>
        </w:rPr>
        <w:t>，本项目水污染评价工作等级为</w:t>
      </w:r>
      <w:r>
        <w:rPr>
          <w:rFonts w:cs="Times New Roman"/>
          <w:b/>
          <w:color w:val="auto"/>
          <w:lang w:val="zh-CN"/>
        </w:rPr>
        <w:t>三级B</w:t>
      </w:r>
      <w:r>
        <w:rPr>
          <w:rFonts w:cs="Times New Roman"/>
          <w:color w:val="auto"/>
          <w:lang w:val="zh-CN"/>
        </w:rPr>
        <w:t>评价的要求。</w:t>
      </w:r>
    </w:p>
    <w:p>
      <w:pPr>
        <w:ind w:firstLine="480"/>
      </w:pPr>
      <w:r>
        <w:rPr>
          <w:rFonts w:hint="eastAsia"/>
        </w:rPr>
        <w:t>（2）水文要素影响型</w:t>
      </w:r>
    </w:p>
    <w:p>
      <w:pPr>
        <w:pStyle w:val="458"/>
        <w:ind w:firstLine="480"/>
      </w:pPr>
      <w:r>
        <w:rPr>
          <w:rFonts w:hint="eastAsia"/>
        </w:rPr>
        <w:t>根据《环境影响评价技术导则 地表水环境》（HJ2.3-2018），</w:t>
      </w:r>
      <w:r>
        <w:rPr>
          <w:rFonts w:cs="Times New Roman"/>
          <w:color w:val="auto"/>
        </w:rPr>
        <w:t>水文要素影响型评价等级按照水温、径流与受影响地表水域等三类水文要素的影响程度进行判定，具体判定依据见表1-4。</w:t>
      </w:r>
      <w:r>
        <w:rPr>
          <w:rFonts w:hint="eastAsia"/>
        </w:rPr>
        <w:t>根据《水运工程建设项目环境影响评价指南》（</w:t>
      </w:r>
      <w:r>
        <w:t>JTS/T105-2021</w:t>
      </w:r>
      <w:r>
        <w:rPr>
          <w:rFonts w:hint="eastAsia"/>
        </w:rPr>
        <w:t>），水环境影响评价等级</w:t>
      </w:r>
      <w:r>
        <w:rPr>
          <w:rFonts w:cs="Times New Roman"/>
          <w:color w:val="auto"/>
        </w:rPr>
        <w:t>按照</w:t>
      </w:r>
      <w:r>
        <w:rPr>
          <w:rFonts w:hint="eastAsia"/>
        </w:rPr>
        <w:t>水文动力环境、冲淤环境、水质和沉积物环境</w:t>
      </w:r>
      <w:r>
        <w:rPr>
          <w:rFonts w:cs="Times New Roman"/>
          <w:color w:val="auto"/>
        </w:rPr>
        <w:t>等进行判定</w:t>
      </w:r>
      <w:r>
        <w:rPr>
          <w:rFonts w:hint="eastAsia" w:cs="Times New Roman"/>
          <w:color w:val="auto"/>
        </w:rPr>
        <w:t>，</w:t>
      </w:r>
      <w:r>
        <w:rPr>
          <w:rFonts w:cs="Times New Roman"/>
          <w:color w:val="auto"/>
        </w:rPr>
        <w:t>判定依据见表1-5。</w:t>
      </w:r>
    </w:p>
    <w:p>
      <w:pPr>
        <w:pStyle w:val="619"/>
        <w:rPr>
          <w:rFonts w:cs="Times New Roman"/>
        </w:rPr>
      </w:pPr>
      <w:r>
        <w:rPr>
          <w:rFonts w:cs="Times New Roman"/>
        </w:rPr>
        <w:t>水文要素影响型建设项目评价等级判定表</w:t>
      </w:r>
    </w:p>
    <w:tbl>
      <w:tblPr>
        <w:tblStyle w:val="87"/>
        <w:tblW w:w="9041" w:type="dxa"/>
        <w:jc w:val="center"/>
        <w:tblLayout w:type="fixed"/>
        <w:tblCellMar>
          <w:top w:w="0" w:type="dxa"/>
          <w:left w:w="0" w:type="dxa"/>
          <w:bottom w:w="0" w:type="dxa"/>
          <w:right w:w="0" w:type="dxa"/>
        </w:tblCellMar>
      </w:tblPr>
      <w:tblGrid>
        <w:gridCol w:w="504"/>
        <w:gridCol w:w="1446"/>
        <w:gridCol w:w="1446"/>
        <w:gridCol w:w="928"/>
        <w:gridCol w:w="1533"/>
        <w:gridCol w:w="1425"/>
        <w:gridCol w:w="1759"/>
      </w:tblGrid>
      <w:tr>
        <w:tblPrEx>
          <w:tblCellMar>
            <w:top w:w="0" w:type="dxa"/>
            <w:left w:w="0" w:type="dxa"/>
            <w:bottom w:w="0" w:type="dxa"/>
            <w:right w:w="0" w:type="dxa"/>
          </w:tblCellMar>
        </w:tblPrEx>
        <w:trPr>
          <w:trHeight w:val="359" w:hRule="exact"/>
          <w:jc w:val="center"/>
        </w:trPr>
        <w:tc>
          <w:tcPr>
            <w:tcW w:w="504" w:type="dxa"/>
            <w:vMerge w:val="restart"/>
            <w:tcBorders>
              <w:top w:val="single" w:color="000000" w:sz="12" w:space="0"/>
              <w:left w:val="single" w:color="000000" w:sz="12"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72" w:lineRule="exact"/>
              <w:ind w:left="29" w:right="30" w:firstLine="0" w:firstLineChars="0"/>
              <w:jc w:val="left"/>
              <w:rPr>
                <w:kern w:val="0"/>
              </w:rPr>
            </w:pPr>
            <w:r>
              <w:rPr>
                <w:spacing w:val="1"/>
                <w:kern w:val="0"/>
                <w:sz w:val="21"/>
                <w:szCs w:val="21"/>
              </w:rPr>
              <w:t>评价 等级</w:t>
            </w:r>
          </w:p>
        </w:tc>
        <w:tc>
          <w:tcPr>
            <w:tcW w:w="1446" w:type="dxa"/>
            <w:tcBorders>
              <w:top w:val="single" w:color="000000" w:sz="12"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72" w:lineRule="exact"/>
              <w:ind w:left="84" w:right="85" w:firstLine="0" w:firstLineChars="0"/>
              <w:jc w:val="center"/>
              <w:rPr>
                <w:kern w:val="0"/>
              </w:rPr>
            </w:pPr>
            <w:r>
              <w:rPr>
                <w:spacing w:val="1"/>
                <w:kern w:val="0"/>
                <w:sz w:val="21"/>
                <w:szCs w:val="21"/>
              </w:rPr>
              <w:t>水温</w:t>
            </w:r>
          </w:p>
        </w:tc>
        <w:tc>
          <w:tcPr>
            <w:tcW w:w="2374" w:type="dxa"/>
            <w:gridSpan w:val="2"/>
            <w:tcBorders>
              <w:top w:val="single" w:color="000000" w:sz="12"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72" w:lineRule="exact"/>
              <w:ind w:right="2" w:firstLine="0" w:firstLineChars="0"/>
              <w:jc w:val="center"/>
              <w:rPr>
                <w:kern w:val="0"/>
              </w:rPr>
            </w:pPr>
            <w:r>
              <w:rPr>
                <w:spacing w:val="1"/>
                <w:kern w:val="0"/>
                <w:sz w:val="21"/>
                <w:szCs w:val="21"/>
              </w:rPr>
              <w:t>径流</w:t>
            </w:r>
          </w:p>
        </w:tc>
        <w:tc>
          <w:tcPr>
            <w:tcW w:w="4717" w:type="dxa"/>
            <w:gridSpan w:val="3"/>
            <w:tcBorders>
              <w:top w:val="single" w:color="000000" w:sz="12" w:space="0"/>
              <w:left w:val="single" w:color="000000" w:sz="4" w:space="0"/>
              <w:bottom w:val="single" w:color="000000" w:sz="4" w:space="0"/>
              <w:right w:val="single" w:color="000000" w:sz="12" w:space="0"/>
            </w:tcBorders>
            <w:shd w:val="clear" w:color="auto" w:fill="auto"/>
            <w:vAlign w:val="center"/>
          </w:tcPr>
          <w:p>
            <w:pPr>
              <w:tabs>
                <w:tab w:val="clear" w:pos="480"/>
              </w:tabs>
              <w:kinsoku w:val="0"/>
              <w:overflowPunct w:val="0"/>
              <w:autoSpaceDE w:val="0"/>
              <w:autoSpaceDN w:val="0"/>
              <w:adjustRightInd w:val="0"/>
              <w:spacing w:line="272" w:lineRule="exact"/>
              <w:ind w:right="2" w:firstLine="0" w:firstLineChars="0"/>
              <w:jc w:val="center"/>
              <w:rPr>
                <w:kern w:val="0"/>
              </w:rPr>
            </w:pPr>
            <w:r>
              <w:rPr>
                <w:spacing w:val="1"/>
                <w:kern w:val="0"/>
                <w:sz w:val="21"/>
                <w:szCs w:val="21"/>
              </w:rPr>
              <w:t>受影响</w:t>
            </w:r>
            <w:r>
              <w:rPr>
                <w:kern w:val="0"/>
                <w:sz w:val="21"/>
                <w:szCs w:val="21"/>
              </w:rPr>
              <w:t>地表</w:t>
            </w:r>
            <w:r>
              <w:rPr>
                <w:spacing w:val="1"/>
                <w:kern w:val="0"/>
                <w:sz w:val="21"/>
                <w:szCs w:val="21"/>
              </w:rPr>
              <w:t>水</w:t>
            </w:r>
            <w:r>
              <w:rPr>
                <w:kern w:val="0"/>
                <w:sz w:val="21"/>
                <w:szCs w:val="21"/>
              </w:rPr>
              <w:t>域</w:t>
            </w:r>
          </w:p>
        </w:tc>
      </w:tr>
      <w:tr>
        <w:tblPrEx>
          <w:tblCellMar>
            <w:top w:w="0" w:type="dxa"/>
            <w:left w:w="0" w:type="dxa"/>
            <w:bottom w:w="0" w:type="dxa"/>
            <w:right w:w="0" w:type="dxa"/>
          </w:tblCellMar>
        </w:tblPrEx>
        <w:trPr>
          <w:trHeight w:val="1753" w:hRule="exact"/>
          <w:jc w:val="center"/>
        </w:trPr>
        <w:tc>
          <w:tcPr>
            <w:tcW w:w="504" w:type="dxa"/>
            <w:vMerge w:val="continue"/>
            <w:tcBorders>
              <w:top w:val="single" w:color="000000" w:sz="12" w:space="0"/>
              <w:left w:val="single" w:color="000000" w:sz="12"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72" w:lineRule="exact"/>
              <w:ind w:right="2" w:firstLine="0" w:firstLineChars="0"/>
              <w:jc w:val="center"/>
              <w:rPr>
                <w:kern w:val="0"/>
              </w:rPr>
            </w:pPr>
          </w:p>
        </w:tc>
        <w:tc>
          <w:tcPr>
            <w:tcW w:w="144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00" w:lineRule="exact"/>
              <w:ind w:firstLine="0" w:firstLineChars="0"/>
              <w:jc w:val="left"/>
              <w:rPr>
                <w:kern w:val="0"/>
                <w:sz w:val="20"/>
                <w:szCs w:val="20"/>
              </w:rPr>
            </w:pPr>
          </w:p>
          <w:p>
            <w:pPr>
              <w:tabs>
                <w:tab w:val="clear" w:pos="480"/>
              </w:tabs>
              <w:kinsoku w:val="0"/>
              <w:overflowPunct w:val="0"/>
              <w:autoSpaceDE w:val="0"/>
              <w:autoSpaceDN w:val="0"/>
              <w:adjustRightInd w:val="0"/>
              <w:spacing w:before="1" w:line="220" w:lineRule="exact"/>
              <w:ind w:firstLine="0" w:firstLineChars="0"/>
              <w:jc w:val="left"/>
              <w:rPr>
                <w:kern w:val="0"/>
                <w:sz w:val="22"/>
                <w:szCs w:val="22"/>
              </w:rPr>
            </w:pPr>
          </w:p>
          <w:p>
            <w:pPr>
              <w:tabs>
                <w:tab w:val="clear" w:pos="480"/>
              </w:tabs>
              <w:kinsoku w:val="0"/>
              <w:overflowPunct w:val="0"/>
              <w:autoSpaceDE w:val="0"/>
              <w:autoSpaceDN w:val="0"/>
              <w:adjustRightInd w:val="0"/>
              <w:spacing w:line="272" w:lineRule="exact"/>
              <w:ind w:left="83" w:right="88" w:firstLine="0" w:firstLineChars="0"/>
              <w:jc w:val="center"/>
              <w:rPr>
                <w:kern w:val="0"/>
              </w:rPr>
            </w:pPr>
            <w:r>
              <w:rPr>
                <w:spacing w:val="1"/>
                <w:kern w:val="0"/>
                <w:sz w:val="21"/>
                <w:szCs w:val="21"/>
              </w:rPr>
              <w:t>年径流</w:t>
            </w:r>
            <w:r>
              <w:rPr>
                <w:kern w:val="0"/>
                <w:sz w:val="21"/>
                <w:szCs w:val="21"/>
              </w:rPr>
              <w:t>量与总</w:t>
            </w:r>
            <w:r>
              <w:rPr>
                <w:spacing w:val="1"/>
                <w:kern w:val="0"/>
                <w:sz w:val="21"/>
                <w:szCs w:val="21"/>
              </w:rPr>
              <w:t>库容百</w:t>
            </w:r>
            <w:r>
              <w:rPr>
                <w:kern w:val="0"/>
                <w:sz w:val="21"/>
                <w:szCs w:val="21"/>
              </w:rPr>
              <w:t>分比</w:t>
            </w:r>
            <w:r>
              <w:rPr>
                <w:b/>
                <w:bCs/>
                <w:kern w:val="0"/>
                <w:sz w:val="21"/>
                <w:szCs w:val="21"/>
              </w:rPr>
              <w:t>α/%</w:t>
            </w:r>
          </w:p>
        </w:tc>
        <w:tc>
          <w:tcPr>
            <w:tcW w:w="144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00" w:lineRule="exact"/>
              <w:ind w:firstLine="0" w:firstLineChars="0"/>
              <w:jc w:val="left"/>
              <w:rPr>
                <w:kern w:val="0"/>
                <w:sz w:val="20"/>
                <w:szCs w:val="20"/>
              </w:rPr>
            </w:pPr>
          </w:p>
          <w:p>
            <w:pPr>
              <w:tabs>
                <w:tab w:val="clear" w:pos="480"/>
              </w:tabs>
              <w:kinsoku w:val="0"/>
              <w:overflowPunct w:val="0"/>
              <w:autoSpaceDE w:val="0"/>
              <w:autoSpaceDN w:val="0"/>
              <w:adjustRightInd w:val="0"/>
              <w:spacing w:before="1" w:line="220" w:lineRule="exact"/>
              <w:ind w:firstLine="0" w:firstLineChars="0"/>
              <w:jc w:val="left"/>
              <w:rPr>
                <w:kern w:val="0"/>
                <w:sz w:val="22"/>
                <w:szCs w:val="22"/>
              </w:rPr>
            </w:pPr>
          </w:p>
          <w:p>
            <w:pPr>
              <w:tabs>
                <w:tab w:val="clear" w:pos="480"/>
              </w:tabs>
              <w:kinsoku w:val="0"/>
              <w:overflowPunct w:val="0"/>
              <w:autoSpaceDE w:val="0"/>
              <w:autoSpaceDN w:val="0"/>
              <w:adjustRightInd w:val="0"/>
              <w:spacing w:line="272" w:lineRule="exact"/>
              <w:ind w:left="83" w:right="88" w:firstLine="0" w:firstLineChars="0"/>
              <w:jc w:val="center"/>
              <w:rPr>
                <w:kern w:val="0"/>
              </w:rPr>
            </w:pPr>
            <w:r>
              <w:rPr>
                <w:spacing w:val="1"/>
                <w:kern w:val="0"/>
                <w:sz w:val="21"/>
                <w:szCs w:val="21"/>
              </w:rPr>
              <w:t>兴利库</w:t>
            </w:r>
            <w:r>
              <w:rPr>
                <w:kern w:val="0"/>
                <w:sz w:val="21"/>
                <w:szCs w:val="21"/>
              </w:rPr>
              <w:t>容与年</w:t>
            </w:r>
            <w:r>
              <w:rPr>
                <w:spacing w:val="1"/>
                <w:kern w:val="0"/>
                <w:sz w:val="21"/>
                <w:szCs w:val="21"/>
              </w:rPr>
              <w:t>径流量</w:t>
            </w:r>
            <w:r>
              <w:rPr>
                <w:kern w:val="0"/>
                <w:sz w:val="21"/>
                <w:szCs w:val="21"/>
              </w:rPr>
              <w:t>百分比</w:t>
            </w:r>
            <w:r>
              <w:rPr>
                <w:b/>
                <w:bCs/>
                <w:kern w:val="0"/>
                <w:sz w:val="21"/>
                <w:szCs w:val="21"/>
              </w:rPr>
              <w:t>β</w:t>
            </w:r>
            <w:r>
              <w:rPr>
                <w:b/>
                <w:bCs/>
                <w:spacing w:val="1"/>
                <w:kern w:val="0"/>
                <w:sz w:val="21"/>
                <w:szCs w:val="21"/>
              </w:rPr>
              <w:t>/</w:t>
            </w:r>
            <w:r>
              <w:rPr>
                <w:b/>
                <w:bCs/>
                <w:kern w:val="0"/>
                <w:sz w:val="21"/>
                <w:szCs w:val="21"/>
              </w:rPr>
              <w:t>%</w:t>
            </w:r>
          </w:p>
        </w:tc>
        <w:tc>
          <w:tcPr>
            <w:tcW w:w="9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before="9" w:line="260" w:lineRule="exact"/>
              <w:ind w:firstLine="0" w:firstLineChars="0"/>
              <w:jc w:val="left"/>
              <w:rPr>
                <w:kern w:val="0"/>
                <w:sz w:val="26"/>
                <w:szCs w:val="26"/>
              </w:rPr>
            </w:pPr>
          </w:p>
          <w:p>
            <w:pPr>
              <w:tabs>
                <w:tab w:val="clear" w:pos="480"/>
              </w:tabs>
              <w:kinsoku w:val="0"/>
              <w:overflowPunct w:val="0"/>
              <w:autoSpaceDE w:val="0"/>
              <w:autoSpaceDN w:val="0"/>
              <w:adjustRightInd w:val="0"/>
              <w:spacing w:line="272" w:lineRule="exact"/>
              <w:ind w:left="35" w:right="36" w:firstLine="0" w:firstLineChars="0"/>
              <w:jc w:val="center"/>
              <w:rPr>
                <w:kern w:val="0"/>
              </w:rPr>
            </w:pPr>
            <w:r>
              <w:rPr>
                <w:spacing w:val="1"/>
                <w:kern w:val="0"/>
                <w:sz w:val="21"/>
                <w:szCs w:val="21"/>
              </w:rPr>
              <w:t>取水量占多年平均径流量百分比</w:t>
            </w:r>
            <w:r>
              <w:rPr>
                <w:b/>
                <w:bCs/>
                <w:kern w:val="0"/>
                <w:sz w:val="21"/>
                <w:szCs w:val="21"/>
              </w:rPr>
              <w:t>γ/%</w:t>
            </w:r>
          </w:p>
        </w:tc>
        <w:tc>
          <w:tcPr>
            <w:tcW w:w="295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72" w:lineRule="exact"/>
              <w:ind w:left="35" w:right="36" w:firstLine="0" w:firstLineChars="0"/>
              <w:jc w:val="center"/>
              <w:rPr>
                <w:spacing w:val="1"/>
                <w:kern w:val="0"/>
                <w:sz w:val="21"/>
                <w:szCs w:val="21"/>
              </w:rPr>
            </w:pPr>
            <w:r>
              <w:rPr>
                <w:spacing w:val="1"/>
                <w:kern w:val="0"/>
                <w:sz w:val="21"/>
                <w:szCs w:val="21"/>
              </w:rPr>
              <w:t>工程垂直投影面积及外扩范围</w:t>
            </w:r>
          </w:p>
          <w:p>
            <w:pPr>
              <w:tabs>
                <w:tab w:val="clear" w:pos="480"/>
              </w:tabs>
              <w:kinsoku w:val="0"/>
              <w:overflowPunct w:val="0"/>
              <w:autoSpaceDE w:val="0"/>
              <w:autoSpaceDN w:val="0"/>
              <w:adjustRightInd w:val="0"/>
              <w:spacing w:line="272" w:lineRule="exact"/>
              <w:ind w:left="35" w:right="36" w:firstLine="0" w:firstLineChars="0"/>
              <w:jc w:val="center"/>
              <w:rPr>
                <w:sz w:val="21"/>
                <w:szCs w:val="21"/>
              </w:rPr>
            </w:pPr>
            <w:r>
              <w:rPr>
                <w:b/>
                <w:bCs/>
                <w:spacing w:val="-1"/>
                <w:sz w:val="21"/>
                <w:szCs w:val="21"/>
              </w:rPr>
              <w:t>A</w:t>
            </w:r>
            <w:r>
              <w:rPr>
                <w:b/>
                <w:bCs/>
                <w:sz w:val="13"/>
                <w:szCs w:val="13"/>
              </w:rPr>
              <w:t>1</w:t>
            </w:r>
            <w:r>
              <w:rPr>
                <w:b/>
                <w:bCs/>
                <w:sz w:val="21"/>
                <w:szCs w:val="21"/>
              </w:rPr>
              <w:t>/km</w:t>
            </w:r>
            <w:r>
              <w:rPr>
                <w:b/>
                <w:bCs/>
                <w:spacing w:val="17"/>
                <w:sz w:val="21"/>
                <w:szCs w:val="21"/>
                <w:vertAlign w:val="superscript"/>
              </w:rPr>
              <w:t>2</w:t>
            </w:r>
            <w:r>
              <w:rPr>
                <w:spacing w:val="1"/>
                <w:sz w:val="21"/>
                <w:szCs w:val="21"/>
              </w:rPr>
              <w:t>工</w:t>
            </w:r>
            <w:r>
              <w:rPr>
                <w:sz w:val="21"/>
                <w:szCs w:val="21"/>
              </w:rPr>
              <w:t>程</w:t>
            </w:r>
            <w:r>
              <w:rPr>
                <w:spacing w:val="1"/>
                <w:sz w:val="21"/>
                <w:szCs w:val="21"/>
              </w:rPr>
              <w:t>扰动水</w:t>
            </w:r>
            <w:r>
              <w:rPr>
                <w:sz w:val="21"/>
                <w:szCs w:val="21"/>
              </w:rPr>
              <w:t>底面积</w:t>
            </w:r>
          </w:p>
          <w:p>
            <w:pPr>
              <w:tabs>
                <w:tab w:val="clear" w:pos="480"/>
              </w:tabs>
              <w:kinsoku w:val="0"/>
              <w:overflowPunct w:val="0"/>
              <w:autoSpaceDE w:val="0"/>
              <w:autoSpaceDN w:val="0"/>
              <w:adjustRightInd w:val="0"/>
              <w:spacing w:line="272" w:lineRule="exact"/>
              <w:ind w:left="35" w:right="36" w:firstLine="0" w:firstLineChars="0"/>
              <w:jc w:val="center"/>
              <w:rPr>
                <w:kern w:val="0"/>
                <w:sz w:val="20"/>
                <w:szCs w:val="20"/>
              </w:rPr>
            </w:pPr>
            <w:r>
              <w:rPr>
                <w:b/>
                <w:bCs/>
                <w:spacing w:val="-1"/>
                <w:sz w:val="21"/>
                <w:szCs w:val="21"/>
              </w:rPr>
              <w:t>A</w:t>
            </w:r>
            <w:r>
              <w:rPr>
                <w:b/>
                <w:bCs/>
                <w:sz w:val="13"/>
                <w:szCs w:val="13"/>
              </w:rPr>
              <w:t>2</w:t>
            </w:r>
            <w:r>
              <w:rPr>
                <w:b/>
                <w:bCs/>
                <w:sz w:val="21"/>
                <w:szCs w:val="21"/>
              </w:rPr>
              <w:t>/km</w:t>
            </w:r>
            <w:r>
              <w:rPr>
                <w:b/>
                <w:bCs/>
                <w:spacing w:val="17"/>
                <w:sz w:val="21"/>
                <w:szCs w:val="21"/>
                <w:vertAlign w:val="superscript"/>
              </w:rPr>
              <w:t>2</w:t>
            </w:r>
            <w:r>
              <w:rPr>
                <w:spacing w:val="1"/>
                <w:sz w:val="21"/>
                <w:szCs w:val="21"/>
              </w:rPr>
              <w:t>过</w:t>
            </w:r>
            <w:r>
              <w:rPr>
                <w:sz w:val="21"/>
                <w:szCs w:val="21"/>
              </w:rPr>
              <w:t>水</w:t>
            </w:r>
            <w:r>
              <w:rPr>
                <w:spacing w:val="1"/>
                <w:sz w:val="21"/>
                <w:szCs w:val="21"/>
              </w:rPr>
              <w:t>断面宽</w:t>
            </w:r>
            <w:r>
              <w:rPr>
                <w:sz w:val="21"/>
                <w:szCs w:val="21"/>
              </w:rPr>
              <w:t>度占</w:t>
            </w:r>
            <w:r>
              <w:rPr>
                <w:spacing w:val="1"/>
                <w:sz w:val="21"/>
                <w:szCs w:val="21"/>
              </w:rPr>
              <w:t>用比</w:t>
            </w:r>
            <w:r>
              <w:rPr>
                <w:sz w:val="21"/>
                <w:szCs w:val="21"/>
              </w:rPr>
              <w:t>例</w:t>
            </w:r>
            <w:r>
              <w:rPr>
                <w:spacing w:val="1"/>
                <w:kern w:val="0"/>
                <w:sz w:val="21"/>
                <w:szCs w:val="21"/>
              </w:rPr>
              <w:t>或占用水域面积比例</w:t>
            </w:r>
            <w:r>
              <w:rPr>
                <w:b/>
                <w:spacing w:val="1"/>
                <w:kern w:val="0"/>
                <w:sz w:val="21"/>
                <w:szCs w:val="21"/>
              </w:rPr>
              <w:t>R/%</w:t>
            </w:r>
          </w:p>
        </w:tc>
        <w:tc>
          <w:tcPr>
            <w:tcW w:w="1759" w:type="dxa"/>
            <w:tcBorders>
              <w:top w:val="single" w:color="000000" w:sz="4" w:space="0"/>
              <w:left w:val="single" w:color="000000" w:sz="4" w:space="0"/>
              <w:bottom w:val="single" w:color="000000" w:sz="4" w:space="0"/>
              <w:right w:val="single" w:color="000000" w:sz="12" w:space="0"/>
            </w:tcBorders>
            <w:shd w:val="clear" w:color="auto" w:fill="auto"/>
            <w:vAlign w:val="center"/>
          </w:tcPr>
          <w:p>
            <w:pPr>
              <w:tabs>
                <w:tab w:val="clear" w:pos="480"/>
              </w:tabs>
              <w:kinsoku w:val="0"/>
              <w:overflowPunct w:val="0"/>
              <w:autoSpaceDE w:val="0"/>
              <w:autoSpaceDN w:val="0"/>
              <w:adjustRightInd w:val="0"/>
              <w:spacing w:line="272" w:lineRule="exact"/>
              <w:ind w:left="35" w:right="36" w:firstLine="0" w:firstLineChars="0"/>
              <w:jc w:val="center"/>
              <w:rPr>
                <w:spacing w:val="1"/>
                <w:kern w:val="0"/>
                <w:sz w:val="21"/>
                <w:szCs w:val="21"/>
                <w:vertAlign w:val="superscript"/>
              </w:rPr>
            </w:pPr>
            <w:r>
              <w:rPr>
                <w:spacing w:val="1"/>
                <w:kern w:val="0"/>
                <w:sz w:val="21"/>
                <w:szCs w:val="21"/>
              </w:rPr>
              <w:t>工程垂直投影面积及外扩范围</w:t>
            </w:r>
            <w:r>
              <w:rPr>
                <w:b/>
                <w:spacing w:val="-1"/>
                <w:kern w:val="0"/>
                <w:sz w:val="21"/>
                <w:szCs w:val="21"/>
              </w:rPr>
              <w:t>A</w:t>
            </w:r>
            <w:r>
              <w:rPr>
                <w:b/>
                <w:kern w:val="0"/>
                <w:sz w:val="13"/>
                <w:szCs w:val="13"/>
              </w:rPr>
              <w:t>1</w:t>
            </w:r>
            <w:r>
              <w:rPr>
                <w:b/>
                <w:spacing w:val="1"/>
                <w:kern w:val="0"/>
                <w:sz w:val="21"/>
                <w:szCs w:val="21"/>
              </w:rPr>
              <w:t>/km</w:t>
            </w:r>
            <w:r>
              <w:rPr>
                <w:b/>
                <w:spacing w:val="1"/>
                <w:kern w:val="0"/>
                <w:sz w:val="21"/>
                <w:szCs w:val="21"/>
                <w:vertAlign w:val="superscript"/>
              </w:rPr>
              <w:t>2</w:t>
            </w:r>
          </w:p>
          <w:p>
            <w:pPr>
              <w:tabs>
                <w:tab w:val="clear" w:pos="480"/>
              </w:tabs>
              <w:kinsoku w:val="0"/>
              <w:overflowPunct w:val="0"/>
              <w:autoSpaceDE w:val="0"/>
              <w:autoSpaceDN w:val="0"/>
              <w:adjustRightInd w:val="0"/>
              <w:spacing w:line="272" w:lineRule="exact"/>
              <w:ind w:left="35" w:right="36" w:firstLine="0" w:firstLineChars="0"/>
              <w:jc w:val="center"/>
              <w:rPr>
                <w:kern w:val="0"/>
                <w:sz w:val="20"/>
                <w:szCs w:val="20"/>
              </w:rPr>
            </w:pPr>
            <w:r>
              <w:rPr>
                <w:spacing w:val="1"/>
                <w:kern w:val="0"/>
                <w:sz w:val="21"/>
                <w:szCs w:val="21"/>
              </w:rPr>
              <w:t>工程扰动水底面积</w:t>
            </w:r>
            <w:r>
              <w:rPr>
                <w:b/>
                <w:spacing w:val="-1"/>
                <w:kern w:val="0"/>
                <w:sz w:val="21"/>
                <w:szCs w:val="21"/>
              </w:rPr>
              <w:t>A</w:t>
            </w:r>
            <w:r>
              <w:rPr>
                <w:b/>
                <w:kern w:val="0"/>
                <w:sz w:val="13"/>
                <w:szCs w:val="13"/>
              </w:rPr>
              <w:t>2</w:t>
            </w:r>
            <w:r>
              <w:rPr>
                <w:b/>
                <w:spacing w:val="1"/>
                <w:kern w:val="0"/>
                <w:sz w:val="21"/>
                <w:szCs w:val="21"/>
              </w:rPr>
              <w:t>/km</w:t>
            </w:r>
            <w:r>
              <w:rPr>
                <w:b/>
                <w:spacing w:val="1"/>
                <w:kern w:val="0"/>
                <w:sz w:val="21"/>
                <w:szCs w:val="21"/>
                <w:vertAlign w:val="superscript"/>
              </w:rPr>
              <w:t>2</w:t>
            </w:r>
          </w:p>
        </w:tc>
      </w:tr>
      <w:tr>
        <w:tblPrEx>
          <w:tblCellMar>
            <w:top w:w="0" w:type="dxa"/>
            <w:left w:w="0" w:type="dxa"/>
            <w:bottom w:w="0" w:type="dxa"/>
            <w:right w:w="0" w:type="dxa"/>
          </w:tblCellMar>
        </w:tblPrEx>
        <w:trPr>
          <w:trHeight w:val="554" w:hRule="exact"/>
          <w:jc w:val="center"/>
        </w:trPr>
        <w:tc>
          <w:tcPr>
            <w:tcW w:w="504" w:type="dxa"/>
            <w:vMerge w:val="continue"/>
            <w:tcBorders>
              <w:top w:val="single" w:color="000000" w:sz="12" w:space="0"/>
              <w:left w:val="single" w:color="000000" w:sz="12"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before="27" w:line="240" w:lineRule="auto"/>
              <w:ind w:left="58" w:right="59" w:firstLine="0" w:firstLineChars="0"/>
              <w:jc w:val="center"/>
              <w:rPr>
                <w:kern w:val="0"/>
              </w:rPr>
            </w:pPr>
          </w:p>
        </w:tc>
        <w:tc>
          <w:tcPr>
            <w:tcW w:w="144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before="27" w:line="240" w:lineRule="auto"/>
              <w:ind w:left="58" w:right="59" w:firstLine="0" w:firstLineChars="0"/>
              <w:jc w:val="center"/>
              <w:rPr>
                <w:kern w:val="0"/>
              </w:rPr>
            </w:pPr>
          </w:p>
        </w:tc>
        <w:tc>
          <w:tcPr>
            <w:tcW w:w="144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before="27" w:line="240" w:lineRule="auto"/>
              <w:ind w:left="58" w:right="59" w:firstLine="0" w:firstLineChars="0"/>
              <w:jc w:val="center"/>
              <w:rPr>
                <w:kern w:val="0"/>
              </w:rPr>
            </w:pPr>
          </w:p>
        </w:tc>
        <w:tc>
          <w:tcPr>
            <w:tcW w:w="9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before="27" w:line="240" w:lineRule="auto"/>
              <w:ind w:left="58" w:right="59" w:firstLine="0" w:firstLineChars="0"/>
              <w:jc w:val="center"/>
              <w:rPr>
                <w:kern w:val="0"/>
              </w:rPr>
            </w:pPr>
          </w:p>
        </w:tc>
        <w:tc>
          <w:tcPr>
            <w:tcW w:w="1533"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72" w:lineRule="exact"/>
              <w:ind w:left="83" w:right="88" w:firstLine="0" w:firstLineChars="0"/>
              <w:jc w:val="center"/>
              <w:rPr>
                <w:spacing w:val="1"/>
                <w:kern w:val="0"/>
                <w:sz w:val="21"/>
                <w:szCs w:val="21"/>
              </w:rPr>
            </w:pPr>
            <w:r>
              <w:rPr>
                <w:spacing w:val="1"/>
                <w:kern w:val="0"/>
                <w:sz w:val="21"/>
                <w:szCs w:val="21"/>
              </w:rPr>
              <w:t>河流</w:t>
            </w:r>
          </w:p>
        </w:tc>
        <w:tc>
          <w:tcPr>
            <w:tcW w:w="1425"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72" w:lineRule="exact"/>
              <w:ind w:left="83" w:right="88" w:firstLine="0" w:firstLineChars="0"/>
              <w:jc w:val="center"/>
              <w:rPr>
                <w:spacing w:val="1"/>
                <w:kern w:val="0"/>
                <w:sz w:val="21"/>
                <w:szCs w:val="21"/>
              </w:rPr>
            </w:pPr>
            <w:r>
              <w:rPr>
                <w:spacing w:val="1"/>
                <w:kern w:val="0"/>
                <w:sz w:val="21"/>
                <w:szCs w:val="21"/>
              </w:rPr>
              <w:t>湖库</w:t>
            </w:r>
          </w:p>
        </w:tc>
        <w:tc>
          <w:tcPr>
            <w:tcW w:w="1759" w:type="dxa"/>
            <w:tcBorders>
              <w:top w:val="single" w:color="000000" w:sz="4" w:space="0"/>
              <w:left w:val="single" w:color="000000" w:sz="4" w:space="0"/>
              <w:bottom w:val="single" w:color="000000" w:sz="4" w:space="0"/>
              <w:right w:val="single" w:color="000000" w:sz="12" w:space="0"/>
            </w:tcBorders>
            <w:shd w:val="clear" w:color="auto" w:fill="auto"/>
            <w:vAlign w:val="center"/>
          </w:tcPr>
          <w:p>
            <w:pPr>
              <w:tabs>
                <w:tab w:val="clear" w:pos="480"/>
              </w:tabs>
              <w:kinsoku w:val="0"/>
              <w:overflowPunct w:val="0"/>
              <w:autoSpaceDE w:val="0"/>
              <w:autoSpaceDN w:val="0"/>
              <w:adjustRightInd w:val="0"/>
              <w:spacing w:line="272" w:lineRule="exact"/>
              <w:ind w:left="83" w:right="88" w:firstLine="0" w:firstLineChars="0"/>
              <w:jc w:val="center"/>
              <w:rPr>
                <w:spacing w:val="1"/>
                <w:kern w:val="0"/>
                <w:sz w:val="21"/>
                <w:szCs w:val="21"/>
              </w:rPr>
            </w:pPr>
            <w:r>
              <w:rPr>
                <w:spacing w:val="1"/>
                <w:kern w:val="0"/>
                <w:sz w:val="21"/>
                <w:szCs w:val="21"/>
              </w:rPr>
              <w:t>入海河口、近岸海</w:t>
            </w:r>
          </w:p>
          <w:p>
            <w:pPr>
              <w:tabs>
                <w:tab w:val="clear" w:pos="480"/>
              </w:tabs>
              <w:kinsoku w:val="0"/>
              <w:overflowPunct w:val="0"/>
              <w:autoSpaceDE w:val="0"/>
              <w:autoSpaceDN w:val="0"/>
              <w:adjustRightInd w:val="0"/>
              <w:spacing w:line="272" w:lineRule="exact"/>
              <w:ind w:left="83" w:right="88" w:firstLine="0" w:firstLineChars="0"/>
              <w:jc w:val="center"/>
              <w:rPr>
                <w:spacing w:val="1"/>
                <w:kern w:val="0"/>
                <w:sz w:val="21"/>
                <w:szCs w:val="21"/>
              </w:rPr>
            </w:pPr>
            <w:r>
              <w:rPr>
                <w:spacing w:val="1"/>
                <w:kern w:val="0"/>
                <w:sz w:val="21"/>
                <w:szCs w:val="21"/>
              </w:rPr>
              <w:t>域</w:t>
            </w:r>
          </w:p>
        </w:tc>
      </w:tr>
      <w:tr>
        <w:tblPrEx>
          <w:tblCellMar>
            <w:top w:w="0" w:type="dxa"/>
            <w:left w:w="0" w:type="dxa"/>
            <w:bottom w:w="0" w:type="dxa"/>
            <w:right w:w="0" w:type="dxa"/>
          </w:tblCellMar>
        </w:tblPrEx>
        <w:trPr>
          <w:trHeight w:val="1128" w:hRule="exact"/>
          <w:jc w:val="center"/>
        </w:trPr>
        <w:tc>
          <w:tcPr>
            <w:tcW w:w="504" w:type="dxa"/>
            <w:tcBorders>
              <w:top w:val="single" w:color="000000" w:sz="4" w:space="0"/>
              <w:left w:val="single" w:color="000000" w:sz="12"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before="2" w:line="200" w:lineRule="exact"/>
              <w:ind w:firstLine="0" w:firstLineChars="0"/>
              <w:jc w:val="left"/>
              <w:rPr>
                <w:kern w:val="0"/>
                <w:sz w:val="20"/>
                <w:szCs w:val="20"/>
              </w:rPr>
            </w:pPr>
          </w:p>
          <w:p>
            <w:pPr>
              <w:tabs>
                <w:tab w:val="clear" w:pos="480"/>
              </w:tabs>
              <w:kinsoku w:val="0"/>
              <w:overflowPunct w:val="0"/>
              <w:autoSpaceDE w:val="0"/>
              <w:autoSpaceDN w:val="0"/>
              <w:adjustRightInd w:val="0"/>
              <w:spacing w:line="240" w:lineRule="auto"/>
              <w:ind w:left="30" w:firstLine="0" w:firstLineChars="0"/>
              <w:jc w:val="left"/>
              <w:rPr>
                <w:kern w:val="0"/>
              </w:rPr>
            </w:pPr>
            <w:r>
              <w:rPr>
                <w:kern w:val="0"/>
                <w:sz w:val="21"/>
                <w:szCs w:val="21"/>
              </w:rPr>
              <w:t>一级</w:t>
            </w:r>
          </w:p>
        </w:tc>
        <w:tc>
          <w:tcPr>
            <w:tcW w:w="1446"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before="8" w:line="120" w:lineRule="exact"/>
              <w:ind w:firstLine="0" w:firstLineChars="0"/>
              <w:jc w:val="center"/>
              <w:rPr>
                <w:kern w:val="0"/>
                <w:sz w:val="12"/>
                <w:szCs w:val="12"/>
              </w:rPr>
            </w:pPr>
          </w:p>
          <w:p>
            <w:pPr>
              <w:tabs>
                <w:tab w:val="clear" w:pos="480"/>
              </w:tabs>
              <w:kinsoku w:val="0"/>
              <w:overflowPunct w:val="0"/>
              <w:autoSpaceDE w:val="0"/>
              <w:autoSpaceDN w:val="0"/>
              <w:adjustRightInd w:val="0"/>
              <w:spacing w:line="272" w:lineRule="exact"/>
              <w:ind w:left="505" w:right="80" w:hanging="428" w:firstLineChars="0"/>
              <w:jc w:val="center"/>
              <w:rPr>
                <w:kern w:val="0"/>
              </w:rPr>
            </w:pPr>
            <w:r>
              <w:rPr>
                <w:kern w:val="0"/>
                <w:sz w:val="21"/>
                <w:szCs w:val="21"/>
              </w:rPr>
              <w:t>α≤10；或</w:t>
            </w:r>
            <w:r>
              <w:rPr>
                <w:spacing w:val="-2"/>
                <w:kern w:val="0"/>
                <w:sz w:val="21"/>
                <w:szCs w:val="21"/>
              </w:rPr>
              <w:t>稳</w:t>
            </w:r>
            <w:r>
              <w:rPr>
                <w:kern w:val="0"/>
                <w:sz w:val="21"/>
                <w:szCs w:val="21"/>
              </w:rPr>
              <w:t>定 分层</w:t>
            </w:r>
          </w:p>
        </w:tc>
        <w:tc>
          <w:tcPr>
            <w:tcW w:w="1446"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56" w:lineRule="exact"/>
              <w:ind w:left="79" w:firstLine="0" w:firstLineChars="0"/>
              <w:jc w:val="center"/>
              <w:rPr>
                <w:kern w:val="0"/>
              </w:rPr>
            </w:pPr>
            <w:r>
              <w:rPr>
                <w:kern w:val="0"/>
                <w:sz w:val="21"/>
                <w:szCs w:val="21"/>
              </w:rPr>
              <w:t>β≥2</w:t>
            </w:r>
            <w:r>
              <w:rPr>
                <w:spacing w:val="1"/>
                <w:kern w:val="0"/>
                <w:sz w:val="21"/>
                <w:szCs w:val="21"/>
              </w:rPr>
              <w:t>0</w:t>
            </w:r>
            <w:r>
              <w:rPr>
                <w:kern w:val="0"/>
                <w:sz w:val="21"/>
                <w:szCs w:val="21"/>
              </w:rPr>
              <w:t>；或</w:t>
            </w:r>
            <w:r>
              <w:rPr>
                <w:spacing w:val="-2"/>
                <w:kern w:val="0"/>
                <w:sz w:val="21"/>
                <w:szCs w:val="21"/>
              </w:rPr>
              <w:t>完</w:t>
            </w:r>
            <w:r>
              <w:rPr>
                <w:kern w:val="0"/>
                <w:sz w:val="21"/>
                <w:szCs w:val="21"/>
              </w:rPr>
              <w:t>全年调节或多年调节</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40" w:lineRule="auto"/>
              <w:ind w:firstLineChars="0"/>
              <w:jc w:val="center"/>
              <w:rPr>
                <w:kern w:val="0"/>
              </w:rPr>
            </w:pPr>
            <w:r>
              <w:rPr>
                <w:kern w:val="0"/>
                <w:sz w:val="21"/>
                <w:szCs w:val="21"/>
              </w:rPr>
              <w:t>γ≥3</w:t>
            </w:r>
          </w:p>
        </w:tc>
        <w:tc>
          <w:tcPr>
            <w:tcW w:w="1533"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before="8" w:line="120" w:lineRule="exact"/>
              <w:ind w:firstLine="0" w:firstLineChars="0"/>
              <w:jc w:val="center"/>
              <w:rPr>
                <w:kern w:val="0"/>
                <w:sz w:val="12"/>
                <w:szCs w:val="12"/>
              </w:rPr>
            </w:pPr>
          </w:p>
          <w:p>
            <w:pPr>
              <w:tabs>
                <w:tab w:val="clear" w:pos="480"/>
              </w:tabs>
              <w:kinsoku w:val="0"/>
              <w:overflowPunct w:val="0"/>
              <w:autoSpaceDE w:val="0"/>
              <w:autoSpaceDN w:val="0"/>
              <w:adjustRightInd w:val="0"/>
              <w:spacing w:line="272" w:lineRule="exact"/>
              <w:ind w:left="20" w:right="21" w:firstLine="0" w:firstLineChars="0"/>
              <w:jc w:val="center"/>
              <w:rPr>
                <w:kern w:val="0"/>
              </w:rPr>
            </w:pPr>
            <w:r>
              <w:rPr>
                <w:spacing w:val="-1"/>
                <w:kern w:val="0"/>
                <w:sz w:val="21"/>
                <w:szCs w:val="21"/>
              </w:rPr>
              <w:t>A</w:t>
            </w:r>
            <w:r>
              <w:rPr>
                <w:kern w:val="0"/>
                <w:sz w:val="13"/>
                <w:szCs w:val="13"/>
              </w:rPr>
              <w:t>1</w:t>
            </w:r>
            <w:r>
              <w:rPr>
                <w:kern w:val="0"/>
                <w:sz w:val="21"/>
                <w:szCs w:val="21"/>
              </w:rPr>
              <w:t xml:space="preserve">≥0.3；或 </w:t>
            </w:r>
            <w:r>
              <w:rPr>
                <w:spacing w:val="-1"/>
                <w:kern w:val="0"/>
                <w:sz w:val="21"/>
                <w:szCs w:val="21"/>
              </w:rPr>
              <w:t>A</w:t>
            </w:r>
            <w:r>
              <w:rPr>
                <w:kern w:val="0"/>
                <w:sz w:val="13"/>
                <w:szCs w:val="13"/>
              </w:rPr>
              <w:t>2</w:t>
            </w:r>
            <w:r>
              <w:rPr>
                <w:kern w:val="0"/>
                <w:sz w:val="21"/>
                <w:szCs w:val="21"/>
              </w:rPr>
              <w:t>≥1.5；或</w:t>
            </w:r>
            <w:r>
              <w:rPr>
                <w:spacing w:val="-1"/>
                <w:kern w:val="0"/>
                <w:sz w:val="21"/>
                <w:szCs w:val="21"/>
              </w:rPr>
              <w:t>R</w:t>
            </w:r>
            <w:r>
              <w:rPr>
                <w:kern w:val="0"/>
                <w:sz w:val="21"/>
                <w:szCs w:val="21"/>
              </w:rPr>
              <w:t>≥10</w:t>
            </w:r>
          </w:p>
        </w:tc>
        <w:tc>
          <w:tcPr>
            <w:tcW w:w="1425"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before="65" w:line="240" w:lineRule="auto"/>
              <w:ind w:right="3" w:firstLine="0" w:firstLineChars="0"/>
              <w:jc w:val="center"/>
              <w:rPr>
                <w:kern w:val="0"/>
              </w:rPr>
            </w:pPr>
            <w:r>
              <w:rPr>
                <w:spacing w:val="-1"/>
                <w:kern w:val="0"/>
                <w:sz w:val="21"/>
                <w:szCs w:val="21"/>
              </w:rPr>
              <w:t>A</w:t>
            </w:r>
            <w:r>
              <w:rPr>
                <w:kern w:val="0"/>
                <w:sz w:val="13"/>
                <w:szCs w:val="13"/>
              </w:rPr>
              <w:t>1</w:t>
            </w:r>
            <w:r>
              <w:rPr>
                <w:kern w:val="0"/>
                <w:sz w:val="21"/>
                <w:szCs w:val="21"/>
              </w:rPr>
              <w:t>≥0.3或</w:t>
            </w:r>
            <w:r>
              <w:rPr>
                <w:spacing w:val="-1"/>
                <w:kern w:val="0"/>
                <w:sz w:val="21"/>
                <w:szCs w:val="21"/>
              </w:rPr>
              <w:t>A</w:t>
            </w:r>
            <w:r>
              <w:rPr>
                <w:kern w:val="0"/>
                <w:position w:val="-2"/>
                <w:sz w:val="14"/>
                <w:szCs w:val="14"/>
              </w:rPr>
              <w:t>2</w:t>
            </w:r>
            <w:r>
              <w:rPr>
                <w:spacing w:val="-2"/>
                <w:kern w:val="0"/>
                <w:sz w:val="21"/>
                <w:szCs w:val="21"/>
              </w:rPr>
              <w:t>≥</w:t>
            </w:r>
            <w:r>
              <w:rPr>
                <w:kern w:val="0"/>
                <w:sz w:val="21"/>
                <w:szCs w:val="21"/>
              </w:rPr>
              <w:t>1.5或R≥20</w:t>
            </w:r>
          </w:p>
        </w:tc>
        <w:tc>
          <w:tcPr>
            <w:tcW w:w="1759" w:type="dxa"/>
            <w:tcBorders>
              <w:top w:val="single" w:color="000000" w:sz="4" w:space="0"/>
              <w:left w:val="single" w:color="000000" w:sz="4" w:space="0"/>
              <w:bottom w:val="single" w:color="000000" w:sz="4" w:space="0"/>
              <w:right w:val="single" w:color="000000" w:sz="12" w:space="0"/>
            </w:tcBorders>
            <w:shd w:val="clear" w:color="auto" w:fill="auto"/>
            <w:vAlign w:val="center"/>
          </w:tcPr>
          <w:p>
            <w:pPr>
              <w:tabs>
                <w:tab w:val="clear" w:pos="480"/>
              </w:tabs>
              <w:kinsoku w:val="0"/>
              <w:overflowPunct w:val="0"/>
              <w:autoSpaceDE w:val="0"/>
              <w:autoSpaceDN w:val="0"/>
              <w:adjustRightInd w:val="0"/>
              <w:spacing w:line="240" w:lineRule="auto"/>
              <w:ind w:firstLine="0" w:firstLineChars="0"/>
              <w:jc w:val="center"/>
              <w:rPr>
                <w:kern w:val="0"/>
              </w:rPr>
            </w:pPr>
            <w:r>
              <w:rPr>
                <w:spacing w:val="-1"/>
                <w:kern w:val="0"/>
                <w:sz w:val="21"/>
                <w:szCs w:val="21"/>
              </w:rPr>
              <w:t>A</w:t>
            </w:r>
            <w:r>
              <w:rPr>
                <w:kern w:val="0"/>
                <w:sz w:val="13"/>
                <w:szCs w:val="13"/>
              </w:rPr>
              <w:t>1</w:t>
            </w:r>
            <w:r>
              <w:rPr>
                <w:kern w:val="0"/>
                <w:sz w:val="21"/>
                <w:szCs w:val="21"/>
              </w:rPr>
              <w:t>≥0.5；或</w:t>
            </w:r>
            <w:r>
              <w:rPr>
                <w:spacing w:val="-1"/>
                <w:kern w:val="0"/>
                <w:sz w:val="21"/>
                <w:szCs w:val="21"/>
              </w:rPr>
              <w:t>A</w:t>
            </w:r>
            <w:r>
              <w:rPr>
                <w:kern w:val="0"/>
                <w:sz w:val="13"/>
                <w:szCs w:val="13"/>
              </w:rPr>
              <w:t>2</w:t>
            </w:r>
            <w:r>
              <w:rPr>
                <w:spacing w:val="-1"/>
                <w:kern w:val="0"/>
                <w:sz w:val="21"/>
                <w:szCs w:val="21"/>
              </w:rPr>
              <w:t>≥3</w:t>
            </w:r>
          </w:p>
        </w:tc>
      </w:tr>
      <w:tr>
        <w:tblPrEx>
          <w:tblCellMar>
            <w:top w:w="0" w:type="dxa"/>
            <w:left w:w="0" w:type="dxa"/>
            <w:bottom w:w="0" w:type="dxa"/>
            <w:right w:w="0" w:type="dxa"/>
          </w:tblCellMar>
        </w:tblPrEx>
        <w:trPr>
          <w:trHeight w:val="1100" w:hRule="exact"/>
          <w:jc w:val="center"/>
        </w:trPr>
        <w:tc>
          <w:tcPr>
            <w:tcW w:w="504" w:type="dxa"/>
            <w:tcBorders>
              <w:top w:val="single" w:color="000000" w:sz="4" w:space="0"/>
              <w:left w:val="single" w:color="000000" w:sz="12"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before="8" w:line="130" w:lineRule="exact"/>
              <w:ind w:firstLine="0" w:firstLineChars="0"/>
              <w:jc w:val="left"/>
              <w:rPr>
                <w:kern w:val="0"/>
                <w:sz w:val="13"/>
                <w:szCs w:val="13"/>
              </w:rPr>
            </w:pPr>
          </w:p>
          <w:p>
            <w:pPr>
              <w:tabs>
                <w:tab w:val="clear" w:pos="480"/>
              </w:tabs>
              <w:kinsoku w:val="0"/>
              <w:overflowPunct w:val="0"/>
              <w:autoSpaceDE w:val="0"/>
              <w:autoSpaceDN w:val="0"/>
              <w:adjustRightInd w:val="0"/>
              <w:spacing w:line="200" w:lineRule="exact"/>
              <w:ind w:firstLine="0" w:firstLineChars="0"/>
              <w:jc w:val="left"/>
              <w:rPr>
                <w:kern w:val="0"/>
                <w:sz w:val="20"/>
                <w:szCs w:val="20"/>
              </w:rPr>
            </w:pPr>
          </w:p>
          <w:p>
            <w:pPr>
              <w:tabs>
                <w:tab w:val="clear" w:pos="480"/>
              </w:tabs>
              <w:kinsoku w:val="0"/>
              <w:overflowPunct w:val="0"/>
              <w:autoSpaceDE w:val="0"/>
              <w:autoSpaceDN w:val="0"/>
              <w:adjustRightInd w:val="0"/>
              <w:spacing w:line="240" w:lineRule="auto"/>
              <w:ind w:left="30" w:firstLine="0" w:firstLineChars="0"/>
              <w:jc w:val="left"/>
              <w:rPr>
                <w:kern w:val="0"/>
              </w:rPr>
            </w:pPr>
            <w:r>
              <w:rPr>
                <w:kern w:val="0"/>
                <w:sz w:val="21"/>
                <w:szCs w:val="21"/>
              </w:rPr>
              <w:t>二级</w:t>
            </w:r>
          </w:p>
        </w:tc>
        <w:tc>
          <w:tcPr>
            <w:tcW w:w="1446"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72" w:lineRule="exact"/>
              <w:ind w:left="191" w:right="35" w:hanging="161" w:firstLineChars="0"/>
              <w:jc w:val="center"/>
              <w:rPr>
                <w:kern w:val="0"/>
              </w:rPr>
            </w:pPr>
            <w:r>
              <w:rPr>
                <w:kern w:val="0"/>
                <w:sz w:val="21"/>
                <w:szCs w:val="21"/>
              </w:rPr>
              <w:t>20＞α</w:t>
            </w:r>
            <w:r>
              <w:rPr>
                <w:spacing w:val="-2"/>
                <w:kern w:val="0"/>
                <w:sz w:val="21"/>
                <w:szCs w:val="21"/>
              </w:rPr>
              <w:t>＞</w:t>
            </w:r>
            <w:r>
              <w:rPr>
                <w:kern w:val="0"/>
                <w:sz w:val="21"/>
                <w:szCs w:val="21"/>
              </w:rPr>
              <w:t>10</w:t>
            </w:r>
            <w:r>
              <w:rPr>
                <w:spacing w:val="-2"/>
                <w:kern w:val="0"/>
                <w:sz w:val="21"/>
                <w:szCs w:val="21"/>
              </w:rPr>
              <w:t xml:space="preserve">；或 </w:t>
            </w:r>
            <w:r>
              <w:rPr>
                <w:kern w:val="0"/>
                <w:sz w:val="21"/>
                <w:szCs w:val="21"/>
              </w:rPr>
              <w:t>不稳定分层</w:t>
            </w:r>
          </w:p>
        </w:tc>
        <w:tc>
          <w:tcPr>
            <w:tcW w:w="1446"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before="8" w:line="120" w:lineRule="exact"/>
              <w:ind w:firstLine="0" w:firstLineChars="0"/>
              <w:jc w:val="center"/>
              <w:rPr>
                <w:kern w:val="0"/>
                <w:sz w:val="12"/>
                <w:szCs w:val="12"/>
              </w:rPr>
            </w:pPr>
          </w:p>
          <w:p>
            <w:pPr>
              <w:tabs>
                <w:tab w:val="clear" w:pos="480"/>
              </w:tabs>
              <w:kinsoku w:val="0"/>
              <w:overflowPunct w:val="0"/>
              <w:autoSpaceDE w:val="0"/>
              <w:autoSpaceDN w:val="0"/>
              <w:adjustRightInd w:val="0"/>
              <w:spacing w:line="272" w:lineRule="exact"/>
              <w:ind w:left="84" w:right="89" w:firstLine="0" w:firstLineChars="0"/>
              <w:jc w:val="center"/>
              <w:rPr>
                <w:kern w:val="0"/>
              </w:rPr>
            </w:pPr>
            <w:r>
              <w:rPr>
                <w:kern w:val="0"/>
                <w:sz w:val="21"/>
                <w:szCs w:val="21"/>
              </w:rPr>
              <w:t>20＞</w:t>
            </w:r>
            <w:r>
              <w:rPr>
                <w:spacing w:val="-1"/>
                <w:kern w:val="0"/>
                <w:sz w:val="21"/>
                <w:szCs w:val="21"/>
              </w:rPr>
              <w:t>β</w:t>
            </w:r>
            <w:r>
              <w:rPr>
                <w:kern w:val="0"/>
                <w:sz w:val="21"/>
                <w:szCs w:val="21"/>
              </w:rPr>
              <w:t>＞2</w:t>
            </w:r>
            <w:r>
              <w:rPr>
                <w:spacing w:val="-2"/>
                <w:kern w:val="0"/>
                <w:sz w:val="21"/>
                <w:szCs w:val="21"/>
              </w:rPr>
              <w:t xml:space="preserve">；或 </w:t>
            </w:r>
            <w:r>
              <w:rPr>
                <w:kern w:val="0"/>
                <w:sz w:val="21"/>
                <w:szCs w:val="21"/>
              </w:rPr>
              <w:t>季调节与不完 全年调节</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40" w:lineRule="auto"/>
              <w:ind w:right="2" w:firstLine="0" w:firstLineChars="0"/>
              <w:jc w:val="center"/>
              <w:rPr>
                <w:kern w:val="0"/>
                <w:sz w:val="21"/>
                <w:szCs w:val="21"/>
              </w:rPr>
            </w:pPr>
            <w:r>
              <w:rPr>
                <w:kern w:val="0"/>
                <w:sz w:val="21"/>
                <w:szCs w:val="21"/>
              </w:rPr>
              <w:t>30＞</w:t>
            </w:r>
            <w:r>
              <w:rPr>
                <w:spacing w:val="-1"/>
                <w:kern w:val="0"/>
                <w:sz w:val="21"/>
                <w:szCs w:val="21"/>
              </w:rPr>
              <w:t>γ</w:t>
            </w:r>
            <w:r>
              <w:rPr>
                <w:kern w:val="0"/>
                <w:sz w:val="21"/>
                <w:szCs w:val="21"/>
              </w:rPr>
              <w:t>＞</w:t>
            </w:r>
          </w:p>
          <w:p>
            <w:pPr>
              <w:tabs>
                <w:tab w:val="clear" w:pos="480"/>
              </w:tabs>
              <w:kinsoku w:val="0"/>
              <w:overflowPunct w:val="0"/>
              <w:autoSpaceDE w:val="0"/>
              <w:autoSpaceDN w:val="0"/>
              <w:adjustRightInd w:val="0"/>
              <w:spacing w:before="15" w:line="240" w:lineRule="auto"/>
              <w:ind w:firstLine="0" w:firstLineChars="0"/>
              <w:jc w:val="center"/>
              <w:rPr>
                <w:kern w:val="0"/>
              </w:rPr>
            </w:pPr>
            <w:r>
              <w:rPr>
                <w:kern w:val="0"/>
                <w:sz w:val="21"/>
                <w:szCs w:val="21"/>
              </w:rPr>
              <w:t>10</w:t>
            </w:r>
          </w:p>
        </w:tc>
        <w:tc>
          <w:tcPr>
            <w:tcW w:w="1533"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71" w:lineRule="exact"/>
              <w:ind w:left="3" w:right="4" w:firstLine="0" w:firstLineChars="0"/>
              <w:jc w:val="center"/>
              <w:rPr>
                <w:kern w:val="0"/>
                <w:sz w:val="21"/>
                <w:szCs w:val="21"/>
              </w:rPr>
            </w:pPr>
            <w:r>
              <w:rPr>
                <w:kern w:val="0"/>
                <w:sz w:val="21"/>
                <w:szCs w:val="21"/>
              </w:rPr>
              <w:t>0.3＞</w:t>
            </w:r>
            <w:r>
              <w:rPr>
                <w:spacing w:val="-1"/>
                <w:kern w:val="0"/>
                <w:sz w:val="21"/>
                <w:szCs w:val="21"/>
              </w:rPr>
              <w:t>A</w:t>
            </w:r>
            <w:r>
              <w:rPr>
                <w:kern w:val="0"/>
                <w:sz w:val="13"/>
                <w:szCs w:val="13"/>
              </w:rPr>
              <w:t>1</w:t>
            </w:r>
            <w:r>
              <w:rPr>
                <w:kern w:val="0"/>
                <w:sz w:val="21"/>
                <w:szCs w:val="21"/>
              </w:rPr>
              <w:t>＞0.</w:t>
            </w:r>
            <w:r>
              <w:rPr>
                <w:spacing w:val="-1"/>
                <w:kern w:val="0"/>
                <w:sz w:val="21"/>
                <w:szCs w:val="21"/>
              </w:rPr>
              <w:t>0</w:t>
            </w:r>
            <w:r>
              <w:rPr>
                <w:kern w:val="0"/>
                <w:sz w:val="21"/>
                <w:szCs w:val="21"/>
              </w:rPr>
              <w:t>5；</w:t>
            </w:r>
          </w:p>
          <w:p>
            <w:pPr>
              <w:tabs>
                <w:tab w:val="clear" w:pos="480"/>
              </w:tabs>
              <w:kinsoku w:val="0"/>
              <w:overflowPunct w:val="0"/>
              <w:autoSpaceDE w:val="0"/>
              <w:autoSpaceDN w:val="0"/>
              <w:adjustRightInd w:val="0"/>
              <w:spacing w:line="272" w:lineRule="exact"/>
              <w:ind w:left="3" w:right="4" w:firstLine="0" w:firstLineChars="0"/>
              <w:jc w:val="center"/>
              <w:rPr>
                <w:kern w:val="0"/>
                <w:sz w:val="21"/>
                <w:szCs w:val="21"/>
              </w:rPr>
            </w:pPr>
            <w:r>
              <w:rPr>
                <w:kern w:val="0"/>
                <w:sz w:val="21"/>
                <w:szCs w:val="21"/>
              </w:rPr>
              <w:t>1.5＞</w:t>
            </w:r>
            <w:r>
              <w:rPr>
                <w:spacing w:val="-1"/>
                <w:kern w:val="0"/>
                <w:sz w:val="21"/>
                <w:szCs w:val="21"/>
              </w:rPr>
              <w:t>A</w:t>
            </w:r>
            <w:r>
              <w:rPr>
                <w:kern w:val="0"/>
                <w:sz w:val="13"/>
                <w:szCs w:val="13"/>
              </w:rPr>
              <w:t>2</w:t>
            </w:r>
            <w:r>
              <w:rPr>
                <w:kern w:val="0"/>
                <w:sz w:val="21"/>
                <w:szCs w:val="21"/>
              </w:rPr>
              <w:t>＞0.</w:t>
            </w:r>
            <w:r>
              <w:rPr>
                <w:spacing w:val="-1"/>
                <w:kern w:val="0"/>
                <w:sz w:val="21"/>
                <w:szCs w:val="21"/>
              </w:rPr>
              <w:t>2</w:t>
            </w:r>
            <w:r>
              <w:rPr>
                <w:kern w:val="0"/>
                <w:sz w:val="21"/>
                <w:szCs w:val="21"/>
              </w:rPr>
              <w:t>；</w:t>
            </w:r>
          </w:p>
          <w:p>
            <w:pPr>
              <w:tabs>
                <w:tab w:val="clear" w:pos="480"/>
              </w:tabs>
              <w:kinsoku w:val="0"/>
              <w:overflowPunct w:val="0"/>
              <w:autoSpaceDE w:val="0"/>
              <w:autoSpaceDN w:val="0"/>
              <w:adjustRightInd w:val="0"/>
              <w:spacing w:line="272" w:lineRule="exact"/>
              <w:ind w:right="1" w:firstLine="0" w:firstLineChars="0"/>
              <w:jc w:val="center"/>
              <w:rPr>
                <w:kern w:val="0"/>
              </w:rPr>
            </w:pPr>
            <w:r>
              <w:rPr>
                <w:kern w:val="0"/>
                <w:sz w:val="21"/>
                <w:szCs w:val="21"/>
              </w:rPr>
              <w:t>或10＞R</w:t>
            </w:r>
            <w:r>
              <w:rPr>
                <w:spacing w:val="-2"/>
                <w:kern w:val="0"/>
                <w:sz w:val="21"/>
                <w:szCs w:val="21"/>
              </w:rPr>
              <w:t>＞</w:t>
            </w:r>
            <w:r>
              <w:rPr>
                <w:kern w:val="0"/>
                <w:sz w:val="21"/>
                <w:szCs w:val="21"/>
              </w:rPr>
              <w:t>5</w:t>
            </w:r>
          </w:p>
        </w:tc>
        <w:tc>
          <w:tcPr>
            <w:tcW w:w="1425"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56" w:lineRule="exact"/>
              <w:ind w:right="1" w:firstLine="0" w:firstLineChars="0"/>
              <w:jc w:val="center"/>
              <w:rPr>
                <w:kern w:val="0"/>
                <w:sz w:val="13"/>
                <w:szCs w:val="13"/>
              </w:rPr>
            </w:pPr>
            <w:r>
              <w:rPr>
                <w:kern w:val="0"/>
                <w:sz w:val="21"/>
                <w:szCs w:val="21"/>
              </w:rPr>
              <w:t>0.3＞</w:t>
            </w:r>
            <w:r>
              <w:rPr>
                <w:spacing w:val="-1"/>
                <w:kern w:val="0"/>
                <w:sz w:val="21"/>
                <w:szCs w:val="21"/>
              </w:rPr>
              <w:t>A</w:t>
            </w:r>
            <w:r>
              <w:rPr>
                <w:kern w:val="0"/>
                <w:sz w:val="13"/>
                <w:szCs w:val="13"/>
              </w:rPr>
              <w:t>1</w:t>
            </w:r>
            <w:r>
              <w:rPr>
                <w:kern w:val="0"/>
                <w:sz w:val="21"/>
                <w:szCs w:val="21"/>
              </w:rPr>
              <w:t>＞0.05；1.5＞</w:t>
            </w:r>
            <w:r>
              <w:rPr>
                <w:spacing w:val="-2"/>
                <w:kern w:val="0"/>
                <w:sz w:val="21"/>
                <w:szCs w:val="21"/>
              </w:rPr>
              <w:t>A</w:t>
            </w:r>
            <w:r>
              <w:rPr>
                <w:kern w:val="0"/>
                <w:sz w:val="13"/>
                <w:szCs w:val="13"/>
              </w:rPr>
              <w:t>2</w:t>
            </w:r>
          </w:p>
          <w:p>
            <w:pPr>
              <w:tabs>
                <w:tab w:val="clear" w:pos="480"/>
              </w:tabs>
              <w:kinsoku w:val="0"/>
              <w:overflowPunct w:val="0"/>
              <w:autoSpaceDE w:val="0"/>
              <w:autoSpaceDN w:val="0"/>
              <w:adjustRightInd w:val="0"/>
              <w:spacing w:line="272" w:lineRule="exact"/>
              <w:ind w:right="3" w:firstLine="0" w:firstLineChars="0"/>
              <w:jc w:val="center"/>
              <w:rPr>
                <w:kern w:val="0"/>
                <w:sz w:val="21"/>
                <w:szCs w:val="21"/>
              </w:rPr>
            </w:pPr>
            <w:r>
              <w:rPr>
                <w:kern w:val="0"/>
                <w:sz w:val="21"/>
                <w:szCs w:val="21"/>
              </w:rPr>
              <w:t>＞0.2</w:t>
            </w:r>
            <w:r>
              <w:rPr>
                <w:spacing w:val="-2"/>
                <w:kern w:val="0"/>
                <w:sz w:val="21"/>
                <w:szCs w:val="21"/>
              </w:rPr>
              <w:t>或</w:t>
            </w:r>
            <w:r>
              <w:rPr>
                <w:kern w:val="0"/>
                <w:sz w:val="21"/>
                <w:szCs w:val="21"/>
              </w:rPr>
              <w:t>2</w:t>
            </w:r>
            <w:r>
              <w:rPr>
                <w:spacing w:val="1"/>
                <w:kern w:val="0"/>
                <w:sz w:val="21"/>
                <w:szCs w:val="21"/>
              </w:rPr>
              <w:t>0</w:t>
            </w:r>
            <w:r>
              <w:rPr>
                <w:spacing w:val="-2"/>
                <w:kern w:val="0"/>
                <w:sz w:val="21"/>
                <w:szCs w:val="21"/>
              </w:rPr>
              <w:t>＞</w:t>
            </w:r>
            <w:r>
              <w:rPr>
                <w:kern w:val="0"/>
                <w:sz w:val="21"/>
                <w:szCs w:val="21"/>
              </w:rPr>
              <w:t>R</w:t>
            </w:r>
          </w:p>
          <w:p>
            <w:pPr>
              <w:tabs>
                <w:tab w:val="clear" w:pos="480"/>
              </w:tabs>
              <w:kinsoku w:val="0"/>
              <w:overflowPunct w:val="0"/>
              <w:autoSpaceDE w:val="0"/>
              <w:autoSpaceDN w:val="0"/>
              <w:adjustRightInd w:val="0"/>
              <w:spacing w:line="272" w:lineRule="exact"/>
              <w:ind w:left="52" w:right="56" w:firstLine="0" w:firstLineChars="0"/>
              <w:jc w:val="center"/>
              <w:rPr>
                <w:kern w:val="0"/>
              </w:rPr>
            </w:pPr>
            <w:r>
              <w:rPr>
                <w:kern w:val="0"/>
                <w:sz w:val="21"/>
                <w:szCs w:val="21"/>
              </w:rPr>
              <w:t>＞5</w:t>
            </w:r>
          </w:p>
        </w:tc>
        <w:tc>
          <w:tcPr>
            <w:tcW w:w="1759" w:type="dxa"/>
            <w:tcBorders>
              <w:top w:val="single" w:color="000000" w:sz="4" w:space="0"/>
              <w:left w:val="single" w:color="000000" w:sz="4" w:space="0"/>
              <w:bottom w:val="single" w:color="000000" w:sz="4" w:space="0"/>
              <w:right w:val="single" w:color="000000" w:sz="12" w:space="0"/>
            </w:tcBorders>
            <w:shd w:val="clear" w:color="auto" w:fill="auto"/>
            <w:vAlign w:val="center"/>
          </w:tcPr>
          <w:p>
            <w:pPr>
              <w:tabs>
                <w:tab w:val="clear" w:pos="480"/>
              </w:tabs>
              <w:kinsoku w:val="0"/>
              <w:overflowPunct w:val="0"/>
              <w:autoSpaceDE w:val="0"/>
              <w:autoSpaceDN w:val="0"/>
              <w:adjustRightInd w:val="0"/>
              <w:spacing w:line="240" w:lineRule="auto"/>
              <w:ind w:left="58" w:right="59" w:firstLine="0" w:firstLineChars="0"/>
              <w:jc w:val="center"/>
              <w:rPr>
                <w:kern w:val="0"/>
                <w:sz w:val="21"/>
                <w:szCs w:val="21"/>
              </w:rPr>
            </w:pPr>
            <w:r>
              <w:rPr>
                <w:kern w:val="0"/>
                <w:sz w:val="21"/>
                <w:szCs w:val="21"/>
              </w:rPr>
              <w:t>0.5＞</w:t>
            </w:r>
            <w:r>
              <w:rPr>
                <w:spacing w:val="-1"/>
                <w:kern w:val="0"/>
                <w:sz w:val="21"/>
                <w:szCs w:val="21"/>
              </w:rPr>
              <w:t>A</w:t>
            </w:r>
            <w:r>
              <w:rPr>
                <w:kern w:val="0"/>
                <w:sz w:val="13"/>
                <w:szCs w:val="13"/>
              </w:rPr>
              <w:t>1</w:t>
            </w:r>
            <w:r>
              <w:rPr>
                <w:kern w:val="0"/>
                <w:sz w:val="21"/>
                <w:szCs w:val="21"/>
              </w:rPr>
              <w:t>＞0.</w:t>
            </w:r>
            <w:r>
              <w:rPr>
                <w:spacing w:val="-1"/>
                <w:kern w:val="0"/>
                <w:sz w:val="21"/>
                <w:szCs w:val="21"/>
              </w:rPr>
              <w:t>1</w:t>
            </w:r>
            <w:r>
              <w:rPr>
                <w:kern w:val="0"/>
                <w:sz w:val="21"/>
                <w:szCs w:val="21"/>
              </w:rPr>
              <w:t>5；3</w:t>
            </w:r>
          </w:p>
          <w:p>
            <w:pPr>
              <w:tabs>
                <w:tab w:val="clear" w:pos="480"/>
              </w:tabs>
              <w:kinsoku w:val="0"/>
              <w:overflowPunct w:val="0"/>
              <w:autoSpaceDE w:val="0"/>
              <w:autoSpaceDN w:val="0"/>
              <w:adjustRightInd w:val="0"/>
              <w:spacing w:line="272" w:lineRule="exact"/>
              <w:ind w:firstLine="0" w:firstLineChars="0"/>
              <w:jc w:val="center"/>
              <w:rPr>
                <w:kern w:val="0"/>
              </w:rPr>
            </w:pPr>
            <w:r>
              <w:rPr>
                <w:kern w:val="0"/>
                <w:sz w:val="21"/>
                <w:szCs w:val="21"/>
              </w:rPr>
              <w:t>＞</w:t>
            </w:r>
            <w:r>
              <w:rPr>
                <w:spacing w:val="-1"/>
                <w:kern w:val="0"/>
                <w:sz w:val="21"/>
                <w:szCs w:val="21"/>
              </w:rPr>
              <w:t>A</w:t>
            </w:r>
            <w:r>
              <w:rPr>
                <w:kern w:val="0"/>
                <w:sz w:val="13"/>
                <w:szCs w:val="13"/>
              </w:rPr>
              <w:t>2</w:t>
            </w:r>
            <w:r>
              <w:rPr>
                <w:kern w:val="0"/>
                <w:sz w:val="21"/>
                <w:szCs w:val="21"/>
              </w:rPr>
              <w:t>＞0.5</w:t>
            </w:r>
          </w:p>
        </w:tc>
      </w:tr>
      <w:tr>
        <w:tblPrEx>
          <w:tblCellMar>
            <w:top w:w="0" w:type="dxa"/>
            <w:left w:w="0" w:type="dxa"/>
            <w:bottom w:w="0" w:type="dxa"/>
            <w:right w:w="0" w:type="dxa"/>
          </w:tblCellMar>
        </w:tblPrEx>
        <w:trPr>
          <w:trHeight w:val="869" w:hRule="exact"/>
          <w:jc w:val="center"/>
        </w:trPr>
        <w:tc>
          <w:tcPr>
            <w:tcW w:w="504" w:type="dxa"/>
            <w:tcBorders>
              <w:top w:val="single" w:color="000000" w:sz="4" w:space="0"/>
              <w:left w:val="single" w:color="000000" w:sz="12"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before="65" w:line="240" w:lineRule="auto"/>
              <w:ind w:left="30" w:firstLine="0" w:firstLineChars="0"/>
              <w:jc w:val="left"/>
              <w:rPr>
                <w:kern w:val="0"/>
              </w:rPr>
            </w:pPr>
            <w:r>
              <w:rPr>
                <w:kern w:val="0"/>
                <w:sz w:val="21"/>
                <w:szCs w:val="21"/>
              </w:rPr>
              <w:t>三级</w:t>
            </w:r>
          </w:p>
        </w:tc>
        <w:tc>
          <w:tcPr>
            <w:tcW w:w="1446"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54" w:lineRule="exact"/>
              <w:ind w:right="2" w:firstLine="0" w:firstLineChars="0"/>
              <w:jc w:val="center"/>
              <w:rPr>
                <w:kern w:val="0"/>
              </w:rPr>
            </w:pPr>
            <w:r>
              <w:rPr>
                <w:kern w:val="0"/>
                <w:sz w:val="21"/>
                <w:szCs w:val="21"/>
              </w:rPr>
              <w:t>α≥20；或</w:t>
            </w:r>
            <w:r>
              <w:rPr>
                <w:spacing w:val="-2"/>
                <w:kern w:val="0"/>
                <w:sz w:val="21"/>
                <w:szCs w:val="21"/>
              </w:rPr>
              <w:t>混</w:t>
            </w:r>
            <w:r>
              <w:rPr>
                <w:kern w:val="0"/>
                <w:sz w:val="21"/>
                <w:szCs w:val="21"/>
              </w:rPr>
              <w:t>合型</w:t>
            </w:r>
          </w:p>
        </w:tc>
        <w:tc>
          <w:tcPr>
            <w:tcW w:w="1446"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before="65" w:line="240" w:lineRule="auto"/>
              <w:ind w:left="26" w:firstLine="0" w:firstLineChars="0"/>
              <w:jc w:val="center"/>
              <w:rPr>
                <w:kern w:val="0"/>
              </w:rPr>
            </w:pPr>
            <w:r>
              <w:rPr>
                <w:spacing w:val="-1"/>
                <w:kern w:val="0"/>
                <w:sz w:val="21"/>
                <w:szCs w:val="21"/>
              </w:rPr>
              <w:t>β≤</w:t>
            </w:r>
            <w:r>
              <w:rPr>
                <w:kern w:val="0"/>
                <w:sz w:val="21"/>
                <w:szCs w:val="21"/>
              </w:rPr>
              <w:t>2；或无调节</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before="9" w:line="140" w:lineRule="exact"/>
              <w:ind w:firstLine="0" w:firstLineChars="0"/>
              <w:jc w:val="center"/>
              <w:rPr>
                <w:kern w:val="0"/>
                <w:sz w:val="14"/>
                <w:szCs w:val="14"/>
              </w:rPr>
            </w:pPr>
          </w:p>
          <w:p>
            <w:pPr>
              <w:tabs>
                <w:tab w:val="clear" w:pos="480"/>
              </w:tabs>
              <w:kinsoku w:val="0"/>
              <w:overflowPunct w:val="0"/>
              <w:autoSpaceDE w:val="0"/>
              <w:autoSpaceDN w:val="0"/>
              <w:adjustRightInd w:val="0"/>
              <w:spacing w:line="240" w:lineRule="auto"/>
              <w:ind w:firstLine="0" w:firstLineChars="0"/>
              <w:jc w:val="center"/>
              <w:rPr>
                <w:kern w:val="0"/>
              </w:rPr>
            </w:pPr>
            <w:r>
              <w:rPr>
                <w:kern w:val="0"/>
                <w:sz w:val="21"/>
                <w:szCs w:val="21"/>
              </w:rPr>
              <w:t>γ≤10</w:t>
            </w:r>
          </w:p>
        </w:tc>
        <w:tc>
          <w:tcPr>
            <w:tcW w:w="1533"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54" w:lineRule="exact"/>
              <w:ind w:left="181" w:right="181" w:firstLine="0" w:firstLineChars="0"/>
              <w:jc w:val="center"/>
              <w:rPr>
                <w:kern w:val="0"/>
              </w:rPr>
            </w:pPr>
            <w:r>
              <w:rPr>
                <w:spacing w:val="-1"/>
                <w:kern w:val="0"/>
                <w:sz w:val="21"/>
                <w:szCs w:val="21"/>
              </w:rPr>
              <w:t>A</w:t>
            </w:r>
            <w:r>
              <w:rPr>
                <w:kern w:val="0"/>
                <w:sz w:val="13"/>
                <w:szCs w:val="13"/>
              </w:rPr>
              <w:t>1</w:t>
            </w:r>
            <w:r>
              <w:rPr>
                <w:kern w:val="0"/>
                <w:sz w:val="21"/>
                <w:szCs w:val="21"/>
              </w:rPr>
              <w:t>≤0.0</w:t>
            </w:r>
            <w:r>
              <w:rPr>
                <w:spacing w:val="1"/>
                <w:kern w:val="0"/>
                <w:sz w:val="21"/>
                <w:szCs w:val="21"/>
              </w:rPr>
              <w:t>5</w:t>
            </w:r>
            <w:r>
              <w:rPr>
                <w:kern w:val="0"/>
                <w:sz w:val="21"/>
                <w:szCs w:val="21"/>
              </w:rPr>
              <w:t>；或A</w:t>
            </w:r>
            <w:r>
              <w:rPr>
                <w:spacing w:val="11"/>
                <w:kern w:val="0"/>
                <w:sz w:val="21"/>
                <w:szCs w:val="21"/>
                <w:vertAlign w:val="subscript"/>
              </w:rPr>
              <w:t>2</w:t>
            </w:r>
            <w:r>
              <w:rPr>
                <w:kern w:val="0"/>
                <w:sz w:val="21"/>
                <w:szCs w:val="21"/>
              </w:rPr>
              <w:t>≤0.2；或</w:t>
            </w:r>
            <w:r>
              <w:rPr>
                <w:spacing w:val="-1"/>
                <w:kern w:val="0"/>
                <w:sz w:val="21"/>
                <w:szCs w:val="21"/>
              </w:rPr>
              <w:t>R</w:t>
            </w:r>
            <w:r>
              <w:rPr>
                <w:kern w:val="0"/>
                <w:sz w:val="21"/>
                <w:szCs w:val="21"/>
              </w:rPr>
              <w:t>≤5</w:t>
            </w:r>
          </w:p>
        </w:tc>
        <w:tc>
          <w:tcPr>
            <w:tcW w:w="1425"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clear" w:pos="480"/>
              </w:tabs>
              <w:kinsoku w:val="0"/>
              <w:overflowPunct w:val="0"/>
              <w:autoSpaceDE w:val="0"/>
              <w:autoSpaceDN w:val="0"/>
              <w:adjustRightInd w:val="0"/>
              <w:spacing w:line="254" w:lineRule="exact"/>
              <w:ind w:firstLine="0" w:firstLineChars="0"/>
              <w:jc w:val="center"/>
              <w:rPr>
                <w:kern w:val="0"/>
                <w:sz w:val="21"/>
                <w:szCs w:val="21"/>
              </w:rPr>
            </w:pPr>
            <w:r>
              <w:rPr>
                <w:spacing w:val="-1"/>
                <w:kern w:val="0"/>
                <w:sz w:val="21"/>
                <w:szCs w:val="21"/>
              </w:rPr>
              <w:t>A</w:t>
            </w:r>
            <w:r>
              <w:rPr>
                <w:kern w:val="0"/>
                <w:sz w:val="13"/>
                <w:szCs w:val="13"/>
              </w:rPr>
              <w:t>1</w:t>
            </w:r>
            <w:r>
              <w:rPr>
                <w:kern w:val="0"/>
                <w:sz w:val="21"/>
                <w:szCs w:val="21"/>
              </w:rPr>
              <w:t>≤0.0</w:t>
            </w:r>
            <w:r>
              <w:rPr>
                <w:spacing w:val="1"/>
                <w:kern w:val="0"/>
                <w:sz w:val="21"/>
                <w:szCs w:val="21"/>
              </w:rPr>
              <w:t>5</w:t>
            </w:r>
            <w:r>
              <w:rPr>
                <w:kern w:val="0"/>
                <w:sz w:val="21"/>
                <w:szCs w:val="21"/>
              </w:rPr>
              <w:t>；或</w:t>
            </w:r>
          </w:p>
          <w:p>
            <w:pPr>
              <w:tabs>
                <w:tab w:val="clear" w:pos="480"/>
              </w:tabs>
              <w:kinsoku w:val="0"/>
              <w:overflowPunct w:val="0"/>
              <w:autoSpaceDE w:val="0"/>
              <w:autoSpaceDN w:val="0"/>
              <w:adjustRightInd w:val="0"/>
              <w:spacing w:line="273" w:lineRule="exact"/>
              <w:ind w:left="122" w:firstLine="0" w:firstLineChars="0"/>
              <w:jc w:val="center"/>
              <w:rPr>
                <w:kern w:val="0"/>
              </w:rPr>
            </w:pPr>
            <w:r>
              <w:rPr>
                <w:kern w:val="0"/>
                <w:sz w:val="21"/>
                <w:szCs w:val="21"/>
              </w:rPr>
              <w:t>A</w:t>
            </w:r>
            <w:r>
              <w:rPr>
                <w:spacing w:val="11"/>
                <w:kern w:val="0"/>
                <w:sz w:val="21"/>
                <w:szCs w:val="21"/>
                <w:vertAlign w:val="subscript"/>
              </w:rPr>
              <w:t>2</w:t>
            </w:r>
            <w:r>
              <w:rPr>
                <w:kern w:val="0"/>
                <w:sz w:val="21"/>
                <w:szCs w:val="21"/>
              </w:rPr>
              <w:t>≤0.2或R≤5</w:t>
            </w:r>
          </w:p>
        </w:tc>
        <w:tc>
          <w:tcPr>
            <w:tcW w:w="1759" w:type="dxa"/>
            <w:tcBorders>
              <w:top w:val="single" w:color="000000" w:sz="4" w:space="0"/>
              <w:left w:val="single" w:color="000000" w:sz="4" w:space="0"/>
              <w:bottom w:val="single" w:color="000000" w:sz="4" w:space="0"/>
              <w:right w:val="single" w:color="000000" w:sz="12" w:space="0"/>
            </w:tcBorders>
            <w:shd w:val="clear" w:color="auto" w:fill="auto"/>
            <w:vAlign w:val="center"/>
          </w:tcPr>
          <w:p>
            <w:pPr>
              <w:tabs>
                <w:tab w:val="clear" w:pos="480"/>
              </w:tabs>
              <w:kinsoku w:val="0"/>
              <w:overflowPunct w:val="0"/>
              <w:autoSpaceDE w:val="0"/>
              <w:autoSpaceDN w:val="0"/>
              <w:adjustRightInd w:val="0"/>
              <w:spacing w:before="65" w:line="240" w:lineRule="auto"/>
              <w:ind w:left="11" w:firstLine="0" w:firstLineChars="0"/>
              <w:jc w:val="center"/>
              <w:rPr>
                <w:kern w:val="0"/>
              </w:rPr>
            </w:pPr>
            <w:r>
              <w:rPr>
                <w:spacing w:val="-1"/>
                <w:kern w:val="0"/>
                <w:sz w:val="21"/>
                <w:szCs w:val="21"/>
              </w:rPr>
              <w:t>A</w:t>
            </w:r>
            <w:r>
              <w:rPr>
                <w:kern w:val="0"/>
                <w:sz w:val="13"/>
                <w:szCs w:val="13"/>
              </w:rPr>
              <w:t>1</w:t>
            </w:r>
            <w:r>
              <w:rPr>
                <w:kern w:val="0"/>
                <w:sz w:val="21"/>
                <w:szCs w:val="21"/>
              </w:rPr>
              <w:t>≤0.1</w:t>
            </w:r>
            <w:r>
              <w:rPr>
                <w:spacing w:val="1"/>
                <w:kern w:val="0"/>
                <w:sz w:val="21"/>
                <w:szCs w:val="21"/>
              </w:rPr>
              <w:t>5</w:t>
            </w:r>
            <w:r>
              <w:rPr>
                <w:kern w:val="0"/>
                <w:sz w:val="21"/>
                <w:szCs w:val="21"/>
              </w:rPr>
              <w:t>；</w:t>
            </w:r>
            <w:r>
              <w:rPr>
                <w:spacing w:val="-2"/>
                <w:kern w:val="0"/>
                <w:sz w:val="21"/>
                <w:szCs w:val="21"/>
              </w:rPr>
              <w:t>或</w:t>
            </w:r>
            <w:r>
              <w:rPr>
                <w:spacing w:val="-1"/>
                <w:kern w:val="0"/>
                <w:sz w:val="21"/>
                <w:szCs w:val="21"/>
              </w:rPr>
              <w:t>A</w:t>
            </w:r>
            <w:r>
              <w:rPr>
                <w:kern w:val="0"/>
                <w:sz w:val="13"/>
                <w:szCs w:val="13"/>
              </w:rPr>
              <w:t>2</w:t>
            </w:r>
            <w:r>
              <w:rPr>
                <w:kern w:val="0"/>
                <w:sz w:val="21"/>
                <w:szCs w:val="21"/>
              </w:rPr>
              <w:t>≤0.5</w:t>
            </w:r>
          </w:p>
        </w:tc>
      </w:tr>
      <w:tr>
        <w:tblPrEx>
          <w:tblCellMar>
            <w:top w:w="0" w:type="dxa"/>
            <w:left w:w="0" w:type="dxa"/>
            <w:bottom w:w="0" w:type="dxa"/>
            <w:right w:w="0" w:type="dxa"/>
          </w:tblCellMar>
        </w:tblPrEx>
        <w:trPr>
          <w:trHeight w:val="2876" w:hRule="exact"/>
          <w:jc w:val="center"/>
        </w:trPr>
        <w:tc>
          <w:tcPr>
            <w:tcW w:w="9041" w:type="dxa"/>
            <w:gridSpan w:val="7"/>
            <w:tcBorders>
              <w:top w:val="single" w:color="000000" w:sz="4" w:space="0"/>
              <w:left w:val="single" w:color="000000" w:sz="12" w:space="0"/>
              <w:bottom w:val="single" w:color="000000" w:sz="12" w:space="0"/>
              <w:right w:val="single" w:color="000000" w:sz="12" w:space="0"/>
            </w:tcBorders>
            <w:shd w:val="clear" w:color="auto" w:fill="auto"/>
            <w:vAlign w:val="center"/>
          </w:tcPr>
          <w:p>
            <w:pPr>
              <w:pStyle w:val="2057"/>
              <w:spacing w:afterLines="0" w:line="240" w:lineRule="atLeast"/>
              <w:ind w:firstLine="0" w:firstLineChars="0"/>
              <w:jc w:val="left"/>
              <w:rPr>
                <w:sz w:val="18"/>
                <w:szCs w:val="18"/>
              </w:rPr>
            </w:pPr>
            <w:r>
              <w:rPr>
                <w:rFonts w:hint="eastAsia"/>
                <w:sz w:val="18"/>
                <w:szCs w:val="18"/>
              </w:rPr>
              <w:t>注1：影响范围涉及饮用水源保护区、重点保护与珍稀水生生物的栖息地、重要水生生物的自然产卵场、自然保护区等保护目标，评价等级应不低于二级。</w:t>
            </w:r>
          </w:p>
          <w:p>
            <w:pPr>
              <w:pStyle w:val="2057"/>
              <w:spacing w:afterLines="0" w:line="240" w:lineRule="atLeast"/>
              <w:ind w:firstLine="0" w:firstLineChars="0"/>
              <w:jc w:val="left"/>
              <w:rPr>
                <w:sz w:val="18"/>
                <w:szCs w:val="18"/>
              </w:rPr>
            </w:pPr>
            <w:r>
              <w:rPr>
                <w:rFonts w:hint="eastAsia"/>
                <w:sz w:val="18"/>
                <w:szCs w:val="18"/>
              </w:rPr>
              <w:t>注2：跨流域调水、引水式电站、可能受到河流感潮河段影响，评价等级不低于二级。</w:t>
            </w:r>
          </w:p>
          <w:p>
            <w:pPr>
              <w:pStyle w:val="2057"/>
              <w:spacing w:afterLines="0" w:line="240" w:lineRule="atLeast"/>
              <w:ind w:firstLine="0" w:firstLineChars="0"/>
              <w:jc w:val="left"/>
              <w:rPr>
                <w:sz w:val="18"/>
                <w:szCs w:val="18"/>
              </w:rPr>
            </w:pPr>
            <w:r>
              <w:rPr>
                <w:rFonts w:hint="eastAsia"/>
                <w:sz w:val="18"/>
                <w:szCs w:val="18"/>
              </w:rPr>
              <w:t>注3：造成入海河口（湾口）宽度束窄（束窄尺寸达到原宽度的5%以上），评价等级应不低于二级。</w:t>
            </w:r>
          </w:p>
          <w:p>
            <w:pPr>
              <w:pStyle w:val="2057"/>
              <w:spacing w:afterLines="0" w:line="240" w:lineRule="atLeast"/>
              <w:ind w:firstLine="0" w:firstLineChars="0"/>
              <w:jc w:val="left"/>
              <w:rPr>
                <w:sz w:val="18"/>
                <w:szCs w:val="18"/>
              </w:rPr>
            </w:pPr>
            <w:r>
              <w:rPr>
                <w:rFonts w:hint="eastAsia"/>
                <w:sz w:val="18"/>
                <w:szCs w:val="18"/>
              </w:rPr>
              <w:t>注4：对不透水的单方向建筑尺度较长的水工建筑物（如防波堤、导流堤），其与潮流或水流主流向切线垂直方向投影长度大于2km时，评价等级应不低于二级。</w:t>
            </w:r>
          </w:p>
          <w:p>
            <w:pPr>
              <w:pStyle w:val="2057"/>
              <w:spacing w:afterLines="0" w:line="240" w:lineRule="atLeast"/>
              <w:ind w:firstLine="0" w:firstLineChars="0"/>
              <w:jc w:val="left"/>
              <w:rPr>
                <w:sz w:val="18"/>
                <w:szCs w:val="18"/>
              </w:rPr>
            </w:pPr>
            <w:r>
              <w:rPr>
                <w:rFonts w:hint="eastAsia"/>
                <w:sz w:val="18"/>
                <w:szCs w:val="18"/>
              </w:rPr>
              <w:t>注5：允许在一类海域建设的项目，评价等级为一级。</w:t>
            </w:r>
          </w:p>
          <w:p>
            <w:pPr>
              <w:tabs>
                <w:tab w:val="clear" w:pos="480"/>
              </w:tabs>
              <w:kinsoku w:val="0"/>
              <w:overflowPunct w:val="0"/>
              <w:autoSpaceDE w:val="0"/>
              <w:autoSpaceDN w:val="0"/>
              <w:adjustRightInd w:val="0"/>
              <w:spacing w:before="65" w:line="240" w:lineRule="auto"/>
              <w:ind w:left="11" w:firstLine="0" w:firstLineChars="0"/>
              <w:jc w:val="left"/>
              <w:rPr>
                <w:spacing w:val="-1"/>
                <w:kern w:val="0"/>
                <w:sz w:val="21"/>
                <w:szCs w:val="21"/>
              </w:rPr>
            </w:pPr>
            <w:r>
              <w:rPr>
                <w:rFonts w:hint="eastAsia"/>
                <w:sz w:val="18"/>
                <w:szCs w:val="18"/>
              </w:rPr>
              <w:t>注6：同时存在多个水文要素影响的建设项目，分别判定各水文要素影响评价等级，并取其中最高等级作为水文要素影响型建设项目评价等级。</w:t>
            </w:r>
          </w:p>
        </w:tc>
      </w:tr>
    </w:tbl>
    <w:p>
      <w:pPr>
        <w:ind w:firstLine="480"/>
      </w:pPr>
      <w:r>
        <w:t>本项目为直立式</w:t>
      </w:r>
      <w:r>
        <w:rPr>
          <w:rFonts w:hint="eastAsia"/>
        </w:rPr>
        <w:t>高桩</w:t>
      </w:r>
      <w:r>
        <w:t>码头，</w:t>
      </w:r>
      <w:r>
        <w:rPr>
          <w:rFonts w:hint="eastAsia"/>
        </w:rPr>
        <w:t>本工程水工建筑主要有码头作业平面、施工码头平面、引桥和皮带机廊道，码头平台总长</w:t>
      </w:r>
      <w:r>
        <w:t>840</w:t>
      </w:r>
      <w:r>
        <w:rPr>
          <w:rFonts w:hint="eastAsia"/>
        </w:rPr>
        <w:t>m，宽2</w:t>
      </w:r>
      <w:r>
        <w:t>2~24</w:t>
      </w:r>
      <w:r>
        <w:rPr>
          <w:rFonts w:hint="eastAsia"/>
        </w:rPr>
        <w:t>m，码头平台面积1</w:t>
      </w:r>
      <w:r>
        <w:t>9866 m</w:t>
      </w:r>
      <w:r>
        <w:rPr>
          <w:vertAlign w:val="superscript"/>
        </w:rPr>
        <w:t>2</w:t>
      </w:r>
      <w:r>
        <w:rPr>
          <w:rFonts w:hint="eastAsia"/>
        </w:rPr>
        <w:t>；施工码头平台面积为5</w:t>
      </w:r>
      <w:r>
        <w:t>16 m</w:t>
      </w:r>
      <w:r>
        <w:rPr>
          <w:vertAlign w:val="superscript"/>
        </w:rPr>
        <w:t>2</w:t>
      </w:r>
      <w:r>
        <w:rPr>
          <w:rFonts w:hint="eastAsia"/>
        </w:rPr>
        <w:t>，1</w:t>
      </w:r>
      <w:r>
        <w:t>#</w:t>
      </w:r>
      <w:r>
        <w:rPr>
          <w:rFonts w:hint="eastAsia"/>
        </w:rPr>
        <w:t>引桥长1</w:t>
      </w:r>
      <w:r>
        <w:t>40.62</w:t>
      </w:r>
      <w:r>
        <w:rPr>
          <w:rFonts w:hint="eastAsia"/>
        </w:rPr>
        <w:t xml:space="preserve"> m，宽6 m；2</w:t>
      </w:r>
      <w:r>
        <w:t>#</w:t>
      </w:r>
      <w:r>
        <w:rPr>
          <w:rFonts w:hint="eastAsia"/>
        </w:rPr>
        <w:t>引桥长1</w:t>
      </w:r>
      <w:r>
        <w:t>41.67</w:t>
      </w:r>
      <w:r>
        <w:rPr>
          <w:rFonts w:hint="eastAsia"/>
        </w:rPr>
        <w:t xml:space="preserve"> m，宽6 m；</w:t>
      </w:r>
      <w:r>
        <w:t>3#</w:t>
      </w:r>
      <w:r>
        <w:rPr>
          <w:rFonts w:hint="eastAsia"/>
        </w:rPr>
        <w:t>引桥长1</w:t>
      </w:r>
      <w:r>
        <w:t>46.91</w:t>
      </w:r>
      <w:r>
        <w:rPr>
          <w:rFonts w:hint="eastAsia"/>
        </w:rPr>
        <w:t>m，宽</w:t>
      </w:r>
      <w:r>
        <w:t>15</w:t>
      </w:r>
      <w:r>
        <w:rPr>
          <w:rFonts w:hint="eastAsia"/>
        </w:rPr>
        <w:t xml:space="preserve"> m；</w:t>
      </w:r>
      <w:r>
        <w:t>4#</w:t>
      </w:r>
      <w:r>
        <w:rPr>
          <w:rFonts w:hint="eastAsia"/>
        </w:rPr>
        <w:t>引桥长</w:t>
      </w:r>
      <w:r>
        <w:t>140.27</w:t>
      </w:r>
      <w:r>
        <w:rPr>
          <w:rFonts w:hint="eastAsia"/>
        </w:rPr>
        <w:t>m，宽</w:t>
      </w:r>
      <w:r>
        <w:t>15</w:t>
      </w:r>
      <w:r>
        <w:rPr>
          <w:rFonts w:hint="eastAsia"/>
        </w:rPr>
        <w:t xml:space="preserve"> m；</w:t>
      </w:r>
      <w:r>
        <w:t>5#</w:t>
      </w:r>
      <w:r>
        <w:rPr>
          <w:rFonts w:hint="eastAsia"/>
        </w:rPr>
        <w:t>引桥长</w:t>
      </w:r>
      <w:r>
        <w:t>135.55</w:t>
      </w:r>
      <w:r>
        <w:rPr>
          <w:rFonts w:hint="eastAsia"/>
        </w:rPr>
        <w:t>m，宽</w:t>
      </w:r>
      <w:r>
        <w:t>9</w:t>
      </w:r>
      <w:r>
        <w:rPr>
          <w:rFonts w:hint="eastAsia"/>
        </w:rPr>
        <w:t xml:space="preserve"> m；1</w:t>
      </w:r>
      <w:r>
        <w:t>#</w:t>
      </w:r>
      <w:r>
        <w:rPr>
          <w:rFonts w:hint="eastAsia"/>
        </w:rPr>
        <w:t>皮带廊道长1</w:t>
      </w:r>
      <w:r>
        <w:t>40.62</w:t>
      </w:r>
      <w:r>
        <w:rPr>
          <w:rFonts w:hint="eastAsia"/>
        </w:rPr>
        <w:t xml:space="preserve"> m，宽</w:t>
      </w:r>
      <w:r>
        <w:t>4.5</w:t>
      </w:r>
      <w:r>
        <w:rPr>
          <w:rFonts w:hint="eastAsia"/>
        </w:rPr>
        <w:t>m；</w:t>
      </w:r>
      <w:r>
        <w:t>2#</w:t>
      </w:r>
      <w:r>
        <w:rPr>
          <w:rFonts w:hint="eastAsia"/>
        </w:rPr>
        <w:t>皮带廊道长1</w:t>
      </w:r>
      <w:r>
        <w:t>41.67</w:t>
      </w:r>
      <w:r>
        <w:rPr>
          <w:rFonts w:hint="eastAsia"/>
        </w:rPr>
        <w:t>m，宽</w:t>
      </w:r>
      <w:r>
        <w:t>7.5</w:t>
      </w:r>
      <w:r>
        <w:rPr>
          <w:rFonts w:hint="eastAsia"/>
        </w:rPr>
        <w:t>m；</w:t>
      </w:r>
      <w:r>
        <w:t>3#</w:t>
      </w:r>
      <w:r>
        <w:rPr>
          <w:rFonts w:hint="eastAsia"/>
        </w:rPr>
        <w:t>皮带廊道长</w:t>
      </w:r>
      <w:r>
        <w:t>135.55</w:t>
      </w:r>
      <w:r>
        <w:rPr>
          <w:rFonts w:hint="eastAsia"/>
        </w:rPr>
        <w:t>m，宽</w:t>
      </w:r>
      <w:r>
        <w:t>4</w:t>
      </w:r>
      <w:r>
        <w:rPr>
          <w:rFonts w:hint="eastAsia"/>
        </w:rPr>
        <w:t>m。</w:t>
      </w:r>
      <w:r>
        <w:t>工程垂直投影面积及外扩面积为A</w:t>
      </w:r>
      <w:r>
        <w:rPr>
          <w:vertAlign w:val="subscript"/>
        </w:rPr>
        <w:t>1</w:t>
      </w:r>
      <w:r>
        <w:rPr>
          <w:rFonts w:hint="eastAsia"/>
        </w:rPr>
        <w:t>为</w:t>
      </w:r>
      <w:r>
        <w:t>29976.46m</w:t>
      </w:r>
      <w:r>
        <w:rPr>
          <w:vertAlign w:val="superscript"/>
        </w:rPr>
        <w:t>2</w:t>
      </w:r>
      <w:r>
        <w:t>≤0.05 km</w:t>
      </w:r>
      <w:r>
        <w:rPr>
          <w:vertAlign w:val="superscript"/>
        </w:rPr>
        <w:t>2</w:t>
      </w:r>
      <w:r>
        <w:rPr>
          <w:rFonts w:hint="eastAsia"/>
        </w:rPr>
        <w:t>。</w:t>
      </w:r>
    </w:p>
    <w:p>
      <w:pPr>
        <w:keepNext w:val="0"/>
        <w:keepLines w:val="0"/>
        <w:widowControl/>
        <w:suppressLineNumbers w:val="0"/>
        <w:jc w:val="left"/>
        <w:rPr>
          <w:rFonts w:cs="Times New Roman"/>
          <w:color w:val="auto"/>
          <w:lang w:val="zh-CN"/>
        </w:rPr>
      </w:pPr>
      <w:r>
        <w:rPr>
          <w:rFonts w:hint="eastAsia"/>
        </w:rPr>
        <w:t>根据</w:t>
      </w:r>
      <w:r>
        <w:t>工程可行性研究报告</w:t>
      </w:r>
      <w:r>
        <w:rPr>
          <w:rFonts w:hint="eastAsia"/>
        </w:rPr>
        <w:t>提供资料，码头面</w:t>
      </w:r>
      <w:r>
        <w:t>标准排架间距 9m，共 99 榀排架，分为 12 个结构段， 结构段分缝采用悬臂分缝。每榀排架基础采用 4 根Φ1000mm 全直钢管（δ18mm）芯柱嵌岩桩及 2 根Φ1000mm 钢管（δ18mm）芯柱嵌 岩斜桩（斜度 6:1）</w:t>
      </w:r>
      <w:r>
        <w:rPr>
          <w:rFonts w:hint="eastAsia"/>
        </w:rPr>
        <w:t>，即码头面工使用3</w:t>
      </w:r>
      <w:r>
        <w:t>96</w:t>
      </w:r>
      <w:r>
        <w:rPr>
          <w:rFonts w:hint="eastAsia"/>
        </w:rPr>
        <w:t>根</w:t>
      </w:r>
      <w:r>
        <w:t>Φ1000mm 全直钢管（δ18mm）芯柱嵌岩桩</w:t>
      </w:r>
      <w:r>
        <w:rPr>
          <w:rFonts w:hint="eastAsia"/>
        </w:rPr>
        <w:t>和1</w:t>
      </w:r>
      <w:r>
        <w:t>98</w:t>
      </w:r>
      <w:r>
        <w:rPr>
          <w:rFonts w:hint="eastAsia"/>
        </w:rPr>
        <w:t>根</w:t>
      </w:r>
      <w:r>
        <w:t>Φ1000mm 钢管（δ18mm）芯柱嵌 岩斜桩（斜度 6:1）</w:t>
      </w:r>
      <w:r>
        <w:rPr>
          <w:rFonts w:hint="eastAsia"/>
        </w:rPr>
        <w:t>，</w:t>
      </w:r>
      <w:r>
        <w:rPr>
          <w:spacing w:val="1"/>
          <w:szCs w:val="24"/>
        </w:rPr>
        <w:t>工</w:t>
      </w:r>
      <w:r>
        <w:rPr>
          <w:szCs w:val="24"/>
        </w:rPr>
        <w:t>程</w:t>
      </w:r>
      <w:r>
        <w:rPr>
          <w:rFonts w:hint="eastAsia"/>
          <w:szCs w:val="24"/>
          <w:lang w:val="en-US" w:eastAsia="zh-CN"/>
        </w:rPr>
        <w:t>桩基施工</w:t>
      </w:r>
      <w:r>
        <w:rPr>
          <w:spacing w:val="1"/>
          <w:szCs w:val="24"/>
        </w:rPr>
        <w:t>扰动水</w:t>
      </w:r>
      <w:r>
        <w:rPr>
          <w:szCs w:val="24"/>
        </w:rPr>
        <w:t>底面积</w:t>
      </w:r>
      <w:r>
        <w:rPr>
          <w:bCs/>
          <w:spacing w:val="-1"/>
          <w:szCs w:val="24"/>
        </w:rPr>
        <w:t>A</w:t>
      </w:r>
      <w:r>
        <w:rPr>
          <w:bCs/>
          <w:szCs w:val="24"/>
          <w:vertAlign w:val="subscript"/>
        </w:rPr>
        <w:t>2</w:t>
      </w:r>
      <w:r>
        <w:rPr>
          <w:rFonts w:hint="eastAsia"/>
          <w:szCs w:val="24"/>
        </w:rPr>
        <w:t>共</w:t>
      </w:r>
      <w:r>
        <w:rPr>
          <w:rFonts w:hint="eastAsia"/>
        </w:rPr>
        <w:t>4</w:t>
      </w:r>
      <w:r>
        <w:t>66.29 m</w:t>
      </w:r>
      <w:r>
        <w:rPr>
          <w:vertAlign w:val="superscript"/>
        </w:rPr>
        <w:t>2</w:t>
      </w:r>
      <w:r>
        <w:rPr>
          <w:rFonts w:hint="eastAsia"/>
          <w:vertAlign w:val="subscript"/>
          <w:lang w:eastAsia="zh-CN"/>
        </w:rPr>
        <w:t>，</w:t>
      </w:r>
      <w:r>
        <w:rPr>
          <w:rFonts w:hint="eastAsia"/>
          <w:lang w:val="en-US" w:eastAsia="zh-CN"/>
        </w:rPr>
        <w:t>工程疏浚面积约为3875</w:t>
      </w:r>
      <w:r>
        <w:t>m</w:t>
      </w:r>
      <w:r>
        <w:rPr>
          <w:vertAlign w:val="superscript"/>
        </w:rPr>
        <w:t>2</w:t>
      </w:r>
      <w:r>
        <w:rPr>
          <w:rFonts w:hint="eastAsia"/>
          <w:vertAlign w:val="baseline"/>
          <w:lang w:eastAsia="zh-CN"/>
        </w:rPr>
        <w:t>，</w:t>
      </w:r>
      <w:r>
        <w:rPr>
          <w:rFonts w:hint="eastAsia"/>
          <w:vertAlign w:val="baseline"/>
          <w:lang w:val="en-US" w:eastAsia="zh-CN"/>
        </w:rPr>
        <w:t>工程抛石扰动水底面积为32340</w:t>
      </w:r>
      <w:r>
        <w:t>m</w:t>
      </w:r>
      <w:r>
        <w:rPr>
          <w:vertAlign w:val="superscript"/>
        </w:rPr>
        <w:t>2</w:t>
      </w:r>
      <w:r>
        <w:rPr>
          <w:rFonts w:hint="eastAsia"/>
          <w:vertAlign w:val="baseline"/>
          <w:lang w:eastAsia="zh-CN"/>
        </w:rPr>
        <w:t>，</w:t>
      </w:r>
      <w:r>
        <w:rPr>
          <w:rFonts w:hint="eastAsia"/>
          <w:vertAlign w:val="baseline"/>
          <w:lang w:val="en-US" w:eastAsia="zh-CN"/>
        </w:rPr>
        <w:t>合计36681.29</w:t>
      </w:r>
      <w:r>
        <w:t xml:space="preserve"> m</w:t>
      </w:r>
      <w:r>
        <w:rPr>
          <w:vertAlign w:val="superscript"/>
        </w:rPr>
        <w:t>2</w:t>
      </w:r>
      <w:r>
        <w:rPr>
          <w:rFonts w:hint="eastAsia"/>
          <w:vertAlign w:val="baseline"/>
          <w:lang w:eastAsia="zh-CN"/>
        </w:rPr>
        <w:t>，</w:t>
      </w:r>
      <w:r>
        <w:rPr>
          <w:rFonts w:hint="eastAsia"/>
          <w:vertAlign w:val="baseline"/>
          <w:lang w:val="en-US" w:eastAsia="zh-CN"/>
        </w:rPr>
        <w:t>由此可知</w:t>
      </w:r>
      <w:r>
        <w:rPr>
          <w:rFonts w:hint="default" w:ascii="Times New Roman" w:hAnsi="Times New Roman" w:eastAsia="宋体" w:cs="Times New Roman"/>
          <w:color w:val="000000"/>
          <w:kern w:val="0"/>
          <w:sz w:val="24"/>
          <w:szCs w:val="24"/>
          <w:lang w:val="en-US" w:eastAsia="zh-CN" w:bidi="ar"/>
        </w:rPr>
        <w:t>A2≤0.2</w:t>
      </w:r>
      <w:r>
        <w:t>。</w:t>
      </w:r>
      <w:r>
        <w:rPr>
          <w:rFonts w:cs="Times New Roman"/>
          <w:color w:val="auto"/>
        </w:rPr>
        <w:t>过水断面宽度占用比例或占用水域面积比例R≤5</w:t>
      </w:r>
      <w:r>
        <w:rPr>
          <w:rFonts w:hint="eastAsia"/>
        </w:rPr>
        <w:t>；</w:t>
      </w:r>
      <w:r>
        <w:rPr>
          <w:rFonts w:hint="eastAsia" w:cs="Times New Roman"/>
          <w:color w:val="auto"/>
          <w:lang w:val="zh-CN"/>
        </w:rPr>
        <w:t>根据上文</w:t>
      </w:r>
      <w:r>
        <w:rPr>
          <w:rFonts w:cs="Times New Roman"/>
          <w:color w:val="auto"/>
          <w:lang w:val="zh-CN"/>
        </w:rPr>
        <w:t>表1-4</w:t>
      </w:r>
      <w:r>
        <w:rPr>
          <w:rFonts w:hint="eastAsia" w:cs="Times New Roman"/>
          <w:color w:val="auto"/>
          <w:lang w:val="zh-CN"/>
        </w:rPr>
        <w:t>判定依据</w:t>
      </w:r>
      <w:r>
        <w:rPr>
          <w:rFonts w:cs="Times New Roman"/>
          <w:color w:val="auto"/>
          <w:lang w:val="zh-CN"/>
        </w:rPr>
        <w:t>，</w:t>
      </w:r>
      <w:r>
        <w:rPr>
          <w:rFonts w:hint="eastAsia"/>
          <w:kern w:val="0"/>
        </w:rPr>
        <w:t>水文要素影响地表水环境影响评价工作等级为</w:t>
      </w:r>
      <w:r>
        <w:rPr>
          <w:rFonts w:hint="eastAsia"/>
          <w:kern w:val="0"/>
          <w:lang w:val="en-US" w:eastAsia="zh-CN"/>
        </w:rPr>
        <w:t>二</w:t>
      </w:r>
      <w:r>
        <w:rPr>
          <w:rFonts w:hint="eastAsia"/>
          <w:kern w:val="0"/>
        </w:rPr>
        <w:t>级</w:t>
      </w:r>
      <w:r>
        <w:rPr>
          <w:rFonts w:cs="Times New Roman"/>
          <w:color w:val="auto"/>
          <w:lang w:val="zh-CN"/>
        </w:rPr>
        <w:t>。</w:t>
      </w:r>
      <w:r>
        <w:rPr>
          <w:rFonts w:hint="eastAsia" w:cs="Times New Roman"/>
          <w:color w:val="auto"/>
          <w:lang w:val="en-US" w:eastAsia="zh-CN"/>
        </w:rPr>
        <w:t>且</w:t>
      </w:r>
      <w:r>
        <w:rPr>
          <w:rFonts w:cs="Times New Roman"/>
          <w:color w:val="auto"/>
        </w:rPr>
        <w:t>本项目影响范围涉及洞庭湖口铜鱼短颌鲚国家级水产种质资源保护区，评价等级应不低于二级，故水文要素</w:t>
      </w:r>
      <w:r>
        <w:rPr>
          <w:rFonts w:hint="eastAsia"/>
          <w:kern w:val="0"/>
        </w:rPr>
        <w:t>影响地表水环境影响评价</w:t>
      </w:r>
      <w:r>
        <w:rPr>
          <w:rFonts w:cs="Times New Roman"/>
          <w:color w:val="auto"/>
        </w:rPr>
        <w:t>等级判定为</w:t>
      </w:r>
      <w:r>
        <w:rPr>
          <w:rFonts w:cs="Times New Roman"/>
          <w:b/>
          <w:color w:val="auto"/>
        </w:rPr>
        <w:t>二级</w:t>
      </w:r>
      <w:r>
        <w:rPr>
          <w:rFonts w:cs="Times New Roman"/>
          <w:color w:val="auto"/>
        </w:rPr>
        <w:t>。</w:t>
      </w:r>
    </w:p>
    <w:p>
      <w:pPr>
        <w:pStyle w:val="619"/>
        <w:rPr>
          <w:rFonts w:cs="Times New Roman"/>
        </w:rPr>
      </w:pPr>
      <w:r>
        <w:rPr>
          <w:rFonts w:hint="eastAsia" w:cs="Times New Roman"/>
        </w:rPr>
        <w:t>河港建设项目评价等级划分表</w:t>
      </w:r>
    </w:p>
    <w:tbl>
      <w:tblPr>
        <w:tblStyle w:val="359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22"/>
        <w:gridCol w:w="1324"/>
        <w:gridCol w:w="1324"/>
        <w:gridCol w:w="1324"/>
        <w:gridCol w:w="1324"/>
        <w:gridCol w:w="1324"/>
        <w:gridCol w:w="134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712" w:type="pct"/>
            <w:vMerge w:val="restart"/>
            <w:vAlign w:val="center"/>
          </w:tcPr>
          <w:p>
            <w:pPr>
              <w:pStyle w:val="2057"/>
              <w:spacing w:afterLines="0"/>
              <w:ind w:firstLine="0" w:firstLineChars="0"/>
              <w:rPr>
                <w:sz w:val="21"/>
                <w:szCs w:val="21"/>
              </w:rPr>
            </w:pPr>
            <w:r>
              <w:rPr>
                <w:rFonts w:hint="eastAsia"/>
                <w:sz w:val="21"/>
                <w:szCs w:val="21"/>
              </w:rPr>
              <w:t>港口性质</w:t>
            </w:r>
          </w:p>
        </w:tc>
        <w:tc>
          <w:tcPr>
            <w:tcW w:w="713" w:type="pct"/>
            <w:vMerge w:val="restart"/>
            <w:vAlign w:val="center"/>
          </w:tcPr>
          <w:p>
            <w:pPr>
              <w:pStyle w:val="2057"/>
              <w:spacing w:afterLines="0"/>
              <w:ind w:firstLine="0" w:firstLineChars="0"/>
              <w:rPr>
                <w:sz w:val="21"/>
                <w:szCs w:val="21"/>
              </w:rPr>
            </w:pPr>
            <w:r>
              <w:rPr>
                <w:rFonts w:hint="eastAsia"/>
                <w:sz w:val="21"/>
                <w:szCs w:val="21"/>
              </w:rPr>
              <w:t>工程特性</w:t>
            </w:r>
          </w:p>
        </w:tc>
        <w:tc>
          <w:tcPr>
            <w:tcW w:w="713" w:type="pct"/>
            <w:vMerge w:val="restart"/>
            <w:vAlign w:val="center"/>
          </w:tcPr>
          <w:p>
            <w:pPr>
              <w:pStyle w:val="2057"/>
              <w:spacing w:afterLines="0"/>
              <w:ind w:firstLine="0" w:firstLineChars="0"/>
              <w:rPr>
                <w:sz w:val="21"/>
                <w:szCs w:val="21"/>
              </w:rPr>
            </w:pPr>
            <w:r>
              <w:rPr>
                <w:rFonts w:hint="eastAsia"/>
                <w:sz w:val="21"/>
                <w:szCs w:val="21"/>
              </w:rPr>
              <w:t>影响区域</w:t>
            </w:r>
          </w:p>
        </w:tc>
        <w:tc>
          <w:tcPr>
            <w:tcW w:w="713" w:type="pct"/>
            <w:vMerge w:val="restart"/>
            <w:vAlign w:val="center"/>
          </w:tcPr>
          <w:p>
            <w:pPr>
              <w:pStyle w:val="2057"/>
              <w:spacing w:afterLines="0"/>
              <w:ind w:firstLine="0" w:firstLineChars="0"/>
              <w:rPr>
                <w:sz w:val="21"/>
                <w:szCs w:val="21"/>
              </w:rPr>
            </w:pPr>
            <w:r>
              <w:rPr>
                <w:rFonts w:hint="eastAsia"/>
                <w:sz w:val="21"/>
                <w:szCs w:val="21"/>
              </w:rPr>
              <w:t>生态影响评价等级</w:t>
            </w:r>
          </w:p>
        </w:tc>
        <w:tc>
          <w:tcPr>
            <w:tcW w:w="2145" w:type="pct"/>
            <w:gridSpan w:val="3"/>
            <w:vAlign w:val="center"/>
          </w:tcPr>
          <w:p>
            <w:pPr>
              <w:pStyle w:val="2057"/>
              <w:spacing w:afterLines="0"/>
              <w:ind w:firstLine="0" w:firstLineChars="0"/>
              <w:rPr>
                <w:sz w:val="21"/>
                <w:szCs w:val="21"/>
              </w:rPr>
            </w:pPr>
            <w:r>
              <w:rPr>
                <w:rFonts w:hint="eastAsia"/>
                <w:sz w:val="21"/>
                <w:szCs w:val="21"/>
              </w:rPr>
              <w:t>水环境影响评价等级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712" w:type="pct"/>
            <w:vMerge w:val="continue"/>
            <w:vAlign w:val="center"/>
          </w:tcPr>
          <w:p>
            <w:pPr>
              <w:pStyle w:val="2057"/>
              <w:spacing w:afterLines="0"/>
              <w:ind w:firstLine="0" w:firstLineChars="0"/>
              <w:rPr>
                <w:sz w:val="21"/>
                <w:szCs w:val="21"/>
              </w:rPr>
            </w:pPr>
          </w:p>
        </w:tc>
        <w:tc>
          <w:tcPr>
            <w:tcW w:w="713" w:type="pct"/>
            <w:vMerge w:val="continue"/>
            <w:vAlign w:val="center"/>
          </w:tcPr>
          <w:p>
            <w:pPr>
              <w:pStyle w:val="2057"/>
              <w:spacing w:afterLines="0"/>
              <w:ind w:firstLine="0" w:firstLineChars="0"/>
              <w:rPr>
                <w:sz w:val="21"/>
                <w:szCs w:val="21"/>
              </w:rPr>
            </w:pPr>
          </w:p>
        </w:tc>
        <w:tc>
          <w:tcPr>
            <w:tcW w:w="713" w:type="pct"/>
            <w:vMerge w:val="continue"/>
            <w:vAlign w:val="center"/>
          </w:tcPr>
          <w:p>
            <w:pPr>
              <w:pStyle w:val="2057"/>
              <w:spacing w:afterLines="0"/>
              <w:ind w:firstLine="0" w:firstLineChars="0"/>
              <w:rPr>
                <w:sz w:val="21"/>
                <w:szCs w:val="21"/>
              </w:rPr>
            </w:pPr>
          </w:p>
        </w:tc>
        <w:tc>
          <w:tcPr>
            <w:tcW w:w="713" w:type="pct"/>
            <w:vMerge w:val="continue"/>
            <w:vAlign w:val="center"/>
          </w:tcPr>
          <w:p>
            <w:pPr>
              <w:pStyle w:val="2057"/>
              <w:spacing w:afterLines="0"/>
              <w:ind w:firstLine="0" w:firstLineChars="0"/>
              <w:rPr>
                <w:sz w:val="21"/>
                <w:szCs w:val="21"/>
              </w:rPr>
            </w:pPr>
          </w:p>
        </w:tc>
        <w:tc>
          <w:tcPr>
            <w:tcW w:w="713" w:type="pct"/>
            <w:vAlign w:val="center"/>
          </w:tcPr>
          <w:p>
            <w:pPr>
              <w:pStyle w:val="2057"/>
              <w:spacing w:afterLines="0"/>
              <w:ind w:firstLine="0" w:firstLineChars="0"/>
              <w:rPr>
                <w:sz w:val="21"/>
                <w:szCs w:val="21"/>
              </w:rPr>
            </w:pPr>
            <w:r>
              <w:rPr>
                <w:rFonts w:hint="eastAsia"/>
                <w:sz w:val="21"/>
                <w:szCs w:val="21"/>
              </w:rPr>
              <w:t>水文动力环境</w:t>
            </w:r>
          </w:p>
        </w:tc>
        <w:tc>
          <w:tcPr>
            <w:tcW w:w="713" w:type="pct"/>
            <w:vAlign w:val="center"/>
          </w:tcPr>
          <w:p>
            <w:pPr>
              <w:pStyle w:val="2057"/>
              <w:spacing w:afterLines="0"/>
              <w:ind w:firstLine="0" w:firstLineChars="0"/>
              <w:rPr>
                <w:sz w:val="21"/>
                <w:szCs w:val="21"/>
              </w:rPr>
            </w:pPr>
            <w:r>
              <w:rPr>
                <w:rFonts w:hint="eastAsia"/>
                <w:sz w:val="21"/>
                <w:szCs w:val="21"/>
              </w:rPr>
              <w:t>冲淤环境</w:t>
            </w:r>
          </w:p>
        </w:tc>
        <w:tc>
          <w:tcPr>
            <w:tcW w:w="717" w:type="pct"/>
            <w:vAlign w:val="center"/>
          </w:tcPr>
          <w:p>
            <w:pPr>
              <w:pStyle w:val="2057"/>
              <w:spacing w:afterLines="0"/>
              <w:ind w:firstLine="0" w:firstLineChars="0"/>
              <w:rPr>
                <w:sz w:val="21"/>
                <w:szCs w:val="21"/>
              </w:rPr>
            </w:pPr>
            <w:r>
              <w:rPr>
                <w:rFonts w:hint="eastAsia"/>
                <w:sz w:val="21"/>
                <w:szCs w:val="21"/>
              </w:rPr>
              <w:t>水质和沉积物环境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12" w:type="pct"/>
            <w:vMerge w:val="restart"/>
            <w:vAlign w:val="center"/>
          </w:tcPr>
          <w:p>
            <w:pPr>
              <w:pStyle w:val="2057"/>
              <w:spacing w:afterLines="0"/>
              <w:ind w:firstLine="0" w:firstLineChars="0"/>
              <w:rPr>
                <w:rFonts w:hint="eastAsia"/>
                <w:sz w:val="21"/>
                <w:szCs w:val="21"/>
              </w:rPr>
            </w:pPr>
            <w:r>
              <w:rPr>
                <w:rFonts w:hint="eastAsia"/>
                <w:sz w:val="21"/>
                <w:szCs w:val="21"/>
                <w:lang w:val="en-US" w:eastAsia="zh-CN"/>
              </w:rPr>
              <w:t>干散货码头、</w:t>
            </w:r>
            <w:r>
              <w:rPr>
                <w:rFonts w:hint="eastAsia"/>
                <w:sz w:val="21"/>
                <w:szCs w:val="21"/>
              </w:rPr>
              <w:t>集装箱、多用途、通用和件杂货码头等工程</w:t>
            </w:r>
          </w:p>
        </w:tc>
        <w:tc>
          <w:tcPr>
            <w:tcW w:w="713" w:type="pct"/>
            <w:vMerge w:val="restart"/>
            <w:vAlign w:val="center"/>
          </w:tcPr>
          <w:p>
            <w:pPr>
              <w:pStyle w:val="2057"/>
              <w:spacing w:afterLines="0"/>
              <w:ind w:firstLine="0" w:firstLineChars="0"/>
              <w:rPr>
                <w:rFonts w:hint="eastAsia"/>
                <w:sz w:val="21"/>
                <w:szCs w:val="21"/>
              </w:rPr>
            </w:pPr>
            <w:r>
              <w:rPr>
                <w:rFonts w:hint="eastAsia"/>
                <w:sz w:val="21"/>
                <w:szCs w:val="21"/>
              </w:rPr>
              <w:t>新开港区</w:t>
            </w:r>
          </w:p>
        </w:tc>
        <w:tc>
          <w:tcPr>
            <w:tcW w:w="713" w:type="pct"/>
            <w:vAlign w:val="center"/>
          </w:tcPr>
          <w:p>
            <w:pPr>
              <w:pStyle w:val="2057"/>
              <w:spacing w:afterLines="0"/>
              <w:ind w:firstLine="0" w:firstLineChars="0"/>
              <w:rPr>
                <w:rFonts w:hint="eastAsia"/>
                <w:sz w:val="21"/>
                <w:szCs w:val="21"/>
              </w:rPr>
            </w:pPr>
            <w:r>
              <w:rPr>
                <w:rFonts w:hint="eastAsia"/>
                <w:sz w:val="21"/>
                <w:szCs w:val="21"/>
              </w:rPr>
              <w:t>重要生境</w:t>
            </w:r>
          </w:p>
        </w:tc>
        <w:tc>
          <w:tcPr>
            <w:tcW w:w="713" w:type="pct"/>
            <w:vAlign w:val="center"/>
          </w:tcPr>
          <w:p>
            <w:pPr>
              <w:pStyle w:val="2057"/>
              <w:spacing w:afterLines="0"/>
              <w:ind w:firstLine="0" w:firstLineChars="0"/>
              <w:rPr>
                <w:rFonts w:hint="eastAsia" w:eastAsia="宋体"/>
                <w:sz w:val="21"/>
                <w:szCs w:val="21"/>
                <w:lang w:eastAsia="zh-CN"/>
              </w:rPr>
            </w:pPr>
            <w:r>
              <w:rPr>
                <w:rFonts w:hint="eastAsia"/>
                <w:sz w:val="21"/>
                <w:szCs w:val="21"/>
                <w:lang w:val="en-US" w:eastAsia="zh-CN"/>
              </w:rPr>
              <w:t>一</w:t>
            </w:r>
          </w:p>
        </w:tc>
        <w:tc>
          <w:tcPr>
            <w:tcW w:w="713" w:type="pct"/>
            <w:vAlign w:val="center"/>
          </w:tcPr>
          <w:p>
            <w:pPr>
              <w:pStyle w:val="2057"/>
              <w:spacing w:afterLines="0"/>
              <w:ind w:firstLine="0" w:firstLineChars="0"/>
              <w:rPr>
                <w:rFonts w:hint="eastAsia"/>
                <w:sz w:val="21"/>
                <w:szCs w:val="21"/>
              </w:rPr>
            </w:pPr>
            <w:r>
              <w:rPr>
                <w:rFonts w:hint="eastAsia"/>
                <w:sz w:val="21"/>
                <w:szCs w:val="21"/>
              </w:rPr>
              <w:t>一</w:t>
            </w:r>
          </w:p>
        </w:tc>
        <w:tc>
          <w:tcPr>
            <w:tcW w:w="713" w:type="pct"/>
            <w:vAlign w:val="center"/>
          </w:tcPr>
          <w:p>
            <w:pPr>
              <w:pStyle w:val="2057"/>
              <w:spacing w:afterLines="0"/>
              <w:ind w:firstLine="0" w:firstLineChars="0"/>
              <w:rPr>
                <w:rFonts w:hint="eastAsia"/>
                <w:sz w:val="21"/>
                <w:szCs w:val="21"/>
              </w:rPr>
            </w:pPr>
            <w:r>
              <w:rPr>
                <w:rFonts w:hint="eastAsia"/>
                <w:sz w:val="21"/>
                <w:szCs w:val="21"/>
              </w:rPr>
              <w:t>一</w:t>
            </w:r>
          </w:p>
        </w:tc>
        <w:tc>
          <w:tcPr>
            <w:tcW w:w="717" w:type="pct"/>
            <w:vAlign w:val="center"/>
          </w:tcPr>
          <w:p>
            <w:pPr>
              <w:pStyle w:val="2057"/>
              <w:spacing w:afterLines="0"/>
              <w:ind w:firstLine="0" w:firstLineChars="0"/>
              <w:rPr>
                <w:rFonts w:hint="eastAsia"/>
                <w:sz w:val="21"/>
                <w:szCs w:val="21"/>
              </w:rPr>
            </w:pPr>
            <w:r>
              <w:rPr>
                <w:rFonts w:hint="eastAsia"/>
                <w:sz w:val="21"/>
                <w:szCs w:val="21"/>
                <w:lang w:val="en-US" w:eastAsia="zh-CN"/>
              </w:rPr>
              <w:t>一</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12" w:type="pct"/>
            <w:vMerge w:val="continue"/>
            <w:vAlign w:val="center"/>
          </w:tcPr>
          <w:p>
            <w:pPr>
              <w:pStyle w:val="2057"/>
              <w:spacing w:afterLines="0"/>
              <w:ind w:firstLine="0" w:firstLineChars="0"/>
              <w:rPr>
                <w:rFonts w:hint="eastAsia"/>
                <w:sz w:val="21"/>
                <w:szCs w:val="21"/>
              </w:rPr>
            </w:pPr>
          </w:p>
        </w:tc>
        <w:tc>
          <w:tcPr>
            <w:tcW w:w="713" w:type="pct"/>
            <w:vMerge w:val="continue"/>
            <w:vAlign w:val="center"/>
          </w:tcPr>
          <w:p>
            <w:pPr>
              <w:pStyle w:val="2057"/>
              <w:spacing w:afterLines="0"/>
              <w:ind w:firstLine="0" w:firstLineChars="0"/>
              <w:rPr>
                <w:rFonts w:hint="eastAsia"/>
                <w:sz w:val="21"/>
                <w:szCs w:val="21"/>
              </w:rPr>
            </w:pPr>
          </w:p>
        </w:tc>
        <w:tc>
          <w:tcPr>
            <w:tcW w:w="713" w:type="pct"/>
            <w:vAlign w:val="center"/>
          </w:tcPr>
          <w:p>
            <w:pPr>
              <w:pStyle w:val="2057"/>
              <w:spacing w:afterLines="0"/>
              <w:ind w:firstLine="0" w:firstLineChars="0"/>
              <w:rPr>
                <w:rFonts w:hint="eastAsia"/>
                <w:sz w:val="21"/>
                <w:szCs w:val="21"/>
              </w:rPr>
            </w:pPr>
            <w:r>
              <w:rPr>
                <w:rFonts w:hint="eastAsia"/>
                <w:sz w:val="21"/>
                <w:szCs w:val="21"/>
              </w:rPr>
              <w:t>一般区域</w:t>
            </w:r>
          </w:p>
        </w:tc>
        <w:tc>
          <w:tcPr>
            <w:tcW w:w="713" w:type="pct"/>
            <w:vAlign w:val="center"/>
          </w:tcPr>
          <w:p>
            <w:pPr>
              <w:spacing w:afterLines="0"/>
              <w:ind w:firstLine="420" w:firstLineChars="200"/>
              <w:rPr>
                <w:rFonts w:hint="eastAsia"/>
                <w:sz w:val="21"/>
                <w:szCs w:val="21"/>
              </w:rPr>
            </w:pPr>
            <w:r>
              <w:rPr>
                <w:rFonts w:hint="eastAsia"/>
                <w:sz w:val="21"/>
                <w:szCs w:val="21"/>
              </w:rPr>
              <w:t>二</w:t>
            </w:r>
          </w:p>
        </w:tc>
        <w:tc>
          <w:tcPr>
            <w:tcW w:w="713" w:type="pct"/>
            <w:vAlign w:val="center"/>
          </w:tcPr>
          <w:p>
            <w:pPr>
              <w:spacing w:afterLines="0"/>
              <w:ind w:firstLine="420" w:firstLineChars="200"/>
              <w:rPr>
                <w:rFonts w:hint="eastAsia"/>
                <w:sz w:val="21"/>
                <w:szCs w:val="21"/>
              </w:rPr>
            </w:pPr>
            <w:r>
              <w:rPr>
                <w:rFonts w:hint="eastAsia"/>
                <w:sz w:val="21"/>
                <w:szCs w:val="21"/>
              </w:rPr>
              <w:t>二</w:t>
            </w:r>
          </w:p>
        </w:tc>
        <w:tc>
          <w:tcPr>
            <w:tcW w:w="713" w:type="pct"/>
            <w:vAlign w:val="center"/>
          </w:tcPr>
          <w:p>
            <w:pPr>
              <w:spacing w:afterLines="0"/>
              <w:ind w:firstLine="420" w:firstLineChars="200"/>
              <w:rPr>
                <w:rFonts w:hint="eastAsia"/>
                <w:sz w:val="21"/>
                <w:szCs w:val="21"/>
              </w:rPr>
            </w:pPr>
            <w:r>
              <w:rPr>
                <w:rFonts w:hint="eastAsia"/>
                <w:sz w:val="21"/>
                <w:szCs w:val="21"/>
              </w:rPr>
              <w:t>二</w:t>
            </w:r>
          </w:p>
        </w:tc>
        <w:tc>
          <w:tcPr>
            <w:tcW w:w="717" w:type="pct"/>
            <w:vAlign w:val="center"/>
          </w:tcPr>
          <w:p>
            <w:pPr>
              <w:spacing w:afterLines="0"/>
              <w:ind w:firstLine="420" w:firstLineChars="200"/>
              <w:rPr>
                <w:rFonts w:hint="eastAsia"/>
                <w:sz w:val="21"/>
                <w:szCs w:val="21"/>
              </w:rPr>
            </w:pPr>
            <w:r>
              <w:rPr>
                <w:rFonts w:hint="eastAsia"/>
                <w:sz w:val="21"/>
                <w:szCs w:val="21"/>
              </w:rPr>
              <w:t>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12" w:type="pct"/>
            <w:vMerge w:val="continue"/>
            <w:vAlign w:val="center"/>
          </w:tcPr>
          <w:p>
            <w:pPr>
              <w:pStyle w:val="2057"/>
              <w:spacing w:afterLines="0"/>
              <w:ind w:firstLine="0" w:firstLineChars="0"/>
              <w:rPr>
                <w:rFonts w:hint="eastAsia"/>
                <w:sz w:val="21"/>
                <w:szCs w:val="21"/>
              </w:rPr>
            </w:pPr>
          </w:p>
        </w:tc>
        <w:tc>
          <w:tcPr>
            <w:tcW w:w="713" w:type="pct"/>
            <w:vMerge w:val="restart"/>
            <w:vAlign w:val="center"/>
          </w:tcPr>
          <w:p>
            <w:pPr>
              <w:pStyle w:val="2057"/>
              <w:spacing w:afterLines="0"/>
              <w:ind w:firstLine="0" w:firstLineChars="0"/>
              <w:rPr>
                <w:rFonts w:hint="eastAsia"/>
                <w:sz w:val="21"/>
                <w:szCs w:val="21"/>
              </w:rPr>
            </w:pPr>
            <w:r>
              <w:rPr>
                <w:rFonts w:hint="eastAsia"/>
                <w:sz w:val="21"/>
                <w:szCs w:val="21"/>
              </w:rPr>
              <w:t>现有港区</w:t>
            </w:r>
          </w:p>
        </w:tc>
        <w:tc>
          <w:tcPr>
            <w:tcW w:w="713" w:type="pct"/>
            <w:vAlign w:val="center"/>
          </w:tcPr>
          <w:p>
            <w:pPr>
              <w:pStyle w:val="2057"/>
              <w:spacing w:afterLines="0"/>
              <w:ind w:firstLine="0" w:firstLineChars="0"/>
              <w:rPr>
                <w:rFonts w:hint="eastAsia"/>
                <w:sz w:val="21"/>
                <w:szCs w:val="21"/>
              </w:rPr>
            </w:pPr>
            <w:r>
              <w:rPr>
                <w:rFonts w:hint="eastAsia"/>
                <w:sz w:val="21"/>
                <w:szCs w:val="21"/>
              </w:rPr>
              <w:t>重要生境</w:t>
            </w:r>
          </w:p>
        </w:tc>
        <w:tc>
          <w:tcPr>
            <w:tcW w:w="713" w:type="pct"/>
            <w:vAlign w:val="center"/>
          </w:tcPr>
          <w:p>
            <w:pPr>
              <w:spacing w:afterLines="0"/>
              <w:ind w:firstLine="420" w:firstLineChars="200"/>
              <w:rPr>
                <w:rFonts w:hint="eastAsia"/>
                <w:sz w:val="21"/>
                <w:szCs w:val="21"/>
              </w:rPr>
            </w:pPr>
            <w:r>
              <w:rPr>
                <w:rFonts w:hint="eastAsia"/>
                <w:sz w:val="21"/>
                <w:szCs w:val="21"/>
              </w:rPr>
              <w:t>二</w:t>
            </w:r>
          </w:p>
        </w:tc>
        <w:tc>
          <w:tcPr>
            <w:tcW w:w="713" w:type="pct"/>
            <w:vAlign w:val="center"/>
          </w:tcPr>
          <w:p>
            <w:pPr>
              <w:spacing w:afterLines="0"/>
              <w:ind w:firstLine="420" w:firstLineChars="200"/>
              <w:rPr>
                <w:rFonts w:hint="eastAsia"/>
                <w:sz w:val="21"/>
                <w:szCs w:val="21"/>
              </w:rPr>
            </w:pPr>
            <w:r>
              <w:rPr>
                <w:rFonts w:hint="eastAsia"/>
                <w:sz w:val="21"/>
                <w:szCs w:val="21"/>
              </w:rPr>
              <w:t>二</w:t>
            </w:r>
          </w:p>
        </w:tc>
        <w:tc>
          <w:tcPr>
            <w:tcW w:w="713" w:type="pct"/>
            <w:vAlign w:val="center"/>
          </w:tcPr>
          <w:p>
            <w:pPr>
              <w:spacing w:afterLines="0"/>
              <w:ind w:firstLine="420" w:firstLineChars="200"/>
              <w:rPr>
                <w:rFonts w:hint="eastAsia"/>
                <w:sz w:val="21"/>
                <w:szCs w:val="21"/>
              </w:rPr>
            </w:pPr>
            <w:r>
              <w:rPr>
                <w:rFonts w:hint="eastAsia"/>
                <w:sz w:val="21"/>
                <w:szCs w:val="21"/>
              </w:rPr>
              <w:t>二</w:t>
            </w:r>
          </w:p>
        </w:tc>
        <w:tc>
          <w:tcPr>
            <w:tcW w:w="717" w:type="pct"/>
            <w:vAlign w:val="center"/>
          </w:tcPr>
          <w:p>
            <w:pPr>
              <w:spacing w:afterLines="0"/>
              <w:ind w:firstLine="420" w:firstLineChars="200"/>
              <w:rPr>
                <w:rFonts w:hint="eastAsia"/>
                <w:sz w:val="21"/>
                <w:szCs w:val="21"/>
              </w:rPr>
            </w:pPr>
            <w:r>
              <w:rPr>
                <w:rFonts w:hint="eastAsia"/>
                <w:sz w:val="21"/>
                <w:szCs w:val="21"/>
              </w:rPr>
              <w:t>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12" w:type="pct"/>
            <w:vMerge w:val="continue"/>
            <w:vAlign w:val="center"/>
          </w:tcPr>
          <w:p>
            <w:pPr>
              <w:pStyle w:val="2057"/>
              <w:spacing w:afterLines="0"/>
              <w:ind w:firstLine="0" w:firstLineChars="0"/>
              <w:rPr>
                <w:rFonts w:hint="eastAsia"/>
                <w:sz w:val="21"/>
                <w:szCs w:val="21"/>
              </w:rPr>
            </w:pPr>
          </w:p>
        </w:tc>
        <w:tc>
          <w:tcPr>
            <w:tcW w:w="713" w:type="pct"/>
            <w:vMerge w:val="continue"/>
            <w:vAlign w:val="center"/>
          </w:tcPr>
          <w:p>
            <w:pPr>
              <w:pStyle w:val="2057"/>
              <w:spacing w:afterLines="0"/>
              <w:ind w:firstLine="0" w:firstLineChars="0"/>
              <w:rPr>
                <w:rFonts w:hint="eastAsia"/>
                <w:sz w:val="21"/>
                <w:szCs w:val="21"/>
              </w:rPr>
            </w:pPr>
          </w:p>
        </w:tc>
        <w:tc>
          <w:tcPr>
            <w:tcW w:w="713" w:type="pct"/>
            <w:vAlign w:val="center"/>
          </w:tcPr>
          <w:p>
            <w:pPr>
              <w:pStyle w:val="2057"/>
              <w:spacing w:afterLines="0"/>
              <w:ind w:firstLine="0" w:firstLineChars="0"/>
              <w:rPr>
                <w:rFonts w:hint="eastAsia"/>
                <w:sz w:val="21"/>
                <w:szCs w:val="21"/>
              </w:rPr>
            </w:pPr>
            <w:r>
              <w:rPr>
                <w:rFonts w:hint="eastAsia"/>
                <w:sz w:val="21"/>
                <w:szCs w:val="21"/>
              </w:rPr>
              <w:t>一般区域</w:t>
            </w:r>
          </w:p>
        </w:tc>
        <w:tc>
          <w:tcPr>
            <w:tcW w:w="713" w:type="pct"/>
            <w:vAlign w:val="center"/>
          </w:tcPr>
          <w:p>
            <w:pPr>
              <w:pStyle w:val="2057"/>
              <w:spacing w:afterLines="0"/>
              <w:ind w:firstLine="0" w:firstLineChars="0"/>
              <w:rPr>
                <w:rFonts w:hint="eastAsia"/>
                <w:sz w:val="21"/>
                <w:szCs w:val="21"/>
              </w:rPr>
            </w:pPr>
            <w:r>
              <w:rPr>
                <w:rFonts w:hint="eastAsia"/>
                <w:sz w:val="21"/>
                <w:szCs w:val="21"/>
              </w:rPr>
              <w:t>三</w:t>
            </w:r>
          </w:p>
        </w:tc>
        <w:tc>
          <w:tcPr>
            <w:tcW w:w="713" w:type="pct"/>
            <w:vAlign w:val="center"/>
          </w:tcPr>
          <w:p>
            <w:pPr>
              <w:pStyle w:val="2057"/>
              <w:spacing w:afterLines="0"/>
              <w:ind w:firstLine="0" w:firstLineChars="0"/>
              <w:rPr>
                <w:rFonts w:hint="eastAsia"/>
                <w:sz w:val="21"/>
                <w:szCs w:val="21"/>
              </w:rPr>
            </w:pPr>
            <w:r>
              <w:rPr>
                <w:rFonts w:hint="eastAsia"/>
                <w:sz w:val="21"/>
                <w:szCs w:val="21"/>
              </w:rPr>
              <w:t>三</w:t>
            </w:r>
          </w:p>
        </w:tc>
        <w:tc>
          <w:tcPr>
            <w:tcW w:w="713" w:type="pct"/>
            <w:vAlign w:val="center"/>
          </w:tcPr>
          <w:p>
            <w:pPr>
              <w:pStyle w:val="2057"/>
              <w:spacing w:afterLines="0"/>
              <w:ind w:firstLine="0" w:firstLineChars="0"/>
              <w:rPr>
                <w:rFonts w:hint="eastAsia"/>
                <w:sz w:val="21"/>
                <w:szCs w:val="21"/>
              </w:rPr>
            </w:pPr>
            <w:r>
              <w:rPr>
                <w:rFonts w:hint="eastAsia"/>
                <w:sz w:val="21"/>
                <w:szCs w:val="21"/>
              </w:rPr>
              <w:t>三</w:t>
            </w:r>
          </w:p>
        </w:tc>
        <w:tc>
          <w:tcPr>
            <w:tcW w:w="717" w:type="pct"/>
            <w:vAlign w:val="center"/>
          </w:tcPr>
          <w:p>
            <w:pPr>
              <w:pStyle w:val="2057"/>
              <w:spacing w:afterLines="0"/>
              <w:ind w:firstLine="0" w:firstLineChars="0"/>
              <w:rPr>
                <w:rFonts w:hint="eastAsia"/>
                <w:sz w:val="21"/>
                <w:szCs w:val="21"/>
              </w:rPr>
            </w:pPr>
            <w:r>
              <w:rPr>
                <w:rFonts w:hint="eastAsia"/>
                <w:sz w:val="21"/>
                <w:szCs w:val="21"/>
              </w:rPr>
              <w:t>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7"/>
            <w:vAlign w:val="center"/>
          </w:tcPr>
          <w:p>
            <w:pPr>
              <w:pStyle w:val="2057"/>
              <w:spacing w:afterLines="0"/>
              <w:ind w:firstLine="0" w:firstLineChars="0"/>
              <w:jc w:val="left"/>
              <w:rPr>
                <w:rFonts w:hint="eastAsia"/>
                <w:sz w:val="21"/>
                <w:szCs w:val="21"/>
              </w:rPr>
            </w:pPr>
            <w:r>
              <w:rPr>
                <w:rFonts w:hint="eastAsia"/>
                <w:sz w:val="21"/>
                <w:szCs w:val="21"/>
              </w:rPr>
              <w:t>影响区域涉及到自然保护地和生态保护红线的建设项目生态影响评价等级均应为一级。</w:t>
            </w:r>
          </w:p>
          <w:p>
            <w:pPr>
              <w:pStyle w:val="2057"/>
              <w:spacing w:afterLines="0"/>
              <w:ind w:firstLine="0" w:firstLineChars="0"/>
              <w:jc w:val="left"/>
              <w:rPr>
                <w:rFonts w:hint="eastAsia"/>
                <w:sz w:val="21"/>
                <w:szCs w:val="21"/>
              </w:rPr>
            </w:pPr>
            <w:r>
              <w:rPr>
                <w:rFonts w:hint="eastAsia"/>
                <w:sz w:val="21"/>
                <w:szCs w:val="21"/>
              </w:rPr>
              <w:t>重要生境：未纳入现有自然保护地范围内，也未纳入生态保护红线范围内，通过资料收集、专家咨询、初步野外调查等手段识别的国家及地方重点保护野生动植物，极危、濒危和易危物种，极小种群野生植物以及特有种的集中分布区、重要栖息地，重要经济水生生物的产卵场、索饵场、越冬场、洄游通道。</w:t>
            </w:r>
          </w:p>
          <w:p>
            <w:pPr>
              <w:pStyle w:val="2057"/>
              <w:spacing w:afterLines="0"/>
              <w:ind w:firstLine="0" w:firstLineChars="0"/>
              <w:jc w:val="left"/>
              <w:rPr>
                <w:rFonts w:hint="eastAsia"/>
                <w:sz w:val="21"/>
                <w:szCs w:val="21"/>
              </w:rPr>
            </w:pPr>
            <w:r>
              <w:rPr>
                <w:rFonts w:hint="eastAsia"/>
                <w:sz w:val="21"/>
                <w:szCs w:val="21"/>
              </w:rPr>
              <w:t>一般区域：除自然保护地、生态保护红线、重要生境等区域以外的区域。</w:t>
            </w:r>
          </w:p>
        </w:tc>
      </w:tr>
    </w:tbl>
    <w:p>
      <w:pPr>
        <w:ind w:firstLine="480"/>
      </w:pPr>
      <w:r>
        <w:rPr>
          <w:rFonts w:hint="eastAsia"/>
        </w:rPr>
        <w:t>根据《水运工程建设项目环境影响评价指南》（</w:t>
      </w:r>
      <w:r>
        <w:t>JTS/T105-2021</w:t>
      </w:r>
      <w:r>
        <w:rPr>
          <w:rFonts w:hint="eastAsia"/>
        </w:rPr>
        <w:t>），本项目属于通用码头工程，为现有港区，</w:t>
      </w:r>
      <w:r>
        <w:t>影响范围涉及洞庭湖口铜鱼短颌鲚国家级水产种质资源保护区，</w:t>
      </w:r>
      <w:r>
        <w:rPr>
          <w:rFonts w:hint="eastAsia"/>
        </w:rPr>
        <w:t>属于重要生境，根据河港建设项目评价等级划分表，项目水文动力环境、冲淤环境为二级，水质和沉积物环境为三级评价。</w:t>
      </w:r>
    </w:p>
    <w:p>
      <w:pPr>
        <w:ind w:firstLine="480"/>
      </w:pPr>
      <w:r>
        <w:rPr>
          <w:rFonts w:hint="eastAsia"/>
        </w:rPr>
        <w:t>故综合确定本项目水文要素环境影响评价等级为</w:t>
      </w:r>
      <w:r>
        <w:rPr>
          <w:rFonts w:hint="eastAsia"/>
          <w:b/>
        </w:rPr>
        <w:t>二级</w:t>
      </w:r>
      <w:r>
        <w:rPr>
          <w:rFonts w:hint="eastAsia"/>
        </w:rPr>
        <w:t>。</w:t>
      </w:r>
    </w:p>
    <w:p>
      <w:pPr>
        <w:pStyle w:val="456"/>
        <w:ind w:firstLine="482"/>
      </w:pPr>
      <w:r>
        <w:t>地下水环境评价等级</w:t>
      </w:r>
    </w:p>
    <w:p>
      <w:pPr>
        <w:ind w:firstLine="480"/>
        <w:rPr>
          <w:szCs w:val="20"/>
        </w:rPr>
      </w:pPr>
      <w:r>
        <w:rPr>
          <w:szCs w:val="20"/>
        </w:rPr>
        <w:t>地下水评价等级根据《环境影响评价技术导则 地下水环境》（HJ610-2016）中的附录A 地下水环境影响评价行业分类表，本项目属于</w:t>
      </w:r>
      <w:r>
        <w:rPr>
          <w:rFonts w:asciiTheme="minorEastAsia" w:hAnsiTheme="minorEastAsia" w:eastAsiaTheme="minorEastAsia"/>
          <w:szCs w:val="20"/>
        </w:rPr>
        <w:t>“</w:t>
      </w:r>
      <w:r>
        <w:rPr>
          <w:szCs w:val="20"/>
        </w:rPr>
        <w:t>S 水运</w:t>
      </w:r>
      <w:r>
        <w:rPr>
          <w:rFonts w:asciiTheme="minorEastAsia" w:hAnsiTheme="minorEastAsia" w:eastAsiaTheme="minorEastAsia"/>
          <w:szCs w:val="20"/>
        </w:rPr>
        <w:t>”</w:t>
      </w:r>
      <w:r>
        <w:rPr>
          <w:szCs w:val="20"/>
        </w:rPr>
        <w:t>中的</w:t>
      </w:r>
      <w:r>
        <w:rPr>
          <w:rFonts w:asciiTheme="minorEastAsia" w:hAnsiTheme="minorEastAsia" w:eastAsiaTheme="minorEastAsia"/>
          <w:szCs w:val="20"/>
        </w:rPr>
        <w:t>“</w:t>
      </w:r>
      <w:r>
        <w:rPr>
          <w:szCs w:val="20"/>
        </w:rPr>
        <w:t>130、干散货（含煤炭、矿石）、件杂、多用途、通用码头</w:t>
      </w:r>
      <w:r>
        <w:rPr>
          <w:rFonts w:asciiTheme="minorEastAsia" w:hAnsiTheme="minorEastAsia" w:eastAsiaTheme="minorEastAsia"/>
          <w:szCs w:val="20"/>
        </w:rPr>
        <w:t>”</w:t>
      </w:r>
      <w:r>
        <w:rPr>
          <w:szCs w:val="20"/>
        </w:rPr>
        <w:t>中</w:t>
      </w:r>
      <w:r>
        <w:rPr>
          <w:rFonts w:asciiTheme="minorEastAsia" w:hAnsiTheme="minorEastAsia" w:eastAsiaTheme="minorEastAsia"/>
          <w:szCs w:val="20"/>
        </w:rPr>
        <w:t>“</w:t>
      </w:r>
      <w:r>
        <w:rPr>
          <w:szCs w:val="20"/>
        </w:rPr>
        <w:t>单个泊位1000 吨级及以上的内河港口；单个泊位1万吨级及以上的沿海港口；涉及环境敏感区的</w:t>
      </w:r>
      <w:r>
        <w:rPr>
          <w:rFonts w:asciiTheme="minorEastAsia" w:hAnsiTheme="minorEastAsia" w:eastAsiaTheme="minorEastAsia"/>
          <w:szCs w:val="20"/>
        </w:rPr>
        <w:t>”</w:t>
      </w:r>
      <w:r>
        <w:rPr>
          <w:szCs w:val="20"/>
        </w:rPr>
        <w:t>，对应的地下水环境影响评价项目类别见下表。</w:t>
      </w:r>
    </w:p>
    <w:p>
      <w:pPr>
        <w:pStyle w:val="619"/>
        <w:rPr>
          <w:rFonts w:cs="Times New Roman"/>
        </w:rPr>
      </w:pPr>
      <w:r>
        <w:rPr>
          <w:rFonts w:cs="Times New Roman"/>
        </w:rPr>
        <w:t>地下水环境影响评价项目类别</w:t>
      </w:r>
    </w:p>
    <w:tbl>
      <w:tblPr>
        <w:tblStyle w:val="3596"/>
        <w:tblW w:w="904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688"/>
        <w:gridCol w:w="2263"/>
        <w:gridCol w:w="991"/>
        <w:gridCol w:w="1558"/>
        <w:gridCol w:w="15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0" w:hRule="exact"/>
          <w:jc w:val="center"/>
        </w:trPr>
        <w:tc>
          <w:tcPr>
            <w:tcW w:w="2688" w:type="dxa"/>
            <w:vMerge w:val="restart"/>
            <w:vAlign w:val="center"/>
          </w:tcPr>
          <w:p>
            <w:pPr>
              <w:pStyle w:val="2691"/>
              <w:rPr>
                <w:b/>
                <w:bCs/>
              </w:rPr>
            </w:pPr>
            <w:r>
              <w:rPr>
                <w:b/>
                <w:bCs/>
              </w:rPr>
              <w:t>行业类别</w:t>
            </w:r>
          </w:p>
          <w:p>
            <w:pPr>
              <w:pStyle w:val="2691"/>
              <w:rPr>
                <w:b/>
                <w:bCs/>
              </w:rPr>
            </w:pPr>
            <w:r>
              <w:rPr>
                <w:b/>
                <w:bCs/>
              </w:rPr>
              <w:t>环评类别</w:t>
            </w:r>
          </w:p>
        </w:tc>
        <w:tc>
          <w:tcPr>
            <w:tcW w:w="2263" w:type="dxa"/>
            <w:vMerge w:val="restart"/>
            <w:vAlign w:val="center"/>
          </w:tcPr>
          <w:p>
            <w:pPr>
              <w:pStyle w:val="2691"/>
              <w:rPr>
                <w:b/>
                <w:bCs/>
              </w:rPr>
            </w:pPr>
            <w:r>
              <w:rPr>
                <w:b/>
                <w:bCs/>
              </w:rPr>
              <w:t>报告书</w:t>
            </w:r>
          </w:p>
        </w:tc>
        <w:tc>
          <w:tcPr>
            <w:tcW w:w="991" w:type="dxa"/>
            <w:vMerge w:val="restart"/>
            <w:vAlign w:val="center"/>
          </w:tcPr>
          <w:p>
            <w:pPr>
              <w:pStyle w:val="2691"/>
              <w:rPr>
                <w:b/>
                <w:bCs/>
              </w:rPr>
            </w:pPr>
            <w:r>
              <w:rPr>
                <w:b/>
                <w:bCs/>
              </w:rPr>
              <w:t>报告表</w:t>
            </w:r>
          </w:p>
        </w:tc>
        <w:tc>
          <w:tcPr>
            <w:tcW w:w="3099" w:type="dxa"/>
            <w:gridSpan w:val="2"/>
            <w:vAlign w:val="center"/>
          </w:tcPr>
          <w:p>
            <w:pPr>
              <w:pStyle w:val="2691"/>
              <w:rPr>
                <w:b/>
                <w:bCs/>
              </w:rPr>
            </w:pPr>
            <w:r>
              <w:rPr>
                <w:b/>
                <w:bCs/>
              </w:rPr>
              <w:t>地下水环境影响评价项目类别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2688" w:type="dxa"/>
            <w:vMerge w:val="continue"/>
            <w:tcBorders>
              <w:bottom w:val="single" w:color="auto" w:sz="12" w:space="0"/>
            </w:tcBorders>
            <w:vAlign w:val="center"/>
          </w:tcPr>
          <w:p>
            <w:pPr>
              <w:pStyle w:val="2691"/>
              <w:rPr>
                <w:b/>
                <w:bCs/>
              </w:rPr>
            </w:pPr>
          </w:p>
        </w:tc>
        <w:tc>
          <w:tcPr>
            <w:tcW w:w="2263" w:type="dxa"/>
            <w:vMerge w:val="continue"/>
            <w:tcBorders>
              <w:bottom w:val="single" w:color="auto" w:sz="12" w:space="0"/>
            </w:tcBorders>
            <w:vAlign w:val="center"/>
          </w:tcPr>
          <w:p>
            <w:pPr>
              <w:pStyle w:val="2691"/>
              <w:rPr>
                <w:b/>
                <w:bCs/>
              </w:rPr>
            </w:pPr>
          </w:p>
        </w:tc>
        <w:tc>
          <w:tcPr>
            <w:tcW w:w="991" w:type="dxa"/>
            <w:vMerge w:val="continue"/>
            <w:tcBorders>
              <w:bottom w:val="single" w:color="auto" w:sz="12" w:space="0"/>
            </w:tcBorders>
            <w:vAlign w:val="center"/>
          </w:tcPr>
          <w:p>
            <w:pPr>
              <w:pStyle w:val="2691"/>
              <w:rPr>
                <w:b/>
                <w:bCs/>
              </w:rPr>
            </w:pPr>
          </w:p>
        </w:tc>
        <w:tc>
          <w:tcPr>
            <w:tcW w:w="1558" w:type="dxa"/>
            <w:tcBorders>
              <w:bottom w:val="single" w:color="auto" w:sz="12" w:space="0"/>
            </w:tcBorders>
            <w:vAlign w:val="center"/>
          </w:tcPr>
          <w:p>
            <w:pPr>
              <w:pStyle w:val="2691"/>
              <w:rPr>
                <w:b/>
                <w:bCs/>
              </w:rPr>
            </w:pPr>
            <w:r>
              <w:rPr>
                <w:b/>
                <w:bCs/>
              </w:rPr>
              <w:t>报告书</w:t>
            </w:r>
          </w:p>
        </w:tc>
        <w:tc>
          <w:tcPr>
            <w:tcW w:w="1541" w:type="dxa"/>
            <w:tcBorders>
              <w:bottom w:val="single" w:color="auto" w:sz="12" w:space="0"/>
            </w:tcBorders>
            <w:vAlign w:val="center"/>
          </w:tcPr>
          <w:p>
            <w:pPr>
              <w:pStyle w:val="2691"/>
              <w:rPr>
                <w:b/>
                <w:bCs/>
              </w:rPr>
            </w:pPr>
            <w:r>
              <w:rPr>
                <w:b/>
                <w:bCs/>
              </w:rPr>
              <w:t>报告表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61" w:hRule="atLeast"/>
          <w:jc w:val="center"/>
        </w:trPr>
        <w:tc>
          <w:tcPr>
            <w:tcW w:w="2688" w:type="dxa"/>
            <w:tcBorders>
              <w:top w:val="single" w:color="auto" w:sz="12" w:space="0"/>
            </w:tcBorders>
            <w:vAlign w:val="center"/>
          </w:tcPr>
          <w:p>
            <w:pPr>
              <w:pStyle w:val="2691"/>
            </w:pPr>
          </w:p>
          <w:p>
            <w:pPr>
              <w:pStyle w:val="2691"/>
            </w:pPr>
            <w:r>
              <w:t>1</w:t>
            </w:r>
            <w:r>
              <w:rPr>
                <w:spacing w:val="-1"/>
              </w:rPr>
              <w:t>3</w:t>
            </w:r>
            <w:r>
              <w:t>0、干散</w:t>
            </w:r>
            <w:r>
              <w:rPr>
                <w:spacing w:val="-2"/>
              </w:rPr>
              <w:t>货</w:t>
            </w:r>
            <w:r>
              <w:t>（含煤炭、矿</w:t>
            </w:r>
          </w:p>
          <w:p>
            <w:pPr>
              <w:pStyle w:val="2691"/>
            </w:pPr>
            <w:r>
              <w:t>石）、件杂、多用途、通</w:t>
            </w:r>
          </w:p>
          <w:p>
            <w:pPr>
              <w:pStyle w:val="2691"/>
            </w:pPr>
            <w:r>
              <w:t>用码头</w:t>
            </w:r>
          </w:p>
        </w:tc>
        <w:tc>
          <w:tcPr>
            <w:tcW w:w="2263" w:type="dxa"/>
            <w:tcBorders>
              <w:top w:val="single" w:color="auto" w:sz="12" w:space="0"/>
            </w:tcBorders>
            <w:vAlign w:val="center"/>
          </w:tcPr>
          <w:p>
            <w:pPr>
              <w:pStyle w:val="2691"/>
            </w:pPr>
            <w:r>
              <w:t>单个泊位1000吨级及</w:t>
            </w:r>
          </w:p>
          <w:p>
            <w:pPr>
              <w:pStyle w:val="2691"/>
            </w:pPr>
            <w:r>
              <w:t>以上的内河港口；单</w:t>
            </w:r>
          </w:p>
          <w:p>
            <w:pPr>
              <w:pStyle w:val="2691"/>
            </w:pPr>
            <w:r>
              <w:t>个泊位1万</w:t>
            </w:r>
            <w:r>
              <w:rPr>
                <w:spacing w:val="-2"/>
              </w:rPr>
              <w:t>吨</w:t>
            </w:r>
            <w:r>
              <w:t>级及以上的沿海港口；涉及环境敏感区的</w:t>
            </w:r>
          </w:p>
        </w:tc>
        <w:tc>
          <w:tcPr>
            <w:tcW w:w="991" w:type="dxa"/>
            <w:tcBorders>
              <w:top w:val="single" w:color="auto" w:sz="12" w:space="0"/>
            </w:tcBorders>
            <w:vAlign w:val="center"/>
          </w:tcPr>
          <w:p>
            <w:pPr>
              <w:pStyle w:val="2691"/>
            </w:pPr>
            <w:r>
              <w:t>其他</w:t>
            </w:r>
          </w:p>
        </w:tc>
        <w:tc>
          <w:tcPr>
            <w:tcW w:w="1558" w:type="dxa"/>
            <w:tcBorders>
              <w:top w:val="single" w:color="auto" w:sz="12" w:space="0"/>
            </w:tcBorders>
            <w:vAlign w:val="center"/>
          </w:tcPr>
          <w:p>
            <w:pPr>
              <w:pStyle w:val="2691"/>
            </w:pPr>
            <w:r>
              <w:t>Ⅳ类</w:t>
            </w:r>
          </w:p>
        </w:tc>
        <w:tc>
          <w:tcPr>
            <w:tcW w:w="1541" w:type="dxa"/>
            <w:tcBorders>
              <w:top w:val="single" w:color="auto" w:sz="12" w:space="0"/>
            </w:tcBorders>
            <w:vAlign w:val="center"/>
          </w:tcPr>
          <w:p>
            <w:pPr>
              <w:pStyle w:val="2691"/>
            </w:pPr>
            <w:r>
              <w:t>Ⅳ类</w:t>
            </w:r>
          </w:p>
        </w:tc>
      </w:tr>
    </w:tbl>
    <w:p>
      <w:pPr>
        <w:ind w:firstLine="480"/>
        <w:rPr>
          <w:szCs w:val="20"/>
        </w:rPr>
      </w:pPr>
      <w:r>
        <w:rPr>
          <w:szCs w:val="20"/>
        </w:rPr>
        <w:t>本项目地下水为Ⅳ类项目，</w:t>
      </w:r>
      <w:r>
        <w:rPr>
          <w:b/>
          <w:szCs w:val="20"/>
        </w:rPr>
        <w:t>不开展地下水环境影响评价</w:t>
      </w:r>
      <w:r>
        <w:rPr>
          <w:szCs w:val="20"/>
        </w:rPr>
        <w:t>。</w:t>
      </w:r>
    </w:p>
    <w:p>
      <w:pPr>
        <w:pStyle w:val="456"/>
        <w:ind w:firstLine="482"/>
      </w:pPr>
      <w:r>
        <w:t>大气环境评价等级</w:t>
      </w:r>
    </w:p>
    <w:p>
      <w:pPr>
        <w:spacing w:line="480" w:lineRule="exact"/>
        <w:ind w:firstLine="422" w:firstLineChars="176"/>
        <w:jc w:val="left"/>
      </w:pPr>
      <w:r>
        <w:t>依据《环境影响评价技术导则-大气环境》(HJ2.2-2018)中5.3节工作等级的确定方法，结合项目工程分析结果，选择正常排放的主要污染物及排放参数，采用附录A推荐模型中的AERSCREEN模式计算项目污染源的最大环境影响，然后按评价工作分级判据进行分级。</w:t>
      </w:r>
    </w:p>
    <w:p>
      <w:pPr>
        <w:spacing w:line="480" w:lineRule="exact"/>
        <w:ind w:firstLine="422" w:firstLineChars="176"/>
        <w:jc w:val="left"/>
      </w:pPr>
      <w:r>
        <w:rPr>
          <w:rFonts w:hint="eastAsia"/>
        </w:rPr>
        <w:t>（1）</w:t>
      </w:r>
      <w:r>
        <w:t>P</w:t>
      </w:r>
      <w:r>
        <w:rPr>
          <w:vertAlign w:val="subscript"/>
        </w:rPr>
        <w:t>max</w:t>
      </w:r>
      <w:r>
        <w:t>及D</w:t>
      </w:r>
      <w:r>
        <w:rPr>
          <w:vertAlign w:val="subscript"/>
        </w:rPr>
        <w:t>10%</w:t>
      </w:r>
      <w:r>
        <w:t>的确定</w:t>
      </w:r>
    </w:p>
    <w:p>
      <w:pPr>
        <w:spacing w:line="480" w:lineRule="exact"/>
        <w:ind w:firstLine="422" w:firstLineChars="176"/>
        <w:jc w:val="left"/>
      </w:pPr>
      <w:r>
        <w:t>依据《环境影响评价技术导则 大气环境》(HJ2.2-20</w:t>
      </w:r>
      <w:r>
        <w:rPr>
          <w:rFonts w:hint="eastAsia"/>
        </w:rPr>
        <w:t>1</w:t>
      </w:r>
      <w:r>
        <w:t>8)中最大地面浓度占标率P</w:t>
      </w:r>
      <w:r>
        <w:rPr>
          <w:i/>
        </w:rPr>
        <w:t>i</w:t>
      </w:r>
      <w:r>
        <w:t>定义如下：</w:t>
      </w:r>
    </w:p>
    <w:p>
      <w:pPr>
        <w:spacing w:line="276" w:lineRule="auto"/>
        <w:ind w:firstLine="422" w:firstLineChars="176"/>
        <w:jc w:val="center"/>
      </w:pPr>
      <m:oMathPara>
        <m:oMath>
          <m:sSub>
            <m:sSubPr>
              <m:ctrlPr>
                <w:rPr>
                  <w:rFonts w:ascii="Cambria Math" w:hAnsi="Cambria Math"/>
                </w:rPr>
              </m:ctrlPr>
            </m:sSubPr>
            <m:e>
              <m:r>
                <m:rPr/>
                <w:rPr>
                  <w:rFonts w:ascii="Cambria Math" w:hAnsi="Cambria Math"/>
                </w:rPr>
                <m:t>P</m:t>
              </m:r>
              <m:ctrlPr>
                <w:rPr>
                  <w:rFonts w:ascii="Cambria Math" w:hAnsi="Cambria Math"/>
                </w:rPr>
              </m:ctrlPr>
            </m:e>
            <m:sub>
              <m:r>
                <m:rPr/>
                <w:rPr>
                  <w:rFonts w:ascii="Cambria Math" w:hAnsi="Cambria Math"/>
                </w:rPr>
                <m:t>i</m:t>
              </m:r>
              <m:ctrlPr>
                <w:rPr>
                  <w:rFonts w:ascii="Cambria Math" w:hAnsi="Cambria Math"/>
                </w:rPr>
              </m:ctrlPr>
            </m:sub>
          </m:sSub>
          <m:r>
            <m:rPr>
              <m:sty m:val="p"/>
            </m:rPr>
            <w:rPr>
              <w:rFonts w:ascii="Cambria Math" w:hAnsi="Cambria Math"/>
            </w:rPr>
            <m:t>=</m:t>
          </m:r>
          <m:f>
            <m:fPr>
              <m:ctrlPr>
                <w:rPr>
                  <w:rFonts w:ascii="Cambria Math" w:hAnsi="Cambria Math"/>
                </w:rPr>
              </m:ctrlPr>
            </m:fPr>
            <m:num>
              <m:sSub>
                <m:sSubPr>
                  <m:ctrlPr>
                    <w:rPr>
                      <w:rFonts w:ascii="Cambria Math" w:hAnsi="Cambria Math"/>
                      <w:i/>
                    </w:rPr>
                  </m:ctrlPr>
                </m:sSubPr>
                <m:e>
                  <m:r>
                    <m:rPr/>
                    <w:rPr>
                      <w:rFonts w:ascii="Cambria Math" w:hAnsi="Cambria Math"/>
                    </w:rPr>
                    <m:t>C</m:t>
                  </m:r>
                  <m:ctrlPr>
                    <w:rPr>
                      <w:rFonts w:ascii="Cambria Math" w:hAnsi="Cambria Math"/>
                      <w:i/>
                    </w:rPr>
                  </m:ctrlPr>
                </m:e>
                <m:sub>
                  <m:r>
                    <m:rPr/>
                    <w:rPr>
                      <w:rFonts w:ascii="Cambria Math" w:hAnsi="Cambria Math"/>
                    </w:rPr>
                    <m:t>i</m:t>
                  </m:r>
                  <m:ctrlPr>
                    <w:rPr>
                      <w:rFonts w:ascii="Cambria Math" w:hAnsi="Cambria Math"/>
                      <w:i/>
                    </w:rPr>
                  </m:ctrlPr>
                </m:sub>
              </m:sSub>
              <m:ctrlPr>
                <w:rPr>
                  <w:rFonts w:ascii="Cambria Math" w:hAnsi="Cambria Math"/>
                </w:rPr>
              </m:ctrlPr>
            </m:num>
            <m:den>
              <m:sSub>
                <m:sSubPr>
                  <m:ctrlPr>
                    <w:rPr>
                      <w:rFonts w:ascii="Cambria Math" w:hAnsi="Cambria Math"/>
                      <w:i/>
                    </w:rPr>
                  </m:ctrlPr>
                </m:sSubPr>
                <m:e>
                  <m:r>
                    <m:rPr/>
                    <w:rPr>
                      <w:rFonts w:ascii="Cambria Math" w:hAnsi="Cambria Math"/>
                    </w:rPr>
                    <m:t>C</m:t>
                  </m:r>
                  <m:ctrlPr>
                    <w:rPr>
                      <w:rFonts w:ascii="Cambria Math" w:hAnsi="Cambria Math"/>
                      <w:i/>
                    </w:rPr>
                  </m:ctrlPr>
                </m:e>
                <m:sub>
                  <m:r>
                    <m:rPr/>
                    <w:rPr>
                      <w:rFonts w:ascii="Cambria Math" w:hAnsi="Cambria Math"/>
                    </w:rPr>
                    <m:t>0i</m:t>
                  </m:r>
                  <m:ctrlPr>
                    <w:rPr>
                      <w:rFonts w:ascii="Cambria Math" w:hAnsi="Cambria Math"/>
                      <w:i/>
                    </w:rPr>
                  </m:ctrlPr>
                </m:sub>
              </m:sSub>
              <m:ctrlPr>
                <w:rPr>
                  <w:rFonts w:ascii="Cambria Math" w:hAnsi="Cambria Math"/>
                </w:rPr>
              </m:ctrlPr>
            </m:den>
          </m:f>
          <m:r>
            <m:rPr/>
            <w:rPr>
              <w:rFonts w:ascii="Cambria Math" w:hAnsi="Cambria Math"/>
            </w:rPr>
            <m:t>×100%</m:t>
          </m:r>
        </m:oMath>
      </m:oMathPara>
    </w:p>
    <w:p>
      <w:pPr>
        <w:spacing w:line="480" w:lineRule="exact"/>
        <w:ind w:firstLine="422" w:firstLineChars="176"/>
        <w:jc w:val="left"/>
      </w:pPr>
      <m:oMath>
        <m:sSub>
          <m:sSubPr>
            <m:ctrlPr>
              <w:rPr>
                <w:rFonts w:ascii="Cambria Math" w:hAnsi="Cambria Math"/>
              </w:rPr>
            </m:ctrlPr>
          </m:sSubPr>
          <m:e>
            <m:r>
              <m:rPr/>
              <w:rPr>
                <w:rFonts w:ascii="Cambria Math" w:hAnsi="Cambria Math"/>
              </w:rPr>
              <m:t>P</m:t>
            </m:r>
            <m:ctrlPr>
              <w:rPr>
                <w:rFonts w:ascii="Cambria Math" w:hAnsi="Cambria Math"/>
              </w:rPr>
            </m:ctrlPr>
          </m:e>
          <m:sub>
            <m:r>
              <m:rPr/>
              <w:rPr>
                <w:rFonts w:ascii="Cambria Math" w:hAnsi="Cambria Math"/>
              </w:rPr>
              <m:t>i</m:t>
            </m:r>
            <m:ctrlPr>
              <w:rPr>
                <w:rFonts w:ascii="Cambria Math" w:hAnsi="Cambria Math"/>
              </w:rPr>
            </m:ctrlPr>
          </m:sub>
        </m:sSub>
      </m:oMath>
      <w:r>
        <w:t xml:space="preserve"> ——第i个污染物的最大地面空气质量浓度 占标率，%；</w:t>
      </w:r>
    </w:p>
    <w:p>
      <w:pPr>
        <w:spacing w:line="480" w:lineRule="exact"/>
        <w:ind w:firstLine="422" w:firstLineChars="176"/>
        <w:jc w:val="left"/>
      </w:pPr>
      <m:oMath>
        <m:sSub>
          <m:sSubPr>
            <m:ctrlPr>
              <w:rPr>
                <w:rFonts w:ascii="Cambria Math" w:hAnsi="Cambria Math"/>
                <w:i/>
              </w:rPr>
            </m:ctrlPr>
          </m:sSubPr>
          <m:e>
            <m:r>
              <m:rPr/>
              <w:rPr>
                <w:rFonts w:ascii="Cambria Math" w:hAnsi="Cambria Math"/>
              </w:rPr>
              <m:t>C</m:t>
            </m:r>
            <m:ctrlPr>
              <w:rPr>
                <w:rFonts w:ascii="Cambria Math" w:hAnsi="Cambria Math"/>
                <w:i/>
              </w:rPr>
            </m:ctrlPr>
          </m:e>
          <m:sub>
            <m:r>
              <m:rPr/>
              <w:rPr>
                <w:rFonts w:ascii="Cambria Math" w:hAnsi="Cambria Math"/>
              </w:rPr>
              <m:t>i</m:t>
            </m:r>
            <m:ctrlPr>
              <w:rPr>
                <w:rFonts w:ascii="Cambria Math" w:hAnsi="Cambria Math"/>
                <w:i/>
              </w:rPr>
            </m:ctrlPr>
          </m:sub>
        </m:sSub>
      </m:oMath>
      <w:r>
        <w:t>——采用估算模型计算出的第i个污染物的最大1h地面空气质量浓度，μg/m</w:t>
      </w:r>
      <w:r>
        <w:rPr>
          <w:vertAlign w:val="superscript"/>
        </w:rPr>
        <w:t>3</w:t>
      </w:r>
      <w:r>
        <w:t>；</w:t>
      </w:r>
    </w:p>
    <w:p>
      <w:pPr>
        <w:spacing w:line="480" w:lineRule="exact"/>
        <w:ind w:firstLine="422" w:firstLineChars="176"/>
        <w:jc w:val="left"/>
      </w:pPr>
      <m:oMath>
        <m:sSub>
          <m:sSubPr>
            <m:ctrlPr>
              <w:rPr>
                <w:rFonts w:ascii="Cambria Math" w:hAnsi="Cambria Math"/>
                <w:i/>
              </w:rPr>
            </m:ctrlPr>
          </m:sSubPr>
          <m:e>
            <m:r>
              <m:rPr/>
              <w:rPr>
                <w:rFonts w:ascii="Cambria Math" w:hAnsi="Cambria Math"/>
              </w:rPr>
              <m:t>C</m:t>
            </m:r>
            <m:ctrlPr>
              <w:rPr>
                <w:rFonts w:ascii="Cambria Math" w:hAnsi="Cambria Math"/>
                <w:i/>
              </w:rPr>
            </m:ctrlPr>
          </m:e>
          <m:sub>
            <m:r>
              <m:rPr/>
              <w:rPr>
                <w:rFonts w:ascii="Cambria Math" w:hAnsi="Cambria Math"/>
              </w:rPr>
              <m:t>0i</m:t>
            </m:r>
            <m:ctrlPr>
              <w:rPr>
                <w:rFonts w:ascii="Cambria Math" w:hAnsi="Cambria Math"/>
                <w:i/>
              </w:rPr>
            </m:ctrlPr>
          </m:sub>
        </m:sSub>
      </m:oMath>
      <w:r>
        <w:t>——第i个污染物的环境空气质量浓度标准，μg/m</w:t>
      </w:r>
      <w:r>
        <w:rPr>
          <w:vertAlign w:val="superscript"/>
        </w:rPr>
        <w:t>3</w:t>
      </w:r>
      <w:r>
        <w:t>。</w:t>
      </w:r>
    </w:p>
    <w:p>
      <w:pPr>
        <w:spacing w:line="480" w:lineRule="exact"/>
        <w:ind w:firstLine="422" w:firstLineChars="176"/>
        <w:jc w:val="left"/>
      </w:pPr>
      <w:r>
        <w:rPr>
          <w:rFonts w:hint="eastAsia"/>
        </w:rPr>
        <w:t>（2）</w:t>
      </w:r>
      <w:r>
        <w:t>评价等级判别表</w:t>
      </w:r>
    </w:p>
    <w:p>
      <w:pPr>
        <w:spacing w:line="480" w:lineRule="exact"/>
        <w:ind w:firstLine="422" w:firstLineChars="176"/>
        <w:jc w:val="left"/>
      </w:pPr>
      <w:r>
        <w:t>评价等级按下表的分级判据进行划分</w:t>
      </w:r>
      <w:r>
        <w:rPr>
          <w:rFonts w:hint="eastAsia"/>
        </w:rPr>
        <w:t>。</w:t>
      </w:r>
    </w:p>
    <w:p>
      <w:pPr>
        <w:pStyle w:val="619"/>
        <w:rPr>
          <w:rFonts w:cs="Times New Roman"/>
        </w:rPr>
      </w:pPr>
      <w:r>
        <w:rPr>
          <w:rFonts w:cs="Times New Roman"/>
        </w:rPr>
        <w:t>环境空气评价工作等级判据</w:t>
      </w:r>
    </w:p>
    <w:tbl>
      <w:tblPr>
        <w:tblStyle w:val="87"/>
        <w:tblW w:w="9041" w:type="dxa"/>
        <w:jc w:val="center"/>
        <w:tblLayout w:type="fixed"/>
        <w:tblCellMar>
          <w:top w:w="0" w:type="dxa"/>
          <w:left w:w="0" w:type="dxa"/>
          <w:bottom w:w="0" w:type="dxa"/>
          <w:right w:w="0" w:type="dxa"/>
        </w:tblCellMar>
      </w:tblPr>
      <w:tblGrid>
        <w:gridCol w:w="4521"/>
        <w:gridCol w:w="4520"/>
      </w:tblGrid>
      <w:tr>
        <w:tblPrEx>
          <w:tblCellMar>
            <w:top w:w="0" w:type="dxa"/>
            <w:left w:w="0" w:type="dxa"/>
            <w:bottom w:w="0" w:type="dxa"/>
            <w:right w:w="0" w:type="dxa"/>
          </w:tblCellMar>
        </w:tblPrEx>
        <w:trPr>
          <w:trHeight w:val="361" w:hRule="exact"/>
          <w:jc w:val="center"/>
        </w:trPr>
        <w:tc>
          <w:tcPr>
            <w:tcW w:w="4521" w:type="dxa"/>
            <w:tcBorders>
              <w:top w:val="single" w:color="000000" w:sz="12" w:space="0"/>
              <w:left w:val="single" w:color="000000" w:sz="12" w:space="0"/>
              <w:bottom w:val="single" w:color="000000" w:sz="4" w:space="0"/>
              <w:right w:val="single" w:color="000000" w:sz="4" w:space="0"/>
            </w:tcBorders>
          </w:tcPr>
          <w:p>
            <w:pPr>
              <w:tabs>
                <w:tab w:val="clear" w:pos="480"/>
              </w:tabs>
              <w:kinsoku w:val="0"/>
              <w:overflowPunct w:val="0"/>
              <w:autoSpaceDE w:val="0"/>
              <w:autoSpaceDN w:val="0"/>
              <w:adjustRightInd w:val="0"/>
              <w:spacing w:line="273" w:lineRule="exact"/>
              <w:ind w:right="13" w:firstLine="0" w:firstLineChars="0"/>
              <w:jc w:val="center"/>
              <w:rPr>
                <w:kern w:val="0"/>
              </w:rPr>
            </w:pPr>
            <w:r>
              <w:rPr>
                <w:spacing w:val="1"/>
                <w:kern w:val="0"/>
                <w:sz w:val="21"/>
                <w:szCs w:val="21"/>
              </w:rPr>
              <w:t>评价工</w:t>
            </w:r>
            <w:r>
              <w:rPr>
                <w:kern w:val="0"/>
                <w:sz w:val="21"/>
                <w:szCs w:val="21"/>
              </w:rPr>
              <w:t>作等级</w:t>
            </w:r>
          </w:p>
        </w:tc>
        <w:tc>
          <w:tcPr>
            <w:tcW w:w="4520" w:type="dxa"/>
            <w:tcBorders>
              <w:top w:val="single" w:color="000000" w:sz="12" w:space="0"/>
              <w:left w:val="single" w:color="000000" w:sz="4" w:space="0"/>
              <w:bottom w:val="single" w:color="000000" w:sz="4" w:space="0"/>
              <w:right w:val="single" w:color="000000" w:sz="12" w:space="0"/>
            </w:tcBorders>
          </w:tcPr>
          <w:p>
            <w:pPr>
              <w:tabs>
                <w:tab w:val="clear" w:pos="480"/>
              </w:tabs>
              <w:kinsoku w:val="0"/>
              <w:overflowPunct w:val="0"/>
              <w:autoSpaceDE w:val="0"/>
              <w:autoSpaceDN w:val="0"/>
              <w:adjustRightInd w:val="0"/>
              <w:spacing w:line="273" w:lineRule="exact"/>
              <w:ind w:left="1411" w:firstLine="0" w:firstLineChars="0"/>
              <w:jc w:val="left"/>
              <w:rPr>
                <w:kern w:val="0"/>
              </w:rPr>
            </w:pPr>
            <w:r>
              <w:rPr>
                <w:spacing w:val="1"/>
                <w:kern w:val="0"/>
                <w:sz w:val="21"/>
                <w:szCs w:val="21"/>
              </w:rPr>
              <w:t>评价工</w:t>
            </w:r>
            <w:r>
              <w:rPr>
                <w:kern w:val="0"/>
                <w:sz w:val="21"/>
                <w:szCs w:val="21"/>
              </w:rPr>
              <w:t>作等</w:t>
            </w:r>
            <w:r>
              <w:rPr>
                <w:spacing w:val="1"/>
                <w:kern w:val="0"/>
                <w:sz w:val="21"/>
                <w:szCs w:val="21"/>
              </w:rPr>
              <w:t>级判</w:t>
            </w:r>
            <w:r>
              <w:rPr>
                <w:kern w:val="0"/>
                <w:sz w:val="21"/>
                <w:szCs w:val="21"/>
              </w:rPr>
              <w:t>据</w:t>
            </w:r>
          </w:p>
        </w:tc>
      </w:tr>
      <w:tr>
        <w:tblPrEx>
          <w:tblCellMar>
            <w:top w:w="0" w:type="dxa"/>
            <w:left w:w="0" w:type="dxa"/>
            <w:bottom w:w="0" w:type="dxa"/>
            <w:right w:w="0" w:type="dxa"/>
          </w:tblCellMar>
        </w:tblPrEx>
        <w:trPr>
          <w:trHeight w:val="349" w:hRule="exact"/>
          <w:jc w:val="center"/>
        </w:trPr>
        <w:tc>
          <w:tcPr>
            <w:tcW w:w="4521" w:type="dxa"/>
            <w:tcBorders>
              <w:top w:val="single" w:color="000000" w:sz="4" w:space="0"/>
              <w:left w:val="single" w:color="000000" w:sz="12" w:space="0"/>
              <w:bottom w:val="single" w:color="000000" w:sz="4" w:space="0"/>
              <w:right w:val="single" w:color="000000" w:sz="4" w:space="0"/>
            </w:tcBorders>
          </w:tcPr>
          <w:p>
            <w:pPr>
              <w:tabs>
                <w:tab w:val="clear" w:pos="480"/>
              </w:tabs>
              <w:kinsoku w:val="0"/>
              <w:overflowPunct w:val="0"/>
              <w:autoSpaceDE w:val="0"/>
              <w:autoSpaceDN w:val="0"/>
              <w:adjustRightInd w:val="0"/>
              <w:spacing w:line="272" w:lineRule="exact"/>
              <w:ind w:left="1804" w:right="1816" w:firstLine="0" w:firstLineChars="0"/>
              <w:jc w:val="center"/>
              <w:rPr>
                <w:kern w:val="0"/>
              </w:rPr>
            </w:pPr>
            <w:r>
              <w:rPr>
                <w:kern w:val="0"/>
                <w:sz w:val="21"/>
                <w:szCs w:val="21"/>
              </w:rPr>
              <w:t>一级</w:t>
            </w:r>
          </w:p>
        </w:tc>
        <w:tc>
          <w:tcPr>
            <w:tcW w:w="4520" w:type="dxa"/>
            <w:tcBorders>
              <w:top w:val="single" w:color="000000" w:sz="4" w:space="0"/>
              <w:left w:val="single" w:color="000000" w:sz="4" w:space="0"/>
              <w:bottom w:val="single" w:color="000000" w:sz="4" w:space="0"/>
              <w:right w:val="single" w:color="000000" w:sz="12" w:space="0"/>
            </w:tcBorders>
          </w:tcPr>
          <w:p>
            <w:pPr>
              <w:tabs>
                <w:tab w:val="clear" w:pos="480"/>
              </w:tabs>
              <w:kinsoku w:val="0"/>
              <w:overflowPunct w:val="0"/>
              <w:autoSpaceDE w:val="0"/>
              <w:autoSpaceDN w:val="0"/>
              <w:adjustRightInd w:val="0"/>
              <w:spacing w:before="46" w:line="240" w:lineRule="auto"/>
              <w:ind w:left="11" w:firstLine="0" w:firstLineChars="0"/>
              <w:jc w:val="center"/>
              <w:rPr>
                <w:kern w:val="0"/>
              </w:rPr>
            </w:pPr>
            <w:r>
              <w:rPr>
                <w:kern w:val="0"/>
                <w:sz w:val="21"/>
                <w:szCs w:val="21"/>
              </w:rPr>
              <w:t>P</w:t>
            </w:r>
            <w:r>
              <w:rPr>
                <w:spacing w:val="-3"/>
                <w:kern w:val="0"/>
                <w:position w:val="-2"/>
                <w:sz w:val="14"/>
                <w:szCs w:val="14"/>
              </w:rPr>
              <w:t>m</w:t>
            </w:r>
            <w:r>
              <w:rPr>
                <w:kern w:val="0"/>
                <w:position w:val="-2"/>
                <w:sz w:val="14"/>
                <w:szCs w:val="14"/>
              </w:rPr>
              <w:t>a</w:t>
            </w:r>
            <w:r>
              <w:rPr>
                <w:spacing w:val="1"/>
                <w:kern w:val="0"/>
                <w:position w:val="-2"/>
                <w:sz w:val="14"/>
                <w:szCs w:val="14"/>
              </w:rPr>
              <w:t>x</w:t>
            </w:r>
            <w:r>
              <w:rPr>
                <w:kern w:val="0"/>
                <w:sz w:val="21"/>
                <w:szCs w:val="21"/>
              </w:rPr>
              <w:t>≥10%</w:t>
            </w:r>
          </w:p>
        </w:tc>
      </w:tr>
      <w:tr>
        <w:tblPrEx>
          <w:tblCellMar>
            <w:top w:w="0" w:type="dxa"/>
            <w:left w:w="0" w:type="dxa"/>
            <w:bottom w:w="0" w:type="dxa"/>
            <w:right w:w="0" w:type="dxa"/>
          </w:tblCellMar>
        </w:tblPrEx>
        <w:trPr>
          <w:trHeight w:val="350" w:hRule="exact"/>
          <w:jc w:val="center"/>
        </w:trPr>
        <w:tc>
          <w:tcPr>
            <w:tcW w:w="4521" w:type="dxa"/>
            <w:tcBorders>
              <w:top w:val="single" w:color="000000" w:sz="4" w:space="0"/>
              <w:left w:val="single" w:color="000000" w:sz="12" w:space="0"/>
              <w:bottom w:val="single" w:color="000000" w:sz="4" w:space="0"/>
              <w:right w:val="single" w:color="000000" w:sz="4" w:space="0"/>
            </w:tcBorders>
          </w:tcPr>
          <w:p>
            <w:pPr>
              <w:tabs>
                <w:tab w:val="clear" w:pos="480"/>
              </w:tabs>
              <w:kinsoku w:val="0"/>
              <w:overflowPunct w:val="0"/>
              <w:autoSpaceDE w:val="0"/>
              <w:autoSpaceDN w:val="0"/>
              <w:adjustRightInd w:val="0"/>
              <w:spacing w:line="273" w:lineRule="exact"/>
              <w:ind w:left="1804" w:right="1816" w:firstLine="0" w:firstLineChars="0"/>
              <w:jc w:val="center"/>
              <w:rPr>
                <w:kern w:val="0"/>
              </w:rPr>
            </w:pPr>
            <w:r>
              <w:rPr>
                <w:kern w:val="0"/>
                <w:sz w:val="21"/>
                <w:szCs w:val="21"/>
              </w:rPr>
              <w:t>二级</w:t>
            </w:r>
          </w:p>
        </w:tc>
        <w:tc>
          <w:tcPr>
            <w:tcW w:w="4520" w:type="dxa"/>
            <w:tcBorders>
              <w:top w:val="single" w:color="000000" w:sz="4" w:space="0"/>
              <w:left w:val="single" w:color="000000" w:sz="4" w:space="0"/>
              <w:bottom w:val="single" w:color="000000" w:sz="4" w:space="0"/>
              <w:right w:val="single" w:color="000000" w:sz="12" w:space="0"/>
            </w:tcBorders>
          </w:tcPr>
          <w:p>
            <w:pPr>
              <w:tabs>
                <w:tab w:val="clear" w:pos="480"/>
              </w:tabs>
              <w:kinsoku w:val="0"/>
              <w:overflowPunct w:val="0"/>
              <w:autoSpaceDE w:val="0"/>
              <w:autoSpaceDN w:val="0"/>
              <w:adjustRightInd w:val="0"/>
              <w:spacing w:line="294" w:lineRule="exact"/>
              <w:ind w:left="10" w:firstLine="0" w:firstLineChars="0"/>
              <w:jc w:val="center"/>
              <w:rPr>
                <w:kern w:val="0"/>
              </w:rPr>
            </w:pPr>
            <w:r>
              <w:rPr>
                <w:kern w:val="0"/>
                <w:sz w:val="21"/>
                <w:szCs w:val="21"/>
              </w:rPr>
              <w:t>1%≤</w:t>
            </w:r>
            <w:r>
              <w:rPr>
                <w:spacing w:val="-1"/>
                <w:kern w:val="0"/>
                <w:sz w:val="21"/>
                <w:szCs w:val="21"/>
              </w:rPr>
              <w:t>P</w:t>
            </w:r>
            <w:r>
              <w:rPr>
                <w:spacing w:val="-3"/>
                <w:kern w:val="0"/>
                <w:position w:val="-2"/>
                <w:sz w:val="14"/>
                <w:szCs w:val="14"/>
              </w:rPr>
              <w:t>m</w:t>
            </w:r>
            <w:r>
              <w:rPr>
                <w:kern w:val="0"/>
                <w:position w:val="-2"/>
                <w:sz w:val="14"/>
                <w:szCs w:val="14"/>
              </w:rPr>
              <w:t>a</w:t>
            </w:r>
            <w:r>
              <w:rPr>
                <w:spacing w:val="1"/>
                <w:kern w:val="0"/>
                <w:position w:val="-2"/>
                <w:sz w:val="14"/>
                <w:szCs w:val="14"/>
              </w:rPr>
              <w:t>x</w:t>
            </w:r>
            <w:r>
              <w:rPr>
                <w:kern w:val="0"/>
                <w:sz w:val="21"/>
                <w:szCs w:val="21"/>
              </w:rPr>
              <w:t>＜10%</w:t>
            </w:r>
          </w:p>
        </w:tc>
      </w:tr>
      <w:tr>
        <w:tblPrEx>
          <w:tblCellMar>
            <w:top w:w="0" w:type="dxa"/>
            <w:left w:w="0" w:type="dxa"/>
            <w:bottom w:w="0" w:type="dxa"/>
            <w:right w:w="0" w:type="dxa"/>
          </w:tblCellMar>
        </w:tblPrEx>
        <w:trPr>
          <w:trHeight w:val="361" w:hRule="exact"/>
          <w:jc w:val="center"/>
        </w:trPr>
        <w:tc>
          <w:tcPr>
            <w:tcW w:w="4521" w:type="dxa"/>
            <w:tcBorders>
              <w:top w:val="single" w:color="000000" w:sz="4" w:space="0"/>
              <w:left w:val="single" w:color="000000" w:sz="12" w:space="0"/>
              <w:bottom w:val="single" w:color="000000" w:sz="12" w:space="0"/>
              <w:right w:val="single" w:color="000000" w:sz="4" w:space="0"/>
            </w:tcBorders>
          </w:tcPr>
          <w:p>
            <w:pPr>
              <w:tabs>
                <w:tab w:val="clear" w:pos="480"/>
              </w:tabs>
              <w:kinsoku w:val="0"/>
              <w:overflowPunct w:val="0"/>
              <w:autoSpaceDE w:val="0"/>
              <w:autoSpaceDN w:val="0"/>
              <w:adjustRightInd w:val="0"/>
              <w:spacing w:line="273" w:lineRule="exact"/>
              <w:ind w:left="1804" w:right="1816" w:firstLine="0" w:firstLineChars="0"/>
              <w:jc w:val="center"/>
              <w:rPr>
                <w:kern w:val="0"/>
              </w:rPr>
            </w:pPr>
            <w:r>
              <w:rPr>
                <w:kern w:val="0"/>
                <w:sz w:val="21"/>
                <w:szCs w:val="21"/>
              </w:rPr>
              <w:t>三级</w:t>
            </w:r>
          </w:p>
        </w:tc>
        <w:tc>
          <w:tcPr>
            <w:tcW w:w="4520" w:type="dxa"/>
            <w:tcBorders>
              <w:top w:val="single" w:color="000000" w:sz="4" w:space="0"/>
              <w:left w:val="single" w:color="000000" w:sz="4" w:space="0"/>
              <w:bottom w:val="single" w:color="000000" w:sz="12" w:space="0"/>
              <w:right w:val="single" w:color="000000" w:sz="12" w:space="0"/>
            </w:tcBorders>
          </w:tcPr>
          <w:p>
            <w:pPr>
              <w:tabs>
                <w:tab w:val="clear" w:pos="480"/>
              </w:tabs>
              <w:kinsoku w:val="0"/>
              <w:overflowPunct w:val="0"/>
              <w:autoSpaceDE w:val="0"/>
              <w:autoSpaceDN w:val="0"/>
              <w:adjustRightInd w:val="0"/>
              <w:spacing w:before="46" w:line="240" w:lineRule="auto"/>
              <w:ind w:left="10" w:firstLine="0" w:firstLineChars="0"/>
              <w:jc w:val="center"/>
              <w:rPr>
                <w:kern w:val="0"/>
              </w:rPr>
            </w:pPr>
            <w:r>
              <w:rPr>
                <w:kern w:val="0"/>
                <w:sz w:val="21"/>
                <w:szCs w:val="21"/>
              </w:rPr>
              <w:t>P</w:t>
            </w:r>
            <w:r>
              <w:rPr>
                <w:spacing w:val="-3"/>
                <w:kern w:val="0"/>
                <w:position w:val="-2"/>
                <w:sz w:val="14"/>
                <w:szCs w:val="14"/>
              </w:rPr>
              <w:t>m</w:t>
            </w:r>
            <w:r>
              <w:rPr>
                <w:kern w:val="0"/>
                <w:position w:val="-2"/>
                <w:sz w:val="14"/>
                <w:szCs w:val="14"/>
              </w:rPr>
              <w:t>a</w:t>
            </w:r>
            <w:r>
              <w:rPr>
                <w:spacing w:val="1"/>
                <w:kern w:val="0"/>
                <w:position w:val="-2"/>
                <w:sz w:val="14"/>
                <w:szCs w:val="14"/>
              </w:rPr>
              <w:t>x</w:t>
            </w:r>
            <w:r>
              <w:rPr>
                <w:kern w:val="0"/>
                <w:sz w:val="21"/>
                <w:szCs w:val="21"/>
              </w:rPr>
              <w:t>&lt;1%</w:t>
            </w:r>
          </w:p>
        </w:tc>
      </w:tr>
    </w:tbl>
    <w:p>
      <w:pPr>
        <w:spacing w:line="480" w:lineRule="exact"/>
        <w:ind w:firstLine="422" w:firstLineChars="176"/>
        <w:jc w:val="left"/>
      </w:pPr>
      <w:r>
        <w:rPr>
          <w:rFonts w:hint="eastAsia"/>
        </w:rPr>
        <w:t>（3）</w:t>
      </w:r>
      <w:r>
        <w:t>污染物评价标准</w:t>
      </w:r>
    </w:p>
    <w:p>
      <w:pPr>
        <w:ind w:firstLine="480"/>
        <w:rPr>
          <w:szCs w:val="20"/>
        </w:rPr>
      </w:pPr>
      <w:r>
        <w:rPr>
          <w:szCs w:val="20"/>
        </w:rPr>
        <w:t>污染物评价标准和来源见下表。</w:t>
      </w:r>
    </w:p>
    <w:p>
      <w:pPr>
        <w:pStyle w:val="619"/>
      </w:pPr>
      <w:r>
        <w:rPr>
          <w:rFonts w:cs="Times New Roman"/>
        </w:rPr>
        <w:t>污染物</w:t>
      </w:r>
      <w:r>
        <w:t>评价标准</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970"/>
        <w:gridCol w:w="1276"/>
        <w:gridCol w:w="1183"/>
        <w:gridCol w:w="1846"/>
        <w:gridCol w:w="301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8" w:hRule="atLeast"/>
        </w:trPr>
        <w:tc>
          <w:tcPr>
            <w:tcW w:w="1061" w:type="pct"/>
            <w:vAlign w:val="center"/>
          </w:tcPr>
          <w:p>
            <w:pPr>
              <w:tabs>
                <w:tab w:val="clear" w:pos="480"/>
              </w:tabs>
              <w:kinsoku w:val="0"/>
              <w:overflowPunct w:val="0"/>
              <w:autoSpaceDE w:val="0"/>
              <w:autoSpaceDN w:val="0"/>
              <w:adjustRightInd w:val="0"/>
              <w:spacing w:line="240" w:lineRule="atLeast"/>
              <w:ind w:firstLine="0" w:firstLineChars="0"/>
              <w:jc w:val="center"/>
              <w:rPr>
                <w:spacing w:val="1"/>
                <w:kern w:val="0"/>
                <w:sz w:val="21"/>
                <w:szCs w:val="21"/>
              </w:rPr>
            </w:pPr>
            <w:r>
              <w:rPr>
                <w:spacing w:val="1"/>
                <w:kern w:val="0"/>
                <w:sz w:val="21"/>
                <w:szCs w:val="21"/>
              </w:rPr>
              <w:t>污染物名称</w:t>
            </w:r>
          </w:p>
        </w:tc>
        <w:tc>
          <w:tcPr>
            <w:tcW w:w="687" w:type="pct"/>
            <w:vAlign w:val="center"/>
          </w:tcPr>
          <w:p>
            <w:pPr>
              <w:tabs>
                <w:tab w:val="clear" w:pos="480"/>
              </w:tabs>
              <w:kinsoku w:val="0"/>
              <w:overflowPunct w:val="0"/>
              <w:autoSpaceDE w:val="0"/>
              <w:autoSpaceDN w:val="0"/>
              <w:adjustRightInd w:val="0"/>
              <w:spacing w:line="240" w:lineRule="atLeast"/>
              <w:ind w:firstLine="0" w:firstLineChars="0"/>
              <w:jc w:val="center"/>
              <w:rPr>
                <w:spacing w:val="1"/>
                <w:kern w:val="0"/>
                <w:sz w:val="21"/>
                <w:szCs w:val="21"/>
              </w:rPr>
            </w:pPr>
            <w:r>
              <w:rPr>
                <w:spacing w:val="1"/>
                <w:kern w:val="0"/>
                <w:sz w:val="21"/>
                <w:szCs w:val="21"/>
              </w:rPr>
              <w:t>功能区</w:t>
            </w:r>
          </w:p>
        </w:tc>
        <w:tc>
          <w:tcPr>
            <w:tcW w:w="637" w:type="pct"/>
            <w:vAlign w:val="center"/>
          </w:tcPr>
          <w:p>
            <w:pPr>
              <w:tabs>
                <w:tab w:val="clear" w:pos="480"/>
              </w:tabs>
              <w:kinsoku w:val="0"/>
              <w:overflowPunct w:val="0"/>
              <w:autoSpaceDE w:val="0"/>
              <w:autoSpaceDN w:val="0"/>
              <w:adjustRightInd w:val="0"/>
              <w:spacing w:line="240" w:lineRule="atLeast"/>
              <w:ind w:firstLine="0" w:firstLineChars="0"/>
              <w:jc w:val="center"/>
              <w:rPr>
                <w:spacing w:val="1"/>
                <w:kern w:val="0"/>
                <w:sz w:val="21"/>
                <w:szCs w:val="21"/>
              </w:rPr>
            </w:pPr>
            <w:r>
              <w:rPr>
                <w:spacing w:val="1"/>
                <w:kern w:val="0"/>
                <w:sz w:val="21"/>
                <w:szCs w:val="21"/>
              </w:rPr>
              <w:t>取值时间</w:t>
            </w:r>
          </w:p>
        </w:tc>
        <w:tc>
          <w:tcPr>
            <w:tcW w:w="994" w:type="pct"/>
            <w:vAlign w:val="center"/>
          </w:tcPr>
          <w:p>
            <w:pPr>
              <w:tabs>
                <w:tab w:val="clear" w:pos="480"/>
              </w:tabs>
              <w:kinsoku w:val="0"/>
              <w:overflowPunct w:val="0"/>
              <w:autoSpaceDE w:val="0"/>
              <w:autoSpaceDN w:val="0"/>
              <w:adjustRightInd w:val="0"/>
              <w:spacing w:line="240" w:lineRule="atLeast"/>
              <w:ind w:firstLine="0" w:firstLineChars="0"/>
              <w:jc w:val="center"/>
              <w:rPr>
                <w:spacing w:val="1"/>
                <w:kern w:val="0"/>
                <w:sz w:val="21"/>
                <w:szCs w:val="21"/>
              </w:rPr>
            </w:pPr>
            <w:r>
              <w:rPr>
                <w:spacing w:val="1"/>
                <w:kern w:val="0"/>
                <w:sz w:val="21"/>
                <w:szCs w:val="21"/>
              </w:rPr>
              <w:t>标准值(μg/m³)</w:t>
            </w:r>
          </w:p>
        </w:tc>
        <w:tc>
          <w:tcPr>
            <w:tcW w:w="1621" w:type="pct"/>
            <w:vAlign w:val="center"/>
          </w:tcPr>
          <w:p>
            <w:pPr>
              <w:tabs>
                <w:tab w:val="clear" w:pos="480"/>
              </w:tabs>
              <w:kinsoku w:val="0"/>
              <w:overflowPunct w:val="0"/>
              <w:autoSpaceDE w:val="0"/>
              <w:autoSpaceDN w:val="0"/>
              <w:adjustRightInd w:val="0"/>
              <w:spacing w:line="240" w:lineRule="atLeast"/>
              <w:ind w:firstLine="0" w:firstLineChars="0"/>
              <w:jc w:val="center"/>
              <w:rPr>
                <w:spacing w:val="1"/>
                <w:kern w:val="0"/>
                <w:sz w:val="21"/>
                <w:szCs w:val="21"/>
              </w:rPr>
            </w:pPr>
            <w:r>
              <w:rPr>
                <w:spacing w:val="1"/>
                <w:kern w:val="0"/>
                <w:sz w:val="21"/>
                <w:szCs w:val="21"/>
              </w:rP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0" w:hRule="atLeast"/>
        </w:trPr>
        <w:tc>
          <w:tcPr>
            <w:tcW w:w="1061" w:type="pct"/>
            <w:vAlign w:val="center"/>
          </w:tcPr>
          <w:p>
            <w:pPr>
              <w:tabs>
                <w:tab w:val="clear" w:pos="480"/>
              </w:tabs>
              <w:kinsoku w:val="0"/>
              <w:overflowPunct w:val="0"/>
              <w:autoSpaceDE w:val="0"/>
              <w:autoSpaceDN w:val="0"/>
              <w:adjustRightInd w:val="0"/>
              <w:spacing w:line="240" w:lineRule="atLeast"/>
              <w:ind w:firstLine="0" w:firstLineChars="0"/>
              <w:jc w:val="center"/>
              <w:rPr>
                <w:spacing w:val="1"/>
                <w:kern w:val="0"/>
                <w:sz w:val="21"/>
                <w:szCs w:val="21"/>
              </w:rPr>
            </w:pPr>
            <w:r>
              <w:rPr>
                <w:spacing w:val="1"/>
                <w:kern w:val="0"/>
                <w:sz w:val="21"/>
                <w:szCs w:val="21"/>
              </w:rPr>
              <w:t>TSP</w:t>
            </w:r>
          </w:p>
        </w:tc>
        <w:tc>
          <w:tcPr>
            <w:tcW w:w="687" w:type="pct"/>
            <w:vAlign w:val="center"/>
          </w:tcPr>
          <w:p>
            <w:pPr>
              <w:tabs>
                <w:tab w:val="clear" w:pos="480"/>
              </w:tabs>
              <w:kinsoku w:val="0"/>
              <w:overflowPunct w:val="0"/>
              <w:autoSpaceDE w:val="0"/>
              <w:autoSpaceDN w:val="0"/>
              <w:adjustRightInd w:val="0"/>
              <w:spacing w:line="240" w:lineRule="atLeast"/>
              <w:ind w:firstLine="0" w:firstLineChars="0"/>
              <w:jc w:val="center"/>
              <w:rPr>
                <w:spacing w:val="1"/>
                <w:kern w:val="0"/>
                <w:sz w:val="21"/>
                <w:szCs w:val="21"/>
              </w:rPr>
            </w:pPr>
            <w:r>
              <w:rPr>
                <w:spacing w:val="1"/>
                <w:kern w:val="0"/>
                <w:sz w:val="21"/>
                <w:szCs w:val="21"/>
              </w:rPr>
              <w:t>二类区</w:t>
            </w:r>
          </w:p>
        </w:tc>
        <w:tc>
          <w:tcPr>
            <w:tcW w:w="637" w:type="pct"/>
            <w:vAlign w:val="center"/>
          </w:tcPr>
          <w:p>
            <w:pPr>
              <w:tabs>
                <w:tab w:val="clear" w:pos="480"/>
              </w:tabs>
              <w:kinsoku w:val="0"/>
              <w:overflowPunct w:val="0"/>
              <w:autoSpaceDE w:val="0"/>
              <w:autoSpaceDN w:val="0"/>
              <w:adjustRightInd w:val="0"/>
              <w:spacing w:line="240" w:lineRule="atLeast"/>
              <w:ind w:firstLine="0" w:firstLineChars="0"/>
              <w:jc w:val="center"/>
              <w:rPr>
                <w:spacing w:val="1"/>
                <w:kern w:val="0"/>
                <w:sz w:val="21"/>
                <w:szCs w:val="21"/>
              </w:rPr>
            </w:pPr>
            <w:r>
              <w:rPr>
                <w:spacing w:val="1"/>
                <w:kern w:val="0"/>
                <w:sz w:val="21"/>
                <w:szCs w:val="21"/>
              </w:rPr>
              <w:t>日均</w:t>
            </w:r>
          </w:p>
        </w:tc>
        <w:tc>
          <w:tcPr>
            <w:tcW w:w="994" w:type="pct"/>
            <w:vAlign w:val="center"/>
          </w:tcPr>
          <w:p>
            <w:pPr>
              <w:tabs>
                <w:tab w:val="clear" w:pos="480"/>
              </w:tabs>
              <w:kinsoku w:val="0"/>
              <w:overflowPunct w:val="0"/>
              <w:autoSpaceDE w:val="0"/>
              <w:autoSpaceDN w:val="0"/>
              <w:adjustRightInd w:val="0"/>
              <w:spacing w:line="240" w:lineRule="atLeast"/>
              <w:ind w:firstLine="0" w:firstLineChars="0"/>
              <w:jc w:val="center"/>
              <w:rPr>
                <w:spacing w:val="1"/>
                <w:kern w:val="0"/>
                <w:sz w:val="21"/>
                <w:szCs w:val="21"/>
              </w:rPr>
            </w:pPr>
            <w:r>
              <w:rPr>
                <w:spacing w:val="1"/>
                <w:kern w:val="0"/>
                <w:sz w:val="21"/>
                <w:szCs w:val="21"/>
              </w:rPr>
              <w:t>300.0</w:t>
            </w:r>
          </w:p>
        </w:tc>
        <w:tc>
          <w:tcPr>
            <w:tcW w:w="1621" w:type="pct"/>
            <w:vMerge w:val="restart"/>
            <w:vAlign w:val="center"/>
          </w:tcPr>
          <w:p>
            <w:pPr>
              <w:tabs>
                <w:tab w:val="clear" w:pos="480"/>
              </w:tabs>
              <w:kinsoku w:val="0"/>
              <w:overflowPunct w:val="0"/>
              <w:autoSpaceDE w:val="0"/>
              <w:autoSpaceDN w:val="0"/>
              <w:adjustRightInd w:val="0"/>
              <w:spacing w:line="240" w:lineRule="atLeast"/>
              <w:ind w:firstLine="0" w:firstLineChars="0"/>
              <w:jc w:val="center"/>
              <w:rPr>
                <w:spacing w:val="1"/>
                <w:kern w:val="0"/>
                <w:sz w:val="21"/>
                <w:szCs w:val="21"/>
              </w:rPr>
            </w:pPr>
            <w:r>
              <w:rPr>
                <w:spacing w:val="1"/>
                <w:kern w:val="0"/>
                <w:sz w:val="21"/>
                <w:szCs w:val="21"/>
              </w:rPr>
              <w:t>环境空气质量标准(GB 3095-2012)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0" w:hRule="atLeast"/>
        </w:trPr>
        <w:tc>
          <w:tcPr>
            <w:tcW w:w="1061" w:type="pct"/>
            <w:vAlign w:val="center"/>
          </w:tcPr>
          <w:p>
            <w:pPr>
              <w:tabs>
                <w:tab w:val="clear" w:pos="480"/>
              </w:tabs>
              <w:kinsoku w:val="0"/>
              <w:overflowPunct w:val="0"/>
              <w:autoSpaceDE w:val="0"/>
              <w:autoSpaceDN w:val="0"/>
              <w:adjustRightInd w:val="0"/>
              <w:spacing w:line="240" w:lineRule="atLeast"/>
              <w:ind w:firstLine="0" w:firstLineChars="0"/>
              <w:jc w:val="center"/>
              <w:rPr>
                <w:spacing w:val="1"/>
                <w:kern w:val="0"/>
                <w:sz w:val="21"/>
                <w:szCs w:val="21"/>
              </w:rPr>
            </w:pPr>
            <w:r>
              <w:rPr>
                <w:spacing w:val="1"/>
                <w:kern w:val="0"/>
                <w:sz w:val="21"/>
                <w:szCs w:val="21"/>
              </w:rPr>
              <w:t>PM</w:t>
            </w:r>
            <w:r>
              <w:rPr>
                <w:spacing w:val="1"/>
                <w:kern w:val="0"/>
                <w:sz w:val="21"/>
                <w:szCs w:val="21"/>
                <w:vertAlign w:val="subscript"/>
              </w:rPr>
              <w:t>10</w:t>
            </w:r>
          </w:p>
        </w:tc>
        <w:tc>
          <w:tcPr>
            <w:tcW w:w="687" w:type="pct"/>
            <w:vAlign w:val="center"/>
          </w:tcPr>
          <w:p>
            <w:pPr>
              <w:tabs>
                <w:tab w:val="clear" w:pos="480"/>
              </w:tabs>
              <w:kinsoku w:val="0"/>
              <w:overflowPunct w:val="0"/>
              <w:autoSpaceDE w:val="0"/>
              <w:autoSpaceDN w:val="0"/>
              <w:adjustRightInd w:val="0"/>
              <w:spacing w:line="240" w:lineRule="atLeast"/>
              <w:ind w:firstLine="0" w:firstLineChars="0"/>
              <w:jc w:val="center"/>
              <w:rPr>
                <w:spacing w:val="1"/>
                <w:kern w:val="0"/>
                <w:sz w:val="21"/>
                <w:szCs w:val="21"/>
              </w:rPr>
            </w:pPr>
            <w:r>
              <w:rPr>
                <w:spacing w:val="1"/>
                <w:kern w:val="0"/>
                <w:sz w:val="21"/>
                <w:szCs w:val="21"/>
              </w:rPr>
              <w:t>二类区</w:t>
            </w:r>
          </w:p>
        </w:tc>
        <w:tc>
          <w:tcPr>
            <w:tcW w:w="637" w:type="pct"/>
            <w:vAlign w:val="center"/>
          </w:tcPr>
          <w:p>
            <w:pPr>
              <w:tabs>
                <w:tab w:val="clear" w:pos="480"/>
              </w:tabs>
              <w:kinsoku w:val="0"/>
              <w:overflowPunct w:val="0"/>
              <w:autoSpaceDE w:val="0"/>
              <w:autoSpaceDN w:val="0"/>
              <w:adjustRightInd w:val="0"/>
              <w:spacing w:line="240" w:lineRule="atLeast"/>
              <w:ind w:firstLine="0" w:firstLineChars="0"/>
              <w:jc w:val="center"/>
              <w:rPr>
                <w:spacing w:val="1"/>
                <w:kern w:val="0"/>
                <w:sz w:val="21"/>
                <w:szCs w:val="21"/>
              </w:rPr>
            </w:pPr>
            <w:r>
              <w:rPr>
                <w:spacing w:val="1"/>
                <w:kern w:val="0"/>
                <w:sz w:val="21"/>
                <w:szCs w:val="21"/>
              </w:rPr>
              <w:t>日均</w:t>
            </w:r>
          </w:p>
        </w:tc>
        <w:tc>
          <w:tcPr>
            <w:tcW w:w="994" w:type="pct"/>
            <w:vAlign w:val="center"/>
          </w:tcPr>
          <w:p>
            <w:pPr>
              <w:tabs>
                <w:tab w:val="clear" w:pos="480"/>
              </w:tabs>
              <w:kinsoku w:val="0"/>
              <w:overflowPunct w:val="0"/>
              <w:autoSpaceDE w:val="0"/>
              <w:autoSpaceDN w:val="0"/>
              <w:adjustRightInd w:val="0"/>
              <w:spacing w:line="240" w:lineRule="atLeast"/>
              <w:ind w:firstLine="0" w:firstLineChars="0"/>
              <w:jc w:val="center"/>
              <w:rPr>
                <w:spacing w:val="1"/>
                <w:kern w:val="0"/>
                <w:sz w:val="21"/>
                <w:szCs w:val="21"/>
              </w:rPr>
            </w:pPr>
            <w:r>
              <w:rPr>
                <w:spacing w:val="1"/>
                <w:kern w:val="0"/>
                <w:sz w:val="21"/>
                <w:szCs w:val="21"/>
              </w:rPr>
              <w:t>150.0</w:t>
            </w:r>
          </w:p>
        </w:tc>
        <w:tc>
          <w:tcPr>
            <w:tcW w:w="1621" w:type="pct"/>
            <w:vMerge w:val="continue"/>
            <w:vAlign w:val="center"/>
          </w:tcPr>
          <w:p>
            <w:pPr>
              <w:pStyle w:val="2057"/>
              <w:spacing w:afterLines="0" w:line="240" w:lineRule="atLeast"/>
              <w:ind w:firstLine="0" w:firstLineChars="0"/>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5" w:hRule="atLeast"/>
        </w:trPr>
        <w:tc>
          <w:tcPr>
            <w:tcW w:w="1061" w:type="pct"/>
            <w:vAlign w:val="center"/>
          </w:tcPr>
          <w:p>
            <w:pPr>
              <w:tabs>
                <w:tab w:val="clear" w:pos="480"/>
              </w:tabs>
              <w:kinsoku w:val="0"/>
              <w:overflowPunct w:val="0"/>
              <w:autoSpaceDE w:val="0"/>
              <w:autoSpaceDN w:val="0"/>
              <w:adjustRightInd w:val="0"/>
              <w:spacing w:line="240" w:lineRule="atLeast"/>
              <w:ind w:firstLine="0" w:firstLineChars="0"/>
              <w:jc w:val="center"/>
              <w:rPr>
                <w:spacing w:val="1"/>
                <w:kern w:val="0"/>
                <w:sz w:val="21"/>
                <w:szCs w:val="21"/>
              </w:rPr>
            </w:pPr>
            <w:r>
              <w:rPr>
                <w:spacing w:val="1"/>
                <w:kern w:val="0"/>
                <w:sz w:val="21"/>
                <w:szCs w:val="21"/>
              </w:rPr>
              <w:t>PM</w:t>
            </w:r>
            <w:r>
              <w:rPr>
                <w:spacing w:val="1"/>
                <w:kern w:val="0"/>
                <w:sz w:val="21"/>
                <w:szCs w:val="21"/>
                <w:vertAlign w:val="subscript"/>
              </w:rPr>
              <w:t>2.5</w:t>
            </w:r>
          </w:p>
        </w:tc>
        <w:tc>
          <w:tcPr>
            <w:tcW w:w="687" w:type="pct"/>
            <w:vAlign w:val="center"/>
          </w:tcPr>
          <w:p>
            <w:pPr>
              <w:tabs>
                <w:tab w:val="clear" w:pos="480"/>
              </w:tabs>
              <w:kinsoku w:val="0"/>
              <w:overflowPunct w:val="0"/>
              <w:autoSpaceDE w:val="0"/>
              <w:autoSpaceDN w:val="0"/>
              <w:adjustRightInd w:val="0"/>
              <w:spacing w:line="240" w:lineRule="atLeast"/>
              <w:ind w:firstLine="0" w:firstLineChars="0"/>
              <w:jc w:val="center"/>
              <w:rPr>
                <w:spacing w:val="1"/>
                <w:kern w:val="0"/>
                <w:sz w:val="21"/>
                <w:szCs w:val="21"/>
              </w:rPr>
            </w:pPr>
            <w:r>
              <w:rPr>
                <w:spacing w:val="1"/>
                <w:kern w:val="0"/>
                <w:sz w:val="21"/>
                <w:szCs w:val="21"/>
              </w:rPr>
              <w:t>二类区</w:t>
            </w:r>
          </w:p>
        </w:tc>
        <w:tc>
          <w:tcPr>
            <w:tcW w:w="637" w:type="pct"/>
            <w:vAlign w:val="center"/>
          </w:tcPr>
          <w:p>
            <w:pPr>
              <w:tabs>
                <w:tab w:val="clear" w:pos="480"/>
              </w:tabs>
              <w:kinsoku w:val="0"/>
              <w:overflowPunct w:val="0"/>
              <w:autoSpaceDE w:val="0"/>
              <w:autoSpaceDN w:val="0"/>
              <w:adjustRightInd w:val="0"/>
              <w:spacing w:line="240" w:lineRule="atLeast"/>
              <w:ind w:firstLine="0" w:firstLineChars="0"/>
              <w:jc w:val="center"/>
              <w:rPr>
                <w:spacing w:val="1"/>
                <w:kern w:val="0"/>
                <w:sz w:val="21"/>
                <w:szCs w:val="21"/>
              </w:rPr>
            </w:pPr>
            <w:r>
              <w:rPr>
                <w:spacing w:val="1"/>
                <w:kern w:val="0"/>
                <w:sz w:val="21"/>
                <w:szCs w:val="21"/>
              </w:rPr>
              <w:t>日均</w:t>
            </w:r>
          </w:p>
        </w:tc>
        <w:tc>
          <w:tcPr>
            <w:tcW w:w="994" w:type="pct"/>
            <w:vAlign w:val="center"/>
          </w:tcPr>
          <w:p>
            <w:pPr>
              <w:tabs>
                <w:tab w:val="clear" w:pos="480"/>
              </w:tabs>
              <w:kinsoku w:val="0"/>
              <w:overflowPunct w:val="0"/>
              <w:autoSpaceDE w:val="0"/>
              <w:autoSpaceDN w:val="0"/>
              <w:adjustRightInd w:val="0"/>
              <w:spacing w:line="240" w:lineRule="atLeast"/>
              <w:ind w:firstLine="0" w:firstLineChars="0"/>
              <w:jc w:val="center"/>
              <w:rPr>
                <w:spacing w:val="1"/>
                <w:kern w:val="0"/>
                <w:sz w:val="21"/>
                <w:szCs w:val="21"/>
              </w:rPr>
            </w:pPr>
            <w:r>
              <w:rPr>
                <w:spacing w:val="1"/>
                <w:kern w:val="0"/>
                <w:sz w:val="21"/>
                <w:szCs w:val="21"/>
              </w:rPr>
              <w:t>75.0</w:t>
            </w:r>
          </w:p>
        </w:tc>
        <w:tc>
          <w:tcPr>
            <w:tcW w:w="1621" w:type="pct"/>
            <w:vMerge w:val="continue"/>
            <w:vAlign w:val="center"/>
          </w:tcPr>
          <w:p>
            <w:pPr>
              <w:pStyle w:val="2057"/>
              <w:spacing w:afterLines="0" w:line="240" w:lineRule="atLeast"/>
              <w:ind w:firstLine="0" w:firstLineChars="0"/>
            </w:pPr>
          </w:p>
        </w:tc>
      </w:tr>
    </w:tbl>
    <w:p>
      <w:pPr>
        <w:ind w:firstLine="480"/>
      </w:pPr>
      <w:r>
        <w:rPr>
          <w:rFonts w:ascii="仿宋_GB2312"/>
        </w:rPr>
        <w:t>本评价采用</w:t>
      </w:r>
      <w:r>
        <w:t>AERSCREEN</w:t>
      </w:r>
      <w:r>
        <w:rPr>
          <w:rFonts w:ascii="仿宋_GB2312"/>
        </w:rPr>
        <w:t>模型对本项目运行后各污染源进行初步估算。估算模型参数表如下。</w:t>
      </w:r>
    </w:p>
    <w:p>
      <w:pPr>
        <w:pStyle w:val="619"/>
      </w:pPr>
      <w:r>
        <w:t>估算模型参数表</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094"/>
        <w:gridCol w:w="3096"/>
        <w:gridCol w:w="309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7" w:hRule="atLeast"/>
          <w:tblHeader/>
        </w:trPr>
        <w:tc>
          <w:tcPr>
            <w:tcW w:w="3333" w:type="pct"/>
            <w:gridSpan w:val="2"/>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参数</w:t>
            </w:r>
          </w:p>
        </w:tc>
        <w:tc>
          <w:tcPr>
            <w:tcW w:w="1667" w:type="pct"/>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取值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1666" w:type="pct"/>
            <w:vMerge w:val="restart"/>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城市/农村选项</w:t>
            </w:r>
          </w:p>
        </w:tc>
        <w:tc>
          <w:tcPr>
            <w:tcW w:w="1667" w:type="pct"/>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城市/农村</w:t>
            </w:r>
          </w:p>
        </w:tc>
        <w:tc>
          <w:tcPr>
            <w:tcW w:w="1667" w:type="pct"/>
            <w:vAlign w:val="center"/>
          </w:tcPr>
          <w:p>
            <w:pPr>
              <w:pStyle w:val="2057"/>
              <w:spacing w:afterLines="0"/>
              <w:ind w:firstLine="0" w:firstLineChars="0"/>
              <w:rPr>
                <w:rFonts w:hint="eastAsia" w:eastAsia="宋体"/>
                <w:color w:val="000000" w:themeColor="text1"/>
                <w:kern w:val="44"/>
                <w:sz w:val="21"/>
                <w:szCs w:val="21"/>
                <w:lang w:eastAsia="zh-CN"/>
                <w14:textFill>
                  <w14:solidFill>
                    <w14:schemeClr w14:val="tx1"/>
                  </w14:solidFill>
                </w14:textFill>
              </w:rPr>
            </w:pPr>
            <w:r>
              <w:rPr>
                <w:rFonts w:hint="eastAsia" w:ascii="宋体" w:hAnsi="宋体"/>
                <w:sz w:val="23"/>
                <w:szCs w:val="23"/>
                <w:lang w:val="en-US" w:eastAsia="zh-CN"/>
              </w:rPr>
              <w:t>农村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1666" w:type="pct"/>
            <w:vMerge w:val="continue"/>
            <w:vAlign w:val="center"/>
          </w:tcPr>
          <w:p>
            <w:pPr>
              <w:pStyle w:val="2057"/>
              <w:spacing w:afterLines="0"/>
              <w:ind w:firstLine="0" w:firstLineChars="0"/>
              <w:rPr>
                <w:color w:val="000000" w:themeColor="text1"/>
                <w:kern w:val="44"/>
                <w:sz w:val="21"/>
                <w:szCs w:val="21"/>
                <w14:textFill>
                  <w14:solidFill>
                    <w14:schemeClr w14:val="tx1"/>
                  </w14:solidFill>
                </w14:textFill>
              </w:rPr>
            </w:pPr>
          </w:p>
        </w:tc>
        <w:tc>
          <w:tcPr>
            <w:tcW w:w="1667" w:type="pct"/>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人口数（城市选项时）</w:t>
            </w:r>
          </w:p>
        </w:tc>
        <w:tc>
          <w:tcPr>
            <w:tcW w:w="1667" w:type="pct"/>
            <w:vAlign w:val="center"/>
          </w:tcPr>
          <w:p>
            <w:pPr>
              <w:pStyle w:val="2057"/>
              <w:spacing w:afterLines="0"/>
              <w:ind w:firstLine="0" w:firstLineChars="0"/>
              <w:rPr>
                <w:rFonts w:hint="default" w:eastAsia="宋体"/>
                <w:color w:val="000000" w:themeColor="text1"/>
                <w:kern w:val="44"/>
                <w:sz w:val="21"/>
                <w:szCs w:val="21"/>
                <w:lang w:val="en-US" w:eastAsia="zh-CN"/>
                <w14:textFill>
                  <w14:solidFill>
                    <w14:schemeClr w14:val="tx1"/>
                  </w14:solidFill>
                </w14:textFill>
              </w:rPr>
            </w:pPr>
            <w:r>
              <w:rPr>
                <w:rFonts w:hint="eastAsia"/>
                <w:color w:val="000000" w:themeColor="text1"/>
                <w:kern w:val="44"/>
                <w:sz w:val="21"/>
                <w:szCs w:val="21"/>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333" w:type="pct"/>
            <w:gridSpan w:val="2"/>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最高环境温度/℃</w:t>
            </w:r>
          </w:p>
        </w:tc>
        <w:tc>
          <w:tcPr>
            <w:tcW w:w="3096" w:type="dxa"/>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39.3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333" w:type="pct"/>
            <w:gridSpan w:val="2"/>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最低环境温度/℃</w:t>
            </w:r>
          </w:p>
        </w:tc>
        <w:tc>
          <w:tcPr>
            <w:tcW w:w="3096" w:type="dxa"/>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333" w:type="pct"/>
            <w:gridSpan w:val="2"/>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土地利用类型</w:t>
            </w:r>
          </w:p>
        </w:tc>
        <w:tc>
          <w:tcPr>
            <w:tcW w:w="1667" w:type="pct"/>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水体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333" w:type="pct"/>
            <w:gridSpan w:val="2"/>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区域湿度条件</w:t>
            </w:r>
          </w:p>
        </w:tc>
        <w:tc>
          <w:tcPr>
            <w:tcW w:w="1667" w:type="pct"/>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湿润区域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1666" w:type="pct"/>
            <w:vMerge w:val="restart"/>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是否考虑地形</w:t>
            </w:r>
          </w:p>
        </w:tc>
        <w:tc>
          <w:tcPr>
            <w:tcW w:w="1667" w:type="pct"/>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考虑地形</w:t>
            </w:r>
          </w:p>
        </w:tc>
        <w:tc>
          <w:tcPr>
            <w:tcW w:w="1667" w:type="pct"/>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■是  □否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1666" w:type="pct"/>
            <w:vMerge w:val="continue"/>
            <w:vAlign w:val="center"/>
          </w:tcPr>
          <w:p>
            <w:pPr>
              <w:pStyle w:val="2057"/>
              <w:spacing w:afterLines="0"/>
              <w:ind w:firstLine="0" w:firstLineChars="0"/>
              <w:rPr>
                <w:color w:val="000000" w:themeColor="text1"/>
                <w:kern w:val="44"/>
                <w:sz w:val="21"/>
                <w:szCs w:val="21"/>
                <w14:textFill>
                  <w14:solidFill>
                    <w14:schemeClr w14:val="tx1"/>
                  </w14:solidFill>
                </w14:textFill>
              </w:rPr>
            </w:pPr>
          </w:p>
        </w:tc>
        <w:tc>
          <w:tcPr>
            <w:tcW w:w="1667" w:type="pct"/>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地形数据分辨率/m</w:t>
            </w:r>
          </w:p>
        </w:tc>
        <w:tc>
          <w:tcPr>
            <w:tcW w:w="1667" w:type="pct"/>
            <w:vAlign w:val="center"/>
          </w:tcPr>
          <w:p>
            <w:pPr>
              <w:pStyle w:val="2057"/>
              <w:spacing w:afterLines="0"/>
              <w:ind w:firstLine="0" w:firstLineChars="0"/>
              <w:rPr>
                <w:color w:val="000000" w:themeColor="text1"/>
                <w:kern w:val="44"/>
                <w:sz w:val="21"/>
                <w:szCs w:val="21"/>
                <w14:textFill>
                  <w14:solidFill>
                    <w14:schemeClr w14:val="tx1"/>
                  </w14:solidFill>
                </w14:textFill>
              </w:rPr>
            </w:pPr>
            <w:r>
              <w:rPr>
                <w:color w:val="000000" w:themeColor="text1"/>
                <w:kern w:val="44"/>
                <w:sz w:val="21"/>
                <w:szCs w:val="21"/>
                <w14:textFill>
                  <w14:solidFill>
                    <w14:schemeClr w14:val="tx1"/>
                  </w14:solidFill>
                </w14:textFill>
              </w:rPr>
              <w:t>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1666" w:type="pct"/>
            <w:vMerge w:val="restart"/>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是否考虑岸线熏烟</w:t>
            </w:r>
          </w:p>
        </w:tc>
        <w:tc>
          <w:tcPr>
            <w:tcW w:w="1667" w:type="pct"/>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考虑岸线熏烟</w:t>
            </w:r>
          </w:p>
        </w:tc>
        <w:tc>
          <w:tcPr>
            <w:tcW w:w="1667" w:type="pct"/>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□是  ■否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1666" w:type="pct"/>
            <w:vMerge w:val="continue"/>
            <w:vAlign w:val="center"/>
          </w:tcPr>
          <w:p>
            <w:pPr>
              <w:pStyle w:val="2057"/>
              <w:spacing w:afterLines="0"/>
              <w:ind w:firstLine="0" w:firstLineChars="0"/>
              <w:rPr>
                <w:color w:val="000000" w:themeColor="text1"/>
                <w:kern w:val="44"/>
                <w:sz w:val="21"/>
                <w:szCs w:val="21"/>
                <w14:textFill>
                  <w14:solidFill>
                    <w14:schemeClr w14:val="tx1"/>
                  </w14:solidFill>
                </w14:textFill>
              </w:rPr>
            </w:pPr>
          </w:p>
        </w:tc>
        <w:tc>
          <w:tcPr>
            <w:tcW w:w="1667" w:type="pct"/>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岸线距离/m</w:t>
            </w:r>
          </w:p>
        </w:tc>
        <w:tc>
          <w:tcPr>
            <w:tcW w:w="1667" w:type="pct"/>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1666" w:type="pct"/>
            <w:vMerge w:val="continue"/>
            <w:vAlign w:val="center"/>
          </w:tcPr>
          <w:p>
            <w:pPr>
              <w:pStyle w:val="2057"/>
              <w:spacing w:afterLines="0"/>
              <w:ind w:firstLine="0" w:firstLineChars="0"/>
              <w:rPr>
                <w:color w:val="000000" w:themeColor="text1"/>
                <w:kern w:val="44"/>
                <w:sz w:val="21"/>
                <w:szCs w:val="21"/>
                <w14:textFill>
                  <w14:solidFill>
                    <w14:schemeClr w14:val="tx1"/>
                  </w14:solidFill>
                </w14:textFill>
              </w:rPr>
            </w:pPr>
          </w:p>
        </w:tc>
        <w:tc>
          <w:tcPr>
            <w:tcW w:w="1667" w:type="pct"/>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岸线方向/°</w:t>
            </w:r>
          </w:p>
        </w:tc>
        <w:tc>
          <w:tcPr>
            <w:tcW w:w="1667" w:type="pct"/>
            <w:vAlign w:val="center"/>
          </w:tcPr>
          <w:p>
            <w:pPr>
              <w:pStyle w:val="2057"/>
              <w:spacing w:afterLines="0"/>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w:t>
            </w:r>
          </w:p>
        </w:tc>
      </w:tr>
    </w:tbl>
    <w:p>
      <w:pPr>
        <w:pStyle w:val="619"/>
      </w:pPr>
      <w:r>
        <w:rPr>
          <w:rFonts w:hint="eastAsia"/>
        </w:rPr>
        <w:t>正常工况下污染物无组织排放参数一览表</w:t>
      </w:r>
    </w:p>
    <w:tbl>
      <w:tblPr>
        <w:tblStyle w:val="87"/>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84"/>
        <w:gridCol w:w="1419"/>
        <w:gridCol w:w="1343"/>
        <w:gridCol w:w="1016"/>
        <w:gridCol w:w="1016"/>
        <w:gridCol w:w="1170"/>
        <w:gridCol w:w="862"/>
        <w:gridCol w:w="11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692" w:type="pct"/>
            <w:vMerge w:val="restar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污染源名称</w:t>
            </w:r>
          </w:p>
        </w:tc>
        <w:tc>
          <w:tcPr>
            <w:tcW w:w="1487" w:type="pct"/>
            <w:gridSpan w:val="2"/>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lang w:val="en-US" w:eastAsia="zh-CN"/>
                <w14:textFill>
                  <w14:solidFill>
                    <w14:schemeClr w14:val="tx1"/>
                  </w14:solidFill>
                </w14:textFill>
              </w:rPr>
              <w:t>面源起点</w:t>
            </w:r>
            <w:r>
              <w:rPr>
                <w:rFonts w:hint="eastAsia"/>
                <w:color w:val="000000" w:themeColor="text1"/>
                <w:kern w:val="44"/>
                <w:sz w:val="21"/>
                <w:szCs w:val="21"/>
                <w14:textFill>
                  <w14:solidFill>
                    <w14:schemeClr w14:val="tx1"/>
                  </w14:solidFill>
                </w14:textFill>
              </w:rPr>
              <w:t>坐标(°)</w:t>
            </w:r>
          </w:p>
        </w:tc>
        <w:tc>
          <w:tcPr>
            <w:tcW w:w="547" w:type="pct"/>
            <w:vMerge w:val="restar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海拔高度(m)</w:t>
            </w:r>
          </w:p>
        </w:tc>
        <w:tc>
          <w:tcPr>
            <w:tcW w:w="1641" w:type="pct"/>
            <w:gridSpan w:val="3"/>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矩形面源</w:t>
            </w:r>
          </w:p>
        </w:tc>
        <w:tc>
          <w:tcPr>
            <w:tcW w:w="630"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污染物排放速率(kg/h)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692" w:type="pct"/>
            <w:vMerge w:val="continue"/>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p>
        </w:tc>
        <w:tc>
          <w:tcPr>
            <w:tcW w:w="764"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经度</w:t>
            </w:r>
          </w:p>
        </w:tc>
        <w:tc>
          <w:tcPr>
            <w:tcW w:w="722"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纬度</w:t>
            </w:r>
          </w:p>
        </w:tc>
        <w:tc>
          <w:tcPr>
            <w:tcW w:w="547" w:type="pct"/>
            <w:vMerge w:val="continue"/>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p>
        </w:tc>
        <w:tc>
          <w:tcPr>
            <w:tcW w:w="547"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长度(m)</w:t>
            </w:r>
          </w:p>
        </w:tc>
        <w:tc>
          <w:tcPr>
            <w:tcW w:w="630"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宽度(m)</w:t>
            </w:r>
          </w:p>
        </w:tc>
        <w:tc>
          <w:tcPr>
            <w:tcW w:w="464"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有效高度(m)</w:t>
            </w:r>
          </w:p>
        </w:tc>
        <w:tc>
          <w:tcPr>
            <w:tcW w:w="630"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TSP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692"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1#泊位</w:t>
            </w:r>
          </w:p>
        </w:tc>
        <w:tc>
          <w:tcPr>
            <w:tcW w:w="764"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113.212498</w:t>
            </w:r>
          </w:p>
        </w:tc>
        <w:tc>
          <w:tcPr>
            <w:tcW w:w="722"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29.524789</w:t>
            </w:r>
          </w:p>
        </w:tc>
        <w:tc>
          <w:tcPr>
            <w:tcW w:w="547"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19.00</w:t>
            </w:r>
          </w:p>
        </w:tc>
        <w:tc>
          <w:tcPr>
            <w:tcW w:w="547"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123.00</w:t>
            </w:r>
          </w:p>
        </w:tc>
        <w:tc>
          <w:tcPr>
            <w:tcW w:w="630"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21.60</w:t>
            </w:r>
          </w:p>
        </w:tc>
        <w:tc>
          <w:tcPr>
            <w:tcW w:w="464"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10</w:t>
            </w:r>
          </w:p>
        </w:tc>
        <w:tc>
          <w:tcPr>
            <w:tcW w:w="1170" w:type="dxa"/>
            <w:tcBorders>
              <w:tl2br w:val="nil"/>
              <w:tr2bl w:val="nil"/>
            </w:tcBorders>
            <w:vAlign w:val="center"/>
          </w:tcPr>
          <w:p>
            <w:pPr>
              <w:widowControl/>
              <w:tabs>
                <w:tab w:val="clear" w:pos="480"/>
              </w:tabs>
              <w:spacing w:line="240" w:lineRule="auto"/>
              <w:ind w:firstLine="0" w:firstLineChars="0"/>
              <w:jc w:val="center"/>
              <w:rPr>
                <w:color w:val="000000" w:themeColor="text1"/>
                <w:kern w:val="44"/>
                <w:sz w:val="21"/>
                <w:szCs w:val="21"/>
                <w14:textFill>
                  <w14:solidFill>
                    <w14:schemeClr w14:val="tx1"/>
                  </w14:solidFill>
                </w14:textFill>
              </w:rPr>
            </w:pPr>
            <w:r>
              <w:rPr>
                <w:rFonts w:hint="eastAsia"/>
                <w:color w:val="000000"/>
                <w:sz w:val="22"/>
                <w:szCs w:val="22"/>
              </w:rPr>
              <w:t xml:space="preserve">0.058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0" w:hRule="atLeast"/>
        </w:trPr>
        <w:tc>
          <w:tcPr>
            <w:tcW w:w="692"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2#泊位</w:t>
            </w:r>
          </w:p>
        </w:tc>
        <w:tc>
          <w:tcPr>
            <w:tcW w:w="764"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113.21297</w:t>
            </w:r>
          </w:p>
        </w:tc>
        <w:tc>
          <w:tcPr>
            <w:tcW w:w="722"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29.525653</w:t>
            </w:r>
          </w:p>
        </w:tc>
        <w:tc>
          <w:tcPr>
            <w:tcW w:w="547"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19.00</w:t>
            </w:r>
          </w:p>
        </w:tc>
        <w:tc>
          <w:tcPr>
            <w:tcW w:w="547"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123.00</w:t>
            </w:r>
          </w:p>
        </w:tc>
        <w:tc>
          <w:tcPr>
            <w:tcW w:w="630"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21.60</w:t>
            </w:r>
          </w:p>
        </w:tc>
        <w:tc>
          <w:tcPr>
            <w:tcW w:w="464"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10</w:t>
            </w:r>
          </w:p>
        </w:tc>
        <w:tc>
          <w:tcPr>
            <w:tcW w:w="1170" w:type="dxa"/>
            <w:tcBorders>
              <w:tl2br w:val="nil"/>
              <w:tr2bl w:val="nil"/>
            </w:tcBorders>
            <w:vAlign w:val="center"/>
          </w:tcPr>
          <w:p>
            <w:pPr>
              <w:widowControl/>
              <w:tabs>
                <w:tab w:val="clear" w:pos="480"/>
              </w:tabs>
              <w:spacing w:line="240" w:lineRule="auto"/>
              <w:ind w:firstLine="0" w:firstLineChars="0"/>
              <w:jc w:val="center"/>
              <w:rPr>
                <w:color w:val="000000" w:themeColor="text1"/>
                <w:kern w:val="44"/>
                <w:sz w:val="21"/>
                <w:szCs w:val="21"/>
                <w14:textFill>
                  <w14:solidFill>
                    <w14:schemeClr w14:val="tx1"/>
                  </w14:solidFill>
                </w14:textFill>
              </w:rPr>
            </w:pPr>
            <w:r>
              <w:rPr>
                <w:rFonts w:hint="eastAsia"/>
                <w:color w:val="000000"/>
                <w:sz w:val="22"/>
                <w:szCs w:val="22"/>
              </w:rPr>
              <w:t xml:space="preserve">0.244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692"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3#泊位</w:t>
            </w:r>
          </w:p>
        </w:tc>
        <w:tc>
          <w:tcPr>
            <w:tcW w:w="764"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113.213528</w:t>
            </w:r>
          </w:p>
        </w:tc>
        <w:tc>
          <w:tcPr>
            <w:tcW w:w="722"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29.526958</w:t>
            </w:r>
          </w:p>
        </w:tc>
        <w:tc>
          <w:tcPr>
            <w:tcW w:w="547"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19.00</w:t>
            </w:r>
          </w:p>
        </w:tc>
        <w:tc>
          <w:tcPr>
            <w:tcW w:w="547"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123.00</w:t>
            </w:r>
          </w:p>
        </w:tc>
        <w:tc>
          <w:tcPr>
            <w:tcW w:w="630"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21.60</w:t>
            </w:r>
          </w:p>
        </w:tc>
        <w:tc>
          <w:tcPr>
            <w:tcW w:w="464"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10</w:t>
            </w:r>
          </w:p>
        </w:tc>
        <w:tc>
          <w:tcPr>
            <w:tcW w:w="1170" w:type="dxa"/>
            <w:tcBorders>
              <w:tl2br w:val="nil"/>
              <w:tr2bl w:val="nil"/>
            </w:tcBorders>
            <w:vAlign w:val="center"/>
          </w:tcPr>
          <w:p>
            <w:pPr>
              <w:widowControl/>
              <w:tabs>
                <w:tab w:val="clear" w:pos="480"/>
              </w:tabs>
              <w:spacing w:line="240" w:lineRule="auto"/>
              <w:ind w:firstLine="0" w:firstLineChars="0"/>
              <w:jc w:val="center"/>
              <w:rPr>
                <w:color w:val="000000" w:themeColor="text1"/>
                <w:kern w:val="44"/>
                <w:sz w:val="21"/>
                <w:szCs w:val="21"/>
                <w14:textFill>
                  <w14:solidFill>
                    <w14:schemeClr w14:val="tx1"/>
                  </w14:solidFill>
                </w14:textFill>
              </w:rPr>
            </w:pPr>
            <w:r>
              <w:rPr>
                <w:rFonts w:hint="eastAsia"/>
                <w:color w:val="000000"/>
                <w:sz w:val="22"/>
                <w:szCs w:val="22"/>
              </w:rPr>
              <w:t xml:space="preserve">0.244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692"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4#泊位</w:t>
            </w:r>
          </w:p>
        </w:tc>
        <w:tc>
          <w:tcPr>
            <w:tcW w:w="764"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113.214</w:t>
            </w:r>
          </w:p>
        </w:tc>
        <w:tc>
          <w:tcPr>
            <w:tcW w:w="722"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29.528153</w:t>
            </w:r>
          </w:p>
        </w:tc>
        <w:tc>
          <w:tcPr>
            <w:tcW w:w="547"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19.00</w:t>
            </w:r>
          </w:p>
        </w:tc>
        <w:tc>
          <w:tcPr>
            <w:tcW w:w="547"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123.00</w:t>
            </w:r>
          </w:p>
        </w:tc>
        <w:tc>
          <w:tcPr>
            <w:tcW w:w="630"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21.60</w:t>
            </w:r>
          </w:p>
        </w:tc>
        <w:tc>
          <w:tcPr>
            <w:tcW w:w="464"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10</w:t>
            </w:r>
          </w:p>
        </w:tc>
        <w:tc>
          <w:tcPr>
            <w:tcW w:w="1170" w:type="dxa"/>
            <w:tcBorders>
              <w:tl2br w:val="nil"/>
              <w:tr2bl w:val="nil"/>
            </w:tcBorders>
            <w:vAlign w:val="center"/>
          </w:tcPr>
          <w:p>
            <w:pPr>
              <w:widowControl/>
              <w:tabs>
                <w:tab w:val="clear" w:pos="480"/>
              </w:tabs>
              <w:spacing w:line="240" w:lineRule="auto"/>
              <w:ind w:firstLine="0" w:firstLineChars="0"/>
              <w:jc w:val="center"/>
              <w:rPr>
                <w:color w:val="000000" w:themeColor="text1"/>
                <w:kern w:val="44"/>
                <w:sz w:val="21"/>
                <w:szCs w:val="21"/>
                <w14:textFill>
                  <w14:solidFill>
                    <w14:schemeClr w14:val="tx1"/>
                  </w14:solidFill>
                </w14:textFill>
              </w:rPr>
            </w:pPr>
            <w:r>
              <w:rPr>
                <w:rFonts w:hint="eastAsia"/>
                <w:color w:val="000000"/>
                <w:sz w:val="22"/>
                <w:szCs w:val="22"/>
              </w:rPr>
              <w:t xml:space="preserve">0.148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692"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5#泊位</w:t>
            </w:r>
          </w:p>
        </w:tc>
        <w:tc>
          <w:tcPr>
            <w:tcW w:w="764"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113.214515</w:t>
            </w:r>
          </w:p>
        </w:tc>
        <w:tc>
          <w:tcPr>
            <w:tcW w:w="722"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29.529683</w:t>
            </w:r>
          </w:p>
        </w:tc>
        <w:tc>
          <w:tcPr>
            <w:tcW w:w="547"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19.00</w:t>
            </w:r>
          </w:p>
        </w:tc>
        <w:tc>
          <w:tcPr>
            <w:tcW w:w="547"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123.00</w:t>
            </w:r>
          </w:p>
        </w:tc>
        <w:tc>
          <w:tcPr>
            <w:tcW w:w="630"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21.60</w:t>
            </w:r>
          </w:p>
        </w:tc>
        <w:tc>
          <w:tcPr>
            <w:tcW w:w="464"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10</w:t>
            </w:r>
          </w:p>
        </w:tc>
        <w:tc>
          <w:tcPr>
            <w:tcW w:w="1170" w:type="dxa"/>
            <w:tcBorders>
              <w:tl2br w:val="nil"/>
              <w:tr2bl w:val="nil"/>
            </w:tcBorders>
            <w:vAlign w:val="center"/>
          </w:tcPr>
          <w:p>
            <w:pPr>
              <w:widowControl/>
              <w:tabs>
                <w:tab w:val="clear" w:pos="480"/>
              </w:tabs>
              <w:spacing w:line="240" w:lineRule="auto"/>
              <w:ind w:firstLine="0" w:firstLineChars="0"/>
              <w:jc w:val="center"/>
              <w:rPr>
                <w:color w:val="000000" w:themeColor="text1"/>
                <w:kern w:val="44"/>
                <w:sz w:val="21"/>
                <w:szCs w:val="21"/>
                <w14:textFill>
                  <w14:solidFill>
                    <w14:schemeClr w14:val="tx1"/>
                  </w14:solidFill>
                </w14:textFill>
              </w:rPr>
            </w:pPr>
            <w:r>
              <w:rPr>
                <w:rFonts w:hint="eastAsia"/>
                <w:color w:val="000000"/>
                <w:sz w:val="22"/>
                <w:szCs w:val="22"/>
              </w:rPr>
              <w:t xml:space="preserve">0.162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692"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6#泊位</w:t>
            </w:r>
          </w:p>
        </w:tc>
        <w:tc>
          <w:tcPr>
            <w:tcW w:w="764"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113.21473</w:t>
            </w:r>
          </w:p>
        </w:tc>
        <w:tc>
          <w:tcPr>
            <w:tcW w:w="722"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29.531046</w:t>
            </w:r>
          </w:p>
        </w:tc>
        <w:tc>
          <w:tcPr>
            <w:tcW w:w="547"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19.00</w:t>
            </w:r>
          </w:p>
        </w:tc>
        <w:tc>
          <w:tcPr>
            <w:tcW w:w="547"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110.0</w:t>
            </w:r>
          </w:p>
        </w:tc>
        <w:tc>
          <w:tcPr>
            <w:tcW w:w="630"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19.2</w:t>
            </w:r>
          </w:p>
        </w:tc>
        <w:tc>
          <w:tcPr>
            <w:tcW w:w="464"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10</w:t>
            </w:r>
          </w:p>
        </w:tc>
        <w:tc>
          <w:tcPr>
            <w:tcW w:w="1170" w:type="dxa"/>
            <w:tcBorders>
              <w:tl2br w:val="nil"/>
              <w:tr2bl w:val="nil"/>
            </w:tcBorders>
            <w:vAlign w:val="center"/>
          </w:tcPr>
          <w:p>
            <w:pPr>
              <w:widowControl/>
              <w:tabs>
                <w:tab w:val="clear" w:pos="480"/>
              </w:tabs>
              <w:spacing w:line="240" w:lineRule="auto"/>
              <w:ind w:firstLine="0" w:firstLineChars="0"/>
              <w:jc w:val="center"/>
              <w:rPr>
                <w:color w:val="000000" w:themeColor="text1"/>
                <w:kern w:val="44"/>
                <w:sz w:val="21"/>
                <w:szCs w:val="21"/>
                <w14:textFill>
                  <w14:solidFill>
                    <w14:schemeClr w14:val="tx1"/>
                  </w14:solidFill>
                </w14:textFill>
              </w:rPr>
            </w:pPr>
            <w:r>
              <w:rPr>
                <w:rFonts w:hint="eastAsia"/>
                <w:color w:val="000000"/>
                <w:sz w:val="22"/>
                <w:szCs w:val="22"/>
              </w:rPr>
              <w:t xml:space="preserve">0.065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692"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卸车料棚</w:t>
            </w:r>
          </w:p>
        </w:tc>
        <w:tc>
          <w:tcPr>
            <w:tcW w:w="764"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113.218056</w:t>
            </w:r>
          </w:p>
        </w:tc>
        <w:tc>
          <w:tcPr>
            <w:tcW w:w="722"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29.524875</w:t>
            </w:r>
          </w:p>
        </w:tc>
        <w:tc>
          <w:tcPr>
            <w:tcW w:w="547"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28.00</w:t>
            </w:r>
          </w:p>
        </w:tc>
        <w:tc>
          <w:tcPr>
            <w:tcW w:w="547"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30.00</w:t>
            </w:r>
          </w:p>
        </w:tc>
        <w:tc>
          <w:tcPr>
            <w:tcW w:w="630"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84.00</w:t>
            </w:r>
          </w:p>
        </w:tc>
        <w:tc>
          <w:tcPr>
            <w:tcW w:w="464"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5</w:t>
            </w:r>
          </w:p>
        </w:tc>
        <w:tc>
          <w:tcPr>
            <w:tcW w:w="630" w:type="pc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0.158</w:t>
            </w:r>
          </w:p>
        </w:tc>
      </w:tr>
    </w:tbl>
    <w:p>
      <w:pPr>
        <w:ind w:firstLine="480"/>
      </w:pPr>
      <w:r>
        <w:t>本项目所有污染源的正常排放的污染物的Pmax和D10%预测结果如下</w:t>
      </w:r>
      <w:r>
        <w:rPr>
          <w:rFonts w:hint="eastAsia"/>
        </w:rPr>
        <w:t>：</w:t>
      </w:r>
    </w:p>
    <w:p>
      <w:pPr>
        <w:pStyle w:val="619"/>
        <w:rPr>
          <w:rFonts w:cs="Times New Roman"/>
        </w:rPr>
      </w:pPr>
      <w:r>
        <w:rPr>
          <w:rFonts w:cs="Times New Roman"/>
        </w:rPr>
        <w:t>项目主要污染源估算模型计算结果一览表</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780"/>
        <w:gridCol w:w="1501"/>
        <w:gridCol w:w="1501"/>
        <w:gridCol w:w="1501"/>
        <w:gridCol w:w="1501"/>
        <w:gridCol w:w="150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00" w:hRule="atLeast"/>
        </w:trPr>
        <w:tc>
          <w:tcPr>
            <w:tcW w:w="958" w:type="pct"/>
            <w:vAlign w:val="center"/>
          </w:tcPr>
          <w:p>
            <w:pPr>
              <w:pStyle w:val="2057"/>
              <w:spacing w:afterLines="0" w:line="240" w:lineRule="atLeast"/>
              <w:ind w:firstLine="0" w:firstLineChars="0"/>
              <w:rPr>
                <w:sz w:val="21"/>
                <w:szCs w:val="21"/>
              </w:rPr>
            </w:pPr>
            <w:r>
              <w:rPr>
                <w:sz w:val="21"/>
                <w:szCs w:val="21"/>
              </w:rPr>
              <w:t>污染源名称</w:t>
            </w:r>
          </w:p>
        </w:tc>
        <w:tc>
          <w:tcPr>
            <w:tcW w:w="808" w:type="pct"/>
            <w:vAlign w:val="center"/>
          </w:tcPr>
          <w:p>
            <w:pPr>
              <w:pStyle w:val="2057"/>
              <w:spacing w:afterLines="0" w:line="240" w:lineRule="atLeast"/>
              <w:ind w:firstLine="0" w:firstLineChars="0"/>
              <w:rPr>
                <w:sz w:val="21"/>
                <w:szCs w:val="21"/>
              </w:rPr>
            </w:pPr>
            <w:r>
              <w:rPr>
                <w:sz w:val="21"/>
                <w:szCs w:val="21"/>
              </w:rPr>
              <w:t>评价因子</w:t>
            </w:r>
          </w:p>
        </w:tc>
        <w:tc>
          <w:tcPr>
            <w:tcW w:w="808" w:type="pct"/>
            <w:vAlign w:val="center"/>
          </w:tcPr>
          <w:p>
            <w:pPr>
              <w:pStyle w:val="2057"/>
              <w:spacing w:afterLines="0" w:line="240" w:lineRule="atLeast"/>
              <w:ind w:firstLine="0" w:firstLineChars="0"/>
              <w:rPr>
                <w:sz w:val="21"/>
                <w:szCs w:val="21"/>
              </w:rPr>
            </w:pPr>
            <w:r>
              <w:rPr>
                <w:sz w:val="21"/>
                <w:szCs w:val="21"/>
              </w:rPr>
              <w:t>评价标准(μg/m³)</w:t>
            </w:r>
          </w:p>
        </w:tc>
        <w:tc>
          <w:tcPr>
            <w:tcW w:w="808" w:type="pct"/>
            <w:vAlign w:val="center"/>
          </w:tcPr>
          <w:p>
            <w:pPr>
              <w:pStyle w:val="2057"/>
              <w:spacing w:afterLines="0" w:line="240" w:lineRule="atLeast"/>
              <w:ind w:firstLine="0" w:firstLineChars="0"/>
              <w:rPr>
                <w:sz w:val="21"/>
                <w:szCs w:val="21"/>
              </w:rPr>
            </w:pPr>
            <w:r>
              <w:rPr>
                <w:sz w:val="21"/>
                <w:szCs w:val="21"/>
              </w:rPr>
              <w:t>Cmax(μg/m³)</w:t>
            </w:r>
          </w:p>
        </w:tc>
        <w:tc>
          <w:tcPr>
            <w:tcW w:w="808" w:type="pct"/>
            <w:vAlign w:val="center"/>
          </w:tcPr>
          <w:p>
            <w:pPr>
              <w:pStyle w:val="2057"/>
              <w:spacing w:afterLines="0" w:line="240" w:lineRule="atLeast"/>
              <w:ind w:firstLine="0" w:firstLineChars="0"/>
              <w:rPr>
                <w:sz w:val="21"/>
                <w:szCs w:val="21"/>
              </w:rPr>
            </w:pPr>
            <w:r>
              <w:rPr>
                <w:sz w:val="21"/>
                <w:szCs w:val="21"/>
              </w:rPr>
              <w:t>Pmax(%)</w:t>
            </w:r>
          </w:p>
        </w:tc>
        <w:tc>
          <w:tcPr>
            <w:tcW w:w="808" w:type="pct"/>
            <w:vAlign w:val="center"/>
          </w:tcPr>
          <w:p>
            <w:pPr>
              <w:pStyle w:val="2057"/>
              <w:spacing w:afterLines="0" w:line="240" w:lineRule="atLeast"/>
              <w:ind w:firstLine="0" w:firstLineChars="0"/>
              <w:rPr>
                <w:sz w:val="21"/>
                <w:szCs w:val="21"/>
              </w:rPr>
            </w:pPr>
            <w:r>
              <w:rPr>
                <w:sz w:val="21"/>
                <w:szCs w:val="21"/>
              </w:rPr>
              <w:t>D10%(m)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780" w:type="dxa"/>
            <w:vAlign w:val="center"/>
          </w:tcPr>
          <w:p>
            <w:pPr>
              <w:pStyle w:val="2057"/>
              <w:spacing w:afterLines="0" w:line="240" w:lineRule="atLeast"/>
              <w:ind w:firstLine="0" w:firstLineChars="0"/>
              <w:rPr>
                <w:sz w:val="21"/>
                <w:szCs w:val="21"/>
              </w:rPr>
            </w:pPr>
            <w:r>
              <w:rPr>
                <w:rFonts w:hint="eastAsia"/>
                <w:color w:val="000000" w:themeColor="text1"/>
                <w:kern w:val="44"/>
                <w:sz w:val="21"/>
                <w:szCs w:val="21"/>
                <w14:textFill>
                  <w14:solidFill>
                    <w14:schemeClr w14:val="tx1"/>
                  </w14:solidFill>
                </w14:textFill>
              </w:rPr>
              <w:t>1#泊位</w:t>
            </w:r>
          </w:p>
        </w:tc>
        <w:tc>
          <w:tcPr>
            <w:tcW w:w="808" w:type="pct"/>
            <w:vAlign w:val="center"/>
          </w:tcPr>
          <w:p>
            <w:pPr>
              <w:pStyle w:val="2057"/>
              <w:spacing w:afterLines="0" w:line="240" w:lineRule="atLeast"/>
              <w:ind w:firstLine="0" w:firstLineChars="0"/>
              <w:rPr>
                <w:sz w:val="21"/>
                <w:szCs w:val="21"/>
              </w:rPr>
            </w:pPr>
            <w:r>
              <w:rPr>
                <w:rFonts w:hint="eastAsia"/>
                <w:sz w:val="21"/>
                <w:szCs w:val="21"/>
              </w:rPr>
              <w:t>TSP</w:t>
            </w:r>
          </w:p>
        </w:tc>
        <w:tc>
          <w:tcPr>
            <w:tcW w:w="1501"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900.0</w:t>
            </w:r>
          </w:p>
        </w:tc>
        <w:tc>
          <w:tcPr>
            <w:tcW w:w="1501"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121.670</w:t>
            </w:r>
          </w:p>
        </w:tc>
        <w:tc>
          <w:tcPr>
            <w:tcW w:w="1501"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13.519</w:t>
            </w:r>
          </w:p>
        </w:tc>
        <w:tc>
          <w:tcPr>
            <w:tcW w:w="1502"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125.0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3" w:hRule="atLeast"/>
        </w:trPr>
        <w:tc>
          <w:tcPr>
            <w:tcW w:w="1780" w:type="dxa"/>
            <w:vAlign w:val="center"/>
          </w:tcPr>
          <w:p>
            <w:pPr>
              <w:pStyle w:val="2057"/>
              <w:spacing w:afterLines="0" w:line="240" w:lineRule="atLeast"/>
              <w:ind w:firstLine="0" w:firstLineChars="0"/>
              <w:rPr>
                <w:sz w:val="21"/>
                <w:szCs w:val="21"/>
              </w:rPr>
            </w:pPr>
            <w:r>
              <w:rPr>
                <w:rFonts w:hint="eastAsia"/>
                <w:color w:val="000000" w:themeColor="text1"/>
                <w:kern w:val="44"/>
                <w:sz w:val="21"/>
                <w:szCs w:val="21"/>
                <w14:textFill>
                  <w14:solidFill>
                    <w14:schemeClr w14:val="tx1"/>
                  </w14:solidFill>
                </w14:textFill>
              </w:rPr>
              <w:t>2#泊位</w:t>
            </w:r>
          </w:p>
        </w:tc>
        <w:tc>
          <w:tcPr>
            <w:tcW w:w="808" w:type="pct"/>
            <w:vAlign w:val="center"/>
          </w:tcPr>
          <w:p>
            <w:pPr>
              <w:pStyle w:val="2057"/>
              <w:spacing w:afterLines="0" w:line="240" w:lineRule="atLeast"/>
              <w:ind w:firstLine="0" w:firstLineChars="0"/>
              <w:rPr>
                <w:sz w:val="21"/>
                <w:szCs w:val="21"/>
              </w:rPr>
            </w:pPr>
            <w:r>
              <w:rPr>
                <w:rFonts w:hint="eastAsia"/>
                <w:sz w:val="21"/>
                <w:szCs w:val="21"/>
              </w:rPr>
              <w:t>TSP</w:t>
            </w:r>
          </w:p>
        </w:tc>
        <w:tc>
          <w:tcPr>
            <w:tcW w:w="1501"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900.0</w:t>
            </w:r>
          </w:p>
        </w:tc>
        <w:tc>
          <w:tcPr>
            <w:tcW w:w="1501"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511.860</w:t>
            </w:r>
          </w:p>
        </w:tc>
        <w:tc>
          <w:tcPr>
            <w:tcW w:w="1501"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56.873</w:t>
            </w:r>
          </w:p>
        </w:tc>
        <w:tc>
          <w:tcPr>
            <w:tcW w:w="1502"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350.0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3" w:hRule="atLeast"/>
        </w:trPr>
        <w:tc>
          <w:tcPr>
            <w:tcW w:w="1780" w:type="dxa"/>
            <w:vAlign w:val="center"/>
          </w:tcPr>
          <w:p>
            <w:pPr>
              <w:pStyle w:val="2057"/>
              <w:spacing w:afterLines="0" w:line="240" w:lineRule="atLeast"/>
              <w:ind w:firstLine="0" w:firstLineChars="0"/>
              <w:rPr>
                <w:sz w:val="21"/>
                <w:szCs w:val="21"/>
              </w:rPr>
            </w:pPr>
            <w:r>
              <w:rPr>
                <w:rFonts w:hint="eastAsia"/>
                <w:color w:val="000000" w:themeColor="text1"/>
                <w:kern w:val="44"/>
                <w:sz w:val="21"/>
                <w:szCs w:val="21"/>
                <w14:textFill>
                  <w14:solidFill>
                    <w14:schemeClr w14:val="tx1"/>
                  </w14:solidFill>
                </w14:textFill>
              </w:rPr>
              <w:t>3#泊位</w:t>
            </w:r>
          </w:p>
        </w:tc>
        <w:tc>
          <w:tcPr>
            <w:tcW w:w="808" w:type="pct"/>
            <w:vAlign w:val="center"/>
          </w:tcPr>
          <w:p>
            <w:pPr>
              <w:pStyle w:val="2057"/>
              <w:spacing w:afterLines="0" w:line="240" w:lineRule="atLeast"/>
              <w:ind w:firstLine="0" w:firstLineChars="0"/>
              <w:rPr>
                <w:sz w:val="21"/>
                <w:szCs w:val="21"/>
              </w:rPr>
            </w:pPr>
            <w:r>
              <w:rPr>
                <w:rFonts w:hint="eastAsia"/>
                <w:sz w:val="21"/>
                <w:szCs w:val="21"/>
              </w:rPr>
              <w:t>TSP</w:t>
            </w:r>
          </w:p>
        </w:tc>
        <w:tc>
          <w:tcPr>
            <w:tcW w:w="1501"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900.0</w:t>
            </w:r>
          </w:p>
        </w:tc>
        <w:tc>
          <w:tcPr>
            <w:tcW w:w="1501"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511.860</w:t>
            </w:r>
          </w:p>
        </w:tc>
        <w:tc>
          <w:tcPr>
            <w:tcW w:w="1501"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56.873</w:t>
            </w:r>
          </w:p>
        </w:tc>
        <w:tc>
          <w:tcPr>
            <w:tcW w:w="1502"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350.0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3" w:hRule="atLeast"/>
        </w:trPr>
        <w:tc>
          <w:tcPr>
            <w:tcW w:w="1780" w:type="dxa"/>
            <w:vAlign w:val="center"/>
          </w:tcPr>
          <w:p>
            <w:pPr>
              <w:pStyle w:val="2057"/>
              <w:spacing w:afterLines="0" w:line="240" w:lineRule="atLeast"/>
              <w:ind w:firstLine="0" w:firstLineChars="0"/>
              <w:rPr>
                <w:sz w:val="21"/>
                <w:szCs w:val="21"/>
              </w:rPr>
            </w:pPr>
            <w:r>
              <w:rPr>
                <w:rFonts w:hint="eastAsia"/>
                <w:color w:val="000000" w:themeColor="text1"/>
                <w:kern w:val="44"/>
                <w:sz w:val="21"/>
                <w:szCs w:val="21"/>
                <w14:textFill>
                  <w14:solidFill>
                    <w14:schemeClr w14:val="tx1"/>
                  </w14:solidFill>
                </w14:textFill>
              </w:rPr>
              <w:t>4#泊位</w:t>
            </w:r>
          </w:p>
        </w:tc>
        <w:tc>
          <w:tcPr>
            <w:tcW w:w="808" w:type="pct"/>
            <w:vAlign w:val="center"/>
          </w:tcPr>
          <w:p>
            <w:pPr>
              <w:pStyle w:val="2057"/>
              <w:spacing w:afterLines="0" w:line="240" w:lineRule="atLeast"/>
              <w:ind w:firstLine="0" w:firstLineChars="0"/>
              <w:rPr>
                <w:sz w:val="21"/>
                <w:szCs w:val="21"/>
              </w:rPr>
            </w:pPr>
            <w:r>
              <w:rPr>
                <w:rFonts w:hint="eastAsia"/>
                <w:sz w:val="21"/>
                <w:szCs w:val="21"/>
              </w:rPr>
              <w:t>TSP</w:t>
            </w:r>
          </w:p>
        </w:tc>
        <w:tc>
          <w:tcPr>
            <w:tcW w:w="1501"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900.0</w:t>
            </w:r>
          </w:p>
        </w:tc>
        <w:tc>
          <w:tcPr>
            <w:tcW w:w="1501"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310.410</w:t>
            </w:r>
          </w:p>
        </w:tc>
        <w:tc>
          <w:tcPr>
            <w:tcW w:w="1501"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34.490</w:t>
            </w:r>
          </w:p>
        </w:tc>
        <w:tc>
          <w:tcPr>
            <w:tcW w:w="1502"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250.0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3" w:hRule="atLeast"/>
        </w:trPr>
        <w:tc>
          <w:tcPr>
            <w:tcW w:w="1780" w:type="dxa"/>
            <w:vAlign w:val="center"/>
          </w:tcPr>
          <w:p>
            <w:pPr>
              <w:pStyle w:val="2057"/>
              <w:spacing w:afterLines="0" w:line="240" w:lineRule="atLeast"/>
              <w:ind w:firstLine="0" w:firstLineChars="0"/>
              <w:rPr>
                <w:sz w:val="21"/>
                <w:szCs w:val="21"/>
              </w:rPr>
            </w:pPr>
            <w:r>
              <w:rPr>
                <w:rFonts w:hint="eastAsia"/>
                <w:color w:val="000000" w:themeColor="text1"/>
                <w:kern w:val="44"/>
                <w:sz w:val="21"/>
                <w:szCs w:val="21"/>
                <w14:textFill>
                  <w14:solidFill>
                    <w14:schemeClr w14:val="tx1"/>
                  </w14:solidFill>
                </w14:textFill>
              </w:rPr>
              <w:t>5#泊位</w:t>
            </w:r>
          </w:p>
        </w:tc>
        <w:tc>
          <w:tcPr>
            <w:tcW w:w="808" w:type="pct"/>
            <w:vAlign w:val="center"/>
          </w:tcPr>
          <w:p>
            <w:pPr>
              <w:pStyle w:val="2057"/>
              <w:spacing w:afterLines="0" w:line="240" w:lineRule="atLeast"/>
              <w:ind w:firstLine="0" w:firstLineChars="0"/>
              <w:rPr>
                <w:sz w:val="21"/>
                <w:szCs w:val="21"/>
              </w:rPr>
            </w:pPr>
            <w:r>
              <w:rPr>
                <w:rFonts w:hint="eastAsia"/>
                <w:sz w:val="21"/>
                <w:szCs w:val="21"/>
              </w:rPr>
              <w:t>TSP</w:t>
            </w:r>
          </w:p>
        </w:tc>
        <w:tc>
          <w:tcPr>
            <w:tcW w:w="1501"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900.0</w:t>
            </w:r>
          </w:p>
        </w:tc>
        <w:tc>
          <w:tcPr>
            <w:tcW w:w="1501"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339.900</w:t>
            </w:r>
          </w:p>
        </w:tc>
        <w:tc>
          <w:tcPr>
            <w:tcW w:w="1501"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37.767</w:t>
            </w:r>
          </w:p>
        </w:tc>
        <w:tc>
          <w:tcPr>
            <w:tcW w:w="1502"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250.0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3" w:hRule="atLeast"/>
        </w:trPr>
        <w:tc>
          <w:tcPr>
            <w:tcW w:w="1780" w:type="dxa"/>
            <w:vAlign w:val="center"/>
          </w:tcPr>
          <w:p>
            <w:pPr>
              <w:pStyle w:val="2057"/>
              <w:spacing w:afterLines="0" w:line="240" w:lineRule="atLeast"/>
              <w:ind w:firstLine="0" w:firstLineChars="0"/>
              <w:rPr>
                <w:sz w:val="21"/>
                <w:szCs w:val="21"/>
              </w:rPr>
            </w:pPr>
            <w:r>
              <w:rPr>
                <w:rFonts w:hint="eastAsia"/>
                <w:color w:val="000000" w:themeColor="text1"/>
                <w:kern w:val="44"/>
                <w:sz w:val="21"/>
                <w:szCs w:val="21"/>
                <w14:textFill>
                  <w14:solidFill>
                    <w14:schemeClr w14:val="tx1"/>
                  </w14:solidFill>
                </w14:textFill>
              </w:rPr>
              <w:t>6#泊位</w:t>
            </w:r>
          </w:p>
        </w:tc>
        <w:tc>
          <w:tcPr>
            <w:tcW w:w="808" w:type="pct"/>
            <w:vAlign w:val="center"/>
          </w:tcPr>
          <w:p>
            <w:pPr>
              <w:pStyle w:val="2057"/>
              <w:spacing w:afterLines="0" w:line="240" w:lineRule="atLeast"/>
              <w:ind w:firstLine="0" w:firstLineChars="0"/>
              <w:rPr>
                <w:sz w:val="21"/>
                <w:szCs w:val="21"/>
              </w:rPr>
            </w:pPr>
            <w:r>
              <w:rPr>
                <w:rFonts w:hint="eastAsia"/>
                <w:sz w:val="21"/>
                <w:szCs w:val="21"/>
              </w:rPr>
              <w:t>TSP</w:t>
            </w:r>
          </w:p>
        </w:tc>
        <w:tc>
          <w:tcPr>
            <w:tcW w:w="1501"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900.0</w:t>
            </w:r>
          </w:p>
        </w:tc>
        <w:tc>
          <w:tcPr>
            <w:tcW w:w="1501"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153.010</w:t>
            </w:r>
          </w:p>
        </w:tc>
        <w:tc>
          <w:tcPr>
            <w:tcW w:w="1501"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17.001</w:t>
            </w:r>
          </w:p>
        </w:tc>
        <w:tc>
          <w:tcPr>
            <w:tcW w:w="1502"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125.0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3" w:hRule="atLeast"/>
        </w:trPr>
        <w:tc>
          <w:tcPr>
            <w:tcW w:w="1780" w:type="dxa"/>
            <w:vAlign w:val="center"/>
          </w:tcPr>
          <w:p>
            <w:pPr>
              <w:pStyle w:val="2057"/>
              <w:spacing w:afterLines="0" w:line="240" w:lineRule="atLeast"/>
              <w:ind w:firstLine="0" w:firstLineChars="0"/>
              <w:rPr>
                <w:sz w:val="21"/>
                <w:szCs w:val="21"/>
              </w:rPr>
            </w:pPr>
            <w:r>
              <w:rPr>
                <w:rFonts w:hint="eastAsia"/>
                <w:color w:val="000000" w:themeColor="text1"/>
                <w:kern w:val="44"/>
                <w:sz w:val="21"/>
                <w:szCs w:val="21"/>
                <w14:textFill>
                  <w14:solidFill>
                    <w14:schemeClr w14:val="tx1"/>
                  </w14:solidFill>
                </w14:textFill>
              </w:rPr>
              <w:t>卸车料棚</w:t>
            </w:r>
          </w:p>
        </w:tc>
        <w:tc>
          <w:tcPr>
            <w:tcW w:w="1501"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TSP</w:t>
            </w:r>
          </w:p>
        </w:tc>
        <w:tc>
          <w:tcPr>
            <w:tcW w:w="1501"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900.0</w:t>
            </w:r>
          </w:p>
        </w:tc>
        <w:tc>
          <w:tcPr>
            <w:tcW w:w="1501"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312.330</w:t>
            </w:r>
          </w:p>
        </w:tc>
        <w:tc>
          <w:tcPr>
            <w:tcW w:w="1501"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34.703</w:t>
            </w:r>
          </w:p>
        </w:tc>
        <w:tc>
          <w:tcPr>
            <w:tcW w:w="1502" w:type="dxa"/>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250.0</w:t>
            </w:r>
          </w:p>
        </w:tc>
      </w:tr>
    </w:tbl>
    <w:p>
      <w:pPr>
        <w:ind w:firstLine="480"/>
      </w:pPr>
      <w:r>
        <w:t>本项目Pmax最大值出现为</w:t>
      </w:r>
      <w:r>
        <w:rPr>
          <w:rFonts w:hint="eastAsia"/>
        </w:rPr>
        <w:t>2#、3#泊位</w:t>
      </w:r>
      <w:r>
        <w:t>排放的TSP</w:t>
      </w:r>
      <w:r>
        <w:rPr>
          <w:vertAlign w:val="subscript"/>
        </w:rPr>
        <w:t>Pmax</w:t>
      </w:r>
      <w:r>
        <w:t>值为56.45%，Cmax为</w:t>
      </w:r>
      <w:r>
        <w:rPr>
          <w:rFonts w:hint="eastAsia"/>
        </w:rPr>
        <w:t>511.86</w:t>
      </w:r>
      <w:r>
        <w:t>μg/m³，D10%为</w:t>
      </w:r>
      <w:r>
        <w:rPr>
          <w:rFonts w:hint="eastAsia"/>
        </w:rPr>
        <w:t>350</w:t>
      </w:r>
      <w:r>
        <w:t>m。根据《环境影响评价技术导则 大气环境》（HJ2.2-2018）分级判据，确定本项目大气环境影响评价工作等级为</w:t>
      </w:r>
      <w:r>
        <w:rPr>
          <w:b/>
          <w:bCs/>
        </w:rPr>
        <w:t>一级</w:t>
      </w:r>
      <w:r>
        <w:t>。因此，需采用进一步预测模型开展大气环境影响预测与评价。</w:t>
      </w:r>
    </w:p>
    <w:p>
      <w:pPr>
        <w:pStyle w:val="456"/>
        <w:ind w:firstLine="482"/>
      </w:pPr>
      <w:r>
        <w:t>声环境评价等级</w:t>
      </w:r>
    </w:p>
    <w:p>
      <w:pPr>
        <w:ind w:firstLine="480"/>
        <w:rPr>
          <w:szCs w:val="20"/>
        </w:rPr>
      </w:pPr>
      <w:r>
        <w:rPr>
          <w:szCs w:val="20"/>
        </w:rPr>
        <w:t>本项目位于岳阳市云溪港区道仁矶作业区岸线。</w:t>
      </w:r>
      <w:r>
        <w:rPr>
          <w:rFonts w:hint="eastAsia"/>
        </w:rPr>
        <w:t>道仁矶港区边界外50m范围为</w:t>
      </w:r>
      <w:r>
        <w:t>4类功能区</w:t>
      </w:r>
      <w:r>
        <w:rPr>
          <w:rFonts w:hint="eastAsia"/>
        </w:rPr>
        <w:t>，</w:t>
      </w:r>
      <w:r>
        <w:t>（道仁矶物流园、道仁矶工业园）丁山路-沿堤路-扬帆路-仁和路区为声环境3类功能区；</w:t>
      </w:r>
      <w:r>
        <w:rPr>
          <w:rFonts w:hint="eastAsia"/>
          <w:szCs w:val="20"/>
        </w:rPr>
        <w:t>码头前方水域</w:t>
      </w:r>
      <w:r>
        <w:rPr>
          <w:szCs w:val="20"/>
        </w:rPr>
        <w:t>红线范围内声环境功能要求为4a类</w:t>
      </w:r>
      <w:r>
        <w:rPr>
          <w:rFonts w:hint="eastAsia"/>
          <w:szCs w:val="20"/>
        </w:rPr>
        <w:t>；</w:t>
      </w:r>
      <w:r>
        <w:rPr>
          <w:szCs w:val="20"/>
        </w:rPr>
        <w:t>码头</w:t>
      </w:r>
      <w:r>
        <w:rPr>
          <w:rFonts w:hint="eastAsia"/>
          <w:szCs w:val="20"/>
        </w:rPr>
        <w:t>后方陆域红线范围内</w:t>
      </w:r>
      <w:r>
        <w:rPr>
          <w:szCs w:val="20"/>
        </w:rPr>
        <w:t>声环境功能要求为3类。项目建成后噪声级增加</w:t>
      </w:r>
      <w:r>
        <w:rPr>
          <w:rFonts w:hint="eastAsia"/>
          <w:szCs w:val="20"/>
          <w:lang w:val="en-US" w:eastAsia="zh-CN"/>
        </w:rPr>
        <w:t>小于3分贝</w:t>
      </w:r>
      <w:r>
        <w:rPr>
          <w:szCs w:val="20"/>
        </w:rPr>
        <w:t>，</w:t>
      </w:r>
      <w:r>
        <w:rPr>
          <w:rFonts w:hint="eastAsia"/>
          <w:szCs w:val="20"/>
          <w:lang w:val="en-US" w:eastAsia="zh-CN"/>
        </w:rPr>
        <w:t>受影响人口数量较少，约300人，</w:t>
      </w:r>
      <w:r>
        <w:rPr>
          <w:szCs w:val="20"/>
        </w:rPr>
        <w:t>受噪声影响人口</w:t>
      </w:r>
      <w:r>
        <w:rPr>
          <w:rFonts w:hint="eastAsia"/>
          <w:szCs w:val="20"/>
        </w:rPr>
        <w:t>数量</w:t>
      </w:r>
      <w:r>
        <w:rPr>
          <w:szCs w:val="20"/>
        </w:rPr>
        <w:t>变化不大。根据《环境影响评价技术导则 声环境》（HJ2.4-2021）要求，本项目噪声影响评价工作等级确定为</w:t>
      </w:r>
      <w:r>
        <w:rPr>
          <w:b/>
          <w:szCs w:val="20"/>
        </w:rPr>
        <w:t>三级</w:t>
      </w:r>
      <w:r>
        <w:rPr>
          <w:szCs w:val="20"/>
        </w:rPr>
        <w:t>。</w:t>
      </w:r>
    </w:p>
    <w:p>
      <w:pPr>
        <w:pStyle w:val="456"/>
        <w:ind w:firstLine="482"/>
      </w:pPr>
      <w:r>
        <w:t>生态环境评价等级</w:t>
      </w:r>
    </w:p>
    <w:p>
      <w:pPr>
        <w:ind w:firstLine="480"/>
      </w:pPr>
      <w:bookmarkStart w:id="44" w:name="_Ref81381678"/>
      <w:r>
        <w:t>根据《环境影响评价技术导则 生态影响》（HJ19-20</w:t>
      </w:r>
      <w:r>
        <w:rPr>
          <w:rFonts w:hint="eastAsia"/>
        </w:rPr>
        <w:t>22</w:t>
      </w:r>
      <w:r>
        <w:t>）</w:t>
      </w:r>
      <w:r>
        <w:rPr>
          <w:rFonts w:hint="eastAsia"/>
        </w:rPr>
        <w:t>评价等级判定中“6</w:t>
      </w:r>
      <w:r>
        <w:t>.1.4建设项目同时涉及陆生、水生生态影响时，可针对陆生生态、水生生态分别判定评价等级</w:t>
      </w:r>
      <w:r>
        <w:rPr>
          <w:rFonts w:hint="eastAsia"/>
        </w:rPr>
        <w:t>”</w:t>
      </w:r>
      <w:r>
        <w:t>。</w:t>
      </w:r>
      <w:r>
        <w:rPr>
          <w:rFonts w:hint="eastAsia"/>
        </w:rPr>
        <w:t>本项目同时涉及</w:t>
      </w:r>
      <w:r>
        <w:t>陆生、水生生态影响</w:t>
      </w:r>
      <w:r>
        <w:rPr>
          <w:rFonts w:hint="eastAsia"/>
        </w:rPr>
        <w:t>，后方陆域占地面积</w:t>
      </w:r>
      <w:r>
        <w:rPr>
          <w:rFonts w:hint="eastAsia"/>
          <w:lang w:val="en-US" w:eastAsia="zh-CN"/>
        </w:rPr>
        <w:t>288.3</w:t>
      </w:r>
      <w:r>
        <w:rPr>
          <w:rFonts w:hint="eastAsia"/>
        </w:rPr>
        <w:t>亩，小于2</w:t>
      </w:r>
      <w:r>
        <w:t>0km</w:t>
      </w:r>
      <w:r>
        <w:rPr>
          <w:vertAlign w:val="superscript"/>
        </w:rPr>
        <w:t>2</w:t>
      </w:r>
      <w:r>
        <w:rPr>
          <w:rFonts w:hint="eastAsia"/>
        </w:rPr>
        <w:t>，陆域不涉及国家公园、自然保护区、世界自然产地、重要生境、自然公园、生态保护红线，不涉及天然林、公益林、湿地等生态保护目标，因此</w:t>
      </w:r>
      <w:r>
        <w:rPr>
          <w:rFonts w:hint="eastAsia"/>
          <w:b/>
        </w:rPr>
        <w:t>陆生生态环境影响评价工作等级判定为三级</w:t>
      </w:r>
      <w:r>
        <w:rPr>
          <w:rFonts w:hint="eastAsia"/>
        </w:rPr>
        <w:t>。本项目</w:t>
      </w:r>
      <w:r>
        <w:rPr>
          <w:rFonts w:hint="eastAsia"/>
          <w:color w:val="000000" w:themeColor="text1"/>
          <w14:textFill>
            <w14:solidFill>
              <w14:schemeClr w14:val="tx1"/>
            </w14:solidFill>
          </w14:textFill>
        </w:rPr>
        <w:t>前方水域码头作业平台位于</w:t>
      </w:r>
      <w:r>
        <w:rPr>
          <w:color w:val="000000" w:themeColor="text1"/>
          <w:szCs w:val="20"/>
          <w14:textFill>
            <w14:solidFill>
              <w14:schemeClr w14:val="tx1"/>
            </w14:solidFill>
          </w14:textFill>
        </w:rPr>
        <w:t>洞庭湖口铜鱼短颌鲚国家级水产种质资源保护区</w:t>
      </w:r>
      <w:r>
        <w:rPr>
          <w:rFonts w:hint="eastAsia"/>
          <w:color w:val="000000" w:themeColor="text1"/>
          <w:szCs w:val="20"/>
          <w14:textFill>
            <w14:solidFill>
              <w14:schemeClr w14:val="tx1"/>
            </w14:solidFill>
          </w14:textFill>
        </w:rPr>
        <w:t>实验区内</w:t>
      </w:r>
      <w:r>
        <w:rPr>
          <w:rFonts w:hint="eastAsia"/>
          <w:szCs w:val="20"/>
        </w:rPr>
        <w:t>，</w:t>
      </w:r>
      <w:r>
        <w:rPr>
          <w:rFonts w:hint="eastAsia"/>
        </w:rPr>
        <w:t>影响区域</w:t>
      </w:r>
      <w:r>
        <w:rPr>
          <w:szCs w:val="20"/>
        </w:rPr>
        <w:t>涉及</w:t>
      </w:r>
      <w:r>
        <w:t>湖南东洞庭湖国家级自然保护区</w:t>
      </w:r>
      <w:r>
        <w:rPr>
          <w:rFonts w:hint="eastAsia"/>
          <w:szCs w:val="20"/>
        </w:rPr>
        <w:t>，</w:t>
      </w:r>
      <w:bookmarkEnd w:id="44"/>
      <w:r>
        <w:rPr>
          <w:rFonts w:hint="eastAsia"/>
          <w:szCs w:val="20"/>
        </w:rPr>
        <w:t>工程所在长江段</w:t>
      </w:r>
      <w:r>
        <w:rPr>
          <w:rFonts w:hint="eastAsia"/>
        </w:rPr>
        <w:t>为</w:t>
      </w:r>
      <w:r>
        <w:t>水生重要物种中华鲟</w:t>
      </w:r>
      <w:r>
        <w:rPr>
          <w:rStyle w:val="145"/>
          <w:rFonts w:hint="eastAsia"/>
          <w:kern w:val="0"/>
          <w:lang w:eastAsia="zh-CN"/>
        </w:rPr>
        <w:t>、</w:t>
      </w:r>
      <w:r>
        <w:rPr>
          <w:rStyle w:val="145"/>
          <w:rFonts w:hint="eastAsia"/>
          <w:kern w:val="0"/>
          <w:lang w:val="en-US" w:eastAsia="zh-CN"/>
        </w:rPr>
        <w:t>长江</w:t>
      </w:r>
      <w:r>
        <w:rPr>
          <w:rStyle w:val="145"/>
          <w:rFonts w:hint="eastAsia"/>
          <w:kern w:val="0"/>
          <w:sz w:val="24"/>
          <w:szCs w:val="24"/>
          <w:lang w:val="en-US" w:eastAsia="zh-CN"/>
        </w:rPr>
        <w:t>江豚</w:t>
      </w:r>
      <w:r>
        <w:t>（国家一级保护）</w:t>
      </w:r>
      <w:r>
        <w:rPr>
          <w:rFonts w:hint="eastAsia"/>
        </w:rPr>
        <w:t>等鱼类</w:t>
      </w:r>
      <w:r>
        <w:t>的洄游通道，属涉及重要生境</w:t>
      </w:r>
      <w:r>
        <w:rPr>
          <w:rFonts w:hint="eastAsia"/>
        </w:rPr>
        <w:t>，</w:t>
      </w:r>
      <w:r>
        <w:rPr>
          <w:rFonts w:hint="eastAsia"/>
          <w:szCs w:val="20"/>
        </w:rPr>
        <w:t>因此</w:t>
      </w:r>
      <w:r>
        <w:rPr>
          <w:rFonts w:hint="eastAsia"/>
          <w:b/>
          <w:szCs w:val="20"/>
        </w:rPr>
        <w:t>水生</w:t>
      </w:r>
      <w:r>
        <w:rPr>
          <w:b/>
        </w:rPr>
        <w:t>生态环境影响评价工作等级定为</w:t>
      </w:r>
      <w:r>
        <w:rPr>
          <w:rFonts w:hint="eastAsia"/>
          <w:b/>
        </w:rPr>
        <w:t>一</w:t>
      </w:r>
      <w:r>
        <w:rPr>
          <w:b/>
        </w:rPr>
        <w:t>级</w:t>
      </w:r>
      <w:r>
        <w:t>。</w:t>
      </w:r>
    </w:p>
    <w:p>
      <w:pPr>
        <w:ind w:firstLine="480"/>
      </w:pPr>
      <w:r>
        <w:rPr>
          <w:rFonts w:hint="eastAsia"/>
        </w:rPr>
        <w:t>根据《水运工程建设项目环境影响评价指南》（</w:t>
      </w:r>
      <w:r>
        <w:t>JTS/T105-2021</w:t>
      </w:r>
      <w:r>
        <w:rPr>
          <w:rFonts w:hint="eastAsia"/>
        </w:rPr>
        <w:t>），项目属于现有港区，后方陆域为一般区域，陆生生态环境影响评价等级为三级；前方水域工作平台位于</w:t>
      </w:r>
      <w:r>
        <w:rPr>
          <w:szCs w:val="20"/>
        </w:rPr>
        <w:t>洞庭湖口铜鱼短颌鲚国家级水产种质资源保护区</w:t>
      </w:r>
      <w:r>
        <w:rPr>
          <w:rFonts w:hint="eastAsia"/>
          <w:color w:val="000000" w:themeColor="text1"/>
          <w:szCs w:val="20"/>
          <w14:textFill>
            <w14:solidFill>
              <w14:schemeClr w14:val="tx1"/>
            </w14:solidFill>
          </w14:textFill>
        </w:rPr>
        <w:t>实验区</w:t>
      </w:r>
      <w:r>
        <w:rPr>
          <w:rFonts w:hint="eastAsia"/>
          <w:szCs w:val="20"/>
        </w:rPr>
        <w:t>内，</w:t>
      </w:r>
      <w:r>
        <w:rPr>
          <w:rFonts w:hint="eastAsia"/>
        </w:rPr>
        <w:t>影响区域涉及</w:t>
      </w:r>
      <w:r>
        <w:t>湖南东洞庭湖国家级自然保护区</w:t>
      </w:r>
      <w:r>
        <w:rPr>
          <w:rFonts w:hint="eastAsia"/>
        </w:rPr>
        <w:t>，根据《水运工程建设项目环境影响评价指南》（</w:t>
      </w:r>
      <w:r>
        <w:t>JTS/T105-2021</w:t>
      </w:r>
      <w:r>
        <w:rPr>
          <w:rFonts w:hint="eastAsia"/>
        </w:rPr>
        <w:t>）2.2.2章节河港建设项目评价等级划分表2</w:t>
      </w:r>
      <w:r>
        <w:t>.2.2</w:t>
      </w:r>
      <w:r>
        <w:rPr>
          <w:rFonts w:hint="eastAsia"/>
        </w:rPr>
        <w:t>-</w:t>
      </w:r>
      <w:r>
        <w:t>2</w:t>
      </w:r>
      <w:r>
        <w:rPr>
          <w:rFonts w:hint="eastAsia"/>
        </w:rPr>
        <w:t>，生态环境影响评价等级为一</w:t>
      </w:r>
      <w:r>
        <w:rPr>
          <w:rFonts w:hint="eastAsia"/>
          <w:b/>
        </w:rPr>
        <w:t>级</w:t>
      </w:r>
      <w:r>
        <w:rPr>
          <w:rFonts w:hint="eastAsia"/>
        </w:rPr>
        <w:t>，判定划分</w:t>
      </w:r>
      <w:r>
        <w:fldChar w:fldCharType="begin"/>
      </w:r>
      <w:r>
        <w:instrText xml:space="preserve"> </w:instrText>
      </w:r>
      <w:r>
        <w:rPr>
          <w:rFonts w:hint="eastAsia"/>
        </w:rPr>
        <w:instrText xml:space="preserve">REF _Ref81489815 \h</w:instrText>
      </w:r>
      <w:r>
        <w:instrText xml:space="preserve"> </w:instrText>
      </w:r>
      <w:r>
        <w:fldChar w:fldCharType="separate"/>
      </w:r>
      <w:r>
        <w:rPr>
          <w:rFonts w:hint="eastAsia"/>
        </w:rPr>
        <w:t>表</w:t>
      </w:r>
      <w:r>
        <w:fldChar w:fldCharType="end"/>
      </w:r>
      <w:r>
        <w:t>1-13</w:t>
      </w:r>
      <w:r>
        <w:rPr>
          <w:rFonts w:hint="eastAsia"/>
        </w:rPr>
        <w:t>。</w:t>
      </w:r>
    </w:p>
    <w:p>
      <w:pPr>
        <w:pStyle w:val="619"/>
      </w:pPr>
      <w:r>
        <w:rPr>
          <w:rFonts w:hint="eastAsia"/>
        </w:rPr>
        <w:t>河港</w:t>
      </w:r>
      <w:r>
        <w:rPr>
          <w:rFonts w:hint="eastAsia" w:cs="Times New Roman"/>
        </w:rPr>
        <w:t>建设项目</w:t>
      </w:r>
      <w:r>
        <w:rPr>
          <w:rFonts w:hint="eastAsia"/>
        </w:rPr>
        <w:t>评价等级划分表</w:t>
      </w:r>
    </w:p>
    <w:tbl>
      <w:tblPr>
        <w:tblStyle w:val="359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21"/>
        <w:gridCol w:w="2322"/>
        <w:gridCol w:w="2323"/>
        <w:gridCol w:w="23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1250" w:type="pct"/>
            <w:vAlign w:val="center"/>
          </w:tcPr>
          <w:p>
            <w:pPr>
              <w:pStyle w:val="2057"/>
              <w:spacing w:afterLines="0" w:line="240" w:lineRule="atLeast"/>
              <w:ind w:firstLine="0" w:firstLineChars="0"/>
              <w:rPr>
                <w:sz w:val="21"/>
                <w:szCs w:val="21"/>
              </w:rPr>
            </w:pPr>
            <w:r>
              <w:rPr>
                <w:rFonts w:hint="eastAsia"/>
                <w:sz w:val="21"/>
                <w:szCs w:val="21"/>
              </w:rPr>
              <w:t>港口性质</w:t>
            </w:r>
          </w:p>
        </w:tc>
        <w:tc>
          <w:tcPr>
            <w:tcW w:w="1250" w:type="pct"/>
            <w:vAlign w:val="center"/>
          </w:tcPr>
          <w:p>
            <w:pPr>
              <w:pStyle w:val="2057"/>
              <w:spacing w:afterLines="0" w:line="240" w:lineRule="atLeast"/>
              <w:ind w:firstLine="0" w:firstLineChars="0"/>
              <w:rPr>
                <w:sz w:val="21"/>
                <w:szCs w:val="21"/>
              </w:rPr>
            </w:pPr>
            <w:r>
              <w:rPr>
                <w:rFonts w:hint="eastAsia"/>
                <w:sz w:val="21"/>
                <w:szCs w:val="21"/>
              </w:rPr>
              <w:t>工程特性</w:t>
            </w:r>
          </w:p>
        </w:tc>
        <w:tc>
          <w:tcPr>
            <w:tcW w:w="1251" w:type="pct"/>
            <w:vAlign w:val="center"/>
          </w:tcPr>
          <w:p>
            <w:pPr>
              <w:pStyle w:val="2057"/>
              <w:spacing w:afterLines="0" w:line="240" w:lineRule="atLeast"/>
              <w:ind w:firstLine="0" w:firstLineChars="0"/>
              <w:rPr>
                <w:sz w:val="21"/>
                <w:szCs w:val="21"/>
              </w:rPr>
            </w:pPr>
            <w:r>
              <w:rPr>
                <w:rFonts w:hint="eastAsia"/>
                <w:sz w:val="21"/>
                <w:szCs w:val="21"/>
              </w:rPr>
              <w:t>影响区域</w:t>
            </w:r>
          </w:p>
        </w:tc>
        <w:tc>
          <w:tcPr>
            <w:tcW w:w="1249" w:type="pct"/>
            <w:vAlign w:val="center"/>
          </w:tcPr>
          <w:p>
            <w:pPr>
              <w:pStyle w:val="2057"/>
              <w:spacing w:afterLines="0" w:line="240" w:lineRule="atLeast"/>
              <w:ind w:firstLine="0" w:firstLineChars="0"/>
              <w:rPr>
                <w:sz w:val="21"/>
                <w:szCs w:val="21"/>
              </w:rPr>
            </w:pPr>
            <w:r>
              <w:rPr>
                <w:rFonts w:hint="eastAsia"/>
                <w:sz w:val="21"/>
                <w:szCs w:val="21"/>
              </w:rPr>
              <w:t>生态影响评价等级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vMerge w:val="restart"/>
            <w:vAlign w:val="center"/>
          </w:tcPr>
          <w:p>
            <w:pPr>
              <w:pStyle w:val="2057"/>
              <w:spacing w:afterLines="0"/>
              <w:ind w:firstLine="0" w:firstLineChars="0"/>
              <w:rPr>
                <w:sz w:val="21"/>
                <w:szCs w:val="21"/>
              </w:rPr>
            </w:pPr>
            <w:r>
              <w:rPr>
                <w:rFonts w:hint="eastAsia"/>
                <w:sz w:val="21"/>
                <w:szCs w:val="21"/>
              </w:rPr>
              <w:t>干散货、集装箱、多用途、通用和件杂货码头等工程</w:t>
            </w:r>
          </w:p>
        </w:tc>
        <w:tc>
          <w:tcPr>
            <w:tcW w:w="1250" w:type="pct"/>
            <w:vMerge w:val="restart"/>
            <w:vAlign w:val="center"/>
          </w:tcPr>
          <w:p>
            <w:pPr>
              <w:pStyle w:val="2057"/>
              <w:spacing w:afterLines="0"/>
              <w:ind w:firstLine="0" w:firstLineChars="0"/>
              <w:rPr>
                <w:sz w:val="21"/>
                <w:szCs w:val="21"/>
              </w:rPr>
            </w:pPr>
            <w:r>
              <w:rPr>
                <w:rFonts w:hint="eastAsia"/>
                <w:sz w:val="21"/>
                <w:szCs w:val="21"/>
              </w:rPr>
              <w:t>新开港区</w:t>
            </w:r>
          </w:p>
        </w:tc>
        <w:tc>
          <w:tcPr>
            <w:tcW w:w="1251" w:type="pct"/>
            <w:vAlign w:val="center"/>
          </w:tcPr>
          <w:p>
            <w:pPr>
              <w:pStyle w:val="2057"/>
              <w:spacing w:afterLines="0"/>
              <w:ind w:firstLine="0" w:firstLineChars="0"/>
              <w:rPr>
                <w:sz w:val="21"/>
                <w:szCs w:val="21"/>
              </w:rPr>
            </w:pPr>
            <w:r>
              <w:rPr>
                <w:rFonts w:hint="eastAsia"/>
                <w:sz w:val="21"/>
                <w:szCs w:val="21"/>
              </w:rPr>
              <w:t>重要生境</w:t>
            </w:r>
          </w:p>
        </w:tc>
        <w:tc>
          <w:tcPr>
            <w:tcW w:w="1249" w:type="pct"/>
            <w:vAlign w:val="center"/>
          </w:tcPr>
          <w:p>
            <w:pPr>
              <w:pStyle w:val="2057"/>
              <w:spacing w:afterLines="0"/>
              <w:ind w:firstLine="0" w:firstLineChars="0"/>
              <w:rPr>
                <w:sz w:val="21"/>
                <w:szCs w:val="21"/>
              </w:rPr>
            </w:pPr>
            <w:r>
              <w:rPr>
                <w:rFonts w:hint="eastAsia"/>
                <w:sz w:val="21"/>
                <w:szCs w:val="21"/>
              </w:rPr>
              <w:t>一</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vMerge w:val="continue"/>
            <w:vAlign w:val="center"/>
          </w:tcPr>
          <w:p>
            <w:pPr>
              <w:pStyle w:val="2057"/>
              <w:spacing w:afterLines="0" w:line="240" w:lineRule="atLeast"/>
              <w:ind w:firstLine="0" w:firstLineChars="0"/>
              <w:rPr>
                <w:sz w:val="21"/>
                <w:szCs w:val="21"/>
              </w:rPr>
            </w:pPr>
          </w:p>
        </w:tc>
        <w:tc>
          <w:tcPr>
            <w:tcW w:w="1250" w:type="pct"/>
            <w:vMerge w:val="continue"/>
            <w:vAlign w:val="center"/>
          </w:tcPr>
          <w:p>
            <w:pPr>
              <w:pStyle w:val="2057"/>
              <w:spacing w:afterLines="0" w:line="240" w:lineRule="atLeast"/>
              <w:ind w:firstLine="0" w:firstLineChars="0"/>
              <w:rPr>
                <w:sz w:val="21"/>
                <w:szCs w:val="21"/>
              </w:rPr>
            </w:pPr>
          </w:p>
        </w:tc>
        <w:tc>
          <w:tcPr>
            <w:tcW w:w="1251" w:type="pct"/>
            <w:vAlign w:val="center"/>
          </w:tcPr>
          <w:p>
            <w:pPr>
              <w:pStyle w:val="2057"/>
              <w:spacing w:afterLines="0" w:line="240" w:lineRule="atLeast"/>
              <w:ind w:firstLine="0" w:firstLineChars="0"/>
              <w:rPr>
                <w:sz w:val="21"/>
                <w:szCs w:val="21"/>
              </w:rPr>
            </w:pPr>
            <w:r>
              <w:rPr>
                <w:rFonts w:hint="eastAsia"/>
                <w:sz w:val="21"/>
                <w:szCs w:val="21"/>
              </w:rPr>
              <w:t>一般区域</w:t>
            </w:r>
          </w:p>
        </w:tc>
        <w:tc>
          <w:tcPr>
            <w:tcW w:w="1249" w:type="pct"/>
            <w:vAlign w:val="center"/>
          </w:tcPr>
          <w:p>
            <w:pPr>
              <w:pStyle w:val="2057"/>
              <w:spacing w:afterLines="0" w:line="240" w:lineRule="atLeast"/>
              <w:ind w:firstLine="0" w:firstLineChars="0"/>
              <w:rPr>
                <w:sz w:val="21"/>
                <w:szCs w:val="21"/>
              </w:rPr>
            </w:pPr>
            <w:r>
              <w:rPr>
                <w:rFonts w:hint="eastAsia"/>
                <w:sz w:val="21"/>
                <w:szCs w:val="21"/>
              </w:rPr>
              <w:t>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vMerge w:val="continue"/>
            <w:vAlign w:val="center"/>
          </w:tcPr>
          <w:p>
            <w:pPr>
              <w:pStyle w:val="2057"/>
              <w:spacing w:afterLines="0" w:line="240" w:lineRule="atLeast"/>
              <w:ind w:firstLine="0" w:firstLineChars="0"/>
              <w:rPr>
                <w:sz w:val="21"/>
                <w:szCs w:val="21"/>
              </w:rPr>
            </w:pPr>
          </w:p>
        </w:tc>
        <w:tc>
          <w:tcPr>
            <w:tcW w:w="1250" w:type="pct"/>
            <w:vMerge w:val="restart"/>
            <w:vAlign w:val="center"/>
          </w:tcPr>
          <w:p>
            <w:pPr>
              <w:pStyle w:val="2057"/>
              <w:spacing w:afterLines="0" w:line="240" w:lineRule="atLeast"/>
              <w:ind w:firstLine="0" w:firstLineChars="0"/>
              <w:rPr>
                <w:sz w:val="21"/>
                <w:szCs w:val="21"/>
              </w:rPr>
            </w:pPr>
            <w:r>
              <w:rPr>
                <w:rFonts w:hint="eastAsia"/>
                <w:sz w:val="21"/>
                <w:szCs w:val="21"/>
              </w:rPr>
              <w:t>现有港区</w:t>
            </w:r>
          </w:p>
        </w:tc>
        <w:tc>
          <w:tcPr>
            <w:tcW w:w="1251" w:type="pct"/>
            <w:vAlign w:val="center"/>
          </w:tcPr>
          <w:p>
            <w:pPr>
              <w:pStyle w:val="2057"/>
              <w:spacing w:afterLines="0" w:line="240" w:lineRule="atLeast"/>
              <w:ind w:firstLine="0" w:firstLineChars="0"/>
              <w:rPr>
                <w:sz w:val="21"/>
                <w:szCs w:val="21"/>
              </w:rPr>
            </w:pPr>
            <w:r>
              <w:rPr>
                <w:rFonts w:hint="eastAsia"/>
                <w:sz w:val="21"/>
                <w:szCs w:val="21"/>
              </w:rPr>
              <w:t>重要生境</w:t>
            </w:r>
          </w:p>
        </w:tc>
        <w:tc>
          <w:tcPr>
            <w:tcW w:w="1249" w:type="pct"/>
            <w:vAlign w:val="center"/>
          </w:tcPr>
          <w:p>
            <w:pPr>
              <w:pStyle w:val="2057"/>
              <w:spacing w:afterLines="0" w:line="240" w:lineRule="atLeast"/>
              <w:ind w:firstLine="0" w:firstLineChars="0"/>
              <w:rPr>
                <w:sz w:val="21"/>
                <w:szCs w:val="21"/>
              </w:rPr>
            </w:pPr>
            <w:r>
              <w:rPr>
                <w:rFonts w:hint="eastAsia"/>
                <w:sz w:val="21"/>
                <w:szCs w:val="21"/>
              </w:rPr>
              <w:t>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vMerge w:val="continue"/>
            <w:vAlign w:val="center"/>
          </w:tcPr>
          <w:p>
            <w:pPr>
              <w:pStyle w:val="2057"/>
              <w:spacing w:afterLines="0" w:line="240" w:lineRule="atLeast"/>
              <w:ind w:firstLine="0" w:firstLineChars="0"/>
              <w:rPr>
                <w:sz w:val="21"/>
                <w:szCs w:val="21"/>
              </w:rPr>
            </w:pPr>
          </w:p>
        </w:tc>
        <w:tc>
          <w:tcPr>
            <w:tcW w:w="1250" w:type="pct"/>
            <w:vMerge w:val="continue"/>
            <w:vAlign w:val="center"/>
          </w:tcPr>
          <w:p>
            <w:pPr>
              <w:pStyle w:val="2057"/>
              <w:spacing w:afterLines="0" w:line="240" w:lineRule="atLeast"/>
              <w:ind w:firstLine="0" w:firstLineChars="0"/>
              <w:rPr>
                <w:sz w:val="21"/>
                <w:szCs w:val="21"/>
              </w:rPr>
            </w:pPr>
          </w:p>
        </w:tc>
        <w:tc>
          <w:tcPr>
            <w:tcW w:w="1251" w:type="pct"/>
            <w:vAlign w:val="center"/>
          </w:tcPr>
          <w:p>
            <w:pPr>
              <w:pStyle w:val="2057"/>
              <w:spacing w:afterLines="0" w:line="240" w:lineRule="atLeast"/>
              <w:ind w:firstLine="0" w:firstLineChars="0"/>
              <w:rPr>
                <w:sz w:val="21"/>
                <w:szCs w:val="21"/>
              </w:rPr>
            </w:pPr>
            <w:r>
              <w:rPr>
                <w:rFonts w:hint="eastAsia"/>
                <w:sz w:val="21"/>
                <w:szCs w:val="21"/>
              </w:rPr>
              <w:t>一般区域</w:t>
            </w:r>
          </w:p>
        </w:tc>
        <w:tc>
          <w:tcPr>
            <w:tcW w:w="1249" w:type="pct"/>
            <w:vAlign w:val="center"/>
          </w:tcPr>
          <w:p>
            <w:pPr>
              <w:pStyle w:val="2057"/>
              <w:spacing w:afterLines="0" w:line="240" w:lineRule="atLeast"/>
              <w:ind w:firstLine="0" w:firstLineChars="0"/>
              <w:rPr>
                <w:sz w:val="21"/>
                <w:szCs w:val="21"/>
              </w:rPr>
            </w:pPr>
            <w:r>
              <w:rPr>
                <w:rFonts w:hint="eastAsia"/>
                <w:sz w:val="21"/>
                <w:szCs w:val="21"/>
              </w:rPr>
              <w:t>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4"/>
            <w:vAlign w:val="center"/>
          </w:tcPr>
          <w:p>
            <w:pPr>
              <w:pStyle w:val="2057"/>
              <w:spacing w:afterLines="0" w:line="240" w:lineRule="atLeast"/>
              <w:ind w:firstLine="0" w:firstLineChars="0"/>
              <w:jc w:val="both"/>
              <w:rPr>
                <w:sz w:val="18"/>
                <w:szCs w:val="18"/>
              </w:rPr>
            </w:pPr>
            <w:r>
              <w:rPr>
                <w:rFonts w:hint="eastAsia"/>
                <w:sz w:val="18"/>
                <w:szCs w:val="18"/>
              </w:rPr>
              <w:t>影响区域涉及到自然保护地和生态保护红线的建设项目生态影响评价等级均应为一级。</w:t>
            </w:r>
          </w:p>
          <w:p>
            <w:pPr>
              <w:pStyle w:val="2057"/>
              <w:spacing w:afterLines="0" w:line="240" w:lineRule="atLeast"/>
              <w:ind w:firstLine="0" w:firstLineChars="0"/>
              <w:jc w:val="both"/>
              <w:rPr>
                <w:sz w:val="18"/>
                <w:szCs w:val="18"/>
              </w:rPr>
            </w:pPr>
            <w:r>
              <w:rPr>
                <w:rFonts w:hint="eastAsia"/>
                <w:sz w:val="18"/>
                <w:szCs w:val="18"/>
              </w:rPr>
              <w:t>重要生境：未纳入现有自然保护地范围内，也未纳入生态保护红线范围内，通过资料收集、专家咨询、初步野外调查等手段识别的国家及地方重点保护野生动植物，极危、濒危和易危物种，极小种群野生植物以及特有种的集中分布区、重要栖息地，重要经济水生生物的产卵场、索饵场、越冬场、洄游通道。</w:t>
            </w:r>
          </w:p>
          <w:p>
            <w:pPr>
              <w:pStyle w:val="2057"/>
              <w:spacing w:afterLines="0" w:line="240" w:lineRule="atLeast"/>
              <w:ind w:firstLine="0" w:firstLineChars="0"/>
              <w:jc w:val="both"/>
              <w:rPr>
                <w:sz w:val="21"/>
                <w:szCs w:val="21"/>
              </w:rPr>
            </w:pPr>
            <w:r>
              <w:rPr>
                <w:rFonts w:hint="eastAsia"/>
                <w:sz w:val="18"/>
                <w:szCs w:val="18"/>
              </w:rPr>
              <w:t>一般区域：除自然保护地、生态保护红线、重要生境等区域以外的区域。</w:t>
            </w:r>
          </w:p>
        </w:tc>
      </w:tr>
    </w:tbl>
    <w:p>
      <w:pPr>
        <w:ind w:firstLine="480"/>
      </w:pPr>
      <w:r>
        <w:rPr>
          <w:rFonts w:hint="eastAsia"/>
        </w:rPr>
        <w:t>结合HJ19-2022、</w:t>
      </w:r>
      <w:r>
        <w:t xml:space="preserve"> JTS/T105-2021</w:t>
      </w:r>
      <w:r>
        <w:rPr>
          <w:rFonts w:hint="eastAsia"/>
        </w:rPr>
        <w:t>判定结果，本项目陆生生态环境影响评价等级为</w:t>
      </w:r>
      <w:r>
        <w:rPr>
          <w:rFonts w:hint="eastAsia"/>
          <w:b/>
        </w:rPr>
        <w:t>三级</w:t>
      </w:r>
      <w:r>
        <w:rPr>
          <w:rFonts w:hint="eastAsia"/>
        </w:rPr>
        <w:t>，水生生态环境影响评价等级为</w:t>
      </w:r>
      <w:r>
        <w:rPr>
          <w:rFonts w:hint="eastAsia"/>
          <w:b/>
          <w:szCs w:val="20"/>
        </w:rPr>
        <w:t>一</w:t>
      </w:r>
      <w:r>
        <w:rPr>
          <w:b/>
          <w:szCs w:val="20"/>
        </w:rPr>
        <w:t>级</w:t>
      </w:r>
      <w:r>
        <w:rPr>
          <w:rFonts w:hint="eastAsia"/>
        </w:rPr>
        <w:t>。</w:t>
      </w:r>
    </w:p>
    <w:p>
      <w:pPr>
        <w:pStyle w:val="456"/>
        <w:ind w:firstLine="482"/>
      </w:pPr>
      <w:r>
        <w:t>土壤环境评价等级</w:t>
      </w:r>
    </w:p>
    <w:p>
      <w:pPr>
        <w:ind w:firstLine="480"/>
        <w:rPr>
          <w:szCs w:val="20"/>
        </w:rPr>
      </w:pPr>
      <w:r>
        <w:rPr>
          <w:szCs w:val="20"/>
        </w:rPr>
        <w:t>根据《环境影响评价技术导则 土壤环境》（HJ964-2018），本项目属于</w:t>
      </w:r>
      <w:r>
        <w:rPr>
          <w:rFonts w:asciiTheme="minorEastAsia" w:hAnsiTheme="minorEastAsia" w:eastAsiaTheme="minorEastAsia"/>
          <w:szCs w:val="20"/>
        </w:rPr>
        <w:t>“</w:t>
      </w:r>
      <w:r>
        <w:rPr>
          <w:szCs w:val="20"/>
        </w:rPr>
        <w:t>交通运输仓储邮政类</w:t>
      </w:r>
      <w:r>
        <w:rPr>
          <w:rFonts w:asciiTheme="minorEastAsia" w:hAnsiTheme="minorEastAsia" w:eastAsiaTheme="minorEastAsia"/>
          <w:szCs w:val="20"/>
        </w:rPr>
        <w:t>”</w:t>
      </w:r>
      <w:r>
        <w:rPr>
          <w:szCs w:val="20"/>
        </w:rPr>
        <w:t>中</w:t>
      </w:r>
      <w:r>
        <w:rPr>
          <w:rFonts w:asciiTheme="minorEastAsia" w:hAnsiTheme="minorEastAsia" w:eastAsiaTheme="minorEastAsia"/>
          <w:szCs w:val="20"/>
        </w:rPr>
        <w:t>“</w:t>
      </w:r>
      <w:r>
        <w:rPr>
          <w:szCs w:val="20"/>
        </w:rPr>
        <w:t>其他</w:t>
      </w:r>
      <w:r>
        <w:rPr>
          <w:rFonts w:asciiTheme="minorEastAsia" w:hAnsiTheme="minorEastAsia" w:eastAsiaTheme="minorEastAsia"/>
          <w:szCs w:val="20"/>
        </w:rPr>
        <w:t>”</w:t>
      </w:r>
      <w:r>
        <w:rPr>
          <w:szCs w:val="20"/>
        </w:rPr>
        <w:t>类，按土壤环境影响评价项目类别划分为Ⅳ类项目，</w:t>
      </w:r>
      <w:r>
        <w:rPr>
          <w:b/>
          <w:szCs w:val="20"/>
        </w:rPr>
        <w:t>可不开展土壤环境影响评价</w:t>
      </w:r>
      <w:r>
        <w:rPr>
          <w:szCs w:val="20"/>
        </w:rPr>
        <w:t>。</w:t>
      </w:r>
    </w:p>
    <w:p>
      <w:pPr>
        <w:pStyle w:val="456"/>
        <w:ind w:firstLine="482"/>
      </w:pPr>
      <w:r>
        <w:t>环境风险评价等级</w:t>
      </w:r>
    </w:p>
    <w:p>
      <w:pPr>
        <w:ind w:firstLine="480"/>
      </w:pPr>
      <w:r>
        <w:rPr>
          <w:rFonts w:hint="eastAsia"/>
          <w:szCs w:val="20"/>
        </w:rPr>
        <w:t>根</w:t>
      </w:r>
      <w:r>
        <w:rPr>
          <w:szCs w:val="20"/>
        </w:rPr>
        <w:t>据《建设项目环境风险评价技术导则》（HJ169-2018）的规定，根据建设项目涉及的物质及工艺系统危险性和所在地的环境敏感性确定环境风险潜势，将环境风险评价工作划分为一、二、三级及简单分析。</w:t>
      </w:r>
      <w:r>
        <w:t>本项目运营货种为</w:t>
      </w:r>
      <w:r>
        <w:rPr>
          <w:rFonts w:hint="eastAsia"/>
        </w:rPr>
        <w:t>散货和件杂</w:t>
      </w:r>
      <w:r>
        <w:t>，不涉及易燃易爆品、有毒物品的运输、装卸</w:t>
      </w:r>
      <w:r>
        <w:rPr>
          <w:szCs w:val="20"/>
        </w:rPr>
        <w:t>，</w:t>
      </w:r>
      <w:r>
        <w:rPr>
          <w:rFonts w:hint="eastAsia"/>
        </w:rPr>
        <w:t>到港船舶不在码头进行加油作业，码头变电所平台采用干式变压器，不涉及到油类等环境风险物质。因此本工程生产事故污染的环节主要为船舶在进港靠泊以及卸船作业期间，由于船舶间发生碰撞导致燃料油泄漏，从而造成环境危害。根据《企业突发环境事件风险分级方法》（HJ941-2018）：</w:t>
      </w:r>
    </w:p>
    <w:p>
      <w:pPr>
        <w:ind w:firstLine="480"/>
      </w:pPr>
      <w:r>
        <w:rPr>
          <w:rFonts w:hint="eastAsia"/>
        </w:rPr>
        <w:t>（1）当企业只涉及一种风险物质时，该物质的数量与其临界量比值，即为Q。</w:t>
      </w:r>
    </w:p>
    <w:p>
      <w:pPr>
        <w:ind w:firstLine="480"/>
      </w:pPr>
      <w:r>
        <w:rPr>
          <w:rFonts w:hint="eastAsia"/>
        </w:rPr>
        <w:t>（2）当企业存在多种风险物质时，则按式（1）计算：</w:t>
      </w:r>
    </w:p>
    <w:p>
      <w:pPr>
        <w:ind w:firstLine="0" w:firstLineChars="0"/>
        <w:jc w:val="center"/>
        <w:rPr>
          <w:rStyle w:val="3628"/>
        </w:rPr>
      </w:pPr>
      <w:r>
        <w:drawing>
          <wp:inline distT="0" distB="0" distL="114300" distR="114300">
            <wp:extent cx="1609725" cy="409575"/>
            <wp:effectExtent l="0" t="0" r="9525" b="9525"/>
            <wp:docPr id="2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9"/>
                    <pic:cNvPicPr>
                      <a:picLocks noChangeAspect="1"/>
                    </pic:cNvPicPr>
                  </pic:nvPicPr>
                  <pic:blipFill>
                    <a:blip r:embed="rId28"/>
                    <a:stretch>
                      <a:fillRect/>
                    </a:stretch>
                  </pic:blipFill>
                  <pic:spPr>
                    <a:xfrm>
                      <a:off x="0" y="0"/>
                      <a:ext cx="1609725" cy="409575"/>
                    </a:xfrm>
                    <a:prstGeom prst="rect">
                      <a:avLst/>
                    </a:prstGeom>
                    <a:noFill/>
                    <a:ln>
                      <a:noFill/>
                    </a:ln>
                  </pic:spPr>
                </pic:pic>
              </a:graphicData>
            </a:graphic>
          </wp:inline>
        </w:drawing>
      </w:r>
      <w:r>
        <w:rPr>
          <w:rFonts w:hint="eastAsia"/>
        </w:rPr>
        <w:t xml:space="preserve">（1）   </w:t>
      </w:r>
    </w:p>
    <w:p>
      <w:pPr>
        <w:ind w:firstLine="480"/>
      </w:pPr>
      <w:r>
        <w:rPr>
          <w:rFonts w:hint="eastAsia"/>
        </w:rPr>
        <w:t>式中：w</w:t>
      </w:r>
      <w:r>
        <w:rPr>
          <w:rFonts w:hint="eastAsia"/>
          <w:vertAlign w:val="subscript"/>
        </w:rPr>
        <w:t>1</w:t>
      </w:r>
      <w:r>
        <w:rPr>
          <w:rFonts w:hint="eastAsia"/>
        </w:rPr>
        <w:t>、w</w:t>
      </w:r>
      <w:r>
        <w:rPr>
          <w:rFonts w:hint="eastAsia"/>
          <w:vertAlign w:val="subscript"/>
        </w:rPr>
        <w:t>2</w:t>
      </w:r>
      <w:r>
        <w:rPr>
          <w:rFonts w:hint="eastAsia"/>
        </w:rPr>
        <w:t>…，w</w:t>
      </w:r>
      <w:r>
        <w:rPr>
          <w:rFonts w:hint="eastAsia"/>
          <w:vertAlign w:val="subscript"/>
        </w:rPr>
        <w:t>n</w:t>
      </w:r>
      <w:r>
        <w:rPr>
          <w:rFonts w:hint="eastAsia"/>
        </w:rPr>
        <w:t>——每种风险物质的存在量，t；</w:t>
      </w:r>
    </w:p>
    <w:p>
      <w:pPr>
        <w:ind w:firstLine="480"/>
      </w:pPr>
      <w:r>
        <w:rPr>
          <w:rFonts w:hint="eastAsia"/>
        </w:rPr>
        <w:t>W</w:t>
      </w:r>
      <w:r>
        <w:rPr>
          <w:rFonts w:hint="eastAsia"/>
          <w:vertAlign w:val="subscript"/>
        </w:rPr>
        <w:t>1</w:t>
      </w:r>
      <w:r>
        <w:rPr>
          <w:rFonts w:hint="eastAsia"/>
        </w:rPr>
        <w:t>、W</w:t>
      </w:r>
      <w:r>
        <w:rPr>
          <w:rFonts w:hint="eastAsia"/>
          <w:vertAlign w:val="subscript"/>
        </w:rPr>
        <w:t>2</w:t>
      </w:r>
      <w:r>
        <w:rPr>
          <w:rFonts w:hint="eastAsia"/>
        </w:rPr>
        <w:t>…，W</w:t>
      </w:r>
      <w:r>
        <w:rPr>
          <w:rFonts w:hint="eastAsia"/>
          <w:vertAlign w:val="subscript"/>
        </w:rPr>
        <w:t>n</w:t>
      </w:r>
      <w:r>
        <w:rPr>
          <w:rFonts w:hint="eastAsia"/>
        </w:rPr>
        <w:t>——每种风险物质的临界量，t。</w:t>
      </w:r>
    </w:p>
    <w:p>
      <w:pPr>
        <w:ind w:firstLine="480"/>
      </w:pPr>
      <w:r>
        <w:rPr>
          <w:rFonts w:hint="eastAsia"/>
        </w:rPr>
        <w:t>按照数值大小，将Q划分为4个水平：（1）Q＜1，以Q0表示，企业直接评为一般环境风险等级；（2）1≤Q&lt;10，以Q1表示；（3）10≤Q＜100，以Q2表示；（4）Q≥100，以Q3表示。</w:t>
      </w:r>
    </w:p>
    <w:p>
      <w:pPr>
        <w:ind w:firstLine="480"/>
      </w:pPr>
      <w:r>
        <w:rPr>
          <w:rFonts w:hint="eastAsia"/>
          <w:bCs/>
        </w:rPr>
        <w:t>根据《水上溢油环境风险评估技术导则》（</w:t>
      </w:r>
      <w:r>
        <w:rPr>
          <w:bCs/>
        </w:rPr>
        <w:t>JT/ T 1143</w:t>
      </w:r>
      <w:r>
        <w:rPr>
          <w:rFonts w:hint="eastAsia"/>
          <w:bCs/>
        </w:rPr>
        <w:t>-</w:t>
      </w:r>
      <w:r>
        <w:rPr>
          <w:bCs/>
        </w:rPr>
        <w:t>2017</w:t>
      </w:r>
      <w:r>
        <w:rPr>
          <w:rFonts w:hint="eastAsia"/>
          <w:bCs/>
        </w:rPr>
        <w:t>），散货船燃油舱中燃油数量最大值为109m</w:t>
      </w:r>
      <w:r>
        <w:rPr>
          <w:rFonts w:hint="eastAsia"/>
          <w:bCs/>
          <w:vertAlign w:val="superscript"/>
        </w:rPr>
        <w:t>3</w:t>
      </w:r>
      <w:r>
        <w:rPr>
          <w:rFonts w:hint="eastAsia" w:ascii="宋体" w:hAnsi="宋体" w:cs="宋体"/>
          <w:bCs/>
        </w:rPr>
        <w:t>,柴油密度按照</w:t>
      </w:r>
      <w:r>
        <w:rPr>
          <w:rFonts w:hint="eastAsia"/>
          <w:bCs/>
        </w:rPr>
        <w:t>0.85g/cm</w:t>
      </w:r>
      <w:r>
        <w:rPr>
          <w:rFonts w:hint="eastAsia"/>
          <w:bCs/>
          <w:vertAlign w:val="superscript"/>
        </w:rPr>
        <w:t>3</w:t>
      </w:r>
      <w:r>
        <w:rPr>
          <w:rFonts w:hint="eastAsia"/>
          <w:bCs/>
        </w:rPr>
        <w:t>计算，</w:t>
      </w:r>
      <w:r>
        <w:rPr>
          <w:rFonts w:hint="eastAsia"/>
        </w:rPr>
        <w:t>本工程船舶贮存油类物质的贮存量及临界量见下表。</w:t>
      </w:r>
    </w:p>
    <w:p>
      <w:pPr>
        <w:pStyle w:val="619"/>
      </w:pPr>
      <w:r>
        <w:rPr>
          <w:rFonts w:hint="eastAsia" w:cs="Times New Roman"/>
        </w:rPr>
        <w:t>物质</w:t>
      </w:r>
      <w:r>
        <w:rPr>
          <w:rFonts w:hint="eastAsia"/>
        </w:rPr>
        <w:t>危险性标准表</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216"/>
        <w:gridCol w:w="1502"/>
        <w:gridCol w:w="2123"/>
        <w:gridCol w:w="1666"/>
        <w:gridCol w:w="17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93" w:type="pct"/>
            <w:tcBorders>
              <w:tl2br w:val="nil"/>
              <w:tr2bl w:val="nil"/>
            </w:tcBorders>
            <w:vAlign w:val="center"/>
          </w:tcPr>
          <w:p>
            <w:pPr>
              <w:pStyle w:val="2691"/>
            </w:pPr>
            <w:r>
              <w:rPr>
                <w:rFonts w:hint="eastAsia"/>
              </w:rPr>
              <w:t>危险物质名称</w:t>
            </w:r>
          </w:p>
        </w:tc>
        <w:tc>
          <w:tcPr>
            <w:tcW w:w="809" w:type="pct"/>
            <w:tcBorders>
              <w:tl2br w:val="nil"/>
              <w:tr2bl w:val="nil"/>
            </w:tcBorders>
            <w:vAlign w:val="center"/>
          </w:tcPr>
          <w:p>
            <w:pPr>
              <w:pStyle w:val="2691"/>
            </w:pPr>
            <w:r>
              <w:rPr>
                <w:rFonts w:hint="eastAsia"/>
              </w:rPr>
              <w:t>CAS号</w:t>
            </w:r>
          </w:p>
        </w:tc>
        <w:tc>
          <w:tcPr>
            <w:tcW w:w="1143" w:type="pct"/>
            <w:tcBorders>
              <w:tl2br w:val="nil"/>
              <w:tr2bl w:val="nil"/>
            </w:tcBorders>
            <w:vAlign w:val="center"/>
          </w:tcPr>
          <w:p>
            <w:pPr>
              <w:pStyle w:val="2691"/>
            </w:pPr>
            <w:r>
              <w:rPr>
                <w:rFonts w:hint="eastAsia"/>
              </w:rPr>
              <w:t>最大存在总量qn/t</w:t>
            </w:r>
          </w:p>
        </w:tc>
        <w:tc>
          <w:tcPr>
            <w:tcW w:w="897" w:type="pct"/>
            <w:tcBorders>
              <w:tl2br w:val="nil"/>
              <w:tr2bl w:val="nil"/>
            </w:tcBorders>
            <w:vAlign w:val="center"/>
          </w:tcPr>
          <w:p>
            <w:pPr>
              <w:pStyle w:val="2691"/>
            </w:pPr>
            <w:r>
              <w:rPr>
                <w:rFonts w:hint="eastAsia"/>
              </w:rPr>
              <w:t>临界值Qn/t</w:t>
            </w:r>
          </w:p>
        </w:tc>
        <w:tc>
          <w:tcPr>
            <w:tcW w:w="958" w:type="pct"/>
            <w:tcBorders>
              <w:tl2br w:val="nil"/>
              <w:tr2bl w:val="nil"/>
            </w:tcBorders>
            <w:vAlign w:val="center"/>
          </w:tcPr>
          <w:p>
            <w:pPr>
              <w:pStyle w:val="2691"/>
            </w:pPr>
            <w:r>
              <w:rPr>
                <w:rFonts w:hint="eastAsia"/>
              </w:rPr>
              <w:t>该种危险物质Q值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93" w:type="pct"/>
            <w:tcBorders>
              <w:tl2br w:val="nil"/>
              <w:tr2bl w:val="nil"/>
            </w:tcBorders>
            <w:vAlign w:val="center"/>
          </w:tcPr>
          <w:p>
            <w:pPr>
              <w:pStyle w:val="2691"/>
            </w:pPr>
            <w:r>
              <w:rPr>
                <w:rFonts w:hint="eastAsia"/>
              </w:rPr>
              <w:t>油类物质（柴油）</w:t>
            </w:r>
          </w:p>
        </w:tc>
        <w:tc>
          <w:tcPr>
            <w:tcW w:w="809" w:type="pct"/>
            <w:tcBorders>
              <w:tl2br w:val="nil"/>
              <w:tr2bl w:val="nil"/>
            </w:tcBorders>
            <w:vAlign w:val="center"/>
          </w:tcPr>
          <w:p>
            <w:pPr>
              <w:pStyle w:val="2691"/>
            </w:pPr>
            <w:r>
              <w:rPr>
                <w:rFonts w:hint="eastAsia"/>
              </w:rPr>
              <w:t>/</w:t>
            </w:r>
          </w:p>
        </w:tc>
        <w:tc>
          <w:tcPr>
            <w:tcW w:w="1143" w:type="pct"/>
            <w:tcBorders>
              <w:tl2br w:val="nil"/>
              <w:tr2bl w:val="nil"/>
            </w:tcBorders>
            <w:vAlign w:val="center"/>
          </w:tcPr>
          <w:p>
            <w:pPr>
              <w:pStyle w:val="2691"/>
            </w:pPr>
            <w:r>
              <w:rPr>
                <w:rFonts w:hint="eastAsia"/>
              </w:rPr>
              <w:t>92.65</w:t>
            </w:r>
          </w:p>
        </w:tc>
        <w:tc>
          <w:tcPr>
            <w:tcW w:w="897" w:type="pct"/>
            <w:tcBorders>
              <w:tl2br w:val="nil"/>
              <w:tr2bl w:val="nil"/>
            </w:tcBorders>
            <w:vAlign w:val="center"/>
          </w:tcPr>
          <w:p>
            <w:pPr>
              <w:pStyle w:val="2691"/>
            </w:pPr>
            <w:r>
              <w:rPr>
                <w:rFonts w:hint="eastAsia"/>
              </w:rPr>
              <w:t>2500</w:t>
            </w:r>
          </w:p>
        </w:tc>
        <w:tc>
          <w:tcPr>
            <w:tcW w:w="958" w:type="pct"/>
            <w:tcBorders>
              <w:tl2br w:val="nil"/>
              <w:tr2bl w:val="nil"/>
            </w:tcBorders>
            <w:vAlign w:val="center"/>
          </w:tcPr>
          <w:p>
            <w:pPr>
              <w:pStyle w:val="2691"/>
            </w:pPr>
            <w:r>
              <w:t>0.0</w:t>
            </w:r>
            <w:r>
              <w:rPr>
                <w:rFonts w:hint="eastAsia"/>
              </w:rPr>
              <w:t>37</w:t>
            </w:r>
          </w:p>
        </w:tc>
      </w:tr>
    </w:tbl>
    <w:p>
      <w:pPr>
        <w:ind w:firstLine="480"/>
        <w:rPr>
          <w:szCs w:val="20"/>
        </w:rPr>
      </w:pPr>
      <w:r>
        <w:rPr>
          <w:rFonts w:hint="eastAsia"/>
        </w:rPr>
        <w:t>由上表可知，项目危险物质数量与临界量比值Q=q</w:t>
      </w:r>
      <w:r>
        <w:rPr>
          <w:rFonts w:hint="eastAsia"/>
          <w:vertAlign w:val="subscript"/>
        </w:rPr>
        <w:t>1</w:t>
      </w:r>
      <w:r>
        <w:rPr>
          <w:rFonts w:hint="eastAsia"/>
        </w:rPr>
        <w:t>/Q</w:t>
      </w:r>
      <w:r>
        <w:rPr>
          <w:rFonts w:hint="eastAsia"/>
          <w:vertAlign w:val="subscript"/>
        </w:rPr>
        <w:t>1</w:t>
      </w:r>
      <w:r>
        <w:rPr>
          <w:rFonts w:hint="eastAsia"/>
        </w:rPr>
        <w:t xml:space="preserve"> =</w:t>
      </w:r>
      <w:r>
        <w:t>0.0</w:t>
      </w:r>
      <w:r>
        <w:rPr>
          <w:rFonts w:hint="eastAsia"/>
        </w:rPr>
        <w:t>37＜1，</w:t>
      </w:r>
      <w:r>
        <w:rPr>
          <w:szCs w:val="20"/>
        </w:rPr>
        <w:t>经计算环境风险潜势为Ⅰ，故环境风险评价进行</w:t>
      </w:r>
      <w:r>
        <w:rPr>
          <w:b/>
          <w:szCs w:val="20"/>
        </w:rPr>
        <w:t>简单分析</w:t>
      </w:r>
      <w:r>
        <w:rPr>
          <w:szCs w:val="20"/>
        </w:rPr>
        <w:t>。</w:t>
      </w:r>
    </w:p>
    <w:p>
      <w:pPr>
        <w:pStyle w:val="619"/>
        <w:rPr>
          <w:rFonts w:cs="Times New Roman"/>
        </w:rPr>
      </w:pPr>
      <w:r>
        <w:rPr>
          <w:rFonts w:cs="Times New Roman"/>
        </w:rPr>
        <w:t>环境风险评价工作等级划分表</w:t>
      </w:r>
    </w:p>
    <w:tbl>
      <w:tblPr>
        <w:tblStyle w:val="3596"/>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97"/>
        <w:gridCol w:w="1707"/>
        <w:gridCol w:w="1919"/>
        <w:gridCol w:w="2345"/>
        <w:gridCol w:w="17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7" w:type="dxa"/>
            <w:vAlign w:val="center"/>
          </w:tcPr>
          <w:p>
            <w:pPr>
              <w:pStyle w:val="2691"/>
            </w:pPr>
            <w:r>
              <w:t>环境风险潜势</w:t>
            </w:r>
          </w:p>
        </w:tc>
        <w:tc>
          <w:tcPr>
            <w:tcW w:w="1707" w:type="dxa"/>
            <w:vAlign w:val="center"/>
          </w:tcPr>
          <w:p>
            <w:pPr>
              <w:pStyle w:val="2691"/>
            </w:pPr>
            <w:r>
              <w:fldChar w:fldCharType="begin"/>
            </w:r>
            <w:r>
              <w:instrText xml:space="preserve"> = 4 \* ROMAN </w:instrText>
            </w:r>
            <w:r>
              <w:fldChar w:fldCharType="separate"/>
            </w:r>
            <w:r>
              <w:t>IV</w:t>
            </w:r>
            <w:r>
              <w:fldChar w:fldCharType="end"/>
            </w:r>
            <w:r>
              <w:t>、</w:t>
            </w:r>
            <w:r>
              <w:fldChar w:fldCharType="begin"/>
            </w:r>
            <w:r>
              <w:instrText xml:space="preserve"> = 4 \* ROMAN </w:instrText>
            </w:r>
            <w:r>
              <w:fldChar w:fldCharType="separate"/>
            </w:r>
            <w:r>
              <w:t>IV</w:t>
            </w:r>
            <w:r>
              <w:fldChar w:fldCharType="end"/>
            </w:r>
            <w:r>
              <w:t>+</w:t>
            </w:r>
          </w:p>
        </w:tc>
        <w:tc>
          <w:tcPr>
            <w:tcW w:w="1919" w:type="dxa"/>
            <w:vAlign w:val="center"/>
          </w:tcPr>
          <w:p>
            <w:pPr>
              <w:pStyle w:val="2691"/>
            </w:pPr>
            <w:r>
              <w:fldChar w:fldCharType="begin"/>
            </w:r>
            <w:r>
              <w:instrText xml:space="preserve"> = 3 \* ROMAN </w:instrText>
            </w:r>
            <w:r>
              <w:fldChar w:fldCharType="separate"/>
            </w:r>
            <w:r>
              <w:t>III</w:t>
            </w:r>
            <w:r>
              <w:fldChar w:fldCharType="end"/>
            </w:r>
          </w:p>
        </w:tc>
        <w:tc>
          <w:tcPr>
            <w:tcW w:w="2345" w:type="dxa"/>
            <w:vAlign w:val="center"/>
          </w:tcPr>
          <w:p>
            <w:pPr>
              <w:pStyle w:val="2691"/>
            </w:pPr>
            <w:r>
              <w:fldChar w:fldCharType="begin"/>
            </w:r>
            <w:r>
              <w:instrText xml:space="preserve"> = 2 \* ROMAN </w:instrText>
            </w:r>
            <w:r>
              <w:fldChar w:fldCharType="separate"/>
            </w:r>
            <w:r>
              <w:t>II</w:t>
            </w:r>
            <w:r>
              <w:fldChar w:fldCharType="end"/>
            </w:r>
          </w:p>
        </w:tc>
        <w:tc>
          <w:tcPr>
            <w:tcW w:w="1707" w:type="dxa"/>
            <w:vAlign w:val="center"/>
          </w:tcPr>
          <w:p>
            <w:pPr>
              <w:pStyle w:val="2691"/>
            </w:pPr>
            <w:r>
              <w:fldChar w:fldCharType="begin"/>
            </w:r>
            <w:r>
              <w:instrText xml:space="preserve"> = 1 \* ROMAN </w:instrText>
            </w:r>
            <w:r>
              <w:fldChar w:fldCharType="separate"/>
            </w:r>
            <w:r>
              <w:t>I</w:t>
            </w:r>
            <w: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7" w:type="dxa"/>
            <w:vAlign w:val="center"/>
          </w:tcPr>
          <w:p>
            <w:pPr>
              <w:pStyle w:val="2691"/>
            </w:pPr>
            <w:r>
              <w:t>评价工作等级</w:t>
            </w:r>
          </w:p>
        </w:tc>
        <w:tc>
          <w:tcPr>
            <w:tcW w:w="1707" w:type="dxa"/>
            <w:vAlign w:val="center"/>
          </w:tcPr>
          <w:p>
            <w:pPr>
              <w:pStyle w:val="2691"/>
            </w:pPr>
            <w:r>
              <w:t>一</w:t>
            </w:r>
          </w:p>
        </w:tc>
        <w:tc>
          <w:tcPr>
            <w:tcW w:w="1919" w:type="dxa"/>
            <w:vAlign w:val="center"/>
          </w:tcPr>
          <w:p>
            <w:pPr>
              <w:pStyle w:val="2691"/>
            </w:pPr>
            <w:r>
              <w:t>二</w:t>
            </w:r>
          </w:p>
        </w:tc>
        <w:tc>
          <w:tcPr>
            <w:tcW w:w="2345" w:type="dxa"/>
            <w:vAlign w:val="center"/>
          </w:tcPr>
          <w:p>
            <w:pPr>
              <w:pStyle w:val="2691"/>
            </w:pPr>
            <w:r>
              <w:t>三</w:t>
            </w:r>
          </w:p>
        </w:tc>
        <w:tc>
          <w:tcPr>
            <w:tcW w:w="1707" w:type="dxa"/>
            <w:vAlign w:val="center"/>
          </w:tcPr>
          <w:p>
            <w:pPr>
              <w:pStyle w:val="2691"/>
            </w:pPr>
            <w:r>
              <w:t>简单分析a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175" w:type="dxa"/>
            <w:gridSpan w:val="5"/>
            <w:vAlign w:val="center"/>
          </w:tcPr>
          <w:p>
            <w:pPr>
              <w:pStyle w:val="2691"/>
            </w:pPr>
            <w:r>
              <w:t>a是相对于详细评价工作内容而言，在描述危险物质、环境影响途径、环境危害后果、风险防范措施等方面给出定性的说明。</w:t>
            </w:r>
          </w:p>
        </w:tc>
      </w:tr>
    </w:tbl>
    <w:p>
      <w:pPr>
        <w:pStyle w:val="456"/>
        <w:ind w:firstLine="482"/>
      </w:pPr>
      <w:r>
        <w:t>评价等级汇总</w:t>
      </w:r>
    </w:p>
    <w:p>
      <w:pPr>
        <w:pStyle w:val="458"/>
        <w:ind w:firstLine="480"/>
        <w:rPr>
          <w:rFonts w:cs="Times New Roman"/>
          <w:color w:val="auto"/>
        </w:rPr>
      </w:pPr>
      <w:r>
        <w:rPr>
          <w:rFonts w:cs="Times New Roman"/>
          <w:color w:val="auto"/>
        </w:rPr>
        <w:t>本项目环境评价工作等级汇总见下表。</w:t>
      </w:r>
    </w:p>
    <w:p>
      <w:pPr>
        <w:pStyle w:val="619"/>
        <w:rPr>
          <w:rFonts w:cs="Times New Roman"/>
        </w:rPr>
      </w:pPr>
      <w:r>
        <w:rPr>
          <w:rFonts w:cs="Times New Roman"/>
        </w:rPr>
        <w:t>本项目评价等级汇总表</w:t>
      </w:r>
    </w:p>
    <w:tbl>
      <w:tblPr>
        <w:tblStyle w:val="359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38"/>
        <w:gridCol w:w="2126"/>
        <w:gridCol w:w="2452"/>
        <w:gridCol w:w="31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33" w:type="dxa"/>
            <w:vAlign w:val="center"/>
          </w:tcPr>
          <w:p>
            <w:pPr>
              <w:pStyle w:val="2691"/>
            </w:pPr>
            <w:r>
              <w:t>序号</w:t>
            </w:r>
          </w:p>
        </w:tc>
        <w:tc>
          <w:tcPr>
            <w:tcW w:w="3969" w:type="dxa"/>
            <w:gridSpan w:val="2"/>
            <w:vAlign w:val="center"/>
          </w:tcPr>
          <w:p>
            <w:pPr>
              <w:pStyle w:val="2691"/>
            </w:pPr>
            <w:r>
              <w:t>评价内容</w:t>
            </w:r>
          </w:p>
        </w:tc>
        <w:tc>
          <w:tcPr>
            <w:tcW w:w="2748" w:type="dxa"/>
            <w:vAlign w:val="center"/>
          </w:tcPr>
          <w:p>
            <w:pPr>
              <w:pStyle w:val="2691"/>
            </w:pPr>
            <w:r>
              <w:t>评价工作等级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33" w:type="dxa"/>
            <w:vMerge w:val="restart"/>
            <w:vAlign w:val="center"/>
          </w:tcPr>
          <w:p>
            <w:pPr>
              <w:pStyle w:val="2691"/>
              <w:numPr>
                <w:ilvl w:val="0"/>
                <w:numId w:val="54"/>
              </w:numPr>
            </w:pPr>
          </w:p>
        </w:tc>
        <w:tc>
          <w:tcPr>
            <w:tcW w:w="1843" w:type="dxa"/>
            <w:vMerge w:val="restart"/>
            <w:vAlign w:val="center"/>
          </w:tcPr>
          <w:p>
            <w:pPr>
              <w:pStyle w:val="2691"/>
            </w:pPr>
            <w:r>
              <w:t>地表水环境</w:t>
            </w:r>
          </w:p>
        </w:tc>
        <w:tc>
          <w:tcPr>
            <w:tcW w:w="2126" w:type="dxa"/>
            <w:vAlign w:val="center"/>
          </w:tcPr>
          <w:p>
            <w:pPr>
              <w:pStyle w:val="2691"/>
            </w:pPr>
            <w:r>
              <w:t>水污染影响型</w:t>
            </w:r>
          </w:p>
        </w:tc>
        <w:tc>
          <w:tcPr>
            <w:tcW w:w="2748" w:type="dxa"/>
            <w:vAlign w:val="center"/>
          </w:tcPr>
          <w:p>
            <w:pPr>
              <w:pStyle w:val="2691"/>
            </w:pPr>
            <w:r>
              <w:t>三级B</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33" w:type="dxa"/>
            <w:vMerge w:val="continue"/>
            <w:vAlign w:val="center"/>
          </w:tcPr>
          <w:p>
            <w:pPr>
              <w:pStyle w:val="2691"/>
              <w:numPr>
                <w:ilvl w:val="0"/>
                <w:numId w:val="54"/>
              </w:numPr>
            </w:pPr>
          </w:p>
        </w:tc>
        <w:tc>
          <w:tcPr>
            <w:tcW w:w="1843" w:type="dxa"/>
            <w:vMerge w:val="continue"/>
            <w:vAlign w:val="center"/>
          </w:tcPr>
          <w:p>
            <w:pPr>
              <w:pStyle w:val="2691"/>
            </w:pPr>
          </w:p>
        </w:tc>
        <w:tc>
          <w:tcPr>
            <w:tcW w:w="2126" w:type="dxa"/>
            <w:vAlign w:val="center"/>
          </w:tcPr>
          <w:p>
            <w:pPr>
              <w:pStyle w:val="2691"/>
            </w:pPr>
            <w:r>
              <w:t>水文要素影响型</w:t>
            </w:r>
          </w:p>
        </w:tc>
        <w:tc>
          <w:tcPr>
            <w:tcW w:w="2748" w:type="dxa"/>
            <w:vAlign w:val="center"/>
          </w:tcPr>
          <w:p>
            <w:pPr>
              <w:pStyle w:val="2691"/>
            </w:pPr>
            <w:r>
              <w:t>二级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33" w:type="dxa"/>
            <w:vAlign w:val="center"/>
          </w:tcPr>
          <w:p>
            <w:pPr>
              <w:pStyle w:val="2691"/>
              <w:numPr>
                <w:ilvl w:val="0"/>
                <w:numId w:val="54"/>
              </w:numPr>
            </w:pPr>
          </w:p>
        </w:tc>
        <w:tc>
          <w:tcPr>
            <w:tcW w:w="3969" w:type="dxa"/>
            <w:gridSpan w:val="2"/>
            <w:vAlign w:val="center"/>
          </w:tcPr>
          <w:p>
            <w:pPr>
              <w:pStyle w:val="2691"/>
            </w:pPr>
            <w:r>
              <w:t>地下水环境</w:t>
            </w:r>
          </w:p>
        </w:tc>
        <w:tc>
          <w:tcPr>
            <w:tcW w:w="2748" w:type="dxa"/>
            <w:vAlign w:val="center"/>
          </w:tcPr>
          <w:p>
            <w:pPr>
              <w:pStyle w:val="2691"/>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33" w:type="dxa"/>
            <w:vAlign w:val="center"/>
          </w:tcPr>
          <w:p>
            <w:pPr>
              <w:pStyle w:val="2691"/>
              <w:numPr>
                <w:ilvl w:val="0"/>
                <w:numId w:val="54"/>
              </w:numPr>
            </w:pPr>
          </w:p>
        </w:tc>
        <w:tc>
          <w:tcPr>
            <w:tcW w:w="3969" w:type="dxa"/>
            <w:gridSpan w:val="2"/>
            <w:vAlign w:val="center"/>
          </w:tcPr>
          <w:p>
            <w:pPr>
              <w:pStyle w:val="2691"/>
            </w:pPr>
            <w:r>
              <w:t>环境空气</w:t>
            </w:r>
          </w:p>
        </w:tc>
        <w:tc>
          <w:tcPr>
            <w:tcW w:w="2748" w:type="dxa"/>
            <w:vAlign w:val="center"/>
          </w:tcPr>
          <w:p>
            <w:pPr>
              <w:pStyle w:val="2691"/>
              <w:rPr>
                <w:rFonts w:hint="eastAsia" w:eastAsia="宋体"/>
                <w:lang w:eastAsia="zh-CN"/>
              </w:rPr>
            </w:pPr>
            <w:r>
              <w:rPr>
                <w:rFonts w:hint="eastAsia"/>
                <w:lang w:val="en-US" w:eastAsia="zh-CN"/>
              </w:rPr>
              <w:t>一级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33" w:type="dxa"/>
            <w:vAlign w:val="center"/>
          </w:tcPr>
          <w:p>
            <w:pPr>
              <w:pStyle w:val="2691"/>
              <w:numPr>
                <w:ilvl w:val="0"/>
                <w:numId w:val="54"/>
              </w:numPr>
            </w:pPr>
          </w:p>
        </w:tc>
        <w:tc>
          <w:tcPr>
            <w:tcW w:w="3969" w:type="dxa"/>
            <w:gridSpan w:val="2"/>
            <w:vAlign w:val="center"/>
          </w:tcPr>
          <w:p>
            <w:pPr>
              <w:pStyle w:val="2691"/>
            </w:pPr>
            <w:r>
              <w:t>声环境</w:t>
            </w:r>
          </w:p>
        </w:tc>
        <w:tc>
          <w:tcPr>
            <w:tcW w:w="2748" w:type="dxa"/>
            <w:vAlign w:val="center"/>
          </w:tcPr>
          <w:p>
            <w:pPr>
              <w:pStyle w:val="2691"/>
            </w:pPr>
            <w: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33" w:type="dxa"/>
            <w:vAlign w:val="center"/>
          </w:tcPr>
          <w:p>
            <w:pPr>
              <w:pStyle w:val="2691"/>
              <w:numPr>
                <w:ilvl w:val="0"/>
                <w:numId w:val="54"/>
              </w:numPr>
            </w:pPr>
          </w:p>
        </w:tc>
        <w:tc>
          <w:tcPr>
            <w:tcW w:w="3969" w:type="dxa"/>
            <w:gridSpan w:val="2"/>
            <w:vAlign w:val="center"/>
          </w:tcPr>
          <w:p>
            <w:pPr>
              <w:pStyle w:val="2691"/>
            </w:pPr>
            <w:r>
              <w:t>生态环境</w:t>
            </w:r>
          </w:p>
        </w:tc>
        <w:tc>
          <w:tcPr>
            <w:tcW w:w="2748" w:type="dxa"/>
            <w:vAlign w:val="center"/>
          </w:tcPr>
          <w:p>
            <w:pPr>
              <w:pStyle w:val="2691"/>
            </w:pPr>
            <w:r>
              <w:rPr>
                <w:rFonts w:hint="eastAsia"/>
              </w:rPr>
              <w:t>一</w:t>
            </w:r>
            <w:r>
              <w:t>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33" w:type="dxa"/>
            <w:vAlign w:val="center"/>
          </w:tcPr>
          <w:p>
            <w:pPr>
              <w:pStyle w:val="2691"/>
              <w:numPr>
                <w:ilvl w:val="0"/>
                <w:numId w:val="54"/>
              </w:numPr>
            </w:pPr>
          </w:p>
        </w:tc>
        <w:tc>
          <w:tcPr>
            <w:tcW w:w="3969" w:type="dxa"/>
            <w:gridSpan w:val="2"/>
            <w:vAlign w:val="center"/>
          </w:tcPr>
          <w:p>
            <w:pPr>
              <w:pStyle w:val="2691"/>
            </w:pPr>
            <w:r>
              <w:t>土壤环境</w:t>
            </w:r>
          </w:p>
        </w:tc>
        <w:tc>
          <w:tcPr>
            <w:tcW w:w="2748" w:type="dxa"/>
            <w:vAlign w:val="center"/>
          </w:tcPr>
          <w:p>
            <w:pPr>
              <w:pStyle w:val="2691"/>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33" w:type="dxa"/>
            <w:vAlign w:val="center"/>
          </w:tcPr>
          <w:p>
            <w:pPr>
              <w:pStyle w:val="2691"/>
              <w:numPr>
                <w:ilvl w:val="0"/>
                <w:numId w:val="54"/>
              </w:numPr>
            </w:pPr>
          </w:p>
        </w:tc>
        <w:tc>
          <w:tcPr>
            <w:tcW w:w="3969" w:type="dxa"/>
            <w:gridSpan w:val="2"/>
            <w:vAlign w:val="center"/>
          </w:tcPr>
          <w:p>
            <w:pPr>
              <w:pStyle w:val="2691"/>
            </w:pPr>
            <w:r>
              <w:t>环境风险</w:t>
            </w:r>
          </w:p>
        </w:tc>
        <w:tc>
          <w:tcPr>
            <w:tcW w:w="2748" w:type="dxa"/>
            <w:vAlign w:val="center"/>
          </w:tcPr>
          <w:p>
            <w:pPr>
              <w:pStyle w:val="2691"/>
            </w:pPr>
            <w:r>
              <w:t>简单分析</w:t>
            </w:r>
          </w:p>
        </w:tc>
      </w:tr>
    </w:tbl>
    <w:p>
      <w:pPr>
        <w:pStyle w:val="454"/>
        <w:ind w:firstLine="602"/>
        <w:rPr>
          <w:color w:val="auto"/>
        </w:rPr>
      </w:pPr>
      <w:r>
        <w:rPr>
          <w:color w:val="auto"/>
        </w:rPr>
        <w:t>评价范围</w:t>
      </w:r>
    </w:p>
    <w:p>
      <w:pPr>
        <w:pStyle w:val="2101"/>
        <w:spacing w:line="360" w:lineRule="auto"/>
      </w:pPr>
      <w:r>
        <w:t>根据项目所在区域的水文资料、气象条件和环境功能区划，项目废水、废气、噪声和固体废物的产排情况，以及项目所在区域的环境敏感点分布情况。参考各环境影响评价技术导则中确定评价（评价）范围的依据和要求，归纳出本项目的现状环境影响评价范围，详见下表。</w:t>
      </w:r>
    </w:p>
    <w:p>
      <w:pPr>
        <w:pStyle w:val="619"/>
        <w:rPr>
          <w:rFonts w:cs="Times New Roman"/>
        </w:rPr>
      </w:pPr>
      <w:r>
        <w:rPr>
          <w:rFonts w:cs="Times New Roman"/>
        </w:rPr>
        <w:t>评价范围一览表</w:t>
      </w:r>
    </w:p>
    <w:tbl>
      <w:tblPr>
        <w:tblStyle w:val="359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949"/>
        <w:gridCol w:w="893"/>
        <w:gridCol w:w="544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49" w:type="dxa"/>
            <w:vAlign w:val="center"/>
          </w:tcPr>
          <w:p>
            <w:pPr>
              <w:pStyle w:val="2691"/>
            </w:pPr>
            <w:r>
              <w:t>评价环境要素</w:t>
            </w:r>
          </w:p>
        </w:tc>
        <w:tc>
          <w:tcPr>
            <w:tcW w:w="6337" w:type="dxa"/>
            <w:gridSpan w:val="2"/>
            <w:vAlign w:val="center"/>
          </w:tcPr>
          <w:p>
            <w:pPr>
              <w:pStyle w:val="2691"/>
            </w:pPr>
            <w:r>
              <w:t>评价范围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49" w:type="dxa"/>
            <w:vAlign w:val="center"/>
          </w:tcPr>
          <w:p>
            <w:pPr>
              <w:pStyle w:val="2691"/>
            </w:pPr>
            <w:r>
              <w:t>地表水环境</w:t>
            </w:r>
          </w:p>
        </w:tc>
        <w:tc>
          <w:tcPr>
            <w:tcW w:w="6337" w:type="dxa"/>
            <w:gridSpan w:val="2"/>
            <w:vAlign w:val="center"/>
          </w:tcPr>
          <w:p>
            <w:pPr>
              <w:pStyle w:val="2691"/>
            </w:pPr>
            <w:r>
              <w:t>码头上游</w:t>
            </w:r>
            <w:r>
              <w:rPr>
                <w:rFonts w:hint="eastAsia"/>
              </w:rPr>
              <w:t>1</w:t>
            </w:r>
            <w:r>
              <w:t>km至下游</w:t>
            </w:r>
            <w:r>
              <w:rPr>
                <w:rFonts w:hint="eastAsia"/>
              </w:rPr>
              <w:t>15</w:t>
            </w:r>
            <w:r>
              <w:t>km临湘市工业园滨江产业示范区自来水厂取水口下游300m处共计</w:t>
            </w:r>
            <w:r>
              <w:rPr>
                <w:rFonts w:hint="eastAsia"/>
              </w:rPr>
              <w:t>16</w:t>
            </w:r>
            <w:r>
              <w:t>km的长江水域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49" w:type="dxa"/>
            <w:vAlign w:val="center"/>
          </w:tcPr>
          <w:p>
            <w:pPr>
              <w:pStyle w:val="2691"/>
            </w:pPr>
            <w:r>
              <w:t>地下水环境</w:t>
            </w:r>
          </w:p>
        </w:tc>
        <w:tc>
          <w:tcPr>
            <w:tcW w:w="6337" w:type="dxa"/>
            <w:gridSpan w:val="2"/>
            <w:vAlign w:val="center"/>
          </w:tcPr>
          <w:p>
            <w:pPr>
              <w:pStyle w:val="2691"/>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49" w:type="dxa"/>
            <w:vAlign w:val="center"/>
          </w:tcPr>
          <w:p>
            <w:pPr>
              <w:pStyle w:val="2691"/>
            </w:pPr>
            <w:r>
              <w:t>大气环境</w:t>
            </w:r>
          </w:p>
        </w:tc>
        <w:tc>
          <w:tcPr>
            <w:tcW w:w="6337" w:type="dxa"/>
            <w:gridSpan w:val="2"/>
            <w:vAlign w:val="center"/>
          </w:tcPr>
          <w:p>
            <w:pPr>
              <w:pStyle w:val="2691"/>
            </w:pPr>
            <w:r>
              <w:t>以项目码头区域中心为中心，</w:t>
            </w:r>
            <w:r>
              <w:rPr>
                <w:spacing w:val="-12"/>
              </w:rPr>
              <w:t>边长为</w:t>
            </w:r>
            <w:r>
              <w:rPr>
                <w:spacing w:val="-6"/>
              </w:rPr>
              <w:t>5k</w:t>
            </w:r>
            <w:r>
              <w:rPr>
                <w:spacing w:val="-8"/>
              </w:rPr>
              <w:t>m</w:t>
            </w:r>
            <w:r>
              <w:rPr>
                <w:spacing w:val="-12"/>
              </w:rPr>
              <w:t>矩形范围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49" w:type="dxa"/>
            <w:vAlign w:val="center"/>
          </w:tcPr>
          <w:p>
            <w:pPr>
              <w:pStyle w:val="2691"/>
            </w:pPr>
            <w:r>
              <w:t>声环境</w:t>
            </w:r>
          </w:p>
        </w:tc>
        <w:tc>
          <w:tcPr>
            <w:tcW w:w="6337" w:type="dxa"/>
            <w:gridSpan w:val="2"/>
            <w:vAlign w:val="center"/>
          </w:tcPr>
          <w:p>
            <w:pPr>
              <w:pStyle w:val="2691"/>
            </w:pPr>
            <w:r>
              <w:t>码头四周场界外200m范围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49" w:type="dxa"/>
            <w:vAlign w:val="center"/>
          </w:tcPr>
          <w:p>
            <w:pPr>
              <w:pStyle w:val="2691"/>
            </w:pPr>
            <w:r>
              <w:t>土壤环境</w:t>
            </w:r>
          </w:p>
        </w:tc>
        <w:tc>
          <w:tcPr>
            <w:tcW w:w="6337" w:type="dxa"/>
            <w:gridSpan w:val="2"/>
            <w:vAlign w:val="center"/>
          </w:tcPr>
          <w:p>
            <w:pPr>
              <w:pStyle w:val="2691"/>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2949" w:type="dxa"/>
            <w:vMerge w:val="restart"/>
            <w:vAlign w:val="center"/>
          </w:tcPr>
          <w:p>
            <w:pPr>
              <w:pStyle w:val="2691"/>
            </w:pPr>
            <w:r>
              <w:t>生态环境</w:t>
            </w:r>
          </w:p>
        </w:tc>
        <w:tc>
          <w:tcPr>
            <w:tcW w:w="893" w:type="dxa"/>
            <w:vAlign w:val="center"/>
          </w:tcPr>
          <w:p>
            <w:pPr>
              <w:pStyle w:val="2691"/>
            </w:pPr>
            <w:r>
              <w:t>水域</w:t>
            </w:r>
          </w:p>
        </w:tc>
        <w:tc>
          <w:tcPr>
            <w:tcW w:w="5444" w:type="dxa"/>
            <w:vAlign w:val="center"/>
          </w:tcPr>
          <w:p>
            <w:pPr>
              <w:pStyle w:val="2691"/>
            </w:pPr>
            <w:r>
              <w:t>码头上游</w:t>
            </w:r>
            <w:r>
              <w:rPr>
                <w:color w:val="000000" w:themeColor="text1"/>
                <w:szCs w:val="20"/>
                <w14:textFill>
                  <w14:solidFill>
                    <w14:schemeClr w14:val="tx1"/>
                  </w14:solidFill>
                </w14:textFill>
              </w:rPr>
              <w:t>洞庭湖口铜鱼短颌鲚国家级水产种质资源保护区</w:t>
            </w:r>
            <w:r>
              <w:t>的上边界，下游至长江监利段四大家鱼国家级水产种质资源保护区的下边界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49" w:type="dxa"/>
            <w:vMerge w:val="continue"/>
            <w:vAlign w:val="center"/>
          </w:tcPr>
          <w:p>
            <w:pPr>
              <w:pStyle w:val="2691"/>
            </w:pPr>
          </w:p>
        </w:tc>
        <w:tc>
          <w:tcPr>
            <w:tcW w:w="893" w:type="dxa"/>
            <w:vAlign w:val="center"/>
          </w:tcPr>
          <w:p>
            <w:pPr>
              <w:pStyle w:val="2691"/>
            </w:pPr>
            <w:r>
              <w:t>陆域</w:t>
            </w:r>
          </w:p>
        </w:tc>
        <w:tc>
          <w:tcPr>
            <w:tcW w:w="5444" w:type="dxa"/>
            <w:vAlign w:val="center"/>
          </w:tcPr>
          <w:p>
            <w:pPr>
              <w:pStyle w:val="2691"/>
            </w:pPr>
            <w:r>
              <w:t>码头边界周围外</w:t>
            </w:r>
            <w:r>
              <w:rPr>
                <w:rFonts w:hint="eastAsia"/>
              </w:rPr>
              <w:t>3</w:t>
            </w:r>
            <w:r>
              <w:t>00m范围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49" w:type="dxa"/>
            <w:vAlign w:val="center"/>
          </w:tcPr>
          <w:p>
            <w:pPr>
              <w:pStyle w:val="2691"/>
            </w:pPr>
            <w:r>
              <w:t>环境风险</w:t>
            </w:r>
          </w:p>
        </w:tc>
        <w:tc>
          <w:tcPr>
            <w:tcW w:w="6337" w:type="dxa"/>
            <w:gridSpan w:val="2"/>
            <w:vAlign w:val="center"/>
          </w:tcPr>
          <w:p>
            <w:pPr>
              <w:pStyle w:val="2691"/>
            </w:pPr>
            <w:r>
              <w:t>码头上游</w:t>
            </w:r>
            <w:r>
              <w:rPr>
                <w:rFonts w:hint="eastAsia"/>
              </w:rPr>
              <w:t>1</w:t>
            </w:r>
            <w:r>
              <w:t>km至下游</w:t>
            </w:r>
            <w:r>
              <w:rPr>
                <w:rFonts w:hint="eastAsia"/>
              </w:rPr>
              <w:t>15</w:t>
            </w:r>
            <w:r>
              <w:t>km临湘市工业园滨江产业示范区自来水厂取水口下游300m处共计</w:t>
            </w:r>
            <w:r>
              <w:rPr>
                <w:rFonts w:hint="eastAsia"/>
              </w:rPr>
              <w:t>16</w:t>
            </w:r>
            <w:r>
              <w:t>km的长江水域</w:t>
            </w:r>
          </w:p>
        </w:tc>
      </w:tr>
    </w:tbl>
    <w:p>
      <w:pPr>
        <w:pStyle w:val="453"/>
        <w:ind w:firstLine="643" w:firstLineChars="0"/>
        <w:rPr>
          <w:rFonts w:ascii="Times New Roman" w:cs="Times New Roman"/>
        </w:rPr>
      </w:pPr>
      <w:bookmarkStart w:id="45" w:name="_Toc106696993"/>
      <w:bookmarkStart w:id="46" w:name="_Toc19832"/>
      <w:bookmarkStart w:id="47" w:name="_Toc3174"/>
      <w:r>
        <w:rPr>
          <w:rFonts w:ascii="Times New Roman" w:cs="Times New Roman"/>
        </w:rPr>
        <w:t>环境功能区划与评价标准</w:t>
      </w:r>
      <w:bookmarkEnd w:id="45"/>
      <w:bookmarkEnd w:id="46"/>
      <w:bookmarkEnd w:id="47"/>
    </w:p>
    <w:p>
      <w:pPr>
        <w:pStyle w:val="454"/>
        <w:ind w:firstLine="602"/>
        <w:rPr>
          <w:color w:val="auto"/>
        </w:rPr>
      </w:pPr>
      <w:r>
        <w:rPr>
          <w:color w:val="auto"/>
        </w:rPr>
        <w:t>环境功能区划</w:t>
      </w:r>
    </w:p>
    <w:p>
      <w:pPr>
        <w:pStyle w:val="456"/>
        <w:ind w:firstLine="482"/>
      </w:pPr>
      <w:r>
        <w:t>地表水环境功能区划</w:t>
      </w:r>
    </w:p>
    <w:p>
      <w:pPr>
        <w:pStyle w:val="458"/>
        <w:ind w:firstLine="480"/>
        <w:rPr>
          <w:rFonts w:cs="Times New Roman"/>
          <w:color w:val="auto"/>
        </w:rPr>
      </w:pPr>
      <w:r>
        <w:rPr>
          <w:rFonts w:cs="Times New Roman"/>
          <w:color w:val="auto"/>
          <w:szCs w:val="24"/>
        </w:rPr>
        <w:t>本项目地表水体为长江干流岳阳段，根据</w:t>
      </w:r>
      <w:r>
        <w:rPr>
          <w:rFonts w:cs="Times New Roman"/>
          <w:color w:val="auto"/>
        </w:rPr>
        <w:t>《湖南省主要水系地表水环境功能区划》（DB43/023-2005）</w:t>
      </w:r>
      <w:r>
        <w:rPr>
          <w:rFonts w:hint="eastAsia" w:cs="Times New Roman"/>
          <w:color w:val="auto"/>
        </w:rPr>
        <w:t>，</w:t>
      </w:r>
      <w:r>
        <w:rPr>
          <w:rFonts w:cs="Times New Roman"/>
          <w:color w:val="auto"/>
          <w:szCs w:val="24"/>
        </w:rPr>
        <w:t>工程所涉水功能区为渔业用水区，</w:t>
      </w:r>
      <w:r>
        <w:rPr>
          <w:rFonts w:hint="eastAsia" w:cs="Times New Roman"/>
          <w:color w:val="auto"/>
          <w:szCs w:val="24"/>
          <w:lang w:val="en-US" w:eastAsia="zh-CN"/>
        </w:rPr>
        <w:t>执行</w:t>
      </w:r>
      <w:r>
        <w:rPr>
          <w:rFonts w:cs="Times New Roman"/>
          <w:color w:val="auto"/>
          <w:szCs w:val="24"/>
        </w:rPr>
        <w:t>《地表水环境质量标准》（GB3838-2002）中Ⅲ类水体</w:t>
      </w:r>
      <w:r>
        <w:rPr>
          <w:rFonts w:cs="Times New Roman"/>
          <w:color w:val="auto"/>
        </w:rPr>
        <w:t>。</w:t>
      </w:r>
    </w:p>
    <w:p>
      <w:pPr>
        <w:pStyle w:val="456"/>
        <w:ind w:firstLine="482"/>
      </w:pPr>
      <w:r>
        <w:t>地下水环境功能区划</w:t>
      </w:r>
    </w:p>
    <w:p>
      <w:pPr>
        <w:pStyle w:val="458"/>
        <w:ind w:firstLine="480"/>
        <w:rPr>
          <w:rFonts w:cs="Times New Roman"/>
          <w:color w:val="auto"/>
        </w:rPr>
      </w:pPr>
      <w:r>
        <w:rPr>
          <w:rFonts w:cs="Times New Roman"/>
          <w:color w:val="auto"/>
        </w:rPr>
        <w:t>本项目所在地地下水执行《地下水质量标准》（GB/T14848-2017）Ⅲ类标准。</w:t>
      </w:r>
    </w:p>
    <w:p>
      <w:pPr>
        <w:pStyle w:val="456"/>
        <w:ind w:firstLine="482"/>
      </w:pPr>
      <w:r>
        <w:t>环境空气功能区划</w:t>
      </w:r>
    </w:p>
    <w:p>
      <w:pPr>
        <w:pStyle w:val="458"/>
        <w:ind w:firstLine="480"/>
        <w:rPr>
          <w:rFonts w:cs="Times New Roman"/>
          <w:color w:val="auto"/>
        </w:rPr>
      </w:pPr>
      <w:r>
        <w:rPr>
          <w:rFonts w:cs="Times New Roman"/>
          <w:color w:val="auto"/>
          <w:szCs w:val="24"/>
        </w:rPr>
        <w:t>本项目所在区域属于《环境空气质量标准》（GB3095-2012）二类功能区，执行环境空气质量标准》（GB3095-2012）二级标准</w:t>
      </w:r>
      <w:r>
        <w:rPr>
          <w:rFonts w:cs="Times New Roman"/>
          <w:color w:val="auto"/>
        </w:rPr>
        <w:t>。</w:t>
      </w:r>
    </w:p>
    <w:p>
      <w:pPr>
        <w:pStyle w:val="456"/>
        <w:ind w:firstLine="482"/>
      </w:pPr>
      <w:r>
        <w:t>声环境功能区划</w:t>
      </w:r>
    </w:p>
    <w:p>
      <w:pPr>
        <w:pStyle w:val="458"/>
        <w:ind w:firstLine="480"/>
        <w:rPr>
          <w:rFonts w:cs="Times New Roman"/>
          <w:color w:val="auto"/>
          <w:szCs w:val="24"/>
          <w:lang w:val="zh-CN"/>
        </w:rPr>
      </w:pPr>
      <w:r>
        <w:rPr>
          <w:rFonts w:cs="Times New Roman"/>
          <w:color w:val="auto"/>
          <w:szCs w:val="24"/>
        </w:rPr>
        <w:t>本项目码头位于岳阳市云溪港区</w:t>
      </w:r>
      <w:r>
        <w:rPr>
          <w:rFonts w:hint="eastAsia" w:cs="Times New Roman"/>
          <w:color w:val="auto"/>
          <w:szCs w:val="24"/>
        </w:rPr>
        <w:t>道仁矶作业区</w:t>
      </w:r>
      <w:r>
        <w:rPr>
          <w:rFonts w:cs="Times New Roman"/>
          <w:color w:val="auto"/>
          <w:szCs w:val="24"/>
        </w:rPr>
        <w:t>，根据岳阳市人民政府关于印发《岳阳市中心城区声环境功能区划分（2019年修编稿）》的通知</w:t>
      </w:r>
      <w:r>
        <w:rPr>
          <w:rFonts w:hint="eastAsia" w:cs="Times New Roman"/>
          <w:color w:val="auto"/>
          <w:szCs w:val="24"/>
        </w:rPr>
        <w:t>附表1-3 云溪区声环境功能区划分结果，道仁矶港区边界外50m范围为</w:t>
      </w:r>
      <w:r>
        <w:rPr>
          <w:rFonts w:cs="Times New Roman"/>
          <w:color w:val="auto"/>
          <w:szCs w:val="24"/>
        </w:rPr>
        <w:t>4类功能区</w:t>
      </w:r>
      <w:r>
        <w:rPr>
          <w:rFonts w:hint="eastAsia" w:cs="Times New Roman"/>
          <w:color w:val="auto"/>
          <w:szCs w:val="24"/>
        </w:rPr>
        <w:t>，</w:t>
      </w:r>
      <w:r>
        <w:rPr>
          <w:rFonts w:cs="Times New Roman"/>
          <w:color w:val="auto"/>
          <w:szCs w:val="24"/>
        </w:rPr>
        <w:t>执行《声环境质量标准》（GB3096-2008）4a 类标准，（道仁矶物流园、道仁矶工业园）丁山路-沿堤路-扬帆路-仁和路区为声环境3类功能区，村庄原则上执行1类声环境功能区要求，工业活动较多的村庄以及有交通干线经过的村庄（指执行4类声环境功能区要求以外的地区）可局部或全部执行2类声环境功能区要求；</w:t>
      </w:r>
      <w:r>
        <w:rPr>
          <w:rFonts w:hint="eastAsia" w:cs="Times New Roman"/>
          <w:color w:val="auto"/>
          <w:szCs w:val="24"/>
        </w:rPr>
        <w:t>项目所在地属于工业活动较多的村庄，</w:t>
      </w:r>
      <w:r>
        <w:rPr>
          <w:rFonts w:cs="Times New Roman"/>
          <w:color w:val="auto"/>
          <w:szCs w:val="24"/>
        </w:rPr>
        <w:t>敏感点声环境质量执行《声环境质量标准》（GB3096-2008）2 类标准</w:t>
      </w:r>
      <w:r>
        <w:rPr>
          <w:rFonts w:cs="Times New Roman"/>
          <w:color w:val="auto"/>
          <w:szCs w:val="24"/>
          <w:lang w:val="zh-CN"/>
        </w:rPr>
        <w:t>。</w:t>
      </w:r>
    </w:p>
    <w:p>
      <w:pPr>
        <w:pStyle w:val="456"/>
        <w:ind w:firstLine="482"/>
      </w:pPr>
      <w:r>
        <w:t>土壤环境功能区划</w:t>
      </w:r>
    </w:p>
    <w:p>
      <w:pPr>
        <w:ind w:firstLine="480"/>
      </w:pPr>
      <w:r>
        <w:t>本项目码头工程区域底泥参考执行《土壤环境质量</w:t>
      </w:r>
      <w:r>
        <w:rPr>
          <w:rFonts w:hint="eastAsia"/>
          <w:lang w:val="en-US" w:eastAsia="zh-CN"/>
        </w:rPr>
        <w:t xml:space="preserve"> </w:t>
      </w:r>
      <w:r>
        <w:t>建设用地土壤污染风险管控标准》（GB36600-2018）中</w:t>
      </w:r>
      <w:r>
        <w:rPr>
          <w:rFonts w:hint="eastAsia"/>
          <w:lang w:val="en-US" w:eastAsia="zh-CN"/>
        </w:rPr>
        <w:t>表1第</w:t>
      </w:r>
      <w:r>
        <w:t>二类用地</w:t>
      </w:r>
      <w:r>
        <w:rPr>
          <w:rFonts w:hint="eastAsia"/>
          <w:lang w:val="en-US" w:eastAsia="zh-CN"/>
        </w:rPr>
        <w:t>筛选值</w:t>
      </w:r>
      <w:r>
        <w:t>标准要求。</w:t>
      </w:r>
    </w:p>
    <w:p>
      <w:pPr>
        <w:pStyle w:val="456"/>
        <w:ind w:firstLine="482"/>
      </w:pPr>
      <w:r>
        <w:t>环境功能区划汇总</w:t>
      </w:r>
    </w:p>
    <w:p>
      <w:pPr>
        <w:pStyle w:val="619"/>
        <w:rPr>
          <w:rFonts w:cs="Times New Roman"/>
        </w:rPr>
      </w:pPr>
      <w:r>
        <w:rPr>
          <w:rFonts w:hint="eastAsia" w:cs="Times New Roman"/>
        </w:rPr>
        <w:t xml:space="preserve"> </w:t>
      </w:r>
      <w:r>
        <w:rPr>
          <w:rFonts w:cs="Times New Roman"/>
        </w:rPr>
        <w:t>建设项目环境功能属性表</w:t>
      </w:r>
    </w:p>
    <w:tbl>
      <w:tblPr>
        <w:tblStyle w:val="3596"/>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46"/>
        <w:gridCol w:w="2785"/>
        <w:gridCol w:w="58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 w:hRule="atLeast"/>
          <w:jc w:val="center"/>
        </w:trPr>
        <w:tc>
          <w:tcPr>
            <w:tcW w:w="646" w:type="dxa"/>
            <w:vAlign w:val="center"/>
          </w:tcPr>
          <w:p>
            <w:pPr>
              <w:pStyle w:val="2691"/>
            </w:pPr>
            <w:r>
              <w:t>编号</w:t>
            </w:r>
          </w:p>
        </w:tc>
        <w:tc>
          <w:tcPr>
            <w:tcW w:w="2785" w:type="dxa"/>
            <w:vAlign w:val="center"/>
          </w:tcPr>
          <w:p>
            <w:pPr>
              <w:pStyle w:val="2691"/>
            </w:pPr>
            <w:r>
              <w:t>项目</w:t>
            </w:r>
          </w:p>
        </w:tc>
        <w:tc>
          <w:tcPr>
            <w:tcW w:w="5832" w:type="dxa"/>
            <w:vAlign w:val="center"/>
          </w:tcPr>
          <w:p>
            <w:pPr>
              <w:pStyle w:val="2691"/>
            </w:pPr>
            <w:r>
              <w:t>功能属性及执行标准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6" w:type="dxa"/>
            <w:vAlign w:val="center"/>
          </w:tcPr>
          <w:p>
            <w:pPr>
              <w:pStyle w:val="2691"/>
              <w:numPr>
                <w:ilvl w:val="0"/>
                <w:numId w:val="55"/>
              </w:numPr>
              <w:ind w:left="0" w:firstLine="0"/>
            </w:pPr>
          </w:p>
        </w:tc>
        <w:tc>
          <w:tcPr>
            <w:tcW w:w="2785" w:type="dxa"/>
            <w:vAlign w:val="center"/>
          </w:tcPr>
          <w:p>
            <w:pPr>
              <w:pStyle w:val="2691"/>
            </w:pPr>
            <w:r>
              <w:t>地表水环境功能区</w:t>
            </w:r>
          </w:p>
        </w:tc>
        <w:tc>
          <w:tcPr>
            <w:tcW w:w="5832" w:type="dxa"/>
            <w:vAlign w:val="center"/>
          </w:tcPr>
          <w:p>
            <w:pPr>
              <w:pStyle w:val="2691"/>
            </w:pPr>
            <w:r>
              <w:t>Ⅲ类，执行（GB3838-2002）Ⅲ类标准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6" w:type="dxa"/>
            <w:vAlign w:val="center"/>
          </w:tcPr>
          <w:p>
            <w:pPr>
              <w:pStyle w:val="2691"/>
              <w:numPr>
                <w:ilvl w:val="0"/>
                <w:numId w:val="55"/>
              </w:numPr>
              <w:ind w:left="0" w:firstLine="0"/>
            </w:pPr>
          </w:p>
        </w:tc>
        <w:tc>
          <w:tcPr>
            <w:tcW w:w="2785" w:type="dxa"/>
            <w:vAlign w:val="center"/>
          </w:tcPr>
          <w:p>
            <w:pPr>
              <w:pStyle w:val="2691"/>
            </w:pPr>
            <w:r>
              <w:t>环境空气质量功能区</w:t>
            </w:r>
          </w:p>
        </w:tc>
        <w:tc>
          <w:tcPr>
            <w:tcW w:w="5832" w:type="dxa"/>
            <w:vAlign w:val="center"/>
          </w:tcPr>
          <w:p>
            <w:pPr>
              <w:pStyle w:val="2691"/>
            </w:pPr>
            <w:r>
              <w:t>二类区，执行（GB3095-2012）二级标准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6" w:type="dxa"/>
            <w:vAlign w:val="center"/>
          </w:tcPr>
          <w:p>
            <w:pPr>
              <w:pStyle w:val="2691"/>
              <w:numPr>
                <w:ilvl w:val="0"/>
                <w:numId w:val="55"/>
              </w:numPr>
              <w:ind w:left="0" w:firstLine="0"/>
            </w:pPr>
          </w:p>
        </w:tc>
        <w:tc>
          <w:tcPr>
            <w:tcW w:w="2785" w:type="dxa"/>
            <w:vAlign w:val="center"/>
          </w:tcPr>
          <w:p>
            <w:pPr>
              <w:pStyle w:val="2691"/>
            </w:pPr>
            <w:r>
              <w:t>声环境功能区</w:t>
            </w:r>
          </w:p>
        </w:tc>
        <w:tc>
          <w:tcPr>
            <w:tcW w:w="5832" w:type="dxa"/>
            <w:vAlign w:val="center"/>
          </w:tcPr>
          <w:p>
            <w:pPr>
              <w:pStyle w:val="2691"/>
            </w:pPr>
            <w:r>
              <w:t>2类、3类、4a类区，执行（GB3096-2008）2类、3类、4a类标准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6" w:type="dxa"/>
            <w:vAlign w:val="center"/>
          </w:tcPr>
          <w:p>
            <w:pPr>
              <w:pStyle w:val="2691"/>
              <w:numPr>
                <w:ilvl w:val="0"/>
                <w:numId w:val="55"/>
              </w:numPr>
              <w:ind w:left="0" w:firstLine="0"/>
            </w:pPr>
          </w:p>
        </w:tc>
        <w:tc>
          <w:tcPr>
            <w:tcW w:w="2785" w:type="dxa"/>
            <w:vAlign w:val="center"/>
          </w:tcPr>
          <w:p>
            <w:pPr>
              <w:pStyle w:val="2691"/>
            </w:pPr>
            <w:r>
              <w:t>是否基本农田保护区</w:t>
            </w:r>
          </w:p>
        </w:tc>
        <w:tc>
          <w:tcPr>
            <w:tcW w:w="5832" w:type="dxa"/>
            <w:vAlign w:val="center"/>
          </w:tcPr>
          <w:p>
            <w:pPr>
              <w:pStyle w:val="2691"/>
            </w:pPr>
            <w: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6" w:type="dxa"/>
            <w:vAlign w:val="center"/>
          </w:tcPr>
          <w:p>
            <w:pPr>
              <w:pStyle w:val="2691"/>
              <w:numPr>
                <w:ilvl w:val="0"/>
                <w:numId w:val="55"/>
              </w:numPr>
              <w:ind w:left="0" w:firstLine="0"/>
            </w:pPr>
          </w:p>
        </w:tc>
        <w:tc>
          <w:tcPr>
            <w:tcW w:w="2785" w:type="dxa"/>
            <w:vAlign w:val="center"/>
          </w:tcPr>
          <w:p>
            <w:pPr>
              <w:pStyle w:val="2691"/>
            </w:pPr>
            <w:r>
              <w:t>是否风景名胜区</w:t>
            </w:r>
          </w:p>
        </w:tc>
        <w:tc>
          <w:tcPr>
            <w:tcW w:w="5832" w:type="dxa"/>
            <w:vAlign w:val="center"/>
          </w:tcPr>
          <w:p>
            <w:pPr>
              <w:pStyle w:val="2691"/>
            </w:pPr>
            <w: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6" w:type="dxa"/>
            <w:vAlign w:val="center"/>
          </w:tcPr>
          <w:p>
            <w:pPr>
              <w:pStyle w:val="2691"/>
              <w:numPr>
                <w:ilvl w:val="0"/>
                <w:numId w:val="55"/>
              </w:numPr>
              <w:ind w:left="0" w:firstLine="0"/>
            </w:pPr>
          </w:p>
        </w:tc>
        <w:tc>
          <w:tcPr>
            <w:tcW w:w="2785" w:type="dxa"/>
            <w:vAlign w:val="center"/>
          </w:tcPr>
          <w:p>
            <w:pPr>
              <w:pStyle w:val="2691"/>
            </w:pPr>
            <w:r>
              <w:t>是否自然保护区</w:t>
            </w:r>
          </w:p>
        </w:tc>
        <w:tc>
          <w:tcPr>
            <w:tcW w:w="5832" w:type="dxa"/>
            <w:vAlign w:val="center"/>
          </w:tcPr>
          <w:p>
            <w:pPr>
              <w:pStyle w:val="2691"/>
            </w:pPr>
            <w: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6" w:type="dxa"/>
            <w:vAlign w:val="center"/>
          </w:tcPr>
          <w:p>
            <w:pPr>
              <w:pStyle w:val="2691"/>
              <w:numPr>
                <w:ilvl w:val="0"/>
                <w:numId w:val="55"/>
              </w:numPr>
              <w:ind w:left="0" w:firstLine="0"/>
            </w:pPr>
          </w:p>
        </w:tc>
        <w:tc>
          <w:tcPr>
            <w:tcW w:w="2785" w:type="dxa"/>
            <w:vAlign w:val="center"/>
          </w:tcPr>
          <w:p>
            <w:pPr>
              <w:pStyle w:val="2691"/>
            </w:pPr>
            <w:r>
              <w:t>是否森林公园</w:t>
            </w:r>
          </w:p>
        </w:tc>
        <w:tc>
          <w:tcPr>
            <w:tcW w:w="5832" w:type="dxa"/>
            <w:vAlign w:val="center"/>
          </w:tcPr>
          <w:p>
            <w:pPr>
              <w:pStyle w:val="2691"/>
            </w:pPr>
            <w: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6" w:type="dxa"/>
            <w:vAlign w:val="center"/>
          </w:tcPr>
          <w:p>
            <w:pPr>
              <w:pStyle w:val="2691"/>
              <w:numPr>
                <w:ilvl w:val="0"/>
                <w:numId w:val="55"/>
              </w:numPr>
              <w:ind w:left="0" w:firstLine="0"/>
            </w:pPr>
          </w:p>
        </w:tc>
        <w:tc>
          <w:tcPr>
            <w:tcW w:w="2785" w:type="dxa"/>
            <w:vAlign w:val="center"/>
          </w:tcPr>
          <w:p>
            <w:pPr>
              <w:pStyle w:val="2691"/>
            </w:pPr>
            <w:r>
              <w:t>是否人口密集区</w:t>
            </w:r>
          </w:p>
        </w:tc>
        <w:tc>
          <w:tcPr>
            <w:tcW w:w="5832" w:type="dxa"/>
            <w:vAlign w:val="center"/>
          </w:tcPr>
          <w:p>
            <w:pPr>
              <w:pStyle w:val="2691"/>
            </w:pPr>
            <w: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6" w:type="dxa"/>
            <w:vAlign w:val="center"/>
          </w:tcPr>
          <w:p>
            <w:pPr>
              <w:pStyle w:val="2691"/>
              <w:numPr>
                <w:ilvl w:val="0"/>
                <w:numId w:val="55"/>
              </w:numPr>
              <w:ind w:left="0" w:firstLine="0"/>
            </w:pPr>
          </w:p>
        </w:tc>
        <w:tc>
          <w:tcPr>
            <w:tcW w:w="2785" w:type="dxa"/>
            <w:vAlign w:val="center"/>
          </w:tcPr>
          <w:p>
            <w:pPr>
              <w:pStyle w:val="2691"/>
            </w:pPr>
            <w:r>
              <w:t>是否重点文物保护单位</w:t>
            </w:r>
          </w:p>
        </w:tc>
        <w:tc>
          <w:tcPr>
            <w:tcW w:w="5832" w:type="dxa"/>
            <w:vAlign w:val="center"/>
          </w:tcPr>
          <w:p>
            <w:pPr>
              <w:pStyle w:val="2691"/>
            </w:pPr>
            <w: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46" w:type="dxa"/>
            <w:vAlign w:val="center"/>
          </w:tcPr>
          <w:p>
            <w:pPr>
              <w:pStyle w:val="2691"/>
              <w:numPr>
                <w:ilvl w:val="0"/>
                <w:numId w:val="55"/>
              </w:numPr>
              <w:ind w:left="0" w:firstLine="0"/>
            </w:pPr>
          </w:p>
        </w:tc>
        <w:tc>
          <w:tcPr>
            <w:tcW w:w="2785" w:type="dxa"/>
            <w:vAlign w:val="center"/>
          </w:tcPr>
          <w:p>
            <w:pPr>
              <w:pStyle w:val="2691"/>
            </w:pPr>
            <w:r>
              <w:t>是否水库库区</w:t>
            </w:r>
          </w:p>
        </w:tc>
        <w:tc>
          <w:tcPr>
            <w:tcW w:w="5832" w:type="dxa"/>
            <w:vAlign w:val="center"/>
          </w:tcPr>
          <w:p>
            <w:pPr>
              <w:pStyle w:val="2691"/>
            </w:pPr>
            <w: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646" w:type="dxa"/>
            <w:vAlign w:val="center"/>
          </w:tcPr>
          <w:p>
            <w:pPr>
              <w:pStyle w:val="2691"/>
              <w:numPr>
                <w:ilvl w:val="0"/>
                <w:numId w:val="55"/>
              </w:numPr>
              <w:ind w:left="0" w:firstLine="0"/>
            </w:pPr>
          </w:p>
        </w:tc>
        <w:tc>
          <w:tcPr>
            <w:tcW w:w="2785" w:type="dxa"/>
            <w:vAlign w:val="center"/>
          </w:tcPr>
          <w:p>
            <w:pPr>
              <w:pStyle w:val="2691"/>
            </w:pPr>
            <w:r>
              <w:t>是否属于生态敏感与脆弱区</w:t>
            </w:r>
          </w:p>
        </w:tc>
        <w:tc>
          <w:tcPr>
            <w:tcW w:w="5832" w:type="dxa"/>
            <w:vAlign w:val="center"/>
          </w:tcPr>
          <w:p>
            <w:pPr>
              <w:pStyle w:val="2691"/>
            </w:pPr>
            <w:r>
              <w:t>是，位于洞庭湖口铜鱼短颌鲚国家级水产种质资源保护区实验区</w:t>
            </w:r>
          </w:p>
        </w:tc>
      </w:tr>
    </w:tbl>
    <w:p>
      <w:pPr>
        <w:pStyle w:val="454"/>
        <w:ind w:firstLine="602"/>
        <w:rPr>
          <w:color w:val="auto"/>
        </w:rPr>
      </w:pPr>
      <w:r>
        <w:rPr>
          <w:color w:val="auto"/>
        </w:rPr>
        <w:t>环境质量标准</w:t>
      </w:r>
    </w:p>
    <w:p>
      <w:pPr>
        <w:pStyle w:val="456"/>
        <w:ind w:firstLine="482"/>
      </w:pPr>
      <w:r>
        <w:t>地表水环境质量标准</w:t>
      </w:r>
    </w:p>
    <w:p>
      <w:pPr>
        <w:ind w:firstLine="480"/>
      </w:pPr>
      <w:r>
        <w:t>根据环境功能区划，长江（岳阳段）水质执行《地表水环境质量标准》（GB3838-2002）III类标准，详见下表。</w:t>
      </w:r>
    </w:p>
    <w:p>
      <w:pPr>
        <w:pStyle w:val="619"/>
        <w:rPr>
          <w:rFonts w:cs="Times New Roman"/>
        </w:rPr>
      </w:pPr>
      <w:r>
        <w:rPr>
          <w:rFonts w:hint="eastAsia" w:cs="Times New Roman"/>
        </w:rPr>
        <w:t xml:space="preserve"> </w:t>
      </w:r>
      <w:r>
        <w:rPr>
          <w:rFonts w:cs="Times New Roman"/>
        </w:rPr>
        <w:t>地表水环境质量标准值一览表  单位:mg/L(pH无量纲)</w:t>
      </w:r>
    </w:p>
    <w:tbl>
      <w:tblPr>
        <w:tblStyle w:val="3596"/>
        <w:tblW w:w="94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119"/>
        <w:gridCol w:w="914"/>
        <w:gridCol w:w="1134"/>
        <w:gridCol w:w="969"/>
        <w:gridCol w:w="873"/>
        <w:gridCol w:w="766"/>
        <w:gridCol w:w="1439"/>
        <w:gridCol w:w="148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709" w:type="dxa"/>
            <w:vAlign w:val="center"/>
          </w:tcPr>
          <w:p>
            <w:pPr>
              <w:pStyle w:val="2691"/>
            </w:pPr>
            <w:r>
              <w:t>参数</w:t>
            </w:r>
          </w:p>
        </w:tc>
        <w:tc>
          <w:tcPr>
            <w:tcW w:w="1119" w:type="dxa"/>
            <w:vAlign w:val="center"/>
          </w:tcPr>
          <w:p>
            <w:pPr>
              <w:pStyle w:val="2691"/>
            </w:pPr>
            <w:r>
              <w:t>水温</w:t>
            </w:r>
          </w:p>
        </w:tc>
        <w:tc>
          <w:tcPr>
            <w:tcW w:w="914" w:type="dxa"/>
            <w:vAlign w:val="center"/>
          </w:tcPr>
          <w:p>
            <w:pPr>
              <w:pStyle w:val="2691"/>
            </w:pPr>
            <w:r>
              <w:t>pH</w:t>
            </w:r>
          </w:p>
        </w:tc>
        <w:tc>
          <w:tcPr>
            <w:tcW w:w="1134" w:type="dxa"/>
            <w:vAlign w:val="center"/>
          </w:tcPr>
          <w:p>
            <w:pPr>
              <w:pStyle w:val="2691"/>
            </w:pPr>
            <w:r>
              <w:t>BOD</w:t>
            </w:r>
            <w:r>
              <w:rPr>
                <w:vertAlign w:val="subscript"/>
              </w:rPr>
              <w:t>5</w:t>
            </w:r>
          </w:p>
        </w:tc>
        <w:tc>
          <w:tcPr>
            <w:tcW w:w="969" w:type="dxa"/>
            <w:vAlign w:val="center"/>
          </w:tcPr>
          <w:p>
            <w:pPr>
              <w:pStyle w:val="2691"/>
            </w:pPr>
            <w:r>
              <w:t>CODcr</w:t>
            </w:r>
          </w:p>
        </w:tc>
        <w:tc>
          <w:tcPr>
            <w:tcW w:w="873" w:type="dxa"/>
            <w:vAlign w:val="center"/>
          </w:tcPr>
          <w:p>
            <w:pPr>
              <w:pStyle w:val="2691"/>
            </w:pPr>
            <w:r>
              <w:t>NH</w:t>
            </w:r>
            <w:r>
              <w:rPr>
                <w:vertAlign w:val="subscript"/>
              </w:rPr>
              <w:t>3</w:t>
            </w:r>
            <w:r>
              <w:t>-N</w:t>
            </w:r>
          </w:p>
        </w:tc>
        <w:tc>
          <w:tcPr>
            <w:tcW w:w="766" w:type="dxa"/>
            <w:vAlign w:val="center"/>
          </w:tcPr>
          <w:p>
            <w:pPr>
              <w:pStyle w:val="2691"/>
            </w:pPr>
            <w:r>
              <w:t>DO</w:t>
            </w:r>
          </w:p>
        </w:tc>
        <w:tc>
          <w:tcPr>
            <w:tcW w:w="1439" w:type="dxa"/>
            <w:vAlign w:val="center"/>
          </w:tcPr>
          <w:p>
            <w:pPr>
              <w:pStyle w:val="2691"/>
            </w:pPr>
            <w:r>
              <w:t>硫化物</w:t>
            </w:r>
          </w:p>
        </w:tc>
        <w:tc>
          <w:tcPr>
            <w:tcW w:w="1481" w:type="dxa"/>
            <w:vAlign w:val="center"/>
          </w:tcPr>
          <w:p>
            <w:pPr>
              <w:pStyle w:val="2691"/>
            </w:pPr>
            <w:r>
              <w:t>石油类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709" w:type="dxa"/>
            <w:vAlign w:val="center"/>
          </w:tcPr>
          <w:p>
            <w:pPr>
              <w:pStyle w:val="2691"/>
            </w:pPr>
            <w:r>
              <w:t>Ⅲ类</w:t>
            </w:r>
          </w:p>
        </w:tc>
        <w:tc>
          <w:tcPr>
            <w:tcW w:w="1119" w:type="dxa"/>
            <w:vAlign w:val="center"/>
          </w:tcPr>
          <w:p>
            <w:pPr>
              <w:pStyle w:val="2691"/>
            </w:pPr>
            <w:r>
              <w:t>—</w:t>
            </w:r>
          </w:p>
        </w:tc>
        <w:tc>
          <w:tcPr>
            <w:tcW w:w="914" w:type="dxa"/>
            <w:vAlign w:val="center"/>
          </w:tcPr>
          <w:p>
            <w:pPr>
              <w:pStyle w:val="2691"/>
            </w:pPr>
            <w:r>
              <w:t>6~9</w:t>
            </w:r>
          </w:p>
        </w:tc>
        <w:tc>
          <w:tcPr>
            <w:tcW w:w="1134" w:type="dxa"/>
            <w:vAlign w:val="center"/>
          </w:tcPr>
          <w:p>
            <w:pPr>
              <w:pStyle w:val="2691"/>
            </w:pPr>
            <w:r>
              <w:t>≤4</w:t>
            </w:r>
          </w:p>
        </w:tc>
        <w:tc>
          <w:tcPr>
            <w:tcW w:w="969" w:type="dxa"/>
            <w:vAlign w:val="center"/>
          </w:tcPr>
          <w:p>
            <w:pPr>
              <w:pStyle w:val="2691"/>
            </w:pPr>
            <w:r>
              <w:t>≤20</w:t>
            </w:r>
          </w:p>
        </w:tc>
        <w:tc>
          <w:tcPr>
            <w:tcW w:w="873" w:type="dxa"/>
            <w:vAlign w:val="center"/>
          </w:tcPr>
          <w:p>
            <w:pPr>
              <w:pStyle w:val="2691"/>
            </w:pPr>
            <w:r>
              <w:t>≤1.0</w:t>
            </w:r>
          </w:p>
        </w:tc>
        <w:tc>
          <w:tcPr>
            <w:tcW w:w="766" w:type="dxa"/>
            <w:vAlign w:val="center"/>
          </w:tcPr>
          <w:p>
            <w:pPr>
              <w:pStyle w:val="2691"/>
            </w:pPr>
            <w:r>
              <w:t>≥5</w:t>
            </w:r>
          </w:p>
        </w:tc>
        <w:tc>
          <w:tcPr>
            <w:tcW w:w="1439" w:type="dxa"/>
            <w:vAlign w:val="center"/>
          </w:tcPr>
          <w:p>
            <w:pPr>
              <w:pStyle w:val="2691"/>
            </w:pPr>
            <w:r>
              <w:t>≤0.05</w:t>
            </w:r>
          </w:p>
        </w:tc>
        <w:tc>
          <w:tcPr>
            <w:tcW w:w="1481" w:type="dxa"/>
            <w:vAlign w:val="center"/>
          </w:tcPr>
          <w:p>
            <w:pPr>
              <w:pStyle w:val="2691"/>
            </w:pPr>
            <w: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709" w:type="dxa"/>
            <w:vAlign w:val="center"/>
          </w:tcPr>
          <w:p>
            <w:pPr>
              <w:pStyle w:val="2691"/>
            </w:pPr>
            <w:r>
              <w:t>参数</w:t>
            </w:r>
          </w:p>
        </w:tc>
        <w:tc>
          <w:tcPr>
            <w:tcW w:w="1119" w:type="dxa"/>
            <w:vAlign w:val="center"/>
          </w:tcPr>
          <w:p>
            <w:pPr>
              <w:pStyle w:val="2691"/>
            </w:pPr>
            <w:r>
              <w:t>氟化物（以F</w:t>
            </w:r>
            <w:r>
              <w:rPr>
                <w:vertAlign w:val="superscript"/>
              </w:rPr>
              <w:t>—</w:t>
            </w:r>
            <w:r>
              <w:t>）</w:t>
            </w:r>
          </w:p>
        </w:tc>
        <w:tc>
          <w:tcPr>
            <w:tcW w:w="914" w:type="dxa"/>
            <w:vAlign w:val="center"/>
          </w:tcPr>
          <w:p>
            <w:pPr>
              <w:pStyle w:val="2691"/>
            </w:pPr>
            <w:r>
              <w:t>氰化物</w:t>
            </w:r>
          </w:p>
        </w:tc>
        <w:tc>
          <w:tcPr>
            <w:tcW w:w="1134" w:type="dxa"/>
            <w:vAlign w:val="center"/>
          </w:tcPr>
          <w:p>
            <w:pPr>
              <w:pStyle w:val="2691"/>
            </w:pPr>
            <w:r>
              <w:t>铬(六价)</w:t>
            </w:r>
          </w:p>
        </w:tc>
        <w:tc>
          <w:tcPr>
            <w:tcW w:w="969" w:type="dxa"/>
            <w:vAlign w:val="center"/>
          </w:tcPr>
          <w:p>
            <w:pPr>
              <w:pStyle w:val="2691"/>
            </w:pPr>
            <w:r>
              <w:t>镉</w:t>
            </w:r>
          </w:p>
        </w:tc>
        <w:tc>
          <w:tcPr>
            <w:tcW w:w="873" w:type="dxa"/>
            <w:vAlign w:val="center"/>
          </w:tcPr>
          <w:p>
            <w:pPr>
              <w:pStyle w:val="2691"/>
            </w:pPr>
            <w:r>
              <w:t>砷</w:t>
            </w:r>
          </w:p>
        </w:tc>
        <w:tc>
          <w:tcPr>
            <w:tcW w:w="766" w:type="dxa"/>
            <w:vAlign w:val="center"/>
          </w:tcPr>
          <w:p>
            <w:pPr>
              <w:pStyle w:val="2691"/>
              <w:ind w:firstLine="0" w:firstLineChars="0"/>
            </w:pPr>
            <w:r>
              <w:t>总磷(以P计)</w:t>
            </w:r>
          </w:p>
        </w:tc>
        <w:tc>
          <w:tcPr>
            <w:tcW w:w="1439" w:type="dxa"/>
            <w:vAlign w:val="center"/>
          </w:tcPr>
          <w:p>
            <w:pPr>
              <w:pStyle w:val="2691"/>
              <w:ind w:firstLine="0" w:firstLineChars="0"/>
            </w:pPr>
            <w:r>
              <w:t>总氮(以N计)</w:t>
            </w:r>
          </w:p>
        </w:tc>
        <w:tc>
          <w:tcPr>
            <w:tcW w:w="1481" w:type="dxa"/>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709" w:type="dxa"/>
            <w:vAlign w:val="center"/>
          </w:tcPr>
          <w:p>
            <w:pPr>
              <w:pStyle w:val="2691"/>
            </w:pPr>
            <w:r>
              <w:t>Ⅲ类</w:t>
            </w:r>
          </w:p>
        </w:tc>
        <w:tc>
          <w:tcPr>
            <w:tcW w:w="1119" w:type="dxa"/>
            <w:vAlign w:val="center"/>
          </w:tcPr>
          <w:p>
            <w:pPr>
              <w:pStyle w:val="2691"/>
            </w:pPr>
            <w:r>
              <w:t>≤1.0</w:t>
            </w:r>
          </w:p>
        </w:tc>
        <w:tc>
          <w:tcPr>
            <w:tcW w:w="914" w:type="dxa"/>
            <w:vAlign w:val="center"/>
          </w:tcPr>
          <w:p>
            <w:pPr>
              <w:pStyle w:val="2691"/>
            </w:pPr>
            <w:r>
              <w:t>≤0.2</w:t>
            </w:r>
          </w:p>
        </w:tc>
        <w:tc>
          <w:tcPr>
            <w:tcW w:w="1134" w:type="dxa"/>
            <w:vAlign w:val="center"/>
          </w:tcPr>
          <w:p>
            <w:pPr>
              <w:pStyle w:val="2691"/>
            </w:pPr>
            <w:r>
              <w:t>≤0.05</w:t>
            </w:r>
          </w:p>
        </w:tc>
        <w:tc>
          <w:tcPr>
            <w:tcW w:w="969" w:type="dxa"/>
            <w:vAlign w:val="center"/>
          </w:tcPr>
          <w:p>
            <w:pPr>
              <w:pStyle w:val="2691"/>
            </w:pPr>
            <w:r>
              <w:t>≤0.005</w:t>
            </w:r>
          </w:p>
        </w:tc>
        <w:tc>
          <w:tcPr>
            <w:tcW w:w="873" w:type="dxa"/>
            <w:vAlign w:val="center"/>
          </w:tcPr>
          <w:p>
            <w:pPr>
              <w:pStyle w:val="2691"/>
            </w:pPr>
            <w:r>
              <w:t>≤0.05</w:t>
            </w:r>
          </w:p>
        </w:tc>
        <w:tc>
          <w:tcPr>
            <w:tcW w:w="766" w:type="dxa"/>
            <w:vAlign w:val="center"/>
          </w:tcPr>
          <w:p>
            <w:pPr>
              <w:pStyle w:val="2691"/>
              <w:ind w:firstLine="0" w:firstLineChars="0"/>
            </w:pPr>
            <w:r>
              <w:t>≤0.2</w:t>
            </w:r>
          </w:p>
        </w:tc>
        <w:tc>
          <w:tcPr>
            <w:tcW w:w="1439" w:type="dxa"/>
            <w:vAlign w:val="center"/>
          </w:tcPr>
          <w:p>
            <w:pPr>
              <w:pStyle w:val="2691"/>
              <w:ind w:firstLine="0" w:firstLineChars="0"/>
            </w:pPr>
            <w:r>
              <w:t>≤1.0</w:t>
            </w:r>
          </w:p>
        </w:tc>
        <w:tc>
          <w:tcPr>
            <w:tcW w:w="1481" w:type="dxa"/>
            <w:vAlign w:val="center"/>
          </w:tcPr>
          <w:p>
            <w:pPr>
              <w:pStyle w:val="2691"/>
            </w:pPr>
          </w:p>
        </w:tc>
      </w:tr>
    </w:tbl>
    <w:p>
      <w:pPr>
        <w:pStyle w:val="456"/>
        <w:ind w:firstLine="482"/>
      </w:pPr>
      <w:bookmarkStart w:id="48" w:name="_Toc16144487"/>
      <w:r>
        <w:t>环境空气质量标准</w:t>
      </w:r>
    </w:p>
    <w:p>
      <w:pPr>
        <w:pStyle w:val="458"/>
        <w:ind w:firstLine="480"/>
        <w:rPr>
          <w:rFonts w:cs="Times New Roman"/>
          <w:color w:val="auto"/>
        </w:rPr>
      </w:pPr>
      <w:r>
        <w:rPr>
          <w:rFonts w:cs="Times New Roman"/>
          <w:color w:val="auto"/>
        </w:rPr>
        <w:t>项目评价范围内的区域均为二类环境空气质量功能区，SO</w:t>
      </w:r>
      <w:r>
        <w:rPr>
          <w:rFonts w:cs="Times New Roman"/>
          <w:color w:val="auto"/>
          <w:vertAlign w:val="subscript"/>
        </w:rPr>
        <w:t>2</w:t>
      </w:r>
      <w:r>
        <w:rPr>
          <w:rFonts w:cs="Times New Roman"/>
          <w:color w:val="auto"/>
        </w:rPr>
        <w:t>、NO</w:t>
      </w:r>
      <w:r>
        <w:rPr>
          <w:rFonts w:cs="Times New Roman"/>
          <w:color w:val="auto"/>
          <w:vertAlign w:val="subscript"/>
        </w:rPr>
        <w:t>2</w:t>
      </w:r>
      <w:r>
        <w:rPr>
          <w:rFonts w:cs="Times New Roman"/>
          <w:color w:val="auto"/>
        </w:rPr>
        <w:t>、PM</w:t>
      </w:r>
      <w:r>
        <w:rPr>
          <w:rFonts w:cs="Times New Roman"/>
          <w:color w:val="auto"/>
          <w:vertAlign w:val="subscript"/>
        </w:rPr>
        <w:t>10</w:t>
      </w:r>
      <w:r>
        <w:rPr>
          <w:rFonts w:cs="Times New Roman"/>
          <w:color w:val="auto"/>
        </w:rPr>
        <w:t>、TSP、PM</w:t>
      </w:r>
      <w:r>
        <w:rPr>
          <w:rFonts w:cs="Times New Roman"/>
          <w:color w:val="auto"/>
          <w:vertAlign w:val="subscript"/>
        </w:rPr>
        <w:t>2.5</w:t>
      </w:r>
      <w:r>
        <w:rPr>
          <w:rFonts w:cs="Times New Roman"/>
          <w:color w:val="auto"/>
        </w:rPr>
        <w:t>、CO、O</w:t>
      </w:r>
      <w:r>
        <w:rPr>
          <w:rFonts w:cs="Times New Roman"/>
          <w:color w:val="auto"/>
          <w:vertAlign w:val="subscript"/>
        </w:rPr>
        <w:t>3</w:t>
      </w:r>
      <w:r>
        <w:rPr>
          <w:rFonts w:cs="Times New Roman"/>
          <w:color w:val="auto"/>
        </w:rPr>
        <w:t>和执行《环境空气质量标准》（GB3095-2012）中的二级标准，详见下表。</w:t>
      </w:r>
    </w:p>
    <w:p>
      <w:pPr>
        <w:pStyle w:val="619"/>
        <w:rPr>
          <w:rFonts w:cs="Times New Roman"/>
        </w:rPr>
      </w:pPr>
      <w:r>
        <w:rPr>
          <w:rFonts w:hint="eastAsia" w:cs="Times New Roman"/>
        </w:rPr>
        <w:t xml:space="preserve"> </w:t>
      </w:r>
      <w:r>
        <w:rPr>
          <w:rFonts w:cs="Times New Roman"/>
        </w:rPr>
        <w:t>环境空气质量评价标准（摘录）</w:t>
      </w:r>
    </w:p>
    <w:tbl>
      <w:tblPr>
        <w:tblStyle w:val="3596"/>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30"/>
        <w:gridCol w:w="1417"/>
        <w:gridCol w:w="1701"/>
        <w:gridCol w:w="3034"/>
        <w:gridCol w:w="215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0" w:type="dxa"/>
            <w:vAlign w:val="center"/>
          </w:tcPr>
          <w:p>
            <w:pPr>
              <w:pStyle w:val="2691"/>
            </w:pPr>
            <w:r>
              <w:t>序号</w:t>
            </w:r>
          </w:p>
        </w:tc>
        <w:tc>
          <w:tcPr>
            <w:tcW w:w="1417" w:type="dxa"/>
            <w:vAlign w:val="center"/>
          </w:tcPr>
          <w:p>
            <w:pPr>
              <w:pStyle w:val="2691"/>
            </w:pPr>
            <w:r>
              <w:t>污染物项目</w:t>
            </w:r>
          </w:p>
        </w:tc>
        <w:tc>
          <w:tcPr>
            <w:tcW w:w="1701" w:type="dxa"/>
            <w:vAlign w:val="center"/>
          </w:tcPr>
          <w:p>
            <w:pPr>
              <w:pStyle w:val="2691"/>
            </w:pPr>
            <w:r>
              <w:t>平均时间</w:t>
            </w:r>
          </w:p>
        </w:tc>
        <w:tc>
          <w:tcPr>
            <w:tcW w:w="3034" w:type="dxa"/>
            <w:vAlign w:val="center"/>
          </w:tcPr>
          <w:p>
            <w:pPr>
              <w:pStyle w:val="2691"/>
            </w:pPr>
            <w:r>
              <w:t>二级标准浓度限值（μg/m</w:t>
            </w:r>
            <w:r>
              <w:rPr>
                <w:vertAlign w:val="superscript"/>
              </w:rPr>
              <w:t>3</w:t>
            </w:r>
            <w:r>
              <w:t>）</w:t>
            </w:r>
          </w:p>
        </w:tc>
        <w:tc>
          <w:tcPr>
            <w:tcW w:w="2159" w:type="dxa"/>
            <w:vAlign w:val="center"/>
          </w:tcPr>
          <w:p>
            <w:pPr>
              <w:pStyle w:val="2691"/>
            </w:pPr>
            <w:r>
              <w:t>适用范围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0" w:type="dxa"/>
            <w:vMerge w:val="restart"/>
            <w:vAlign w:val="center"/>
          </w:tcPr>
          <w:p>
            <w:pPr>
              <w:pStyle w:val="2691"/>
            </w:pPr>
            <w:r>
              <w:t>1</w:t>
            </w:r>
          </w:p>
        </w:tc>
        <w:tc>
          <w:tcPr>
            <w:tcW w:w="1417" w:type="dxa"/>
            <w:vMerge w:val="restart"/>
            <w:vAlign w:val="center"/>
          </w:tcPr>
          <w:p>
            <w:pPr>
              <w:pStyle w:val="2691"/>
            </w:pPr>
            <w:r>
              <w:t>SO</w:t>
            </w:r>
            <w:r>
              <w:rPr>
                <w:vertAlign w:val="subscript"/>
              </w:rPr>
              <w:t>2</w:t>
            </w:r>
          </w:p>
        </w:tc>
        <w:tc>
          <w:tcPr>
            <w:tcW w:w="1701" w:type="dxa"/>
            <w:vAlign w:val="center"/>
          </w:tcPr>
          <w:p>
            <w:pPr>
              <w:pStyle w:val="2691"/>
            </w:pPr>
            <w:r>
              <w:t>年平均</w:t>
            </w:r>
          </w:p>
        </w:tc>
        <w:tc>
          <w:tcPr>
            <w:tcW w:w="3034" w:type="dxa"/>
            <w:vAlign w:val="center"/>
          </w:tcPr>
          <w:p>
            <w:pPr>
              <w:pStyle w:val="2691"/>
            </w:pPr>
            <w:r>
              <w:t>60</w:t>
            </w:r>
          </w:p>
        </w:tc>
        <w:tc>
          <w:tcPr>
            <w:tcW w:w="2159" w:type="dxa"/>
            <w:vMerge w:val="restart"/>
            <w:vAlign w:val="center"/>
          </w:tcPr>
          <w:p>
            <w:pPr>
              <w:pStyle w:val="2691"/>
            </w:pPr>
            <w:r>
              <w:t>全部评价范围区域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0" w:type="dxa"/>
            <w:vMerge w:val="continue"/>
            <w:vAlign w:val="center"/>
          </w:tcPr>
          <w:p>
            <w:pPr>
              <w:pStyle w:val="2691"/>
            </w:pPr>
          </w:p>
        </w:tc>
        <w:tc>
          <w:tcPr>
            <w:tcW w:w="1417" w:type="dxa"/>
            <w:vMerge w:val="continue"/>
            <w:vAlign w:val="center"/>
          </w:tcPr>
          <w:p>
            <w:pPr>
              <w:pStyle w:val="2691"/>
            </w:pPr>
          </w:p>
        </w:tc>
        <w:tc>
          <w:tcPr>
            <w:tcW w:w="1701" w:type="dxa"/>
            <w:vAlign w:val="center"/>
          </w:tcPr>
          <w:p>
            <w:pPr>
              <w:pStyle w:val="2691"/>
            </w:pPr>
            <w:r>
              <w:t>24小时平均</w:t>
            </w:r>
          </w:p>
        </w:tc>
        <w:tc>
          <w:tcPr>
            <w:tcW w:w="3034" w:type="dxa"/>
            <w:vAlign w:val="center"/>
          </w:tcPr>
          <w:p>
            <w:pPr>
              <w:pStyle w:val="2691"/>
            </w:pPr>
            <w:r>
              <w:t>150</w:t>
            </w:r>
          </w:p>
        </w:tc>
        <w:tc>
          <w:tcPr>
            <w:tcW w:w="2159"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0" w:type="dxa"/>
            <w:vMerge w:val="continue"/>
            <w:vAlign w:val="center"/>
          </w:tcPr>
          <w:p>
            <w:pPr>
              <w:pStyle w:val="2691"/>
            </w:pPr>
          </w:p>
        </w:tc>
        <w:tc>
          <w:tcPr>
            <w:tcW w:w="1417" w:type="dxa"/>
            <w:vMerge w:val="continue"/>
            <w:vAlign w:val="center"/>
          </w:tcPr>
          <w:p>
            <w:pPr>
              <w:pStyle w:val="2691"/>
            </w:pPr>
          </w:p>
        </w:tc>
        <w:tc>
          <w:tcPr>
            <w:tcW w:w="1701" w:type="dxa"/>
            <w:vAlign w:val="center"/>
          </w:tcPr>
          <w:p>
            <w:pPr>
              <w:pStyle w:val="2691"/>
            </w:pPr>
            <w:r>
              <w:t>1小时平均</w:t>
            </w:r>
          </w:p>
        </w:tc>
        <w:tc>
          <w:tcPr>
            <w:tcW w:w="3034" w:type="dxa"/>
            <w:vAlign w:val="center"/>
          </w:tcPr>
          <w:p>
            <w:pPr>
              <w:pStyle w:val="2691"/>
            </w:pPr>
            <w:r>
              <w:t>500</w:t>
            </w:r>
          </w:p>
        </w:tc>
        <w:tc>
          <w:tcPr>
            <w:tcW w:w="2159"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0" w:type="dxa"/>
            <w:vMerge w:val="restart"/>
            <w:vAlign w:val="center"/>
          </w:tcPr>
          <w:p>
            <w:pPr>
              <w:pStyle w:val="2691"/>
            </w:pPr>
            <w:r>
              <w:t>2</w:t>
            </w:r>
          </w:p>
        </w:tc>
        <w:tc>
          <w:tcPr>
            <w:tcW w:w="1417" w:type="dxa"/>
            <w:vMerge w:val="restart"/>
            <w:vAlign w:val="center"/>
          </w:tcPr>
          <w:p>
            <w:pPr>
              <w:pStyle w:val="2691"/>
            </w:pPr>
            <w:r>
              <w:t>NO</w:t>
            </w:r>
            <w:r>
              <w:rPr>
                <w:vertAlign w:val="subscript"/>
              </w:rPr>
              <w:t>2</w:t>
            </w:r>
          </w:p>
        </w:tc>
        <w:tc>
          <w:tcPr>
            <w:tcW w:w="1701" w:type="dxa"/>
            <w:vAlign w:val="center"/>
          </w:tcPr>
          <w:p>
            <w:pPr>
              <w:pStyle w:val="2691"/>
            </w:pPr>
            <w:r>
              <w:t>年平均</w:t>
            </w:r>
          </w:p>
        </w:tc>
        <w:tc>
          <w:tcPr>
            <w:tcW w:w="3034" w:type="dxa"/>
            <w:vAlign w:val="center"/>
          </w:tcPr>
          <w:p>
            <w:pPr>
              <w:pStyle w:val="2691"/>
            </w:pPr>
            <w:r>
              <w:t>40</w:t>
            </w:r>
          </w:p>
        </w:tc>
        <w:tc>
          <w:tcPr>
            <w:tcW w:w="2159"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0" w:type="dxa"/>
            <w:vMerge w:val="continue"/>
            <w:vAlign w:val="center"/>
          </w:tcPr>
          <w:p>
            <w:pPr>
              <w:pStyle w:val="2691"/>
            </w:pPr>
          </w:p>
        </w:tc>
        <w:tc>
          <w:tcPr>
            <w:tcW w:w="1417" w:type="dxa"/>
            <w:vMerge w:val="continue"/>
            <w:vAlign w:val="center"/>
          </w:tcPr>
          <w:p>
            <w:pPr>
              <w:pStyle w:val="2691"/>
            </w:pPr>
          </w:p>
        </w:tc>
        <w:tc>
          <w:tcPr>
            <w:tcW w:w="1701" w:type="dxa"/>
            <w:vAlign w:val="center"/>
          </w:tcPr>
          <w:p>
            <w:pPr>
              <w:pStyle w:val="2691"/>
            </w:pPr>
            <w:r>
              <w:t>24小时平均</w:t>
            </w:r>
          </w:p>
        </w:tc>
        <w:tc>
          <w:tcPr>
            <w:tcW w:w="3034" w:type="dxa"/>
            <w:vAlign w:val="center"/>
          </w:tcPr>
          <w:p>
            <w:pPr>
              <w:pStyle w:val="2691"/>
            </w:pPr>
            <w:r>
              <w:t>80</w:t>
            </w:r>
          </w:p>
        </w:tc>
        <w:tc>
          <w:tcPr>
            <w:tcW w:w="2159"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0" w:type="dxa"/>
            <w:vMerge w:val="continue"/>
            <w:vAlign w:val="center"/>
          </w:tcPr>
          <w:p>
            <w:pPr>
              <w:pStyle w:val="2691"/>
            </w:pPr>
          </w:p>
        </w:tc>
        <w:tc>
          <w:tcPr>
            <w:tcW w:w="1417" w:type="dxa"/>
            <w:vMerge w:val="continue"/>
            <w:vAlign w:val="center"/>
          </w:tcPr>
          <w:p>
            <w:pPr>
              <w:pStyle w:val="2691"/>
            </w:pPr>
          </w:p>
        </w:tc>
        <w:tc>
          <w:tcPr>
            <w:tcW w:w="1701" w:type="dxa"/>
            <w:vAlign w:val="center"/>
          </w:tcPr>
          <w:p>
            <w:pPr>
              <w:pStyle w:val="2691"/>
            </w:pPr>
            <w:r>
              <w:t>1小时平均</w:t>
            </w:r>
          </w:p>
        </w:tc>
        <w:tc>
          <w:tcPr>
            <w:tcW w:w="3034" w:type="dxa"/>
            <w:vAlign w:val="center"/>
          </w:tcPr>
          <w:p>
            <w:pPr>
              <w:pStyle w:val="2691"/>
            </w:pPr>
            <w:r>
              <w:t>200</w:t>
            </w:r>
          </w:p>
        </w:tc>
        <w:tc>
          <w:tcPr>
            <w:tcW w:w="2159"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0" w:type="dxa"/>
            <w:vMerge w:val="restart"/>
            <w:vAlign w:val="center"/>
          </w:tcPr>
          <w:p>
            <w:pPr>
              <w:pStyle w:val="2691"/>
            </w:pPr>
            <w:r>
              <w:t>3</w:t>
            </w:r>
          </w:p>
        </w:tc>
        <w:tc>
          <w:tcPr>
            <w:tcW w:w="1417" w:type="dxa"/>
            <w:vMerge w:val="restart"/>
            <w:vAlign w:val="center"/>
          </w:tcPr>
          <w:p>
            <w:pPr>
              <w:pStyle w:val="2691"/>
            </w:pPr>
            <w:r>
              <w:t>PM</w:t>
            </w:r>
            <w:r>
              <w:rPr>
                <w:vertAlign w:val="subscript"/>
              </w:rPr>
              <w:t>10</w:t>
            </w:r>
          </w:p>
        </w:tc>
        <w:tc>
          <w:tcPr>
            <w:tcW w:w="1701" w:type="dxa"/>
            <w:vAlign w:val="center"/>
          </w:tcPr>
          <w:p>
            <w:pPr>
              <w:pStyle w:val="2691"/>
            </w:pPr>
            <w:r>
              <w:t>年平均</w:t>
            </w:r>
          </w:p>
        </w:tc>
        <w:tc>
          <w:tcPr>
            <w:tcW w:w="3034" w:type="dxa"/>
            <w:vAlign w:val="center"/>
          </w:tcPr>
          <w:p>
            <w:pPr>
              <w:pStyle w:val="2691"/>
            </w:pPr>
            <w:r>
              <w:t>70</w:t>
            </w:r>
          </w:p>
        </w:tc>
        <w:tc>
          <w:tcPr>
            <w:tcW w:w="2159"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0" w:type="dxa"/>
            <w:vMerge w:val="continue"/>
            <w:vAlign w:val="center"/>
          </w:tcPr>
          <w:p>
            <w:pPr>
              <w:pStyle w:val="2691"/>
            </w:pPr>
          </w:p>
        </w:tc>
        <w:tc>
          <w:tcPr>
            <w:tcW w:w="1417" w:type="dxa"/>
            <w:vMerge w:val="continue"/>
            <w:vAlign w:val="center"/>
          </w:tcPr>
          <w:p>
            <w:pPr>
              <w:pStyle w:val="2691"/>
            </w:pPr>
          </w:p>
        </w:tc>
        <w:tc>
          <w:tcPr>
            <w:tcW w:w="1701" w:type="dxa"/>
            <w:vAlign w:val="center"/>
          </w:tcPr>
          <w:p>
            <w:pPr>
              <w:pStyle w:val="2691"/>
            </w:pPr>
            <w:r>
              <w:t>24小时平均</w:t>
            </w:r>
          </w:p>
        </w:tc>
        <w:tc>
          <w:tcPr>
            <w:tcW w:w="3034" w:type="dxa"/>
            <w:vAlign w:val="center"/>
          </w:tcPr>
          <w:p>
            <w:pPr>
              <w:pStyle w:val="2691"/>
            </w:pPr>
            <w:r>
              <w:t>150</w:t>
            </w:r>
          </w:p>
        </w:tc>
        <w:tc>
          <w:tcPr>
            <w:tcW w:w="2159"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0" w:type="dxa"/>
            <w:vMerge w:val="restart"/>
            <w:vAlign w:val="center"/>
          </w:tcPr>
          <w:p>
            <w:pPr>
              <w:pStyle w:val="2691"/>
            </w:pPr>
            <w:r>
              <w:t>4</w:t>
            </w:r>
          </w:p>
        </w:tc>
        <w:tc>
          <w:tcPr>
            <w:tcW w:w="1417" w:type="dxa"/>
            <w:vMerge w:val="restart"/>
            <w:vAlign w:val="center"/>
          </w:tcPr>
          <w:p>
            <w:pPr>
              <w:pStyle w:val="2691"/>
            </w:pPr>
            <w:r>
              <w:t>TSP</w:t>
            </w:r>
          </w:p>
        </w:tc>
        <w:tc>
          <w:tcPr>
            <w:tcW w:w="1701" w:type="dxa"/>
            <w:vAlign w:val="center"/>
          </w:tcPr>
          <w:p>
            <w:pPr>
              <w:pStyle w:val="2691"/>
            </w:pPr>
            <w:r>
              <w:t>年平均</w:t>
            </w:r>
          </w:p>
        </w:tc>
        <w:tc>
          <w:tcPr>
            <w:tcW w:w="3034" w:type="dxa"/>
            <w:vAlign w:val="center"/>
          </w:tcPr>
          <w:p>
            <w:pPr>
              <w:pStyle w:val="2691"/>
            </w:pPr>
            <w:r>
              <w:t>200</w:t>
            </w:r>
          </w:p>
        </w:tc>
        <w:tc>
          <w:tcPr>
            <w:tcW w:w="2159"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0" w:type="dxa"/>
            <w:vMerge w:val="continue"/>
            <w:vAlign w:val="center"/>
          </w:tcPr>
          <w:p>
            <w:pPr>
              <w:pStyle w:val="2691"/>
            </w:pPr>
          </w:p>
        </w:tc>
        <w:tc>
          <w:tcPr>
            <w:tcW w:w="1417" w:type="dxa"/>
            <w:vMerge w:val="continue"/>
            <w:vAlign w:val="center"/>
          </w:tcPr>
          <w:p>
            <w:pPr>
              <w:pStyle w:val="2691"/>
            </w:pPr>
          </w:p>
        </w:tc>
        <w:tc>
          <w:tcPr>
            <w:tcW w:w="1701" w:type="dxa"/>
            <w:vAlign w:val="center"/>
          </w:tcPr>
          <w:p>
            <w:pPr>
              <w:pStyle w:val="2691"/>
            </w:pPr>
            <w:r>
              <w:t>24小时平均</w:t>
            </w:r>
          </w:p>
        </w:tc>
        <w:tc>
          <w:tcPr>
            <w:tcW w:w="3034" w:type="dxa"/>
            <w:vAlign w:val="center"/>
          </w:tcPr>
          <w:p>
            <w:pPr>
              <w:pStyle w:val="2691"/>
            </w:pPr>
            <w:r>
              <w:t>300</w:t>
            </w:r>
          </w:p>
        </w:tc>
        <w:tc>
          <w:tcPr>
            <w:tcW w:w="2159"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0" w:type="dxa"/>
            <w:vMerge w:val="restart"/>
            <w:vAlign w:val="center"/>
          </w:tcPr>
          <w:p>
            <w:pPr>
              <w:pStyle w:val="2691"/>
            </w:pPr>
            <w:r>
              <w:t>5</w:t>
            </w:r>
          </w:p>
        </w:tc>
        <w:tc>
          <w:tcPr>
            <w:tcW w:w="1417" w:type="dxa"/>
            <w:vMerge w:val="restart"/>
            <w:vAlign w:val="center"/>
          </w:tcPr>
          <w:p>
            <w:pPr>
              <w:pStyle w:val="2691"/>
            </w:pPr>
            <w:r>
              <w:t>PM</w:t>
            </w:r>
            <w:r>
              <w:rPr>
                <w:vertAlign w:val="subscript"/>
              </w:rPr>
              <w:t>2.5</w:t>
            </w:r>
          </w:p>
        </w:tc>
        <w:tc>
          <w:tcPr>
            <w:tcW w:w="1701" w:type="dxa"/>
            <w:vAlign w:val="center"/>
          </w:tcPr>
          <w:p>
            <w:pPr>
              <w:pStyle w:val="2691"/>
            </w:pPr>
            <w:r>
              <w:t>年平均</w:t>
            </w:r>
          </w:p>
        </w:tc>
        <w:tc>
          <w:tcPr>
            <w:tcW w:w="3034" w:type="dxa"/>
            <w:vAlign w:val="center"/>
          </w:tcPr>
          <w:p>
            <w:pPr>
              <w:pStyle w:val="2691"/>
            </w:pPr>
            <w:r>
              <w:t>35</w:t>
            </w:r>
          </w:p>
        </w:tc>
        <w:tc>
          <w:tcPr>
            <w:tcW w:w="2159"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0" w:type="dxa"/>
            <w:vMerge w:val="continue"/>
            <w:vAlign w:val="center"/>
          </w:tcPr>
          <w:p>
            <w:pPr>
              <w:pStyle w:val="2691"/>
            </w:pPr>
          </w:p>
        </w:tc>
        <w:tc>
          <w:tcPr>
            <w:tcW w:w="1417" w:type="dxa"/>
            <w:vMerge w:val="continue"/>
            <w:vAlign w:val="center"/>
          </w:tcPr>
          <w:p>
            <w:pPr>
              <w:pStyle w:val="2691"/>
            </w:pPr>
          </w:p>
        </w:tc>
        <w:tc>
          <w:tcPr>
            <w:tcW w:w="1701" w:type="dxa"/>
            <w:vAlign w:val="center"/>
          </w:tcPr>
          <w:p>
            <w:pPr>
              <w:pStyle w:val="2691"/>
            </w:pPr>
            <w:r>
              <w:t>24小时平均</w:t>
            </w:r>
          </w:p>
        </w:tc>
        <w:tc>
          <w:tcPr>
            <w:tcW w:w="3034" w:type="dxa"/>
            <w:vAlign w:val="center"/>
          </w:tcPr>
          <w:p>
            <w:pPr>
              <w:pStyle w:val="2691"/>
            </w:pPr>
            <w:r>
              <w:t>75</w:t>
            </w:r>
          </w:p>
        </w:tc>
        <w:tc>
          <w:tcPr>
            <w:tcW w:w="2159"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0" w:type="dxa"/>
            <w:vMerge w:val="restart"/>
            <w:vAlign w:val="center"/>
          </w:tcPr>
          <w:p>
            <w:pPr>
              <w:pStyle w:val="2691"/>
            </w:pPr>
            <w:r>
              <w:t>6</w:t>
            </w:r>
          </w:p>
        </w:tc>
        <w:tc>
          <w:tcPr>
            <w:tcW w:w="1417" w:type="dxa"/>
            <w:vMerge w:val="restart"/>
            <w:vAlign w:val="center"/>
          </w:tcPr>
          <w:p>
            <w:pPr>
              <w:pStyle w:val="2691"/>
            </w:pPr>
            <w:r>
              <w:t>CO</w:t>
            </w:r>
          </w:p>
        </w:tc>
        <w:tc>
          <w:tcPr>
            <w:tcW w:w="1701" w:type="dxa"/>
            <w:vAlign w:val="center"/>
          </w:tcPr>
          <w:p>
            <w:pPr>
              <w:pStyle w:val="2691"/>
            </w:pPr>
            <w:r>
              <w:t>24小时平均</w:t>
            </w:r>
          </w:p>
        </w:tc>
        <w:tc>
          <w:tcPr>
            <w:tcW w:w="3034" w:type="dxa"/>
            <w:vAlign w:val="center"/>
          </w:tcPr>
          <w:p>
            <w:pPr>
              <w:pStyle w:val="2691"/>
            </w:pPr>
            <w:r>
              <w:t>4000</w:t>
            </w:r>
          </w:p>
        </w:tc>
        <w:tc>
          <w:tcPr>
            <w:tcW w:w="2159"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830" w:type="dxa"/>
            <w:vMerge w:val="continue"/>
            <w:vAlign w:val="center"/>
          </w:tcPr>
          <w:p>
            <w:pPr>
              <w:pStyle w:val="2691"/>
            </w:pPr>
          </w:p>
        </w:tc>
        <w:tc>
          <w:tcPr>
            <w:tcW w:w="1417" w:type="dxa"/>
            <w:vMerge w:val="continue"/>
            <w:vAlign w:val="center"/>
          </w:tcPr>
          <w:p>
            <w:pPr>
              <w:pStyle w:val="2691"/>
            </w:pPr>
          </w:p>
        </w:tc>
        <w:tc>
          <w:tcPr>
            <w:tcW w:w="1701" w:type="dxa"/>
            <w:vAlign w:val="center"/>
          </w:tcPr>
          <w:p>
            <w:pPr>
              <w:pStyle w:val="2691"/>
            </w:pPr>
            <w:r>
              <w:t>1小时平均</w:t>
            </w:r>
          </w:p>
        </w:tc>
        <w:tc>
          <w:tcPr>
            <w:tcW w:w="3034" w:type="dxa"/>
            <w:vAlign w:val="center"/>
          </w:tcPr>
          <w:p>
            <w:pPr>
              <w:pStyle w:val="2691"/>
            </w:pPr>
            <w:r>
              <w:t>10000</w:t>
            </w:r>
          </w:p>
        </w:tc>
        <w:tc>
          <w:tcPr>
            <w:tcW w:w="2159"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0" w:type="dxa"/>
            <w:vMerge w:val="restart"/>
            <w:vAlign w:val="center"/>
          </w:tcPr>
          <w:p>
            <w:pPr>
              <w:pStyle w:val="2691"/>
            </w:pPr>
            <w:r>
              <w:t>7</w:t>
            </w:r>
          </w:p>
        </w:tc>
        <w:tc>
          <w:tcPr>
            <w:tcW w:w="1417" w:type="dxa"/>
            <w:vMerge w:val="restart"/>
            <w:vAlign w:val="center"/>
          </w:tcPr>
          <w:p>
            <w:pPr>
              <w:pStyle w:val="2691"/>
            </w:pPr>
            <w:r>
              <w:t>O</w:t>
            </w:r>
            <w:r>
              <w:rPr>
                <w:vertAlign w:val="subscript"/>
              </w:rPr>
              <w:t>3</w:t>
            </w:r>
          </w:p>
        </w:tc>
        <w:tc>
          <w:tcPr>
            <w:tcW w:w="1701" w:type="dxa"/>
            <w:vAlign w:val="center"/>
          </w:tcPr>
          <w:p>
            <w:pPr>
              <w:pStyle w:val="2691"/>
            </w:pPr>
            <w:r>
              <w:t>24小时平均</w:t>
            </w:r>
          </w:p>
        </w:tc>
        <w:tc>
          <w:tcPr>
            <w:tcW w:w="3034" w:type="dxa"/>
            <w:vAlign w:val="center"/>
          </w:tcPr>
          <w:p>
            <w:pPr>
              <w:pStyle w:val="2691"/>
            </w:pPr>
            <w:r>
              <w:t>160</w:t>
            </w:r>
          </w:p>
        </w:tc>
        <w:tc>
          <w:tcPr>
            <w:tcW w:w="2159"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0" w:type="dxa"/>
            <w:vMerge w:val="continue"/>
            <w:vAlign w:val="center"/>
          </w:tcPr>
          <w:p>
            <w:pPr>
              <w:pStyle w:val="2691"/>
            </w:pPr>
          </w:p>
        </w:tc>
        <w:tc>
          <w:tcPr>
            <w:tcW w:w="1417" w:type="dxa"/>
            <w:vMerge w:val="continue"/>
            <w:vAlign w:val="center"/>
          </w:tcPr>
          <w:p>
            <w:pPr>
              <w:pStyle w:val="2691"/>
            </w:pPr>
          </w:p>
        </w:tc>
        <w:tc>
          <w:tcPr>
            <w:tcW w:w="1701" w:type="dxa"/>
            <w:vAlign w:val="center"/>
          </w:tcPr>
          <w:p>
            <w:pPr>
              <w:pStyle w:val="2691"/>
            </w:pPr>
            <w:r>
              <w:t>1小时平均</w:t>
            </w:r>
          </w:p>
        </w:tc>
        <w:tc>
          <w:tcPr>
            <w:tcW w:w="3034" w:type="dxa"/>
            <w:vAlign w:val="center"/>
          </w:tcPr>
          <w:p>
            <w:pPr>
              <w:pStyle w:val="2691"/>
            </w:pPr>
            <w:r>
              <w:t>200</w:t>
            </w:r>
          </w:p>
        </w:tc>
        <w:tc>
          <w:tcPr>
            <w:tcW w:w="2159" w:type="dxa"/>
            <w:vMerge w:val="continue"/>
            <w:vAlign w:val="center"/>
          </w:tcPr>
          <w:p>
            <w:pPr>
              <w:pStyle w:val="2691"/>
            </w:pPr>
          </w:p>
        </w:tc>
      </w:tr>
    </w:tbl>
    <w:p>
      <w:pPr>
        <w:pStyle w:val="456"/>
        <w:ind w:firstLine="482"/>
      </w:pPr>
      <w:r>
        <w:t>声环境质量标准</w:t>
      </w:r>
    </w:p>
    <w:p>
      <w:pPr>
        <w:ind w:firstLine="480"/>
        <w:rPr>
          <w:lang w:val="zh-CN"/>
        </w:rPr>
      </w:pPr>
      <w:r>
        <w:rPr>
          <w:rFonts w:hint="eastAsia" w:cs="Times New Roman"/>
          <w:color w:val="auto"/>
          <w:szCs w:val="24"/>
          <w:lang w:val="en-US" w:eastAsia="zh-CN"/>
        </w:rPr>
        <w:t>根据</w:t>
      </w:r>
      <w:r>
        <w:rPr>
          <w:rFonts w:cs="Times New Roman"/>
          <w:color w:val="auto"/>
          <w:szCs w:val="24"/>
        </w:rPr>
        <w:t>《岳阳市中心城区声环境功能区划分（2019年修编稿）》</w:t>
      </w:r>
      <w:r>
        <w:rPr>
          <w:rFonts w:hint="eastAsia" w:cs="Times New Roman"/>
          <w:color w:val="auto"/>
          <w:szCs w:val="24"/>
          <w:lang w:eastAsia="zh-CN"/>
        </w:rPr>
        <w:t>，</w:t>
      </w:r>
      <w:r>
        <w:rPr>
          <w:rFonts w:hint="eastAsia"/>
        </w:rPr>
        <w:t>道仁矶港区边界外50m范围</w:t>
      </w:r>
      <w:r>
        <w:t>声环境质量执行《声环境质量标准》（GB3096-2008）4a 类标准，港区其他区域声环境质量执行《声环境质量标准》（GB3096-2008）3 类标准</w:t>
      </w:r>
      <w:r>
        <w:rPr>
          <w:lang w:val="zh-CN"/>
        </w:rPr>
        <w:t>，</w:t>
      </w:r>
      <w:r>
        <w:t>敏感点声环境质量执行《声环境质量标准》（GB3096-2008）2类标准，</w:t>
      </w:r>
      <w:r>
        <w:rPr>
          <w:lang w:val="zh-CN"/>
        </w:rPr>
        <w:t>详见下表。</w:t>
      </w:r>
    </w:p>
    <w:p>
      <w:pPr>
        <w:pStyle w:val="619"/>
        <w:rPr>
          <w:rFonts w:cs="Times New Roman"/>
        </w:rPr>
      </w:pPr>
      <w:r>
        <w:rPr>
          <w:rFonts w:cs="Times New Roman"/>
          <w:lang w:val="zh-CN"/>
        </w:rPr>
        <w:t>建设项目各</w:t>
      </w:r>
      <w:r>
        <w:rPr>
          <w:rFonts w:cs="Times New Roman"/>
        </w:rPr>
        <w:t>边</w:t>
      </w:r>
      <w:r>
        <w:rPr>
          <w:rFonts w:cs="Times New Roman"/>
          <w:lang w:val="zh-CN"/>
        </w:rPr>
        <w:t>界声环境质量标准一览表</w:t>
      </w:r>
    </w:p>
    <w:tbl>
      <w:tblPr>
        <w:tblStyle w:val="359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20"/>
        <w:gridCol w:w="2400"/>
        <w:gridCol w:w="1958"/>
        <w:gridCol w:w="28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2" w:type="dxa"/>
            <w:vMerge w:val="restart"/>
            <w:vAlign w:val="center"/>
          </w:tcPr>
          <w:p>
            <w:pPr>
              <w:pStyle w:val="2691"/>
            </w:pPr>
            <w:r>
              <w:rPr>
                <w:rFonts w:hint="eastAsia"/>
              </w:rPr>
              <w:t>区域</w:t>
            </w:r>
          </w:p>
        </w:tc>
        <w:tc>
          <w:tcPr>
            <w:tcW w:w="2085" w:type="dxa"/>
            <w:vMerge w:val="restart"/>
            <w:vAlign w:val="center"/>
          </w:tcPr>
          <w:p>
            <w:pPr>
              <w:pStyle w:val="2691"/>
            </w:pPr>
            <w:r>
              <w:t>执行的</w:t>
            </w:r>
          </w:p>
          <w:p>
            <w:pPr>
              <w:pStyle w:val="2691"/>
            </w:pPr>
            <w:r>
              <w:t>声环境质量标准</w:t>
            </w:r>
          </w:p>
        </w:tc>
        <w:tc>
          <w:tcPr>
            <w:tcW w:w="4141" w:type="dxa"/>
            <w:gridSpan w:val="2"/>
            <w:vAlign w:val="center"/>
          </w:tcPr>
          <w:p>
            <w:pPr>
              <w:pStyle w:val="2691"/>
            </w:pPr>
            <w:r>
              <w:t>标准限值（dB(A)）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2" w:type="dxa"/>
            <w:vMerge w:val="continue"/>
            <w:vAlign w:val="center"/>
          </w:tcPr>
          <w:p>
            <w:pPr>
              <w:pStyle w:val="2691"/>
            </w:pPr>
          </w:p>
        </w:tc>
        <w:tc>
          <w:tcPr>
            <w:tcW w:w="2085" w:type="dxa"/>
            <w:vMerge w:val="continue"/>
            <w:vAlign w:val="center"/>
          </w:tcPr>
          <w:p>
            <w:pPr>
              <w:pStyle w:val="2691"/>
            </w:pPr>
          </w:p>
        </w:tc>
        <w:tc>
          <w:tcPr>
            <w:tcW w:w="1701" w:type="dxa"/>
            <w:vAlign w:val="center"/>
          </w:tcPr>
          <w:p>
            <w:pPr>
              <w:pStyle w:val="2691"/>
            </w:pPr>
            <w:r>
              <w:t>昼间</w:t>
            </w:r>
          </w:p>
        </w:tc>
        <w:tc>
          <w:tcPr>
            <w:tcW w:w="2440" w:type="dxa"/>
            <w:vAlign w:val="center"/>
          </w:tcPr>
          <w:p>
            <w:pPr>
              <w:pStyle w:val="2691"/>
            </w:pPr>
            <w: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2" w:type="dxa"/>
            <w:vAlign w:val="center"/>
          </w:tcPr>
          <w:p>
            <w:pPr>
              <w:pStyle w:val="2691"/>
            </w:pPr>
            <w:r>
              <w:rPr>
                <w:rFonts w:hint="eastAsia"/>
              </w:rPr>
              <w:t>码头前方水域厂界</w:t>
            </w:r>
          </w:p>
        </w:tc>
        <w:tc>
          <w:tcPr>
            <w:tcW w:w="2085" w:type="dxa"/>
            <w:vAlign w:val="center"/>
          </w:tcPr>
          <w:p>
            <w:pPr>
              <w:pStyle w:val="2691"/>
            </w:pPr>
            <w:r>
              <w:t>4a类标准</w:t>
            </w:r>
          </w:p>
        </w:tc>
        <w:tc>
          <w:tcPr>
            <w:tcW w:w="1701" w:type="dxa"/>
            <w:vAlign w:val="center"/>
          </w:tcPr>
          <w:p>
            <w:pPr>
              <w:pStyle w:val="2691"/>
            </w:pPr>
            <w:r>
              <w:t>70</w:t>
            </w:r>
          </w:p>
        </w:tc>
        <w:tc>
          <w:tcPr>
            <w:tcW w:w="2440" w:type="dxa"/>
            <w:vAlign w:val="center"/>
          </w:tcPr>
          <w:p>
            <w:pPr>
              <w:pStyle w:val="2691"/>
            </w:pPr>
            <w: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2" w:type="dxa"/>
            <w:vAlign w:val="center"/>
          </w:tcPr>
          <w:p>
            <w:pPr>
              <w:pStyle w:val="2691"/>
            </w:pPr>
            <w:r>
              <w:rPr>
                <w:rFonts w:hint="eastAsia"/>
              </w:rPr>
              <w:t>后方陆域</w:t>
            </w:r>
          </w:p>
        </w:tc>
        <w:tc>
          <w:tcPr>
            <w:tcW w:w="2085" w:type="dxa"/>
            <w:vAlign w:val="center"/>
          </w:tcPr>
          <w:p>
            <w:pPr>
              <w:pStyle w:val="2691"/>
            </w:pPr>
            <w:r>
              <w:t>3类标准</w:t>
            </w:r>
          </w:p>
        </w:tc>
        <w:tc>
          <w:tcPr>
            <w:tcW w:w="1701" w:type="dxa"/>
            <w:vAlign w:val="center"/>
          </w:tcPr>
          <w:p>
            <w:pPr>
              <w:pStyle w:val="2691"/>
            </w:pPr>
            <w:r>
              <w:t>65</w:t>
            </w:r>
          </w:p>
        </w:tc>
        <w:tc>
          <w:tcPr>
            <w:tcW w:w="2440" w:type="dxa"/>
            <w:vAlign w:val="center"/>
          </w:tcPr>
          <w:p>
            <w:pPr>
              <w:pStyle w:val="2691"/>
            </w:pPr>
            <w: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2" w:type="dxa"/>
            <w:vAlign w:val="center"/>
          </w:tcPr>
          <w:p>
            <w:pPr>
              <w:pStyle w:val="2691"/>
            </w:pPr>
            <w:r>
              <w:rPr>
                <w:rFonts w:hint="eastAsia"/>
              </w:rPr>
              <w:t>周边环境敏感点</w:t>
            </w:r>
          </w:p>
        </w:tc>
        <w:tc>
          <w:tcPr>
            <w:tcW w:w="2085" w:type="dxa"/>
            <w:vAlign w:val="center"/>
          </w:tcPr>
          <w:p>
            <w:pPr>
              <w:pStyle w:val="2691"/>
            </w:pPr>
            <w:r>
              <w:t>2类标准</w:t>
            </w:r>
          </w:p>
        </w:tc>
        <w:tc>
          <w:tcPr>
            <w:tcW w:w="1701" w:type="dxa"/>
            <w:vAlign w:val="center"/>
          </w:tcPr>
          <w:p>
            <w:pPr>
              <w:pStyle w:val="2691"/>
            </w:pPr>
            <w:r>
              <w:t>60</w:t>
            </w:r>
          </w:p>
        </w:tc>
        <w:tc>
          <w:tcPr>
            <w:tcW w:w="2440" w:type="dxa"/>
            <w:vAlign w:val="center"/>
          </w:tcPr>
          <w:p>
            <w:pPr>
              <w:pStyle w:val="2691"/>
            </w:pPr>
            <w:r>
              <w:t>50</w:t>
            </w:r>
          </w:p>
        </w:tc>
      </w:tr>
      <w:bookmarkEnd w:id="48"/>
    </w:tbl>
    <w:p>
      <w:pPr>
        <w:pStyle w:val="456"/>
        <w:ind w:firstLine="482"/>
      </w:pPr>
      <w:bookmarkStart w:id="49" w:name="_Toc316652048"/>
      <w:bookmarkStart w:id="50" w:name="_Toc185760480"/>
      <w:r>
        <w:t>土壤/底泥环境质量标准</w:t>
      </w:r>
    </w:p>
    <w:p>
      <w:pPr>
        <w:ind w:firstLine="480"/>
      </w:pPr>
      <w:r>
        <w:t>本项目码头区域底泥参考执行《土壤环境质量 建设用地土壤污染风险管控标准》（GB36600-2018）中第二类用地筛选值限值要求，具体见下表。</w:t>
      </w:r>
    </w:p>
    <w:p>
      <w:pPr>
        <w:pStyle w:val="619"/>
        <w:rPr>
          <w:rFonts w:cs="Times New Roman"/>
        </w:rPr>
      </w:pPr>
      <w:r>
        <w:rPr>
          <w:rFonts w:cs="Times New Roman"/>
          <w:lang w:val="zh-CN"/>
        </w:rPr>
        <w:t>建设用地土壤环境质量标准一览表 单位：mg/kg</w:t>
      </w:r>
    </w:p>
    <w:tbl>
      <w:tblPr>
        <w:tblStyle w:val="87"/>
        <w:tblW w:w="0" w:type="auto"/>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10"/>
        <w:gridCol w:w="3330"/>
        <w:gridCol w:w="2430"/>
        <w:gridCol w:w="237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9" w:hRule="exact"/>
          <w:jc w:val="center"/>
        </w:trPr>
        <w:tc>
          <w:tcPr>
            <w:tcW w:w="910" w:type="dxa"/>
            <w:vMerge w:val="restart"/>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sz w:val="13"/>
                <w:szCs w:val="13"/>
              </w:rPr>
            </w:pPr>
          </w:p>
          <w:p>
            <w:pPr>
              <w:tabs>
                <w:tab w:val="clear" w:pos="480"/>
              </w:tabs>
              <w:kinsoku w:val="0"/>
              <w:overflowPunct w:val="0"/>
              <w:autoSpaceDE w:val="0"/>
              <w:autoSpaceDN w:val="0"/>
              <w:adjustRightInd w:val="0"/>
              <w:spacing w:line="240" w:lineRule="atLeast"/>
              <w:ind w:firstLine="0" w:firstLineChars="0"/>
              <w:jc w:val="center"/>
              <w:rPr>
                <w:kern w:val="0"/>
              </w:rPr>
            </w:pPr>
            <w:r>
              <w:rPr>
                <w:spacing w:val="1"/>
                <w:kern w:val="0"/>
                <w:sz w:val="21"/>
                <w:szCs w:val="21"/>
              </w:rPr>
              <w:t>序号</w:t>
            </w:r>
          </w:p>
        </w:tc>
        <w:tc>
          <w:tcPr>
            <w:tcW w:w="3330" w:type="dxa"/>
            <w:vMerge w:val="restart"/>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sz w:val="13"/>
                <w:szCs w:val="13"/>
              </w:rPr>
            </w:pPr>
          </w:p>
          <w:p>
            <w:pPr>
              <w:tabs>
                <w:tab w:val="clear" w:pos="480"/>
              </w:tabs>
              <w:kinsoku w:val="0"/>
              <w:overflowPunct w:val="0"/>
              <w:autoSpaceDE w:val="0"/>
              <w:autoSpaceDN w:val="0"/>
              <w:adjustRightInd w:val="0"/>
              <w:spacing w:line="240" w:lineRule="atLeast"/>
              <w:ind w:firstLine="0" w:firstLineChars="0"/>
              <w:jc w:val="center"/>
              <w:rPr>
                <w:kern w:val="0"/>
              </w:rPr>
            </w:pPr>
            <w:r>
              <w:rPr>
                <w:spacing w:val="1"/>
                <w:kern w:val="0"/>
                <w:sz w:val="21"/>
                <w:szCs w:val="21"/>
              </w:rPr>
              <w:t>项目</w:t>
            </w:r>
          </w:p>
        </w:tc>
        <w:tc>
          <w:tcPr>
            <w:tcW w:w="4801" w:type="dxa"/>
            <w:gridSpan w:val="2"/>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r>
              <w:rPr>
                <w:spacing w:val="1"/>
                <w:kern w:val="0"/>
                <w:sz w:val="21"/>
                <w:szCs w:val="21"/>
              </w:rPr>
              <w:t>评价标准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50" w:hRule="exact"/>
          <w:jc w:val="center"/>
        </w:trPr>
        <w:tc>
          <w:tcPr>
            <w:tcW w:w="910" w:type="dxa"/>
            <w:vMerge w:val="continue"/>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p>
        </w:tc>
        <w:tc>
          <w:tcPr>
            <w:tcW w:w="3330" w:type="dxa"/>
            <w:vMerge w:val="continue"/>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p>
        </w:tc>
        <w:tc>
          <w:tcPr>
            <w:tcW w:w="2430"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r>
              <w:rPr>
                <w:spacing w:val="1"/>
                <w:kern w:val="0"/>
                <w:sz w:val="21"/>
                <w:szCs w:val="21"/>
              </w:rPr>
              <w:t>筛选值</w:t>
            </w:r>
          </w:p>
        </w:tc>
        <w:tc>
          <w:tcPr>
            <w:tcW w:w="2371"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r>
              <w:rPr>
                <w:spacing w:val="1"/>
                <w:kern w:val="0"/>
                <w:sz w:val="21"/>
                <w:szCs w:val="21"/>
              </w:rPr>
              <w:t>管控值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9" w:hRule="exact"/>
          <w:jc w:val="center"/>
        </w:trPr>
        <w:tc>
          <w:tcPr>
            <w:tcW w:w="910"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kern w:val="0"/>
                <w:sz w:val="21"/>
                <w:szCs w:val="21"/>
              </w:rPr>
              <w:t>1</w:t>
            </w:r>
          </w:p>
        </w:tc>
        <w:tc>
          <w:tcPr>
            <w:tcW w:w="3330"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kern w:val="0"/>
                <w:sz w:val="21"/>
                <w:szCs w:val="21"/>
              </w:rPr>
              <w:t>砷</w:t>
            </w:r>
          </w:p>
        </w:tc>
        <w:tc>
          <w:tcPr>
            <w:tcW w:w="2430"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kern w:val="0"/>
                <w:sz w:val="21"/>
                <w:szCs w:val="21"/>
              </w:rPr>
              <w:t>60</w:t>
            </w:r>
          </w:p>
        </w:tc>
        <w:tc>
          <w:tcPr>
            <w:tcW w:w="2371"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kern w:val="0"/>
                <w:sz w:val="21"/>
                <w:szCs w:val="21"/>
              </w:rPr>
              <w:t>140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9" w:hRule="exact"/>
          <w:jc w:val="center"/>
        </w:trPr>
        <w:tc>
          <w:tcPr>
            <w:tcW w:w="910"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kern w:val="0"/>
                <w:sz w:val="21"/>
                <w:szCs w:val="21"/>
              </w:rPr>
              <w:t>2</w:t>
            </w:r>
          </w:p>
        </w:tc>
        <w:tc>
          <w:tcPr>
            <w:tcW w:w="3330"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r>
              <w:rPr>
                <w:kern w:val="0"/>
                <w:sz w:val="21"/>
                <w:szCs w:val="21"/>
              </w:rPr>
              <w:t>镉</w:t>
            </w:r>
          </w:p>
        </w:tc>
        <w:tc>
          <w:tcPr>
            <w:tcW w:w="2430"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r>
              <w:rPr>
                <w:kern w:val="0"/>
                <w:sz w:val="21"/>
                <w:szCs w:val="21"/>
              </w:rPr>
              <w:t>65</w:t>
            </w:r>
          </w:p>
        </w:tc>
        <w:tc>
          <w:tcPr>
            <w:tcW w:w="2371"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r>
              <w:rPr>
                <w:kern w:val="0"/>
                <w:sz w:val="21"/>
                <w:szCs w:val="21"/>
              </w:rPr>
              <w:t>172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0" w:hRule="exact"/>
          <w:jc w:val="center"/>
        </w:trPr>
        <w:tc>
          <w:tcPr>
            <w:tcW w:w="910"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kern w:val="0"/>
                <w:sz w:val="21"/>
                <w:szCs w:val="21"/>
              </w:rPr>
              <w:t>3</w:t>
            </w:r>
          </w:p>
        </w:tc>
        <w:tc>
          <w:tcPr>
            <w:tcW w:w="3330"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r>
              <w:rPr>
                <w:kern w:val="0"/>
                <w:sz w:val="21"/>
                <w:szCs w:val="21"/>
              </w:rPr>
              <w:t>铬（六价）</w:t>
            </w:r>
          </w:p>
        </w:tc>
        <w:tc>
          <w:tcPr>
            <w:tcW w:w="2430"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r>
              <w:rPr>
                <w:kern w:val="0"/>
                <w:sz w:val="21"/>
                <w:szCs w:val="21"/>
              </w:rPr>
              <w:t>5.7</w:t>
            </w:r>
          </w:p>
        </w:tc>
        <w:tc>
          <w:tcPr>
            <w:tcW w:w="2371"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r>
              <w:rPr>
                <w:kern w:val="0"/>
                <w:sz w:val="21"/>
                <w:szCs w:val="21"/>
              </w:rPr>
              <w:t>78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50" w:hRule="exact"/>
          <w:jc w:val="center"/>
        </w:trPr>
        <w:tc>
          <w:tcPr>
            <w:tcW w:w="910"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kern w:val="0"/>
                <w:sz w:val="21"/>
                <w:szCs w:val="21"/>
              </w:rPr>
              <w:t>4</w:t>
            </w:r>
          </w:p>
        </w:tc>
        <w:tc>
          <w:tcPr>
            <w:tcW w:w="3330"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r>
              <w:rPr>
                <w:kern w:val="0"/>
                <w:sz w:val="21"/>
                <w:szCs w:val="21"/>
              </w:rPr>
              <w:t>铜</w:t>
            </w:r>
          </w:p>
        </w:tc>
        <w:tc>
          <w:tcPr>
            <w:tcW w:w="2430"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r>
              <w:rPr>
                <w:kern w:val="0"/>
                <w:sz w:val="21"/>
                <w:szCs w:val="21"/>
              </w:rPr>
              <w:t>18000</w:t>
            </w:r>
          </w:p>
        </w:tc>
        <w:tc>
          <w:tcPr>
            <w:tcW w:w="2371"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r>
              <w:rPr>
                <w:kern w:val="0"/>
                <w:sz w:val="21"/>
                <w:szCs w:val="21"/>
              </w:rPr>
              <w:t>36000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9" w:hRule="exact"/>
          <w:jc w:val="center"/>
        </w:trPr>
        <w:tc>
          <w:tcPr>
            <w:tcW w:w="910"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kern w:val="0"/>
                <w:sz w:val="21"/>
                <w:szCs w:val="21"/>
              </w:rPr>
              <w:t>5</w:t>
            </w:r>
          </w:p>
        </w:tc>
        <w:tc>
          <w:tcPr>
            <w:tcW w:w="3330"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r>
              <w:rPr>
                <w:kern w:val="0"/>
                <w:sz w:val="21"/>
                <w:szCs w:val="21"/>
              </w:rPr>
              <w:t>铅</w:t>
            </w:r>
          </w:p>
        </w:tc>
        <w:tc>
          <w:tcPr>
            <w:tcW w:w="2430"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r>
              <w:rPr>
                <w:kern w:val="0"/>
                <w:sz w:val="21"/>
                <w:szCs w:val="21"/>
              </w:rPr>
              <w:t>800</w:t>
            </w:r>
          </w:p>
        </w:tc>
        <w:tc>
          <w:tcPr>
            <w:tcW w:w="2371"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r>
              <w:rPr>
                <w:kern w:val="0"/>
                <w:sz w:val="21"/>
                <w:szCs w:val="21"/>
              </w:rPr>
              <w:t>2500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0" w:hRule="exact"/>
          <w:jc w:val="center"/>
        </w:trPr>
        <w:tc>
          <w:tcPr>
            <w:tcW w:w="910"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kern w:val="0"/>
                <w:sz w:val="21"/>
                <w:szCs w:val="21"/>
              </w:rPr>
              <w:t>6</w:t>
            </w:r>
          </w:p>
        </w:tc>
        <w:tc>
          <w:tcPr>
            <w:tcW w:w="3330"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r>
              <w:rPr>
                <w:kern w:val="0"/>
                <w:sz w:val="21"/>
                <w:szCs w:val="21"/>
              </w:rPr>
              <w:t>汞</w:t>
            </w:r>
          </w:p>
        </w:tc>
        <w:tc>
          <w:tcPr>
            <w:tcW w:w="2430"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r>
              <w:rPr>
                <w:kern w:val="0"/>
                <w:sz w:val="21"/>
                <w:szCs w:val="21"/>
              </w:rPr>
              <w:t>38</w:t>
            </w:r>
          </w:p>
        </w:tc>
        <w:tc>
          <w:tcPr>
            <w:tcW w:w="2371"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r>
              <w:rPr>
                <w:kern w:val="0"/>
                <w:sz w:val="21"/>
                <w:szCs w:val="21"/>
              </w:rPr>
              <w:t>82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0" w:hRule="exact"/>
          <w:jc w:val="center"/>
        </w:trPr>
        <w:tc>
          <w:tcPr>
            <w:tcW w:w="910"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kern w:val="0"/>
                <w:sz w:val="21"/>
                <w:szCs w:val="21"/>
              </w:rPr>
              <w:t>7</w:t>
            </w:r>
          </w:p>
        </w:tc>
        <w:tc>
          <w:tcPr>
            <w:tcW w:w="3330"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r>
              <w:rPr>
                <w:kern w:val="0"/>
                <w:sz w:val="21"/>
                <w:szCs w:val="21"/>
              </w:rPr>
              <w:t>镍</w:t>
            </w:r>
          </w:p>
        </w:tc>
        <w:tc>
          <w:tcPr>
            <w:tcW w:w="2430"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r>
              <w:rPr>
                <w:kern w:val="0"/>
                <w:sz w:val="21"/>
                <w:szCs w:val="21"/>
              </w:rPr>
              <w:t>900</w:t>
            </w:r>
          </w:p>
        </w:tc>
        <w:tc>
          <w:tcPr>
            <w:tcW w:w="2371" w:type="dxa"/>
            <w:tcBorders>
              <w:tl2br w:val="nil"/>
              <w:tr2bl w:val="nil"/>
            </w:tcBorders>
          </w:tcPr>
          <w:p>
            <w:pPr>
              <w:tabs>
                <w:tab w:val="clear" w:pos="480"/>
              </w:tabs>
              <w:kinsoku w:val="0"/>
              <w:overflowPunct w:val="0"/>
              <w:autoSpaceDE w:val="0"/>
              <w:autoSpaceDN w:val="0"/>
              <w:adjustRightInd w:val="0"/>
              <w:spacing w:line="240" w:lineRule="atLeast"/>
              <w:ind w:firstLine="0" w:firstLineChars="0"/>
              <w:jc w:val="center"/>
              <w:rPr>
                <w:kern w:val="0"/>
              </w:rPr>
            </w:pPr>
            <w:r>
              <w:rPr>
                <w:kern w:val="0"/>
                <w:sz w:val="21"/>
                <w:szCs w:val="21"/>
              </w:rPr>
              <w:t>2000</w:t>
            </w:r>
          </w:p>
        </w:tc>
      </w:tr>
    </w:tbl>
    <w:p>
      <w:pPr>
        <w:pStyle w:val="454"/>
        <w:ind w:firstLine="602"/>
        <w:rPr>
          <w:color w:val="auto"/>
        </w:rPr>
      </w:pPr>
      <w:r>
        <w:rPr>
          <w:color w:val="auto"/>
        </w:rPr>
        <w:t>污染物排放标准</w:t>
      </w:r>
    </w:p>
    <w:p>
      <w:pPr>
        <w:pStyle w:val="456"/>
        <w:ind w:firstLine="482"/>
      </w:pPr>
      <w:r>
        <w:t>水污染物排放标准</w:t>
      </w:r>
    </w:p>
    <w:p>
      <w:pPr>
        <w:pStyle w:val="458"/>
        <w:ind w:firstLine="480"/>
        <w:rPr>
          <w:rFonts w:cs="Times New Roman"/>
          <w:bCs/>
          <w:color w:val="auto"/>
        </w:rPr>
      </w:pPr>
      <w:r>
        <w:rPr>
          <w:rFonts w:cs="Times New Roman"/>
          <w:color w:val="auto"/>
          <w:spacing w:val="-3"/>
          <w:szCs w:val="22"/>
        </w:rPr>
        <w:t>本项目船舶舱底油污水、</w:t>
      </w:r>
      <w:r>
        <w:rPr>
          <w:rFonts w:cs="Times New Roman"/>
          <w:color w:val="auto"/>
          <w:spacing w:val="-3"/>
          <w:szCs w:val="24"/>
        </w:rPr>
        <w:t>生活污水</w:t>
      </w:r>
      <w:r>
        <w:rPr>
          <w:rFonts w:hint="default" w:ascii="Times New Roman" w:hAnsi="Times New Roman" w:eastAsia="宋体" w:cs="Times New Roman"/>
          <w:kern w:val="2"/>
          <w:sz w:val="24"/>
          <w:szCs w:val="24"/>
          <w:lang w:val="en-US" w:eastAsia="zh-CN" w:bidi="ar"/>
        </w:rPr>
        <w:t>上岸进入港区专用</w:t>
      </w:r>
      <w:r>
        <w:rPr>
          <w:rFonts w:hint="default" w:eastAsia="宋体" w:cs="Times New Roman"/>
          <w:kern w:val="2"/>
          <w:sz w:val="24"/>
          <w:szCs w:val="24"/>
          <w:lang w:val="en-US" w:eastAsia="zh-CN" w:bidi="ar"/>
        </w:rPr>
        <w:t>接收装置</w:t>
      </w:r>
      <w:r>
        <w:rPr>
          <w:rFonts w:hint="default" w:ascii="Times New Roman" w:hAnsi="Times New Roman" w:eastAsia="宋体" w:cs="Times New Roman"/>
          <w:kern w:val="2"/>
          <w:sz w:val="24"/>
          <w:szCs w:val="24"/>
          <w:lang w:val="en-US" w:eastAsia="zh-CN" w:bidi="ar"/>
        </w:rPr>
        <w:t>，</w:t>
      </w:r>
      <w:r>
        <w:rPr>
          <w:spacing w:val="0"/>
          <w:sz w:val="24"/>
          <w:szCs w:val="24"/>
        </w:rPr>
        <w:t>申请海事部门的环保工作船进行专业收集处理</w:t>
      </w:r>
      <w:r>
        <w:rPr>
          <w:rFonts w:hint="eastAsia" w:cs="Times New Roman"/>
          <w:color w:val="auto"/>
          <w:spacing w:val="-3"/>
          <w:szCs w:val="22"/>
          <w:lang w:eastAsia="zh-CN"/>
        </w:rPr>
        <w:t>，</w:t>
      </w:r>
      <w:r>
        <w:rPr>
          <w:rFonts w:hint="eastAsia" w:cs="Times New Roman"/>
          <w:color w:val="auto"/>
          <w:spacing w:val="-3"/>
          <w:szCs w:val="22"/>
          <w:lang w:val="en-US" w:eastAsia="zh-CN"/>
        </w:rPr>
        <w:t>港区设置有配套的接受装置</w:t>
      </w:r>
      <w:r>
        <w:rPr>
          <w:rFonts w:cs="Times New Roman"/>
          <w:color w:val="auto"/>
        </w:rPr>
        <w:t>；</w:t>
      </w:r>
      <w:r>
        <w:rPr>
          <w:rFonts w:cs="Times New Roman"/>
          <w:color w:val="auto"/>
          <w:spacing w:val="-3"/>
          <w:szCs w:val="22"/>
        </w:rPr>
        <w:t>码头平台冲洗废水、初期雨水经围坎</w:t>
      </w:r>
      <w:r>
        <w:rPr>
          <w:rFonts w:cs="Times New Roman"/>
          <w:color w:val="auto"/>
        </w:rPr>
        <w:t>收集后进入污水收集池，</w:t>
      </w:r>
      <w:r>
        <w:rPr>
          <w:rFonts w:cs="Times New Roman"/>
          <w:color w:val="auto"/>
          <w:szCs w:val="28"/>
        </w:rPr>
        <w:t>收集池内设置排污泵，定期将污水输送至后方陆域工程区污水处理设备进行处理</w:t>
      </w:r>
      <w:r>
        <w:rPr>
          <w:rFonts w:hint="eastAsia" w:cs="Times New Roman"/>
          <w:color w:val="auto"/>
          <w:szCs w:val="28"/>
        </w:rPr>
        <w:t>后回用，</w:t>
      </w:r>
      <w:r>
        <w:rPr>
          <w:rFonts w:hint="eastAsia"/>
          <w:szCs w:val="24"/>
        </w:rPr>
        <w:t>用于绿化、降尘、车辆冲洗补充水，盈余</w:t>
      </w:r>
      <w:r>
        <w:rPr>
          <w:rFonts w:hint="eastAsia"/>
          <w:szCs w:val="24"/>
          <w:lang w:val="en-US" w:eastAsia="zh-CN"/>
        </w:rPr>
        <w:t>部分与经过化粪池处理后的生活污水一同进入市政管网后进入临港污水处理厂处理后排放，项目废水总排口</w:t>
      </w:r>
      <w:r>
        <w:rPr>
          <w:rFonts w:hint="eastAsia"/>
          <w:szCs w:val="24"/>
        </w:rPr>
        <w:t>执行《污水综合排放标》(GB</w:t>
      </w:r>
      <w:r>
        <w:rPr>
          <w:szCs w:val="24"/>
        </w:rPr>
        <w:t>8978</w:t>
      </w:r>
      <w:r>
        <w:rPr>
          <w:rFonts w:hint="eastAsia"/>
          <w:szCs w:val="24"/>
        </w:rPr>
        <w:t>-</w:t>
      </w:r>
      <w:r>
        <w:rPr>
          <w:szCs w:val="24"/>
        </w:rPr>
        <w:t>1996</w:t>
      </w:r>
      <w:r>
        <w:rPr>
          <w:rFonts w:hint="eastAsia"/>
          <w:szCs w:val="24"/>
        </w:rPr>
        <w:t>)表4中三级标准，氨氮参照《污水排入城镇下水道水质标准》（G</w:t>
      </w:r>
      <w:r>
        <w:rPr>
          <w:szCs w:val="24"/>
        </w:rPr>
        <w:t>B/T31962</w:t>
      </w:r>
      <w:r>
        <w:rPr>
          <w:rFonts w:hint="eastAsia"/>
          <w:szCs w:val="24"/>
        </w:rPr>
        <w:t>-</w:t>
      </w:r>
      <w:r>
        <w:rPr>
          <w:szCs w:val="24"/>
        </w:rPr>
        <w:t>2015</w:t>
      </w:r>
      <w:r>
        <w:rPr>
          <w:rFonts w:hint="eastAsia"/>
          <w:szCs w:val="24"/>
        </w:rPr>
        <w:t>）B级标准。</w:t>
      </w:r>
    </w:p>
    <w:p>
      <w:pPr>
        <w:pStyle w:val="619"/>
      </w:pPr>
      <w:r>
        <w:rPr>
          <w:rFonts w:hint="eastAsia"/>
        </w:rPr>
        <w:t>废水排放标准一览表  单位mg/L（pH无量纲）</w:t>
      </w:r>
    </w:p>
    <w:tbl>
      <w:tblPr>
        <w:tblStyle w:val="87"/>
        <w:tblW w:w="492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86"/>
        <w:gridCol w:w="3755"/>
        <w:gridCol w:w="841"/>
        <w:gridCol w:w="841"/>
        <w:gridCol w:w="841"/>
        <w:gridCol w:w="841"/>
        <w:gridCol w:w="8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47" w:type="pct"/>
            <w:tcBorders>
              <w:bottom w:val="single" w:color="auto" w:sz="12" w:space="0"/>
            </w:tcBorders>
            <w:vAlign w:val="center"/>
          </w:tcPr>
          <w:p>
            <w:pPr>
              <w:pStyle w:val="2691"/>
              <w:rPr>
                <w:b/>
                <w:bCs/>
              </w:rPr>
            </w:pPr>
            <w:r>
              <w:rPr>
                <w:rFonts w:hint="eastAsia"/>
                <w:b/>
                <w:bCs/>
              </w:rPr>
              <w:t>对象</w:t>
            </w:r>
          </w:p>
        </w:tc>
        <w:tc>
          <w:tcPr>
            <w:tcW w:w="2049" w:type="pct"/>
            <w:tcBorders>
              <w:bottom w:val="single" w:color="auto" w:sz="12" w:space="0"/>
            </w:tcBorders>
            <w:vAlign w:val="center"/>
          </w:tcPr>
          <w:p>
            <w:pPr>
              <w:pStyle w:val="2691"/>
              <w:rPr>
                <w:b/>
                <w:bCs/>
              </w:rPr>
            </w:pPr>
            <w:r>
              <w:rPr>
                <w:rFonts w:hint="eastAsia"/>
                <w:b/>
                <w:bCs/>
              </w:rPr>
              <w:t>标准名称</w:t>
            </w:r>
          </w:p>
        </w:tc>
        <w:tc>
          <w:tcPr>
            <w:tcW w:w="459" w:type="pct"/>
            <w:tcBorders>
              <w:bottom w:val="single" w:color="auto" w:sz="12" w:space="0"/>
            </w:tcBorders>
            <w:vAlign w:val="center"/>
          </w:tcPr>
          <w:p>
            <w:pPr>
              <w:pStyle w:val="2691"/>
              <w:rPr>
                <w:b/>
                <w:bCs/>
              </w:rPr>
            </w:pPr>
            <w:r>
              <w:rPr>
                <w:rFonts w:hint="eastAsia"/>
                <w:b/>
                <w:bCs/>
              </w:rPr>
              <w:t>pH值</w:t>
            </w:r>
          </w:p>
        </w:tc>
        <w:tc>
          <w:tcPr>
            <w:tcW w:w="459" w:type="pct"/>
            <w:tcBorders>
              <w:bottom w:val="single" w:color="auto" w:sz="12" w:space="0"/>
            </w:tcBorders>
            <w:vAlign w:val="center"/>
          </w:tcPr>
          <w:p>
            <w:pPr>
              <w:pStyle w:val="2691"/>
              <w:rPr>
                <w:b/>
                <w:bCs/>
              </w:rPr>
            </w:pPr>
            <w:r>
              <w:rPr>
                <w:rFonts w:hint="eastAsia"/>
                <w:b/>
                <w:bCs/>
              </w:rPr>
              <w:t>C</w:t>
            </w:r>
            <w:r>
              <w:rPr>
                <w:b/>
                <w:bCs/>
              </w:rPr>
              <w:t>OD</w:t>
            </w:r>
          </w:p>
        </w:tc>
        <w:tc>
          <w:tcPr>
            <w:tcW w:w="459" w:type="pct"/>
            <w:tcBorders>
              <w:bottom w:val="single" w:color="auto" w:sz="12" w:space="0"/>
            </w:tcBorders>
            <w:vAlign w:val="center"/>
          </w:tcPr>
          <w:p>
            <w:pPr>
              <w:pStyle w:val="2691"/>
              <w:rPr>
                <w:b/>
                <w:bCs/>
              </w:rPr>
            </w:pPr>
            <w:r>
              <w:rPr>
                <w:rFonts w:hint="eastAsia"/>
                <w:b/>
                <w:bCs/>
              </w:rPr>
              <w:t>氨氮</w:t>
            </w:r>
          </w:p>
        </w:tc>
        <w:tc>
          <w:tcPr>
            <w:tcW w:w="459" w:type="pct"/>
            <w:tcBorders>
              <w:bottom w:val="single" w:color="auto" w:sz="12" w:space="0"/>
            </w:tcBorders>
            <w:vAlign w:val="center"/>
          </w:tcPr>
          <w:p>
            <w:pPr>
              <w:pStyle w:val="2691"/>
              <w:rPr>
                <w:b/>
                <w:bCs/>
              </w:rPr>
            </w:pPr>
            <w:r>
              <w:rPr>
                <w:rFonts w:hint="eastAsia"/>
                <w:b/>
                <w:bCs/>
              </w:rPr>
              <w:t>S</w:t>
            </w:r>
            <w:r>
              <w:rPr>
                <w:b/>
                <w:bCs/>
              </w:rPr>
              <w:t>S</w:t>
            </w:r>
          </w:p>
        </w:tc>
        <w:tc>
          <w:tcPr>
            <w:tcW w:w="462" w:type="pct"/>
            <w:tcBorders>
              <w:bottom w:val="single" w:color="auto" w:sz="12" w:space="0"/>
            </w:tcBorders>
            <w:vAlign w:val="center"/>
          </w:tcPr>
          <w:p>
            <w:pPr>
              <w:pStyle w:val="2691"/>
              <w:rPr>
                <w:b/>
                <w:bCs/>
              </w:rPr>
            </w:pPr>
            <w:r>
              <w:rPr>
                <w:rFonts w:hint="eastAsia"/>
                <w:b/>
                <w:bCs/>
              </w:rPr>
              <w:t>BOD</w:t>
            </w:r>
            <w:r>
              <w:rPr>
                <w:rFonts w:hint="eastAsia"/>
                <w:b/>
                <w:bCs/>
                <w:vertAlign w:val="subscript"/>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47" w:type="pct"/>
            <w:tcBorders>
              <w:top w:val="single" w:color="auto" w:sz="12" w:space="0"/>
              <w:tl2br w:val="nil"/>
              <w:tr2bl w:val="nil"/>
            </w:tcBorders>
            <w:vAlign w:val="center"/>
          </w:tcPr>
          <w:p>
            <w:pPr>
              <w:pStyle w:val="2691"/>
            </w:pPr>
            <w:r>
              <w:rPr>
                <w:rFonts w:hint="eastAsia"/>
              </w:rPr>
              <w:t>生活污水化粪池排口</w:t>
            </w:r>
          </w:p>
        </w:tc>
        <w:tc>
          <w:tcPr>
            <w:tcW w:w="2049" w:type="pct"/>
            <w:tcBorders>
              <w:top w:val="single" w:color="auto" w:sz="12" w:space="0"/>
              <w:tl2br w:val="nil"/>
              <w:tr2bl w:val="nil"/>
            </w:tcBorders>
            <w:vAlign w:val="center"/>
          </w:tcPr>
          <w:p>
            <w:pPr>
              <w:pStyle w:val="2691"/>
              <w:rPr>
                <w:rFonts w:hint="eastAsia"/>
              </w:rPr>
            </w:pPr>
            <w:r>
              <w:rPr>
                <w:rFonts w:hint="eastAsia"/>
              </w:rPr>
              <w:t>《污水综合排放标》（GB</w:t>
            </w:r>
            <w:r>
              <w:t>8978</w:t>
            </w:r>
            <w:r>
              <w:rPr>
                <w:rFonts w:hint="eastAsia"/>
              </w:rPr>
              <w:t>-</w:t>
            </w:r>
            <w:r>
              <w:t>1996</w:t>
            </w:r>
            <w:r>
              <w:rPr>
                <w:rFonts w:hint="eastAsia"/>
              </w:rPr>
              <w:t>）表4三级标准</w:t>
            </w:r>
          </w:p>
          <w:p>
            <w:pPr>
              <w:pStyle w:val="2691"/>
              <w:rPr>
                <w:rFonts w:hint="eastAsia"/>
              </w:rPr>
            </w:pPr>
            <w:r>
              <w:rPr>
                <w:rFonts w:hint="eastAsia"/>
                <w:szCs w:val="24"/>
              </w:rPr>
              <w:t>《污水排入城镇下水道水质标准》（G</w:t>
            </w:r>
            <w:r>
              <w:rPr>
                <w:szCs w:val="24"/>
              </w:rPr>
              <w:t>B/T31962</w:t>
            </w:r>
            <w:r>
              <w:rPr>
                <w:rFonts w:hint="eastAsia"/>
                <w:szCs w:val="24"/>
              </w:rPr>
              <w:t>-</w:t>
            </w:r>
            <w:r>
              <w:rPr>
                <w:szCs w:val="24"/>
              </w:rPr>
              <w:t>2015</w:t>
            </w:r>
            <w:r>
              <w:rPr>
                <w:rFonts w:hint="eastAsia"/>
                <w:szCs w:val="24"/>
              </w:rPr>
              <w:t>）B级</w:t>
            </w:r>
          </w:p>
        </w:tc>
        <w:tc>
          <w:tcPr>
            <w:tcW w:w="459" w:type="pct"/>
            <w:tcBorders>
              <w:top w:val="single" w:color="auto" w:sz="12" w:space="0"/>
              <w:tl2br w:val="nil"/>
              <w:tr2bl w:val="nil"/>
            </w:tcBorders>
            <w:vAlign w:val="center"/>
          </w:tcPr>
          <w:p>
            <w:pPr>
              <w:pStyle w:val="2691"/>
            </w:pPr>
            <w:r>
              <w:rPr>
                <w:rFonts w:hint="eastAsia"/>
              </w:rPr>
              <w:t>6~9</w:t>
            </w:r>
          </w:p>
        </w:tc>
        <w:tc>
          <w:tcPr>
            <w:tcW w:w="459" w:type="pct"/>
            <w:tcBorders>
              <w:top w:val="single" w:color="auto" w:sz="12" w:space="0"/>
              <w:tl2br w:val="nil"/>
              <w:tr2bl w:val="nil"/>
            </w:tcBorders>
            <w:vAlign w:val="center"/>
          </w:tcPr>
          <w:p>
            <w:pPr>
              <w:pStyle w:val="2691"/>
            </w:pPr>
            <w:r>
              <w:rPr>
                <w:rFonts w:hint="eastAsia"/>
              </w:rPr>
              <w:t>5</w:t>
            </w:r>
            <w:r>
              <w:t>00</w:t>
            </w:r>
          </w:p>
        </w:tc>
        <w:tc>
          <w:tcPr>
            <w:tcW w:w="459" w:type="pct"/>
            <w:tcBorders>
              <w:top w:val="single" w:color="auto" w:sz="12" w:space="0"/>
              <w:tl2br w:val="nil"/>
              <w:tr2bl w:val="nil"/>
            </w:tcBorders>
            <w:vAlign w:val="center"/>
          </w:tcPr>
          <w:p>
            <w:pPr>
              <w:pStyle w:val="2691"/>
            </w:pPr>
            <w:r>
              <w:rPr>
                <w:rFonts w:hint="eastAsia"/>
              </w:rPr>
              <w:t>4</w:t>
            </w:r>
            <w:r>
              <w:t>5</w:t>
            </w:r>
          </w:p>
        </w:tc>
        <w:tc>
          <w:tcPr>
            <w:tcW w:w="459" w:type="pct"/>
            <w:tcBorders>
              <w:top w:val="single" w:color="auto" w:sz="12" w:space="0"/>
              <w:tl2br w:val="nil"/>
              <w:tr2bl w:val="nil"/>
            </w:tcBorders>
            <w:vAlign w:val="center"/>
          </w:tcPr>
          <w:p>
            <w:pPr>
              <w:pStyle w:val="2691"/>
            </w:pPr>
            <w:r>
              <w:rPr>
                <w:rFonts w:hint="eastAsia"/>
              </w:rPr>
              <w:t>4</w:t>
            </w:r>
            <w:r>
              <w:t>00</w:t>
            </w:r>
          </w:p>
        </w:tc>
        <w:tc>
          <w:tcPr>
            <w:tcW w:w="462" w:type="pct"/>
            <w:tcBorders>
              <w:top w:val="single" w:color="auto" w:sz="12" w:space="0"/>
              <w:tl2br w:val="nil"/>
              <w:tr2bl w:val="nil"/>
            </w:tcBorders>
            <w:vAlign w:val="center"/>
          </w:tcPr>
          <w:p>
            <w:pPr>
              <w:pStyle w:val="2691"/>
            </w:pPr>
            <w:r>
              <w:rPr>
                <w:rFonts w:hint="eastAsia"/>
              </w:rPr>
              <w:t>3</w:t>
            </w:r>
            <w:r>
              <w:t>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47" w:type="pct"/>
            <w:tcBorders>
              <w:tl2br w:val="nil"/>
              <w:tr2bl w:val="nil"/>
            </w:tcBorders>
            <w:vAlign w:val="center"/>
          </w:tcPr>
          <w:p>
            <w:pPr>
              <w:pStyle w:val="2691"/>
            </w:pPr>
            <w:r>
              <w:rPr>
                <w:rFonts w:hint="eastAsia"/>
                <w:szCs w:val="28"/>
                <w:lang w:val="en-US" w:eastAsia="zh-CN"/>
              </w:rPr>
              <w:t>临港水质净化</w:t>
            </w:r>
            <w:r>
              <w:rPr>
                <w:rFonts w:hint="eastAsia"/>
                <w:szCs w:val="28"/>
              </w:rPr>
              <w:t>厂</w:t>
            </w:r>
          </w:p>
        </w:tc>
        <w:tc>
          <w:tcPr>
            <w:tcW w:w="2049" w:type="pct"/>
            <w:tcBorders>
              <w:tl2br w:val="nil"/>
              <w:tr2bl w:val="nil"/>
            </w:tcBorders>
            <w:vAlign w:val="center"/>
          </w:tcPr>
          <w:p>
            <w:pPr>
              <w:pStyle w:val="2691"/>
            </w:pPr>
            <w:r>
              <w:rPr>
                <w:rFonts w:hint="eastAsia"/>
              </w:rPr>
              <w:t>《城镇污水处理厂污染物排放标准》(GB18918-2002)及修改单中一级A标准</w:t>
            </w:r>
          </w:p>
        </w:tc>
        <w:tc>
          <w:tcPr>
            <w:tcW w:w="459" w:type="pct"/>
            <w:tcBorders>
              <w:tl2br w:val="nil"/>
              <w:tr2bl w:val="nil"/>
            </w:tcBorders>
            <w:vAlign w:val="center"/>
          </w:tcPr>
          <w:p>
            <w:pPr>
              <w:pStyle w:val="2691"/>
            </w:pPr>
            <w:r>
              <w:rPr>
                <w:rFonts w:hint="eastAsia"/>
              </w:rPr>
              <w:t>6~9</w:t>
            </w:r>
          </w:p>
        </w:tc>
        <w:tc>
          <w:tcPr>
            <w:tcW w:w="459" w:type="pct"/>
            <w:tcBorders>
              <w:tl2br w:val="nil"/>
              <w:tr2bl w:val="nil"/>
            </w:tcBorders>
            <w:vAlign w:val="center"/>
          </w:tcPr>
          <w:p>
            <w:pPr>
              <w:pStyle w:val="2691"/>
            </w:pPr>
            <w:r>
              <w:rPr>
                <w:rFonts w:hint="eastAsia"/>
              </w:rPr>
              <w:t>50</w:t>
            </w:r>
          </w:p>
        </w:tc>
        <w:tc>
          <w:tcPr>
            <w:tcW w:w="459" w:type="pct"/>
            <w:tcBorders>
              <w:tl2br w:val="nil"/>
              <w:tr2bl w:val="nil"/>
            </w:tcBorders>
            <w:vAlign w:val="center"/>
          </w:tcPr>
          <w:p>
            <w:pPr>
              <w:pStyle w:val="2691"/>
            </w:pPr>
            <w:r>
              <w:rPr>
                <w:rFonts w:hint="eastAsia"/>
              </w:rPr>
              <w:t>5</w:t>
            </w:r>
          </w:p>
        </w:tc>
        <w:tc>
          <w:tcPr>
            <w:tcW w:w="459" w:type="pct"/>
            <w:tcBorders>
              <w:tl2br w:val="nil"/>
              <w:tr2bl w:val="nil"/>
            </w:tcBorders>
            <w:vAlign w:val="center"/>
          </w:tcPr>
          <w:p>
            <w:pPr>
              <w:pStyle w:val="2691"/>
            </w:pPr>
            <w:r>
              <w:rPr>
                <w:rFonts w:hint="eastAsia"/>
              </w:rPr>
              <w:t>10</w:t>
            </w:r>
          </w:p>
        </w:tc>
        <w:tc>
          <w:tcPr>
            <w:tcW w:w="462" w:type="pct"/>
            <w:tcBorders>
              <w:tl2br w:val="nil"/>
              <w:tr2bl w:val="nil"/>
            </w:tcBorders>
            <w:vAlign w:val="center"/>
          </w:tcPr>
          <w:p>
            <w:pPr>
              <w:pStyle w:val="2691"/>
            </w:pPr>
            <w:r>
              <w:rPr>
                <w:rFonts w:hint="eastAsia"/>
              </w:rPr>
              <w:t>10</w:t>
            </w:r>
          </w:p>
        </w:tc>
      </w:tr>
    </w:tbl>
    <w:p>
      <w:pPr>
        <w:pStyle w:val="456"/>
        <w:ind w:firstLine="482"/>
      </w:pPr>
      <w:r>
        <w:t>大气污染物排放标准</w:t>
      </w:r>
    </w:p>
    <w:p>
      <w:pPr>
        <w:pStyle w:val="458"/>
        <w:ind w:firstLine="480"/>
        <w:rPr>
          <w:rFonts w:cs="Times New Roman"/>
          <w:color w:val="auto"/>
        </w:rPr>
      </w:pPr>
      <w:r>
        <w:rPr>
          <w:rStyle w:val="2125"/>
          <w:rFonts w:hint="default" w:ascii="Times New Roman" w:hAnsi="Times New Roman" w:cs="Times New Roman"/>
          <w:color w:val="auto"/>
        </w:rPr>
        <w:t>项目营运期产生的废气</w:t>
      </w:r>
      <w:r>
        <w:rPr>
          <w:rFonts w:hint="eastAsia"/>
        </w:rPr>
        <w:t>为港区道路扬尘、装卸作业扬尘、堆场扬尘、运输车辆尾气及装卸机械尾气。港区道路扬尘、运输车辆及装卸机械尾气排放的污染物执行《大气污染物综合排放标准》</w:t>
      </w:r>
      <w:r>
        <w:rPr>
          <w:rFonts w:cs="Times New Roman"/>
          <w:color w:val="auto"/>
        </w:rPr>
        <w:t>（GB16297-1996）</w:t>
      </w:r>
      <w:r>
        <w:rPr>
          <w:rFonts w:hint="eastAsia"/>
        </w:rPr>
        <w:t>表2中标准。</w:t>
      </w:r>
      <w:r>
        <w:rPr>
          <w:rFonts w:cs="Times New Roman"/>
          <w:color w:val="auto"/>
          <w:szCs w:val="36"/>
        </w:rPr>
        <w:t>详见下</w:t>
      </w:r>
      <w:r>
        <w:rPr>
          <w:rFonts w:cs="Times New Roman"/>
          <w:color w:val="auto"/>
        </w:rPr>
        <w:t>表。</w:t>
      </w:r>
    </w:p>
    <w:p>
      <w:pPr>
        <w:pStyle w:val="619"/>
        <w:rPr>
          <w:rFonts w:cs="Times New Roman"/>
        </w:rPr>
      </w:pPr>
      <w:r>
        <w:rPr>
          <w:rFonts w:cs="Times New Roman"/>
        </w:rPr>
        <w:t>建设项目颗粒物无组织排放限值一览表</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501"/>
        <w:gridCol w:w="1523"/>
        <w:gridCol w:w="2032"/>
        <w:gridCol w:w="32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64" w:type="pct"/>
            <w:tcBorders>
              <w:tl2br w:val="nil"/>
              <w:tr2bl w:val="nil"/>
            </w:tcBorders>
            <w:vAlign w:val="center"/>
          </w:tcPr>
          <w:p>
            <w:pPr>
              <w:pStyle w:val="2057"/>
              <w:spacing w:afterLines="0"/>
              <w:ind w:firstLine="0" w:firstLineChars="0"/>
              <w:rPr>
                <w:sz w:val="21"/>
                <w:szCs w:val="21"/>
              </w:rPr>
            </w:pPr>
            <w:r>
              <w:rPr>
                <w:rFonts w:hint="eastAsia"/>
                <w:sz w:val="21"/>
                <w:szCs w:val="21"/>
              </w:rPr>
              <w:t>废气来源</w:t>
            </w:r>
          </w:p>
        </w:tc>
        <w:tc>
          <w:tcPr>
            <w:tcW w:w="769" w:type="pct"/>
            <w:tcBorders>
              <w:tl2br w:val="nil"/>
              <w:tr2bl w:val="nil"/>
            </w:tcBorders>
            <w:vAlign w:val="center"/>
          </w:tcPr>
          <w:p>
            <w:pPr>
              <w:pStyle w:val="2057"/>
              <w:spacing w:afterLines="0"/>
              <w:ind w:firstLine="0" w:firstLineChars="0"/>
              <w:rPr>
                <w:sz w:val="21"/>
                <w:szCs w:val="21"/>
              </w:rPr>
            </w:pPr>
            <w:r>
              <w:rPr>
                <w:rFonts w:hint="eastAsia"/>
                <w:sz w:val="21"/>
                <w:szCs w:val="21"/>
              </w:rPr>
              <w:t>标准来源</w:t>
            </w:r>
          </w:p>
        </w:tc>
        <w:tc>
          <w:tcPr>
            <w:tcW w:w="1111" w:type="pct"/>
            <w:tcBorders>
              <w:tl2br w:val="nil"/>
              <w:tr2bl w:val="nil"/>
            </w:tcBorders>
            <w:vAlign w:val="center"/>
          </w:tcPr>
          <w:p>
            <w:pPr>
              <w:pStyle w:val="2057"/>
              <w:spacing w:afterLines="0"/>
              <w:ind w:firstLine="0" w:firstLineChars="0"/>
              <w:rPr>
                <w:sz w:val="21"/>
                <w:szCs w:val="21"/>
              </w:rPr>
            </w:pPr>
            <w:r>
              <w:rPr>
                <w:rFonts w:hint="eastAsia"/>
                <w:sz w:val="21"/>
                <w:szCs w:val="21"/>
              </w:rPr>
              <w:t>污染物</w:t>
            </w:r>
          </w:p>
        </w:tc>
        <w:tc>
          <w:tcPr>
            <w:tcW w:w="1756" w:type="pct"/>
            <w:tcBorders>
              <w:tl2br w:val="nil"/>
              <w:tr2bl w:val="nil"/>
            </w:tcBorders>
            <w:vAlign w:val="center"/>
          </w:tcPr>
          <w:p>
            <w:pPr>
              <w:pStyle w:val="2057"/>
              <w:spacing w:afterLines="0"/>
              <w:ind w:firstLine="0" w:firstLineChars="0"/>
              <w:rPr>
                <w:sz w:val="21"/>
                <w:szCs w:val="21"/>
              </w:rPr>
            </w:pPr>
            <w:r>
              <w:rPr>
                <w:rFonts w:hint="eastAsia"/>
                <w:sz w:val="21"/>
                <w:szCs w:val="21"/>
              </w:rPr>
              <w:t>标准值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64" w:type="pct"/>
            <w:vMerge w:val="restart"/>
            <w:tcBorders>
              <w:tl2br w:val="nil"/>
              <w:tr2bl w:val="nil"/>
            </w:tcBorders>
            <w:vAlign w:val="center"/>
          </w:tcPr>
          <w:p>
            <w:pPr>
              <w:pStyle w:val="2057"/>
              <w:spacing w:afterLines="0"/>
              <w:ind w:firstLine="0" w:firstLineChars="0"/>
              <w:rPr>
                <w:sz w:val="21"/>
                <w:szCs w:val="21"/>
              </w:rPr>
            </w:pPr>
            <w:r>
              <w:rPr>
                <w:rFonts w:hint="eastAsia"/>
                <w:sz w:val="21"/>
                <w:szCs w:val="21"/>
              </w:rPr>
              <w:t>运输车辆及装卸机械尾气</w:t>
            </w:r>
          </w:p>
        </w:tc>
        <w:tc>
          <w:tcPr>
            <w:tcW w:w="769" w:type="pct"/>
            <w:vMerge w:val="restart"/>
            <w:tcBorders>
              <w:tl2br w:val="nil"/>
              <w:tr2bl w:val="nil"/>
            </w:tcBorders>
            <w:vAlign w:val="center"/>
          </w:tcPr>
          <w:p>
            <w:pPr>
              <w:pStyle w:val="2057"/>
              <w:spacing w:afterLines="0"/>
              <w:ind w:firstLine="0" w:firstLineChars="0"/>
              <w:rPr>
                <w:sz w:val="21"/>
                <w:szCs w:val="21"/>
              </w:rPr>
            </w:pPr>
            <w:r>
              <w:rPr>
                <w:rFonts w:hint="eastAsia"/>
                <w:sz w:val="21"/>
                <w:szCs w:val="21"/>
              </w:rPr>
              <w:t>GB16297-1996表2</w:t>
            </w:r>
          </w:p>
        </w:tc>
        <w:tc>
          <w:tcPr>
            <w:tcW w:w="1111" w:type="pct"/>
            <w:tcBorders>
              <w:tl2br w:val="nil"/>
              <w:tr2bl w:val="nil"/>
            </w:tcBorders>
            <w:vAlign w:val="center"/>
          </w:tcPr>
          <w:p>
            <w:pPr>
              <w:pStyle w:val="2057"/>
              <w:spacing w:afterLines="0"/>
              <w:ind w:firstLine="0" w:firstLineChars="0"/>
              <w:rPr>
                <w:sz w:val="21"/>
                <w:szCs w:val="21"/>
              </w:rPr>
            </w:pPr>
            <w:r>
              <w:rPr>
                <w:rFonts w:hint="eastAsia"/>
                <w:sz w:val="21"/>
                <w:szCs w:val="21"/>
              </w:rPr>
              <w:t>SO</w:t>
            </w:r>
            <w:r>
              <w:rPr>
                <w:rFonts w:hint="eastAsia"/>
                <w:sz w:val="21"/>
                <w:szCs w:val="21"/>
                <w:vertAlign w:val="subscript"/>
              </w:rPr>
              <w:t>2</w:t>
            </w:r>
          </w:p>
        </w:tc>
        <w:tc>
          <w:tcPr>
            <w:tcW w:w="1756" w:type="pct"/>
            <w:tcBorders>
              <w:tl2br w:val="nil"/>
              <w:tr2bl w:val="nil"/>
            </w:tcBorders>
            <w:vAlign w:val="center"/>
          </w:tcPr>
          <w:p>
            <w:pPr>
              <w:pStyle w:val="2057"/>
              <w:spacing w:afterLines="0"/>
              <w:ind w:firstLine="0" w:firstLineChars="0"/>
              <w:rPr>
                <w:sz w:val="21"/>
                <w:szCs w:val="21"/>
              </w:rPr>
            </w:pPr>
            <w:r>
              <w:rPr>
                <w:rFonts w:hint="eastAsia"/>
                <w:sz w:val="21"/>
                <w:szCs w:val="21"/>
              </w:rPr>
              <w:t>无组织监控点0.4 mg/m</w:t>
            </w:r>
            <w:r>
              <w:rPr>
                <w:rFonts w:hint="eastAsia"/>
                <w:sz w:val="2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64" w:type="pct"/>
            <w:vMerge w:val="continue"/>
            <w:tcBorders>
              <w:tl2br w:val="nil"/>
              <w:tr2bl w:val="nil"/>
            </w:tcBorders>
            <w:vAlign w:val="center"/>
          </w:tcPr>
          <w:p>
            <w:pPr>
              <w:pStyle w:val="2057"/>
              <w:spacing w:afterLines="0"/>
              <w:ind w:firstLine="0" w:firstLineChars="0"/>
              <w:rPr>
                <w:rFonts w:ascii="黑体" w:hAnsi="黑体"/>
                <w:sz w:val="21"/>
                <w:szCs w:val="21"/>
              </w:rPr>
            </w:pPr>
          </w:p>
        </w:tc>
        <w:tc>
          <w:tcPr>
            <w:tcW w:w="769" w:type="pct"/>
            <w:vMerge w:val="continue"/>
            <w:tcBorders>
              <w:tl2br w:val="nil"/>
              <w:tr2bl w:val="nil"/>
            </w:tcBorders>
            <w:vAlign w:val="center"/>
          </w:tcPr>
          <w:p>
            <w:pPr>
              <w:pStyle w:val="2057"/>
              <w:spacing w:afterLines="0"/>
              <w:ind w:firstLine="0" w:firstLineChars="0"/>
              <w:rPr>
                <w:rFonts w:ascii="黑体" w:hAnsi="黑体"/>
                <w:sz w:val="21"/>
                <w:szCs w:val="21"/>
              </w:rPr>
            </w:pPr>
          </w:p>
        </w:tc>
        <w:tc>
          <w:tcPr>
            <w:tcW w:w="1111" w:type="pct"/>
            <w:tcBorders>
              <w:tl2br w:val="nil"/>
              <w:tr2bl w:val="nil"/>
            </w:tcBorders>
            <w:vAlign w:val="center"/>
          </w:tcPr>
          <w:p>
            <w:pPr>
              <w:pStyle w:val="2057"/>
              <w:spacing w:afterLines="0"/>
              <w:ind w:firstLine="0" w:firstLineChars="0"/>
              <w:rPr>
                <w:sz w:val="21"/>
                <w:szCs w:val="21"/>
              </w:rPr>
            </w:pPr>
            <w:r>
              <w:rPr>
                <w:rFonts w:hint="eastAsia"/>
                <w:sz w:val="21"/>
                <w:szCs w:val="21"/>
              </w:rPr>
              <w:t>NO</w:t>
            </w:r>
            <w:r>
              <w:rPr>
                <w:rFonts w:hint="eastAsia"/>
                <w:sz w:val="21"/>
                <w:szCs w:val="21"/>
                <w:vertAlign w:val="subscript"/>
              </w:rPr>
              <w:t>2</w:t>
            </w:r>
          </w:p>
        </w:tc>
        <w:tc>
          <w:tcPr>
            <w:tcW w:w="1756" w:type="pct"/>
            <w:tcBorders>
              <w:tl2br w:val="nil"/>
              <w:tr2bl w:val="nil"/>
            </w:tcBorders>
            <w:vAlign w:val="center"/>
          </w:tcPr>
          <w:p>
            <w:pPr>
              <w:pStyle w:val="2057"/>
              <w:spacing w:afterLines="0"/>
              <w:ind w:firstLine="0" w:firstLineChars="0"/>
              <w:rPr>
                <w:sz w:val="21"/>
                <w:szCs w:val="21"/>
              </w:rPr>
            </w:pPr>
            <w:r>
              <w:rPr>
                <w:rFonts w:hint="eastAsia"/>
                <w:sz w:val="21"/>
                <w:szCs w:val="21"/>
              </w:rPr>
              <w:t>无组织监控点0.12mg/m</w:t>
            </w:r>
            <w:r>
              <w:rPr>
                <w:rFonts w:hint="eastAsia"/>
                <w:sz w:val="2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64" w:type="pct"/>
            <w:vMerge w:val="continue"/>
            <w:tcBorders>
              <w:tl2br w:val="nil"/>
              <w:tr2bl w:val="nil"/>
            </w:tcBorders>
            <w:vAlign w:val="center"/>
          </w:tcPr>
          <w:p>
            <w:pPr>
              <w:pStyle w:val="2057"/>
              <w:spacing w:afterLines="0"/>
              <w:ind w:firstLine="0" w:firstLineChars="0"/>
              <w:rPr>
                <w:rFonts w:ascii="黑体" w:hAnsi="黑体"/>
                <w:sz w:val="21"/>
                <w:szCs w:val="21"/>
              </w:rPr>
            </w:pPr>
          </w:p>
        </w:tc>
        <w:tc>
          <w:tcPr>
            <w:tcW w:w="769" w:type="pct"/>
            <w:vMerge w:val="continue"/>
            <w:tcBorders>
              <w:tl2br w:val="nil"/>
              <w:tr2bl w:val="nil"/>
            </w:tcBorders>
            <w:vAlign w:val="center"/>
          </w:tcPr>
          <w:p>
            <w:pPr>
              <w:pStyle w:val="2057"/>
              <w:spacing w:afterLines="0"/>
              <w:ind w:firstLine="0" w:firstLineChars="0"/>
              <w:rPr>
                <w:rFonts w:ascii="黑体" w:hAnsi="黑体"/>
                <w:sz w:val="21"/>
                <w:szCs w:val="21"/>
              </w:rPr>
            </w:pPr>
          </w:p>
        </w:tc>
        <w:tc>
          <w:tcPr>
            <w:tcW w:w="1111" w:type="pct"/>
            <w:tcBorders>
              <w:tl2br w:val="nil"/>
              <w:tr2bl w:val="nil"/>
            </w:tcBorders>
            <w:vAlign w:val="center"/>
          </w:tcPr>
          <w:p>
            <w:pPr>
              <w:pStyle w:val="2057"/>
              <w:spacing w:afterLines="0"/>
              <w:ind w:firstLine="0" w:firstLineChars="0"/>
              <w:rPr>
                <w:sz w:val="21"/>
                <w:szCs w:val="21"/>
              </w:rPr>
            </w:pPr>
            <w:r>
              <w:rPr>
                <w:rFonts w:hint="eastAsia"/>
                <w:sz w:val="21"/>
                <w:szCs w:val="21"/>
              </w:rPr>
              <w:t>非甲烷总烃</w:t>
            </w:r>
          </w:p>
        </w:tc>
        <w:tc>
          <w:tcPr>
            <w:tcW w:w="1756" w:type="pct"/>
            <w:tcBorders>
              <w:tl2br w:val="nil"/>
              <w:tr2bl w:val="nil"/>
            </w:tcBorders>
            <w:vAlign w:val="center"/>
          </w:tcPr>
          <w:p>
            <w:pPr>
              <w:pStyle w:val="2057"/>
              <w:spacing w:afterLines="0"/>
              <w:ind w:firstLine="0" w:firstLineChars="0"/>
              <w:rPr>
                <w:sz w:val="21"/>
                <w:szCs w:val="21"/>
              </w:rPr>
            </w:pPr>
            <w:r>
              <w:rPr>
                <w:rFonts w:hint="eastAsia"/>
                <w:sz w:val="21"/>
                <w:szCs w:val="21"/>
              </w:rPr>
              <w:t>无组织监控点4.0mg/m</w:t>
            </w:r>
            <w:r>
              <w:rPr>
                <w:rFonts w:hint="eastAsia"/>
                <w:sz w:val="2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364" w:type="pct"/>
            <w:tcBorders>
              <w:tl2br w:val="nil"/>
              <w:tr2bl w:val="nil"/>
            </w:tcBorders>
            <w:vAlign w:val="center"/>
          </w:tcPr>
          <w:p>
            <w:pPr>
              <w:pStyle w:val="2057"/>
              <w:spacing w:afterLines="0"/>
              <w:ind w:firstLine="0" w:firstLineChars="0"/>
              <w:rPr>
                <w:sz w:val="21"/>
                <w:szCs w:val="21"/>
              </w:rPr>
            </w:pPr>
            <w:r>
              <w:rPr>
                <w:rFonts w:hint="eastAsia"/>
                <w:sz w:val="21"/>
                <w:szCs w:val="21"/>
              </w:rPr>
              <w:t>装卸作业扬尘、堆场扬尘及道路扬尘</w:t>
            </w:r>
          </w:p>
        </w:tc>
        <w:tc>
          <w:tcPr>
            <w:tcW w:w="769" w:type="pct"/>
            <w:vMerge w:val="continue"/>
            <w:tcBorders>
              <w:tl2br w:val="nil"/>
              <w:tr2bl w:val="nil"/>
            </w:tcBorders>
            <w:vAlign w:val="center"/>
          </w:tcPr>
          <w:p>
            <w:pPr>
              <w:pStyle w:val="2057"/>
              <w:spacing w:afterLines="0"/>
              <w:ind w:firstLine="0" w:firstLineChars="0"/>
              <w:rPr>
                <w:rFonts w:ascii="黑体" w:hAnsi="黑体"/>
                <w:sz w:val="21"/>
                <w:szCs w:val="21"/>
              </w:rPr>
            </w:pPr>
          </w:p>
        </w:tc>
        <w:tc>
          <w:tcPr>
            <w:tcW w:w="1111" w:type="pct"/>
            <w:tcBorders>
              <w:tl2br w:val="nil"/>
              <w:tr2bl w:val="nil"/>
            </w:tcBorders>
            <w:vAlign w:val="center"/>
          </w:tcPr>
          <w:p>
            <w:pPr>
              <w:pStyle w:val="2057"/>
              <w:spacing w:afterLines="0"/>
              <w:ind w:firstLine="0" w:firstLineChars="0"/>
              <w:rPr>
                <w:sz w:val="21"/>
                <w:szCs w:val="21"/>
              </w:rPr>
            </w:pPr>
            <w:r>
              <w:rPr>
                <w:rFonts w:hint="eastAsia"/>
                <w:sz w:val="21"/>
                <w:szCs w:val="21"/>
              </w:rPr>
              <w:t>颗粒物</w:t>
            </w:r>
          </w:p>
        </w:tc>
        <w:tc>
          <w:tcPr>
            <w:tcW w:w="1756" w:type="pct"/>
            <w:tcBorders>
              <w:tl2br w:val="nil"/>
              <w:tr2bl w:val="nil"/>
            </w:tcBorders>
            <w:vAlign w:val="center"/>
          </w:tcPr>
          <w:p>
            <w:pPr>
              <w:pStyle w:val="2057"/>
              <w:spacing w:afterLines="0"/>
              <w:ind w:firstLine="0" w:firstLineChars="0"/>
              <w:rPr>
                <w:sz w:val="21"/>
                <w:szCs w:val="21"/>
              </w:rPr>
            </w:pPr>
            <w:r>
              <w:rPr>
                <w:rFonts w:hint="eastAsia"/>
                <w:sz w:val="21"/>
                <w:szCs w:val="21"/>
              </w:rPr>
              <w:t>无组织监控点1.0mg/m</w:t>
            </w:r>
            <w:r>
              <w:rPr>
                <w:rFonts w:hint="eastAsia"/>
                <w:sz w:val="21"/>
                <w:szCs w:val="21"/>
                <w:vertAlign w:val="superscript"/>
              </w:rPr>
              <w:t>3</w:t>
            </w:r>
          </w:p>
        </w:tc>
      </w:tr>
    </w:tbl>
    <w:p>
      <w:pPr>
        <w:pStyle w:val="456"/>
        <w:ind w:firstLine="482"/>
      </w:pPr>
      <w:bookmarkStart w:id="51" w:name="_Toc401255939"/>
      <w:r>
        <w:t>噪声排放标准</w:t>
      </w:r>
    </w:p>
    <w:p>
      <w:pPr>
        <w:pStyle w:val="458"/>
        <w:ind w:firstLine="480"/>
        <w:rPr>
          <w:rFonts w:cs="Times New Roman"/>
          <w:color w:val="auto"/>
        </w:rPr>
      </w:pPr>
      <w:r>
        <w:rPr>
          <w:rFonts w:hint="eastAsia" w:cs="Times New Roman"/>
          <w:color w:val="auto"/>
          <w:szCs w:val="24"/>
          <w:lang w:val="en-US" w:eastAsia="zh-CN"/>
        </w:rPr>
        <w:t>根据</w:t>
      </w:r>
      <w:r>
        <w:rPr>
          <w:rFonts w:cs="Times New Roman"/>
          <w:color w:val="auto"/>
          <w:szCs w:val="24"/>
        </w:rPr>
        <w:t>《岳阳市中心城区声环境功能区划分（2019年修编稿）》</w:t>
      </w:r>
      <w:r>
        <w:rPr>
          <w:rFonts w:cs="Times New Roman"/>
          <w:snapToGrid w:val="0"/>
          <w:color w:val="auto"/>
        </w:rPr>
        <w:t>营运期项目靠近长江侧边界噪声排放标准执行《工业企业厂界环境噪声排放标准》（GB12348-2008）4 类标准，其他厂界执行 3 类标准。施工期执行《建筑施工场界环境噪声排放标准》（GB12523-2011）的标准。</w:t>
      </w:r>
    </w:p>
    <w:p>
      <w:pPr>
        <w:pStyle w:val="619"/>
        <w:rPr>
          <w:rFonts w:cs="Times New Roman"/>
        </w:rPr>
      </w:pPr>
      <w:r>
        <w:rPr>
          <w:rFonts w:cs="Times New Roman"/>
        </w:rPr>
        <w:t>工业企业厂界环境噪声排放标准 单位 dB(A)</w:t>
      </w:r>
    </w:p>
    <w:tbl>
      <w:tblPr>
        <w:tblStyle w:val="3596"/>
        <w:tblW w:w="494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60"/>
        <w:gridCol w:w="2355"/>
        <w:gridCol w:w="1043"/>
        <w:gridCol w:w="1355"/>
        <w:gridCol w:w="33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7" w:type="pct"/>
            <w:vMerge w:val="restart"/>
            <w:vAlign w:val="center"/>
          </w:tcPr>
          <w:p>
            <w:pPr>
              <w:pStyle w:val="2691"/>
            </w:pPr>
            <w:r>
              <w:t>场（厂）界</w:t>
            </w:r>
          </w:p>
        </w:tc>
        <w:tc>
          <w:tcPr>
            <w:tcW w:w="1282" w:type="pct"/>
            <w:vMerge w:val="restart"/>
            <w:noWrap/>
            <w:vAlign w:val="center"/>
          </w:tcPr>
          <w:p>
            <w:pPr>
              <w:pStyle w:val="2691"/>
            </w:pPr>
            <w:r>
              <w:t>执行标准</w:t>
            </w:r>
          </w:p>
        </w:tc>
        <w:tc>
          <w:tcPr>
            <w:tcW w:w="1306" w:type="pct"/>
            <w:gridSpan w:val="2"/>
            <w:noWrap/>
            <w:vAlign w:val="center"/>
          </w:tcPr>
          <w:p>
            <w:pPr>
              <w:pStyle w:val="2691"/>
            </w:pPr>
            <w:r>
              <w:t>场</w:t>
            </w:r>
            <w:r>
              <w:rPr>
                <w:rFonts w:hint="eastAsia"/>
              </w:rPr>
              <w:t>/</w:t>
            </w:r>
            <w:r>
              <w:t>厂界噪声排放限值</w:t>
            </w:r>
          </w:p>
        </w:tc>
        <w:tc>
          <w:tcPr>
            <w:tcW w:w="1832" w:type="pct"/>
            <w:vMerge w:val="restart"/>
            <w:noWrap/>
            <w:vAlign w:val="center"/>
          </w:tcPr>
          <w:p>
            <w:pPr>
              <w:pStyle w:val="2691"/>
            </w:pPr>
            <w:r>
              <w:t>夜间噪声最大声级超过限值的幅度不得高于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7" w:type="pct"/>
            <w:vMerge w:val="continue"/>
            <w:vAlign w:val="center"/>
          </w:tcPr>
          <w:p>
            <w:pPr>
              <w:pStyle w:val="2691"/>
            </w:pPr>
          </w:p>
        </w:tc>
        <w:tc>
          <w:tcPr>
            <w:tcW w:w="1282" w:type="pct"/>
            <w:vMerge w:val="continue"/>
            <w:noWrap/>
            <w:vAlign w:val="center"/>
          </w:tcPr>
          <w:p>
            <w:pPr>
              <w:pStyle w:val="2691"/>
            </w:pPr>
          </w:p>
        </w:tc>
        <w:tc>
          <w:tcPr>
            <w:tcW w:w="568" w:type="pct"/>
            <w:vAlign w:val="center"/>
          </w:tcPr>
          <w:p>
            <w:pPr>
              <w:pStyle w:val="2691"/>
            </w:pPr>
            <w:r>
              <w:t>昼间</w:t>
            </w:r>
          </w:p>
        </w:tc>
        <w:tc>
          <w:tcPr>
            <w:tcW w:w="738" w:type="pct"/>
            <w:vAlign w:val="center"/>
          </w:tcPr>
          <w:p>
            <w:pPr>
              <w:pStyle w:val="2691"/>
            </w:pPr>
            <w:r>
              <w:t>夜间</w:t>
            </w:r>
          </w:p>
        </w:tc>
        <w:tc>
          <w:tcPr>
            <w:tcW w:w="1832" w:type="pct"/>
            <w:vMerge w:val="continue"/>
            <w:noWrap/>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7" w:type="pct"/>
            <w:vAlign w:val="center"/>
          </w:tcPr>
          <w:p>
            <w:pPr>
              <w:pStyle w:val="2691"/>
            </w:pPr>
            <w:r>
              <w:rPr>
                <w:rFonts w:hint="eastAsia"/>
              </w:rPr>
              <w:t>后方陆域</w:t>
            </w:r>
          </w:p>
        </w:tc>
        <w:tc>
          <w:tcPr>
            <w:tcW w:w="1282" w:type="pct"/>
            <w:noWrap/>
            <w:vAlign w:val="center"/>
          </w:tcPr>
          <w:p>
            <w:pPr>
              <w:pStyle w:val="2691"/>
            </w:pPr>
            <w:r>
              <w:t>（GB12348-2008）3类</w:t>
            </w:r>
          </w:p>
        </w:tc>
        <w:tc>
          <w:tcPr>
            <w:tcW w:w="568" w:type="pct"/>
            <w:noWrap/>
            <w:vAlign w:val="center"/>
          </w:tcPr>
          <w:p>
            <w:pPr>
              <w:pStyle w:val="2691"/>
            </w:pPr>
            <w:r>
              <w:t>65</w:t>
            </w:r>
          </w:p>
        </w:tc>
        <w:tc>
          <w:tcPr>
            <w:tcW w:w="738" w:type="pct"/>
            <w:noWrap/>
            <w:vAlign w:val="center"/>
          </w:tcPr>
          <w:p>
            <w:pPr>
              <w:pStyle w:val="2691"/>
            </w:pPr>
            <w:r>
              <w:t>55</w:t>
            </w:r>
          </w:p>
        </w:tc>
        <w:tc>
          <w:tcPr>
            <w:tcW w:w="1832" w:type="pct"/>
            <w:vMerge w:val="restart"/>
            <w:noWrap/>
            <w:vAlign w:val="center"/>
          </w:tcPr>
          <w:p>
            <w:pPr>
              <w:pStyle w:val="2691"/>
            </w:pPr>
            <w:r>
              <w:t>频发：10</w:t>
            </w:r>
          </w:p>
          <w:p>
            <w:pPr>
              <w:pStyle w:val="2691"/>
            </w:pPr>
            <w:r>
              <w:t>偶发：15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7" w:type="pct"/>
            <w:vAlign w:val="center"/>
          </w:tcPr>
          <w:p>
            <w:pPr>
              <w:pStyle w:val="2691"/>
            </w:pPr>
            <w:r>
              <w:rPr>
                <w:rFonts w:hint="eastAsia"/>
              </w:rPr>
              <w:t>前方水域</w:t>
            </w:r>
          </w:p>
        </w:tc>
        <w:tc>
          <w:tcPr>
            <w:tcW w:w="1282" w:type="pct"/>
            <w:noWrap/>
            <w:vAlign w:val="center"/>
          </w:tcPr>
          <w:p>
            <w:pPr>
              <w:pStyle w:val="2691"/>
            </w:pPr>
            <w:r>
              <w:t>（GB12348-2008）4类</w:t>
            </w:r>
          </w:p>
        </w:tc>
        <w:tc>
          <w:tcPr>
            <w:tcW w:w="568" w:type="pct"/>
            <w:noWrap/>
            <w:vAlign w:val="center"/>
          </w:tcPr>
          <w:p>
            <w:pPr>
              <w:pStyle w:val="2691"/>
            </w:pPr>
            <w:r>
              <w:t>70</w:t>
            </w:r>
          </w:p>
        </w:tc>
        <w:tc>
          <w:tcPr>
            <w:tcW w:w="738" w:type="pct"/>
            <w:noWrap/>
            <w:vAlign w:val="center"/>
          </w:tcPr>
          <w:p>
            <w:pPr>
              <w:pStyle w:val="2691"/>
            </w:pPr>
            <w:r>
              <w:t>55</w:t>
            </w:r>
          </w:p>
        </w:tc>
        <w:tc>
          <w:tcPr>
            <w:tcW w:w="1832" w:type="pct"/>
            <w:vMerge w:val="continue"/>
            <w:noWrap/>
            <w:vAlign w:val="center"/>
          </w:tcPr>
          <w:p>
            <w:pPr>
              <w:pStyle w:val="2691"/>
            </w:pPr>
          </w:p>
        </w:tc>
      </w:tr>
    </w:tbl>
    <w:p>
      <w:pPr>
        <w:pStyle w:val="619"/>
        <w:rPr>
          <w:rFonts w:cs="Times New Roman"/>
        </w:rPr>
      </w:pPr>
      <w:r>
        <w:rPr>
          <w:rFonts w:cs="Times New Roman"/>
        </w:rPr>
        <w:t>建筑施工场界噪声限值标准 单位 dB(A)</w:t>
      </w:r>
    </w:p>
    <w:tbl>
      <w:tblPr>
        <w:tblStyle w:val="87"/>
        <w:tblW w:w="5000" w:type="pct"/>
        <w:jc w:val="center"/>
        <w:tblLayout w:type="autofit"/>
        <w:tblCellMar>
          <w:top w:w="0" w:type="dxa"/>
          <w:left w:w="0" w:type="dxa"/>
          <w:bottom w:w="0" w:type="dxa"/>
          <w:right w:w="0" w:type="dxa"/>
        </w:tblCellMar>
      </w:tblPr>
      <w:tblGrid>
        <w:gridCol w:w="4550"/>
        <w:gridCol w:w="4550"/>
      </w:tblGrid>
      <w:tr>
        <w:tblPrEx>
          <w:tblCellMar>
            <w:top w:w="0" w:type="dxa"/>
            <w:left w:w="0" w:type="dxa"/>
            <w:bottom w:w="0" w:type="dxa"/>
            <w:right w:w="0" w:type="dxa"/>
          </w:tblCellMar>
        </w:tblPrEx>
        <w:trPr>
          <w:trHeight w:val="361" w:hRule="exact"/>
          <w:jc w:val="center"/>
        </w:trPr>
        <w:tc>
          <w:tcPr>
            <w:tcW w:w="5000" w:type="pct"/>
            <w:gridSpan w:val="2"/>
            <w:tcBorders>
              <w:top w:val="single" w:color="000000" w:sz="12" w:space="0"/>
              <w:left w:val="single" w:color="000000" w:sz="12" w:space="0"/>
              <w:bottom w:val="single" w:color="000000" w:sz="4" w:space="0"/>
              <w:right w:val="single" w:color="000000" w:sz="12" w:space="0"/>
            </w:tcBorders>
          </w:tcPr>
          <w:p>
            <w:pPr>
              <w:tabs>
                <w:tab w:val="clear" w:pos="480"/>
              </w:tabs>
              <w:kinsoku w:val="0"/>
              <w:overflowPunct w:val="0"/>
              <w:autoSpaceDE w:val="0"/>
              <w:autoSpaceDN w:val="0"/>
              <w:adjustRightInd w:val="0"/>
              <w:spacing w:line="273" w:lineRule="exact"/>
              <w:ind w:firstLine="0" w:firstLineChars="0"/>
              <w:jc w:val="center"/>
              <w:rPr>
                <w:kern w:val="0"/>
              </w:rPr>
            </w:pPr>
            <w:r>
              <w:rPr>
                <w:spacing w:val="1"/>
                <w:kern w:val="0"/>
                <w:sz w:val="21"/>
                <w:szCs w:val="21"/>
              </w:rPr>
              <w:t>噪声限值</w:t>
            </w:r>
          </w:p>
        </w:tc>
      </w:tr>
      <w:tr>
        <w:tblPrEx>
          <w:tblCellMar>
            <w:top w:w="0" w:type="dxa"/>
            <w:left w:w="0" w:type="dxa"/>
            <w:bottom w:w="0" w:type="dxa"/>
            <w:right w:w="0" w:type="dxa"/>
          </w:tblCellMar>
        </w:tblPrEx>
        <w:trPr>
          <w:trHeight w:val="349" w:hRule="exact"/>
          <w:jc w:val="center"/>
        </w:trPr>
        <w:tc>
          <w:tcPr>
            <w:tcW w:w="2500" w:type="pct"/>
            <w:tcBorders>
              <w:top w:val="single" w:color="000000" w:sz="4" w:space="0"/>
              <w:left w:val="single" w:color="000000" w:sz="12" w:space="0"/>
              <w:bottom w:val="single" w:color="000000" w:sz="4" w:space="0"/>
              <w:right w:val="single" w:color="000000" w:sz="4" w:space="0"/>
            </w:tcBorders>
          </w:tcPr>
          <w:p>
            <w:pPr>
              <w:tabs>
                <w:tab w:val="clear" w:pos="480"/>
              </w:tabs>
              <w:kinsoku w:val="0"/>
              <w:overflowPunct w:val="0"/>
              <w:autoSpaceDE w:val="0"/>
              <w:autoSpaceDN w:val="0"/>
              <w:adjustRightInd w:val="0"/>
              <w:spacing w:line="272" w:lineRule="exact"/>
              <w:ind w:left="2015" w:right="2027" w:firstLine="0" w:firstLineChars="0"/>
              <w:jc w:val="center"/>
              <w:rPr>
                <w:kern w:val="0"/>
              </w:rPr>
            </w:pPr>
            <w:r>
              <w:rPr>
                <w:kern w:val="0"/>
                <w:sz w:val="21"/>
                <w:szCs w:val="21"/>
              </w:rPr>
              <w:t>昼间</w:t>
            </w:r>
          </w:p>
        </w:tc>
        <w:tc>
          <w:tcPr>
            <w:tcW w:w="2499" w:type="pct"/>
            <w:tcBorders>
              <w:top w:val="single" w:color="000000" w:sz="4" w:space="0"/>
              <w:left w:val="single" w:color="000000" w:sz="4" w:space="0"/>
              <w:bottom w:val="single" w:color="000000" w:sz="4" w:space="0"/>
              <w:right w:val="single" w:color="000000" w:sz="12" w:space="0"/>
            </w:tcBorders>
          </w:tcPr>
          <w:p>
            <w:pPr>
              <w:tabs>
                <w:tab w:val="clear" w:pos="480"/>
              </w:tabs>
              <w:kinsoku w:val="0"/>
              <w:overflowPunct w:val="0"/>
              <w:autoSpaceDE w:val="0"/>
              <w:autoSpaceDN w:val="0"/>
              <w:adjustRightInd w:val="0"/>
              <w:spacing w:line="272" w:lineRule="exact"/>
              <w:ind w:left="6" w:firstLine="0" w:firstLineChars="0"/>
              <w:jc w:val="center"/>
              <w:rPr>
                <w:kern w:val="0"/>
              </w:rPr>
            </w:pPr>
            <w:r>
              <w:rPr>
                <w:kern w:val="0"/>
                <w:sz w:val="21"/>
                <w:szCs w:val="21"/>
              </w:rPr>
              <w:t>夜间</w:t>
            </w:r>
          </w:p>
        </w:tc>
      </w:tr>
      <w:tr>
        <w:tblPrEx>
          <w:tblCellMar>
            <w:top w:w="0" w:type="dxa"/>
            <w:left w:w="0" w:type="dxa"/>
            <w:bottom w:w="0" w:type="dxa"/>
            <w:right w:w="0" w:type="dxa"/>
          </w:tblCellMar>
        </w:tblPrEx>
        <w:trPr>
          <w:trHeight w:val="361" w:hRule="exact"/>
          <w:jc w:val="center"/>
        </w:trPr>
        <w:tc>
          <w:tcPr>
            <w:tcW w:w="2500" w:type="pct"/>
            <w:tcBorders>
              <w:top w:val="single" w:color="000000" w:sz="4" w:space="0"/>
              <w:left w:val="single" w:color="000000" w:sz="12" w:space="0"/>
              <w:bottom w:val="single" w:color="000000" w:sz="12" w:space="0"/>
              <w:right w:val="single" w:color="000000" w:sz="4" w:space="0"/>
            </w:tcBorders>
          </w:tcPr>
          <w:p>
            <w:pPr>
              <w:tabs>
                <w:tab w:val="clear" w:pos="480"/>
              </w:tabs>
              <w:kinsoku w:val="0"/>
              <w:overflowPunct w:val="0"/>
              <w:autoSpaceDE w:val="0"/>
              <w:autoSpaceDN w:val="0"/>
              <w:adjustRightInd w:val="0"/>
              <w:spacing w:before="47" w:line="240" w:lineRule="auto"/>
              <w:ind w:left="2015" w:right="2027" w:firstLine="0" w:firstLineChars="0"/>
              <w:jc w:val="center"/>
              <w:rPr>
                <w:kern w:val="0"/>
              </w:rPr>
            </w:pPr>
            <w:r>
              <w:rPr>
                <w:kern w:val="0"/>
                <w:sz w:val="21"/>
                <w:szCs w:val="21"/>
              </w:rPr>
              <w:t>70</w:t>
            </w:r>
          </w:p>
        </w:tc>
        <w:tc>
          <w:tcPr>
            <w:tcW w:w="2499" w:type="pct"/>
            <w:tcBorders>
              <w:top w:val="single" w:color="000000" w:sz="4" w:space="0"/>
              <w:left w:val="single" w:color="000000" w:sz="4" w:space="0"/>
              <w:bottom w:val="single" w:color="000000" w:sz="12" w:space="0"/>
              <w:right w:val="single" w:color="000000" w:sz="12" w:space="0"/>
            </w:tcBorders>
          </w:tcPr>
          <w:p>
            <w:pPr>
              <w:tabs>
                <w:tab w:val="clear" w:pos="480"/>
              </w:tabs>
              <w:kinsoku w:val="0"/>
              <w:overflowPunct w:val="0"/>
              <w:autoSpaceDE w:val="0"/>
              <w:autoSpaceDN w:val="0"/>
              <w:adjustRightInd w:val="0"/>
              <w:spacing w:before="47" w:line="240" w:lineRule="auto"/>
              <w:ind w:left="9" w:firstLine="0" w:firstLineChars="0"/>
              <w:jc w:val="center"/>
              <w:rPr>
                <w:kern w:val="0"/>
              </w:rPr>
            </w:pPr>
            <w:r>
              <w:rPr>
                <w:kern w:val="0"/>
                <w:sz w:val="21"/>
                <w:szCs w:val="21"/>
              </w:rPr>
              <w:t>55</w:t>
            </w:r>
          </w:p>
        </w:tc>
      </w:tr>
    </w:tbl>
    <w:p>
      <w:pPr>
        <w:pStyle w:val="456"/>
        <w:ind w:firstLine="482"/>
      </w:pPr>
      <w:r>
        <w:t>固体废物贮存与处置标准</w:t>
      </w:r>
    </w:p>
    <w:bookmarkEnd w:id="49"/>
    <w:bookmarkEnd w:id="50"/>
    <w:bookmarkEnd w:id="51"/>
    <w:p>
      <w:pPr>
        <w:ind w:firstLine="480"/>
        <w:rPr>
          <w:snapToGrid w:val="0"/>
        </w:rPr>
      </w:pPr>
      <w:bookmarkStart w:id="52" w:name="_Toc448330607"/>
      <w:r>
        <w:rPr>
          <w:snapToGrid w:val="0"/>
        </w:rPr>
        <w:t>船舶垃圾：执行《船舶水污染物排放标准》（GB3552-2018），具体见下表。</w:t>
      </w:r>
    </w:p>
    <w:p>
      <w:pPr>
        <w:pStyle w:val="619"/>
        <w:rPr>
          <w:rFonts w:cs="Times New Roman"/>
        </w:rPr>
      </w:pPr>
      <w:r>
        <w:rPr>
          <w:rFonts w:cs="Times New Roman"/>
        </w:rPr>
        <w:t>船舶水污染物排放标准</w:t>
      </w:r>
    </w:p>
    <w:tbl>
      <w:tblPr>
        <w:tblStyle w:val="87"/>
        <w:tblW w:w="0" w:type="auto"/>
        <w:jc w:val="center"/>
        <w:tblLayout w:type="fixed"/>
        <w:tblCellMar>
          <w:top w:w="0" w:type="dxa"/>
          <w:left w:w="0" w:type="dxa"/>
          <w:bottom w:w="0" w:type="dxa"/>
          <w:right w:w="0" w:type="dxa"/>
        </w:tblCellMar>
      </w:tblPr>
      <w:tblGrid>
        <w:gridCol w:w="4521"/>
        <w:gridCol w:w="4520"/>
      </w:tblGrid>
      <w:tr>
        <w:tblPrEx>
          <w:tblCellMar>
            <w:top w:w="0" w:type="dxa"/>
            <w:left w:w="0" w:type="dxa"/>
            <w:bottom w:w="0" w:type="dxa"/>
            <w:right w:w="0" w:type="dxa"/>
          </w:tblCellMar>
        </w:tblPrEx>
        <w:trPr>
          <w:trHeight w:val="359" w:hRule="exact"/>
          <w:jc w:val="center"/>
        </w:trPr>
        <w:tc>
          <w:tcPr>
            <w:tcW w:w="4521" w:type="dxa"/>
            <w:tcBorders>
              <w:top w:val="single" w:color="000000" w:sz="12" w:space="0"/>
              <w:left w:val="single" w:color="000000" w:sz="12" w:space="0"/>
              <w:bottom w:val="single" w:color="000000" w:sz="4" w:space="0"/>
              <w:right w:val="single" w:color="000000" w:sz="4" w:space="0"/>
            </w:tcBorders>
            <w:vAlign w:val="center"/>
          </w:tcPr>
          <w:p>
            <w:pPr>
              <w:tabs>
                <w:tab w:val="clear" w:pos="480"/>
              </w:tabs>
              <w:kinsoku w:val="0"/>
              <w:overflowPunct w:val="0"/>
              <w:autoSpaceDE w:val="0"/>
              <w:autoSpaceDN w:val="0"/>
              <w:adjustRightInd w:val="0"/>
              <w:spacing w:line="269" w:lineRule="exact"/>
              <w:ind w:left="1908" w:right="1918" w:firstLine="0" w:firstLineChars="0"/>
              <w:jc w:val="center"/>
              <w:rPr>
                <w:kern w:val="0"/>
              </w:rPr>
            </w:pPr>
            <w:r>
              <w:rPr>
                <w:spacing w:val="1"/>
                <w:kern w:val="0"/>
                <w:sz w:val="21"/>
                <w:szCs w:val="21"/>
              </w:rPr>
              <w:t>排放物</w:t>
            </w:r>
          </w:p>
        </w:tc>
        <w:tc>
          <w:tcPr>
            <w:tcW w:w="4520" w:type="dxa"/>
            <w:tcBorders>
              <w:top w:val="single" w:color="000000" w:sz="12" w:space="0"/>
              <w:left w:val="single" w:color="000000" w:sz="4" w:space="0"/>
              <w:bottom w:val="single" w:color="000000" w:sz="4" w:space="0"/>
              <w:right w:val="single" w:color="000000" w:sz="12" w:space="0"/>
            </w:tcBorders>
            <w:vAlign w:val="center"/>
          </w:tcPr>
          <w:p>
            <w:pPr>
              <w:tabs>
                <w:tab w:val="clear" w:pos="480"/>
              </w:tabs>
              <w:kinsoku w:val="0"/>
              <w:overflowPunct w:val="0"/>
              <w:autoSpaceDE w:val="0"/>
              <w:autoSpaceDN w:val="0"/>
              <w:adjustRightInd w:val="0"/>
              <w:spacing w:line="269" w:lineRule="exact"/>
              <w:ind w:left="1908" w:right="1896" w:firstLine="0" w:firstLineChars="0"/>
              <w:jc w:val="center"/>
              <w:rPr>
                <w:kern w:val="0"/>
              </w:rPr>
            </w:pPr>
            <w:r>
              <w:rPr>
                <w:spacing w:val="1"/>
                <w:kern w:val="0"/>
                <w:sz w:val="21"/>
                <w:szCs w:val="21"/>
              </w:rPr>
              <w:t>内河</w:t>
            </w:r>
          </w:p>
        </w:tc>
      </w:tr>
      <w:tr>
        <w:tblPrEx>
          <w:tblCellMar>
            <w:top w:w="0" w:type="dxa"/>
            <w:left w:w="0" w:type="dxa"/>
            <w:bottom w:w="0" w:type="dxa"/>
            <w:right w:w="0" w:type="dxa"/>
          </w:tblCellMar>
        </w:tblPrEx>
        <w:trPr>
          <w:trHeight w:val="350" w:hRule="exact"/>
          <w:jc w:val="center"/>
        </w:trPr>
        <w:tc>
          <w:tcPr>
            <w:tcW w:w="4521" w:type="dxa"/>
            <w:tcBorders>
              <w:top w:val="single" w:color="000000" w:sz="4" w:space="0"/>
              <w:left w:val="single" w:color="000000" w:sz="12" w:space="0"/>
              <w:bottom w:val="single" w:color="000000" w:sz="4" w:space="0"/>
              <w:right w:val="single" w:color="000000" w:sz="4" w:space="0"/>
            </w:tcBorders>
            <w:vAlign w:val="center"/>
          </w:tcPr>
          <w:p>
            <w:pPr>
              <w:tabs>
                <w:tab w:val="clear" w:pos="480"/>
              </w:tabs>
              <w:kinsoku w:val="0"/>
              <w:overflowPunct w:val="0"/>
              <w:autoSpaceDE w:val="0"/>
              <w:autoSpaceDN w:val="0"/>
              <w:adjustRightInd w:val="0"/>
              <w:spacing w:line="269" w:lineRule="exact"/>
              <w:ind w:left="1804" w:right="1816" w:firstLine="0" w:firstLineChars="0"/>
              <w:jc w:val="center"/>
              <w:rPr>
                <w:kern w:val="0"/>
              </w:rPr>
            </w:pPr>
            <w:r>
              <w:rPr>
                <w:kern w:val="0"/>
                <w:sz w:val="21"/>
                <w:szCs w:val="21"/>
              </w:rPr>
              <w:t>塑料制品</w:t>
            </w:r>
          </w:p>
        </w:tc>
        <w:tc>
          <w:tcPr>
            <w:tcW w:w="4520" w:type="dxa"/>
            <w:tcBorders>
              <w:top w:val="single" w:color="000000" w:sz="4" w:space="0"/>
              <w:left w:val="single" w:color="000000" w:sz="4" w:space="0"/>
              <w:bottom w:val="single" w:color="000000" w:sz="4" w:space="0"/>
              <w:right w:val="single" w:color="000000" w:sz="12" w:space="0"/>
            </w:tcBorders>
            <w:vAlign w:val="center"/>
          </w:tcPr>
          <w:p>
            <w:pPr>
              <w:tabs>
                <w:tab w:val="clear" w:pos="480"/>
              </w:tabs>
              <w:kinsoku w:val="0"/>
              <w:overflowPunct w:val="0"/>
              <w:autoSpaceDE w:val="0"/>
              <w:autoSpaceDN w:val="0"/>
              <w:adjustRightInd w:val="0"/>
              <w:spacing w:line="269" w:lineRule="exact"/>
              <w:ind w:left="1604" w:right="1595" w:firstLine="0" w:firstLineChars="0"/>
              <w:jc w:val="center"/>
              <w:rPr>
                <w:kern w:val="0"/>
              </w:rPr>
            </w:pPr>
            <w:r>
              <w:rPr>
                <w:kern w:val="0"/>
                <w:sz w:val="21"/>
                <w:szCs w:val="21"/>
              </w:rPr>
              <w:t>禁止投入水域</w:t>
            </w:r>
          </w:p>
        </w:tc>
      </w:tr>
      <w:tr>
        <w:tblPrEx>
          <w:tblCellMar>
            <w:top w:w="0" w:type="dxa"/>
            <w:left w:w="0" w:type="dxa"/>
            <w:bottom w:w="0" w:type="dxa"/>
            <w:right w:w="0" w:type="dxa"/>
          </w:tblCellMar>
        </w:tblPrEx>
        <w:trPr>
          <w:trHeight w:val="350" w:hRule="exact"/>
          <w:jc w:val="center"/>
        </w:trPr>
        <w:tc>
          <w:tcPr>
            <w:tcW w:w="4521" w:type="dxa"/>
            <w:tcBorders>
              <w:top w:val="single" w:color="000000" w:sz="4" w:space="0"/>
              <w:left w:val="single" w:color="000000" w:sz="12" w:space="0"/>
              <w:bottom w:val="single" w:color="000000" w:sz="4" w:space="0"/>
              <w:right w:val="single" w:color="000000" w:sz="4" w:space="0"/>
            </w:tcBorders>
            <w:vAlign w:val="center"/>
          </w:tcPr>
          <w:p>
            <w:pPr>
              <w:tabs>
                <w:tab w:val="clear" w:pos="480"/>
              </w:tabs>
              <w:kinsoku w:val="0"/>
              <w:overflowPunct w:val="0"/>
              <w:autoSpaceDE w:val="0"/>
              <w:autoSpaceDN w:val="0"/>
              <w:adjustRightInd w:val="0"/>
              <w:spacing w:line="270" w:lineRule="exact"/>
              <w:ind w:right="10" w:firstLine="0" w:firstLineChars="0"/>
              <w:jc w:val="center"/>
              <w:rPr>
                <w:kern w:val="0"/>
              </w:rPr>
            </w:pPr>
            <w:r>
              <w:rPr>
                <w:kern w:val="0"/>
                <w:sz w:val="21"/>
                <w:szCs w:val="21"/>
              </w:rPr>
              <w:t>飘浮物</w:t>
            </w:r>
          </w:p>
        </w:tc>
        <w:tc>
          <w:tcPr>
            <w:tcW w:w="4520" w:type="dxa"/>
            <w:tcBorders>
              <w:top w:val="single" w:color="000000" w:sz="4" w:space="0"/>
              <w:left w:val="single" w:color="000000" w:sz="4" w:space="0"/>
              <w:bottom w:val="single" w:color="000000" w:sz="4" w:space="0"/>
              <w:right w:val="single" w:color="000000" w:sz="12" w:space="0"/>
            </w:tcBorders>
            <w:vAlign w:val="center"/>
          </w:tcPr>
          <w:p>
            <w:pPr>
              <w:tabs>
                <w:tab w:val="clear" w:pos="480"/>
              </w:tabs>
              <w:kinsoku w:val="0"/>
              <w:overflowPunct w:val="0"/>
              <w:autoSpaceDE w:val="0"/>
              <w:autoSpaceDN w:val="0"/>
              <w:adjustRightInd w:val="0"/>
              <w:spacing w:line="270" w:lineRule="exact"/>
              <w:ind w:left="1604" w:right="1595" w:firstLine="0" w:firstLineChars="0"/>
              <w:jc w:val="center"/>
              <w:rPr>
                <w:kern w:val="0"/>
              </w:rPr>
            </w:pPr>
            <w:r>
              <w:rPr>
                <w:kern w:val="0"/>
                <w:sz w:val="21"/>
                <w:szCs w:val="21"/>
              </w:rPr>
              <w:t>禁止投入水域</w:t>
            </w:r>
          </w:p>
        </w:tc>
      </w:tr>
      <w:tr>
        <w:tblPrEx>
          <w:tblCellMar>
            <w:top w:w="0" w:type="dxa"/>
            <w:left w:w="0" w:type="dxa"/>
            <w:bottom w:w="0" w:type="dxa"/>
            <w:right w:w="0" w:type="dxa"/>
          </w:tblCellMar>
        </w:tblPrEx>
        <w:trPr>
          <w:trHeight w:val="361" w:hRule="exact"/>
          <w:jc w:val="center"/>
        </w:trPr>
        <w:tc>
          <w:tcPr>
            <w:tcW w:w="4521" w:type="dxa"/>
            <w:tcBorders>
              <w:top w:val="single" w:color="000000" w:sz="4" w:space="0"/>
              <w:left w:val="single" w:color="000000" w:sz="12" w:space="0"/>
              <w:bottom w:val="single" w:color="000000" w:sz="12" w:space="0"/>
              <w:right w:val="single" w:color="000000" w:sz="4" w:space="0"/>
            </w:tcBorders>
            <w:vAlign w:val="center"/>
          </w:tcPr>
          <w:p>
            <w:pPr>
              <w:tabs>
                <w:tab w:val="clear" w:pos="480"/>
              </w:tabs>
              <w:kinsoku w:val="0"/>
              <w:overflowPunct w:val="0"/>
              <w:autoSpaceDE w:val="0"/>
              <w:autoSpaceDN w:val="0"/>
              <w:adjustRightInd w:val="0"/>
              <w:spacing w:line="271" w:lineRule="exact"/>
              <w:ind w:left="1299" w:firstLine="0" w:firstLineChars="0"/>
              <w:jc w:val="left"/>
              <w:rPr>
                <w:kern w:val="0"/>
              </w:rPr>
            </w:pPr>
            <w:r>
              <w:rPr>
                <w:kern w:val="0"/>
                <w:sz w:val="21"/>
                <w:szCs w:val="21"/>
              </w:rPr>
              <w:t>食品废物及其他垃圾</w:t>
            </w:r>
          </w:p>
        </w:tc>
        <w:tc>
          <w:tcPr>
            <w:tcW w:w="4520" w:type="dxa"/>
            <w:tcBorders>
              <w:top w:val="single" w:color="000000" w:sz="4" w:space="0"/>
              <w:left w:val="single" w:color="000000" w:sz="4" w:space="0"/>
              <w:bottom w:val="single" w:color="000000" w:sz="12" w:space="0"/>
              <w:right w:val="single" w:color="000000" w:sz="12" w:space="0"/>
            </w:tcBorders>
            <w:vAlign w:val="center"/>
          </w:tcPr>
          <w:p>
            <w:pPr>
              <w:tabs>
                <w:tab w:val="clear" w:pos="480"/>
              </w:tabs>
              <w:kinsoku w:val="0"/>
              <w:overflowPunct w:val="0"/>
              <w:autoSpaceDE w:val="0"/>
              <w:autoSpaceDN w:val="0"/>
              <w:adjustRightInd w:val="0"/>
              <w:spacing w:line="271" w:lineRule="exact"/>
              <w:ind w:left="1604" w:right="1595" w:firstLine="0" w:firstLineChars="0"/>
              <w:jc w:val="center"/>
              <w:rPr>
                <w:kern w:val="0"/>
              </w:rPr>
            </w:pPr>
            <w:r>
              <w:rPr>
                <w:kern w:val="0"/>
                <w:sz w:val="21"/>
                <w:szCs w:val="21"/>
              </w:rPr>
              <w:t>禁止投入水域</w:t>
            </w:r>
          </w:p>
        </w:tc>
      </w:tr>
    </w:tbl>
    <w:p>
      <w:pPr>
        <w:ind w:firstLine="480"/>
      </w:pPr>
      <w:r>
        <w:rPr>
          <w:snapToGrid w:val="0"/>
        </w:rPr>
        <w:t>危险废物处置执行《危险废物贮存污染控制标准》（GB18597-2001及其2013年修改单）</w:t>
      </w:r>
      <w:r>
        <w:t>中的规定</w:t>
      </w:r>
      <w:r>
        <w:rPr>
          <w:snapToGrid w:val="0"/>
        </w:rPr>
        <w:t>；</w:t>
      </w:r>
      <w:r>
        <w:t>一般工业固体废物处置执行《一般工业固体废物贮存</w:t>
      </w:r>
      <w:r>
        <w:rPr>
          <w:rFonts w:hint="eastAsia"/>
        </w:rPr>
        <w:t>和</w:t>
      </w:r>
      <w:r>
        <w:t>填埋污染控制标准》（GB18599-2020）中的规定。</w:t>
      </w:r>
      <w:bookmarkEnd w:id="52"/>
    </w:p>
    <w:p>
      <w:pPr>
        <w:pStyle w:val="453"/>
        <w:ind w:firstLine="643" w:firstLineChars="0"/>
        <w:rPr>
          <w:rFonts w:ascii="Times New Roman" w:cs="Times New Roman"/>
        </w:rPr>
      </w:pPr>
      <w:bookmarkStart w:id="53" w:name="_Toc106696994"/>
      <w:bookmarkStart w:id="54" w:name="_Toc10278"/>
      <w:bookmarkStart w:id="55" w:name="_Toc28421"/>
      <w:r>
        <w:rPr>
          <w:rFonts w:ascii="Times New Roman" w:cs="Times New Roman"/>
        </w:rPr>
        <w:t>主要环境保护目标</w:t>
      </w:r>
      <w:bookmarkEnd w:id="53"/>
      <w:bookmarkEnd w:id="54"/>
      <w:bookmarkEnd w:id="55"/>
    </w:p>
    <w:p>
      <w:pPr>
        <w:pStyle w:val="458"/>
        <w:ind w:firstLine="480"/>
        <w:rPr>
          <w:rFonts w:cs="Times New Roman"/>
          <w:color w:val="auto"/>
          <w:lang w:val="zh-CN"/>
        </w:rPr>
      </w:pPr>
      <w:r>
        <w:rPr>
          <w:rFonts w:cs="Times New Roman"/>
          <w:color w:val="auto"/>
          <w:lang w:val="zh-CN"/>
        </w:rPr>
        <w:t>根据本项目的特点和周围环境情况，周边重点保护目标如下：</w:t>
      </w:r>
    </w:p>
    <w:p>
      <w:pPr>
        <w:pStyle w:val="454"/>
        <w:ind w:firstLine="602"/>
        <w:rPr>
          <w:color w:val="auto"/>
        </w:rPr>
      </w:pPr>
      <w:r>
        <w:rPr>
          <w:color w:val="auto"/>
        </w:rPr>
        <w:t>地表水环境保护目标</w:t>
      </w:r>
    </w:p>
    <w:p>
      <w:pPr>
        <w:ind w:firstLine="480"/>
      </w:pPr>
      <w:r>
        <w:t>本项目地表水保护目标为评价江段的Ⅲ类渔业用水区水体。</w:t>
      </w:r>
      <w:r>
        <w:rPr>
          <w:rFonts w:hint="eastAsia"/>
        </w:rPr>
        <w:t>根据</w:t>
      </w:r>
      <w:r>
        <w:rPr>
          <w:rFonts w:hint="eastAsia"/>
          <w:lang w:val="en-US" w:eastAsia="zh-CN"/>
        </w:rPr>
        <w:t>湖南省人民政府</w:t>
      </w:r>
      <w:r>
        <w:t>20</w:t>
      </w:r>
      <w:r>
        <w:rPr>
          <w:rFonts w:hint="eastAsia"/>
          <w:lang w:val="en-US" w:eastAsia="zh-CN"/>
        </w:rPr>
        <w:t>22</w:t>
      </w:r>
      <w:r>
        <w:t>年</w:t>
      </w:r>
      <w:r>
        <w:rPr>
          <w:rFonts w:hint="eastAsia"/>
          <w:lang w:val="en-US" w:eastAsia="zh-CN"/>
        </w:rPr>
        <w:t>7</w:t>
      </w:r>
      <w:r>
        <w:t>月</w:t>
      </w:r>
      <w:r>
        <w:rPr>
          <w:rFonts w:hint="eastAsia"/>
          <w:lang w:val="en-US" w:eastAsia="zh-CN"/>
        </w:rPr>
        <w:t>26</w:t>
      </w:r>
      <w:r>
        <w:t>日</w:t>
      </w:r>
      <w:r>
        <w:rPr>
          <w:rFonts w:hint="eastAsia"/>
          <w:lang w:val="en-US" w:eastAsia="zh-CN"/>
        </w:rPr>
        <w:t>下发的</w:t>
      </w:r>
      <w:r>
        <w:t>《</w:t>
      </w:r>
      <w:r>
        <w:rPr>
          <w:rFonts w:hint="eastAsia"/>
          <w:lang w:val="en-US" w:eastAsia="zh-CN"/>
        </w:rPr>
        <w:t>湖南省县级以上城市集中式饮用水水源地名录</w:t>
      </w:r>
      <w:r>
        <w:t>》</w:t>
      </w:r>
      <w:r>
        <w:rPr>
          <w:rFonts w:hint="eastAsia"/>
        </w:rPr>
        <w:t>和《岳阳市县级及以上、“千吨万人”、“千人以上”集中式饮用水水源保护区划定及调整方案》，岳阳段距离码头最近的饮用水水源地为岳阳市长江君山段饮用水水源保护区，距离码头上游边界约47.68km，码头下游约14.54km处有</w:t>
      </w:r>
      <w:r>
        <w:t>临湘市工业园滨江产业示范区自来水厂（取水口）</w:t>
      </w:r>
      <w:r>
        <w:rPr>
          <w:rFonts w:hint="eastAsia"/>
        </w:rPr>
        <w:t>，</w:t>
      </w:r>
      <w:r>
        <w:t>该取水口取水主要作为临湘市儒溪工业区工业企业生产用水，兼顾规划区3万居民生活用水，</w:t>
      </w:r>
      <w:r>
        <w:rPr>
          <w:rFonts w:hint="eastAsia"/>
          <w:b/>
          <w:bCs/>
        </w:rPr>
        <w:t>尚未划定饮用水水源保护区</w:t>
      </w:r>
      <w:r>
        <w:rPr>
          <w:rFonts w:hint="eastAsia"/>
        </w:rPr>
        <w:t>。</w:t>
      </w:r>
      <w:r>
        <w:rPr>
          <w:snapToGrid w:val="0"/>
        </w:rPr>
        <w:t>本项目码头工程选址不涉及饮用水水源地。</w:t>
      </w:r>
      <w:r>
        <w:t>项目地表水保护目标、项目码头与饮用水水源保护区位置关系见下表。</w:t>
      </w:r>
    </w:p>
    <w:p>
      <w:pPr>
        <w:pStyle w:val="619"/>
        <w:rPr>
          <w:rFonts w:cs="Times New Roman"/>
        </w:rPr>
      </w:pPr>
      <w:r>
        <w:rPr>
          <w:rFonts w:cs="Times New Roman"/>
        </w:rPr>
        <w:t>本项目地表水环境保护目标</w:t>
      </w:r>
    </w:p>
    <w:tbl>
      <w:tblPr>
        <w:tblStyle w:val="3596"/>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1469"/>
        <w:gridCol w:w="1453"/>
        <w:gridCol w:w="726"/>
        <w:gridCol w:w="2326"/>
        <w:gridCol w:w="871"/>
        <w:gridCol w:w="116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4" w:hRule="exact"/>
          <w:jc w:val="center"/>
        </w:trPr>
        <w:tc>
          <w:tcPr>
            <w:tcW w:w="687" w:type="pct"/>
            <w:vMerge w:val="restart"/>
            <w:vAlign w:val="center"/>
          </w:tcPr>
          <w:p>
            <w:pPr>
              <w:pStyle w:val="2691"/>
            </w:pPr>
            <w:r>
              <w:t>保护目标</w:t>
            </w:r>
          </w:p>
        </w:tc>
        <w:tc>
          <w:tcPr>
            <w:tcW w:w="1573" w:type="pct"/>
            <w:gridSpan w:val="2"/>
            <w:vAlign w:val="center"/>
          </w:tcPr>
          <w:p>
            <w:pPr>
              <w:pStyle w:val="2691"/>
            </w:pPr>
            <w:r>
              <w:t>坐标</w:t>
            </w:r>
          </w:p>
        </w:tc>
        <w:tc>
          <w:tcPr>
            <w:tcW w:w="391" w:type="pct"/>
            <w:vMerge w:val="restart"/>
            <w:vAlign w:val="center"/>
          </w:tcPr>
          <w:p>
            <w:pPr>
              <w:pStyle w:val="2691"/>
            </w:pPr>
            <w:r>
              <w:t>保护内容</w:t>
            </w:r>
          </w:p>
        </w:tc>
        <w:tc>
          <w:tcPr>
            <w:tcW w:w="1252" w:type="pct"/>
            <w:vMerge w:val="restart"/>
            <w:vAlign w:val="center"/>
          </w:tcPr>
          <w:p>
            <w:pPr>
              <w:pStyle w:val="2691"/>
            </w:pPr>
            <w:r>
              <w:t>环境功能区</w:t>
            </w:r>
          </w:p>
        </w:tc>
        <w:tc>
          <w:tcPr>
            <w:tcW w:w="469" w:type="pct"/>
            <w:vMerge w:val="restart"/>
            <w:vAlign w:val="center"/>
          </w:tcPr>
          <w:p>
            <w:pPr>
              <w:pStyle w:val="2691"/>
            </w:pPr>
            <w:r>
              <w:t>相对厂址方位</w:t>
            </w:r>
          </w:p>
        </w:tc>
        <w:tc>
          <w:tcPr>
            <w:tcW w:w="625" w:type="pct"/>
            <w:vMerge w:val="restart"/>
            <w:vAlign w:val="center"/>
          </w:tcPr>
          <w:p>
            <w:pPr>
              <w:pStyle w:val="2691"/>
            </w:pPr>
            <w:r>
              <w:t>相对厂界最近距离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3" w:hRule="exact"/>
          <w:jc w:val="center"/>
        </w:trPr>
        <w:tc>
          <w:tcPr>
            <w:tcW w:w="687" w:type="pct"/>
            <w:vMerge w:val="continue"/>
            <w:vAlign w:val="center"/>
          </w:tcPr>
          <w:p>
            <w:pPr>
              <w:pStyle w:val="2691"/>
            </w:pPr>
          </w:p>
        </w:tc>
        <w:tc>
          <w:tcPr>
            <w:tcW w:w="791" w:type="pct"/>
            <w:vAlign w:val="center"/>
          </w:tcPr>
          <w:p>
            <w:pPr>
              <w:pStyle w:val="2691"/>
            </w:pPr>
            <w:r>
              <w:t>东经</w:t>
            </w:r>
          </w:p>
        </w:tc>
        <w:tc>
          <w:tcPr>
            <w:tcW w:w="782" w:type="pct"/>
            <w:vAlign w:val="center"/>
          </w:tcPr>
          <w:p>
            <w:pPr>
              <w:pStyle w:val="2691"/>
            </w:pPr>
            <w:r>
              <w:t>北纬</w:t>
            </w:r>
          </w:p>
        </w:tc>
        <w:tc>
          <w:tcPr>
            <w:tcW w:w="391" w:type="pct"/>
            <w:vMerge w:val="continue"/>
            <w:vAlign w:val="center"/>
          </w:tcPr>
          <w:p>
            <w:pPr>
              <w:pStyle w:val="2691"/>
            </w:pPr>
          </w:p>
        </w:tc>
        <w:tc>
          <w:tcPr>
            <w:tcW w:w="1252" w:type="pct"/>
            <w:vMerge w:val="continue"/>
            <w:vAlign w:val="center"/>
          </w:tcPr>
          <w:p>
            <w:pPr>
              <w:pStyle w:val="2691"/>
            </w:pPr>
          </w:p>
        </w:tc>
        <w:tc>
          <w:tcPr>
            <w:tcW w:w="469" w:type="pct"/>
            <w:vMerge w:val="continue"/>
            <w:vAlign w:val="center"/>
          </w:tcPr>
          <w:p>
            <w:pPr>
              <w:pStyle w:val="2691"/>
            </w:pPr>
          </w:p>
        </w:tc>
        <w:tc>
          <w:tcPr>
            <w:tcW w:w="625" w:type="pct"/>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78" w:hRule="exact"/>
          <w:jc w:val="center"/>
        </w:trPr>
        <w:tc>
          <w:tcPr>
            <w:tcW w:w="687" w:type="pct"/>
            <w:vAlign w:val="center"/>
          </w:tcPr>
          <w:p>
            <w:pPr>
              <w:pStyle w:val="2691"/>
            </w:pPr>
            <w:r>
              <w:t>长江（岳阳段）</w:t>
            </w:r>
          </w:p>
        </w:tc>
        <w:tc>
          <w:tcPr>
            <w:tcW w:w="791" w:type="pct"/>
            <w:vAlign w:val="center"/>
          </w:tcPr>
          <w:p>
            <w:pPr>
              <w:pStyle w:val="2691"/>
            </w:pPr>
            <w:r>
              <w:t>113°14'16.54</w:t>
            </w:r>
            <w:r>
              <w:rPr>
                <w:rFonts w:asciiTheme="minorEastAsia" w:hAnsiTheme="minorEastAsia" w:eastAsiaTheme="minorEastAsia"/>
              </w:rPr>
              <w:t>"</w:t>
            </w:r>
          </w:p>
        </w:tc>
        <w:tc>
          <w:tcPr>
            <w:tcW w:w="782" w:type="pct"/>
            <w:vAlign w:val="center"/>
          </w:tcPr>
          <w:p>
            <w:pPr>
              <w:pStyle w:val="2691"/>
            </w:pPr>
            <w:r>
              <w:t>29°32'46.75</w:t>
            </w:r>
            <w:r>
              <w:rPr>
                <w:rFonts w:asciiTheme="minorEastAsia" w:hAnsiTheme="minorEastAsia" w:eastAsiaTheme="minorEastAsia"/>
              </w:rPr>
              <w:t>"</w:t>
            </w:r>
          </w:p>
        </w:tc>
        <w:tc>
          <w:tcPr>
            <w:tcW w:w="391" w:type="pct"/>
            <w:vAlign w:val="center"/>
          </w:tcPr>
          <w:p>
            <w:pPr>
              <w:pStyle w:val="2691"/>
            </w:pPr>
            <w:r>
              <w:t>水体水质</w:t>
            </w:r>
          </w:p>
        </w:tc>
        <w:tc>
          <w:tcPr>
            <w:tcW w:w="1252" w:type="pct"/>
            <w:vAlign w:val="center"/>
          </w:tcPr>
          <w:p>
            <w:pPr>
              <w:pStyle w:val="2691"/>
            </w:pPr>
            <w:r>
              <w:t>《地表水环境质量标准》（GB3838-2002）Ⅲ类，渔业用水区</w:t>
            </w:r>
          </w:p>
        </w:tc>
        <w:tc>
          <w:tcPr>
            <w:tcW w:w="469" w:type="pct"/>
            <w:vAlign w:val="center"/>
          </w:tcPr>
          <w:p>
            <w:pPr>
              <w:pStyle w:val="2691"/>
            </w:pPr>
            <w:r>
              <w:rPr>
                <w:rFonts w:hint="eastAsia"/>
              </w:rPr>
              <w:t>西</w:t>
            </w:r>
            <w:r>
              <w:t>北侧</w:t>
            </w:r>
          </w:p>
        </w:tc>
        <w:tc>
          <w:tcPr>
            <w:tcW w:w="625" w:type="pct"/>
            <w:vAlign w:val="center"/>
          </w:tcPr>
          <w:p>
            <w:pPr>
              <w:pStyle w:val="2691"/>
            </w:pPr>
            <w:r>
              <w:t>紧邻</w:t>
            </w:r>
          </w:p>
        </w:tc>
      </w:tr>
    </w:tbl>
    <w:p>
      <w:pPr>
        <w:pStyle w:val="619"/>
        <w:rPr>
          <w:rFonts w:cs="Times New Roman"/>
        </w:rPr>
      </w:pPr>
      <w:r>
        <w:rPr>
          <w:rFonts w:cs="Times New Roman"/>
        </w:rPr>
        <w:t>本项目与水源地保护区的位置关系</w:t>
      </w:r>
    </w:p>
    <w:tbl>
      <w:tblPr>
        <w:tblStyle w:val="3596"/>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70"/>
        <w:gridCol w:w="1144"/>
        <w:gridCol w:w="2221"/>
        <w:gridCol w:w="3314"/>
        <w:gridCol w:w="21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3" w:type="pct"/>
            <w:vAlign w:val="center"/>
          </w:tcPr>
          <w:p>
            <w:pPr>
              <w:pStyle w:val="2691"/>
            </w:pPr>
            <w:r>
              <w:t>序号</w:t>
            </w:r>
          </w:p>
        </w:tc>
        <w:tc>
          <w:tcPr>
            <w:tcW w:w="616" w:type="pct"/>
            <w:vAlign w:val="center"/>
          </w:tcPr>
          <w:p>
            <w:pPr>
              <w:pStyle w:val="2691"/>
            </w:pPr>
            <w:r>
              <w:t>水源地名称</w:t>
            </w:r>
          </w:p>
        </w:tc>
        <w:tc>
          <w:tcPr>
            <w:tcW w:w="1196" w:type="pct"/>
            <w:vAlign w:val="center"/>
          </w:tcPr>
          <w:p>
            <w:pPr>
              <w:pStyle w:val="2691"/>
            </w:pPr>
            <w:r>
              <w:t>相对位置</w:t>
            </w:r>
          </w:p>
        </w:tc>
        <w:tc>
          <w:tcPr>
            <w:tcW w:w="2934" w:type="pct"/>
            <w:gridSpan w:val="2"/>
            <w:vAlign w:val="center"/>
          </w:tcPr>
          <w:p>
            <w:pPr>
              <w:pStyle w:val="2691"/>
            </w:pPr>
            <w:r>
              <w:rPr>
                <w:rFonts w:hint="eastAsia"/>
              </w:rPr>
              <w:t>保护区范围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253" w:type="pct"/>
            <w:vMerge w:val="restart"/>
            <w:vAlign w:val="center"/>
          </w:tcPr>
          <w:p>
            <w:pPr>
              <w:pStyle w:val="2691"/>
            </w:pPr>
            <w:r>
              <w:t>1</w:t>
            </w:r>
          </w:p>
        </w:tc>
        <w:tc>
          <w:tcPr>
            <w:tcW w:w="616" w:type="pct"/>
            <w:vMerge w:val="restart"/>
            <w:vAlign w:val="center"/>
          </w:tcPr>
          <w:p>
            <w:pPr>
              <w:pStyle w:val="2691"/>
            </w:pPr>
            <w:r>
              <w:rPr>
                <w:rFonts w:hint="eastAsia"/>
              </w:rPr>
              <w:t>岳阳市长江君山段饮用水水源保护区</w:t>
            </w:r>
          </w:p>
        </w:tc>
        <w:tc>
          <w:tcPr>
            <w:tcW w:w="1196" w:type="pct"/>
            <w:vMerge w:val="restart"/>
            <w:vAlign w:val="center"/>
          </w:tcPr>
          <w:p>
            <w:pPr>
              <w:spacing w:line="240" w:lineRule="auto"/>
              <w:ind w:firstLine="0" w:firstLineChars="0"/>
              <w:rPr>
                <w:sz w:val="21"/>
                <w:szCs w:val="21"/>
              </w:rPr>
            </w:pPr>
            <w:r>
              <w:rPr>
                <w:sz w:val="21"/>
                <w:szCs w:val="21"/>
              </w:rPr>
              <w:t>取水口坐标为E：</w:t>
            </w:r>
            <w:r>
              <w:rPr>
                <w:rFonts w:hint="eastAsia"/>
                <w:sz w:val="21"/>
                <w:szCs w:val="21"/>
              </w:rPr>
              <w:t>112°58′53.28″</w:t>
            </w:r>
            <w:r>
              <w:rPr>
                <w:sz w:val="21"/>
                <w:szCs w:val="21"/>
              </w:rPr>
              <w:t>，N：</w:t>
            </w:r>
            <w:r>
              <w:rPr>
                <w:rFonts w:hint="eastAsia"/>
                <w:sz w:val="21"/>
                <w:szCs w:val="21"/>
              </w:rPr>
              <w:t>29°28′50.32″</w:t>
            </w:r>
            <w:r>
              <w:rPr>
                <w:sz w:val="21"/>
                <w:szCs w:val="21"/>
              </w:rPr>
              <w:t>。</w:t>
            </w:r>
            <w:r>
              <w:rPr>
                <w:b/>
                <w:sz w:val="21"/>
                <w:szCs w:val="21"/>
              </w:rPr>
              <w:t>本项目</w:t>
            </w:r>
            <w:r>
              <w:rPr>
                <w:rFonts w:hint="eastAsia"/>
                <w:b/>
                <w:sz w:val="21"/>
                <w:szCs w:val="21"/>
              </w:rPr>
              <w:t>位于饮用水水源保护区下游，距离饮用水水源取水口距离约47.68km</w:t>
            </w:r>
            <w:r>
              <w:rPr>
                <w:b/>
                <w:sz w:val="21"/>
                <w:szCs w:val="21"/>
              </w:rPr>
              <w:t>，</w:t>
            </w:r>
            <w:r>
              <w:rPr>
                <w:rFonts w:hint="eastAsia"/>
                <w:b/>
                <w:sz w:val="21"/>
                <w:szCs w:val="21"/>
              </w:rPr>
              <w:t>项目</w:t>
            </w:r>
            <w:r>
              <w:rPr>
                <w:b/>
                <w:sz w:val="21"/>
              </w:rPr>
              <w:t>不涉及饮用水水源保护区</w:t>
            </w:r>
            <w:r>
              <w:rPr>
                <w:sz w:val="21"/>
              </w:rPr>
              <w:t>，见附图</w:t>
            </w:r>
            <w:r>
              <w:rPr>
                <w:rFonts w:hint="eastAsia"/>
                <w:sz w:val="21"/>
              </w:rPr>
              <w:t>17</w:t>
            </w:r>
          </w:p>
        </w:tc>
        <w:tc>
          <w:tcPr>
            <w:tcW w:w="1785" w:type="pct"/>
            <w:vAlign w:val="center"/>
          </w:tcPr>
          <w:p>
            <w:pPr>
              <w:spacing w:line="240" w:lineRule="auto"/>
              <w:ind w:firstLine="0" w:firstLineChars="0"/>
              <w:jc w:val="center"/>
              <w:rPr>
                <w:sz w:val="21"/>
                <w:szCs w:val="21"/>
              </w:rPr>
            </w:pPr>
            <w:r>
              <w:rPr>
                <w:rFonts w:hint="eastAsia"/>
                <w:sz w:val="21"/>
                <w:szCs w:val="21"/>
              </w:rPr>
              <w:t>水域保护区范围</w:t>
            </w:r>
          </w:p>
        </w:tc>
        <w:tc>
          <w:tcPr>
            <w:tcW w:w="1149" w:type="pct"/>
            <w:vAlign w:val="center"/>
          </w:tcPr>
          <w:p>
            <w:pPr>
              <w:spacing w:line="240" w:lineRule="auto"/>
              <w:ind w:firstLine="0" w:firstLineChars="0"/>
              <w:jc w:val="center"/>
              <w:rPr>
                <w:sz w:val="21"/>
              </w:rPr>
            </w:pPr>
            <w:r>
              <w:rPr>
                <w:rFonts w:hint="eastAsia"/>
                <w:sz w:val="21"/>
              </w:rPr>
              <w:t>陆域保护区范围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92" w:hRule="atLeast"/>
          <w:jc w:val="center"/>
        </w:trPr>
        <w:tc>
          <w:tcPr>
            <w:tcW w:w="253" w:type="pct"/>
            <w:vMerge w:val="continue"/>
            <w:vAlign w:val="center"/>
          </w:tcPr>
          <w:p>
            <w:pPr>
              <w:spacing w:line="240" w:lineRule="auto"/>
              <w:ind w:firstLine="0" w:firstLineChars="0"/>
            </w:pPr>
          </w:p>
        </w:tc>
        <w:tc>
          <w:tcPr>
            <w:tcW w:w="616" w:type="pct"/>
            <w:vMerge w:val="continue"/>
            <w:vAlign w:val="center"/>
          </w:tcPr>
          <w:p>
            <w:pPr>
              <w:spacing w:line="240" w:lineRule="auto"/>
              <w:ind w:firstLine="0" w:firstLineChars="0"/>
            </w:pPr>
          </w:p>
        </w:tc>
        <w:tc>
          <w:tcPr>
            <w:tcW w:w="1196" w:type="pct"/>
            <w:vMerge w:val="continue"/>
            <w:vAlign w:val="center"/>
          </w:tcPr>
          <w:p>
            <w:pPr>
              <w:spacing w:line="240" w:lineRule="auto"/>
              <w:ind w:firstLine="0" w:firstLineChars="0"/>
            </w:pPr>
          </w:p>
        </w:tc>
        <w:tc>
          <w:tcPr>
            <w:tcW w:w="1785" w:type="pct"/>
            <w:vAlign w:val="center"/>
          </w:tcPr>
          <w:p>
            <w:pPr>
              <w:spacing w:line="240" w:lineRule="auto"/>
              <w:ind w:firstLine="0" w:firstLineChars="0"/>
              <w:jc w:val="left"/>
              <w:rPr>
                <w:sz w:val="21"/>
                <w:szCs w:val="21"/>
              </w:rPr>
            </w:pPr>
            <w:r>
              <w:rPr>
                <w:rFonts w:hint="eastAsia"/>
                <w:b/>
                <w:bCs/>
                <w:sz w:val="21"/>
                <w:szCs w:val="21"/>
              </w:rPr>
              <w:t>一级</w:t>
            </w:r>
            <w:r>
              <w:rPr>
                <w:rFonts w:hint="eastAsia"/>
                <w:sz w:val="21"/>
                <w:szCs w:val="21"/>
              </w:rPr>
              <w:t>：取水口上游1000米至取水口下游100米,水域宽度为取水口侧长江航道边界线（不超过省界）至防洪堤内的水域。</w:t>
            </w:r>
          </w:p>
          <w:p>
            <w:pPr>
              <w:pStyle w:val="2"/>
              <w:ind w:firstLine="0" w:firstLineChars="0"/>
              <w:jc w:val="left"/>
              <w:rPr>
                <w:sz w:val="21"/>
                <w:szCs w:val="21"/>
              </w:rPr>
            </w:pPr>
            <w:r>
              <w:rPr>
                <w:rFonts w:hint="eastAsia"/>
                <w:b/>
                <w:bCs/>
                <w:sz w:val="21"/>
                <w:szCs w:val="21"/>
              </w:rPr>
              <w:t>二级</w:t>
            </w:r>
            <w:r>
              <w:rPr>
                <w:rFonts w:hint="eastAsia"/>
                <w:sz w:val="21"/>
                <w:szCs w:val="21"/>
              </w:rPr>
              <w:t>：一级保护区水域上边界上溯2000米,下边界下延200米，水域究度为取水口侧长江航道边界线（不超过省界）至防泯堤内的河道水域。</w:t>
            </w:r>
          </w:p>
        </w:tc>
        <w:tc>
          <w:tcPr>
            <w:tcW w:w="1149" w:type="pct"/>
            <w:vAlign w:val="center"/>
          </w:tcPr>
          <w:p>
            <w:pPr>
              <w:spacing w:line="240" w:lineRule="auto"/>
              <w:ind w:firstLine="0" w:firstLineChars="0"/>
              <w:jc w:val="left"/>
              <w:rPr>
                <w:sz w:val="21"/>
                <w:szCs w:val="21"/>
              </w:rPr>
            </w:pPr>
            <w:r>
              <w:rPr>
                <w:rFonts w:hint="eastAsia"/>
                <w:sz w:val="21"/>
                <w:szCs w:val="21"/>
              </w:rPr>
              <w:t>一级：─级保护区水域边界至右岸防洪堤迎水面堤肩之间的陆域。</w:t>
            </w:r>
          </w:p>
          <w:p>
            <w:pPr>
              <w:spacing w:line="240" w:lineRule="auto"/>
              <w:ind w:firstLine="0" w:firstLineChars="0"/>
              <w:jc w:val="left"/>
            </w:pPr>
            <w:r>
              <w:rPr>
                <w:rFonts w:hint="eastAsia"/>
                <w:sz w:val="21"/>
                <w:szCs w:val="21"/>
              </w:rPr>
              <w:t>二级：一、二级保护区水域边界线至右岸防洪堤背水坡脚之间的陆域（一级保护区陆域除外）。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92" w:hRule="atLeast"/>
          <w:jc w:val="center"/>
        </w:trPr>
        <w:tc>
          <w:tcPr>
            <w:tcW w:w="253" w:type="pct"/>
            <w:vAlign w:val="center"/>
          </w:tcPr>
          <w:p>
            <w:pPr>
              <w:spacing w:line="240" w:lineRule="auto"/>
              <w:ind w:firstLine="0" w:firstLineChars="0"/>
              <w:jc w:val="center"/>
            </w:pPr>
            <w:r>
              <w:rPr>
                <w:rFonts w:hint="eastAsia"/>
              </w:rPr>
              <w:t>2</w:t>
            </w:r>
          </w:p>
        </w:tc>
        <w:tc>
          <w:tcPr>
            <w:tcW w:w="616" w:type="pct"/>
            <w:vAlign w:val="center"/>
          </w:tcPr>
          <w:p>
            <w:pPr>
              <w:pStyle w:val="2691"/>
            </w:pPr>
            <w:r>
              <w:t>临湘市工业园滨江产业示范区自来水厂（取水口）</w:t>
            </w:r>
          </w:p>
        </w:tc>
        <w:tc>
          <w:tcPr>
            <w:tcW w:w="1196" w:type="pct"/>
            <w:vAlign w:val="center"/>
          </w:tcPr>
          <w:p>
            <w:pPr>
              <w:pStyle w:val="2691"/>
            </w:pPr>
            <w:r>
              <w:t>取水口坐标为E：113°19'12.06</w:t>
            </w:r>
            <w:r>
              <w:rPr>
                <w:rFonts w:asciiTheme="minorEastAsia" w:hAnsiTheme="minorEastAsia" w:eastAsiaTheme="minorEastAsia"/>
              </w:rPr>
              <w:t>"</w:t>
            </w:r>
            <w:r>
              <w:t>，N：29°37'42.95</w:t>
            </w:r>
            <w:r>
              <w:rPr>
                <w:rFonts w:asciiTheme="minorEastAsia" w:hAnsiTheme="minorEastAsia" w:eastAsiaTheme="minorEastAsia"/>
              </w:rPr>
              <w:t>"</w:t>
            </w:r>
            <w:r>
              <w:t>，该取水口位于本项目的下边界，最近直线距离约14.</w:t>
            </w:r>
            <w:r>
              <w:rPr>
                <w:rFonts w:hint="eastAsia"/>
              </w:rPr>
              <w:t>54</w:t>
            </w:r>
            <w:r>
              <w:t>km，见附图1</w:t>
            </w:r>
            <w:r>
              <w:rPr>
                <w:rFonts w:hint="eastAsia"/>
              </w:rPr>
              <w:t>7</w:t>
            </w:r>
          </w:p>
        </w:tc>
        <w:tc>
          <w:tcPr>
            <w:tcW w:w="2934" w:type="pct"/>
            <w:gridSpan w:val="2"/>
            <w:vAlign w:val="center"/>
          </w:tcPr>
          <w:p>
            <w:pPr>
              <w:spacing w:line="240" w:lineRule="auto"/>
              <w:ind w:firstLine="0" w:firstLineChars="0"/>
              <w:jc w:val="left"/>
              <w:rPr>
                <w:sz w:val="21"/>
                <w:szCs w:val="21"/>
              </w:rPr>
            </w:pPr>
            <w:r>
              <w:rPr>
                <w:sz w:val="21"/>
                <w:szCs w:val="21"/>
              </w:rPr>
              <w:t>该取水口取水主要作为临湘市儒溪工业区工业企业生产用水，兼顾规划区3万居民生活用水，</w:t>
            </w:r>
            <w:r>
              <w:rPr>
                <w:rFonts w:hint="eastAsia"/>
                <w:b/>
                <w:bCs/>
                <w:sz w:val="21"/>
                <w:szCs w:val="21"/>
              </w:rPr>
              <w:t>尚未划定饮用水水源保护区</w:t>
            </w:r>
            <w:r>
              <w:rPr>
                <w:rFonts w:hint="eastAsia"/>
                <w:sz w:val="21"/>
                <w:szCs w:val="21"/>
              </w:rPr>
              <w:t>，</w:t>
            </w:r>
            <w:r>
              <w:rPr>
                <w:rFonts w:hint="eastAsia"/>
                <w:b/>
                <w:bCs/>
                <w:sz w:val="21"/>
                <w:szCs w:val="21"/>
              </w:rPr>
              <w:t>已建成北控水务集公司团自来水厂，该自来水公司计划设计供水量5万m</w:t>
            </w:r>
            <w:r>
              <w:rPr>
                <w:rFonts w:hint="eastAsia"/>
                <w:b/>
                <w:bCs/>
                <w:sz w:val="21"/>
                <w:szCs w:val="21"/>
                <w:vertAlign w:val="superscript"/>
              </w:rPr>
              <w:t>3</w:t>
            </w:r>
            <w:r>
              <w:rPr>
                <w:rFonts w:hint="eastAsia"/>
                <w:b/>
                <w:bCs/>
                <w:sz w:val="21"/>
                <w:szCs w:val="21"/>
              </w:rPr>
              <w:t>/d，供水范围为儒溪工业规划区约3万人。</w:t>
            </w:r>
          </w:p>
        </w:tc>
      </w:tr>
    </w:tbl>
    <w:p>
      <w:pPr>
        <w:pStyle w:val="454"/>
        <w:ind w:firstLine="602"/>
        <w:rPr>
          <w:color w:val="auto"/>
        </w:rPr>
      </w:pPr>
      <w:r>
        <w:rPr>
          <w:color w:val="auto"/>
        </w:rPr>
        <w:t>环境空气保护目标</w:t>
      </w:r>
    </w:p>
    <w:p>
      <w:pPr>
        <w:ind w:firstLine="480"/>
      </w:pPr>
      <w:r>
        <w:t>本项目环境空气、声环境评价范围内环境保护目标见下表。</w:t>
      </w:r>
    </w:p>
    <w:p>
      <w:pPr>
        <w:pStyle w:val="619"/>
        <w:rPr>
          <w:rFonts w:cs="Times New Roman"/>
          <w:lang w:val="zh-CN"/>
        </w:rPr>
      </w:pPr>
      <w:r>
        <w:rPr>
          <w:rFonts w:cs="Times New Roman"/>
        </w:rPr>
        <w:t>评价范围内环境空</w:t>
      </w:r>
      <w:r>
        <w:rPr>
          <w:rFonts w:cs="Times New Roman"/>
          <w:spacing w:val="3"/>
        </w:rPr>
        <w:t>气</w:t>
      </w:r>
      <w:r>
        <w:rPr>
          <w:rFonts w:cs="Times New Roman"/>
        </w:rPr>
        <w:t>、声环</w:t>
      </w:r>
      <w:r>
        <w:rPr>
          <w:rFonts w:cs="Times New Roman"/>
          <w:spacing w:val="1"/>
        </w:rPr>
        <w:t>境</w:t>
      </w:r>
      <w:r>
        <w:rPr>
          <w:rFonts w:cs="Times New Roman"/>
        </w:rPr>
        <w:t>保护目标</w:t>
      </w:r>
    </w:p>
    <w:tbl>
      <w:tblPr>
        <w:tblStyle w:val="3597"/>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28"/>
        <w:gridCol w:w="884"/>
        <w:gridCol w:w="815"/>
        <w:gridCol w:w="540"/>
        <w:gridCol w:w="1728"/>
        <w:gridCol w:w="1717"/>
        <w:gridCol w:w="869"/>
        <w:gridCol w:w="119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Merge w:val="restar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保护目标名称</w:t>
            </w:r>
          </w:p>
        </w:tc>
        <w:tc>
          <w:tcPr>
            <w:tcW w:w="915" w:type="pct"/>
            <w:gridSpan w:val="2"/>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坐标</w:t>
            </w:r>
            <w:r>
              <w:t>/m</w:t>
            </w:r>
          </w:p>
        </w:tc>
        <w:tc>
          <w:tcPr>
            <w:tcW w:w="291" w:type="pct"/>
            <w:vMerge w:val="restar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保护对象</w:t>
            </w:r>
          </w:p>
        </w:tc>
        <w:tc>
          <w:tcPr>
            <w:tcW w:w="931" w:type="pct"/>
            <w:vMerge w:val="restar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保护内容</w:t>
            </w:r>
          </w:p>
        </w:tc>
        <w:tc>
          <w:tcPr>
            <w:tcW w:w="925" w:type="pct"/>
            <w:vMerge w:val="restar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保护等级</w:t>
            </w:r>
          </w:p>
        </w:tc>
        <w:tc>
          <w:tcPr>
            <w:tcW w:w="468" w:type="pct"/>
            <w:vMerge w:val="restar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相对厂址方位</w:t>
            </w:r>
          </w:p>
        </w:tc>
        <w:tc>
          <w:tcPr>
            <w:tcW w:w="644" w:type="pct"/>
            <w:vMerge w:val="restar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相对厂界最近距离/m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X</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Y</w:t>
            </w:r>
          </w:p>
        </w:tc>
        <w:tc>
          <w:tcPr>
            <w:tcW w:w="291"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931"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468"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644"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滨江学校</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725.74</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-23.89</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学校</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sz w:val="21"/>
                <w:szCs w:val="21"/>
              </w:rPr>
              <w:t>师生约400人</w:t>
            </w:r>
          </w:p>
        </w:tc>
        <w:tc>
          <w:tcPr>
            <w:tcW w:w="925" w:type="pct"/>
            <w:vMerge w:val="restar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《环境空气质量标准》（GB3095-2012）二级标准</w:t>
            </w: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390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大鼓山</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2051.25</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-9.44</w:t>
            </w:r>
          </w:p>
        </w:tc>
        <w:tc>
          <w:tcPr>
            <w:tcW w:w="291" w:type="pct"/>
            <w:vAlign w:val="center"/>
          </w:tcPr>
          <w:p>
            <w:pPr>
              <w:adjustRightInd w:val="0"/>
              <w:snapToGrid w:val="0"/>
              <w:spacing w:line="240" w:lineRule="auto"/>
              <w:ind w:left="-120" w:leftChars="-50" w:right="-120" w:rightChars="-50" w:firstLine="0" w:firstLineChars="0"/>
              <w:jc w:val="center"/>
              <w:rPr>
                <w:sz w:val="21"/>
                <w:szCs w:val="21"/>
              </w:rPr>
            </w:pPr>
            <w:r>
              <w:rPr>
                <w:rFonts w:hint="eastAsia"/>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10户，约35人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color w:val="0000FF"/>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1749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滨江村</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360.96</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-280.32</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34</w:t>
            </w:r>
            <w:r>
              <w:rPr>
                <w:rFonts w:cs="Times New Roman"/>
                <w:sz w:val="21"/>
                <w:szCs w:val="21"/>
              </w:rPr>
              <w:t>户，约</w:t>
            </w:r>
            <w:r>
              <w:rPr>
                <w:rFonts w:hint="eastAsia" w:cs="Times New Roman"/>
                <w:sz w:val="21"/>
                <w:szCs w:val="21"/>
              </w:rPr>
              <w:t>108</w:t>
            </w:r>
            <w:r>
              <w:rPr>
                <w:rFonts w:cs="Times New Roman"/>
                <w:sz w:val="21"/>
                <w:szCs w:val="21"/>
              </w:rPr>
              <w:t>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color w:val="0000FF"/>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SE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121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吴家垄</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1083.31</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-370.62</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94</w:t>
            </w:r>
            <w:r>
              <w:rPr>
                <w:rFonts w:cs="Times New Roman"/>
                <w:sz w:val="21"/>
                <w:szCs w:val="21"/>
              </w:rPr>
              <w:t>户，约</w:t>
            </w:r>
            <w:r>
              <w:rPr>
                <w:rFonts w:hint="eastAsia" w:cs="Times New Roman"/>
                <w:sz w:val="21"/>
                <w:szCs w:val="21"/>
              </w:rPr>
              <w:t>376</w:t>
            </w:r>
            <w:r>
              <w:rPr>
                <w:rFonts w:cs="Times New Roman"/>
                <w:sz w:val="21"/>
                <w:szCs w:val="21"/>
              </w:rPr>
              <w:t>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color w:val="0000FF"/>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ESE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812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胥芦畈</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2184.88</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-240.59</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25户，约75人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color w:val="0000FF"/>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1891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橙子岭</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1877.89</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-525.92</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28</w:t>
            </w:r>
            <w:r>
              <w:rPr>
                <w:rFonts w:cs="Times New Roman"/>
                <w:sz w:val="21"/>
                <w:szCs w:val="21"/>
              </w:rPr>
              <w:t>户，约</w:t>
            </w:r>
            <w:r>
              <w:rPr>
                <w:rFonts w:hint="eastAsia" w:cs="Times New Roman"/>
                <w:sz w:val="21"/>
                <w:szCs w:val="21"/>
              </w:rPr>
              <w:t>85</w:t>
            </w:r>
            <w:r>
              <w:rPr>
                <w:rFonts w:cs="Times New Roman"/>
                <w:sz w:val="21"/>
                <w:szCs w:val="21"/>
              </w:rPr>
              <w:t>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color w:val="0000FF"/>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ESE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1638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芦家屋场</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1155.54</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-543.98</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8户，约30人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ESE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870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汪家二房</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2135.47</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-968.34</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11户，约40人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ESE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2430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乌石矶</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100.12</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-1102.53</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9户，约35人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S</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801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中屋沙咀</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681.65</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-1253.51</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21户，约65人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color w:val="0000FF"/>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SSE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1447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桑泥湖</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1788.79</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-1221</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36户，约110人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SE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1870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屋沙咀</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-1583.28</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1790.9</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27户，约100人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NW</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1471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许家高墩</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867.56</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-1559.91</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约5000人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SSE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1953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白鹭中学</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-1566.63</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2171.68</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学校</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sz w:val="21"/>
                <w:szCs w:val="21"/>
              </w:rPr>
              <w:t>师生约1200人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NW</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2264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七房</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186.03</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314.31</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31户，约95人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NNE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六屋</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1123.98</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1469.5</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32户，约110人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NE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1590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道仁矶中学</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1774.02</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1029.54</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学校</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sz w:val="21"/>
                <w:szCs w:val="21"/>
              </w:rPr>
              <w:t>师生约800人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ENE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1832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高粱咀</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2016.62</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1514.75</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19户，约54人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NE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2350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新建</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2410.86</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1497.43</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56户，约220人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ENE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2610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胡家垄</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2142.26</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1120.52</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32户，约120人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ENE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2190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北斗坡</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2272.22</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799.93</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26户，约90人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ENE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2160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胡彭家</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2285.22</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522.67</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26户，约90人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ENE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2070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郑家祠堂</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1024.54</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197.75</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23户，约39人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color w:val="0000FF"/>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793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庙冲</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2356.74</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185.99</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约</w:t>
            </w:r>
            <w:r>
              <w:rPr>
                <w:rFonts w:hint="eastAsia" w:cs="Times New Roman"/>
                <w:sz w:val="21"/>
                <w:szCs w:val="21"/>
              </w:rPr>
              <w:t>8800</w:t>
            </w:r>
            <w:r>
              <w:rPr>
                <w:rFonts w:cs="Times New Roman"/>
                <w:sz w:val="21"/>
                <w:szCs w:val="21"/>
              </w:rPr>
              <w:t>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2066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汪杨家</w:t>
            </w:r>
          </w:p>
        </w:tc>
        <w:tc>
          <w:tcPr>
            <w:tcW w:w="476"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2445.1</w:t>
            </w:r>
          </w:p>
        </w:tc>
        <w:tc>
          <w:tcPr>
            <w:tcW w:w="439"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74.48</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约430人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2135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七房</w:t>
            </w:r>
          </w:p>
        </w:tc>
        <w:tc>
          <w:tcPr>
            <w:tcW w:w="884" w:type="dxa"/>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186.03</w:t>
            </w:r>
          </w:p>
        </w:tc>
        <w:tc>
          <w:tcPr>
            <w:tcW w:w="815" w:type="dxa"/>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314.31</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居住</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31户，约95人</w:t>
            </w:r>
          </w:p>
        </w:tc>
        <w:tc>
          <w:tcPr>
            <w:tcW w:w="925" w:type="pct"/>
            <w:vMerge w:val="restar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《声环境质量标准》（GB3096-2008）</w:t>
            </w:r>
            <w:r>
              <w:rPr>
                <w:rFonts w:hint="eastAsia" w:cs="Times New Roman"/>
                <w:sz w:val="21"/>
                <w:szCs w:val="21"/>
              </w:rPr>
              <w:t>2</w:t>
            </w:r>
            <w:r>
              <w:rPr>
                <w:rFonts w:cs="Times New Roman"/>
                <w:sz w:val="21"/>
                <w:szCs w:val="21"/>
              </w:rPr>
              <w:t>类标准</w:t>
            </w: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NE</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3"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滨江村</w:t>
            </w:r>
          </w:p>
        </w:tc>
        <w:tc>
          <w:tcPr>
            <w:tcW w:w="884" w:type="dxa"/>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360.96</w:t>
            </w:r>
          </w:p>
        </w:tc>
        <w:tc>
          <w:tcPr>
            <w:tcW w:w="815" w:type="dxa"/>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-280.32</w:t>
            </w:r>
          </w:p>
        </w:tc>
        <w:tc>
          <w:tcPr>
            <w:tcW w:w="29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居民</w:t>
            </w:r>
          </w:p>
        </w:tc>
        <w:tc>
          <w:tcPr>
            <w:tcW w:w="93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34</w:t>
            </w:r>
            <w:r>
              <w:rPr>
                <w:rFonts w:cs="Times New Roman"/>
                <w:sz w:val="21"/>
                <w:szCs w:val="21"/>
              </w:rPr>
              <w:t>户，约</w:t>
            </w:r>
            <w:r>
              <w:rPr>
                <w:rFonts w:hint="eastAsia" w:cs="Times New Roman"/>
                <w:sz w:val="21"/>
                <w:szCs w:val="21"/>
              </w:rPr>
              <w:t>108</w:t>
            </w:r>
            <w:r>
              <w:rPr>
                <w:rFonts w:cs="Times New Roman"/>
                <w:sz w:val="21"/>
                <w:szCs w:val="21"/>
              </w:rPr>
              <w:t>人</w:t>
            </w:r>
          </w:p>
        </w:tc>
        <w:tc>
          <w:tcPr>
            <w:tcW w:w="925" w:type="pct"/>
            <w:vMerge w:val="continue"/>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p>
        </w:tc>
        <w:tc>
          <w:tcPr>
            <w:tcW w:w="46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ES</w:t>
            </w:r>
          </w:p>
        </w:tc>
        <w:tc>
          <w:tcPr>
            <w:tcW w:w="644"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121</w:t>
            </w:r>
          </w:p>
        </w:tc>
      </w:tr>
    </w:tbl>
    <w:p>
      <w:pPr>
        <w:pStyle w:val="454"/>
        <w:ind w:firstLine="602"/>
        <w:rPr>
          <w:color w:val="auto"/>
        </w:rPr>
      </w:pPr>
      <w:r>
        <w:rPr>
          <w:color w:val="auto"/>
        </w:rPr>
        <w:t>生态环境保护目标</w:t>
      </w:r>
    </w:p>
    <w:p>
      <w:pPr>
        <w:pStyle w:val="458"/>
        <w:ind w:firstLine="480"/>
        <w:rPr>
          <w:rFonts w:cs="Times New Roman"/>
          <w:color w:val="auto"/>
          <w:lang w:val="zh-CN"/>
        </w:rPr>
      </w:pPr>
      <w:r>
        <w:rPr>
          <w:rFonts w:cs="Times New Roman"/>
          <w:color w:val="auto"/>
          <w:lang w:val="zh-CN"/>
        </w:rPr>
        <w:t>根据现场调查，本项目陆域评价范围内未发现国家级和地方重点保护野生动植物和 名木古树分布，不涉及基本农田，不涉及国家和省级生态公益林；</w:t>
      </w:r>
      <w:r>
        <w:rPr>
          <w:rFonts w:cs="Times New Roman"/>
          <w:color w:val="auto"/>
        </w:rPr>
        <w:t>通过本项目选址位置与湖南省生态保护红线区域的位置关系对比，本项目不涉及生态红线保护区（详见附件4）</w:t>
      </w:r>
      <w:r>
        <w:rPr>
          <w:rFonts w:cs="Times New Roman"/>
          <w:color w:val="auto"/>
          <w:lang w:val="zh-CN"/>
        </w:rPr>
        <w:t>。</w:t>
      </w:r>
    </w:p>
    <w:p>
      <w:pPr>
        <w:pStyle w:val="458"/>
        <w:ind w:firstLine="480"/>
        <w:rPr>
          <w:rFonts w:cs="Times New Roman"/>
          <w:color w:val="auto"/>
          <w:lang w:val="zh-CN"/>
        </w:rPr>
      </w:pPr>
      <w:r>
        <w:rPr>
          <w:rFonts w:cs="Times New Roman"/>
          <w:color w:val="auto"/>
          <w:lang w:val="zh-CN"/>
        </w:rPr>
        <w:t>本项目生态影响保护目标主要为</w:t>
      </w:r>
      <w:r>
        <w:rPr>
          <w:rFonts w:cs="Times New Roman"/>
          <w:color w:val="auto"/>
        </w:rPr>
        <w:t>评价区</w:t>
      </w:r>
      <w:r>
        <w:rPr>
          <w:rFonts w:hint="eastAsia" w:cs="Times New Roman"/>
          <w:color w:val="auto"/>
          <w:lang w:eastAsia="zh-CN"/>
        </w:rPr>
        <w:t>生态敏感区、重要物种和重要生境</w:t>
      </w:r>
      <w:r>
        <w:rPr>
          <w:rFonts w:cs="Times New Roman"/>
          <w:color w:val="auto"/>
        </w:rPr>
        <w:t>等</w:t>
      </w:r>
      <w:r>
        <w:rPr>
          <w:rFonts w:hint="eastAsia" w:cs="Times New Roman"/>
          <w:color w:val="auto"/>
          <w:lang w:eastAsia="zh-CN"/>
        </w:rPr>
        <w:t>。</w:t>
      </w:r>
      <w:r>
        <w:rPr>
          <w:rFonts w:cs="Times New Roman"/>
          <w:color w:val="auto"/>
        </w:rPr>
        <w:t>项目</w:t>
      </w:r>
      <w:r>
        <w:rPr>
          <w:rFonts w:cs="Times New Roman"/>
          <w:color w:val="auto"/>
          <w:lang w:val="zh-CN"/>
        </w:rPr>
        <w:t>涉及</w:t>
      </w:r>
      <w:r>
        <w:rPr>
          <w:rFonts w:hint="eastAsia" w:cs="Times New Roman"/>
          <w:color w:val="auto"/>
          <w:lang w:val="zh-CN"/>
        </w:rPr>
        <w:t>洞庭湖口铜鱼短颌鲚国家级水产种质资源保护区</w:t>
      </w:r>
      <w:r>
        <w:rPr>
          <w:rFonts w:cs="Times New Roman"/>
          <w:color w:val="auto"/>
          <w:lang w:val="zh-CN"/>
        </w:rPr>
        <w:t>实验区。此外，项目不在湖南云溪白泥湖国家湿地公园、</w:t>
      </w:r>
      <w:r>
        <w:rPr>
          <w:rFonts w:hint="eastAsia" w:cs="Times New Roman"/>
          <w:color w:val="auto"/>
        </w:rPr>
        <w:t>长江监利段</w:t>
      </w:r>
      <w:r>
        <w:rPr>
          <w:rFonts w:cs="Times New Roman"/>
          <w:color w:val="auto"/>
        </w:rPr>
        <w:t>四大家鱼国家</w:t>
      </w:r>
      <w:r>
        <w:rPr>
          <w:rFonts w:cs="Times New Roman"/>
          <w:color w:val="auto"/>
          <w:spacing w:val="2"/>
        </w:rPr>
        <w:t>级水产</w:t>
      </w:r>
      <w:r>
        <w:rPr>
          <w:rFonts w:cs="Times New Roman"/>
          <w:color w:val="auto"/>
        </w:rPr>
        <w:t>种质</w:t>
      </w:r>
      <w:r>
        <w:rPr>
          <w:rFonts w:cs="Times New Roman"/>
          <w:color w:val="auto"/>
          <w:spacing w:val="2"/>
        </w:rPr>
        <w:t>资源保</w:t>
      </w:r>
      <w:r>
        <w:rPr>
          <w:rFonts w:cs="Times New Roman"/>
          <w:color w:val="auto"/>
        </w:rPr>
        <w:t>护</w:t>
      </w:r>
      <w:r>
        <w:rPr>
          <w:rFonts w:cs="Times New Roman"/>
          <w:color w:val="auto"/>
          <w:spacing w:val="2"/>
        </w:rPr>
        <w:t>区、湖南东洞</w:t>
      </w:r>
      <w:r>
        <w:rPr>
          <w:rFonts w:cs="Times New Roman"/>
          <w:color w:val="auto"/>
          <w:spacing w:val="3"/>
        </w:rPr>
        <w:t>庭</w:t>
      </w:r>
      <w:r>
        <w:rPr>
          <w:rFonts w:cs="Times New Roman"/>
          <w:color w:val="auto"/>
          <w:spacing w:val="2"/>
        </w:rPr>
        <w:t>国</w:t>
      </w:r>
      <w:r>
        <w:rPr>
          <w:rFonts w:cs="Times New Roman"/>
          <w:color w:val="auto"/>
          <w:spacing w:val="3"/>
        </w:rPr>
        <w:t>家</w:t>
      </w:r>
      <w:r>
        <w:rPr>
          <w:rFonts w:cs="Times New Roman"/>
          <w:color w:val="auto"/>
          <w:spacing w:val="2"/>
        </w:rPr>
        <w:t>级自</w:t>
      </w:r>
      <w:r>
        <w:rPr>
          <w:rFonts w:cs="Times New Roman"/>
          <w:color w:val="auto"/>
          <w:spacing w:val="3"/>
        </w:rPr>
        <w:t>然</w:t>
      </w:r>
      <w:r>
        <w:rPr>
          <w:rFonts w:cs="Times New Roman"/>
          <w:color w:val="auto"/>
          <w:spacing w:val="2"/>
        </w:rPr>
        <w:t>保</w:t>
      </w:r>
      <w:r>
        <w:rPr>
          <w:rFonts w:cs="Times New Roman"/>
          <w:color w:val="auto"/>
          <w:spacing w:val="3"/>
        </w:rPr>
        <w:t>护</w:t>
      </w:r>
      <w:r>
        <w:rPr>
          <w:rFonts w:cs="Times New Roman"/>
          <w:color w:val="auto"/>
          <w:spacing w:val="2"/>
        </w:rPr>
        <w:t>区、</w:t>
      </w:r>
      <w:r>
        <w:rPr>
          <w:rFonts w:cs="Times New Roman"/>
          <w:color w:val="auto"/>
        </w:rPr>
        <w:t>湖北长江新螺段白鱀豚国家级自然保护区</w:t>
      </w:r>
      <w:r>
        <w:rPr>
          <w:rFonts w:cs="Times New Roman"/>
          <w:color w:val="auto"/>
          <w:lang w:val="zh-CN"/>
        </w:rPr>
        <w:t>的保护范围。</w:t>
      </w:r>
    </w:p>
    <w:p>
      <w:pPr>
        <w:pStyle w:val="2101"/>
        <w:spacing w:line="360" w:lineRule="auto"/>
      </w:pPr>
      <w:r>
        <w:t>本项目各环境要素评价范围内敏感目标见下表。</w:t>
      </w:r>
    </w:p>
    <w:p>
      <w:pPr>
        <w:pStyle w:val="2101"/>
        <w:spacing w:line="360" w:lineRule="auto"/>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619"/>
        <w:rPr>
          <w:rFonts w:cs="Times New Roman"/>
        </w:rPr>
      </w:pPr>
      <w:r>
        <w:rPr>
          <w:rFonts w:cs="Times New Roman"/>
        </w:rPr>
        <w:t>项目评价范围内生态环境保护目标一览表</w:t>
      </w:r>
    </w:p>
    <w:tbl>
      <w:tblPr>
        <w:tblStyle w:val="87"/>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93"/>
        <w:gridCol w:w="895"/>
        <w:gridCol w:w="1495"/>
        <w:gridCol w:w="1455"/>
        <w:gridCol w:w="1811"/>
        <w:gridCol w:w="5219"/>
        <w:gridCol w:w="243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4" w:type="pct"/>
            <w:tcBorders>
              <w:bottom w:val="single" w:color="auto" w:sz="12" w:space="0"/>
            </w:tcBorders>
            <w:vAlign w:val="center"/>
          </w:tcPr>
          <w:p>
            <w:pPr>
              <w:pStyle w:val="2691"/>
              <w:rPr>
                <w:b/>
                <w:bCs/>
              </w:rPr>
            </w:pPr>
            <w:r>
              <w:rPr>
                <w:b/>
                <w:bCs/>
              </w:rPr>
              <w:t>环境因子</w:t>
            </w:r>
          </w:p>
        </w:tc>
        <w:tc>
          <w:tcPr>
            <w:tcW w:w="315" w:type="pct"/>
            <w:tcBorders>
              <w:bottom w:val="single" w:color="auto" w:sz="12" w:space="0"/>
            </w:tcBorders>
            <w:vAlign w:val="center"/>
          </w:tcPr>
          <w:p>
            <w:pPr>
              <w:pStyle w:val="2691"/>
              <w:rPr>
                <w:b/>
                <w:bCs/>
              </w:rPr>
            </w:pPr>
            <w:r>
              <w:rPr>
                <w:b/>
                <w:bCs/>
              </w:rPr>
              <w:t>类别</w:t>
            </w:r>
          </w:p>
        </w:tc>
        <w:tc>
          <w:tcPr>
            <w:tcW w:w="526" w:type="pct"/>
            <w:tcBorders>
              <w:bottom w:val="single" w:color="auto" w:sz="12" w:space="0"/>
            </w:tcBorders>
            <w:vAlign w:val="center"/>
          </w:tcPr>
          <w:p>
            <w:pPr>
              <w:pStyle w:val="2691"/>
              <w:rPr>
                <w:b/>
                <w:bCs/>
              </w:rPr>
            </w:pPr>
            <w:r>
              <w:rPr>
                <w:b/>
                <w:bCs/>
              </w:rPr>
              <w:t>敏感目标</w:t>
            </w:r>
          </w:p>
        </w:tc>
        <w:tc>
          <w:tcPr>
            <w:tcW w:w="512" w:type="pct"/>
            <w:tcBorders>
              <w:bottom w:val="single" w:color="auto" w:sz="12" w:space="0"/>
            </w:tcBorders>
            <w:vAlign w:val="center"/>
          </w:tcPr>
          <w:p>
            <w:pPr>
              <w:pStyle w:val="2691"/>
              <w:rPr>
                <w:b/>
                <w:bCs/>
              </w:rPr>
            </w:pPr>
            <w:r>
              <w:rPr>
                <w:b/>
                <w:bCs/>
              </w:rPr>
              <w:t>级别</w:t>
            </w:r>
          </w:p>
        </w:tc>
        <w:tc>
          <w:tcPr>
            <w:tcW w:w="637" w:type="pct"/>
            <w:tcBorders>
              <w:bottom w:val="single" w:color="auto" w:sz="12" w:space="0"/>
            </w:tcBorders>
            <w:vAlign w:val="center"/>
          </w:tcPr>
          <w:p>
            <w:pPr>
              <w:pStyle w:val="2691"/>
              <w:rPr>
                <w:b/>
                <w:bCs/>
              </w:rPr>
            </w:pPr>
            <w:r>
              <w:rPr>
                <w:b/>
                <w:bCs/>
              </w:rPr>
              <w:t>面积/数量</w:t>
            </w:r>
          </w:p>
        </w:tc>
        <w:tc>
          <w:tcPr>
            <w:tcW w:w="1836" w:type="pct"/>
            <w:tcBorders>
              <w:bottom w:val="single" w:color="auto" w:sz="12" w:space="0"/>
            </w:tcBorders>
            <w:vAlign w:val="center"/>
          </w:tcPr>
          <w:p>
            <w:pPr>
              <w:pStyle w:val="2691"/>
              <w:rPr>
                <w:b/>
                <w:bCs/>
              </w:rPr>
            </w:pPr>
            <w:r>
              <w:rPr>
                <w:b/>
                <w:bCs/>
              </w:rPr>
              <w:t>保护类别/对象</w:t>
            </w:r>
          </w:p>
        </w:tc>
        <w:tc>
          <w:tcPr>
            <w:tcW w:w="858" w:type="pct"/>
            <w:tcBorders>
              <w:bottom w:val="single" w:color="auto" w:sz="12" w:space="0"/>
            </w:tcBorders>
            <w:vAlign w:val="center"/>
          </w:tcPr>
          <w:p>
            <w:pPr>
              <w:pStyle w:val="2691"/>
              <w:rPr>
                <w:b/>
                <w:bCs/>
              </w:rPr>
            </w:pPr>
            <w:r>
              <w:rPr>
                <w:rFonts w:hint="eastAsia"/>
                <w:b/>
                <w:bCs/>
              </w:rPr>
              <w:t>与工程相对位置关系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314" w:type="pct"/>
            <w:vMerge w:val="restart"/>
            <w:tcBorders>
              <w:top w:val="single" w:color="auto" w:sz="12" w:space="0"/>
              <w:tl2br w:val="nil"/>
              <w:tr2bl w:val="nil"/>
            </w:tcBorders>
            <w:vAlign w:val="center"/>
          </w:tcPr>
          <w:p>
            <w:pPr>
              <w:pStyle w:val="2691"/>
            </w:pPr>
            <w:r>
              <w:t>生态环境</w:t>
            </w:r>
          </w:p>
        </w:tc>
        <w:tc>
          <w:tcPr>
            <w:tcW w:w="315" w:type="pct"/>
            <w:tcBorders>
              <w:top w:val="single" w:color="auto" w:sz="12" w:space="0"/>
              <w:tl2br w:val="nil"/>
              <w:tr2bl w:val="nil"/>
            </w:tcBorders>
            <w:vAlign w:val="center"/>
          </w:tcPr>
          <w:p>
            <w:pPr>
              <w:pStyle w:val="2691"/>
            </w:pPr>
            <w:r>
              <w:rPr>
                <w:rFonts w:hint="eastAsia"/>
              </w:rPr>
              <w:t>陆生生态</w:t>
            </w:r>
          </w:p>
        </w:tc>
        <w:tc>
          <w:tcPr>
            <w:tcW w:w="526" w:type="pct"/>
            <w:tcBorders>
              <w:top w:val="single" w:color="auto" w:sz="12" w:space="0"/>
              <w:tl2br w:val="nil"/>
              <w:tr2bl w:val="nil"/>
            </w:tcBorders>
            <w:vAlign w:val="center"/>
          </w:tcPr>
          <w:p>
            <w:pPr>
              <w:pStyle w:val="2691"/>
            </w:pPr>
            <w:r>
              <w:rPr>
                <w:rFonts w:hint="eastAsia"/>
              </w:rPr>
              <w:t>/</w:t>
            </w:r>
          </w:p>
        </w:tc>
        <w:tc>
          <w:tcPr>
            <w:tcW w:w="512" w:type="pct"/>
            <w:tcBorders>
              <w:top w:val="single" w:color="auto" w:sz="12" w:space="0"/>
              <w:tl2br w:val="nil"/>
              <w:tr2bl w:val="nil"/>
            </w:tcBorders>
            <w:vAlign w:val="center"/>
          </w:tcPr>
          <w:p>
            <w:pPr>
              <w:pStyle w:val="2691"/>
            </w:pPr>
            <w:r>
              <w:rPr>
                <w:rFonts w:hint="eastAsia"/>
              </w:rPr>
              <w:t>/</w:t>
            </w:r>
          </w:p>
        </w:tc>
        <w:tc>
          <w:tcPr>
            <w:tcW w:w="637" w:type="pct"/>
            <w:tcBorders>
              <w:top w:val="single" w:color="auto" w:sz="12" w:space="0"/>
              <w:tl2br w:val="nil"/>
              <w:tr2bl w:val="nil"/>
            </w:tcBorders>
            <w:vAlign w:val="center"/>
          </w:tcPr>
          <w:p>
            <w:pPr>
              <w:pStyle w:val="2691"/>
            </w:pPr>
            <w:r>
              <w:rPr>
                <w:rFonts w:hint="eastAsia"/>
              </w:rPr>
              <w:t>/</w:t>
            </w:r>
          </w:p>
        </w:tc>
        <w:tc>
          <w:tcPr>
            <w:tcW w:w="1836" w:type="pct"/>
            <w:tcBorders>
              <w:top w:val="single" w:color="auto" w:sz="12" w:space="0"/>
              <w:tl2br w:val="nil"/>
              <w:tr2bl w:val="nil"/>
            </w:tcBorders>
            <w:vAlign w:val="center"/>
          </w:tcPr>
          <w:p>
            <w:pPr>
              <w:pStyle w:val="2691"/>
            </w:pPr>
            <w:r>
              <w:t>野生动植物资源植被类型单一，主要以常见的人工植被意杨为主，另外还有大量的灌草丛；野生动物较少，多为鸟类、蛇类、青蛙、鼠类等常见物种，无珍稀濒危物种</w:t>
            </w:r>
          </w:p>
        </w:tc>
        <w:tc>
          <w:tcPr>
            <w:tcW w:w="858" w:type="pct"/>
            <w:tcBorders>
              <w:top w:val="single" w:color="auto" w:sz="12" w:space="0"/>
              <w:tl2br w:val="nil"/>
              <w:tr2bl w:val="nil"/>
            </w:tcBorders>
            <w:vAlign w:val="center"/>
          </w:tcPr>
          <w:p>
            <w:pPr>
              <w:pStyle w:val="2691"/>
            </w:pPr>
            <w:r>
              <w:t>分布于码头作业区边缘影响区域内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314" w:type="pct"/>
            <w:vMerge w:val="continue"/>
            <w:tcBorders>
              <w:tl2br w:val="nil"/>
              <w:tr2bl w:val="nil"/>
            </w:tcBorders>
            <w:vAlign w:val="center"/>
          </w:tcPr>
          <w:p>
            <w:pPr>
              <w:pStyle w:val="2691"/>
            </w:pPr>
          </w:p>
        </w:tc>
        <w:tc>
          <w:tcPr>
            <w:tcW w:w="315" w:type="pct"/>
            <w:vMerge w:val="restart"/>
            <w:tcBorders>
              <w:tl2br w:val="nil"/>
              <w:tr2bl w:val="nil"/>
            </w:tcBorders>
            <w:vAlign w:val="center"/>
          </w:tcPr>
          <w:p>
            <w:pPr>
              <w:pStyle w:val="2691"/>
            </w:pPr>
            <w:r>
              <w:t>水生</w:t>
            </w:r>
            <w:r>
              <w:rPr>
                <w:rFonts w:hint="eastAsia"/>
              </w:rPr>
              <w:t>生态</w:t>
            </w:r>
          </w:p>
        </w:tc>
        <w:tc>
          <w:tcPr>
            <w:tcW w:w="526" w:type="pct"/>
            <w:tcBorders>
              <w:tl2br w:val="nil"/>
              <w:tr2bl w:val="nil"/>
            </w:tcBorders>
            <w:vAlign w:val="center"/>
          </w:tcPr>
          <w:p>
            <w:pPr>
              <w:pStyle w:val="2691"/>
            </w:pPr>
            <w:r>
              <w:rPr>
                <w:rFonts w:hint="eastAsia"/>
              </w:rPr>
              <w:t>/</w:t>
            </w:r>
          </w:p>
        </w:tc>
        <w:tc>
          <w:tcPr>
            <w:tcW w:w="512" w:type="pct"/>
            <w:tcBorders>
              <w:tl2br w:val="nil"/>
              <w:tr2bl w:val="nil"/>
            </w:tcBorders>
            <w:vAlign w:val="center"/>
          </w:tcPr>
          <w:p>
            <w:pPr>
              <w:pStyle w:val="2691"/>
            </w:pPr>
            <w:r>
              <w:rPr>
                <w:rFonts w:hint="eastAsia"/>
              </w:rPr>
              <w:t>/</w:t>
            </w:r>
          </w:p>
        </w:tc>
        <w:tc>
          <w:tcPr>
            <w:tcW w:w="637" w:type="pct"/>
            <w:tcBorders>
              <w:tl2br w:val="nil"/>
              <w:tr2bl w:val="nil"/>
            </w:tcBorders>
            <w:vAlign w:val="center"/>
          </w:tcPr>
          <w:p>
            <w:pPr>
              <w:pStyle w:val="2691"/>
            </w:pPr>
            <w:r>
              <w:rPr>
                <w:rFonts w:hint="eastAsia"/>
              </w:rPr>
              <w:t>/</w:t>
            </w:r>
          </w:p>
        </w:tc>
        <w:tc>
          <w:tcPr>
            <w:tcW w:w="1836" w:type="pct"/>
            <w:tcBorders>
              <w:tl2br w:val="nil"/>
              <w:tr2bl w:val="nil"/>
            </w:tcBorders>
            <w:vAlign w:val="center"/>
          </w:tcPr>
          <w:p>
            <w:pPr>
              <w:pStyle w:val="2691"/>
            </w:pPr>
            <w:r>
              <w:t>水生生物丰富，浮游植物有64种，浮游动物有58种，底栖动物约有20种。有鱼类115种，是淡水鱼类主要集散地，且洄游性鱼类较多，其他水生动物有软体类、甲壳类、爬行类等，珍稀保护物种有中华鲟、白鲟、</w:t>
            </w:r>
            <w:r>
              <w:rPr>
                <w:rFonts w:hint="eastAsia"/>
                <w:lang w:val="en-US" w:eastAsia="zh-CN"/>
              </w:rPr>
              <w:t>长江</w:t>
            </w:r>
            <w:r>
              <w:t>江豚、长江鲟、白鱀豚、胭脂鱼、铜鱼、短颌鲚等，评价区江段</w:t>
            </w:r>
            <w:r>
              <w:rPr>
                <w:rFonts w:cs="Times New Roman"/>
              </w:rPr>
              <w:t>涉及水生重要物种中华鲟（国家一级保护）</w:t>
            </w:r>
            <w:r>
              <w:rPr>
                <w:rFonts w:hint="eastAsia" w:cs="Times New Roman"/>
                <w:lang w:eastAsia="zh-CN"/>
              </w:rPr>
              <w:t>等鱼类</w:t>
            </w:r>
            <w:r>
              <w:rPr>
                <w:rFonts w:cs="Times New Roman"/>
              </w:rPr>
              <w:t>的洄游通道</w:t>
            </w:r>
          </w:p>
        </w:tc>
        <w:tc>
          <w:tcPr>
            <w:tcW w:w="858" w:type="pct"/>
            <w:tcBorders>
              <w:tl2br w:val="nil"/>
              <w:tr2bl w:val="nil"/>
            </w:tcBorders>
            <w:vAlign w:val="center"/>
          </w:tcPr>
          <w:p>
            <w:pPr>
              <w:pStyle w:val="2691"/>
            </w:pPr>
            <w:r>
              <w:t>评价</w:t>
            </w:r>
            <w:r>
              <w:rPr>
                <w:rFonts w:hint="eastAsia"/>
              </w:rPr>
              <w:t>范围内</w:t>
            </w:r>
            <w:r>
              <w:t>长江江段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314" w:type="pct"/>
            <w:vMerge w:val="continue"/>
            <w:tcBorders>
              <w:tl2br w:val="nil"/>
              <w:tr2bl w:val="nil"/>
            </w:tcBorders>
            <w:vAlign w:val="center"/>
          </w:tcPr>
          <w:p>
            <w:pPr>
              <w:pStyle w:val="2691"/>
            </w:pPr>
          </w:p>
        </w:tc>
        <w:tc>
          <w:tcPr>
            <w:tcW w:w="315" w:type="pct"/>
            <w:vMerge w:val="continue"/>
            <w:tcBorders>
              <w:tl2br w:val="nil"/>
              <w:tr2bl w:val="nil"/>
            </w:tcBorders>
            <w:vAlign w:val="center"/>
          </w:tcPr>
          <w:p>
            <w:pPr>
              <w:pStyle w:val="2691"/>
            </w:pPr>
          </w:p>
        </w:tc>
        <w:tc>
          <w:tcPr>
            <w:tcW w:w="526" w:type="pct"/>
            <w:vMerge w:val="restart"/>
            <w:tcBorders>
              <w:tl2br w:val="nil"/>
              <w:tr2bl w:val="nil"/>
            </w:tcBorders>
            <w:vAlign w:val="center"/>
          </w:tcPr>
          <w:p>
            <w:pPr>
              <w:pStyle w:val="2691"/>
            </w:pPr>
            <w:r>
              <w:t>重点保护水生野生动物</w:t>
            </w:r>
          </w:p>
        </w:tc>
        <w:tc>
          <w:tcPr>
            <w:tcW w:w="512" w:type="pct"/>
            <w:tcBorders>
              <w:tl2br w:val="nil"/>
              <w:tr2bl w:val="nil"/>
            </w:tcBorders>
            <w:vAlign w:val="center"/>
          </w:tcPr>
          <w:p>
            <w:pPr>
              <w:pStyle w:val="2691"/>
            </w:pPr>
            <w:r>
              <w:t>国家一级</w:t>
            </w:r>
          </w:p>
        </w:tc>
        <w:tc>
          <w:tcPr>
            <w:tcW w:w="637" w:type="pct"/>
            <w:tcBorders>
              <w:tl2br w:val="nil"/>
              <w:tr2bl w:val="nil"/>
            </w:tcBorders>
            <w:vAlign w:val="center"/>
          </w:tcPr>
          <w:p>
            <w:pPr>
              <w:pStyle w:val="2691"/>
            </w:pPr>
            <w:r>
              <w:t>6种</w:t>
            </w:r>
          </w:p>
        </w:tc>
        <w:tc>
          <w:tcPr>
            <w:tcW w:w="1836" w:type="pct"/>
            <w:tcBorders>
              <w:tl2br w:val="nil"/>
              <w:tr2bl w:val="nil"/>
            </w:tcBorders>
            <w:vAlign w:val="center"/>
          </w:tcPr>
          <w:p>
            <w:pPr>
              <w:pStyle w:val="2691"/>
            </w:pPr>
            <w:r>
              <w:t>长江江豚、白鲟、中华鲟、长江鲟、鲥、圆口铜鱼</w:t>
            </w:r>
          </w:p>
        </w:tc>
        <w:tc>
          <w:tcPr>
            <w:tcW w:w="858" w:type="pct"/>
            <w:vMerge w:val="restart"/>
            <w:tcBorders>
              <w:tl2br w:val="nil"/>
              <w:tr2bl w:val="nil"/>
            </w:tcBorders>
            <w:vAlign w:val="center"/>
          </w:tcPr>
          <w:p>
            <w:pPr>
              <w:pStyle w:val="2691"/>
            </w:pPr>
            <w:r>
              <w:t>评价</w:t>
            </w:r>
            <w:r>
              <w:rPr>
                <w:rFonts w:hint="eastAsia"/>
              </w:rPr>
              <w:t>范围内</w:t>
            </w:r>
            <w:r>
              <w:t>长江江段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8" w:hRule="atLeast"/>
          <w:jc w:val="center"/>
        </w:trPr>
        <w:tc>
          <w:tcPr>
            <w:tcW w:w="314" w:type="pct"/>
            <w:vMerge w:val="continue"/>
            <w:tcBorders>
              <w:tl2br w:val="nil"/>
              <w:tr2bl w:val="nil"/>
            </w:tcBorders>
            <w:vAlign w:val="center"/>
          </w:tcPr>
          <w:p>
            <w:pPr>
              <w:pStyle w:val="2691"/>
            </w:pPr>
          </w:p>
        </w:tc>
        <w:tc>
          <w:tcPr>
            <w:tcW w:w="315" w:type="pct"/>
            <w:vMerge w:val="continue"/>
            <w:tcBorders>
              <w:tl2br w:val="nil"/>
              <w:tr2bl w:val="nil"/>
            </w:tcBorders>
            <w:vAlign w:val="center"/>
          </w:tcPr>
          <w:p>
            <w:pPr>
              <w:pStyle w:val="2691"/>
            </w:pPr>
          </w:p>
        </w:tc>
        <w:tc>
          <w:tcPr>
            <w:tcW w:w="526" w:type="pct"/>
            <w:vMerge w:val="continue"/>
            <w:tcBorders>
              <w:tl2br w:val="nil"/>
              <w:tr2bl w:val="nil"/>
            </w:tcBorders>
            <w:vAlign w:val="center"/>
          </w:tcPr>
          <w:p>
            <w:pPr>
              <w:pStyle w:val="2691"/>
            </w:pPr>
          </w:p>
        </w:tc>
        <w:tc>
          <w:tcPr>
            <w:tcW w:w="512" w:type="pct"/>
            <w:tcBorders>
              <w:tl2br w:val="nil"/>
              <w:tr2bl w:val="nil"/>
            </w:tcBorders>
            <w:vAlign w:val="center"/>
          </w:tcPr>
          <w:p>
            <w:pPr>
              <w:pStyle w:val="2691"/>
            </w:pPr>
            <w:r>
              <w:t>国家二级</w:t>
            </w:r>
          </w:p>
        </w:tc>
        <w:tc>
          <w:tcPr>
            <w:tcW w:w="637" w:type="pct"/>
            <w:tcBorders>
              <w:tl2br w:val="nil"/>
              <w:tr2bl w:val="nil"/>
            </w:tcBorders>
            <w:vAlign w:val="center"/>
          </w:tcPr>
          <w:p>
            <w:pPr>
              <w:pStyle w:val="2691"/>
            </w:pPr>
            <w:r>
              <w:t>7种</w:t>
            </w:r>
          </w:p>
        </w:tc>
        <w:tc>
          <w:tcPr>
            <w:tcW w:w="1836" w:type="pct"/>
            <w:tcBorders>
              <w:tl2br w:val="nil"/>
              <w:tr2bl w:val="nil"/>
            </w:tcBorders>
            <w:vAlign w:val="center"/>
          </w:tcPr>
          <w:p>
            <w:pPr>
              <w:pStyle w:val="2691"/>
            </w:pPr>
            <w:r>
              <w:t>胭脂鱼、长薄鳅、红唇薄鳅、鯮、长鳍吻鮈、多鳞白甲鱼、岩原鲤</w:t>
            </w:r>
          </w:p>
        </w:tc>
        <w:tc>
          <w:tcPr>
            <w:tcW w:w="858" w:type="pct"/>
            <w:vMerge w:val="continue"/>
            <w:tcBorders>
              <w:tl2br w:val="nil"/>
              <w:tr2bl w:val="nil"/>
            </w:tcBorders>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314" w:type="pct"/>
            <w:vMerge w:val="continue"/>
            <w:tcBorders>
              <w:tl2br w:val="nil"/>
              <w:tr2bl w:val="nil"/>
            </w:tcBorders>
            <w:vAlign w:val="center"/>
          </w:tcPr>
          <w:p>
            <w:pPr>
              <w:pStyle w:val="2691"/>
            </w:pPr>
          </w:p>
        </w:tc>
        <w:tc>
          <w:tcPr>
            <w:tcW w:w="315" w:type="pct"/>
            <w:vMerge w:val="continue"/>
            <w:tcBorders>
              <w:tl2br w:val="nil"/>
              <w:tr2bl w:val="nil"/>
            </w:tcBorders>
            <w:vAlign w:val="center"/>
          </w:tcPr>
          <w:p>
            <w:pPr>
              <w:pStyle w:val="2691"/>
            </w:pPr>
          </w:p>
        </w:tc>
        <w:tc>
          <w:tcPr>
            <w:tcW w:w="526" w:type="pct"/>
            <w:vMerge w:val="continue"/>
            <w:tcBorders>
              <w:tl2br w:val="nil"/>
              <w:tr2bl w:val="nil"/>
            </w:tcBorders>
            <w:vAlign w:val="center"/>
          </w:tcPr>
          <w:p>
            <w:pPr>
              <w:pStyle w:val="2691"/>
            </w:pPr>
          </w:p>
        </w:tc>
        <w:tc>
          <w:tcPr>
            <w:tcW w:w="512" w:type="pct"/>
            <w:tcBorders>
              <w:tl2br w:val="nil"/>
              <w:tr2bl w:val="nil"/>
            </w:tcBorders>
            <w:vAlign w:val="center"/>
          </w:tcPr>
          <w:p>
            <w:pPr>
              <w:pStyle w:val="2691"/>
            </w:pPr>
            <w:r>
              <w:t>湖南省级</w:t>
            </w:r>
          </w:p>
        </w:tc>
        <w:tc>
          <w:tcPr>
            <w:tcW w:w="637" w:type="pct"/>
            <w:tcBorders>
              <w:tl2br w:val="nil"/>
              <w:tr2bl w:val="nil"/>
            </w:tcBorders>
            <w:vAlign w:val="center"/>
          </w:tcPr>
          <w:p>
            <w:pPr>
              <w:pStyle w:val="2691"/>
            </w:pPr>
            <w:r>
              <w:t>12种</w:t>
            </w:r>
          </w:p>
        </w:tc>
        <w:tc>
          <w:tcPr>
            <w:tcW w:w="1836" w:type="pct"/>
            <w:tcBorders>
              <w:tl2br w:val="nil"/>
              <w:tr2bl w:val="nil"/>
            </w:tcBorders>
            <w:vAlign w:val="center"/>
          </w:tcPr>
          <w:p>
            <w:pPr>
              <w:pStyle w:val="2691"/>
            </w:pPr>
            <w:r>
              <w:t>鲥、太湖新银鱼、胭脂鱼、长薄鳅、鯮、鳤、中华倒刺鲃、白甲鱼、瓣结鱼、岩原鲤、胡子鲇、月鳢</w:t>
            </w:r>
          </w:p>
        </w:tc>
        <w:tc>
          <w:tcPr>
            <w:tcW w:w="858" w:type="pct"/>
            <w:vMerge w:val="continue"/>
            <w:tcBorders>
              <w:tl2br w:val="nil"/>
              <w:tr2bl w:val="nil"/>
            </w:tcBorders>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4" w:type="pct"/>
            <w:vMerge w:val="continue"/>
            <w:tcBorders>
              <w:tl2br w:val="nil"/>
              <w:tr2bl w:val="nil"/>
            </w:tcBorders>
            <w:vAlign w:val="center"/>
          </w:tcPr>
          <w:p>
            <w:pPr>
              <w:pStyle w:val="2691"/>
            </w:pPr>
          </w:p>
        </w:tc>
        <w:tc>
          <w:tcPr>
            <w:tcW w:w="315" w:type="pct"/>
            <w:vMerge w:val="restart"/>
            <w:tcBorders>
              <w:tl2br w:val="nil"/>
              <w:tr2bl w:val="nil"/>
            </w:tcBorders>
            <w:vAlign w:val="center"/>
          </w:tcPr>
          <w:p>
            <w:pPr>
              <w:pStyle w:val="2691"/>
            </w:pPr>
            <w:r>
              <w:t>生态敏感区</w:t>
            </w:r>
          </w:p>
        </w:tc>
        <w:tc>
          <w:tcPr>
            <w:tcW w:w="526" w:type="pct"/>
            <w:tcBorders>
              <w:tl2br w:val="nil"/>
              <w:tr2bl w:val="nil"/>
            </w:tcBorders>
            <w:vAlign w:val="center"/>
          </w:tcPr>
          <w:p>
            <w:pPr>
              <w:pStyle w:val="2691"/>
            </w:pPr>
            <w:r>
              <w:t>洞庭湖口铜鱼短颌鲚国家级水产种质资源保护区</w:t>
            </w:r>
          </w:p>
        </w:tc>
        <w:tc>
          <w:tcPr>
            <w:tcW w:w="512" w:type="pct"/>
            <w:tcBorders>
              <w:tl2br w:val="nil"/>
              <w:tr2bl w:val="nil"/>
            </w:tcBorders>
            <w:vAlign w:val="center"/>
          </w:tcPr>
          <w:p>
            <w:pPr>
              <w:pStyle w:val="2691"/>
            </w:pPr>
            <w:r>
              <w:t>国家级</w:t>
            </w:r>
          </w:p>
        </w:tc>
        <w:tc>
          <w:tcPr>
            <w:tcW w:w="637" w:type="pct"/>
            <w:tcBorders>
              <w:tl2br w:val="nil"/>
              <w:tr2bl w:val="nil"/>
            </w:tcBorders>
            <w:vAlign w:val="center"/>
          </w:tcPr>
          <w:p>
            <w:pPr>
              <w:pStyle w:val="2691"/>
            </w:pPr>
            <w:r>
              <w:t>保护区面积1500公顷，工程水工设施位于保护区实验区内</w:t>
            </w:r>
          </w:p>
        </w:tc>
        <w:tc>
          <w:tcPr>
            <w:tcW w:w="1836" w:type="pct"/>
            <w:tcBorders>
              <w:tl2br w:val="nil"/>
              <w:tr2bl w:val="nil"/>
            </w:tcBorders>
            <w:vAlign w:val="center"/>
          </w:tcPr>
          <w:p>
            <w:pPr>
              <w:pStyle w:val="2691"/>
            </w:pPr>
            <w:r>
              <w:rPr>
                <w:rFonts w:hint="eastAsia"/>
              </w:rPr>
              <w:t>主要保护对象为铜鱼、短颌鲚，其他保护物种还有青鱼、草鱼、鲢、鳙、鱤、鳤、鯮等江河半洄游性鱼类。距离工程最近的产粘砾石基质卵鱼类产卵场位于迈江洲，距离工程上游约2km</w:t>
            </w:r>
          </w:p>
        </w:tc>
        <w:tc>
          <w:tcPr>
            <w:tcW w:w="858" w:type="pct"/>
            <w:tcBorders>
              <w:tl2br w:val="nil"/>
              <w:tr2bl w:val="nil"/>
            </w:tcBorders>
            <w:vAlign w:val="center"/>
          </w:tcPr>
          <w:p>
            <w:pPr>
              <w:pStyle w:val="2691"/>
            </w:pPr>
            <w:r>
              <w:t>本项目位于该水产种质自然保护区的实验区内，见附图1</w:t>
            </w:r>
            <w:r>
              <w:rPr>
                <w:rFonts w:hint="eastAsia"/>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4" w:type="pct"/>
            <w:vMerge w:val="continue"/>
            <w:tcBorders>
              <w:tl2br w:val="nil"/>
              <w:tr2bl w:val="nil"/>
            </w:tcBorders>
            <w:vAlign w:val="center"/>
          </w:tcPr>
          <w:p>
            <w:pPr>
              <w:pStyle w:val="2691"/>
            </w:pPr>
          </w:p>
        </w:tc>
        <w:tc>
          <w:tcPr>
            <w:tcW w:w="315" w:type="pct"/>
            <w:vMerge w:val="continue"/>
            <w:tcBorders>
              <w:tl2br w:val="nil"/>
              <w:tr2bl w:val="nil"/>
            </w:tcBorders>
            <w:vAlign w:val="center"/>
          </w:tcPr>
          <w:p>
            <w:pPr>
              <w:pStyle w:val="2691"/>
            </w:pPr>
          </w:p>
        </w:tc>
        <w:tc>
          <w:tcPr>
            <w:tcW w:w="526" w:type="pct"/>
            <w:tcBorders>
              <w:tl2br w:val="nil"/>
              <w:tr2bl w:val="nil"/>
            </w:tcBorders>
            <w:vAlign w:val="center"/>
          </w:tcPr>
          <w:p>
            <w:pPr>
              <w:pStyle w:val="2691"/>
            </w:pPr>
            <w:r>
              <w:t>湖南东洞庭湖国家级自然保护区</w:t>
            </w:r>
          </w:p>
        </w:tc>
        <w:tc>
          <w:tcPr>
            <w:tcW w:w="512" w:type="pct"/>
            <w:tcBorders>
              <w:tl2br w:val="nil"/>
              <w:tr2bl w:val="nil"/>
            </w:tcBorders>
            <w:vAlign w:val="center"/>
          </w:tcPr>
          <w:p>
            <w:pPr>
              <w:pStyle w:val="2691"/>
            </w:pPr>
            <w:r>
              <w:t>国家级</w:t>
            </w:r>
          </w:p>
        </w:tc>
        <w:tc>
          <w:tcPr>
            <w:tcW w:w="637" w:type="pct"/>
            <w:tcBorders>
              <w:tl2br w:val="nil"/>
              <w:tr2bl w:val="nil"/>
            </w:tcBorders>
            <w:vAlign w:val="center"/>
          </w:tcPr>
          <w:p>
            <w:pPr>
              <w:pStyle w:val="2691"/>
            </w:pPr>
            <w:r>
              <w:t>总面积15.69万hm</w:t>
            </w:r>
            <w:r>
              <w:rPr>
                <w:vertAlign w:val="superscript"/>
              </w:rPr>
              <w:t>2</w:t>
            </w:r>
            <w:r>
              <w:t>，其中水域面积6.54万hm</w:t>
            </w:r>
            <w:r>
              <w:rPr>
                <w:vertAlign w:val="superscript"/>
              </w:rPr>
              <w:t>2</w:t>
            </w:r>
            <w:r>
              <w:t>，核心区面积2.9万hm</w:t>
            </w:r>
            <w:r>
              <w:rPr>
                <w:vertAlign w:val="superscript"/>
              </w:rPr>
              <w:t>2</w:t>
            </w:r>
            <w:r>
              <w:t>。</w:t>
            </w:r>
          </w:p>
        </w:tc>
        <w:tc>
          <w:tcPr>
            <w:tcW w:w="1836" w:type="pct"/>
            <w:tcBorders>
              <w:tl2br w:val="nil"/>
              <w:tr2bl w:val="nil"/>
            </w:tcBorders>
            <w:vAlign w:val="center"/>
          </w:tcPr>
          <w:p>
            <w:pPr>
              <w:pStyle w:val="2691"/>
            </w:pPr>
            <w:r>
              <w:t>保护区内有鸟类303种，鱼类114种，水生动物68种，水生植物近400种，国家重点保护的水生哺乳动物江豚和白豚2种，其中国家一级保护鸟类7种、鱼类2种、水生哺乳动物1种、保护植物3种。国家二级保护鸟类37种、鱼类3种、水生哺乳动物1种。主要保护对象为：湿地生态系统和生物多样性；珍稀濒危水禽；自然生态环境和自然资源；自然、人文景观等</w:t>
            </w:r>
          </w:p>
        </w:tc>
        <w:tc>
          <w:tcPr>
            <w:tcW w:w="858" w:type="pct"/>
            <w:tcBorders>
              <w:tl2br w:val="nil"/>
              <w:tr2bl w:val="nil"/>
            </w:tcBorders>
            <w:vAlign w:val="center"/>
          </w:tcPr>
          <w:p>
            <w:pPr>
              <w:pStyle w:val="2691"/>
              <w:rPr>
                <w:rFonts w:hint="eastAsia" w:eastAsia="宋体"/>
                <w:lang w:eastAsia="zh-CN"/>
              </w:rPr>
            </w:pPr>
            <w:r>
              <w:rPr>
                <w:highlight w:val="none"/>
              </w:rPr>
              <w:t>本项目位于保护区范围外，项目与自然保护区最近的为实验区，与实验区</w:t>
            </w:r>
            <w:r>
              <w:rPr>
                <w:rFonts w:hint="eastAsia"/>
                <w:highlight w:val="none"/>
              </w:rPr>
              <w:t>边界最近距离约1</w:t>
            </w:r>
            <w:r>
              <w:rPr>
                <w:highlight w:val="none"/>
              </w:rPr>
              <w:t>40</w:t>
            </w:r>
            <w:r>
              <w:rPr>
                <w:rFonts w:hint="eastAsia"/>
                <w:highlight w:val="none"/>
              </w:rPr>
              <w:t>m</w:t>
            </w:r>
            <w:r>
              <w:rPr>
                <w:highlight w:val="none"/>
              </w:rPr>
              <w:t>，见附图1</w:t>
            </w:r>
            <w:r>
              <w:rPr>
                <w:rFonts w:hint="eastAsia"/>
                <w:highlight w:val="none"/>
                <w:lang w:val="en-US" w:eastAsia="zh-CN"/>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4" w:type="pct"/>
            <w:vMerge w:val="continue"/>
            <w:tcBorders>
              <w:tl2br w:val="nil"/>
              <w:tr2bl w:val="nil"/>
            </w:tcBorders>
            <w:vAlign w:val="center"/>
          </w:tcPr>
          <w:p>
            <w:pPr>
              <w:pStyle w:val="2691"/>
            </w:pPr>
          </w:p>
        </w:tc>
        <w:tc>
          <w:tcPr>
            <w:tcW w:w="315" w:type="pct"/>
            <w:vMerge w:val="continue"/>
            <w:tcBorders>
              <w:tl2br w:val="nil"/>
              <w:tr2bl w:val="nil"/>
            </w:tcBorders>
            <w:vAlign w:val="center"/>
          </w:tcPr>
          <w:p>
            <w:pPr>
              <w:pStyle w:val="2691"/>
            </w:pPr>
          </w:p>
        </w:tc>
        <w:tc>
          <w:tcPr>
            <w:tcW w:w="526" w:type="pct"/>
            <w:tcBorders>
              <w:tl2br w:val="nil"/>
              <w:tr2bl w:val="nil"/>
            </w:tcBorders>
            <w:vAlign w:val="center"/>
          </w:tcPr>
          <w:p>
            <w:pPr>
              <w:pStyle w:val="2691"/>
            </w:pPr>
            <w:r>
              <w:t>长江监利段四大家鱼国家级水产种质资源保护区</w:t>
            </w:r>
          </w:p>
        </w:tc>
        <w:tc>
          <w:tcPr>
            <w:tcW w:w="512" w:type="pct"/>
            <w:tcBorders>
              <w:tl2br w:val="nil"/>
              <w:tr2bl w:val="nil"/>
            </w:tcBorders>
            <w:vAlign w:val="center"/>
          </w:tcPr>
          <w:p>
            <w:pPr>
              <w:pStyle w:val="2691"/>
            </w:pPr>
            <w:r>
              <w:t>国家级</w:t>
            </w:r>
          </w:p>
        </w:tc>
        <w:tc>
          <w:tcPr>
            <w:tcW w:w="637" w:type="pct"/>
            <w:tcBorders>
              <w:tl2br w:val="nil"/>
              <w:tr2bl w:val="nil"/>
            </w:tcBorders>
            <w:vAlign w:val="center"/>
          </w:tcPr>
          <w:p>
            <w:pPr>
              <w:pStyle w:val="2691"/>
            </w:pPr>
            <w:r>
              <w:t>保护区</w:t>
            </w:r>
            <w:r>
              <w:rPr>
                <w:color w:val="000000" w:themeColor="text1"/>
                <w:kern w:val="0"/>
                <w14:textFill>
                  <w14:solidFill>
                    <w14:schemeClr w14:val="tx1"/>
                  </w14:solidFill>
                </w14:textFill>
              </w:rPr>
              <w:t>总面积16707hm</w:t>
            </w:r>
            <w:r>
              <w:rPr>
                <w:color w:val="000000" w:themeColor="text1"/>
                <w:kern w:val="0"/>
                <w:vertAlign w:val="superscript"/>
                <w14:textFill>
                  <w14:solidFill>
                    <w14:schemeClr w14:val="tx1"/>
                  </w14:solidFill>
                </w14:textFill>
              </w:rPr>
              <w:t>2</w:t>
            </w:r>
            <w:r>
              <w:rPr>
                <w:color w:val="000000" w:themeColor="text1"/>
                <w:kern w:val="0"/>
                <w14:textFill>
                  <w14:solidFill>
                    <w14:schemeClr w14:val="tx1"/>
                  </w14:solidFill>
                </w14:textFill>
              </w:rPr>
              <w:t>，其中核心区面积6674hm</w:t>
            </w:r>
            <w:r>
              <w:rPr>
                <w:color w:val="000000" w:themeColor="text1"/>
                <w:kern w:val="0"/>
                <w:vertAlign w:val="superscript"/>
                <w14:textFill>
                  <w14:solidFill>
                    <w14:schemeClr w14:val="tx1"/>
                  </w14:solidFill>
                </w14:textFill>
              </w:rPr>
              <w:t>2</w:t>
            </w:r>
            <w:r>
              <w:rPr>
                <w:color w:val="000000" w:themeColor="text1"/>
                <w:kern w:val="0"/>
                <w14:textFill>
                  <w14:solidFill>
                    <w14:schemeClr w14:val="tx1"/>
                  </w14:solidFill>
                </w14:textFill>
              </w:rPr>
              <w:t>，实验区面积10033hm</w:t>
            </w:r>
            <w:r>
              <w:rPr>
                <w:color w:val="000000" w:themeColor="text1"/>
                <w:kern w:val="0"/>
                <w:vertAlign w:val="superscript"/>
                <w14:textFill>
                  <w14:solidFill>
                    <w14:schemeClr w14:val="tx1"/>
                  </w14:solidFill>
                </w14:textFill>
              </w:rPr>
              <w:t>2</w:t>
            </w:r>
            <w:r>
              <w:rPr>
                <w:color w:val="000000" w:themeColor="text1"/>
                <w:kern w:val="0"/>
                <w14:textFill>
                  <w14:solidFill>
                    <w14:schemeClr w14:val="tx1"/>
                  </w14:solidFill>
                </w14:textFill>
              </w:rPr>
              <w:t>。</w:t>
            </w:r>
          </w:p>
        </w:tc>
        <w:tc>
          <w:tcPr>
            <w:tcW w:w="1836" w:type="pct"/>
            <w:tcBorders>
              <w:tl2br w:val="nil"/>
              <w:tr2bl w:val="nil"/>
            </w:tcBorders>
            <w:vAlign w:val="center"/>
          </w:tcPr>
          <w:p>
            <w:pPr>
              <w:pStyle w:val="2691"/>
            </w:pPr>
            <w:r>
              <w:t>主要保护对象为青鱼、草鱼、鲢、鳙，其他保护对象为团头鲂、翘嘴鲌、鳜等</w:t>
            </w:r>
          </w:p>
        </w:tc>
        <w:tc>
          <w:tcPr>
            <w:tcW w:w="858" w:type="pct"/>
            <w:tcBorders>
              <w:tl2br w:val="nil"/>
              <w:tr2bl w:val="nil"/>
            </w:tcBorders>
            <w:vAlign w:val="center"/>
          </w:tcPr>
          <w:p>
            <w:pPr>
              <w:pStyle w:val="2691"/>
            </w:pPr>
            <w:r>
              <w:rPr>
                <w:rFonts w:hint="eastAsia"/>
              </w:rPr>
              <w:t>本项目位于该水产种质自然保护区范围外，项目与水产种质资源保护区最近的为实验区，与实验区上游边界最近距离约</w:t>
            </w:r>
            <w:r>
              <w:t>52</w:t>
            </w:r>
            <w:r>
              <w:rPr>
                <w:rFonts w:hint="eastAsia"/>
              </w:rPr>
              <w:t>m，见附图15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4" w:type="pct"/>
            <w:vMerge w:val="continue"/>
            <w:tcBorders>
              <w:tl2br w:val="nil"/>
              <w:tr2bl w:val="nil"/>
            </w:tcBorders>
            <w:vAlign w:val="center"/>
          </w:tcPr>
          <w:p>
            <w:pPr>
              <w:pStyle w:val="2691"/>
            </w:pPr>
          </w:p>
        </w:tc>
        <w:tc>
          <w:tcPr>
            <w:tcW w:w="315" w:type="pct"/>
            <w:vMerge w:val="continue"/>
            <w:tcBorders>
              <w:tl2br w:val="nil"/>
              <w:tr2bl w:val="nil"/>
            </w:tcBorders>
            <w:vAlign w:val="center"/>
          </w:tcPr>
          <w:p>
            <w:pPr>
              <w:pStyle w:val="2691"/>
            </w:pPr>
          </w:p>
        </w:tc>
        <w:tc>
          <w:tcPr>
            <w:tcW w:w="526" w:type="pct"/>
            <w:tcBorders>
              <w:tl2br w:val="nil"/>
              <w:tr2bl w:val="nil"/>
            </w:tcBorders>
            <w:vAlign w:val="center"/>
          </w:tcPr>
          <w:p>
            <w:pPr>
              <w:pStyle w:val="2691"/>
            </w:pPr>
            <w:r>
              <w:t>湖南云溪白泥湖国家湿地公园</w:t>
            </w:r>
          </w:p>
        </w:tc>
        <w:tc>
          <w:tcPr>
            <w:tcW w:w="512" w:type="pct"/>
            <w:tcBorders>
              <w:tl2br w:val="nil"/>
              <w:tr2bl w:val="nil"/>
            </w:tcBorders>
            <w:vAlign w:val="center"/>
          </w:tcPr>
          <w:p>
            <w:pPr>
              <w:pStyle w:val="2691"/>
            </w:pPr>
            <w:r>
              <w:t>国家级</w:t>
            </w:r>
          </w:p>
        </w:tc>
        <w:tc>
          <w:tcPr>
            <w:tcW w:w="637" w:type="pct"/>
            <w:tcBorders>
              <w:tl2br w:val="nil"/>
              <w:tr2bl w:val="nil"/>
            </w:tcBorders>
            <w:vAlign w:val="center"/>
          </w:tcPr>
          <w:p>
            <w:pPr>
              <w:pStyle w:val="2691"/>
            </w:pPr>
            <w:r>
              <w:t>白泥湖国家湿地公园总面积1195.2 hm</w:t>
            </w:r>
            <w:r>
              <w:rPr>
                <w:vertAlign w:val="superscript"/>
              </w:rPr>
              <w:t>2</w:t>
            </w:r>
            <w:r>
              <w:t>，湿地率达89.95%。</w:t>
            </w:r>
          </w:p>
        </w:tc>
        <w:tc>
          <w:tcPr>
            <w:tcW w:w="1836" w:type="pct"/>
            <w:tcBorders>
              <w:tl2br w:val="nil"/>
              <w:tr2bl w:val="nil"/>
            </w:tcBorders>
            <w:vAlign w:val="center"/>
          </w:tcPr>
          <w:p>
            <w:pPr>
              <w:pStyle w:val="2691"/>
            </w:pPr>
            <w:r>
              <w:t>园内湿地类型多样，有湖泊湿地、沼泽湿地和人工湿地3大湿地类，永久性淡水湖、草本沼泽等6种湿地型，有国家Ⅱ级重点保护野生植物4种，国家Ⅱ级重点保护野生动物7种</w:t>
            </w:r>
          </w:p>
        </w:tc>
        <w:tc>
          <w:tcPr>
            <w:tcW w:w="858" w:type="pct"/>
            <w:tcBorders>
              <w:tl2br w:val="nil"/>
              <w:tr2bl w:val="nil"/>
            </w:tcBorders>
            <w:vAlign w:val="center"/>
          </w:tcPr>
          <w:p>
            <w:pPr>
              <w:pStyle w:val="2691"/>
            </w:pPr>
            <w:r>
              <w:t>本项目位于白泥湖湿地公园范围外，项目与湿地公园边界最近直线距离约4.61km，见附图</w:t>
            </w:r>
            <w:r>
              <w:rPr>
                <w:rFonts w:hint="eastAsia"/>
              </w:rPr>
              <w:t>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4" w:type="pct"/>
            <w:vMerge w:val="continue"/>
            <w:tcBorders>
              <w:tl2br w:val="nil"/>
              <w:tr2bl w:val="nil"/>
            </w:tcBorders>
            <w:vAlign w:val="center"/>
          </w:tcPr>
          <w:p>
            <w:pPr>
              <w:pStyle w:val="2691"/>
            </w:pPr>
          </w:p>
        </w:tc>
        <w:tc>
          <w:tcPr>
            <w:tcW w:w="315" w:type="pct"/>
            <w:vMerge w:val="continue"/>
            <w:tcBorders>
              <w:tl2br w:val="nil"/>
              <w:tr2bl w:val="nil"/>
            </w:tcBorders>
            <w:vAlign w:val="center"/>
          </w:tcPr>
          <w:p>
            <w:pPr>
              <w:pStyle w:val="2691"/>
            </w:pPr>
          </w:p>
        </w:tc>
        <w:tc>
          <w:tcPr>
            <w:tcW w:w="526" w:type="pct"/>
            <w:tcBorders>
              <w:tl2br w:val="nil"/>
              <w:tr2bl w:val="nil"/>
            </w:tcBorders>
            <w:vAlign w:val="center"/>
          </w:tcPr>
          <w:p>
            <w:pPr>
              <w:pStyle w:val="2691"/>
            </w:pPr>
            <w:r>
              <w:t>湖北长江新螺段白鱀豚国家级自然保护区</w:t>
            </w:r>
          </w:p>
        </w:tc>
        <w:tc>
          <w:tcPr>
            <w:tcW w:w="512" w:type="pct"/>
            <w:tcBorders>
              <w:tl2br w:val="nil"/>
              <w:tr2bl w:val="nil"/>
            </w:tcBorders>
            <w:vAlign w:val="center"/>
          </w:tcPr>
          <w:p>
            <w:pPr>
              <w:pStyle w:val="2691"/>
            </w:pPr>
            <w:r>
              <w:t>国家级</w:t>
            </w:r>
          </w:p>
        </w:tc>
        <w:tc>
          <w:tcPr>
            <w:tcW w:w="637" w:type="pct"/>
            <w:tcBorders>
              <w:tl2br w:val="nil"/>
              <w:tr2bl w:val="nil"/>
            </w:tcBorders>
            <w:vAlign w:val="center"/>
          </w:tcPr>
          <w:p>
            <w:pPr>
              <w:pStyle w:val="2691"/>
            </w:pPr>
            <w:r>
              <w:t>地理位置为东经113°07ˊ19″~114°05ˊ12″，北纬29°38ˊ39″~30°05ˊ12″，国土面积41607hm</w:t>
            </w:r>
            <w:r>
              <w:rPr>
                <w:vertAlign w:val="superscript"/>
              </w:rPr>
              <w:t>2</w:t>
            </w:r>
            <w:r>
              <w:t>。</w:t>
            </w:r>
          </w:p>
        </w:tc>
        <w:tc>
          <w:tcPr>
            <w:tcW w:w="1836" w:type="pct"/>
            <w:tcBorders>
              <w:tl2br w:val="nil"/>
              <w:tr2bl w:val="nil"/>
            </w:tcBorders>
            <w:vAlign w:val="center"/>
          </w:tcPr>
          <w:p>
            <w:pPr>
              <w:pStyle w:val="2691"/>
            </w:pPr>
            <w:r>
              <w:t>保护区主要保护对象是国家一级保护野生水生动物白鱀豚</w:t>
            </w:r>
          </w:p>
        </w:tc>
        <w:tc>
          <w:tcPr>
            <w:tcW w:w="858" w:type="pct"/>
            <w:tcBorders>
              <w:tl2br w:val="nil"/>
              <w:tr2bl w:val="nil"/>
            </w:tcBorders>
            <w:vAlign w:val="center"/>
          </w:tcPr>
          <w:p>
            <w:pPr>
              <w:pStyle w:val="2691"/>
            </w:pPr>
            <w:r>
              <w:t>本项目位于白鱀豚国家级自然保护区上游，自然保护区的范围外，项目与自然保护区最近的为实验区，与实验区上边界最近距离约13.6km，见附图</w:t>
            </w:r>
            <w:r>
              <w:rPr>
                <w:rFonts w:hint="eastAsia"/>
              </w:rPr>
              <w:t>18</w:t>
            </w:r>
          </w:p>
        </w:tc>
      </w:tr>
    </w:tbl>
    <w:p>
      <w:pPr>
        <w:pStyle w:val="454"/>
        <w:ind w:firstLine="602"/>
        <w:rPr>
          <w:color w:val="auto"/>
        </w:rPr>
        <w:sectPr>
          <w:pgSz w:w="16838" w:h="11906" w:orient="landscape"/>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454"/>
        <w:ind w:firstLine="602"/>
        <w:rPr>
          <w:color w:val="auto"/>
        </w:rPr>
      </w:pPr>
      <w:r>
        <w:rPr>
          <w:color w:val="auto"/>
        </w:rPr>
        <w:t>环境风险保护目标</w:t>
      </w:r>
    </w:p>
    <w:p>
      <w:pPr>
        <w:ind w:firstLine="480"/>
        <w:rPr>
          <w:lang w:val="zh-CN"/>
        </w:rPr>
      </w:pPr>
      <w:r>
        <w:rPr>
          <w:lang w:val="zh-CN"/>
        </w:rPr>
        <w:t>本项目风险环境保护目标即为地表水保护目标和生态环境保护目标，详见下表。</w:t>
      </w:r>
    </w:p>
    <w:p>
      <w:pPr>
        <w:pStyle w:val="619"/>
        <w:rPr>
          <w:rFonts w:cs="Times New Roman"/>
          <w:lang w:val="zh-CN"/>
        </w:rPr>
      </w:pPr>
      <w:r>
        <w:rPr>
          <w:rFonts w:cs="Times New Roman"/>
        </w:rPr>
        <w:t>评价范围内风险环境保护目标</w:t>
      </w:r>
    </w:p>
    <w:tbl>
      <w:tblPr>
        <w:tblStyle w:val="87"/>
        <w:tblW w:w="501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469"/>
        <w:gridCol w:w="2982"/>
        <w:gridCol w:w="46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805" w:type="pct"/>
            <w:vAlign w:val="center"/>
          </w:tcPr>
          <w:p>
            <w:pPr>
              <w:pStyle w:val="2691"/>
            </w:pPr>
            <w:r>
              <w:t>名称</w:t>
            </w:r>
          </w:p>
        </w:tc>
        <w:tc>
          <w:tcPr>
            <w:tcW w:w="1633" w:type="pct"/>
            <w:vAlign w:val="center"/>
          </w:tcPr>
          <w:p>
            <w:pPr>
              <w:pStyle w:val="2691"/>
            </w:pPr>
            <w:r>
              <w:t>与工程相对位置</w:t>
            </w:r>
          </w:p>
        </w:tc>
        <w:tc>
          <w:tcPr>
            <w:tcW w:w="2561" w:type="pct"/>
            <w:vAlign w:val="center"/>
          </w:tcPr>
          <w:p>
            <w:pPr>
              <w:pStyle w:val="2691"/>
            </w:pPr>
            <w:r>
              <w:t>规模与环境特征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05" w:type="pct"/>
            <w:vAlign w:val="center"/>
          </w:tcPr>
          <w:p>
            <w:pPr>
              <w:pStyle w:val="2691"/>
            </w:pPr>
            <w:r>
              <w:t>长江（岳阳段）</w:t>
            </w:r>
          </w:p>
        </w:tc>
        <w:tc>
          <w:tcPr>
            <w:tcW w:w="1633" w:type="pct"/>
            <w:vAlign w:val="center"/>
          </w:tcPr>
          <w:p>
            <w:pPr>
              <w:pStyle w:val="2691"/>
            </w:pPr>
            <w:r>
              <w:t>西北侧紧邻</w:t>
            </w:r>
          </w:p>
        </w:tc>
        <w:tc>
          <w:tcPr>
            <w:tcW w:w="2561" w:type="pct"/>
            <w:vAlign w:val="center"/>
          </w:tcPr>
          <w:p>
            <w:pPr>
              <w:pStyle w:val="2691"/>
            </w:pPr>
            <w:r>
              <w:t>属大型河流，多年平均流量为20400m</w:t>
            </w:r>
            <w:r>
              <w:rPr>
                <w:vertAlign w:val="superscript"/>
              </w:rPr>
              <w:t>3</w:t>
            </w:r>
            <w:r>
              <w:t>/s，</w:t>
            </w:r>
            <w:r>
              <w:rPr>
                <w:lang w:val="zh-CN"/>
              </w:rPr>
              <w:t>保护目标主要为</w:t>
            </w:r>
            <w:r>
              <w:t>评价区江段四大家鱼产卵场、索饵场、越冬场、洄游通道、珍稀保护物种中华鲟、白鲟、</w:t>
            </w:r>
            <w:r>
              <w:rPr>
                <w:rFonts w:hint="eastAsia"/>
                <w:lang w:val="en-US" w:eastAsia="zh-CN"/>
              </w:rPr>
              <w:t>长江</w:t>
            </w:r>
            <w:r>
              <w:t>江豚、白鱀豚、胭脂鱼、铜鱼、短颌鲚等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05" w:type="pct"/>
            <w:vAlign w:val="center"/>
          </w:tcPr>
          <w:p>
            <w:pPr>
              <w:pStyle w:val="2691"/>
            </w:pPr>
            <w:r>
              <w:t>洞庭湖口铜鱼短颌鲚国家级水产种质资源保护区</w:t>
            </w:r>
          </w:p>
        </w:tc>
        <w:tc>
          <w:tcPr>
            <w:tcW w:w="1633" w:type="pct"/>
            <w:vAlign w:val="center"/>
          </w:tcPr>
          <w:p>
            <w:pPr>
              <w:pStyle w:val="2691"/>
            </w:pPr>
            <w:r>
              <w:t>本项目位于该水产种质自然保护区的实验区内，见附图</w:t>
            </w:r>
            <w:r>
              <w:rPr>
                <w:rFonts w:hint="eastAsia"/>
              </w:rPr>
              <w:t>13</w:t>
            </w:r>
          </w:p>
        </w:tc>
        <w:tc>
          <w:tcPr>
            <w:tcW w:w="2561" w:type="pct"/>
            <w:vAlign w:val="center"/>
          </w:tcPr>
          <w:p>
            <w:pPr>
              <w:pStyle w:val="2691"/>
            </w:pPr>
            <w:r>
              <w:rPr>
                <w:rFonts w:hint="eastAsia"/>
              </w:rPr>
              <w:t>主要保护对象为铜鱼、短颌鲚，其他保护物种还有青鱼、草鱼、鲢、鳙、鱤、鳤、鯮等江河半洄游性鱼类。距离工程最近的产粘砾石基质卵鱼类产卵场位于迈江洲，距离工程上游约2km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483" w:hRule="atLeast"/>
          <w:jc w:val="center"/>
        </w:trPr>
        <w:tc>
          <w:tcPr>
            <w:tcW w:w="805" w:type="pct"/>
            <w:vAlign w:val="center"/>
          </w:tcPr>
          <w:p>
            <w:pPr>
              <w:pStyle w:val="2691"/>
            </w:pPr>
            <w:r>
              <w:rPr>
                <w:rFonts w:hint="eastAsia"/>
              </w:rPr>
              <w:t>长江监利段四大家鱼国家级水产种质资源保护区</w:t>
            </w:r>
          </w:p>
        </w:tc>
        <w:tc>
          <w:tcPr>
            <w:tcW w:w="1633" w:type="pct"/>
            <w:vAlign w:val="center"/>
          </w:tcPr>
          <w:p>
            <w:pPr>
              <w:pStyle w:val="2691"/>
            </w:pPr>
            <w:r>
              <w:rPr>
                <w:rFonts w:hint="eastAsia"/>
              </w:rPr>
              <w:t>本项目位于该水产种质自然保护区范围外，项目与水产种质资源保护区最近的为实验区，与实验区上游边界最近距离约</w:t>
            </w:r>
            <w:r>
              <w:t>52</w:t>
            </w:r>
            <w:r>
              <w:rPr>
                <w:rFonts w:hint="eastAsia"/>
              </w:rPr>
              <w:t>m，见附图15</w:t>
            </w:r>
          </w:p>
        </w:tc>
        <w:tc>
          <w:tcPr>
            <w:tcW w:w="2561" w:type="pct"/>
            <w:vAlign w:val="center"/>
          </w:tcPr>
          <w:p>
            <w:pPr>
              <w:pStyle w:val="2691"/>
            </w:pPr>
            <w:r>
              <w:rPr>
                <w:rFonts w:hint="eastAsia"/>
              </w:rPr>
              <w:t>保护区主要保护对象为青鱼、草鱼、鲢、鳙</w:t>
            </w:r>
            <w:r>
              <w:rPr>
                <w:rFonts w:hint="eastAsia" w:asciiTheme="minorEastAsia" w:hAnsiTheme="minorEastAsia" w:eastAsiaTheme="minorEastAsia"/>
              </w:rPr>
              <w:t>“</w:t>
            </w:r>
            <w:r>
              <w:rPr>
                <w:rFonts w:hint="eastAsia"/>
              </w:rPr>
              <w:t>四大家鱼</w:t>
            </w:r>
            <w:r>
              <w:rPr>
                <w:rFonts w:hint="eastAsia" w:asciiTheme="minorEastAsia" w:hAnsiTheme="minorEastAsia" w:eastAsiaTheme="minorEastAsia"/>
              </w:rPr>
              <w:t>”</w:t>
            </w:r>
            <w:r>
              <w:rPr>
                <w:rFonts w:hint="eastAsia"/>
              </w:rPr>
              <w:t>。不涉及鱼类三场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47" w:hRule="atLeast"/>
          <w:jc w:val="center"/>
        </w:trPr>
        <w:tc>
          <w:tcPr>
            <w:tcW w:w="805" w:type="pct"/>
            <w:vAlign w:val="center"/>
          </w:tcPr>
          <w:p>
            <w:pPr>
              <w:pStyle w:val="2691"/>
            </w:pPr>
            <w:r>
              <w:t>湖南东洞庭湖国家级自然保护区</w:t>
            </w:r>
          </w:p>
        </w:tc>
        <w:tc>
          <w:tcPr>
            <w:tcW w:w="1633" w:type="pct"/>
            <w:vAlign w:val="center"/>
          </w:tcPr>
          <w:p>
            <w:pPr>
              <w:pStyle w:val="2691"/>
            </w:pPr>
            <w:r>
              <w:t>本项目位于东洞庭国家级自然保护区下游，自然保护区的范围外，项目与自然保护区最近的为实验区，与实验区</w:t>
            </w:r>
            <w:r>
              <w:rPr>
                <w:rFonts w:hint="eastAsia"/>
              </w:rPr>
              <w:t>边界最近距离约1</w:t>
            </w:r>
            <w:r>
              <w:t>40</w:t>
            </w:r>
            <w:r>
              <w:rPr>
                <w:rFonts w:hint="eastAsia"/>
              </w:rPr>
              <w:t>m</w:t>
            </w:r>
            <w:r>
              <w:t>，见附图</w:t>
            </w:r>
            <w:r>
              <w:rPr>
                <w:rFonts w:hint="eastAsia"/>
              </w:rPr>
              <w:t>14</w:t>
            </w:r>
          </w:p>
        </w:tc>
        <w:tc>
          <w:tcPr>
            <w:tcW w:w="2561" w:type="pct"/>
            <w:vAlign w:val="center"/>
          </w:tcPr>
          <w:p>
            <w:pPr>
              <w:pStyle w:val="2691"/>
            </w:pPr>
            <w:r>
              <w:t>保护区总面积15.69万hm</w:t>
            </w:r>
            <w:r>
              <w:rPr>
                <w:vertAlign w:val="superscript"/>
              </w:rPr>
              <w:t>2</w:t>
            </w:r>
            <w:r>
              <w:t>，其中水域面积6.54万hm</w:t>
            </w:r>
            <w:r>
              <w:rPr>
                <w:vertAlign w:val="superscript"/>
              </w:rPr>
              <w:t>2</w:t>
            </w:r>
            <w:r>
              <w:t>，核心区面积2.9万hm</w:t>
            </w:r>
            <w:r>
              <w:rPr>
                <w:vertAlign w:val="superscript"/>
              </w:rPr>
              <w:t>2</w:t>
            </w:r>
            <w:r>
              <w:t>。保护区内有鸟类303种，鱼类114种，水生动物68种，水生植物近400种，国家重点保护的水生哺乳动物</w:t>
            </w:r>
            <w:r>
              <w:rPr>
                <w:rFonts w:hint="eastAsia"/>
                <w:lang w:val="en-US" w:eastAsia="zh-CN"/>
              </w:rPr>
              <w:t>长江</w:t>
            </w:r>
            <w:r>
              <w:t>江豚和</w:t>
            </w:r>
            <w:r>
              <w:rPr>
                <w:rFonts w:hint="eastAsia"/>
                <w:lang w:val="en-US" w:eastAsia="zh-CN"/>
              </w:rPr>
              <w:t>白豚</w:t>
            </w:r>
            <w:r>
              <w:t>2种，其中国家一级保护鸟类7种、鱼类2种、水生哺乳动物1种、保护植物3种。国家二级保护鸟类37种、鱼类3种、水生哺乳动物1种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05" w:type="pct"/>
            <w:vAlign w:val="center"/>
          </w:tcPr>
          <w:p>
            <w:pPr>
              <w:pStyle w:val="2691"/>
            </w:pPr>
            <w:r>
              <w:t>湖北长江新螺段白鱀豚国家级自然保护区</w:t>
            </w:r>
          </w:p>
        </w:tc>
        <w:tc>
          <w:tcPr>
            <w:tcW w:w="1633" w:type="pct"/>
            <w:vAlign w:val="center"/>
          </w:tcPr>
          <w:p>
            <w:pPr>
              <w:pStyle w:val="2691"/>
            </w:pPr>
            <w:r>
              <w:t>本项目位于白鱀豚国家级自然保护区上游，自然保护区的范围外，项目与自然保护区最近的为实验区，与实验区上边界最近距离约13.6km，见附图1</w:t>
            </w:r>
            <w:r>
              <w:rPr>
                <w:rFonts w:hint="eastAsia"/>
              </w:rPr>
              <w:t>8</w:t>
            </w:r>
          </w:p>
        </w:tc>
        <w:tc>
          <w:tcPr>
            <w:tcW w:w="2561" w:type="pct"/>
            <w:vAlign w:val="center"/>
          </w:tcPr>
          <w:p>
            <w:pPr>
              <w:pStyle w:val="2691"/>
            </w:pPr>
            <w:r>
              <w:t>地理位置为东经113°07ˊ19″~114°05ˊ12″，北纬29°38ˊ39″~30°05ˊ12″，国土面积41607hm</w:t>
            </w:r>
            <w:r>
              <w:rPr>
                <w:vertAlign w:val="superscript"/>
              </w:rPr>
              <w:t>2</w:t>
            </w:r>
            <w:r>
              <w:t>。保护区主要保护对象是国家一级保护野生水生动物白鱀豚</w:t>
            </w:r>
          </w:p>
        </w:tc>
      </w:tr>
    </w:tbl>
    <w:p>
      <w:pPr>
        <w:pStyle w:val="453"/>
        <w:ind w:firstLine="643" w:firstLineChars="0"/>
        <w:rPr>
          <w:rFonts w:ascii="Times New Roman" w:cs="Times New Roman"/>
        </w:rPr>
      </w:pPr>
      <w:bookmarkStart w:id="56" w:name="_Toc106696995"/>
      <w:bookmarkStart w:id="57" w:name="_Toc10047"/>
      <w:bookmarkStart w:id="58" w:name="_Toc8502"/>
      <w:r>
        <w:rPr>
          <w:rFonts w:ascii="Times New Roman" w:cs="Times New Roman"/>
        </w:rPr>
        <w:t>评价工作程序</w:t>
      </w:r>
      <w:bookmarkEnd w:id="56"/>
      <w:bookmarkEnd w:id="57"/>
      <w:bookmarkEnd w:id="58"/>
    </w:p>
    <w:p>
      <w:pPr>
        <w:ind w:firstLine="480"/>
        <w:rPr>
          <w:lang w:val="zh-CN"/>
        </w:rPr>
      </w:pPr>
      <w:r>
        <w:rPr>
          <w:lang w:val="zh-CN"/>
        </w:rPr>
        <w:t>按照《建设项目环境保护管理条例》和《环境影响评价技术导则》的要求，本项目环境影响评价工作分以下三个阶段。本项目环境影响评价程序框图如下：</w:t>
      </w:r>
    </w:p>
    <w:p>
      <w:pPr>
        <w:ind w:firstLine="480"/>
        <w:jc w:val="center"/>
        <w:rPr>
          <w:b/>
          <w:bCs/>
          <w:sz w:val="32"/>
          <w:szCs w:val="32"/>
        </w:rPr>
      </w:pPr>
      <w:r>
        <w:drawing>
          <wp:inline distT="0" distB="0" distL="0" distR="0">
            <wp:extent cx="5274945" cy="5056505"/>
            <wp:effectExtent l="0" t="0" r="0" b="0"/>
            <wp:docPr id="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274945" cy="5056505"/>
                    </a:xfrm>
                    <a:prstGeom prst="rect">
                      <a:avLst/>
                    </a:prstGeom>
                    <a:noFill/>
                    <a:ln>
                      <a:noFill/>
                    </a:ln>
                  </pic:spPr>
                </pic:pic>
              </a:graphicData>
            </a:graphic>
          </wp:inline>
        </w:drawing>
      </w:r>
    </w:p>
    <w:p>
      <w:pPr>
        <w:widowControl/>
        <w:ind w:firstLine="422"/>
        <w:jc w:val="center"/>
        <w:rPr>
          <w:sz w:val="21"/>
          <w:szCs w:val="21"/>
        </w:rPr>
      </w:pPr>
      <w:r>
        <w:rPr>
          <w:b/>
          <w:sz w:val="21"/>
          <w:szCs w:val="21"/>
        </w:rPr>
        <w:t>图1-1 环境影响评价工作程序图</w:t>
      </w:r>
    </w:p>
    <w:p>
      <w:pPr>
        <w:pStyle w:val="453"/>
        <w:ind w:firstLine="643" w:firstLineChars="0"/>
        <w:rPr>
          <w:rFonts w:ascii="Times New Roman" w:cs="Times New Roman"/>
        </w:rPr>
      </w:pPr>
      <w:bookmarkStart w:id="59" w:name="_Toc14120"/>
      <w:r>
        <w:rPr>
          <w:rFonts w:ascii="Times New Roman" w:cs="Times New Roman"/>
        </w:rPr>
        <w:t>产业政策</w:t>
      </w:r>
      <w:r>
        <w:rPr>
          <w:rFonts w:hint="eastAsia" w:ascii="Times New Roman" w:cs="Times New Roman"/>
          <w:lang w:val="en-US" w:eastAsia="zh-CN"/>
        </w:rPr>
        <w:t>及规划</w:t>
      </w:r>
      <w:r>
        <w:rPr>
          <w:rFonts w:ascii="Times New Roman" w:cs="Times New Roman"/>
        </w:rPr>
        <w:t>相符性分析</w:t>
      </w:r>
      <w:bookmarkEnd w:id="59"/>
    </w:p>
    <w:p>
      <w:pPr>
        <w:pStyle w:val="454"/>
        <w:ind w:firstLine="602"/>
        <w:rPr>
          <w:rFonts w:hint="default" w:eastAsia="宋体"/>
          <w:lang w:val="en-US" w:eastAsia="zh-CN"/>
        </w:rPr>
      </w:pPr>
      <w:r>
        <w:rPr>
          <w:rFonts w:hint="eastAsia"/>
          <w:lang w:val="en-US" w:eastAsia="zh-CN"/>
        </w:rPr>
        <w:t>产业政策符合性分析</w:t>
      </w:r>
    </w:p>
    <w:p>
      <w:pPr>
        <w:ind w:firstLine="480"/>
      </w:pPr>
      <w:r>
        <w:t>根</w:t>
      </w:r>
      <w:r>
        <w:rPr>
          <w:spacing w:val="-17"/>
        </w:rPr>
        <w:t>据</w:t>
      </w:r>
      <w:r>
        <w:t>《产业结构调整指导目</w:t>
      </w:r>
      <w:r>
        <w:rPr>
          <w:spacing w:val="-17"/>
        </w:rPr>
        <w:t>录</w:t>
      </w:r>
      <w:r>
        <w:t>（2019 年本</w:t>
      </w:r>
      <w:r>
        <w:rPr>
          <w:spacing w:val="-17"/>
        </w:rPr>
        <w:t>）》</w:t>
      </w:r>
      <w:r>
        <w:rPr>
          <w:rFonts w:hint="eastAsia"/>
          <w:spacing w:val="-17"/>
        </w:rPr>
        <w:t>（2021年修改）</w:t>
      </w:r>
      <w:r>
        <w:rPr>
          <w:spacing w:val="-17"/>
        </w:rPr>
        <w:t>，</w:t>
      </w:r>
      <w:r>
        <w:t>本项目属于</w:t>
      </w:r>
      <w:r>
        <w:rPr>
          <w:rFonts w:asciiTheme="minorEastAsia" w:hAnsiTheme="minorEastAsia" w:eastAsiaTheme="minorEastAsia"/>
        </w:rPr>
        <w:t>“</w:t>
      </w:r>
      <w:r>
        <w:t>鼓励类</w:t>
      </w:r>
      <w:r>
        <w:rPr>
          <w:rFonts w:asciiTheme="minorEastAsia" w:hAnsiTheme="minorEastAsia" w:eastAsiaTheme="minorEastAsia"/>
        </w:rPr>
        <w:t>”</w:t>
      </w:r>
      <w:r>
        <w:t>第二十五条</w:t>
      </w:r>
      <w:r>
        <w:rPr>
          <w:rFonts w:asciiTheme="minorEastAsia" w:hAnsiTheme="minorEastAsia" w:eastAsiaTheme="minorEastAsia"/>
        </w:rPr>
        <w:t>“</w:t>
      </w:r>
      <w:r>
        <w:t>水</w:t>
      </w:r>
      <w:r>
        <w:rPr>
          <w:spacing w:val="1"/>
        </w:rPr>
        <w:t>运</w:t>
      </w:r>
      <w:r>
        <w:rPr>
          <w:rFonts w:asciiTheme="minorEastAsia" w:hAnsiTheme="minorEastAsia" w:eastAsiaTheme="minorEastAsia"/>
        </w:rPr>
        <w:t>”</w:t>
      </w:r>
      <w:r>
        <w:t xml:space="preserve"> 中的</w:t>
      </w:r>
      <w:r>
        <w:rPr>
          <w:rFonts w:asciiTheme="minorEastAsia" w:hAnsiTheme="minorEastAsia" w:eastAsiaTheme="minorEastAsia"/>
        </w:rPr>
        <w:t>“</w:t>
      </w:r>
      <w:r>
        <w:t>深水泊</w:t>
      </w:r>
      <w:r>
        <w:rPr>
          <w:spacing w:val="-45"/>
        </w:rPr>
        <w:t>位</w:t>
      </w:r>
      <w:r>
        <w:t>（沿海万吨级</w:t>
      </w:r>
      <w:r>
        <w:rPr>
          <w:spacing w:val="-45"/>
        </w:rPr>
        <w:t>、</w:t>
      </w:r>
      <w:r>
        <w:t>内河千吨级及以上</w:t>
      </w:r>
      <w:r>
        <w:rPr>
          <w:spacing w:val="-45"/>
        </w:rPr>
        <w:t>）</w:t>
      </w:r>
      <w:r>
        <w:t>建设</w:t>
      </w:r>
      <w:r>
        <w:rPr>
          <w:rFonts w:asciiTheme="minorEastAsia" w:hAnsiTheme="minorEastAsia" w:eastAsiaTheme="minorEastAsia"/>
        </w:rPr>
        <w:t>”</w:t>
      </w:r>
      <w:r>
        <w:t>项目</w:t>
      </w:r>
      <w:r>
        <w:rPr>
          <w:spacing w:val="-45"/>
        </w:rPr>
        <w:t>。</w:t>
      </w:r>
      <w:r>
        <w:t>另外</w:t>
      </w:r>
      <w:r>
        <w:rPr>
          <w:spacing w:val="-45"/>
        </w:rPr>
        <w:t>，</w:t>
      </w:r>
      <w:r>
        <w:t>本项目不属</w:t>
      </w:r>
      <w:r>
        <w:rPr>
          <w:spacing w:val="-45"/>
        </w:rPr>
        <w:t>于</w:t>
      </w:r>
      <w:r>
        <w:t>《限制用地项目目</w:t>
      </w:r>
      <w:r>
        <w:rPr>
          <w:spacing w:val="-24"/>
        </w:rPr>
        <w:t>录</w:t>
      </w:r>
      <w:r>
        <w:t>（2012 年本</w:t>
      </w:r>
      <w:r>
        <w:rPr>
          <w:spacing w:val="-24"/>
        </w:rPr>
        <w:t>）</w:t>
      </w:r>
      <w:r>
        <w:rPr>
          <w:spacing w:val="-26"/>
        </w:rPr>
        <w:t>》</w:t>
      </w:r>
      <w:r>
        <w:rPr>
          <w:spacing w:val="-24"/>
        </w:rPr>
        <w:t>和</w:t>
      </w:r>
      <w:r>
        <w:t>《禁止用地项目目</w:t>
      </w:r>
      <w:r>
        <w:rPr>
          <w:spacing w:val="-24"/>
        </w:rPr>
        <w:t>录</w:t>
      </w:r>
      <w:r>
        <w:t>（2012 年本</w:t>
      </w:r>
      <w:r>
        <w:rPr>
          <w:spacing w:val="-24"/>
        </w:rPr>
        <w:t>）》</w:t>
      </w:r>
      <w:r>
        <w:t>中</w:t>
      </w:r>
      <w:r>
        <w:rPr>
          <w:spacing w:val="-2"/>
        </w:rPr>
        <w:t>的</w:t>
      </w:r>
      <w:r>
        <w:t>限制用地和禁止用地。因此，本项目的建设符合国家产业政策和相关法律、法规的要求。</w:t>
      </w:r>
    </w:p>
    <w:p>
      <w:pPr>
        <w:pStyle w:val="454"/>
        <w:ind w:firstLine="602"/>
        <w:rPr>
          <w:rFonts w:ascii="Times New Roman" w:cs="Times New Roman"/>
        </w:rPr>
      </w:pPr>
      <w:r>
        <w:rPr>
          <w:rFonts w:ascii="Times New Roman" w:cs="Times New Roman"/>
        </w:rPr>
        <w:t>相关规划相符性分析</w:t>
      </w:r>
    </w:p>
    <w:p>
      <w:pPr>
        <w:pStyle w:val="456"/>
        <w:ind w:firstLine="482"/>
        <w:rPr>
          <w:color w:val="auto"/>
        </w:rPr>
      </w:pPr>
      <w:r>
        <w:rPr>
          <w:color w:val="auto"/>
        </w:rPr>
        <w:t>与《长江干线航道总体规划纲要》、《长江干线航道建设规划</w:t>
      </w:r>
      <w:r>
        <w:rPr>
          <w:color w:val="auto"/>
          <w:spacing w:val="7"/>
        </w:rPr>
        <w:t>》</w:t>
      </w:r>
      <w:r>
        <w:rPr>
          <w:color w:val="auto"/>
        </w:rPr>
        <w:t>相符性分析</w:t>
      </w:r>
    </w:p>
    <w:p>
      <w:pPr>
        <w:ind w:firstLine="480"/>
      </w:pPr>
      <w:r>
        <w:rPr>
          <w:rFonts w:hint="eastAsia"/>
        </w:rPr>
        <w:t>根</w:t>
      </w:r>
      <w:r>
        <w:t>据《长江干线航道总体规划纲要》</w:t>
      </w:r>
      <w:r>
        <w:rPr>
          <w:rFonts w:hint="eastAsia"/>
        </w:rPr>
        <w:t>：</w:t>
      </w:r>
      <w:r>
        <w:t>重庆至城陵矶河段：一级航道标准，其中宜昌至城陵矶航道为内河Ⅰ级，水深 3.5m；城陵矶至武汉河段：一级航道标准，水深 3.7m，通航由 3000t 级驳船组成的万 t 级船队，利用航道自然水深通航 3000t 级江海轮，洪水时通行 5000t 级江海轮。武汉以下航道为内河Ⅰ级，水深 4.5m 以上，5000t 级江海轮可在自然水深条件下通航。</w:t>
      </w:r>
    </w:p>
    <w:p>
      <w:pPr>
        <w:pStyle w:val="458"/>
        <w:ind w:firstLine="480"/>
        <w:rPr>
          <w:rFonts w:cs="Times New Roman"/>
          <w:bCs/>
          <w:color w:val="auto"/>
        </w:rPr>
      </w:pPr>
      <w:r>
        <w:rPr>
          <w:rFonts w:cs="Times New Roman"/>
          <w:bCs/>
          <w:color w:val="auto"/>
        </w:rPr>
        <w:t>本项目码头面临长江航道，属于长江河段中的城陵矶至武汉段航道，码头进出船舶航行及靠泊便利。</w:t>
      </w:r>
      <w:r>
        <w:rPr>
          <w:rFonts w:cs="Times New Roman"/>
          <w:color w:val="auto"/>
          <w:szCs w:val="28"/>
        </w:rPr>
        <w:t>参考岳阳长江沿线已建类似码头的建设标高，本工程码头前沿设计高程确定为33.90m</w:t>
      </w:r>
      <w:r>
        <w:rPr>
          <w:rFonts w:cs="Times New Roman"/>
          <w:bCs/>
          <w:color w:val="auto"/>
        </w:rPr>
        <w:t>，5000吨级泊位码头前沿设计河底高程为12.4m，设计航道水深4.9m；</w:t>
      </w:r>
      <w:r>
        <w:rPr>
          <w:rFonts w:hint="eastAsia" w:cs="Times New Roman"/>
          <w:bCs/>
          <w:color w:val="auto"/>
        </w:rPr>
        <w:t>1</w:t>
      </w:r>
      <w:r>
        <w:rPr>
          <w:rFonts w:cs="Times New Roman"/>
          <w:bCs/>
          <w:color w:val="auto"/>
        </w:rPr>
        <w:t>0000吨级泊位码头前沿设计河底高程为10.6m，设计航道水深6.7m，能够满足船舶的航行要求。</w:t>
      </w:r>
    </w:p>
    <w:p>
      <w:pPr>
        <w:pStyle w:val="458"/>
        <w:ind w:firstLine="480"/>
        <w:rPr>
          <w:rFonts w:cs="Times New Roman"/>
          <w:color w:val="auto"/>
        </w:rPr>
      </w:pPr>
      <w:r>
        <w:rPr>
          <w:rFonts w:cs="Times New Roman"/>
          <w:color w:val="auto"/>
        </w:rPr>
        <w:t>因此，本项目符合航道规划。</w:t>
      </w:r>
    </w:p>
    <w:p>
      <w:pPr>
        <w:pStyle w:val="456"/>
        <w:ind w:firstLine="482"/>
        <w:rPr>
          <w:color w:val="auto"/>
        </w:rPr>
      </w:pPr>
      <w:r>
        <w:rPr>
          <w:color w:val="auto"/>
        </w:rPr>
        <w:t>与《长江</w:t>
      </w:r>
      <w:r>
        <w:rPr>
          <w:rFonts w:hint="eastAsia" w:ascii="Times New Roman" w:hAnsi="Times New Roman" w:cs="Times New Roman"/>
          <w:lang w:val="en-US"/>
        </w:rPr>
        <w:t>岸线</w:t>
      </w:r>
      <w:r>
        <w:rPr>
          <w:color w:val="auto"/>
        </w:rPr>
        <w:t>保护和开发利用总体规划》相符性分析</w:t>
      </w:r>
    </w:p>
    <w:p>
      <w:pPr>
        <w:ind w:firstLine="480"/>
        <w:rPr>
          <w:szCs w:val="20"/>
        </w:rPr>
      </w:pPr>
      <w:r>
        <w:rPr>
          <w:szCs w:val="20"/>
        </w:rPr>
        <w:t>2016年9月，水利部、国土部联合印发了《长江岸线保护和开发利用总体规划》。该规划按照岸线保护和开发利用需求，划分岸线为保护区、保留区、控制利用区及开发利用区等四类功能区，并对各功能区提出了相应的管理要求。《长江岸线保护和开发利用总体规划》共划分岸线保护区516个，长度 1964.2 公里，占岸线总长度的11.3%；岸线保留区1034个，长度为 9306.3 公里，占岸线总长度的 53.5%；岸线控制利用区817个，长度为 4642.8公里，占岸线总长度的 26.7%；岸线开发利用区232个，长度为 1480.4 公里，占岸线总长度的 8.5%。</w:t>
      </w:r>
    </w:p>
    <w:p>
      <w:pPr>
        <w:ind w:firstLine="480"/>
        <w:rPr>
          <w:szCs w:val="20"/>
        </w:rPr>
      </w:pPr>
      <w:r>
        <w:rPr>
          <w:szCs w:val="20"/>
        </w:rPr>
        <w:t>根据《</w:t>
      </w:r>
      <w:r>
        <w:t>岳阳港总体规划与长江岸线</w:t>
      </w:r>
      <w:r>
        <w:rPr>
          <w:szCs w:val="20"/>
        </w:rPr>
        <w:t>保护和开发利用总体规划叠图》可知本项目位于长江右岸长江造纸厂~新港村河段，岸线全长 24.89km，属于长江岸线功能区分区规划中的</w:t>
      </w:r>
      <w:r>
        <w:rPr>
          <w:b/>
          <w:szCs w:val="20"/>
        </w:rPr>
        <w:t>控制利用区的规划港口岸线</w:t>
      </w:r>
      <w:r>
        <w:rPr>
          <w:szCs w:val="20"/>
        </w:rPr>
        <w:t>，陆域及水深条件较好，预留港口发展岸线，要求严禁违反自然保护区保护目标的建设项目。因此，建议本项目在建设利用时，严格按照环境要求进行，注意保护</w:t>
      </w:r>
      <w:r>
        <w:t>洞庭湖口铜鱼短颌鲚国家级水产种质资源保护区</w:t>
      </w:r>
      <w:r>
        <w:rPr>
          <w:rFonts w:hint="eastAsia"/>
        </w:rPr>
        <w:t>和</w:t>
      </w:r>
      <w:r>
        <w:rPr>
          <w:szCs w:val="20"/>
        </w:rPr>
        <w:t>的保护目标及其生境。</w:t>
      </w:r>
    </w:p>
    <w:p>
      <w:pPr>
        <w:ind w:firstLine="480"/>
        <w:rPr>
          <w:szCs w:val="20"/>
        </w:rPr>
      </w:pPr>
      <w:r>
        <w:rPr>
          <w:szCs w:val="20"/>
        </w:rPr>
        <w:t>综上，拟建码头</w:t>
      </w:r>
      <w:r>
        <w:rPr>
          <w:rFonts w:hint="eastAsia"/>
        </w:rPr>
        <w:t>选址位于《长江岸线保护和开发利用总体规划》控制利用区，</w:t>
      </w:r>
      <w:r>
        <w:rPr>
          <w:szCs w:val="20"/>
        </w:rPr>
        <w:t>不在岸线保护区和保留区内，</w:t>
      </w:r>
      <w:r>
        <w:rPr>
          <w:rFonts w:hint="eastAsia"/>
        </w:rPr>
        <w:t>建设符合《长江岸线保护和开发利用总体规划》要求。项目所在区域与长江岸线保护和开发利用总体规划位置关系图</w:t>
      </w:r>
      <w:r>
        <w:rPr>
          <w:rFonts w:hint="eastAsia"/>
          <w:color w:val="000000" w:themeColor="text1"/>
          <w14:textFill>
            <w14:solidFill>
              <w14:schemeClr w14:val="tx1"/>
            </w14:solidFill>
          </w14:textFill>
        </w:rPr>
        <w:t>详见附图10。</w:t>
      </w:r>
    </w:p>
    <w:p>
      <w:pPr>
        <w:pStyle w:val="456"/>
        <w:ind w:firstLine="482"/>
        <w:rPr>
          <w:color w:val="auto"/>
        </w:rPr>
      </w:pPr>
      <w:r>
        <w:rPr>
          <w:rFonts w:hint="eastAsia"/>
          <w:color w:val="auto"/>
          <w:lang w:val="en-US"/>
        </w:rPr>
        <w:t>与《全国重要江河湖泊水功能区划》的符合性分析</w:t>
      </w:r>
    </w:p>
    <w:p>
      <w:pPr>
        <w:ind w:firstLine="480"/>
      </w:pPr>
      <w:r>
        <w:rPr>
          <w:rFonts w:hint="eastAsia"/>
        </w:rPr>
        <w:t>根据《全国重要江河湖泊水功能区划》，全国重要江河湖泊功能划分为一级水功能区和二级水功能区。</w:t>
      </w:r>
      <w:r>
        <w:t>一级水功能区分四类，即保护区、保留区、开发利用区、缓冲区。二级水功能区将一级水功能区中的开发利用区具体划分为饮用水源区、工业用水区、农业用水区、渔业用水区、景观娱乐用水区、过渡区、排污控制区七类。</w:t>
      </w:r>
    </w:p>
    <w:p>
      <w:pPr>
        <w:ind w:firstLine="480"/>
      </w:pPr>
      <w:r>
        <w:rPr>
          <w:rFonts w:hint="eastAsia"/>
        </w:rPr>
        <w:t>本项目属于</w:t>
      </w:r>
      <w:r>
        <w:t>长江</w:t>
      </w:r>
      <w:r>
        <w:rPr>
          <w:rFonts w:hint="eastAsia"/>
        </w:rPr>
        <w:t>岳阳</w:t>
      </w:r>
      <w:r>
        <w:t>开发利用区</w:t>
      </w:r>
      <w:r>
        <w:rPr>
          <w:rFonts w:hint="eastAsia"/>
        </w:rPr>
        <w:t>，水质保护目标为</w:t>
      </w:r>
      <w:r>
        <w:t>Ⅲ</w:t>
      </w:r>
      <w:r>
        <w:rPr>
          <w:rFonts w:hint="eastAsia"/>
        </w:rPr>
        <w:t>，</w:t>
      </w:r>
      <w:r>
        <w:t>按二级区划执行</w:t>
      </w:r>
      <w:r>
        <w:rPr>
          <w:rFonts w:hint="eastAsia"/>
        </w:rPr>
        <w:t>，根据岳阳市生态环境局网站上公布的《岳阳市2021年度生态环境质量公报》，</w:t>
      </w:r>
      <w:r>
        <w:t>202</w:t>
      </w:r>
      <w:r>
        <w:rPr>
          <w:rFonts w:hint="eastAsia"/>
        </w:rPr>
        <w:t>1</w:t>
      </w:r>
      <w:r>
        <w:t>年</w:t>
      </w:r>
      <w:r>
        <w:rPr>
          <w:rFonts w:hint="eastAsia"/>
        </w:rPr>
        <w:t>长江干流岳阳段5个监测断面</w:t>
      </w:r>
      <w:r>
        <w:t>均达到《地表水环境质量标准》（GB3838-2002）中“Ⅱ类水质”</w:t>
      </w:r>
      <w:r>
        <w:rPr>
          <w:rFonts w:hint="eastAsia"/>
        </w:rPr>
        <w:t>标准。</w:t>
      </w:r>
    </w:p>
    <w:p>
      <w:pPr>
        <w:ind w:firstLine="480"/>
        <w:rPr>
          <w:rFonts w:hint="eastAsia"/>
        </w:rPr>
      </w:pPr>
      <w:r>
        <w:rPr>
          <w:rFonts w:hint="eastAsia"/>
        </w:rPr>
        <w:t>项目建设符合《全国重要江河湖泊水功能区划》相关要求。</w:t>
      </w:r>
    </w:p>
    <w:p>
      <w:pPr>
        <w:pStyle w:val="456"/>
        <w:ind w:firstLine="482"/>
        <w:rPr>
          <w:color w:val="auto"/>
        </w:rPr>
      </w:pPr>
      <w:r>
        <w:rPr>
          <w:color w:val="auto"/>
          <w:spacing w:val="1"/>
        </w:rPr>
        <w:t>与</w:t>
      </w:r>
      <w:r>
        <w:rPr>
          <w:color w:val="auto"/>
        </w:rPr>
        <w:t>《湖南省</w:t>
      </w:r>
      <w:r>
        <w:rPr>
          <w:rFonts w:asciiTheme="minorEastAsia" w:hAnsiTheme="minorEastAsia" w:eastAsiaTheme="minorEastAsia"/>
          <w:color w:val="auto"/>
        </w:rPr>
        <w:t>“</w:t>
      </w:r>
      <w:r>
        <w:rPr>
          <w:color w:val="auto"/>
        </w:rPr>
        <w:t>十四五</w:t>
      </w:r>
      <w:r>
        <w:rPr>
          <w:rFonts w:asciiTheme="minorEastAsia" w:hAnsiTheme="minorEastAsia" w:eastAsiaTheme="minorEastAsia"/>
          <w:color w:val="auto"/>
        </w:rPr>
        <w:t>”</w:t>
      </w:r>
      <w:r>
        <w:rPr>
          <w:rFonts w:hint="eastAsia" w:asciiTheme="minorEastAsia" w:hAnsiTheme="minorEastAsia" w:eastAsiaTheme="minorEastAsia"/>
          <w:color w:val="auto"/>
          <w:lang w:val="en-US"/>
        </w:rPr>
        <w:t>现代化综合交通运输体系发展规划</w:t>
      </w:r>
      <w:r>
        <w:rPr>
          <w:color w:val="auto"/>
          <w:spacing w:val="1"/>
        </w:rPr>
        <w:t>》</w:t>
      </w:r>
      <w:r>
        <w:rPr>
          <w:color w:val="auto"/>
        </w:rPr>
        <w:t>的符合性分析</w:t>
      </w:r>
    </w:p>
    <w:p>
      <w:pPr>
        <w:ind w:firstLine="480"/>
      </w:pPr>
      <w:r>
        <w:rPr>
          <w:rFonts w:hint="eastAsia"/>
        </w:rPr>
        <w:t>2021年8月23日，湖南省人民政府办公厅发布了《</w:t>
      </w:r>
      <w:r>
        <w:rPr>
          <w:rFonts w:hint="eastAsia" w:ascii="宋体" w:hAnsi="宋体" w:cs="宋体"/>
          <w:color w:val="333333"/>
          <w:shd w:val="clear" w:color="auto" w:fill="FFFFFF"/>
        </w:rPr>
        <w:t>湖南省“十四五”现代化综合交通运输体系发展规划》（</w:t>
      </w:r>
      <w:r>
        <w:rPr>
          <w:color w:val="333333"/>
          <w:shd w:val="clear" w:color="auto" w:fill="FFFFFF"/>
        </w:rPr>
        <w:t>湘政办发〔2021〕50号</w:t>
      </w:r>
      <w:r>
        <w:rPr>
          <w:rFonts w:hint="eastAsia" w:ascii="宋体" w:hAnsi="宋体" w:cs="宋体"/>
          <w:color w:val="333333"/>
          <w:shd w:val="clear" w:color="auto" w:fill="FFFFFF"/>
        </w:rPr>
        <w:t>）；根据规划内容：</w:t>
      </w:r>
      <w:r>
        <w:rPr>
          <w:rFonts w:hint="eastAsia"/>
        </w:rPr>
        <w:t>“十四五”期间构建江海直达水运网，</w:t>
      </w:r>
      <w:r>
        <w:rPr>
          <w:rFonts w:hint="eastAsia" w:ascii="宋体" w:hAnsi="宋体" w:cs="宋体"/>
          <w:color w:val="333333"/>
          <w:shd w:val="clear" w:color="auto" w:fill="FFFFFF"/>
        </w:rPr>
        <w:t>以国家高等级航道和全国内河主要港口为重点，加快构建以</w:t>
      </w:r>
      <w:r>
        <w:rPr>
          <w:rStyle w:val="133"/>
          <w:rFonts w:hint="eastAsia" w:ascii="宋体" w:hAnsi="宋体" w:cs="宋体"/>
          <w:color w:val="333333"/>
          <w:shd w:val="clear" w:color="auto" w:fill="FFFFFF"/>
        </w:rPr>
        <w:t>“一江一湖四水”</w:t>
      </w:r>
      <w:r>
        <w:rPr>
          <w:rFonts w:hint="eastAsia" w:ascii="宋体" w:hAnsi="宋体" w:cs="宋体"/>
          <w:color w:val="333333"/>
          <w:shd w:val="clear" w:color="auto" w:fill="FFFFFF"/>
          <w:vertAlign w:val="superscript"/>
        </w:rPr>
        <w:t>7</w:t>
      </w:r>
      <w:r>
        <w:rPr>
          <w:rFonts w:hint="eastAsia" w:ascii="宋体" w:hAnsi="宋体" w:cs="宋体"/>
          <w:color w:val="333333"/>
          <w:shd w:val="clear" w:color="auto" w:fill="FFFFFF"/>
        </w:rPr>
        <w:t>为骨干的航道网，以及</w:t>
      </w:r>
      <w:r>
        <w:rPr>
          <w:rStyle w:val="133"/>
          <w:rFonts w:hint="eastAsia" w:ascii="宋体" w:hAnsi="宋体" w:cs="宋体"/>
          <w:color w:val="333333"/>
          <w:shd w:val="clear" w:color="auto" w:fill="FFFFFF"/>
        </w:rPr>
        <w:t>“一枢纽、多重点、广延伸”</w:t>
      </w:r>
      <w:r>
        <w:rPr>
          <w:rFonts w:hint="eastAsia" w:ascii="宋体" w:hAnsi="宋体" w:cs="宋体"/>
          <w:color w:val="333333"/>
          <w:shd w:val="clear" w:color="auto" w:fill="FFFFFF"/>
        </w:rPr>
        <w:t>的全省港口体系，加强水运与其他交通运输方式的有效衔接，进一步发挥水运比较优势。</w:t>
      </w:r>
      <w:r>
        <w:rPr>
          <w:rFonts w:hint="eastAsia"/>
        </w:rPr>
        <w:t>构建形成以岳阳港为枢纽，长沙、常德、湘潭、株洲、衡阳、益阳等港口协同发展的港口格局。突出岳阳港中国（湖南）自由贸易示范区及通江达海的枢纽港地位，打造长江中游综合性航运物流中心及内陆临港经济示范区。积极推动其它港口的重点港区规模化、标准化发展，形成以港口为依托的区域货物运输重要节点。延伸发展其它港区，增强港口对产业的辐射范围和服务能力。完善内河主要港口、地区重要港口的集疏运系统，推动港口多式联运发展。本项目在专栏6“十四五”水运建设重点工程中，属于重点港口建设项目岳阳城陵矶现代化港口群的重要组成部分。</w:t>
      </w:r>
    </w:p>
    <w:p>
      <w:pPr>
        <w:pStyle w:val="2"/>
        <w:ind w:firstLine="0" w:firstLineChars="0"/>
        <w:jc w:val="left"/>
      </w:pPr>
      <w:r>
        <w:drawing>
          <wp:inline distT="0" distB="0" distL="114300" distR="114300">
            <wp:extent cx="5756910" cy="257175"/>
            <wp:effectExtent l="0" t="0" r="15240" b="9525"/>
            <wp:docPr id="6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9"/>
                    <pic:cNvPicPr>
                      <a:picLocks noChangeAspect="1"/>
                    </pic:cNvPicPr>
                  </pic:nvPicPr>
                  <pic:blipFill>
                    <a:blip r:embed="rId30"/>
                    <a:stretch>
                      <a:fillRect/>
                    </a:stretch>
                  </pic:blipFill>
                  <pic:spPr>
                    <a:xfrm>
                      <a:off x="0" y="0"/>
                      <a:ext cx="5756910" cy="257175"/>
                    </a:xfrm>
                    <a:prstGeom prst="rect">
                      <a:avLst/>
                    </a:prstGeom>
                    <a:noFill/>
                    <a:ln>
                      <a:noFill/>
                    </a:ln>
                  </pic:spPr>
                </pic:pic>
              </a:graphicData>
            </a:graphic>
          </wp:inline>
        </w:drawing>
      </w:r>
    </w:p>
    <w:p>
      <w:pPr>
        <w:pStyle w:val="2"/>
        <w:ind w:firstLine="0" w:firstLineChars="0"/>
      </w:pPr>
      <w:r>
        <w:drawing>
          <wp:inline distT="0" distB="0" distL="114300" distR="114300">
            <wp:extent cx="5756275" cy="776605"/>
            <wp:effectExtent l="0" t="0" r="15875" b="4445"/>
            <wp:docPr id="6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0"/>
                    <pic:cNvPicPr>
                      <a:picLocks noChangeAspect="1"/>
                    </pic:cNvPicPr>
                  </pic:nvPicPr>
                  <pic:blipFill>
                    <a:blip r:embed="rId31"/>
                    <a:stretch>
                      <a:fillRect/>
                    </a:stretch>
                  </pic:blipFill>
                  <pic:spPr>
                    <a:xfrm>
                      <a:off x="0" y="0"/>
                      <a:ext cx="5756275" cy="776605"/>
                    </a:xfrm>
                    <a:prstGeom prst="rect">
                      <a:avLst/>
                    </a:prstGeom>
                    <a:noFill/>
                    <a:ln>
                      <a:noFill/>
                    </a:ln>
                  </pic:spPr>
                </pic:pic>
              </a:graphicData>
            </a:graphic>
          </wp:inline>
        </w:drawing>
      </w:r>
    </w:p>
    <w:p>
      <w:pPr>
        <w:ind w:firstLine="480"/>
      </w:pPr>
      <w:r>
        <w:rPr>
          <w:rFonts w:hint="eastAsia"/>
        </w:rPr>
        <w:t>综上，项目建设符合《</w:t>
      </w:r>
      <w:r>
        <w:rPr>
          <w:rFonts w:hint="eastAsia" w:ascii="宋体" w:hAnsi="宋体" w:cs="宋体"/>
          <w:color w:val="333333"/>
          <w:shd w:val="clear" w:color="auto" w:fill="FFFFFF"/>
        </w:rPr>
        <w:t>湖南省“十四五”现代化综合交通运输体系发展规划》（</w:t>
      </w:r>
      <w:r>
        <w:rPr>
          <w:color w:val="333333"/>
          <w:shd w:val="clear" w:color="auto" w:fill="FFFFFF"/>
        </w:rPr>
        <w:t>湘政办发〔2021〕50号</w:t>
      </w:r>
      <w:r>
        <w:rPr>
          <w:rFonts w:hint="eastAsia" w:ascii="宋体" w:hAnsi="宋体" w:cs="宋体"/>
          <w:color w:val="333333"/>
          <w:shd w:val="clear" w:color="auto" w:fill="FFFFFF"/>
        </w:rPr>
        <w:t>）相关要求</w:t>
      </w:r>
      <w:r>
        <w:t>。</w:t>
      </w:r>
    </w:p>
    <w:p>
      <w:pPr>
        <w:pStyle w:val="456"/>
        <w:ind w:firstLine="482"/>
        <w:rPr>
          <w:color w:val="auto"/>
        </w:rPr>
      </w:pPr>
      <w:r>
        <w:rPr>
          <w:color w:val="auto"/>
          <w:spacing w:val="1"/>
        </w:rPr>
        <w:t>与</w:t>
      </w:r>
      <w:r>
        <w:rPr>
          <w:color w:val="auto"/>
        </w:rPr>
        <w:t>《</w:t>
      </w:r>
      <w:r>
        <w:rPr>
          <w:rFonts w:hint="eastAsia"/>
          <w:color w:val="auto"/>
          <w:lang w:val="en-US" w:eastAsia="zh-CN"/>
        </w:rPr>
        <w:t>岳阳市综合交通体系发展</w:t>
      </w:r>
      <w:r>
        <w:rPr>
          <w:rFonts w:asciiTheme="minorEastAsia" w:hAnsiTheme="minorEastAsia" w:eastAsiaTheme="minorEastAsia"/>
          <w:color w:val="auto"/>
        </w:rPr>
        <w:t>“</w:t>
      </w:r>
      <w:r>
        <w:rPr>
          <w:color w:val="auto"/>
        </w:rPr>
        <w:t>十四五</w:t>
      </w:r>
      <w:r>
        <w:rPr>
          <w:rFonts w:asciiTheme="minorEastAsia" w:hAnsiTheme="minorEastAsia" w:eastAsiaTheme="minorEastAsia"/>
          <w:color w:val="auto"/>
        </w:rPr>
        <w:t>”</w:t>
      </w:r>
      <w:r>
        <w:rPr>
          <w:rFonts w:hint="eastAsia" w:asciiTheme="minorEastAsia" w:hAnsiTheme="minorEastAsia" w:eastAsiaTheme="minorEastAsia"/>
          <w:color w:val="auto"/>
          <w:lang w:val="en-US"/>
        </w:rPr>
        <w:t>规划</w:t>
      </w:r>
      <w:r>
        <w:rPr>
          <w:color w:val="auto"/>
          <w:spacing w:val="1"/>
        </w:rPr>
        <w:t>》</w:t>
      </w:r>
      <w:r>
        <w:rPr>
          <w:color w:val="auto"/>
        </w:rPr>
        <w:t>的符合性分析</w:t>
      </w:r>
    </w:p>
    <w:p>
      <w:pPr>
        <w:ind w:firstLine="480"/>
        <w:rPr>
          <w:rFonts w:hint="eastAsia" w:eastAsia="宋体"/>
          <w:lang w:eastAsia="zh-CN"/>
        </w:rPr>
      </w:pPr>
      <w:r>
        <w:rPr>
          <w:rFonts w:hint="eastAsia"/>
        </w:rPr>
        <w:t>2021年</w:t>
      </w:r>
      <w:r>
        <w:rPr>
          <w:rFonts w:hint="eastAsia"/>
          <w:lang w:val="en-US" w:eastAsia="zh-CN"/>
        </w:rPr>
        <w:t>9</w:t>
      </w:r>
      <w:r>
        <w:rPr>
          <w:rFonts w:hint="eastAsia"/>
        </w:rPr>
        <w:t>月</w:t>
      </w:r>
      <w:r>
        <w:rPr>
          <w:rFonts w:hint="eastAsia"/>
          <w:lang w:val="en-US" w:eastAsia="zh-CN"/>
        </w:rPr>
        <w:t>17</w:t>
      </w:r>
      <w:r>
        <w:rPr>
          <w:rFonts w:hint="eastAsia"/>
        </w:rPr>
        <w:t>日，</w:t>
      </w:r>
      <w:r>
        <w:rPr>
          <w:rFonts w:hint="eastAsia"/>
          <w:lang w:val="en-US" w:eastAsia="zh-CN"/>
        </w:rPr>
        <w:t>岳阳市</w:t>
      </w:r>
      <w:r>
        <w:rPr>
          <w:rFonts w:hint="eastAsia"/>
        </w:rPr>
        <w:t>人民政府</w:t>
      </w:r>
      <w:r>
        <w:rPr>
          <w:rFonts w:hint="eastAsia"/>
          <w:lang w:val="en-US" w:eastAsia="zh-CN"/>
        </w:rPr>
        <w:t>第58次常务会议审议通过了</w:t>
      </w:r>
      <w:r>
        <w:rPr>
          <w:rFonts w:hint="eastAsia"/>
        </w:rPr>
        <w:t>《</w:t>
      </w:r>
      <w:r>
        <w:rPr>
          <w:rFonts w:hint="default" w:ascii="Times New Roman" w:hAnsi="Times New Roman" w:cs="Times New Roman"/>
          <w:color w:val="333333"/>
          <w:shd w:val="clear" w:color="auto" w:fill="FFFFFF"/>
          <w:lang w:val="en-US" w:eastAsia="zh-CN"/>
        </w:rPr>
        <w:t>岳阳市综合交通体系发展“十四五”规划</w:t>
      </w:r>
      <w:r>
        <w:rPr>
          <w:rFonts w:hint="default" w:ascii="Times New Roman" w:hAnsi="Times New Roman" w:cs="Times New Roman"/>
          <w:color w:val="333333"/>
          <w:shd w:val="clear" w:color="auto" w:fill="FFFFFF"/>
        </w:rPr>
        <w:t>》；根据规划内容：</w:t>
      </w:r>
      <w:r>
        <w:rPr>
          <w:rFonts w:hint="eastAsia"/>
        </w:rPr>
        <w:t>“十四五”期间</w:t>
      </w:r>
      <w:r>
        <w:rPr>
          <w:rFonts w:hint="default" w:ascii="Times New Roman" w:hAnsi="Times New Roman" w:cs="Times New Roman"/>
          <w:sz w:val="24"/>
          <w:szCs w:val="24"/>
          <w:lang w:eastAsia="zh-CN"/>
        </w:rPr>
        <w:t>，</w:t>
      </w:r>
      <w:r>
        <w:rPr>
          <w:rFonts w:ascii="Times New Roman" w:hAnsi="Times New Roman" w:eastAsia="宋体" w:cs="Times New Roman"/>
          <w:sz w:val="24"/>
          <w:szCs w:val="24"/>
        </w:rPr>
        <w:t>打造国家级航运体系</w:t>
      </w:r>
      <w:r>
        <w:rPr>
          <w:rFonts w:hint="default" w:ascii="Times New Roman" w:hAnsi="Times New Roman" w:cs="Times New Roman"/>
          <w:sz w:val="24"/>
          <w:szCs w:val="24"/>
          <w:lang w:eastAsia="zh-CN"/>
        </w:rPr>
        <w:t>，</w:t>
      </w:r>
      <w:r>
        <w:rPr>
          <w:rFonts w:ascii="Times New Roman" w:hAnsi="Times New Roman" w:eastAsia="宋体" w:cs="Times New Roman"/>
          <w:sz w:val="24"/>
          <w:szCs w:val="24"/>
        </w:rPr>
        <w:t>整合港口有效资源。结合《岳阳港总体规划》将岳阳港由11个港区整合为1个核心港区（城陵矶港区）、4 个重要港区（华容、君山、云溪、湘阴港区）和3个一般港区（临湘、岳阳县、汨罗港区），促进岳阳港口集群 发展。“十四五”期间，全力打造内河黄金航道，提升港口岸线有效利用空 间，提升骨干航道 275 公里，骨干航道总里程达 438 公里。加强港口泊位建设，千吨级及以上泊位数将达到70个，港口年吞吐量达 1.5 亿吨，集装 箱年吞吐量 100 万标箱。重点推进水运项目23个，项目总投资约70亿元</w:t>
      </w:r>
      <w:r>
        <w:rPr>
          <w:rFonts w:hint="eastAsia" w:cs="Times New Roman"/>
          <w:sz w:val="24"/>
          <w:szCs w:val="24"/>
          <w:lang w:eastAsia="zh-CN"/>
        </w:rPr>
        <w:t>（</w:t>
      </w:r>
      <w:r>
        <w:rPr>
          <w:rFonts w:hint="eastAsia" w:cs="Times New Roman"/>
          <w:sz w:val="24"/>
          <w:szCs w:val="24"/>
          <w:lang w:val="en-US" w:eastAsia="zh-CN"/>
        </w:rPr>
        <w:t>含省、市共同建设事权项目</w:t>
      </w:r>
      <w:r>
        <w:rPr>
          <w:rFonts w:hint="eastAsia" w:cs="Times New Roman"/>
          <w:sz w:val="24"/>
          <w:szCs w:val="24"/>
          <w:lang w:eastAsia="zh-CN"/>
        </w:rPr>
        <w:t>）</w:t>
      </w:r>
    </w:p>
    <w:p>
      <w:pPr>
        <w:pStyle w:val="2"/>
        <w:ind w:firstLine="0" w:firstLineChars="0"/>
        <w:jc w:val="center"/>
      </w:pPr>
      <w:r>
        <w:drawing>
          <wp:inline distT="0" distB="0" distL="114300" distR="114300">
            <wp:extent cx="4569460" cy="3739515"/>
            <wp:effectExtent l="0" t="0" r="2540" b="13335"/>
            <wp:docPr id="6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7"/>
                    <pic:cNvPicPr>
                      <a:picLocks noChangeAspect="1"/>
                    </pic:cNvPicPr>
                  </pic:nvPicPr>
                  <pic:blipFill>
                    <a:blip r:embed="rId32"/>
                    <a:stretch>
                      <a:fillRect/>
                    </a:stretch>
                  </pic:blipFill>
                  <pic:spPr>
                    <a:xfrm>
                      <a:off x="0" y="0"/>
                      <a:ext cx="4569460" cy="3739515"/>
                    </a:xfrm>
                    <a:prstGeom prst="rect">
                      <a:avLst/>
                    </a:prstGeom>
                    <a:noFill/>
                    <a:ln>
                      <a:noFill/>
                    </a:ln>
                  </pic:spPr>
                </pic:pic>
              </a:graphicData>
            </a:graphic>
          </wp:inline>
        </w:drawing>
      </w:r>
    </w:p>
    <w:p>
      <w:pPr>
        <w:ind w:firstLine="480"/>
      </w:pPr>
      <w:r>
        <w:rPr>
          <w:rFonts w:hint="eastAsia"/>
        </w:rPr>
        <w:t>综上，项目</w:t>
      </w:r>
      <w:r>
        <w:rPr>
          <w:rFonts w:hint="eastAsia"/>
          <w:lang w:val="en-US" w:eastAsia="zh-CN"/>
        </w:rPr>
        <w:t>属于</w:t>
      </w:r>
      <w:r>
        <w:rPr>
          <w:rFonts w:hint="eastAsia"/>
        </w:rPr>
        <w:t>《</w:t>
      </w:r>
      <w:r>
        <w:rPr>
          <w:rFonts w:hint="default" w:ascii="Times New Roman" w:hAnsi="Times New Roman" w:cs="Times New Roman"/>
          <w:color w:val="333333"/>
          <w:shd w:val="clear" w:color="auto" w:fill="FFFFFF"/>
          <w:lang w:val="en-US" w:eastAsia="zh-CN"/>
        </w:rPr>
        <w:t>岳阳市综合交通体系发展“十四五”规划</w:t>
      </w:r>
      <w:r>
        <w:rPr>
          <w:rFonts w:hint="default" w:ascii="Times New Roman" w:hAnsi="Times New Roman" w:cs="Times New Roman"/>
          <w:color w:val="333333"/>
          <w:shd w:val="clear" w:color="auto" w:fill="FFFFFF"/>
        </w:rPr>
        <w:t>》</w:t>
      </w:r>
      <w:r>
        <w:rPr>
          <w:rFonts w:hint="eastAsia" w:ascii="宋体" w:hAnsi="宋体" w:cs="宋体"/>
          <w:color w:val="333333"/>
          <w:shd w:val="clear" w:color="auto" w:fill="FFFFFF"/>
          <w:lang w:val="en-US" w:eastAsia="zh-CN"/>
        </w:rPr>
        <w:t>中的重点项目，符合规划</w:t>
      </w:r>
      <w:r>
        <w:rPr>
          <w:rFonts w:hint="eastAsia" w:ascii="宋体" w:hAnsi="宋体" w:cs="宋体"/>
          <w:color w:val="333333"/>
          <w:shd w:val="clear" w:color="auto" w:fill="FFFFFF"/>
        </w:rPr>
        <w:t>相关要求</w:t>
      </w:r>
      <w:r>
        <w:t>。</w:t>
      </w:r>
    </w:p>
    <w:p>
      <w:pPr>
        <w:pStyle w:val="456"/>
        <w:ind w:firstLine="482"/>
        <w:rPr>
          <w:color w:val="auto"/>
        </w:rPr>
      </w:pPr>
      <w:r>
        <w:rPr>
          <w:color w:val="auto"/>
        </w:rPr>
        <w:t>与《湖南省港口布局规划</w:t>
      </w:r>
      <w:r>
        <w:rPr>
          <w:rFonts w:hint="eastAsia"/>
          <w:color w:val="auto"/>
        </w:rPr>
        <w:t>（</w:t>
      </w:r>
      <w:r>
        <w:rPr>
          <w:rFonts w:hint="eastAsia"/>
          <w:color w:val="auto"/>
          <w:lang w:val="en-US"/>
        </w:rPr>
        <w:t>修订）</w:t>
      </w:r>
      <w:r>
        <w:rPr>
          <w:color w:val="auto"/>
        </w:rPr>
        <w:t>》的符合性分析</w:t>
      </w:r>
    </w:p>
    <w:p>
      <w:pPr>
        <w:ind w:firstLine="480"/>
      </w:pPr>
      <w:r>
        <w:t>根据《湖南省港口布局规划</w:t>
      </w:r>
      <w:r>
        <w:rPr>
          <w:rFonts w:hint="eastAsia"/>
        </w:rPr>
        <w:t>（修订）</w:t>
      </w:r>
      <w:r>
        <w:t>》，湖南省形成以岳阳港、长沙港2个主要港口为核心， 以衡阳港、湘潭港、株洲港、益阳港、常德港、桃源港、津市港、南县港、沅江港、泸 溪港、辰溪港、邵阳港、资兴港等13个地区重要港口为基础，其他一般港口为补充的， 布局合理、层次分明、功能明确、与区域经济发展水平相适应的港口体系。根据港辖区 范围的调整思路，将岳阳市所辖的各县（市）内港口统称为一个县（市）级港区。因此， 规划岳阳港辖岳阳楼港区、七里山港区、城陵矶港区、道仁矶港区、陆城港区、君山港 区、湘阴港区、汨罗港区、华容港区、岳阳县港区、临湘港区等11个港区。其中岳阳港</w:t>
      </w:r>
      <w:r>
        <w:rPr>
          <w:rFonts w:hint="eastAsia"/>
        </w:rPr>
        <w:t>云溪港区（原</w:t>
      </w:r>
      <w:r>
        <w:t>道仁矶港区</w:t>
      </w:r>
      <w:r>
        <w:rPr>
          <w:rFonts w:hint="eastAsia"/>
        </w:rPr>
        <w:t>）位于长江右岸云溪区，规划以液体散货、金属矿石、煤炭运输为主，主要为沿江石化产业发展和海进江能源、原材料中转联运服务。</w:t>
      </w:r>
    </w:p>
    <w:p>
      <w:pPr>
        <w:ind w:firstLine="480"/>
      </w:pPr>
      <w:r>
        <w:rPr>
          <w:rFonts w:hint="eastAsia"/>
        </w:rPr>
        <w:t>本工程位于云溪港区，主要以散货运输为主，同时为后方产业园区产品及原料运输服务，</w:t>
      </w:r>
      <w:r>
        <w:t>符合《湖南省港口布局规划》</w:t>
      </w:r>
      <w:r>
        <w:rPr>
          <w:rFonts w:hint="eastAsia"/>
        </w:rPr>
        <w:t>对</w:t>
      </w:r>
      <w:r>
        <w:t>本港区定位。</w:t>
      </w:r>
    </w:p>
    <w:p>
      <w:pPr>
        <w:pStyle w:val="456"/>
        <w:ind w:firstLine="482"/>
        <w:rPr>
          <w:color w:val="auto"/>
        </w:rPr>
      </w:pPr>
      <w:r>
        <w:rPr>
          <w:color w:val="auto"/>
        </w:rPr>
        <w:t>与《岳阳港总体规划（2035年）》的符合性分析</w:t>
      </w:r>
    </w:p>
    <w:p>
      <w:pPr>
        <w:ind w:firstLine="480"/>
        <w:rPr>
          <w:rFonts w:hint="eastAsia"/>
          <w:bCs/>
        </w:rPr>
      </w:pPr>
      <w:r>
        <w:rPr>
          <w:rFonts w:hint="eastAsia"/>
          <w:bCs/>
        </w:rPr>
        <w:t>2022年11月22日，国家交通运输部和湖南省人民政府正式批复了《岳阳港总体规划（2035）》（交规划函[2020]833号）。</w:t>
      </w:r>
    </w:p>
    <w:p>
      <w:pPr>
        <w:ind w:firstLine="480"/>
      </w:pPr>
      <w:r>
        <w:rPr>
          <w:rFonts w:hint="eastAsia"/>
          <w:bCs/>
          <w:lang w:val="en-US" w:eastAsia="zh-CN"/>
        </w:rPr>
        <w:t>根据</w:t>
      </w:r>
      <w:r>
        <w:rPr>
          <w:rFonts w:hint="eastAsia"/>
          <w:bCs/>
        </w:rPr>
        <w:t>《岳阳港总体规划（2035）》</w:t>
      </w:r>
      <w:r>
        <w:rPr>
          <w:rFonts w:hint="eastAsia"/>
          <w:lang w:val="en-US" w:eastAsia="zh-CN"/>
        </w:rPr>
        <w:t>相关内容，</w:t>
      </w:r>
      <w:r>
        <w:rPr>
          <w:rFonts w:eastAsiaTheme="minorEastAsia"/>
        </w:rPr>
        <w:t>云溪港区位于长江右岸云溪区，上起白尾闸上游1000米，下至</w:t>
      </w:r>
      <w:r>
        <w:t>新港村，规划港口岸线9440米，以液体散货、干散货运输为主，主要为沿江石化企业的油品及石化产成品的运输、大宗散货中转运输服务</w:t>
      </w:r>
      <w:r>
        <w:rPr>
          <w:rFonts w:hint="eastAsia"/>
        </w:rPr>
        <w:t>，规划云溪工业园作业区、道仁矶作业区、陆城作业区等</w:t>
      </w:r>
      <w:r>
        <w:t>3</w:t>
      </w:r>
      <w:r>
        <w:rPr>
          <w:rFonts w:hint="eastAsia"/>
        </w:rPr>
        <w:t>个作业区和南洋州货运港点。</w:t>
      </w:r>
    </w:p>
    <w:p>
      <w:pPr>
        <w:ind w:firstLine="480"/>
      </w:pPr>
      <w:r>
        <w:t>道仁矶作业区上起白尾闸下游1830米处，下至荆岳大桥下游1400米，自然岸线长3830米，规划港口岸线长2930米，规划以金属矿石、煤炭、矿建材料、液体散货运输为主，主要为湖南省钢铁企业的金属矿石铁水联运和水水转运，煤炭铁水联运以及矿建材料运输服务。自上而下规划布置散货泊位一区、液体化工泊位区和散货泊位二区。散货泊位一区</w:t>
      </w:r>
      <w:r>
        <w:rPr>
          <w:rFonts w:hint="eastAsia"/>
        </w:rPr>
        <w:t>（本工程所在区）</w:t>
      </w:r>
      <w:r>
        <w:t>规划布置6个5000~10000吨级散货泊位，其中1个具备防汛物资码头功能，码头前沿线沿5米等深线布置，泊位长840米，形成通过能力1800万吨。</w:t>
      </w:r>
    </w:p>
    <w:p>
      <w:pPr>
        <w:ind w:firstLine="480"/>
      </w:pPr>
      <w:r>
        <w:rPr>
          <w:rFonts w:hint="eastAsia"/>
        </w:rPr>
        <w:t>本项目道仁矶码头工程项目位于岳阳港云溪港区道仁矶作业区上方规划</w:t>
      </w:r>
      <w:r>
        <w:rPr>
          <w:rFonts w:hint="eastAsia"/>
          <w:b/>
          <w:bCs/>
        </w:rPr>
        <w:t>散货泊位一区</w:t>
      </w:r>
      <w:r>
        <w:rPr>
          <w:rFonts w:hint="eastAsia"/>
        </w:rPr>
        <w:t>，项目占用岸线840m，主要建设6个散货、通用泊位，主要运输货种为铁矿石、砂石，其中6#设置运输防汛物资。本项目从岸线利用、规划用途和功能定位均符合</w:t>
      </w:r>
      <w:r>
        <w:t>《岳阳港总体规划（2035年）》</w:t>
      </w:r>
      <w:r>
        <w:rPr>
          <w:rFonts w:hint="eastAsia"/>
        </w:rPr>
        <w:t>。</w:t>
      </w:r>
    </w:p>
    <w:p>
      <w:pPr>
        <w:pStyle w:val="456"/>
        <w:ind w:firstLine="482"/>
        <w:rPr>
          <w:color w:val="auto"/>
        </w:rPr>
      </w:pPr>
      <w:r>
        <w:rPr>
          <w:color w:val="auto"/>
        </w:rPr>
        <w:t>与《岳阳港总体规划</w:t>
      </w:r>
      <w:r>
        <w:rPr>
          <w:rFonts w:hint="eastAsia"/>
          <w:color w:val="auto"/>
        </w:rPr>
        <w:t>（</w:t>
      </w:r>
      <w:r>
        <w:rPr>
          <w:rFonts w:hint="eastAsia"/>
          <w:color w:val="auto"/>
          <w:lang w:val="en-US"/>
        </w:rPr>
        <w:t>2017-2035年</w:t>
      </w:r>
      <w:r>
        <w:rPr>
          <w:rFonts w:hint="eastAsia"/>
          <w:color w:val="auto"/>
        </w:rPr>
        <w:t>）</w:t>
      </w:r>
      <w:r>
        <w:rPr>
          <w:color w:val="auto"/>
        </w:rPr>
        <w:t>环评</w:t>
      </w:r>
      <w:r>
        <w:rPr>
          <w:rFonts w:hint="eastAsia"/>
          <w:color w:val="auto"/>
          <w:lang w:val="en-US"/>
        </w:rPr>
        <w:t>影响报告书</w:t>
      </w:r>
      <w:r>
        <w:rPr>
          <w:color w:val="auto"/>
        </w:rPr>
        <w:t>》及</w:t>
      </w:r>
      <w:r>
        <w:rPr>
          <w:rFonts w:hint="eastAsia"/>
          <w:color w:val="auto"/>
          <w:lang w:val="en-US"/>
        </w:rPr>
        <w:t>其环评批复</w:t>
      </w:r>
      <w:r>
        <w:rPr>
          <w:color w:val="auto"/>
        </w:rPr>
        <w:t>的符合性分析</w:t>
      </w:r>
    </w:p>
    <w:p>
      <w:pPr>
        <w:ind w:firstLine="480"/>
        <w:jc w:val="left"/>
        <w:rPr>
          <w:rFonts w:hint="eastAsia" w:ascii="Times New Roman" w:hAnsi="Times New Roman" w:cs="Times New Roman"/>
          <w:b/>
          <w:bCs/>
          <w:lang w:val="en-US"/>
        </w:rPr>
      </w:pPr>
      <w:r>
        <w:rPr>
          <w:rFonts w:hint="eastAsia" w:ascii="Times New Roman" w:hAnsi="Times New Roman" w:cs="Times New Roman"/>
          <w:b/>
          <w:bCs/>
          <w:lang w:val="en-US" w:eastAsia="zh-CN"/>
        </w:rPr>
        <w:t>（1）</w:t>
      </w:r>
      <w:r>
        <w:rPr>
          <w:rFonts w:hint="eastAsia" w:ascii="Times New Roman" w:hAnsi="Times New Roman" w:cs="Times New Roman"/>
          <w:b/>
          <w:bCs/>
          <w:lang w:val="en-US"/>
        </w:rPr>
        <w:t>与</w:t>
      </w:r>
      <w:r>
        <w:rPr>
          <w:rFonts w:hint="eastAsia" w:ascii="Times New Roman" w:hAnsi="Times New Roman" w:cs="Times New Roman"/>
          <w:b/>
          <w:bCs/>
        </w:rPr>
        <w:t>《</w:t>
      </w:r>
      <w:r>
        <w:rPr>
          <w:rFonts w:hint="eastAsia" w:ascii="Times New Roman" w:hAnsi="Times New Roman" w:cs="Times New Roman"/>
          <w:b/>
          <w:bCs/>
          <w:lang w:val="en-US"/>
        </w:rPr>
        <w:t>岳阳港总体规划（2017-2035）环境影响评价报告书</w:t>
      </w:r>
      <w:r>
        <w:rPr>
          <w:rFonts w:hint="eastAsia" w:ascii="Times New Roman" w:hAnsi="Times New Roman" w:cs="Times New Roman"/>
          <w:b/>
          <w:bCs/>
        </w:rPr>
        <w:t>》</w:t>
      </w:r>
      <w:r>
        <w:rPr>
          <w:rFonts w:hint="eastAsia" w:ascii="Times New Roman" w:hAnsi="Times New Roman" w:cs="Times New Roman"/>
          <w:b/>
          <w:bCs/>
          <w:lang w:val="en-US"/>
        </w:rPr>
        <w:t>的符合性分析</w:t>
      </w:r>
    </w:p>
    <w:p>
      <w:pPr>
        <w:widowControl/>
        <w:ind w:firstLine="480"/>
        <w:jc w:val="left"/>
        <w:rPr>
          <w:rFonts w:ascii="宋体" w:hAnsi="宋体" w:cs="宋体"/>
          <w:color w:val="000000"/>
          <w:kern w:val="0"/>
          <w:lang w:bidi="ar"/>
        </w:rPr>
      </w:pPr>
      <w:r>
        <w:rPr>
          <w:rFonts w:hint="eastAsia"/>
        </w:rPr>
        <w:t>2020年3月，交通运输部规划研究院编制了《岳阳港总体规划（2017-2035）环境影响评价报告书》，报告中，</w:t>
      </w:r>
      <w:r>
        <w:rPr>
          <w:rFonts w:hint="eastAsia" w:ascii="宋体" w:hAnsi="宋体" w:cs="宋体"/>
          <w:color w:val="000000"/>
          <w:kern w:val="0"/>
          <w:lang w:bidi="ar"/>
        </w:rPr>
        <w:t>为进一步从环保角度减少由于规划实施过程中不规范而引起的高污染港口发展，根据各岸线的环境条件，并综合考虑实际港口的发展需要，重点针对对环境污染、风险防控影响较大的大宗干散货和油品两类进行控制，提出各岸线的准入负面清单详见下表。</w:t>
      </w:r>
    </w:p>
    <w:p>
      <w:pPr>
        <w:pStyle w:val="619"/>
      </w:pPr>
      <w:r>
        <w:rPr>
          <w:rFonts w:hint="eastAsia" w:ascii="宋体" w:hAnsi="宋体" w:cs="宋体"/>
          <w:color w:val="000000"/>
          <w:kern w:val="0"/>
          <w:sz w:val="24"/>
          <w:szCs w:val="24"/>
          <w:lang w:bidi="ar"/>
        </w:rPr>
        <w:t xml:space="preserve"> 岳阳港港口岸线</w:t>
      </w:r>
      <w:r>
        <w:rPr>
          <w:rFonts w:hint="default" w:ascii="Times New Roman" w:hAnsi="Times New Roman" w:cs="Times New Roman"/>
        </w:rPr>
        <w:t>利用</w:t>
      </w:r>
      <w:r>
        <w:rPr>
          <w:rFonts w:hint="eastAsia" w:ascii="宋体" w:hAnsi="宋体" w:cs="宋体"/>
          <w:color w:val="000000"/>
          <w:kern w:val="0"/>
          <w:sz w:val="24"/>
          <w:szCs w:val="24"/>
          <w:lang w:bidi="ar"/>
        </w:rPr>
        <w:t>功能环境准入清单表（摘选）</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2"/>
        <w:gridCol w:w="1125"/>
        <w:gridCol w:w="2151"/>
        <w:gridCol w:w="909"/>
        <w:gridCol w:w="780"/>
        <w:gridCol w:w="2640"/>
        <w:gridCol w:w="9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02" w:type="dxa"/>
            <w:tcBorders>
              <w:bottom w:val="single" w:color="auto" w:sz="12" w:space="0"/>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序号</w:t>
            </w:r>
          </w:p>
        </w:tc>
        <w:tc>
          <w:tcPr>
            <w:tcW w:w="1125" w:type="dxa"/>
            <w:tcBorders>
              <w:bottom w:val="single" w:color="auto" w:sz="12" w:space="0"/>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港区</w:t>
            </w:r>
          </w:p>
        </w:tc>
        <w:tc>
          <w:tcPr>
            <w:tcW w:w="2151" w:type="dxa"/>
            <w:tcBorders>
              <w:bottom w:val="single" w:color="auto" w:sz="12" w:space="0"/>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岸线名称</w:t>
            </w:r>
          </w:p>
        </w:tc>
        <w:tc>
          <w:tcPr>
            <w:tcW w:w="909" w:type="dxa"/>
            <w:tcBorders>
              <w:bottom w:val="single" w:color="auto" w:sz="12" w:space="0"/>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规划港口岸线（m）</w:t>
            </w:r>
          </w:p>
        </w:tc>
        <w:tc>
          <w:tcPr>
            <w:tcW w:w="780" w:type="dxa"/>
            <w:tcBorders>
              <w:bottom w:val="single" w:color="auto" w:sz="12" w:space="0"/>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其中已利用（m）</w:t>
            </w:r>
          </w:p>
        </w:tc>
        <w:tc>
          <w:tcPr>
            <w:tcW w:w="2640" w:type="dxa"/>
            <w:tcBorders>
              <w:bottom w:val="single" w:color="auto" w:sz="12" w:space="0"/>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规划用途</w:t>
            </w:r>
          </w:p>
        </w:tc>
        <w:tc>
          <w:tcPr>
            <w:tcW w:w="979" w:type="dxa"/>
            <w:tcBorders>
              <w:bottom w:val="single" w:color="auto" w:sz="12" w:space="0"/>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环境准入（限制发展货类）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286" w:type="dxa"/>
            <w:gridSpan w:val="7"/>
            <w:tcBorders>
              <w:top w:val="single" w:color="auto" w:sz="12" w:space="0"/>
              <w:tl2br w:val="nil"/>
              <w:tr2bl w:val="nil"/>
            </w:tcBorders>
            <w:vAlign w:val="center"/>
          </w:tcPr>
          <w:p>
            <w:pPr>
              <w:pStyle w:val="2057"/>
              <w:tabs>
                <w:tab w:val="left" w:pos="480"/>
              </w:tabs>
              <w:spacing w:afterLines="0"/>
              <w:ind w:firstLine="0" w:firstLineChars="0"/>
              <w:jc w:val="left"/>
              <w:rPr>
                <w:sz w:val="21"/>
                <w:szCs w:val="21"/>
              </w:rPr>
            </w:pPr>
            <w:r>
              <w:rPr>
                <w:rFonts w:hint="eastAsia"/>
                <w:b/>
                <w:bCs w:val="0"/>
                <w:sz w:val="21"/>
                <w:szCs w:val="21"/>
              </w:rPr>
              <w:t>一、长江岸线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02"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1</w:t>
            </w:r>
          </w:p>
        </w:tc>
        <w:tc>
          <w:tcPr>
            <w:tcW w:w="1125"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云溪港区</w:t>
            </w:r>
          </w:p>
        </w:tc>
        <w:tc>
          <w:tcPr>
            <w:tcW w:w="2151"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云溪区道仁矶岸段</w:t>
            </w:r>
          </w:p>
        </w:tc>
        <w:tc>
          <w:tcPr>
            <w:tcW w:w="909"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4760</w:t>
            </w:r>
          </w:p>
        </w:tc>
        <w:tc>
          <w:tcPr>
            <w:tcW w:w="780"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3705</w:t>
            </w:r>
          </w:p>
        </w:tc>
        <w:tc>
          <w:tcPr>
            <w:tcW w:w="2640"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港口岸线，液货、干散货、支持系统、</w:t>
            </w:r>
            <w:r>
              <w:rPr>
                <w:sz w:val="21"/>
                <w:szCs w:val="21"/>
              </w:rPr>
              <w:t xml:space="preserve">LNG </w:t>
            </w:r>
            <w:r>
              <w:rPr>
                <w:rFonts w:hint="eastAsia"/>
                <w:sz w:val="21"/>
                <w:szCs w:val="21"/>
              </w:rPr>
              <w:t>加注</w:t>
            </w:r>
          </w:p>
        </w:tc>
        <w:tc>
          <w:tcPr>
            <w:tcW w:w="979"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油品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02"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2</w:t>
            </w:r>
          </w:p>
        </w:tc>
        <w:tc>
          <w:tcPr>
            <w:tcW w:w="1125"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云溪港区</w:t>
            </w:r>
          </w:p>
        </w:tc>
        <w:tc>
          <w:tcPr>
            <w:tcW w:w="2151"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云溪区彭家湾岸段</w:t>
            </w:r>
          </w:p>
        </w:tc>
        <w:tc>
          <w:tcPr>
            <w:tcW w:w="909"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1000</w:t>
            </w:r>
          </w:p>
        </w:tc>
        <w:tc>
          <w:tcPr>
            <w:tcW w:w="780"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0</w:t>
            </w:r>
          </w:p>
        </w:tc>
        <w:tc>
          <w:tcPr>
            <w:tcW w:w="2640"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港口岸线，干散货</w:t>
            </w:r>
          </w:p>
        </w:tc>
        <w:tc>
          <w:tcPr>
            <w:tcW w:w="979"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油品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02"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3</w:t>
            </w:r>
          </w:p>
        </w:tc>
        <w:tc>
          <w:tcPr>
            <w:tcW w:w="1125"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云溪港区</w:t>
            </w:r>
          </w:p>
        </w:tc>
        <w:tc>
          <w:tcPr>
            <w:tcW w:w="2151"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云溪区南扬洲岸段</w:t>
            </w:r>
          </w:p>
        </w:tc>
        <w:tc>
          <w:tcPr>
            <w:tcW w:w="909"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2000</w:t>
            </w:r>
          </w:p>
        </w:tc>
        <w:tc>
          <w:tcPr>
            <w:tcW w:w="780"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0</w:t>
            </w:r>
          </w:p>
        </w:tc>
        <w:tc>
          <w:tcPr>
            <w:tcW w:w="2640"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港口岸线，干散货</w:t>
            </w:r>
          </w:p>
        </w:tc>
        <w:tc>
          <w:tcPr>
            <w:tcW w:w="979"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油品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02"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4</w:t>
            </w:r>
          </w:p>
        </w:tc>
        <w:tc>
          <w:tcPr>
            <w:tcW w:w="1125"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云溪港区</w:t>
            </w:r>
          </w:p>
        </w:tc>
        <w:tc>
          <w:tcPr>
            <w:tcW w:w="2151"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云溪区陆城岸段</w:t>
            </w:r>
          </w:p>
        </w:tc>
        <w:tc>
          <w:tcPr>
            <w:tcW w:w="909"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1680</w:t>
            </w:r>
          </w:p>
        </w:tc>
        <w:tc>
          <w:tcPr>
            <w:tcW w:w="780"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1680</w:t>
            </w:r>
          </w:p>
        </w:tc>
        <w:tc>
          <w:tcPr>
            <w:tcW w:w="2640"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港口岸线，液货、支持系统</w:t>
            </w:r>
          </w:p>
        </w:tc>
        <w:tc>
          <w:tcPr>
            <w:tcW w:w="979" w:type="dxa"/>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油品</w:t>
            </w:r>
          </w:p>
        </w:tc>
      </w:tr>
    </w:tbl>
    <w:p>
      <w:pPr>
        <w:ind w:firstLine="480"/>
      </w:pPr>
      <w:r>
        <w:rPr>
          <w:rFonts w:hint="eastAsia"/>
        </w:rPr>
        <w:t>本项目主要运输货物为</w:t>
      </w:r>
      <w:r>
        <w:t>砂石、铁矿石、水泥、非金属矿石</w:t>
      </w:r>
      <w:r>
        <w:rPr>
          <w:rFonts w:hint="eastAsia"/>
        </w:rPr>
        <w:t>，不在《岳阳港总体规划（2017-2035）环境影响评价报告书》负面清单中。</w:t>
      </w:r>
    </w:p>
    <w:p>
      <w:pPr>
        <w:ind w:firstLine="480"/>
        <w:jc w:val="left"/>
        <w:rPr>
          <w:rFonts w:hint="eastAsia" w:ascii="Times New Roman" w:hAnsi="Times New Roman" w:cs="Times New Roman"/>
          <w:b/>
          <w:bCs/>
          <w:lang w:val="en-US"/>
        </w:rPr>
      </w:pPr>
      <w:r>
        <w:rPr>
          <w:rFonts w:hint="eastAsia" w:ascii="Times New Roman" w:hAnsi="Times New Roman" w:cs="Times New Roman"/>
          <w:b/>
          <w:bCs/>
          <w:lang w:val="en-US" w:eastAsia="zh-CN"/>
        </w:rPr>
        <w:t>（2）</w:t>
      </w:r>
      <w:r>
        <w:rPr>
          <w:rFonts w:hint="eastAsia" w:ascii="Times New Roman" w:hAnsi="Times New Roman" w:cs="Times New Roman"/>
          <w:b/>
          <w:bCs/>
          <w:lang w:val="en-US"/>
        </w:rPr>
        <w:t>与</w:t>
      </w:r>
      <w:r>
        <w:rPr>
          <w:rFonts w:hint="eastAsia" w:ascii="Times New Roman" w:hAnsi="Times New Roman" w:cs="Times New Roman"/>
          <w:b/>
          <w:bCs/>
        </w:rPr>
        <w:t>《</w:t>
      </w:r>
      <w:r>
        <w:rPr>
          <w:rFonts w:hint="eastAsia" w:ascii="Times New Roman" w:hAnsi="Times New Roman" w:cs="Times New Roman"/>
          <w:b/>
          <w:bCs/>
          <w:lang w:val="en-US"/>
        </w:rPr>
        <w:t>岳阳港总体规划（2017-2035）环境影响评价报告书</w:t>
      </w:r>
      <w:r>
        <w:rPr>
          <w:rFonts w:hint="eastAsia" w:ascii="Times New Roman" w:hAnsi="Times New Roman" w:cs="Times New Roman"/>
          <w:b/>
          <w:bCs/>
        </w:rPr>
        <w:t>》</w:t>
      </w:r>
      <w:r>
        <w:rPr>
          <w:rFonts w:hint="eastAsia" w:ascii="Times New Roman" w:hAnsi="Times New Roman" w:cs="Times New Roman"/>
          <w:b/>
          <w:bCs/>
          <w:lang w:val="en-US"/>
        </w:rPr>
        <w:t>审查意见的的符合性分析</w:t>
      </w:r>
    </w:p>
    <w:p>
      <w:pPr>
        <w:ind w:firstLine="480"/>
      </w:pPr>
      <w:r>
        <w:rPr>
          <w:rFonts w:hint="eastAsia"/>
        </w:rPr>
        <w:t>2020年3月27日，生态环境部会同交通运输部主持召开了《岳阳港总体规划（</w:t>
      </w:r>
      <w:r>
        <w:t>201</w:t>
      </w:r>
      <w:r>
        <w:rPr>
          <w:rFonts w:hint="eastAsia"/>
        </w:rPr>
        <w:t>7</w:t>
      </w:r>
      <w:r>
        <w:t>~203</w:t>
      </w:r>
      <w:r>
        <w:rPr>
          <w:rFonts w:hint="eastAsia"/>
        </w:rPr>
        <w:t>5）环境影响报告书》审查会，并以环审〔</w:t>
      </w:r>
      <w:r>
        <w:t>20</w:t>
      </w:r>
      <w:r>
        <w:rPr>
          <w:rFonts w:hint="eastAsia"/>
        </w:rPr>
        <w:t>20〕65号文出具了《关于</w:t>
      </w:r>
      <w:r>
        <w:t>&lt;</w:t>
      </w:r>
      <w:r>
        <w:rPr>
          <w:rFonts w:hint="eastAsia"/>
        </w:rPr>
        <w:t>岳阳港总体规划（</w:t>
      </w:r>
      <w:r>
        <w:t>201</w:t>
      </w:r>
      <w:r>
        <w:rPr>
          <w:rFonts w:hint="eastAsia"/>
        </w:rPr>
        <w:t>7</w:t>
      </w:r>
      <w:r>
        <w:t>~203</w:t>
      </w:r>
      <w:r>
        <w:rPr>
          <w:rFonts w:hint="eastAsia"/>
        </w:rPr>
        <w:t>5）环境影响报告书</w:t>
      </w:r>
      <w:r>
        <w:t>&gt;</w:t>
      </w:r>
      <w:r>
        <w:rPr>
          <w:rFonts w:hint="eastAsia"/>
        </w:rPr>
        <w:t>的审查意见》（以下简称</w:t>
      </w:r>
      <w:r>
        <w:rPr>
          <w:rFonts w:hint="cs"/>
        </w:rPr>
        <w:t>“</w:t>
      </w:r>
      <w:r>
        <w:rPr>
          <w:rFonts w:hint="eastAsia"/>
        </w:rPr>
        <w:t>规划环评审查意见</w:t>
      </w:r>
      <w:r>
        <w:rPr>
          <w:rFonts w:hint="cs"/>
        </w:rPr>
        <w:t>”</w:t>
      </w:r>
      <w:r>
        <w:rPr>
          <w:rFonts w:hint="eastAsia"/>
        </w:rPr>
        <w:t>）。本工程与规划环评审查意见的符合性分析详见下表。</w:t>
      </w:r>
    </w:p>
    <w:p>
      <w:pPr>
        <w:pStyle w:val="619"/>
      </w:pPr>
      <w:r>
        <w:rPr>
          <w:rFonts w:hint="eastAsia"/>
        </w:rPr>
        <w:t>与《岳阳港总体规划（</w:t>
      </w:r>
      <w:r>
        <w:t>201</w:t>
      </w:r>
      <w:r>
        <w:rPr>
          <w:rFonts w:hint="eastAsia"/>
        </w:rPr>
        <w:t>7</w:t>
      </w:r>
      <w:r>
        <w:t>~203</w:t>
      </w:r>
      <w:r>
        <w:rPr>
          <w:rFonts w:hint="eastAsia"/>
        </w:rPr>
        <w:t>5）</w:t>
      </w:r>
      <w:r>
        <w:rPr>
          <w:rFonts w:hint="default" w:ascii="Times New Roman" w:hAnsi="Times New Roman" w:cs="Times New Roman"/>
        </w:rPr>
        <w:t>环境</w:t>
      </w:r>
      <w:r>
        <w:rPr>
          <w:rFonts w:hint="eastAsia"/>
        </w:rPr>
        <w:t>影响报告书》审查意见符合性分析一览表</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13"/>
        <w:gridCol w:w="4934"/>
        <w:gridCol w:w="3009"/>
        <w:gridCol w:w="7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 w:hRule="atLeast"/>
          <w:tblHeader/>
          <w:jc w:val="center"/>
        </w:trPr>
        <w:tc>
          <w:tcPr>
            <w:tcW w:w="330" w:type="pct"/>
            <w:tcBorders>
              <w:bottom w:val="single" w:color="auto" w:sz="12" w:space="0"/>
            </w:tcBorders>
            <w:vAlign w:val="center"/>
          </w:tcPr>
          <w:p>
            <w:pPr>
              <w:pStyle w:val="2057"/>
              <w:spacing w:afterLines="0"/>
              <w:ind w:firstLine="0" w:firstLineChars="0"/>
              <w:rPr>
                <w:b/>
                <w:bCs w:val="0"/>
                <w:sz w:val="21"/>
                <w:szCs w:val="21"/>
              </w:rPr>
            </w:pPr>
            <w:r>
              <w:rPr>
                <w:rFonts w:hint="eastAsia"/>
                <w:b/>
                <w:bCs w:val="0"/>
                <w:sz w:val="21"/>
                <w:szCs w:val="21"/>
              </w:rPr>
              <w:t>序号</w:t>
            </w:r>
          </w:p>
        </w:tc>
        <w:tc>
          <w:tcPr>
            <w:tcW w:w="2656" w:type="pct"/>
            <w:tcBorders>
              <w:bottom w:val="single" w:color="auto" w:sz="12" w:space="0"/>
            </w:tcBorders>
            <w:vAlign w:val="center"/>
          </w:tcPr>
          <w:p>
            <w:pPr>
              <w:pStyle w:val="2057"/>
              <w:spacing w:afterLines="0"/>
              <w:ind w:firstLine="0" w:firstLineChars="0"/>
              <w:rPr>
                <w:b/>
                <w:bCs w:val="0"/>
                <w:sz w:val="21"/>
                <w:szCs w:val="21"/>
              </w:rPr>
            </w:pPr>
            <w:r>
              <w:rPr>
                <w:rFonts w:hint="eastAsia"/>
                <w:b/>
                <w:bCs w:val="0"/>
                <w:sz w:val="21"/>
                <w:szCs w:val="21"/>
              </w:rPr>
              <w:t>审查意见</w:t>
            </w:r>
          </w:p>
        </w:tc>
        <w:tc>
          <w:tcPr>
            <w:tcW w:w="1620" w:type="pct"/>
            <w:tcBorders>
              <w:bottom w:val="single" w:color="auto" w:sz="12" w:space="0"/>
            </w:tcBorders>
            <w:vAlign w:val="center"/>
          </w:tcPr>
          <w:p>
            <w:pPr>
              <w:pStyle w:val="2057"/>
              <w:spacing w:afterLines="0"/>
              <w:ind w:firstLine="0" w:firstLineChars="0"/>
              <w:rPr>
                <w:b/>
                <w:bCs w:val="0"/>
                <w:sz w:val="21"/>
                <w:szCs w:val="21"/>
              </w:rPr>
            </w:pPr>
            <w:r>
              <w:rPr>
                <w:rFonts w:hint="eastAsia"/>
                <w:b/>
                <w:bCs w:val="0"/>
                <w:sz w:val="21"/>
                <w:szCs w:val="21"/>
              </w:rPr>
              <w:t>本项目情况</w:t>
            </w:r>
          </w:p>
        </w:tc>
        <w:tc>
          <w:tcPr>
            <w:tcW w:w="393" w:type="pct"/>
            <w:tcBorders>
              <w:bottom w:val="single" w:color="auto" w:sz="12" w:space="0"/>
            </w:tcBorders>
            <w:vAlign w:val="center"/>
          </w:tcPr>
          <w:p>
            <w:pPr>
              <w:pStyle w:val="2057"/>
              <w:spacing w:afterLines="0"/>
              <w:ind w:firstLine="0" w:firstLineChars="0"/>
              <w:rPr>
                <w:b/>
                <w:bCs w:val="0"/>
                <w:sz w:val="21"/>
                <w:szCs w:val="21"/>
              </w:rPr>
            </w:pPr>
            <w:r>
              <w:rPr>
                <w:rFonts w:hint="eastAsia"/>
                <w:b/>
                <w:bCs w:val="0"/>
                <w:sz w:val="21"/>
                <w:szCs w:val="21"/>
              </w:rPr>
              <w:t>符合性分析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330" w:type="pct"/>
            <w:tcBorders>
              <w:top w:val="single" w:color="auto" w:sz="12" w:space="0"/>
              <w:tl2br w:val="nil"/>
              <w:tr2bl w:val="nil"/>
            </w:tcBorders>
            <w:vAlign w:val="center"/>
          </w:tcPr>
          <w:p>
            <w:pPr>
              <w:pStyle w:val="2057"/>
              <w:spacing w:afterLines="0"/>
              <w:ind w:firstLine="0" w:firstLineChars="0"/>
              <w:rPr>
                <w:sz w:val="21"/>
                <w:szCs w:val="21"/>
              </w:rPr>
            </w:pPr>
            <w:r>
              <w:rPr>
                <w:rFonts w:hint="eastAsia"/>
                <w:sz w:val="21"/>
                <w:szCs w:val="21"/>
              </w:rPr>
              <w:t>1</w:t>
            </w:r>
          </w:p>
        </w:tc>
        <w:tc>
          <w:tcPr>
            <w:tcW w:w="2656" w:type="pct"/>
            <w:tcBorders>
              <w:top w:val="single" w:color="auto" w:sz="12" w:space="0"/>
              <w:tl2br w:val="nil"/>
              <w:tr2bl w:val="nil"/>
            </w:tcBorders>
            <w:vAlign w:val="center"/>
          </w:tcPr>
          <w:p>
            <w:pPr>
              <w:pStyle w:val="2057"/>
              <w:spacing w:afterLines="0"/>
              <w:ind w:firstLine="0" w:firstLineChars="0"/>
              <w:rPr>
                <w:sz w:val="21"/>
                <w:szCs w:val="21"/>
              </w:rPr>
            </w:pPr>
            <w:r>
              <w:rPr>
                <w:rFonts w:hint="eastAsia"/>
                <w:sz w:val="21"/>
                <w:szCs w:val="21"/>
              </w:rPr>
              <w:t>（一）坚决贯彻落实习近平生态文明思想，以习近平总书记在深入推动长江经济带发展座谈会上的重要讲话精神为指引，坚持生态优先、绿色发展，共抓大保护、不搞大开发，把修复长江生态摆在压倒性的位置，处理好生态环境保护和港口规划发展的关系。严格控制港口开发规模与强度，优先避让禁止开发区域和生态环境敏感区，采取严格的生态保护和修复措施，改善区域、流域生态环境质量。节约集约利用岸线、土地等资源，合理安排港口开发建设时序。</w:t>
            </w:r>
          </w:p>
        </w:tc>
        <w:tc>
          <w:tcPr>
            <w:tcW w:w="1620" w:type="pct"/>
            <w:tcBorders>
              <w:top w:val="single" w:color="auto" w:sz="12" w:space="0"/>
              <w:tl2br w:val="nil"/>
              <w:tr2bl w:val="nil"/>
            </w:tcBorders>
            <w:vAlign w:val="center"/>
          </w:tcPr>
          <w:p>
            <w:pPr>
              <w:pStyle w:val="2057"/>
              <w:spacing w:afterLines="0"/>
              <w:ind w:firstLine="0" w:firstLineChars="0"/>
              <w:rPr>
                <w:sz w:val="21"/>
                <w:szCs w:val="21"/>
              </w:rPr>
            </w:pPr>
            <w:r>
              <w:rPr>
                <w:rFonts w:hint="eastAsia"/>
                <w:sz w:val="21"/>
                <w:szCs w:val="21"/>
              </w:rPr>
              <w:t>本项目建设符合岳阳港总体规划，是岳阳港总体规划的重点项目，项目岸线属于长江岸线功能区分区规划中的控制利用区的规划港口岸线，不属于禁止开发区域。项目占用洞庭湖口铜鱼短颌鲚国家级水产种质资源保护区，已按照要求编制《岳阳港道仁矶码头工程</w:t>
            </w:r>
            <w:r>
              <w:rPr>
                <w:sz w:val="21"/>
                <w:szCs w:val="21"/>
              </w:rPr>
              <w:t>对洞庭湖口铜鱼短颌鲚国家级水产种质资源保护区影响专题论证报告</w:t>
            </w:r>
            <w:r>
              <w:rPr>
                <w:rFonts w:hint="eastAsia"/>
                <w:sz w:val="21"/>
                <w:szCs w:val="21"/>
              </w:rPr>
              <w:t>》，报告中明确提出了生态保护措施和修复措施。合理的利用岸线、土地资源，根据环保要求合理安排建设时序。</w:t>
            </w:r>
          </w:p>
        </w:tc>
        <w:tc>
          <w:tcPr>
            <w:tcW w:w="393" w:type="pct"/>
            <w:tcBorders>
              <w:top w:val="single" w:color="auto" w:sz="12" w:space="0"/>
              <w:tl2br w:val="nil"/>
              <w:tr2bl w:val="nil"/>
            </w:tcBorders>
            <w:vAlign w:val="center"/>
          </w:tcPr>
          <w:p>
            <w:pPr>
              <w:pStyle w:val="2057"/>
              <w:spacing w:afterLines="0"/>
              <w:ind w:firstLine="0" w:firstLineChars="0"/>
              <w:rPr>
                <w:sz w:val="21"/>
                <w:szCs w:val="21"/>
              </w:rPr>
            </w:pPr>
            <w:r>
              <w:rPr>
                <w:rFonts w:hint="eastAsia"/>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330" w:type="pct"/>
            <w:tcBorders>
              <w:tl2br w:val="nil"/>
              <w:tr2bl w:val="nil"/>
            </w:tcBorders>
            <w:vAlign w:val="center"/>
          </w:tcPr>
          <w:p>
            <w:pPr>
              <w:pStyle w:val="2057"/>
              <w:spacing w:afterLines="0"/>
              <w:ind w:firstLine="0" w:firstLineChars="0"/>
              <w:rPr>
                <w:sz w:val="21"/>
                <w:szCs w:val="21"/>
              </w:rPr>
            </w:pPr>
            <w:r>
              <w:rPr>
                <w:rFonts w:hint="eastAsia"/>
                <w:sz w:val="21"/>
                <w:szCs w:val="21"/>
              </w:rPr>
              <w:t>2</w:t>
            </w:r>
          </w:p>
        </w:tc>
        <w:tc>
          <w:tcPr>
            <w:tcW w:w="2656" w:type="pct"/>
            <w:tcBorders>
              <w:tl2br w:val="nil"/>
              <w:tr2bl w:val="nil"/>
            </w:tcBorders>
            <w:vAlign w:val="center"/>
          </w:tcPr>
          <w:p>
            <w:pPr>
              <w:pStyle w:val="2057"/>
              <w:spacing w:afterLines="0"/>
              <w:ind w:firstLine="0" w:firstLineChars="0"/>
              <w:rPr>
                <w:sz w:val="21"/>
                <w:szCs w:val="21"/>
              </w:rPr>
            </w:pPr>
            <w:r>
              <w:rPr>
                <w:rFonts w:hint="eastAsia"/>
                <w:sz w:val="21"/>
                <w:szCs w:val="21"/>
              </w:rPr>
              <w:t>（二）严守生态保护红线。将生态保护红线作为保障和维护区域生态安全的底线，依法依规实施强制性保护。新建的码头、锚地及其附属设施等，不得布局在生态保护红线内，并尽量避让其他生态环境敏感区。落实《报告书》提出的取消涉及生态保护红线的已利用岸线等优化调整建议，南岳坡旅游客运岸线、鹿角岸线、荆江门部分岸线的现状码头应根据生态保护红线管控要求适时退出。取消的港口岸线建议作为生态岸线予以保护和修复。</w:t>
            </w:r>
          </w:p>
        </w:tc>
        <w:tc>
          <w:tcPr>
            <w:tcW w:w="1620" w:type="pct"/>
            <w:tcBorders>
              <w:tl2br w:val="nil"/>
              <w:tr2bl w:val="nil"/>
            </w:tcBorders>
            <w:vAlign w:val="center"/>
          </w:tcPr>
          <w:p>
            <w:pPr>
              <w:pStyle w:val="2057"/>
              <w:spacing w:afterLines="0"/>
              <w:ind w:firstLine="0" w:firstLineChars="0"/>
              <w:rPr>
                <w:sz w:val="21"/>
                <w:szCs w:val="21"/>
              </w:rPr>
            </w:pPr>
            <w:r>
              <w:rPr>
                <w:rFonts w:hint="eastAsia"/>
                <w:sz w:val="21"/>
                <w:szCs w:val="21"/>
              </w:rPr>
              <w:t>通过本项目选址位置与湖南省生态保护红线区域的位置关系对比，本项目不涉及生态红线保护区（详见附件4），</w:t>
            </w:r>
          </w:p>
        </w:tc>
        <w:tc>
          <w:tcPr>
            <w:tcW w:w="393" w:type="pct"/>
            <w:tcBorders>
              <w:tl2br w:val="nil"/>
              <w:tr2bl w:val="nil"/>
            </w:tcBorders>
            <w:vAlign w:val="center"/>
          </w:tcPr>
          <w:p>
            <w:pPr>
              <w:pStyle w:val="2057"/>
              <w:spacing w:afterLines="0"/>
              <w:ind w:firstLine="0" w:firstLineChars="0"/>
              <w:rPr>
                <w:sz w:val="21"/>
                <w:szCs w:val="21"/>
              </w:rPr>
            </w:pPr>
            <w:r>
              <w:rPr>
                <w:rFonts w:hint="eastAsia"/>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11" w:hRule="atLeast"/>
          <w:jc w:val="center"/>
        </w:trPr>
        <w:tc>
          <w:tcPr>
            <w:tcW w:w="330" w:type="pct"/>
            <w:tcBorders>
              <w:tl2br w:val="nil"/>
              <w:tr2bl w:val="nil"/>
            </w:tcBorders>
            <w:vAlign w:val="center"/>
          </w:tcPr>
          <w:p>
            <w:pPr>
              <w:pStyle w:val="2057"/>
              <w:spacing w:afterLines="0"/>
              <w:ind w:firstLine="0" w:firstLineChars="0"/>
              <w:rPr>
                <w:sz w:val="21"/>
                <w:szCs w:val="21"/>
              </w:rPr>
            </w:pPr>
            <w:r>
              <w:rPr>
                <w:rFonts w:hint="eastAsia"/>
                <w:sz w:val="21"/>
                <w:szCs w:val="21"/>
              </w:rPr>
              <w:t>3</w:t>
            </w:r>
          </w:p>
        </w:tc>
        <w:tc>
          <w:tcPr>
            <w:tcW w:w="2656" w:type="pct"/>
            <w:tcBorders>
              <w:tl2br w:val="nil"/>
              <w:tr2bl w:val="nil"/>
            </w:tcBorders>
            <w:vAlign w:val="center"/>
          </w:tcPr>
          <w:p>
            <w:pPr>
              <w:pStyle w:val="2057"/>
              <w:spacing w:afterLines="0"/>
              <w:ind w:firstLine="0" w:firstLineChars="0"/>
              <w:rPr>
                <w:sz w:val="21"/>
                <w:szCs w:val="21"/>
              </w:rPr>
            </w:pPr>
            <w:r>
              <w:rPr>
                <w:rFonts w:hint="eastAsia"/>
                <w:sz w:val="21"/>
                <w:szCs w:val="21"/>
              </w:rPr>
              <w:t>（三）优化岸线布局。取消涉及东洞庭湖江豚市级自然保护区缓冲区的岳阳楼港区海事指挥中心岸线和涉及羊沙湖―东湖国家湿地公园保育区的新增湘阴大桥港口岸线，现有码头根据自然保护地相关法规政策适时退出。取消涉及自然保护区实验区的长江干线长江村、横岭湖青山岛以及洞庭湖湖区琴棋乡、推山咀、营田闸等新增港口岸线。湘阴港区新增虞公岸线应避让横岭湖省级自然保护区范围，不得占用自然保护区。君山港区新增广兴洲岸线应避让生态保护红线，并综合考虑液化天然气(LNG)码头、后方储运设施等生态环境影响，结合自然保护区主管部门意见，深入比选论证该段岸线选址及规模，协调港口开发与自然保护区、饮用水水源保护区等生态环境保护之间关系，确保《规划》实施满足相关管控要求。</w:t>
            </w:r>
          </w:p>
        </w:tc>
        <w:tc>
          <w:tcPr>
            <w:tcW w:w="1620" w:type="pct"/>
            <w:tcBorders>
              <w:tl2br w:val="nil"/>
              <w:tr2bl w:val="nil"/>
            </w:tcBorders>
            <w:vAlign w:val="center"/>
          </w:tcPr>
          <w:p>
            <w:pPr>
              <w:pStyle w:val="2057"/>
              <w:spacing w:afterLines="0"/>
              <w:ind w:firstLine="0" w:firstLineChars="0"/>
              <w:rPr>
                <w:sz w:val="21"/>
                <w:szCs w:val="21"/>
              </w:rPr>
            </w:pPr>
            <w:r>
              <w:rPr>
                <w:rFonts w:hint="eastAsia"/>
                <w:sz w:val="21"/>
                <w:szCs w:val="21"/>
              </w:rPr>
              <w:t>项目岸线不涉及洞庭湖自然保护区；不占用羊沙湖―东湖国家湿地公园，不属于要求取消岳阳楼港区海事指挥中心岸线、湘阴大桥港口岸线等港口岸线。项目不涉及饮用水水源保护区和生态保护红线，满足管控要求</w:t>
            </w:r>
          </w:p>
        </w:tc>
        <w:tc>
          <w:tcPr>
            <w:tcW w:w="393" w:type="pct"/>
            <w:tcBorders>
              <w:tl2br w:val="nil"/>
              <w:tr2bl w:val="nil"/>
            </w:tcBorders>
            <w:vAlign w:val="center"/>
          </w:tcPr>
          <w:p>
            <w:pPr>
              <w:pStyle w:val="2057"/>
              <w:spacing w:afterLines="0"/>
              <w:ind w:firstLine="0" w:firstLineChars="0"/>
              <w:rPr>
                <w:sz w:val="21"/>
                <w:szCs w:val="21"/>
              </w:rPr>
            </w:pPr>
            <w:r>
              <w:rPr>
                <w:rFonts w:hint="eastAsia"/>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330" w:type="pct"/>
            <w:tcBorders>
              <w:tl2br w:val="nil"/>
              <w:tr2bl w:val="nil"/>
            </w:tcBorders>
            <w:vAlign w:val="center"/>
          </w:tcPr>
          <w:p>
            <w:pPr>
              <w:pStyle w:val="2057"/>
              <w:spacing w:afterLines="0"/>
              <w:ind w:firstLine="0" w:firstLineChars="0"/>
              <w:rPr>
                <w:sz w:val="21"/>
                <w:szCs w:val="21"/>
              </w:rPr>
            </w:pPr>
            <w:r>
              <w:rPr>
                <w:rFonts w:hint="eastAsia"/>
                <w:sz w:val="21"/>
                <w:szCs w:val="21"/>
              </w:rPr>
              <w:t>4</w:t>
            </w:r>
          </w:p>
        </w:tc>
        <w:tc>
          <w:tcPr>
            <w:tcW w:w="2656" w:type="pct"/>
            <w:tcBorders>
              <w:tl2br w:val="nil"/>
              <w:tr2bl w:val="nil"/>
            </w:tcBorders>
            <w:vAlign w:val="center"/>
          </w:tcPr>
          <w:p>
            <w:pPr>
              <w:pStyle w:val="2057"/>
              <w:spacing w:afterLines="0"/>
              <w:ind w:firstLine="0" w:firstLineChars="0"/>
              <w:rPr>
                <w:sz w:val="21"/>
                <w:szCs w:val="21"/>
              </w:rPr>
            </w:pPr>
            <w:r>
              <w:rPr>
                <w:rFonts w:hint="eastAsia"/>
                <w:sz w:val="21"/>
                <w:szCs w:val="21"/>
              </w:rPr>
              <w:t>（四）整合现状港口功能，提高港口规模化、专业化和集约化水平。涉及自然保护区实验区的荆江门、鸭栏等现有干散货运输码头，应逐步取消或调整相应岸线开发功能。对位于江湖连通水域的城陵矶作业区，规划近期其功能应逐步由现状干散货运输调整为旅游客运、港口支持系统等，规划远期应进一步优化调减开发规模，并根据自然保护地的保护要求适时退出，减缓对水生生态的影响。结合环境风险评价结论，搬迁、整合洞庭湖区现有液体散货等危险化学品泊位，液体散货运输集中布置于长江干流云溪港区。根据优化后的港口功能及岸线，相应取消长江村等锚地水域布局，调减城陵矶等锚地规模，避免大面积占用水生动物重要生境。在以水生生物和候鸟为保护对象的自然保护区内进行过驳作业应符合相关主管部门管理规定，尽量减轻对自然保护区的不良影响。</w:t>
            </w:r>
          </w:p>
        </w:tc>
        <w:tc>
          <w:tcPr>
            <w:tcW w:w="1620" w:type="pct"/>
            <w:tcBorders>
              <w:tl2br w:val="nil"/>
              <w:tr2bl w:val="nil"/>
            </w:tcBorders>
            <w:vAlign w:val="center"/>
          </w:tcPr>
          <w:p>
            <w:pPr>
              <w:pStyle w:val="2057"/>
              <w:spacing w:afterLines="0"/>
              <w:ind w:firstLine="0" w:firstLineChars="0"/>
              <w:rPr>
                <w:sz w:val="21"/>
                <w:szCs w:val="21"/>
              </w:rPr>
            </w:pPr>
            <w:r>
              <w:rPr>
                <w:rFonts w:hint="eastAsia"/>
                <w:sz w:val="21"/>
                <w:szCs w:val="21"/>
              </w:rPr>
              <w:t>本项目属于岳阳港区的云溪港区的道仁矶作业区，不涉及自然保护区。</w:t>
            </w:r>
          </w:p>
        </w:tc>
        <w:tc>
          <w:tcPr>
            <w:tcW w:w="393" w:type="pct"/>
            <w:tcBorders>
              <w:tl2br w:val="nil"/>
              <w:tr2bl w:val="nil"/>
            </w:tcBorders>
            <w:vAlign w:val="center"/>
          </w:tcPr>
          <w:p>
            <w:pPr>
              <w:pStyle w:val="2057"/>
              <w:spacing w:afterLines="0"/>
              <w:ind w:firstLine="0" w:firstLineChars="0"/>
              <w:rPr>
                <w:sz w:val="21"/>
                <w:szCs w:val="21"/>
              </w:rPr>
            </w:pPr>
            <w:r>
              <w:rPr>
                <w:rFonts w:hint="eastAsia"/>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330" w:type="pct"/>
            <w:tcBorders>
              <w:tl2br w:val="nil"/>
              <w:tr2bl w:val="nil"/>
            </w:tcBorders>
            <w:vAlign w:val="center"/>
          </w:tcPr>
          <w:p>
            <w:pPr>
              <w:pStyle w:val="2057"/>
              <w:spacing w:afterLines="0"/>
              <w:ind w:firstLine="0" w:firstLineChars="0"/>
              <w:rPr>
                <w:sz w:val="21"/>
                <w:szCs w:val="21"/>
              </w:rPr>
            </w:pPr>
            <w:r>
              <w:rPr>
                <w:rFonts w:hint="eastAsia"/>
                <w:sz w:val="21"/>
                <w:szCs w:val="21"/>
              </w:rPr>
              <w:t>5</w:t>
            </w:r>
          </w:p>
        </w:tc>
        <w:tc>
          <w:tcPr>
            <w:tcW w:w="2656" w:type="pct"/>
            <w:tcBorders>
              <w:tl2br w:val="nil"/>
              <w:tr2bl w:val="nil"/>
            </w:tcBorders>
            <w:vAlign w:val="center"/>
          </w:tcPr>
          <w:p>
            <w:pPr>
              <w:pStyle w:val="2057"/>
              <w:spacing w:afterLines="0"/>
              <w:ind w:firstLine="0" w:firstLineChars="0"/>
              <w:rPr>
                <w:sz w:val="21"/>
                <w:szCs w:val="21"/>
              </w:rPr>
            </w:pPr>
            <w:r>
              <w:rPr>
                <w:rFonts w:hint="eastAsia"/>
                <w:sz w:val="21"/>
                <w:szCs w:val="21"/>
              </w:rPr>
              <w:t>（五）加强环境风险防范。落实环境风险防范的主体责任，强化环境风险防范体系建设，建设与各港区环境风险相匹配的应急能力，制定环境污染事故应急预案，严格执行应急报告制度。各港区应配备充足的环境风险防范物资和设备，明确责任主体，加大船舶航行安全保障和风险防范力度，健全与区域、流域的应急联动机制。</w:t>
            </w:r>
          </w:p>
        </w:tc>
        <w:tc>
          <w:tcPr>
            <w:tcW w:w="1620" w:type="pct"/>
            <w:tcBorders>
              <w:tl2br w:val="nil"/>
              <w:tr2bl w:val="nil"/>
            </w:tcBorders>
            <w:vAlign w:val="center"/>
          </w:tcPr>
          <w:p>
            <w:pPr>
              <w:pStyle w:val="2057"/>
              <w:spacing w:afterLines="0"/>
              <w:ind w:firstLine="0" w:firstLineChars="0"/>
              <w:rPr>
                <w:sz w:val="21"/>
                <w:szCs w:val="21"/>
              </w:rPr>
            </w:pPr>
            <w:r>
              <w:rPr>
                <w:rFonts w:hint="eastAsia"/>
                <w:sz w:val="21"/>
                <w:szCs w:val="21"/>
              </w:rPr>
              <w:t>本项目不涉及饮用水水源保护区，本项目要求编制港口污染事故应急预案，并配备相应的应急设备设施，避免船舶溢油事故风险，</w:t>
            </w:r>
            <w:r>
              <w:rPr>
                <w:rFonts w:hint="eastAsia"/>
                <w:sz w:val="21"/>
                <w:szCs w:val="21"/>
                <w:lang w:val="en-US" w:eastAsia="zh-CN"/>
              </w:rPr>
              <w:t>同时</w:t>
            </w:r>
            <w:r>
              <w:rPr>
                <w:rFonts w:hint="eastAsia"/>
                <w:sz w:val="21"/>
                <w:szCs w:val="21"/>
              </w:rPr>
              <w:t>与区域、流域建立应急联动，及时应对可能出现的环境污染事故。</w:t>
            </w:r>
          </w:p>
        </w:tc>
        <w:tc>
          <w:tcPr>
            <w:tcW w:w="393" w:type="pct"/>
            <w:tcBorders>
              <w:tl2br w:val="nil"/>
              <w:tr2bl w:val="nil"/>
            </w:tcBorders>
            <w:vAlign w:val="center"/>
          </w:tcPr>
          <w:p>
            <w:pPr>
              <w:pStyle w:val="2057"/>
              <w:spacing w:afterLines="0"/>
              <w:ind w:firstLine="0" w:firstLineChars="0"/>
              <w:rPr>
                <w:sz w:val="21"/>
                <w:szCs w:val="21"/>
              </w:rPr>
            </w:pPr>
            <w:r>
              <w:rPr>
                <w:rFonts w:hint="eastAsia"/>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330" w:type="pct"/>
            <w:tcBorders>
              <w:tl2br w:val="nil"/>
              <w:tr2bl w:val="nil"/>
            </w:tcBorders>
            <w:vAlign w:val="center"/>
          </w:tcPr>
          <w:p>
            <w:pPr>
              <w:pStyle w:val="2057"/>
              <w:spacing w:afterLines="0"/>
              <w:ind w:firstLine="0" w:firstLineChars="0"/>
              <w:rPr>
                <w:sz w:val="21"/>
                <w:szCs w:val="21"/>
              </w:rPr>
            </w:pPr>
            <w:r>
              <w:rPr>
                <w:rFonts w:hint="eastAsia"/>
                <w:sz w:val="21"/>
                <w:szCs w:val="21"/>
              </w:rPr>
              <w:t>6</w:t>
            </w:r>
          </w:p>
        </w:tc>
        <w:tc>
          <w:tcPr>
            <w:tcW w:w="2656" w:type="pct"/>
            <w:tcBorders>
              <w:tl2br w:val="nil"/>
              <w:tr2bl w:val="nil"/>
            </w:tcBorders>
            <w:vAlign w:val="center"/>
          </w:tcPr>
          <w:p>
            <w:pPr>
              <w:pStyle w:val="2057"/>
              <w:spacing w:afterLines="0"/>
              <w:ind w:firstLine="0" w:firstLineChars="0"/>
              <w:rPr>
                <w:sz w:val="21"/>
                <w:szCs w:val="21"/>
              </w:rPr>
            </w:pPr>
            <w:r>
              <w:rPr>
                <w:rFonts w:hint="eastAsia"/>
                <w:sz w:val="21"/>
                <w:szCs w:val="21"/>
              </w:rPr>
              <w:t>（六）强化并落实污染防治措施。优先解决现有港口、锚地等生态环境问题。优化污水收集处理方案，落实船舶油污水、洗舱水等船舶污染物接收、转运及处置措施，并加强全过程监管，确保船舶污染物得到充分有效处置。针对城市基础设施未完全覆盖的港区，应采取有效可行的污水、固体废物污染防治措施，依法依规妥善处置危险废物。严格控制船舶大气污染物排放，码头建设应同步配套岸电设施，优化设计绿色、低碳的集疏运体系。干散货装卸、储运应优先采取封闭措施防治扬尘污染，油品和液体化学品码头及其罐区应采取有效措施控制无组织排放，切实防治大气污染。</w:t>
            </w:r>
          </w:p>
        </w:tc>
        <w:tc>
          <w:tcPr>
            <w:tcW w:w="1620" w:type="pct"/>
            <w:tcBorders>
              <w:tl2br w:val="nil"/>
              <w:tr2bl w:val="nil"/>
            </w:tcBorders>
            <w:vAlign w:val="center"/>
          </w:tcPr>
          <w:p>
            <w:pPr>
              <w:pStyle w:val="2057"/>
              <w:spacing w:afterLines="0"/>
              <w:ind w:firstLine="0" w:firstLineChars="0"/>
              <w:rPr>
                <w:sz w:val="21"/>
                <w:szCs w:val="21"/>
              </w:rPr>
            </w:pPr>
            <w:r>
              <w:rPr>
                <w:rFonts w:hint="eastAsia"/>
                <w:sz w:val="21"/>
                <w:szCs w:val="21"/>
              </w:rPr>
              <w:t>项目</w:t>
            </w:r>
            <w:r>
              <w:rPr>
                <w:rFonts w:hint="eastAsia"/>
                <w:sz w:val="21"/>
                <w:szCs w:val="21"/>
                <w:lang w:eastAsia="zh-Hans"/>
              </w:rPr>
              <w:t>船舶生活污水、垃圾、含油污</w:t>
            </w:r>
            <w:r>
              <w:rPr>
                <w:rFonts w:hint="eastAsia"/>
                <w:sz w:val="21"/>
                <w:szCs w:val="21"/>
              </w:rPr>
              <w:t>水均建设有专门的转运设施，</w:t>
            </w:r>
            <w:r>
              <w:rPr>
                <w:sz w:val="21"/>
                <w:szCs w:val="21"/>
              </w:rPr>
              <w:t>本项目</w:t>
            </w:r>
            <w:r>
              <w:rPr>
                <w:spacing w:val="0"/>
                <w:sz w:val="21"/>
                <w:szCs w:val="21"/>
              </w:rPr>
              <w:t>到港船舶油污水和生活污水</w:t>
            </w:r>
            <w:r>
              <w:rPr>
                <w:rFonts w:hint="default" w:ascii="Times New Roman" w:hAnsi="Times New Roman" w:eastAsia="宋体" w:cs="Times New Roman"/>
                <w:kern w:val="2"/>
                <w:sz w:val="21"/>
                <w:szCs w:val="21"/>
                <w:lang w:val="en-US" w:eastAsia="zh-CN" w:bidi="ar"/>
              </w:rPr>
              <w:t>上岸进入港区专用</w:t>
            </w:r>
            <w:r>
              <w:rPr>
                <w:rFonts w:hint="default" w:eastAsia="宋体" w:cs="Times New Roman"/>
                <w:kern w:val="2"/>
                <w:sz w:val="21"/>
                <w:szCs w:val="21"/>
                <w:lang w:val="en-US" w:eastAsia="zh-CN" w:bidi="ar"/>
              </w:rPr>
              <w:t>接收装置</w:t>
            </w:r>
            <w:r>
              <w:rPr>
                <w:rFonts w:hint="default" w:ascii="Times New Roman" w:hAnsi="Times New Roman" w:eastAsia="宋体" w:cs="Times New Roman"/>
                <w:kern w:val="2"/>
                <w:sz w:val="21"/>
                <w:szCs w:val="21"/>
                <w:lang w:val="en-US" w:eastAsia="zh-CN" w:bidi="ar"/>
              </w:rPr>
              <w:t>，</w:t>
            </w:r>
            <w:r>
              <w:rPr>
                <w:rFonts w:hint="eastAsia"/>
                <w:sz w:val="21"/>
                <w:szCs w:val="21"/>
              </w:rPr>
              <w:t>交由海事部门的环保工作船收集处理；后方陆域生活垃圾交由市政部门回收处理，废砂石回用，机修产生的废机油按照</w:t>
            </w:r>
            <w:r>
              <w:rPr>
                <w:sz w:val="21"/>
                <w:szCs w:val="21"/>
              </w:rPr>
              <w:t>《危险废物贮存污染控制标准》（GB18597-2001及2013年修改单）要求，危废暂存间贮存，后委托有资质单位处置</w:t>
            </w:r>
            <w:r>
              <w:rPr>
                <w:rFonts w:hint="eastAsia"/>
                <w:sz w:val="21"/>
                <w:szCs w:val="21"/>
              </w:rPr>
              <w:t>；船舶停靠使用岸电设施；码头作业区卸料车棚、散货仓库、皮带廊道均采取全封闭措施，每个转运点布设有微雾抑尘系统；卸料点采用高压自动微雾抑尘系统；装船机带俯仰、回转功能，前端设置有伸缩溜筒；同时码头配备雾炮机+洒水车进行抑尘，切实防治大气污染。</w:t>
            </w:r>
          </w:p>
        </w:tc>
        <w:tc>
          <w:tcPr>
            <w:tcW w:w="393" w:type="pct"/>
            <w:tcBorders>
              <w:tl2br w:val="nil"/>
              <w:tr2bl w:val="nil"/>
            </w:tcBorders>
            <w:vAlign w:val="center"/>
          </w:tcPr>
          <w:p>
            <w:pPr>
              <w:pStyle w:val="2057"/>
              <w:spacing w:afterLines="0"/>
              <w:ind w:firstLine="0" w:firstLineChars="0"/>
              <w:rPr>
                <w:sz w:val="21"/>
                <w:szCs w:val="21"/>
              </w:rPr>
            </w:pPr>
            <w:r>
              <w:rPr>
                <w:rFonts w:hint="eastAsia"/>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330" w:type="pct"/>
            <w:tcBorders>
              <w:tl2br w:val="nil"/>
              <w:tr2bl w:val="nil"/>
            </w:tcBorders>
            <w:vAlign w:val="center"/>
          </w:tcPr>
          <w:p>
            <w:pPr>
              <w:pStyle w:val="2057"/>
              <w:spacing w:afterLines="0"/>
              <w:ind w:firstLine="0" w:firstLineChars="0"/>
              <w:rPr>
                <w:sz w:val="21"/>
                <w:szCs w:val="21"/>
              </w:rPr>
            </w:pPr>
            <w:r>
              <w:rPr>
                <w:rFonts w:hint="eastAsia"/>
                <w:sz w:val="21"/>
                <w:szCs w:val="21"/>
              </w:rPr>
              <w:t>7</w:t>
            </w:r>
          </w:p>
        </w:tc>
        <w:tc>
          <w:tcPr>
            <w:tcW w:w="2656" w:type="pct"/>
            <w:tcBorders>
              <w:tl2br w:val="nil"/>
              <w:tr2bl w:val="nil"/>
            </w:tcBorders>
            <w:vAlign w:val="center"/>
          </w:tcPr>
          <w:p>
            <w:pPr>
              <w:pStyle w:val="2057"/>
              <w:spacing w:afterLines="0"/>
              <w:ind w:firstLine="0" w:firstLineChars="0"/>
              <w:rPr>
                <w:sz w:val="21"/>
                <w:szCs w:val="21"/>
              </w:rPr>
            </w:pPr>
            <w:r>
              <w:rPr>
                <w:rFonts w:hint="eastAsia"/>
                <w:sz w:val="21"/>
                <w:szCs w:val="21"/>
              </w:rPr>
              <w:t>（七）加强生态保护和修复。优化《规划》涉及水域船舶吨位、船舶密度、锚地靠泊等通航管理对策措施，加强对江湖连通水域江豚及鱼类的徊游通道、江湖复合生态系统等的保护。根据相关研究成果和进展，将早期鱼类资源集中水域、江豚等保护动物密集分布区等纳入优先保护河段，尽量避免占用。港口建设与运营应选用对生态影响较小的结构、材料、装卸工艺和储运方式，并采取严格的水生生物保护措施，加强对湿地和鸟类的保护，实施生态补偿和修复，减缓不良生态影响。</w:t>
            </w:r>
          </w:p>
        </w:tc>
        <w:tc>
          <w:tcPr>
            <w:tcW w:w="1620" w:type="pct"/>
            <w:tcBorders>
              <w:tl2br w:val="nil"/>
              <w:tr2bl w:val="nil"/>
            </w:tcBorders>
            <w:vAlign w:val="center"/>
          </w:tcPr>
          <w:p>
            <w:pPr>
              <w:pStyle w:val="2057"/>
              <w:spacing w:afterLines="0"/>
              <w:ind w:firstLine="0" w:firstLineChars="0"/>
              <w:rPr>
                <w:sz w:val="21"/>
                <w:szCs w:val="21"/>
              </w:rPr>
            </w:pPr>
            <w:r>
              <w:rPr>
                <w:rFonts w:hint="eastAsia"/>
                <w:sz w:val="21"/>
                <w:szCs w:val="21"/>
              </w:rPr>
              <w:t>项目占用洞庭湖口铜鱼短颌鲚国家级水产种质资源保护区，已按照要求编制《岳阳港道仁矶码头工程</w:t>
            </w:r>
            <w:r>
              <w:rPr>
                <w:sz w:val="21"/>
                <w:szCs w:val="21"/>
              </w:rPr>
              <w:t>对洞庭湖口铜鱼短颌鲚国家级水产种质资源保护区影响专题论证报告</w:t>
            </w:r>
            <w:r>
              <w:rPr>
                <w:rFonts w:hint="eastAsia"/>
                <w:sz w:val="21"/>
                <w:szCs w:val="21"/>
              </w:rPr>
              <w:t>》，报告中采取避让、减缓、生态修复等措施加强对水生生物、湿地和鸟类的保护，采取增值放流、渔业补偿等生态保护措施和修复措施。</w:t>
            </w:r>
          </w:p>
        </w:tc>
        <w:tc>
          <w:tcPr>
            <w:tcW w:w="393" w:type="pct"/>
            <w:tcBorders>
              <w:tl2br w:val="nil"/>
              <w:tr2bl w:val="nil"/>
            </w:tcBorders>
            <w:vAlign w:val="center"/>
          </w:tcPr>
          <w:p>
            <w:pPr>
              <w:pStyle w:val="2057"/>
              <w:spacing w:afterLines="0"/>
              <w:ind w:firstLine="0" w:firstLineChars="0"/>
              <w:rPr>
                <w:sz w:val="21"/>
                <w:szCs w:val="21"/>
              </w:rPr>
            </w:pPr>
            <w:r>
              <w:rPr>
                <w:rFonts w:hint="eastAsia"/>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330" w:type="pct"/>
            <w:tcBorders>
              <w:tl2br w:val="nil"/>
              <w:tr2bl w:val="nil"/>
            </w:tcBorders>
            <w:vAlign w:val="center"/>
          </w:tcPr>
          <w:p>
            <w:pPr>
              <w:pStyle w:val="2057"/>
              <w:spacing w:afterLines="0"/>
              <w:ind w:firstLine="0" w:firstLineChars="0"/>
            </w:pPr>
            <w:r>
              <w:rPr>
                <w:rFonts w:hint="eastAsia"/>
              </w:rPr>
              <w:t>8</w:t>
            </w:r>
          </w:p>
        </w:tc>
        <w:tc>
          <w:tcPr>
            <w:tcW w:w="2656" w:type="pct"/>
            <w:tcBorders>
              <w:tl2br w:val="nil"/>
              <w:tr2bl w:val="nil"/>
            </w:tcBorders>
            <w:vAlign w:val="center"/>
          </w:tcPr>
          <w:p>
            <w:pPr>
              <w:pStyle w:val="2057"/>
              <w:spacing w:afterLines="0"/>
              <w:ind w:firstLine="0" w:firstLineChars="0"/>
              <w:rPr>
                <w:sz w:val="21"/>
                <w:szCs w:val="21"/>
              </w:rPr>
            </w:pPr>
            <w:r>
              <w:rPr>
                <w:rFonts w:hint="eastAsia"/>
                <w:sz w:val="21"/>
                <w:szCs w:val="21"/>
              </w:rPr>
              <w:t>（八）建立健全生态环境长期监测体系。建立常态化大气、水、生态、渔业资源等监测体系，根据区域、流域生态环境质量变化情况，及时优化港区建设和运菅管理方案，完善相应生态环境保护措施。</w:t>
            </w:r>
          </w:p>
        </w:tc>
        <w:tc>
          <w:tcPr>
            <w:tcW w:w="1620" w:type="pct"/>
            <w:tcBorders>
              <w:tl2br w:val="nil"/>
              <w:tr2bl w:val="nil"/>
            </w:tcBorders>
            <w:vAlign w:val="center"/>
          </w:tcPr>
          <w:p>
            <w:pPr>
              <w:pStyle w:val="2057"/>
              <w:spacing w:afterLines="0"/>
              <w:ind w:firstLine="0" w:firstLineChars="0"/>
              <w:rPr>
                <w:sz w:val="21"/>
                <w:szCs w:val="21"/>
              </w:rPr>
            </w:pPr>
            <w:r>
              <w:rPr>
                <w:rFonts w:hint="eastAsia"/>
                <w:sz w:val="21"/>
                <w:szCs w:val="21"/>
              </w:rPr>
              <w:t>本项目监理生态环境监测体系，对周围环境空气、地表水、</w:t>
            </w:r>
            <w:r>
              <w:rPr>
                <w:sz w:val="21"/>
                <w:szCs w:val="21"/>
              </w:rPr>
              <w:t>浮游生物、底栖动物、水生维管束植物、鱼类种群动态、鱼类产卵场、长江江豚</w:t>
            </w:r>
            <w:r>
              <w:rPr>
                <w:rFonts w:hint="eastAsia"/>
                <w:sz w:val="21"/>
                <w:szCs w:val="21"/>
              </w:rPr>
              <w:t>等进行监测。完善生态环境保护措施</w:t>
            </w:r>
          </w:p>
        </w:tc>
        <w:tc>
          <w:tcPr>
            <w:tcW w:w="393" w:type="pct"/>
            <w:tcBorders>
              <w:tl2br w:val="nil"/>
              <w:tr2bl w:val="nil"/>
            </w:tcBorders>
            <w:vAlign w:val="center"/>
          </w:tcPr>
          <w:p>
            <w:pPr>
              <w:pStyle w:val="2057"/>
              <w:spacing w:afterLines="0"/>
              <w:ind w:firstLine="0" w:firstLineChars="0"/>
              <w:rPr>
                <w:sz w:val="21"/>
                <w:szCs w:val="21"/>
              </w:rPr>
            </w:pPr>
            <w:r>
              <w:rPr>
                <w:rFonts w:hint="eastAsia"/>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330" w:type="pct"/>
            <w:tcBorders>
              <w:tl2br w:val="nil"/>
              <w:tr2bl w:val="nil"/>
            </w:tcBorders>
            <w:vAlign w:val="center"/>
          </w:tcPr>
          <w:p>
            <w:pPr>
              <w:pStyle w:val="2057"/>
              <w:spacing w:afterLines="0"/>
              <w:ind w:firstLine="0" w:firstLineChars="0"/>
            </w:pPr>
            <w:r>
              <w:rPr>
                <w:rFonts w:hint="eastAsia"/>
              </w:rPr>
              <w:t>9</w:t>
            </w:r>
          </w:p>
        </w:tc>
        <w:tc>
          <w:tcPr>
            <w:tcW w:w="2656" w:type="pct"/>
            <w:tcBorders>
              <w:tl2br w:val="nil"/>
              <w:tr2bl w:val="nil"/>
            </w:tcBorders>
            <w:vAlign w:val="center"/>
          </w:tcPr>
          <w:p>
            <w:pPr>
              <w:pStyle w:val="2057"/>
              <w:spacing w:afterLines="0"/>
              <w:ind w:firstLine="0" w:firstLineChars="0"/>
              <w:rPr>
                <w:sz w:val="21"/>
                <w:szCs w:val="21"/>
              </w:rPr>
            </w:pPr>
            <w:r>
              <w:rPr>
                <w:rFonts w:hint="eastAsia"/>
                <w:sz w:val="21"/>
                <w:szCs w:val="21"/>
              </w:rPr>
              <w:t>（九）在《规划》实施过程中，每五年开展环境影响跟踪评价。《规划》修编时应重新编制环境影响报告书。</w:t>
            </w:r>
          </w:p>
        </w:tc>
        <w:tc>
          <w:tcPr>
            <w:tcW w:w="1620" w:type="pct"/>
            <w:tcBorders>
              <w:tl2br w:val="nil"/>
              <w:tr2bl w:val="nil"/>
            </w:tcBorders>
            <w:vAlign w:val="center"/>
          </w:tcPr>
          <w:p>
            <w:pPr>
              <w:pStyle w:val="2057"/>
              <w:spacing w:afterLines="0"/>
              <w:ind w:firstLine="0" w:firstLineChars="0"/>
              <w:rPr>
                <w:sz w:val="21"/>
                <w:szCs w:val="21"/>
              </w:rPr>
            </w:pPr>
            <w:r>
              <w:rPr>
                <w:rFonts w:hint="eastAsia"/>
                <w:sz w:val="21"/>
                <w:szCs w:val="21"/>
              </w:rPr>
              <w:t>/</w:t>
            </w:r>
          </w:p>
        </w:tc>
        <w:tc>
          <w:tcPr>
            <w:tcW w:w="393" w:type="pct"/>
            <w:tcBorders>
              <w:tl2br w:val="nil"/>
              <w:tr2bl w:val="nil"/>
            </w:tcBorders>
            <w:vAlign w:val="center"/>
          </w:tcPr>
          <w:p>
            <w:pPr>
              <w:pStyle w:val="2057"/>
              <w:spacing w:afterLines="0"/>
              <w:ind w:firstLine="0" w:firstLineChars="0"/>
              <w:rPr>
                <w:sz w:val="21"/>
                <w:szCs w:val="21"/>
              </w:rPr>
            </w:pPr>
            <w:r>
              <w:rPr>
                <w:rFonts w:hint="eastAsia"/>
                <w:sz w:val="21"/>
                <w:szCs w:val="21"/>
              </w:rPr>
              <w:t>/</w:t>
            </w:r>
          </w:p>
        </w:tc>
      </w:tr>
    </w:tbl>
    <w:p>
      <w:pPr>
        <w:ind w:firstLine="480"/>
      </w:pPr>
      <w:r>
        <w:rPr>
          <w:rFonts w:hint="eastAsia"/>
        </w:rPr>
        <w:t>由上表可知，本项目建设符合生态环境部关于《岳阳港总体规划（</w:t>
      </w:r>
      <w:r>
        <w:t>201</w:t>
      </w:r>
      <w:r>
        <w:rPr>
          <w:rFonts w:hint="eastAsia"/>
        </w:rPr>
        <w:t>7</w:t>
      </w:r>
      <w:r>
        <w:t>~203</w:t>
      </w:r>
      <w:r>
        <w:rPr>
          <w:rFonts w:hint="eastAsia"/>
        </w:rPr>
        <w:t>5）环境影响报告书》的审查意见。</w:t>
      </w:r>
    </w:p>
    <w:p>
      <w:pPr>
        <w:pStyle w:val="456"/>
        <w:ind w:firstLine="482"/>
        <w:rPr>
          <w:color w:val="auto"/>
          <w:position w:val="1"/>
        </w:rPr>
      </w:pPr>
      <w:r>
        <w:rPr>
          <w:color w:val="auto"/>
          <w:position w:val="1"/>
        </w:rPr>
        <w:t>与</w:t>
      </w:r>
      <w:r>
        <w:rPr>
          <w:color w:val="auto"/>
        </w:rPr>
        <w:t>《岳阳市城市总体规</w:t>
      </w:r>
      <w:r>
        <w:rPr>
          <w:color w:val="auto"/>
          <w:spacing w:val="-27"/>
        </w:rPr>
        <w:t>划</w:t>
      </w:r>
      <w:r>
        <w:rPr>
          <w:color w:val="auto"/>
        </w:rPr>
        <w:t>（2008-2030</w:t>
      </w:r>
      <w:r>
        <w:rPr>
          <w:color w:val="auto"/>
          <w:spacing w:val="-27"/>
        </w:rPr>
        <w:t>）》</w:t>
      </w:r>
      <w:r>
        <w:rPr>
          <w:color w:val="auto"/>
          <w:position w:val="1"/>
        </w:rPr>
        <w:t>的符合性分析</w:t>
      </w:r>
    </w:p>
    <w:p>
      <w:pPr>
        <w:ind w:firstLine="480"/>
      </w:pPr>
      <w:r>
        <w:t>《岳阳市城市总体规划（2008-2030）》指出，岳阳港是我国内河主要港口、长江沿 线枢纽港之一、上海港的喂给港；湖南</w:t>
      </w:r>
      <w:r>
        <w:rPr>
          <w:rFonts w:asciiTheme="minorEastAsia" w:hAnsiTheme="minorEastAsia" w:eastAsiaTheme="minorEastAsia"/>
        </w:rPr>
        <w:t>“</w:t>
      </w:r>
      <w:r>
        <w:t>3+5 城市群</w:t>
      </w:r>
      <w:r>
        <w:rPr>
          <w:rFonts w:asciiTheme="minorEastAsia" w:hAnsiTheme="minorEastAsia" w:eastAsiaTheme="minorEastAsia"/>
        </w:rPr>
        <w:t>”</w:t>
      </w:r>
      <w:r>
        <w:t>的水运中转枢纽；是湖南现代物流的重要支撑和对外开放、发展外向型经济的重要依托。应继续贯彻</w:t>
      </w:r>
      <w:r>
        <w:rPr>
          <w:rFonts w:asciiTheme="minorEastAsia" w:hAnsiTheme="minorEastAsia" w:eastAsiaTheme="minorEastAsia"/>
        </w:rPr>
        <w:t>“</w:t>
      </w:r>
      <w:r>
        <w:t>以港兴市</w:t>
      </w:r>
      <w:r>
        <w:rPr>
          <w:rFonts w:asciiTheme="minorEastAsia" w:hAnsiTheme="minorEastAsia" w:eastAsiaTheme="minorEastAsia"/>
        </w:rPr>
        <w:t>”</w:t>
      </w:r>
      <w:r>
        <w:t>的战略思想，规划城陵矶（包括松杨湖港）、岳阳楼、七里山、道仁矶、陆城、君山、湘阴、汨罗、岳阳县、华容、临湘等十一个港区，将协调岸线资源和港口功能的发挥作为重大基础设施和社会服务设施对接。</w:t>
      </w:r>
    </w:p>
    <w:p>
      <w:pPr>
        <w:ind w:firstLine="480"/>
      </w:pPr>
      <w:r>
        <w:t>本项目位于岳阳港的道仁矶港区，</w:t>
      </w:r>
      <w:r>
        <w:rPr>
          <w:rFonts w:eastAsiaTheme="minorEastAsia"/>
        </w:rPr>
        <w:t>主要运输货种为砂石、铁矿石、煤炭、水泥、非金属矿石、其他散货及防汛物资等</w:t>
      </w:r>
      <w:r>
        <w:rPr>
          <w:rFonts w:hint="eastAsia" w:eastAsiaTheme="minorEastAsia"/>
        </w:rPr>
        <w:t>，</w:t>
      </w:r>
      <w:r>
        <w:rPr>
          <w:rFonts w:eastAsiaTheme="minorEastAsia"/>
        </w:rPr>
        <w:t>是提高岳阳港货物接卸能力、为全面清理整顿“水上过驳”奠定基础的迫切需要，是充分发挥省内国企龙头优势，构建市场化供销体系，推动湖南经济社会高质量发展的需要</w:t>
      </w:r>
      <w:r>
        <w:t>。</w:t>
      </w:r>
    </w:p>
    <w:p>
      <w:pPr>
        <w:ind w:firstLine="480"/>
      </w:pPr>
      <w:r>
        <w:t>因此，本项目的建设符合《岳阳市城市总体规划（2008-2030）》的要求。</w:t>
      </w:r>
    </w:p>
    <w:p>
      <w:pPr>
        <w:pStyle w:val="456"/>
        <w:ind w:firstLine="482"/>
        <w:rPr>
          <w:color w:val="auto"/>
        </w:rPr>
      </w:pPr>
      <w:r>
        <w:rPr>
          <w:color w:val="auto"/>
        </w:rPr>
        <w:t>与《</w:t>
      </w:r>
      <w:r>
        <w:rPr>
          <w:rFonts w:hint="eastAsia"/>
          <w:color w:val="auto"/>
          <w:lang w:val="en-US"/>
        </w:rPr>
        <w:t>湖南省“十四五”</w:t>
      </w:r>
      <w:r>
        <w:rPr>
          <w:color w:val="auto"/>
        </w:rPr>
        <w:t>生态环境保护规划》的符合性分析</w:t>
      </w:r>
    </w:p>
    <w:p>
      <w:pPr>
        <w:ind w:firstLine="480"/>
      </w:pPr>
      <w:r>
        <w:rPr>
          <w:rFonts w:hint="eastAsia"/>
        </w:rPr>
        <w:t>2021年9月30日，湖南省人民政府办公厅印发了《湖南省“</w:t>
      </w:r>
      <w:r>
        <w:t>十四五</w:t>
      </w:r>
      <w:r>
        <w:rPr>
          <w:rFonts w:hint="eastAsia"/>
        </w:rPr>
        <w:t>”生态环境保护规划》。规划中提出要推动运输结构持续优化，</w:t>
      </w:r>
      <w:r>
        <w:t>充分发挥“一江一湖四水”水运资源禀赋</w:t>
      </w:r>
      <w:r>
        <w:rPr>
          <w:rFonts w:hint="eastAsia"/>
        </w:rPr>
        <w:t>，</w:t>
      </w:r>
      <w:r>
        <w:t>推进大宗货物和集装箱中长距离运输“公转铁、公转水”，实现“宜铁则铁、宜公则公、宜水则水”优化组合，减少公路运输量，增加铁路、水路运输量。加大柴油货车大宗货物集疏港运输管控力度，逐步限制和禁止大宗货物长距离通过汽车集疏港运输，培育铁路和水路货物运输市场，推动大宗货物集疏港运输向铁路和水路转移。大宗货物绿色运输方式比例</w:t>
      </w:r>
      <w:r>
        <w:rPr>
          <w:rFonts w:hint="eastAsia"/>
        </w:rPr>
        <w:t>、</w:t>
      </w:r>
      <w:r>
        <w:t>铁路和水路货运量占比</w:t>
      </w:r>
      <w:r>
        <w:rPr>
          <w:rFonts w:hint="eastAsia"/>
        </w:rPr>
        <w:t>不断提高</w:t>
      </w:r>
      <w:r>
        <w:t>。</w:t>
      </w:r>
    </w:p>
    <w:p>
      <w:pPr>
        <w:ind w:firstLine="480"/>
      </w:pPr>
      <w:r>
        <w:rPr>
          <w:rFonts w:hint="eastAsia"/>
        </w:rPr>
        <w:t>规划提出要深入打好污染防治攻坚战，在加强长江干支流系统治理中提出“</w:t>
      </w:r>
      <w:r>
        <w:rPr>
          <w:lang w:eastAsia="zh-Hans"/>
        </w:rPr>
        <w:t>加强船舶及港口码头污染防治</w:t>
      </w:r>
      <w:r>
        <w:t>，优化港口码头布局，</w:t>
      </w:r>
      <w:r>
        <w:rPr>
          <w:lang w:eastAsia="zh-Hans"/>
        </w:rPr>
        <w:t>全面清理非法码头，对</w:t>
      </w:r>
      <w:r>
        <w:rPr>
          <w:rFonts w:hint="eastAsia"/>
        </w:rPr>
        <w:t>环保不达标的合法</w:t>
      </w:r>
      <w:r>
        <w:rPr>
          <w:lang w:eastAsia="zh-Hans"/>
        </w:rPr>
        <w:t>码头实施污染</w:t>
      </w:r>
      <w:r>
        <w:t>防治</w:t>
      </w:r>
      <w:r>
        <w:rPr>
          <w:lang w:eastAsia="zh-Hans"/>
        </w:rPr>
        <w:t>设施升级改造，</w:t>
      </w:r>
      <w:r>
        <w:t>推动绿色港口、绿色码头建设；</w:t>
      </w:r>
      <w:r>
        <w:rPr>
          <w:lang w:eastAsia="zh-Hans"/>
        </w:rPr>
        <w:t>完善船舶生活污水、垃圾、含油污</w:t>
      </w:r>
      <w:r>
        <w:t>水接收转运设施建设，推动接收设施与城市公共转运设施有效衔接，</w:t>
      </w:r>
      <w:r>
        <w:rPr>
          <w:lang w:eastAsia="zh-Hans"/>
        </w:rPr>
        <w:t>长江干流湖南段港口码头应建成靠港船舶生活污水固定接收设施，</w:t>
      </w:r>
      <w:r>
        <w:t>推广应用船舶水污染物联合监管与服务信息系统，形成船舶和港口污染防治长效机制</w:t>
      </w:r>
      <w:r>
        <w:rPr>
          <w:lang w:eastAsia="zh-Hans"/>
        </w:rPr>
        <w:t>。</w:t>
      </w:r>
      <w:r>
        <w:t>合理布局砂石接收码头，引导河道砂石资源有序开发应用。</w:t>
      </w:r>
      <w:r>
        <w:rPr>
          <w:rFonts w:hint="eastAsia"/>
        </w:rPr>
        <w:t>”</w:t>
      </w:r>
    </w:p>
    <w:p>
      <w:pPr>
        <w:ind w:firstLine="480"/>
      </w:pPr>
      <w:r>
        <w:rPr>
          <w:rFonts w:hint="eastAsia"/>
        </w:rPr>
        <w:t>在深入打好蓝天保卫战中提出“强化车船油路港联合防控。大力推进船舶大气污染控制，依法强制报废超过使用年限的船舶，鼓励淘汰使用20年以上的内河航运船舶。推动长江干支流主要港口岸电建设，逐步提高岸电使用率。强化扬尘污染精准科学管控。加强码头作业扬尘控制，煤炭、矿石及干散货码头应全面完成防风抑尘设施建设，码头堆场应采用封闭方式进行堆存。”</w:t>
      </w:r>
    </w:p>
    <w:p>
      <w:pPr>
        <w:adjustRightInd w:val="0"/>
        <w:snapToGrid w:val="0"/>
        <w:ind w:firstLine="480"/>
      </w:pPr>
      <w:r>
        <w:rPr>
          <w:rFonts w:hint="eastAsia"/>
        </w:rPr>
        <w:t>本项目建设搭建了全省港口资源整合运营的省级平台，给长江中下游的矿建材料、非金属矿石、铁矿石、煤炭等散货的中转提供服务，推进大宗货物和集装箱中水水转运，满足规划中推动运输结构持续优化的要求；项目</w:t>
      </w:r>
      <w:r>
        <w:rPr>
          <w:lang w:eastAsia="zh-Hans"/>
        </w:rPr>
        <w:t>船舶生活污水、垃圾、含油污</w:t>
      </w:r>
      <w:r>
        <w:t>水</w:t>
      </w:r>
      <w:r>
        <w:rPr>
          <w:rFonts w:hint="eastAsia"/>
        </w:rPr>
        <w:t>均建设有专门的转运设施，交由海事部门的环保工作船收集处理。船舶停靠使用岸电设施，码头作业区卸料车棚、散货仓库、皮带廊道均采取全封闭措施，每个转运点布设有微雾抑尘系统；卸料点采用高压自动微雾抑尘系统；装船机带俯仰、回转功能，前端设置有伸缩溜筒；同时码头配备雾炮机+洒水车进行抑尘。</w:t>
      </w:r>
    </w:p>
    <w:p>
      <w:pPr>
        <w:ind w:firstLine="480"/>
      </w:pPr>
      <w:r>
        <w:rPr>
          <w:rFonts w:hint="eastAsia"/>
        </w:rPr>
        <w:t>综上可知</w:t>
      </w:r>
      <w:r>
        <w:t>，本项目</w:t>
      </w:r>
      <w:r>
        <w:rPr>
          <w:rFonts w:hint="eastAsia"/>
        </w:rPr>
        <w:t>建设符合《湖南省“</w:t>
      </w:r>
      <w:r>
        <w:t>十四五</w:t>
      </w:r>
      <w:r>
        <w:rPr>
          <w:rFonts w:hint="eastAsia"/>
        </w:rPr>
        <w:t>”生态环境保护规划》</w:t>
      </w:r>
      <w:r>
        <w:t>。</w:t>
      </w:r>
    </w:p>
    <w:p>
      <w:pPr>
        <w:pStyle w:val="456"/>
        <w:ind w:firstLine="482"/>
        <w:rPr>
          <w:color w:val="auto"/>
        </w:rPr>
      </w:pPr>
      <w:r>
        <w:rPr>
          <w:color w:val="auto"/>
        </w:rPr>
        <w:t>与《长江经济带发展负面清单指南（试行，2022年版）》相符性分析</w:t>
      </w:r>
    </w:p>
    <w:p>
      <w:pPr>
        <w:ind w:firstLine="480"/>
      </w:pPr>
      <w:r>
        <w:rPr>
          <w:rFonts w:hint="eastAsia"/>
        </w:rPr>
        <w:t>根据《长江经济带发展负面清单指南（试行，2022年版）》，项目与之符合性分析见</w:t>
      </w:r>
      <w:r>
        <w:rPr>
          <w:rFonts w:hint="eastAsia"/>
          <w:lang w:val="en-US" w:eastAsia="zh-CN"/>
        </w:rPr>
        <w:t>下</w:t>
      </w:r>
      <w:r>
        <w:rPr>
          <w:rFonts w:hint="eastAsia"/>
        </w:rPr>
        <w:t>表</w:t>
      </w:r>
      <w:r>
        <w:t>。</w:t>
      </w:r>
    </w:p>
    <w:p>
      <w:pPr>
        <w:pStyle w:val="619"/>
        <w:rPr>
          <w:szCs w:val="21"/>
        </w:rPr>
      </w:pPr>
      <w:r>
        <w:rPr>
          <w:rFonts w:hint="eastAsia"/>
        </w:rPr>
        <w:t>项目建设与《</w:t>
      </w:r>
      <w:r>
        <w:rPr>
          <w:rFonts w:hint="eastAsia"/>
          <w:bCs/>
          <w:color w:val="000000" w:themeColor="text1"/>
          <w:szCs w:val="18"/>
          <w14:textFill>
            <w14:solidFill>
              <w14:schemeClr w14:val="tx1"/>
            </w14:solidFill>
          </w14:textFill>
        </w:rPr>
        <w:t>长江经济带</w:t>
      </w:r>
      <w:r>
        <w:rPr>
          <w:rFonts w:hint="eastAsia"/>
        </w:rPr>
        <w:t>发展负面清单指南（试行，2022年版）》相符性分析</w:t>
      </w:r>
    </w:p>
    <w:tbl>
      <w:tblPr>
        <w:tblStyle w:val="87"/>
        <w:tblW w:w="501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472"/>
        <w:gridCol w:w="3922"/>
        <w:gridCol w:w="3922"/>
        <w:gridCol w:w="8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9" w:hRule="atLeast"/>
          <w:tblHeader/>
        </w:trPr>
        <w:tc>
          <w:tcPr>
            <w:tcW w:w="259" w:type="pct"/>
            <w:tcBorders>
              <w:bottom w:val="single" w:color="auto" w:sz="12" w:space="0"/>
            </w:tcBorders>
            <w:vAlign w:val="center"/>
          </w:tcPr>
          <w:p>
            <w:pPr>
              <w:pStyle w:val="2057"/>
              <w:spacing w:afterLines="0"/>
              <w:ind w:firstLine="0" w:firstLineChars="0"/>
              <w:rPr>
                <w:b/>
                <w:bCs w:val="0"/>
                <w:sz w:val="21"/>
                <w:szCs w:val="21"/>
              </w:rPr>
            </w:pPr>
            <w:r>
              <w:rPr>
                <w:rFonts w:hint="eastAsia"/>
                <w:b/>
                <w:bCs w:val="0"/>
                <w:sz w:val="21"/>
                <w:szCs w:val="21"/>
              </w:rPr>
              <w:t>序号</w:t>
            </w:r>
          </w:p>
        </w:tc>
        <w:tc>
          <w:tcPr>
            <w:tcW w:w="2147" w:type="pct"/>
            <w:tcBorders>
              <w:bottom w:val="single" w:color="auto" w:sz="12" w:space="0"/>
            </w:tcBorders>
            <w:vAlign w:val="center"/>
          </w:tcPr>
          <w:p>
            <w:pPr>
              <w:pStyle w:val="2057"/>
              <w:spacing w:afterLines="0"/>
              <w:ind w:firstLine="0" w:firstLineChars="0"/>
              <w:rPr>
                <w:b/>
                <w:bCs w:val="0"/>
                <w:sz w:val="21"/>
                <w:szCs w:val="21"/>
              </w:rPr>
            </w:pPr>
            <w:r>
              <w:rPr>
                <w:rFonts w:hint="eastAsia"/>
                <w:b/>
                <w:bCs w:val="0"/>
                <w:sz w:val="21"/>
                <w:szCs w:val="21"/>
              </w:rPr>
              <w:t>要求</w:t>
            </w:r>
          </w:p>
        </w:tc>
        <w:tc>
          <w:tcPr>
            <w:tcW w:w="2147" w:type="pct"/>
            <w:tcBorders>
              <w:bottom w:val="single" w:color="auto" w:sz="12" w:space="0"/>
            </w:tcBorders>
            <w:vAlign w:val="center"/>
          </w:tcPr>
          <w:p>
            <w:pPr>
              <w:pStyle w:val="2057"/>
              <w:spacing w:afterLines="0"/>
              <w:ind w:firstLine="0" w:firstLineChars="0"/>
              <w:rPr>
                <w:b/>
                <w:bCs w:val="0"/>
                <w:sz w:val="21"/>
                <w:szCs w:val="21"/>
              </w:rPr>
            </w:pPr>
            <w:r>
              <w:rPr>
                <w:rFonts w:hint="eastAsia"/>
                <w:b/>
                <w:bCs w:val="0"/>
                <w:sz w:val="21"/>
                <w:szCs w:val="21"/>
              </w:rPr>
              <w:t>本项目情况</w:t>
            </w:r>
          </w:p>
        </w:tc>
        <w:tc>
          <w:tcPr>
            <w:tcW w:w="445" w:type="pct"/>
            <w:tcBorders>
              <w:bottom w:val="single" w:color="auto" w:sz="12" w:space="0"/>
            </w:tcBorders>
            <w:vAlign w:val="center"/>
          </w:tcPr>
          <w:p>
            <w:pPr>
              <w:pStyle w:val="2057"/>
              <w:spacing w:afterLines="0"/>
              <w:ind w:firstLine="0" w:firstLineChars="0"/>
              <w:rPr>
                <w:b/>
                <w:bCs w:val="0"/>
                <w:sz w:val="21"/>
                <w:szCs w:val="21"/>
              </w:rPr>
            </w:pPr>
            <w:r>
              <w:rPr>
                <w:rFonts w:hint="eastAsia"/>
                <w:b/>
                <w:bCs w:val="0"/>
                <w:sz w:val="21"/>
                <w:szCs w:val="21"/>
              </w:rPr>
              <w:t>符合性分析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35" w:hRule="atLeast"/>
        </w:trPr>
        <w:tc>
          <w:tcPr>
            <w:tcW w:w="259" w:type="pct"/>
            <w:tcBorders>
              <w:top w:val="single" w:color="auto" w:sz="12" w:space="0"/>
              <w:tl2br w:val="nil"/>
              <w:tr2bl w:val="nil"/>
            </w:tcBorders>
            <w:vAlign w:val="center"/>
          </w:tcPr>
          <w:p>
            <w:pPr>
              <w:pStyle w:val="2057"/>
              <w:spacing w:afterLines="0"/>
              <w:ind w:firstLine="0" w:firstLineChars="0"/>
              <w:rPr>
                <w:sz w:val="21"/>
                <w:szCs w:val="21"/>
              </w:rPr>
            </w:pPr>
            <w:r>
              <w:rPr>
                <w:rFonts w:hint="eastAsia"/>
                <w:sz w:val="21"/>
                <w:szCs w:val="21"/>
              </w:rPr>
              <w:t>1</w:t>
            </w:r>
          </w:p>
        </w:tc>
        <w:tc>
          <w:tcPr>
            <w:tcW w:w="2147" w:type="pct"/>
            <w:tcBorders>
              <w:top w:val="single" w:color="auto" w:sz="12" w:space="0"/>
              <w:tl2br w:val="nil"/>
              <w:tr2bl w:val="nil"/>
            </w:tcBorders>
            <w:vAlign w:val="center"/>
          </w:tcPr>
          <w:p>
            <w:pPr>
              <w:pStyle w:val="2057"/>
              <w:spacing w:afterLines="0"/>
              <w:ind w:firstLine="0" w:firstLineChars="0"/>
              <w:rPr>
                <w:sz w:val="21"/>
                <w:szCs w:val="21"/>
              </w:rPr>
            </w:pPr>
            <w:r>
              <w:rPr>
                <w:rFonts w:hint="eastAsia"/>
                <w:sz w:val="21"/>
                <w:szCs w:val="21"/>
              </w:rPr>
              <w:t>禁止建设不符合全国及省级港口布局规划以及港口总体规划的码头项目，禁止建设不符合《长江干线过江通道布局规划》的过长江通道项目。</w:t>
            </w:r>
          </w:p>
        </w:tc>
        <w:tc>
          <w:tcPr>
            <w:tcW w:w="2147" w:type="pct"/>
            <w:tcBorders>
              <w:top w:val="single" w:color="auto" w:sz="12" w:space="0"/>
              <w:tl2br w:val="nil"/>
              <w:tr2bl w:val="nil"/>
            </w:tcBorders>
            <w:vAlign w:val="center"/>
          </w:tcPr>
          <w:p>
            <w:pPr>
              <w:pStyle w:val="2057"/>
              <w:spacing w:afterLines="0"/>
              <w:ind w:firstLine="0" w:firstLineChars="0"/>
              <w:rPr>
                <w:sz w:val="21"/>
                <w:szCs w:val="21"/>
              </w:rPr>
            </w:pPr>
            <w:r>
              <w:rPr>
                <w:rFonts w:hint="eastAsia"/>
                <w:sz w:val="21"/>
                <w:szCs w:val="21"/>
              </w:rPr>
              <w:t>项目符合《岳阳港总体规划（2035 年）》的要求，码头建设符合港口布局及港口总体规划，具体符合性分析见4.3.</w:t>
            </w:r>
            <w:r>
              <w:rPr>
                <w:rFonts w:hint="eastAsia"/>
                <w:sz w:val="21"/>
                <w:szCs w:val="21"/>
                <w:lang w:val="en-US" w:eastAsia="zh-CN"/>
              </w:rPr>
              <w:t>10</w:t>
            </w:r>
            <w:r>
              <w:rPr>
                <w:rFonts w:hint="eastAsia"/>
                <w:sz w:val="21"/>
                <w:szCs w:val="21"/>
              </w:rPr>
              <w:t>章节。</w:t>
            </w:r>
          </w:p>
          <w:p>
            <w:pPr>
              <w:pStyle w:val="2057"/>
              <w:spacing w:afterLines="0"/>
              <w:ind w:firstLine="0" w:firstLineChars="0"/>
              <w:rPr>
                <w:sz w:val="21"/>
                <w:szCs w:val="21"/>
              </w:rPr>
            </w:pPr>
            <w:r>
              <w:rPr>
                <w:rFonts w:hint="eastAsia"/>
                <w:sz w:val="21"/>
                <w:szCs w:val="21"/>
              </w:rPr>
              <w:t>项目为通用码头，不涉及过江通道，符合《长江干线过江通道布局规划》要求。</w:t>
            </w:r>
          </w:p>
        </w:tc>
        <w:tc>
          <w:tcPr>
            <w:tcW w:w="445" w:type="pct"/>
            <w:tcBorders>
              <w:top w:val="single" w:color="auto" w:sz="12" w:space="0"/>
              <w:tl2br w:val="nil"/>
              <w:tr2bl w:val="nil"/>
            </w:tcBorders>
            <w:vAlign w:val="center"/>
          </w:tcPr>
          <w:p>
            <w:pPr>
              <w:pStyle w:val="2057"/>
              <w:spacing w:afterLines="0"/>
              <w:ind w:firstLine="0" w:firstLineChars="0"/>
              <w:rPr>
                <w:sz w:val="21"/>
                <w:szCs w:val="21"/>
              </w:rPr>
            </w:pPr>
            <w:r>
              <w:rPr>
                <w:rFonts w:hint="eastAsia"/>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38" w:hRule="atLeast"/>
        </w:trPr>
        <w:tc>
          <w:tcPr>
            <w:tcW w:w="259" w:type="pct"/>
            <w:tcBorders>
              <w:tl2br w:val="nil"/>
              <w:tr2bl w:val="nil"/>
            </w:tcBorders>
            <w:vAlign w:val="center"/>
          </w:tcPr>
          <w:p>
            <w:pPr>
              <w:pStyle w:val="2057"/>
              <w:spacing w:afterLines="0"/>
              <w:ind w:firstLine="0" w:firstLineChars="0"/>
              <w:rPr>
                <w:sz w:val="21"/>
                <w:szCs w:val="21"/>
              </w:rPr>
            </w:pPr>
            <w:r>
              <w:rPr>
                <w:rFonts w:hint="eastAsia"/>
                <w:sz w:val="21"/>
                <w:szCs w:val="21"/>
              </w:rPr>
              <w:t>2</w:t>
            </w:r>
          </w:p>
        </w:tc>
        <w:tc>
          <w:tcPr>
            <w:tcW w:w="2147" w:type="pct"/>
            <w:tcBorders>
              <w:tl2br w:val="nil"/>
              <w:tr2bl w:val="nil"/>
            </w:tcBorders>
            <w:vAlign w:val="center"/>
          </w:tcPr>
          <w:p>
            <w:pPr>
              <w:pStyle w:val="2057"/>
              <w:spacing w:afterLines="0"/>
              <w:ind w:firstLine="0" w:firstLineChars="0"/>
              <w:rPr>
                <w:sz w:val="21"/>
                <w:szCs w:val="21"/>
              </w:rPr>
            </w:pPr>
            <w:r>
              <w:rPr>
                <w:rFonts w:hint="eastAsia"/>
                <w:sz w:val="21"/>
                <w:szCs w:val="21"/>
              </w:rPr>
              <w:t>禁止在自然保护区核心区、缓冲区的岸线和河段范围内投资建设旅游和生产经营项目。禁止在风景名胜区核心景区的岸线和河段范围内投资建设与风景名胜资源保护无关的项目。</w:t>
            </w:r>
          </w:p>
        </w:tc>
        <w:tc>
          <w:tcPr>
            <w:tcW w:w="2147" w:type="pct"/>
            <w:tcBorders>
              <w:tl2br w:val="nil"/>
              <w:tr2bl w:val="nil"/>
            </w:tcBorders>
            <w:vAlign w:val="center"/>
          </w:tcPr>
          <w:p>
            <w:pPr>
              <w:pStyle w:val="2057"/>
              <w:spacing w:afterLines="0"/>
              <w:ind w:firstLine="0" w:firstLineChars="0"/>
              <w:rPr>
                <w:sz w:val="21"/>
                <w:szCs w:val="21"/>
              </w:rPr>
            </w:pPr>
            <w:r>
              <w:rPr>
                <w:rFonts w:hint="eastAsia"/>
                <w:sz w:val="21"/>
                <w:szCs w:val="21"/>
              </w:rPr>
              <w:t>本项不涉及自然保护区核心区、缓冲区的岸线和河段范围；项目不涉及风景名胜区核心景区的岸线和河段范围，符合要求。</w:t>
            </w:r>
          </w:p>
        </w:tc>
        <w:tc>
          <w:tcPr>
            <w:tcW w:w="445" w:type="pct"/>
            <w:tcBorders>
              <w:tl2br w:val="nil"/>
              <w:tr2bl w:val="nil"/>
            </w:tcBorders>
            <w:vAlign w:val="center"/>
          </w:tcPr>
          <w:p>
            <w:pPr>
              <w:pStyle w:val="2057"/>
              <w:spacing w:afterLines="0"/>
              <w:ind w:firstLine="0" w:firstLineChars="0"/>
              <w:rPr>
                <w:sz w:val="21"/>
                <w:szCs w:val="21"/>
              </w:rPr>
            </w:pPr>
            <w:r>
              <w:rPr>
                <w:rFonts w:hint="eastAsia"/>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23" w:hRule="atLeast"/>
        </w:trPr>
        <w:tc>
          <w:tcPr>
            <w:tcW w:w="259" w:type="pct"/>
            <w:tcBorders>
              <w:tl2br w:val="nil"/>
              <w:tr2bl w:val="nil"/>
            </w:tcBorders>
            <w:vAlign w:val="center"/>
          </w:tcPr>
          <w:p>
            <w:pPr>
              <w:pStyle w:val="2057"/>
              <w:spacing w:afterLines="0"/>
              <w:ind w:firstLine="0" w:firstLineChars="0"/>
              <w:rPr>
                <w:sz w:val="21"/>
                <w:szCs w:val="21"/>
              </w:rPr>
            </w:pPr>
            <w:r>
              <w:rPr>
                <w:rFonts w:hint="eastAsia"/>
                <w:sz w:val="21"/>
                <w:szCs w:val="21"/>
              </w:rPr>
              <w:t>3</w:t>
            </w:r>
          </w:p>
        </w:tc>
        <w:tc>
          <w:tcPr>
            <w:tcW w:w="2147" w:type="pct"/>
            <w:tcBorders>
              <w:tl2br w:val="nil"/>
              <w:tr2bl w:val="nil"/>
            </w:tcBorders>
            <w:vAlign w:val="center"/>
          </w:tcPr>
          <w:p>
            <w:pPr>
              <w:pStyle w:val="2057"/>
              <w:spacing w:afterLines="0"/>
              <w:ind w:firstLine="0" w:firstLineChars="0"/>
              <w:rPr>
                <w:sz w:val="21"/>
                <w:szCs w:val="21"/>
              </w:rPr>
            </w:pPr>
            <w:r>
              <w:rPr>
                <w:rFonts w:hint="eastAsia"/>
                <w:sz w:val="21"/>
                <w:szCs w:val="21"/>
              </w:rPr>
              <w:t>禁止在饮用水水源一级保护区的岸线和河段范围内新建、改建、扩建与供水设施和保护水源无关的项目，以及网箱养殖、畜商养殖、旅游等可能污染饮用水水体的投资建设项目。禁止在饮用水水源二级保护区的岸线和河段范围内新建、改建、扩建排放污染物的投资建设项目。</w:t>
            </w:r>
          </w:p>
        </w:tc>
        <w:tc>
          <w:tcPr>
            <w:tcW w:w="2147" w:type="pct"/>
            <w:tcBorders>
              <w:tl2br w:val="nil"/>
              <w:tr2bl w:val="nil"/>
            </w:tcBorders>
            <w:vAlign w:val="center"/>
          </w:tcPr>
          <w:p>
            <w:pPr>
              <w:pStyle w:val="2057"/>
              <w:spacing w:afterLines="0"/>
              <w:ind w:firstLine="0" w:firstLineChars="0"/>
              <w:rPr>
                <w:color w:val="FF0000"/>
                <w:sz w:val="21"/>
                <w:szCs w:val="21"/>
              </w:rPr>
            </w:pPr>
            <w:r>
              <w:rPr>
                <w:rFonts w:hint="eastAsia"/>
                <w:color w:val="000000" w:themeColor="text1"/>
                <w:sz w:val="21"/>
                <w:szCs w:val="21"/>
                <w14:textFill>
                  <w14:solidFill>
                    <w14:schemeClr w14:val="tx1"/>
                  </w14:solidFill>
                </w14:textFill>
              </w:rPr>
              <w:t>项目不涉及饮用水水源水源一级保护区和二级保护区。</w:t>
            </w:r>
          </w:p>
        </w:tc>
        <w:tc>
          <w:tcPr>
            <w:tcW w:w="445" w:type="pct"/>
            <w:tcBorders>
              <w:tl2br w:val="nil"/>
              <w:tr2bl w:val="nil"/>
            </w:tcBorders>
            <w:vAlign w:val="center"/>
          </w:tcPr>
          <w:p>
            <w:pPr>
              <w:pStyle w:val="2057"/>
              <w:spacing w:afterLines="0"/>
              <w:ind w:firstLine="0" w:firstLineChars="0"/>
              <w:rPr>
                <w:color w:val="FF0000"/>
                <w:sz w:val="21"/>
                <w:szCs w:val="21"/>
              </w:rPr>
            </w:pPr>
            <w:r>
              <w:rPr>
                <w:rFonts w:hint="eastAsia"/>
                <w:color w:val="000000" w:themeColor="text1"/>
                <w:sz w:val="21"/>
                <w:szCs w:val="21"/>
                <w14:textFill>
                  <w14:solidFill>
                    <w14:schemeClr w14:val="tx1"/>
                  </w14:solidFill>
                </w14:textFill>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797" w:hRule="atLeast"/>
        </w:trPr>
        <w:tc>
          <w:tcPr>
            <w:tcW w:w="259" w:type="pct"/>
            <w:tcBorders>
              <w:tl2br w:val="nil"/>
              <w:tr2bl w:val="nil"/>
            </w:tcBorders>
            <w:vAlign w:val="center"/>
          </w:tcPr>
          <w:p>
            <w:pPr>
              <w:pStyle w:val="2057"/>
              <w:spacing w:afterLines="0"/>
              <w:ind w:firstLine="0" w:firstLineChars="0"/>
              <w:rPr>
                <w:sz w:val="21"/>
                <w:szCs w:val="21"/>
              </w:rPr>
            </w:pPr>
            <w:r>
              <w:rPr>
                <w:rFonts w:hint="eastAsia"/>
                <w:sz w:val="21"/>
                <w:szCs w:val="21"/>
              </w:rPr>
              <w:t>4</w:t>
            </w:r>
          </w:p>
        </w:tc>
        <w:tc>
          <w:tcPr>
            <w:tcW w:w="2147" w:type="pct"/>
            <w:tcBorders>
              <w:tl2br w:val="nil"/>
              <w:tr2bl w:val="nil"/>
            </w:tcBorders>
            <w:vAlign w:val="center"/>
          </w:tcPr>
          <w:p>
            <w:pPr>
              <w:pStyle w:val="2057"/>
              <w:spacing w:afterLines="0"/>
              <w:ind w:firstLine="0" w:firstLineChars="0"/>
              <w:rPr>
                <w:sz w:val="21"/>
                <w:szCs w:val="21"/>
              </w:rPr>
            </w:pPr>
            <w:r>
              <w:rPr>
                <w:rFonts w:hint="eastAsia"/>
                <w:sz w:val="21"/>
                <w:szCs w:val="21"/>
              </w:rPr>
              <w:t>禁止在水产种质资源保护区的岸线和河段范围内新建围湖造田、围海造地或围填海等投资建设项目。禁止在国家湿地公园的岸线和河段范围内挖沙、采矿，以及任何不符合主体功能定位的技资建设项目。</w:t>
            </w:r>
          </w:p>
        </w:tc>
        <w:tc>
          <w:tcPr>
            <w:tcW w:w="2147" w:type="pct"/>
            <w:tcBorders>
              <w:tl2br w:val="nil"/>
              <w:tr2bl w:val="nil"/>
            </w:tcBorders>
            <w:vAlign w:val="center"/>
          </w:tcPr>
          <w:p>
            <w:pPr>
              <w:pStyle w:val="2057"/>
              <w:spacing w:afterLines="0"/>
              <w:ind w:firstLine="0" w:firstLineChars="0"/>
              <w:rPr>
                <w:sz w:val="21"/>
                <w:szCs w:val="21"/>
              </w:rPr>
            </w:pPr>
            <w:r>
              <w:rPr>
                <w:rFonts w:hint="eastAsia"/>
                <w:sz w:val="21"/>
                <w:szCs w:val="21"/>
              </w:rPr>
              <w:t>本项目属于码头建设项目，不属于围湖造田、围海造地或围填海等建设项目，项目建设占用</w:t>
            </w:r>
            <w:r>
              <w:rPr>
                <w:sz w:val="21"/>
                <w:szCs w:val="21"/>
              </w:rPr>
              <w:t>洞庭湖口铜鱼短颌鲚国家级水产种质资源保护区实验区</w:t>
            </w:r>
            <w:r>
              <w:rPr>
                <w:rFonts w:hint="eastAsia"/>
                <w:sz w:val="21"/>
                <w:szCs w:val="21"/>
              </w:rPr>
              <w:t>，项目已编制了《岳阳港道仁矶码头工程</w:t>
            </w:r>
            <w:r>
              <w:rPr>
                <w:sz w:val="21"/>
                <w:szCs w:val="21"/>
              </w:rPr>
              <w:t>对洞庭湖口铜鱼短颌鲚国家级水产种质资源保护区影响专题论证报告</w:t>
            </w:r>
            <w:r>
              <w:rPr>
                <w:rFonts w:hint="eastAsia"/>
                <w:sz w:val="21"/>
                <w:szCs w:val="21"/>
              </w:rPr>
              <w:t>》并召开专题会议，取得行政主管部门的批复意见。</w:t>
            </w:r>
          </w:p>
        </w:tc>
        <w:tc>
          <w:tcPr>
            <w:tcW w:w="445" w:type="pct"/>
            <w:tcBorders>
              <w:tl2br w:val="nil"/>
              <w:tr2bl w:val="nil"/>
            </w:tcBorders>
            <w:vAlign w:val="center"/>
          </w:tcPr>
          <w:p>
            <w:pPr>
              <w:pStyle w:val="2057"/>
              <w:spacing w:afterLines="0"/>
              <w:ind w:firstLine="0" w:firstLineChars="0"/>
              <w:rPr>
                <w:sz w:val="21"/>
                <w:szCs w:val="21"/>
              </w:rPr>
            </w:pPr>
            <w:r>
              <w:rPr>
                <w:rFonts w:hint="eastAsia"/>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117" w:hRule="atLeast"/>
        </w:trPr>
        <w:tc>
          <w:tcPr>
            <w:tcW w:w="259" w:type="pct"/>
            <w:tcBorders>
              <w:tl2br w:val="nil"/>
              <w:tr2bl w:val="nil"/>
            </w:tcBorders>
            <w:vAlign w:val="center"/>
          </w:tcPr>
          <w:p>
            <w:pPr>
              <w:pStyle w:val="2057"/>
              <w:spacing w:afterLines="0"/>
              <w:ind w:firstLine="0" w:firstLineChars="0"/>
              <w:rPr>
                <w:sz w:val="21"/>
                <w:szCs w:val="21"/>
              </w:rPr>
            </w:pPr>
            <w:r>
              <w:rPr>
                <w:rFonts w:hint="eastAsia"/>
                <w:sz w:val="21"/>
                <w:szCs w:val="21"/>
              </w:rPr>
              <w:t>5</w:t>
            </w:r>
          </w:p>
        </w:tc>
        <w:tc>
          <w:tcPr>
            <w:tcW w:w="2147" w:type="pct"/>
            <w:tcBorders>
              <w:tl2br w:val="nil"/>
              <w:tr2bl w:val="nil"/>
            </w:tcBorders>
            <w:vAlign w:val="center"/>
          </w:tcPr>
          <w:p>
            <w:pPr>
              <w:pStyle w:val="2057"/>
              <w:spacing w:afterLines="0"/>
              <w:ind w:firstLine="0" w:firstLineChars="0"/>
              <w:rPr>
                <w:sz w:val="21"/>
                <w:szCs w:val="21"/>
              </w:rPr>
            </w:pPr>
            <w:r>
              <w:rPr>
                <w:rFonts w:hint="eastAsia"/>
                <w:sz w:val="21"/>
                <w:szCs w:val="21"/>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在《全国重要江河湖泊水功能区划》划定的河段及湖泊保护区、保留区内投资建设不利于水资源及自然生态保护的项目。</w:t>
            </w:r>
          </w:p>
        </w:tc>
        <w:tc>
          <w:tcPr>
            <w:tcW w:w="2147" w:type="pct"/>
            <w:tcBorders>
              <w:tl2br w:val="nil"/>
              <w:tr2bl w:val="nil"/>
            </w:tcBorders>
            <w:vAlign w:val="center"/>
          </w:tcPr>
          <w:p>
            <w:pPr>
              <w:pStyle w:val="2057"/>
              <w:spacing w:afterLines="0"/>
              <w:ind w:firstLine="0" w:firstLineChars="0"/>
              <w:rPr>
                <w:sz w:val="21"/>
                <w:szCs w:val="21"/>
              </w:rPr>
            </w:pPr>
            <w:r>
              <w:rPr>
                <w:rFonts w:hint="eastAsia"/>
                <w:sz w:val="21"/>
                <w:szCs w:val="21"/>
              </w:rPr>
              <w:t>本项目选址位于《长江岸线保护和开发利用总体规划》控制利用区，不属于划定的岸线保护区和保留区。</w:t>
            </w:r>
          </w:p>
          <w:p>
            <w:pPr>
              <w:pStyle w:val="2057"/>
              <w:spacing w:afterLines="0"/>
              <w:ind w:firstLine="0" w:firstLineChars="0"/>
              <w:rPr>
                <w:sz w:val="21"/>
                <w:szCs w:val="21"/>
              </w:rPr>
            </w:pPr>
            <w:r>
              <w:rPr>
                <w:rFonts w:hint="eastAsia"/>
                <w:sz w:val="21"/>
                <w:szCs w:val="21"/>
              </w:rPr>
              <w:t>本项目所在区域属于《全国重要江河湖泊水功能区划》长江岳阳开发利用区，</w:t>
            </w:r>
            <w:r>
              <w:rPr>
                <w:sz w:val="21"/>
                <w:szCs w:val="21"/>
              </w:rPr>
              <w:t>202</w:t>
            </w:r>
            <w:r>
              <w:rPr>
                <w:rFonts w:hint="eastAsia"/>
                <w:sz w:val="21"/>
                <w:szCs w:val="21"/>
              </w:rPr>
              <w:t>1</w:t>
            </w:r>
            <w:r>
              <w:rPr>
                <w:sz w:val="21"/>
                <w:szCs w:val="21"/>
              </w:rPr>
              <w:t>年</w:t>
            </w:r>
            <w:r>
              <w:rPr>
                <w:rFonts w:hint="eastAsia"/>
                <w:sz w:val="21"/>
                <w:szCs w:val="21"/>
              </w:rPr>
              <w:t>长江干流岳阳段5个监测断面</w:t>
            </w:r>
            <w:r>
              <w:rPr>
                <w:sz w:val="21"/>
                <w:szCs w:val="21"/>
              </w:rPr>
              <w:t>均达到《地表水环境质量标准》（GB3838-2002）中“Ⅱ类水质”</w:t>
            </w:r>
            <w:r>
              <w:rPr>
                <w:rFonts w:hint="eastAsia"/>
                <w:sz w:val="21"/>
                <w:szCs w:val="21"/>
              </w:rPr>
              <w:t>标准</w:t>
            </w:r>
            <w:r>
              <w:rPr>
                <w:rFonts w:hint="eastAsia"/>
              </w:rPr>
              <w:t>。</w:t>
            </w:r>
          </w:p>
        </w:tc>
        <w:tc>
          <w:tcPr>
            <w:tcW w:w="445" w:type="pct"/>
            <w:tcBorders>
              <w:tl2br w:val="nil"/>
              <w:tr2bl w:val="nil"/>
            </w:tcBorders>
            <w:vAlign w:val="center"/>
          </w:tcPr>
          <w:p>
            <w:pPr>
              <w:pStyle w:val="2057"/>
              <w:spacing w:afterLines="0"/>
              <w:ind w:firstLine="0" w:firstLineChars="0"/>
              <w:rPr>
                <w:sz w:val="21"/>
                <w:szCs w:val="21"/>
              </w:rPr>
            </w:pPr>
            <w:r>
              <w:rPr>
                <w:rFonts w:hint="eastAsia"/>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52" w:hRule="atLeast"/>
        </w:trPr>
        <w:tc>
          <w:tcPr>
            <w:tcW w:w="259" w:type="pct"/>
            <w:tcBorders>
              <w:tl2br w:val="nil"/>
              <w:tr2bl w:val="nil"/>
            </w:tcBorders>
            <w:vAlign w:val="center"/>
          </w:tcPr>
          <w:p>
            <w:pPr>
              <w:pStyle w:val="2057"/>
              <w:spacing w:afterLines="0"/>
              <w:ind w:firstLine="0" w:firstLineChars="0"/>
              <w:rPr>
                <w:sz w:val="21"/>
                <w:szCs w:val="21"/>
              </w:rPr>
            </w:pPr>
            <w:r>
              <w:rPr>
                <w:rFonts w:hint="eastAsia"/>
                <w:sz w:val="21"/>
                <w:szCs w:val="21"/>
              </w:rPr>
              <w:t>6</w:t>
            </w:r>
          </w:p>
        </w:tc>
        <w:tc>
          <w:tcPr>
            <w:tcW w:w="2147" w:type="pct"/>
            <w:tcBorders>
              <w:tl2br w:val="nil"/>
              <w:tr2bl w:val="nil"/>
            </w:tcBorders>
            <w:vAlign w:val="center"/>
          </w:tcPr>
          <w:p>
            <w:pPr>
              <w:pStyle w:val="2057"/>
              <w:spacing w:afterLines="0"/>
              <w:ind w:firstLine="0" w:firstLineChars="0"/>
              <w:rPr>
                <w:sz w:val="21"/>
                <w:szCs w:val="21"/>
              </w:rPr>
            </w:pPr>
            <w:r>
              <w:rPr>
                <w:rFonts w:hint="eastAsia"/>
                <w:sz w:val="21"/>
                <w:szCs w:val="21"/>
              </w:rPr>
              <w:t>禁止未经许可在长江干支流及湖泊新设、改设或扩大排污口。</w:t>
            </w:r>
          </w:p>
        </w:tc>
        <w:tc>
          <w:tcPr>
            <w:tcW w:w="2147" w:type="pct"/>
            <w:tcBorders>
              <w:tl2br w:val="nil"/>
              <w:tr2bl w:val="nil"/>
            </w:tcBorders>
            <w:vAlign w:val="center"/>
          </w:tcPr>
          <w:p>
            <w:pPr>
              <w:pStyle w:val="2057"/>
              <w:spacing w:afterLines="0"/>
              <w:ind w:firstLine="0" w:firstLineChars="0"/>
              <w:rPr>
                <w:sz w:val="21"/>
                <w:szCs w:val="21"/>
              </w:rPr>
            </w:pPr>
            <w:r>
              <w:rPr>
                <w:sz w:val="21"/>
                <w:szCs w:val="21"/>
              </w:rPr>
              <w:t>本项目</w:t>
            </w:r>
            <w:r>
              <w:rPr>
                <w:spacing w:val="0"/>
                <w:sz w:val="21"/>
                <w:szCs w:val="21"/>
              </w:rPr>
              <w:t>到港船舶油污水和生活污水</w:t>
            </w:r>
            <w:r>
              <w:rPr>
                <w:rFonts w:hint="default" w:ascii="Times New Roman" w:hAnsi="Times New Roman" w:eastAsia="宋体" w:cs="Times New Roman"/>
                <w:kern w:val="2"/>
                <w:sz w:val="21"/>
                <w:szCs w:val="21"/>
                <w:lang w:val="en-US" w:eastAsia="zh-CN" w:bidi="ar"/>
              </w:rPr>
              <w:t>上岸进入港区专用</w:t>
            </w:r>
            <w:r>
              <w:rPr>
                <w:rFonts w:hint="default" w:eastAsia="宋体" w:cs="Times New Roman"/>
                <w:kern w:val="2"/>
                <w:sz w:val="21"/>
                <w:szCs w:val="21"/>
                <w:lang w:val="en-US" w:eastAsia="zh-CN" w:bidi="ar"/>
              </w:rPr>
              <w:t>接收装置</w:t>
            </w:r>
            <w:r>
              <w:rPr>
                <w:rFonts w:hint="default" w:ascii="Times New Roman" w:hAnsi="Times New Roman" w:eastAsia="宋体" w:cs="Times New Roman"/>
                <w:kern w:val="2"/>
                <w:sz w:val="21"/>
                <w:szCs w:val="21"/>
                <w:lang w:val="en-US" w:eastAsia="zh-CN" w:bidi="ar"/>
              </w:rPr>
              <w:t>，</w:t>
            </w:r>
            <w:r>
              <w:rPr>
                <w:spacing w:val="0"/>
                <w:sz w:val="21"/>
                <w:szCs w:val="21"/>
              </w:rPr>
              <w:t>申请海事部门的环保工作船进行专业收集处理</w:t>
            </w:r>
            <w:r>
              <w:rPr>
                <w:rFonts w:hint="eastAsia"/>
                <w:sz w:val="21"/>
                <w:szCs w:val="21"/>
              </w:rPr>
              <w:t>；后方陆域生活污水经化粪池处理后排入市政管网；码头面初期雨水、车辆冲洗水收集收集后优先回用于装卸过程中洒水降尘、回用于绿化、降尘、车辆冲洗补充水，不直接进入水体，对水环境功能无影响。不新设、改设或扩大排污口。</w:t>
            </w:r>
          </w:p>
        </w:tc>
        <w:tc>
          <w:tcPr>
            <w:tcW w:w="445" w:type="pct"/>
            <w:tcBorders>
              <w:tl2br w:val="nil"/>
              <w:tr2bl w:val="nil"/>
            </w:tcBorders>
            <w:vAlign w:val="center"/>
          </w:tcPr>
          <w:p>
            <w:pPr>
              <w:pStyle w:val="2057"/>
              <w:spacing w:afterLines="0"/>
              <w:ind w:firstLine="0" w:firstLineChars="0"/>
              <w:rPr>
                <w:sz w:val="21"/>
                <w:szCs w:val="21"/>
              </w:rPr>
            </w:pPr>
            <w:r>
              <w:rPr>
                <w:rFonts w:hint="eastAsia"/>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23" w:hRule="atLeast"/>
        </w:trPr>
        <w:tc>
          <w:tcPr>
            <w:tcW w:w="259" w:type="pct"/>
            <w:tcBorders>
              <w:tl2br w:val="nil"/>
              <w:tr2bl w:val="nil"/>
            </w:tcBorders>
            <w:vAlign w:val="center"/>
          </w:tcPr>
          <w:p>
            <w:pPr>
              <w:pStyle w:val="2057"/>
              <w:spacing w:afterLines="0"/>
              <w:ind w:firstLine="0" w:firstLineChars="0"/>
              <w:rPr>
                <w:sz w:val="21"/>
                <w:szCs w:val="21"/>
              </w:rPr>
            </w:pPr>
            <w:r>
              <w:rPr>
                <w:rFonts w:hint="eastAsia"/>
                <w:sz w:val="21"/>
                <w:szCs w:val="21"/>
              </w:rPr>
              <w:t>7</w:t>
            </w:r>
          </w:p>
        </w:tc>
        <w:tc>
          <w:tcPr>
            <w:tcW w:w="2147" w:type="pct"/>
            <w:tcBorders>
              <w:tl2br w:val="nil"/>
              <w:tr2bl w:val="nil"/>
            </w:tcBorders>
            <w:vAlign w:val="center"/>
          </w:tcPr>
          <w:p>
            <w:pPr>
              <w:pStyle w:val="2057"/>
              <w:spacing w:afterLines="0"/>
              <w:ind w:firstLine="0" w:firstLineChars="0"/>
              <w:rPr>
                <w:sz w:val="21"/>
                <w:szCs w:val="21"/>
              </w:rPr>
            </w:pPr>
            <w:r>
              <w:rPr>
                <w:rFonts w:hint="eastAsia"/>
                <w:sz w:val="21"/>
                <w:szCs w:val="21"/>
              </w:rPr>
              <w:t>禁止在“一江一口两湖七河”和332个水生生物保护区开展生产性捕捞。</w:t>
            </w:r>
          </w:p>
        </w:tc>
        <w:tc>
          <w:tcPr>
            <w:tcW w:w="2147" w:type="pct"/>
            <w:tcBorders>
              <w:tl2br w:val="nil"/>
              <w:tr2bl w:val="nil"/>
            </w:tcBorders>
            <w:vAlign w:val="center"/>
          </w:tcPr>
          <w:p>
            <w:pPr>
              <w:pStyle w:val="2057"/>
              <w:spacing w:afterLines="0"/>
              <w:ind w:firstLine="0" w:firstLineChars="0"/>
              <w:rPr>
                <w:sz w:val="21"/>
                <w:szCs w:val="21"/>
              </w:rPr>
            </w:pPr>
            <w:r>
              <w:rPr>
                <w:rFonts w:hint="eastAsia"/>
                <w:sz w:val="21"/>
                <w:szCs w:val="21"/>
              </w:rPr>
              <w:t>项目为通用码头，不进行生产性捕捞。</w:t>
            </w:r>
          </w:p>
        </w:tc>
        <w:tc>
          <w:tcPr>
            <w:tcW w:w="445" w:type="pct"/>
            <w:tcBorders>
              <w:tl2br w:val="nil"/>
              <w:tr2bl w:val="nil"/>
            </w:tcBorders>
            <w:vAlign w:val="center"/>
          </w:tcPr>
          <w:p>
            <w:pPr>
              <w:pStyle w:val="2057"/>
              <w:spacing w:afterLines="0"/>
              <w:ind w:firstLine="0" w:firstLineChars="0"/>
              <w:rPr>
                <w:sz w:val="21"/>
                <w:szCs w:val="21"/>
              </w:rPr>
            </w:pPr>
            <w:r>
              <w:rPr>
                <w:rFonts w:hint="eastAsia"/>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23" w:hRule="atLeast"/>
        </w:trPr>
        <w:tc>
          <w:tcPr>
            <w:tcW w:w="259" w:type="pct"/>
            <w:tcBorders>
              <w:tl2br w:val="nil"/>
              <w:tr2bl w:val="nil"/>
            </w:tcBorders>
            <w:vAlign w:val="center"/>
          </w:tcPr>
          <w:p>
            <w:pPr>
              <w:pStyle w:val="2057"/>
              <w:spacing w:afterLines="0"/>
              <w:ind w:firstLine="0" w:firstLineChars="0"/>
              <w:rPr>
                <w:sz w:val="21"/>
                <w:szCs w:val="21"/>
              </w:rPr>
            </w:pPr>
            <w:r>
              <w:rPr>
                <w:rFonts w:hint="eastAsia"/>
                <w:sz w:val="21"/>
                <w:szCs w:val="21"/>
              </w:rPr>
              <w:t>8</w:t>
            </w:r>
          </w:p>
        </w:tc>
        <w:tc>
          <w:tcPr>
            <w:tcW w:w="2147" w:type="pct"/>
            <w:tcBorders>
              <w:tl2br w:val="nil"/>
              <w:tr2bl w:val="nil"/>
            </w:tcBorders>
            <w:vAlign w:val="center"/>
          </w:tcPr>
          <w:p>
            <w:pPr>
              <w:pStyle w:val="2057"/>
              <w:spacing w:afterLines="0"/>
              <w:ind w:firstLine="0" w:firstLineChars="0"/>
              <w:rPr>
                <w:sz w:val="21"/>
                <w:szCs w:val="21"/>
              </w:rPr>
            </w:pPr>
            <w:r>
              <w:rPr>
                <w:rFonts w:hint="eastAsia"/>
                <w:sz w:val="21"/>
                <w:szCs w:val="21"/>
              </w:rPr>
              <w:t>禁止在长江干支流、重要湖泊岸线一公里范围内新建、扩建化工园区和化工项目。禁止在长江干流岸线三公里范围内和重要支流岸线一公里范围内新建、改建、扩建尾矿库、冶炼渣库和磷石膏库，以提升安全、生态环境保护水平为目的的改建除外。</w:t>
            </w:r>
          </w:p>
        </w:tc>
        <w:tc>
          <w:tcPr>
            <w:tcW w:w="2147" w:type="pct"/>
            <w:tcBorders>
              <w:tl2br w:val="nil"/>
              <w:tr2bl w:val="nil"/>
            </w:tcBorders>
            <w:vAlign w:val="center"/>
          </w:tcPr>
          <w:p>
            <w:pPr>
              <w:pStyle w:val="2057"/>
              <w:spacing w:afterLines="0"/>
              <w:ind w:firstLine="0" w:firstLineChars="0"/>
              <w:rPr>
                <w:sz w:val="21"/>
                <w:szCs w:val="21"/>
              </w:rPr>
            </w:pPr>
            <w:r>
              <w:rPr>
                <w:rFonts w:hint="eastAsia"/>
                <w:sz w:val="21"/>
                <w:szCs w:val="21"/>
              </w:rPr>
              <w:t>项目为通用码头，不属于化工项目，不涉及尾矿库、冶炼渣库和磷石膏库。</w:t>
            </w:r>
          </w:p>
        </w:tc>
        <w:tc>
          <w:tcPr>
            <w:tcW w:w="445" w:type="pct"/>
            <w:tcBorders>
              <w:tl2br w:val="nil"/>
              <w:tr2bl w:val="nil"/>
            </w:tcBorders>
            <w:vAlign w:val="center"/>
          </w:tcPr>
          <w:p>
            <w:pPr>
              <w:pStyle w:val="2057"/>
              <w:spacing w:afterLines="0"/>
              <w:ind w:firstLine="0" w:firstLineChars="0"/>
              <w:rPr>
                <w:sz w:val="21"/>
                <w:szCs w:val="21"/>
              </w:rPr>
            </w:pPr>
            <w:r>
              <w:rPr>
                <w:rFonts w:hint="eastAsia"/>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23" w:hRule="atLeast"/>
        </w:trPr>
        <w:tc>
          <w:tcPr>
            <w:tcW w:w="259" w:type="pct"/>
            <w:tcBorders>
              <w:tl2br w:val="nil"/>
              <w:tr2bl w:val="nil"/>
            </w:tcBorders>
            <w:vAlign w:val="center"/>
          </w:tcPr>
          <w:p>
            <w:pPr>
              <w:pStyle w:val="2057"/>
              <w:spacing w:afterLines="0"/>
              <w:ind w:firstLine="0" w:firstLineChars="0"/>
              <w:rPr>
                <w:sz w:val="21"/>
                <w:szCs w:val="21"/>
              </w:rPr>
            </w:pPr>
            <w:r>
              <w:rPr>
                <w:rFonts w:hint="eastAsia"/>
                <w:sz w:val="21"/>
                <w:szCs w:val="21"/>
              </w:rPr>
              <w:t>9</w:t>
            </w:r>
          </w:p>
        </w:tc>
        <w:tc>
          <w:tcPr>
            <w:tcW w:w="2147" w:type="pct"/>
            <w:tcBorders>
              <w:tl2br w:val="nil"/>
              <w:tr2bl w:val="nil"/>
            </w:tcBorders>
            <w:vAlign w:val="center"/>
          </w:tcPr>
          <w:p>
            <w:pPr>
              <w:pStyle w:val="2057"/>
              <w:spacing w:afterLines="0"/>
              <w:ind w:firstLine="0" w:firstLineChars="0"/>
              <w:rPr>
                <w:sz w:val="21"/>
                <w:szCs w:val="21"/>
              </w:rPr>
            </w:pPr>
            <w:r>
              <w:rPr>
                <w:rFonts w:hint="eastAsia"/>
                <w:sz w:val="21"/>
                <w:szCs w:val="21"/>
              </w:rPr>
              <w:t>禁止在合规园区外新建、扩建钢铁、石化、化工、焦化、建材、有色、制浆造纸等高污染项目。</w:t>
            </w:r>
          </w:p>
        </w:tc>
        <w:tc>
          <w:tcPr>
            <w:tcW w:w="2147" w:type="pct"/>
            <w:tcBorders>
              <w:tl2br w:val="nil"/>
              <w:tr2bl w:val="nil"/>
            </w:tcBorders>
            <w:vAlign w:val="center"/>
          </w:tcPr>
          <w:p>
            <w:pPr>
              <w:pStyle w:val="2057"/>
              <w:spacing w:afterLines="0"/>
              <w:ind w:firstLine="0" w:firstLineChars="0"/>
              <w:rPr>
                <w:sz w:val="21"/>
                <w:szCs w:val="21"/>
              </w:rPr>
            </w:pPr>
            <w:r>
              <w:rPr>
                <w:rFonts w:hint="eastAsia"/>
                <w:sz w:val="21"/>
                <w:szCs w:val="21"/>
              </w:rPr>
              <w:t>项目为通用码头工程，不属于钢铁、石化、化工、焦化、建材、有色、制浆造纸等高污染项目。</w:t>
            </w:r>
          </w:p>
        </w:tc>
        <w:tc>
          <w:tcPr>
            <w:tcW w:w="445" w:type="pct"/>
            <w:tcBorders>
              <w:tl2br w:val="nil"/>
              <w:tr2bl w:val="nil"/>
            </w:tcBorders>
            <w:vAlign w:val="center"/>
          </w:tcPr>
          <w:p>
            <w:pPr>
              <w:pStyle w:val="2057"/>
              <w:spacing w:afterLines="0"/>
              <w:ind w:firstLine="0" w:firstLineChars="0"/>
              <w:rPr>
                <w:sz w:val="21"/>
                <w:szCs w:val="21"/>
              </w:rPr>
            </w:pPr>
            <w:r>
              <w:rPr>
                <w:rFonts w:hint="eastAsia"/>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23" w:hRule="atLeast"/>
        </w:trPr>
        <w:tc>
          <w:tcPr>
            <w:tcW w:w="259" w:type="pct"/>
            <w:tcBorders>
              <w:tl2br w:val="nil"/>
              <w:tr2bl w:val="nil"/>
            </w:tcBorders>
            <w:vAlign w:val="center"/>
          </w:tcPr>
          <w:p>
            <w:pPr>
              <w:pStyle w:val="2057"/>
              <w:spacing w:afterLines="0"/>
              <w:ind w:firstLine="0" w:firstLineChars="0"/>
              <w:rPr>
                <w:sz w:val="21"/>
                <w:szCs w:val="21"/>
              </w:rPr>
            </w:pPr>
            <w:r>
              <w:rPr>
                <w:rFonts w:hint="eastAsia"/>
                <w:sz w:val="21"/>
                <w:szCs w:val="21"/>
              </w:rPr>
              <w:t>10</w:t>
            </w:r>
          </w:p>
        </w:tc>
        <w:tc>
          <w:tcPr>
            <w:tcW w:w="2147" w:type="pct"/>
            <w:tcBorders>
              <w:tl2br w:val="nil"/>
              <w:tr2bl w:val="nil"/>
            </w:tcBorders>
            <w:vAlign w:val="center"/>
          </w:tcPr>
          <w:p>
            <w:pPr>
              <w:pStyle w:val="2057"/>
              <w:spacing w:afterLines="0"/>
              <w:ind w:firstLine="0" w:firstLineChars="0"/>
              <w:rPr>
                <w:sz w:val="21"/>
                <w:szCs w:val="21"/>
              </w:rPr>
            </w:pPr>
            <w:r>
              <w:rPr>
                <w:rFonts w:hint="eastAsia"/>
                <w:sz w:val="21"/>
                <w:szCs w:val="21"/>
              </w:rPr>
              <w:t>禁止新建、扩建不符合国家石化、现代煤化工等产业布局规划的项目。</w:t>
            </w:r>
          </w:p>
        </w:tc>
        <w:tc>
          <w:tcPr>
            <w:tcW w:w="2147" w:type="pct"/>
            <w:tcBorders>
              <w:tl2br w:val="nil"/>
              <w:tr2bl w:val="nil"/>
            </w:tcBorders>
            <w:vAlign w:val="center"/>
          </w:tcPr>
          <w:p>
            <w:pPr>
              <w:pStyle w:val="2057"/>
              <w:spacing w:afterLines="0"/>
              <w:ind w:firstLine="0" w:firstLineChars="0"/>
              <w:rPr>
                <w:sz w:val="21"/>
                <w:szCs w:val="21"/>
              </w:rPr>
            </w:pPr>
            <w:r>
              <w:rPr>
                <w:rFonts w:hint="eastAsia"/>
                <w:sz w:val="21"/>
                <w:szCs w:val="21"/>
              </w:rPr>
              <w:t>项目为通用码头工程，主要货种为散货、件杂，不涉及危险化学品，不涉及到国家石化、现代煤化工等产业布局规划。</w:t>
            </w:r>
          </w:p>
        </w:tc>
        <w:tc>
          <w:tcPr>
            <w:tcW w:w="445" w:type="pct"/>
            <w:tcBorders>
              <w:tl2br w:val="nil"/>
              <w:tr2bl w:val="nil"/>
            </w:tcBorders>
            <w:vAlign w:val="center"/>
          </w:tcPr>
          <w:p>
            <w:pPr>
              <w:pStyle w:val="2057"/>
              <w:spacing w:afterLines="0"/>
              <w:ind w:firstLine="0" w:firstLineChars="0"/>
              <w:rPr>
                <w:sz w:val="21"/>
                <w:szCs w:val="21"/>
              </w:rPr>
            </w:pPr>
            <w:r>
              <w:rPr>
                <w:rFonts w:hint="eastAsia"/>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23" w:hRule="atLeast"/>
        </w:trPr>
        <w:tc>
          <w:tcPr>
            <w:tcW w:w="259" w:type="pct"/>
            <w:tcBorders>
              <w:tl2br w:val="nil"/>
              <w:tr2bl w:val="nil"/>
            </w:tcBorders>
            <w:vAlign w:val="center"/>
          </w:tcPr>
          <w:p>
            <w:pPr>
              <w:pStyle w:val="2057"/>
              <w:spacing w:afterLines="0"/>
              <w:ind w:firstLine="0" w:firstLineChars="0"/>
              <w:rPr>
                <w:sz w:val="21"/>
                <w:szCs w:val="21"/>
              </w:rPr>
            </w:pPr>
            <w:r>
              <w:rPr>
                <w:rFonts w:hint="eastAsia"/>
                <w:sz w:val="21"/>
                <w:szCs w:val="21"/>
              </w:rPr>
              <w:t>11</w:t>
            </w:r>
          </w:p>
        </w:tc>
        <w:tc>
          <w:tcPr>
            <w:tcW w:w="2147" w:type="pct"/>
            <w:tcBorders>
              <w:tl2br w:val="nil"/>
              <w:tr2bl w:val="nil"/>
            </w:tcBorders>
            <w:vAlign w:val="center"/>
          </w:tcPr>
          <w:p>
            <w:pPr>
              <w:pStyle w:val="2057"/>
              <w:spacing w:afterLines="0"/>
              <w:ind w:firstLine="0" w:firstLineChars="0"/>
              <w:rPr>
                <w:sz w:val="21"/>
                <w:szCs w:val="21"/>
              </w:rPr>
            </w:pPr>
            <w:r>
              <w:rPr>
                <w:rFonts w:hint="eastAsia"/>
                <w:sz w:val="21"/>
                <w:szCs w:val="21"/>
              </w:rPr>
              <w:t>禁止新建、扩建法律法规和相关政策明令禁止的落后产能项目。禁止新建、扩建不符合国家产能置换要求的严重过剩产能行业的项目。禁止新建、扩建不符合要求的高耗能高排放项目。</w:t>
            </w:r>
          </w:p>
        </w:tc>
        <w:tc>
          <w:tcPr>
            <w:tcW w:w="2147" w:type="pct"/>
            <w:tcBorders>
              <w:tl2br w:val="nil"/>
              <w:tr2bl w:val="nil"/>
            </w:tcBorders>
            <w:vAlign w:val="center"/>
          </w:tcPr>
          <w:p>
            <w:pPr>
              <w:pStyle w:val="2057"/>
              <w:spacing w:afterLines="0"/>
              <w:ind w:firstLine="0" w:firstLineChars="0"/>
              <w:rPr>
                <w:sz w:val="21"/>
                <w:szCs w:val="21"/>
              </w:rPr>
            </w:pPr>
            <w:r>
              <w:rPr>
                <w:rFonts w:hint="eastAsia"/>
                <w:sz w:val="21"/>
                <w:szCs w:val="21"/>
              </w:rPr>
              <w:t>项目不属于法律法规和相关政策明令禁止的落后产能项目，不属于产能严重过剩行业，所用能源主要为水、电，不涉及高耗能和高排放。</w:t>
            </w:r>
          </w:p>
        </w:tc>
        <w:tc>
          <w:tcPr>
            <w:tcW w:w="445" w:type="pct"/>
            <w:tcBorders>
              <w:tl2br w:val="nil"/>
              <w:tr2bl w:val="nil"/>
            </w:tcBorders>
            <w:vAlign w:val="center"/>
          </w:tcPr>
          <w:p>
            <w:pPr>
              <w:pStyle w:val="2057"/>
              <w:spacing w:afterLines="0"/>
              <w:ind w:firstLine="0" w:firstLineChars="0"/>
              <w:rPr>
                <w:sz w:val="21"/>
                <w:szCs w:val="21"/>
              </w:rPr>
            </w:pPr>
            <w:r>
              <w:rPr>
                <w:rFonts w:hint="eastAsia"/>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23" w:hRule="atLeast"/>
        </w:trPr>
        <w:tc>
          <w:tcPr>
            <w:tcW w:w="259" w:type="pct"/>
            <w:tcBorders>
              <w:tl2br w:val="nil"/>
              <w:tr2bl w:val="nil"/>
            </w:tcBorders>
            <w:vAlign w:val="center"/>
          </w:tcPr>
          <w:p>
            <w:pPr>
              <w:pStyle w:val="2057"/>
              <w:spacing w:afterLines="0"/>
              <w:ind w:firstLine="0" w:firstLineChars="0"/>
              <w:rPr>
                <w:sz w:val="21"/>
                <w:szCs w:val="21"/>
              </w:rPr>
            </w:pPr>
            <w:r>
              <w:rPr>
                <w:rFonts w:hint="eastAsia"/>
                <w:sz w:val="21"/>
                <w:szCs w:val="21"/>
              </w:rPr>
              <w:t>12</w:t>
            </w:r>
          </w:p>
        </w:tc>
        <w:tc>
          <w:tcPr>
            <w:tcW w:w="2147" w:type="pct"/>
            <w:tcBorders>
              <w:tl2br w:val="nil"/>
              <w:tr2bl w:val="nil"/>
            </w:tcBorders>
            <w:vAlign w:val="center"/>
          </w:tcPr>
          <w:p>
            <w:pPr>
              <w:pStyle w:val="2057"/>
              <w:spacing w:afterLines="0"/>
              <w:ind w:firstLine="0" w:firstLineChars="0"/>
              <w:rPr>
                <w:sz w:val="21"/>
                <w:szCs w:val="21"/>
              </w:rPr>
            </w:pPr>
            <w:r>
              <w:rPr>
                <w:rFonts w:hint="eastAsia"/>
                <w:sz w:val="21"/>
                <w:szCs w:val="21"/>
              </w:rPr>
              <w:t>法律法规及相关政策文件有更加严格规定的从其规定。</w:t>
            </w:r>
          </w:p>
        </w:tc>
        <w:tc>
          <w:tcPr>
            <w:tcW w:w="2147" w:type="pct"/>
            <w:tcBorders>
              <w:tl2br w:val="nil"/>
              <w:tr2bl w:val="nil"/>
            </w:tcBorders>
            <w:vAlign w:val="center"/>
          </w:tcPr>
          <w:p>
            <w:pPr>
              <w:pStyle w:val="2057"/>
              <w:spacing w:afterLines="0"/>
              <w:ind w:firstLine="0" w:firstLineChars="0"/>
              <w:rPr>
                <w:sz w:val="21"/>
                <w:szCs w:val="21"/>
              </w:rPr>
            </w:pPr>
            <w:r>
              <w:rPr>
                <w:rFonts w:hint="eastAsia"/>
                <w:sz w:val="21"/>
                <w:szCs w:val="21"/>
              </w:rPr>
              <w:t>项目建设符合法律法规及相关政策文件要求</w:t>
            </w:r>
          </w:p>
        </w:tc>
        <w:tc>
          <w:tcPr>
            <w:tcW w:w="445" w:type="pct"/>
            <w:tcBorders>
              <w:tl2br w:val="nil"/>
              <w:tr2bl w:val="nil"/>
            </w:tcBorders>
            <w:vAlign w:val="center"/>
          </w:tcPr>
          <w:p>
            <w:pPr>
              <w:pStyle w:val="2057"/>
              <w:spacing w:afterLines="0"/>
              <w:ind w:firstLine="0" w:firstLineChars="0"/>
              <w:rPr>
                <w:sz w:val="21"/>
                <w:szCs w:val="21"/>
              </w:rPr>
            </w:pPr>
            <w:r>
              <w:rPr>
                <w:rFonts w:hint="eastAsia"/>
                <w:sz w:val="21"/>
                <w:szCs w:val="21"/>
              </w:rPr>
              <w:t>符合要求</w:t>
            </w:r>
          </w:p>
        </w:tc>
      </w:tr>
    </w:tbl>
    <w:p>
      <w:pPr>
        <w:ind w:firstLine="480"/>
        <w:rPr>
          <w:rFonts w:hint="eastAsia"/>
        </w:rPr>
      </w:pPr>
      <w:r>
        <w:rPr>
          <w:rFonts w:hint="eastAsia"/>
        </w:rPr>
        <w:t>由上表可知，本项目建设符合《长江经济带发展负面清单指南（试行，2022年版）》相关要求。</w:t>
      </w:r>
    </w:p>
    <w:p>
      <w:pPr>
        <w:pStyle w:val="456"/>
        <w:ind w:firstLine="482"/>
        <w:rPr>
          <w:color w:val="auto"/>
        </w:rPr>
      </w:pPr>
      <w:r>
        <w:rPr>
          <w:color w:val="auto"/>
        </w:rPr>
        <w:t>与《</w:t>
      </w:r>
      <w:r>
        <w:rPr>
          <w:rFonts w:hint="default" w:ascii="Times New Roman" w:hAnsi="Times New Roman" w:cs="Times New Roman"/>
          <w:color w:val="auto"/>
          <w:lang w:val="en-US" w:eastAsia="zh-CN"/>
        </w:rPr>
        <w:t>湖南省</w:t>
      </w:r>
      <w:r>
        <w:rPr>
          <w:color w:val="auto"/>
        </w:rPr>
        <w:t>长江经济带发展负面清单</w:t>
      </w:r>
      <w:r>
        <w:rPr>
          <w:rFonts w:hint="eastAsia"/>
          <w:color w:val="auto"/>
          <w:lang w:val="en-US" w:eastAsia="zh-CN"/>
        </w:rPr>
        <w:t>实施细则</w:t>
      </w:r>
      <w:r>
        <w:rPr>
          <w:color w:val="auto"/>
        </w:rPr>
        <w:t>（试行，2022年版）》相符性分析</w:t>
      </w:r>
    </w:p>
    <w:p>
      <w:pPr>
        <w:ind w:firstLine="480"/>
      </w:pPr>
      <w:r>
        <w:rPr>
          <w:rFonts w:hint="eastAsia"/>
        </w:rPr>
        <w:t>根据《</w:t>
      </w:r>
      <w:r>
        <w:rPr>
          <w:rFonts w:hint="eastAsia"/>
          <w:lang w:val="en-US" w:eastAsia="zh-CN"/>
        </w:rPr>
        <w:t>湖南省</w:t>
      </w:r>
      <w:r>
        <w:rPr>
          <w:rFonts w:hint="eastAsia"/>
        </w:rPr>
        <w:t>长江经济带发展负面清单</w:t>
      </w:r>
      <w:r>
        <w:rPr>
          <w:rFonts w:hint="eastAsia"/>
          <w:lang w:val="en-US" w:eastAsia="zh-CN"/>
        </w:rPr>
        <w:t>实施细则</w:t>
      </w:r>
      <w:r>
        <w:rPr>
          <w:rFonts w:hint="eastAsia"/>
        </w:rPr>
        <w:t>（试行，2022年版）》，项目与之符合性分析见</w:t>
      </w:r>
      <w:r>
        <w:rPr>
          <w:rFonts w:hint="eastAsia"/>
          <w:lang w:val="en-US" w:eastAsia="zh-CN"/>
        </w:rPr>
        <w:t>下</w:t>
      </w:r>
      <w:r>
        <w:rPr>
          <w:rFonts w:hint="eastAsia"/>
        </w:rPr>
        <w:t>表</w:t>
      </w:r>
      <w:r>
        <w:t>。</w:t>
      </w:r>
    </w:p>
    <w:p>
      <w:pPr>
        <w:pStyle w:val="619"/>
        <w:rPr>
          <w:szCs w:val="21"/>
        </w:rPr>
      </w:pPr>
      <w:r>
        <w:rPr>
          <w:rFonts w:hint="eastAsia"/>
        </w:rPr>
        <w:t>项目建设与《</w:t>
      </w:r>
      <w:r>
        <w:rPr>
          <w:rFonts w:hint="eastAsia"/>
          <w:lang w:val="en-US" w:eastAsia="zh-CN"/>
        </w:rPr>
        <w:t>湖南省</w:t>
      </w:r>
      <w:r>
        <w:rPr>
          <w:rFonts w:hint="eastAsia"/>
          <w:bCs/>
          <w:color w:val="000000" w:themeColor="text1"/>
          <w:szCs w:val="18"/>
          <w14:textFill>
            <w14:solidFill>
              <w14:schemeClr w14:val="tx1"/>
            </w14:solidFill>
          </w14:textFill>
        </w:rPr>
        <w:t>长江经济带</w:t>
      </w:r>
      <w:r>
        <w:rPr>
          <w:rFonts w:hint="eastAsia"/>
        </w:rPr>
        <w:t>发展</w:t>
      </w:r>
      <w:r>
        <w:rPr>
          <w:rFonts w:hint="default" w:ascii="Times New Roman" w:hAnsi="Times New Roman" w:cs="Times New Roman"/>
        </w:rPr>
        <w:t>负面</w:t>
      </w:r>
      <w:r>
        <w:rPr>
          <w:rFonts w:hint="eastAsia"/>
        </w:rPr>
        <w:t>清单</w:t>
      </w:r>
      <w:r>
        <w:rPr>
          <w:rFonts w:hint="eastAsia"/>
          <w:lang w:val="en-US" w:eastAsia="zh-CN"/>
        </w:rPr>
        <w:t>实施细则</w:t>
      </w:r>
      <w:r>
        <w:rPr>
          <w:rFonts w:hint="eastAsia"/>
        </w:rPr>
        <w:t>（试行，2022年版）》相符性分析</w:t>
      </w:r>
    </w:p>
    <w:tbl>
      <w:tblPr>
        <w:tblStyle w:val="87"/>
        <w:tblW w:w="504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00"/>
        <w:gridCol w:w="3939"/>
        <w:gridCol w:w="3939"/>
        <w:gridCol w:w="80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9" w:hRule="atLeast"/>
          <w:tblHeader/>
        </w:trPr>
        <w:tc>
          <w:tcPr>
            <w:tcW w:w="272" w:type="pct"/>
            <w:tcBorders>
              <w:bottom w:val="single" w:color="auto" w:sz="12" w:space="0"/>
            </w:tcBorders>
            <w:vAlign w:val="center"/>
          </w:tcPr>
          <w:p>
            <w:pPr>
              <w:pStyle w:val="2057"/>
              <w:spacing w:afterLines="0"/>
              <w:ind w:firstLine="0" w:firstLineChars="0"/>
              <w:rPr>
                <w:b/>
                <w:bCs w:val="0"/>
                <w:sz w:val="21"/>
                <w:szCs w:val="21"/>
              </w:rPr>
            </w:pPr>
            <w:r>
              <w:rPr>
                <w:rFonts w:hint="eastAsia"/>
                <w:b/>
                <w:bCs w:val="0"/>
                <w:sz w:val="21"/>
                <w:szCs w:val="21"/>
              </w:rPr>
              <w:t>序号</w:t>
            </w:r>
          </w:p>
        </w:tc>
        <w:tc>
          <w:tcPr>
            <w:tcW w:w="2143" w:type="pct"/>
            <w:tcBorders>
              <w:bottom w:val="single" w:color="auto" w:sz="12" w:space="0"/>
            </w:tcBorders>
            <w:vAlign w:val="center"/>
          </w:tcPr>
          <w:p>
            <w:pPr>
              <w:pStyle w:val="2057"/>
              <w:spacing w:afterLines="0"/>
              <w:ind w:firstLine="0" w:firstLineChars="0"/>
              <w:rPr>
                <w:b/>
                <w:bCs w:val="0"/>
                <w:sz w:val="21"/>
                <w:szCs w:val="21"/>
              </w:rPr>
            </w:pPr>
            <w:r>
              <w:rPr>
                <w:rFonts w:hint="eastAsia"/>
                <w:b/>
                <w:bCs w:val="0"/>
                <w:sz w:val="21"/>
                <w:szCs w:val="21"/>
              </w:rPr>
              <w:t>要求</w:t>
            </w:r>
          </w:p>
        </w:tc>
        <w:tc>
          <w:tcPr>
            <w:tcW w:w="2143" w:type="pct"/>
            <w:tcBorders>
              <w:bottom w:val="single" w:color="auto" w:sz="12" w:space="0"/>
            </w:tcBorders>
            <w:vAlign w:val="center"/>
          </w:tcPr>
          <w:p>
            <w:pPr>
              <w:pStyle w:val="2057"/>
              <w:spacing w:afterLines="0"/>
              <w:ind w:firstLine="0" w:firstLineChars="0"/>
              <w:rPr>
                <w:b/>
                <w:bCs w:val="0"/>
                <w:sz w:val="21"/>
                <w:szCs w:val="21"/>
              </w:rPr>
            </w:pPr>
            <w:r>
              <w:rPr>
                <w:rFonts w:hint="eastAsia"/>
                <w:b/>
                <w:bCs w:val="0"/>
                <w:sz w:val="21"/>
                <w:szCs w:val="21"/>
              </w:rPr>
              <w:t>本项目情况</w:t>
            </w:r>
          </w:p>
        </w:tc>
        <w:tc>
          <w:tcPr>
            <w:tcW w:w="440" w:type="pct"/>
            <w:tcBorders>
              <w:bottom w:val="single" w:color="auto" w:sz="12" w:space="0"/>
            </w:tcBorders>
            <w:vAlign w:val="center"/>
          </w:tcPr>
          <w:p>
            <w:pPr>
              <w:pStyle w:val="2057"/>
              <w:spacing w:afterLines="0"/>
              <w:ind w:firstLine="0" w:firstLineChars="0"/>
              <w:rPr>
                <w:b/>
                <w:bCs w:val="0"/>
                <w:sz w:val="21"/>
                <w:szCs w:val="21"/>
              </w:rPr>
            </w:pPr>
            <w:r>
              <w:rPr>
                <w:rFonts w:hint="eastAsia"/>
                <w:b/>
                <w:bCs w:val="0"/>
                <w:sz w:val="21"/>
                <w:szCs w:val="21"/>
              </w:rPr>
              <w:t>符合性分析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35" w:hRule="atLeast"/>
        </w:trPr>
        <w:tc>
          <w:tcPr>
            <w:tcW w:w="272" w:type="pct"/>
            <w:tcBorders>
              <w:top w:val="single" w:color="auto" w:sz="12" w:space="0"/>
              <w:tl2br w:val="nil"/>
              <w:tr2bl w:val="nil"/>
            </w:tcBorders>
            <w:vAlign w:val="center"/>
          </w:tcPr>
          <w:p>
            <w:pPr>
              <w:pStyle w:val="2057"/>
              <w:spacing w:afterLines="0"/>
              <w:ind w:firstLine="0" w:firstLineChars="0"/>
              <w:rPr>
                <w:sz w:val="21"/>
                <w:szCs w:val="21"/>
              </w:rPr>
            </w:pPr>
            <w:r>
              <w:rPr>
                <w:rFonts w:hint="eastAsia"/>
                <w:sz w:val="21"/>
                <w:szCs w:val="21"/>
              </w:rPr>
              <w:t>1</w:t>
            </w:r>
          </w:p>
        </w:tc>
        <w:tc>
          <w:tcPr>
            <w:tcW w:w="2143" w:type="pct"/>
            <w:tcBorders>
              <w:top w:val="single" w:color="auto" w:sz="12" w:space="0"/>
              <w:tl2br w:val="nil"/>
              <w:tr2bl w:val="nil"/>
            </w:tcBorders>
            <w:vAlign w:val="center"/>
          </w:tcPr>
          <w:p>
            <w:pPr>
              <w:pStyle w:val="150"/>
              <w:keepNext w:val="0"/>
              <w:keepLines w:val="0"/>
              <w:pageBreakBefore w:val="0"/>
              <w:widowControl w:val="0"/>
              <w:kinsoku/>
              <w:wordWrap/>
              <w:overflowPunct/>
              <w:topLinePunct w:val="0"/>
              <w:autoSpaceDE w:val="0"/>
              <w:autoSpaceDN w:val="0"/>
              <w:bidi w:val="0"/>
              <w:adjustRightInd w:val="0"/>
              <w:snapToGrid/>
              <w:spacing w:line="240" w:lineRule="auto"/>
              <w:ind w:firstLine="420" w:firstLineChars="200"/>
              <w:jc w:val="both"/>
              <w:textAlignment w:val="auto"/>
              <w:rPr>
                <w:sz w:val="21"/>
                <w:szCs w:val="21"/>
              </w:rPr>
            </w:pPr>
            <w:r>
              <w:rPr>
                <w:rFonts w:hint="eastAsia" w:ascii="Times New Roman" w:hAnsi="Times New Roman" w:eastAsia="宋体" w:cs="Times New Roman"/>
                <w:color w:val="000000" w:themeColor="text1"/>
                <w:sz w:val="21"/>
                <w:szCs w:val="21"/>
                <w:u w:val="none"/>
                <w:lang w:eastAsia="zh-CN"/>
                <w14:textFill>
                  <w14:solidFill>
                    <w14:schemeClr w14:val="tx1"/>
                  </w14:solidFill>
                </w14:textFill>
              </w:rPr>
              <w:t>第三条</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u w:val="none"/>
                <w14:textFill>
                  <w14:solidFill>
                    <w14:schemeClr w14:val="tx1"/>
                  </w14:solidFill>
                </w14:textFill>
              </w:rPr>
              <w:t>禁止建设不符合全国和省级港口布局规划以及港口总体规划的码头项目</w:t>
            </w: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。码头工程建设项目需要使用港口岸线的，项目单位应当按照省港口岸线使用的管理规定办理港口岸线使用手续。</w:t>
            </w:r>
          </w:p>
        </w:tc>
        <w:tc>
          <w:tcPr>
            <w:tcW w:w="2143" w:type="pct"/>
            <w:tcBorders>
              <w:top w:val="single" w:color="auto" w:sz="12" w:space="0"/>
              <w:tl2br w:val="nil"/>
              <w:tr2bl w:val="nil"/>
            </w:tcBorders>
            <w:vAlign w:val="center"/>
          </w:tcPr>
          <w:p>
            <w:pPr>
              <w:pStyle w:val="2057"/>
              <w:spacing w:afterLines="0"/>
              <w:ind w:firstLine="0" w:firstLineChars="0"/>
              <w:rPr>
                <w:sz w:val="21"/>
                <w:szCs w:val="21"/>
              </w:rPr>
            </w:pPr>
            <w:r>
              <w:rPr>
                <w:rFonts w:hint="eastAsia"/>
                <w:sz w:val="21"/>
                <w:szCs w:val="21"/>
              </w:rPr>
              <w:t>项目符合《岳阳港总体规划（2035 年）》的要求，码头建设符合港口布局及港口总体规划，具体符合性分析见4.3.</w:t>
            </w:r>
            <w:r>
              <w:rPr>
                <w:rFonts w:hint="eastAsia"/>
                <w:sz w:val="21"/>
                <w:szCs w:val="21"/>
                <w:lang w:val="en-US" w:eastAsia="zh-CN"/>
              </w:rPr>
              <w:t>10</w:t>
            </w:r>
            <w:r>
              <w:rPr>
                <w:rFonts w:hint="eastAsia"/>
                <w:sz w:val="21"/>
                <w:szCs w:val="21"/>
              </w:rPr>
              <w:t>章节。</w:t>
            </w:r>
          </w:p>
          <w:p>
            <w:pPr>
              <w:pStyle w:val="2057"/>
              <w:spacing w:afterLines="0"/>
              <w:ind w:firstLine="0" w:firstLineChars="0"/>
              <w:rPr>
                <w:sz w:val="21"/>
                <w:szCs w:val="21"/>
              </w:rPr>
            </w:pPr>
            <w:r>
              <w:rPr>
                <w:rFonts w:hint="eastAsia"/>
                <w:sz w:val="21"/>
                <w:szCs w:val="21"/>
              </w:rPr>
              <w:t>项目为通用码头，不涉及过江通道，符合《长江干线过江通道布局规划》要求。</w:t>
            </w:r>
            <w:r>
              <w:rPr>
                <w:rFonts w:hint="default" w:ascii="Times New Roman" w:hAnsi="Times New Roman" w:eastAsia="宋体" w:cs="Times New Roman"/>
                <w:color w:val="000000" w:themeColor="text1"/>
                <w:sz w:val="21"/>
                <w:szCs w:val="21"/>
                <w:u w:val="single"/>
                <w:lang w:eastAsia="zh-CN"/>
                <w14:textFill>
                  <w14:solidFill>
                    <w14:schemeClr w14:val="tx1"/>
                  </w14:solidFill>
                </w14:textFill>
              </w:rPr>
              <w:t>本项目已取得省交通厅行业审查意见（附件</w:t>
            </w:r>
            <w:r>
              <w:rPr>
                <w:rFonts w:hint="eastAsia" w:ascii="Times New Roman" w:hAnsi="Times New Roman" w:cs="Times New Roman"/>
                <w:color w:val="000000" w:themeColor="text1"/>
                <w:sz w:val="21"/>
                <w:szCs w:val="21"/>
                <w:u w:val="single"/>
                <w:lang w:val="en-US" w:eastAsia="zh-CN"/>
                <w14:textFill>
                  <w14:solidFill>
                    <w14:schemeClr w14:val="tx1"/>
                  </w14:solidFill>
                </w14:textFill>
              </w:rPr>
              <w:t>11</w:t>
            </w:r>
            <w:r>
              <w:rPr>
                <w:rFonts w:hint="default" w:ascii="Times New Roman" w:hAnsi="Times New Roman" w:eastAsia="宋体" w:cs="Times New Roman"/>
                <w:color w:val="000000" w:themeColor="text1"/>
                <w:sz w:val="21"/>
                <w:szCs w:val="21"/>
                <w:u w:val="single"/>
                <w:lang w:eastAsia="zh-CN"/>
                <w14:textFill>
                  <w14:solidFill>
                    <w14:schemeClr w14:val="tx1"/>
                  </w14:solidFill>
                </w14:textFill>
              </w:rPr>
              <w:t>），正在办理港口岸线使用手续。</w:t>
            </w:r>
          </w:p>
        </w:tc>
        <w:tc>
          <w:tcPr>
            <w:tcW w:w="440" w:type="pct"/>
            <w:tcBorders>
              <w:top w:val="single" w:color="auto" w:sz="12" w:space="0"/>
              <w:tl2br w:val="nil"/>
              <w:tr2bl w:val="nil"/>
            </w:tcBorders>
            <w:vAlign w:val="center"/>
          </w:tcPr>
          <w:p>
            <w:pPr>
              <w:pStyle w:val="2057"/>
              <w:spacing w:afterLines="0"/>
              <w:ind w:firstLine="0" w:firstLineChars="0"/>
              <w:rPr>
                <w:sz w:val="21"/>
                <w:szCs w:val="21"/>
              </w:rPr>
            </w:pPr>
            <w:r>
              <w:rPr>
                <w:rFonts w:hint="eastAsia"/>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38" w:hRule="atLeast"/>
        </w:trPr>
        <w:tc>
          <w:tcPr>
            <w:tcW w:w="272" w:type="pct"/>
            <w:tcBorders>
              <w:tl2br w:val="nil"/>
              <w:tr2bl w:val="nil"/>
            </w:tcBorders>
            <w:vAlign w:val="center"/>
          </w:tcPr>
          <w:p>
            <w:pPr>
              <w:pStyle w:val="2057"/>
              <w:spacing w:afterLines="0"/>
              <w:ind w:firstLine="0" w:firstLineChars="0"/>
              <w:rPr>
                <w:sz w:val="21"/>
                <w:szCs w:val="21"/>
              </w:rPr>
            </w:pPr>
            <w:r>
              <w:rPr>
                <w:rFonts w:hint="eastAsia"/>
                <w:sz w:val="21"/>
                <w:szCs w:val="21"/>
              </w:rPr>
              <w:t>2</w:t>
            </w:r>
          </w:p>
        </w:tc>
        <w:tc>
          <w:tcPr>
            <w:tcW w:w="2143" w:type="pct"/>
            <w:tcBorders>
              <w:tl2br w:val="nil"/>
              <w:tr2bl w:val="nil"/>
            </w:tcBorders>
            <w:vAlign w:val="center"/>
          </w:tcPr>
          <w:p>
            <w:pPr>
              <w:pStyle w:val="150"/>
              <w:keepNext w:val="0"/>
              <w:keepLines w:val="0"/>
              <w:pageBreakBefore w:val="0"/>
              <w:widowControl w:val="0"/>
              <w:kinsoku/>
              <w:wordWrap/>
              <w:overflowPunct/>
              <w:topLinePunct w:val="0"/>
              <w:autoSpaceDE w:val="0"/>
              <w:autoSpaceDN w:val="0"/>
              <w:bidi w:val="0"/>
              <w:adjustRightInd w:val="0"/>
              <w:snapToGrid/>
              <w:spacing w:line="240" w:lineRule="auto"/>
              <w:jc w:val="both"/>
              <w:textAlignment w:val="auto"/>
              <w:rPr>
                <w:rFonts w:hint="default" w:ascii="Times New Roman" w:hAnsi="Times New Roman" w:eastAsia="宋体" w:cs="Times New Roman"/>
                <w:kern w:val="2"/>
                <w:sz w:val="21"/>
                <w:szCs w:val="21"/>
                <w:u w:val="none"/>
                <w:lang w:eastAsia="zh-CN"/>
              </w:rPr>
            </w:pPr>
            <w:r>
              <w:rPr>
                <w:rFonts w:hint="default" w:ascii="Times New Roman" w:hAnsi="Times New Roman" w:eastAsia="宋体" w:cs="Times New Roman"/>
                <w:kern w:val="2"/>
                <w:sz w:val="21"/>
                <w:szCs w:val="21"/>
                <w:u w:val="none"/>
                <w:lang w:eastAsia="zh-CN"/>
              </w:rPr>
              <w:t>第四条</w:t>
            </w:r>
            <w:r>
              <w:rPr>
                <w:rFonts w:hint="eastAsia" w:ascii="Times New Roman" w:hAnsi="Times New Roman" w:eastAsia="宋体" w:cs="Times New Roman"/>
                <w:kern w:val="2"/>
                <w:sz w:val="21"/>
                <w:szCs w:val="21"/>
                <w:u w:val="none"/>
                <w:lang w:val="en-US" w:eastAsia="zh-CN"/>
              </w:rPr>
              <w:t xml:space="preserve"> </w:t>
            </w:r>
            <w:r>
              <w:rPr>
                <w:rFonts w:hint="default" w:ascii="Times New Roman" w:hAnsi="Times New Roman" w:eastAsia="宋体" w:cs="Times New Roman"/>
                <w:kern w:val="2"/>
                <w:sz w:val="21"/>
                <w:szCs w:val="21"/>
                <w:u w:val="none"/>
                <w:lang w:eastAsia="zh-CN"/>
              </w:rPr>
              <w:t>禁止在自然保护区核心区、缓冲区的岸线和河段范围内投资建设以下项目：</w:t>
            </w:r>
          </w:p>
          <w:p>
            <w:pPr>
              <w:pStyle w:val="150"/>
              <w:keepNext w:val="0"/>
              <w:keepLines w:val="0"/>
              <w:pageBreakBefore w:val="0"/>
              <w:widowControl w:val="0"/>
              <w:kinsoku/>
              <w:wordWrap/>
              <w:overflowPunct/>
              <w:topLinePunct w:val="0"/>
              <w:autoSpaceDE w:val="0"/>
              <w:autoSpaceDN w:val="0"/>
              <w:bidi w:val="0"/>
              <w:adjustRightInd w:val="0"/>
              <w:snapToGrid/>
              <w:spacing w:line="240" w:lineRule="auto"/>
              <w:jc w:val="both"/>
              <w:textAlignment w:val="auto"/>
              <w:rPr>
                <w:rFonts w:hint="default" w:ascii="Times New Roman" w:hAnsi="Times New Roman" w:eastAsia="宋体" w:cs="Times New Roman"/>
                <w:kern w:val="2"/>
                <w:sz w:val="21"/>
                <w:szCs w:val="21"/>
                <w:u w:val="none"/>
                <w:lang w:eastAsia="zh-CN"/>
              </w:rPr>
            </w:pPr>
            <w:r>
              <w:rPr>
                <w:rFonts w:hint="default" w:ascii="Times New Roman" w:hAnsi="Times New Roman" w:eastAsia="宋体" w:cs="Times New Roman"/>
                <w:kern w:val="2"/>
                <w:sz w:val="21"/>
                <w:szCs w:val="21"/>
                <w:u w:val="none"/>
                <w:lang w:eastAsia="zh-CN"/>
              </w:rPr>
              <w:t>(一) 高尔夫球场开发、房地产开发、索 道建设、会所建设等项目；</w:t>
            </w:r>
          </w:p>
          <w:p>
            <w:pPr>
              <w:pStyle w:val="150"/>
              <w:keepNext w:val="0"/>
              <w:keepLines w:val="0"/>
              <w:pageBreakBefore w:val="0"/>
              <w:widowControl w:val="0"/>
              <w:kinsoku/>
              <w:wordWrap/>
              <w:overflowPunct/>
              <w:topLinePunct w:val="0"/>
              <w:autoSpaceDE w:val="0"/>
              <w:autoSpaceDN w:val="0"/>
              <w:bidi w:val="0"/>
              <w:adjustRightInd w:val="0"/>
              <w:snapToGrid/>
              <w:spacing w:line="240" w:lineRule="auto"/>
              <w:jc w:val="both"/>
              <w:textAlignment w:val="auto"/>
              <w:rPr>
                <w:rFonts w:hint="default" w:ascii="Times New Roman" w:hAnsi="Times New Roman" w:eastAsia="宋体" w:cs="Times New Roman"/>
                <w:kern w:val="2"/>
                <w:sz w:val="21"/>
                <w:szCs w:val="21"/>
                <w:u w:val="none"/>
                <w:lang w:eastAsia="zh-CN"/>
              </w:rPr>
            </w:pPr>
            <w:r>
              <w:rPr>
                <w:rFonts w:hint="default" w:ascii="Times New Roman" w:hAnsi="Times New Roman" w:eastAsia="宋体" w:cs="Times New Roman"/>
                <w:kern w:val="2"/>
                <w:sz w:val="21"/>
                <w:szCs w:val="21"/>
                <w:u w:val="none"/>
                <w:lang w:eastAsia="zh-CN"/>
              </w:rPr>
              <w:t>(二) 光伏发电、风力发电、火力发电建设项目；</w:t>
            </w:r>
          </w:p>
          <w:p>
            <w:pPr>
              <w:pStyle w:val="150"/>
              <w:keepNext w:val="0"/>
              <w:keepLines w:val="0"/>
              <w:pageBreakBefore w:val="0"/>
              <w:widowControl w:val="0"/>
              <w:kinsoku/>
              <w:wordWrap/>
              <w:overflowPunct/>
              <w:topLinePunct w:val="0"/>
              <w:autoSpaceDE w:val="0"/>
              <w:autoSpaceDN w:val="0"/>
              <w:bidi w:val="0"/>
              <w:adjustRightInd w:val="0"/>
              <w:snapToGrid/>
              <w:spacing w:line="240" w:lineRule="auto"/>
              <w:jc w:val="both"/>
              <w:textAlignment w:val="auto"/>
              <w:rPr>
                <w:rFonts w:hint="default" w:ascii="Times New Roman" w:hAnsi="Times New Roman" w:eastAsia="宋体" w:cs="Times New Roman"/>
                <w:kern w:val="2"/>
                <w:sz w:val="21"/>
                <w:szCs w:val="21"/>
                <w:u w:val="none"/>
                <w:lang w:eastAsia="zh-CN"/>
              </w:rPr>
            </w:pPr>
            <w:r>
              <w:rPr>
                <w:rFonts w:hint="default" w:ascii="Times New Roman" w:hAnsi="Times New Roman" w:eastAsia="宋体" w:cs="Times New Roman"/>
                <w:kern w:val="2"/>
                <w:sz w:val="21"/>
                <w:szCs w:val="21"/>
                <w:u w:val="none"/>
                <w:lang w:eastAsia="zh-CN"/>
              </w:rPr>
              <w:t>(三) 社会资金进行商业性探矿勘查，以及不属于国家紧缺矿种资源的基础地质调 查和矿产远景调查等公益性工作的设施建设；</w:t>
            </w:r>
          </w:p>
          <w:p>
            <w:pPr>
              <w:pStyle w:val="150"/>
              <w:keepNext w:val="0"/>
              <w:keepLines w:val="0"/>
              <w:pageBreakBefore w:val="0"/>
              <w:widowControl w:val="0"/>
              <w:kinsoku/>
              <w:wordWrap/>
              <w:overflowPunct/>
              <w:topLinePunct w:val="0"/>
              <w:autoSpaceDE w:val="0"/>
              <w:autoSpaceDN w:val="0"/>
              <w:bidi w:val="0"/>
              <w:adjustRightInd w:val="0"/>
              <w:snapToGrid/>
              <w:spacing w:line="240" w:lineRule="auto"/>
              <w:jc w:val="both"/>
              <w:textAlignment w:val="auto"/>
              <w:rPr>
                <w:rFonts w:hint="default" w:ascii="Times New Roman" w:hAnsi="Times New Roman" w:eastAsia="宋体" w:cs="Times New Roman"/>
                <w:kern w:val="2"/>
                <w:sz w:val="21"/>
                <w:szCs w:val="21"/>
                <w:u w:val="none"/>
                <w:lang w:eastAsia="zh-CN"/>
              </w:rPr>
            </w:pPr>
            <w:r>
              <w:rPr>
                <w:rFonts w:hint="default" w:ascii="Times New Roman" w:hAnsi="Times New Roman" w:eastAsia="宋体" w:cs="Times New Roman"/>
                <w:kern w:val="2"/>
                <w:sz w:val="21"/>
                <w:szCs w:val="21"/>
                <w:u w:val="none"/>
                <w:lang w:eastAsia="zh-CN"/>
              </w:rPr>
              <w:t>(四) 野生动物驯养繁殖、展览基地建设项目；</w:t>
            </w:r>
          </w:p>
          <w:p>
            <w:pPr>
              <w:pStyle w:val="150"/>
              <w:keepNext w:val="0"/>
              <w:keepLines w:val="0"/>
              <w:pageBreakBefore w:val="0"/>
              <w:widowControl w:val="0"/>
              <w:kinsoku/>
              <w:wordWrap/>
              <w:overflowPunct/>
              <w:topLinePunct w:val="0"/>
              <w:autoSpaceDE w:val="0"/>
              <w:autoSpaceDN w:val="0"/>
              <w:bidi w:val="0"/>
              <w:adjustRightInd w:val="0"/>
              <w:snapToGrid/>
              <w:spacing w:line="240" w:lineRule="auto"/>
              <w:jc w:val="both"/>
              <w:textAlignment w:val="auto"/>
              <w:rPr>
                <w:rFonts w:hint="default" w:ascii="Times New Roman" w:hAnsi="Times New Roman" w:eastAsia="宋体" w:cs="Times New Roman"/>
                <w:kern w:val="2"/>
                <w:sz w:val="21"/>
                <w:szCs w:val="21"/>
                <w:u w:val="none"/>
                <w:lang w:eastAsia="zh-CN"/>
              </w:rPr>
            </w:pPr>
            <w:r>
              <w:rPr>
                <w:rFonts w:hint="default" w:ascii="Times New Roman" w:hAnsi="Times New Roman" w:eastAsia="宋体" w:cs="Times New Roman"/>
                <w:kern w:val="2"/>
                <w:sz w:val="21"/>
                <w:szCs w:val="21"/>
                <w:u w:val="none"/>
                <w:lang w:eastAsia="zh-CN"/>
              </w:rPr>
              <w:t>(五) 污染环境、破坏自然资源或自然景观的建设设施；</w:t>
            </w:r>
          </w:p>
          <w:p>
            <w:pPr>
              <w:pStyle w:val="150"/>
              <w:keepNext w:val="0"/>
              <w:keepLines w:val="0"/>
              <w:pageBreakBefore w:val="0"/>
              <w:widowControl w:val="0"/>
              <w:kinsoku/>
              <w:wordWrap/>
              <w:overflowPunct/>
              <w:topLinePunct w:val="0"/>
              <w:autoSpaceDE w:val="0"/>
              <w:autoSpaceDN w:val="0"/>
              <w:bidi w:val="0"/>
              <w:adjustRightInd w:val="0"/>
              <w:snapToGrid/>
              <w:spacing w:line="240" w:lineRule="auto"/>
              <w:jc w:val="both"/>
              <w:textAlignment w:val="auto"/>
              <w:rPr>
                <w:rFonts w:hint="default" w:ascii="Times New Roman" w:hAnsi="Times New Roman" w:eastAsia="宋体" w:cs="Times New Roman"/>
                <w:kern w:val="2"/>
                <w:sz w:val="21"/>
                <w:szCs w:val="21"/>
                <w:u w:val="none"/>
                <w:lang w:eastAsia="zh-CN"/>
              </w:rPr>
            </w:pPr>
            <w:r>
              <w:rPr>
                <w:rFonts w:hint="default" w:ascii="Times New Roman" w:hAnsi="Times New Roman" w:eastAsia="宋体" w:cs="Times New Roman"/>
                <w:kern w:val="2"/>
                <w:sz w:val="21"/>
                <w:szCs w:val="21"/>
                <w:u w:val="none"/>
                <w:lang w:eastAsia="zh-CN"/>
              </w:rPr>
              <w:t>(六) 对自然保护区主要保护对象产生重大影响、改变自然生态系统完整性、原真性、破坏自然景观的设施；</w:t>
            </w:r>
          </w:p>
          <w:p>
            <w:pPr>
              <w:pStyle w:val="150"/>
              <w:keepNext w:val="0"/>
              <w:keepLines w:val="0"/>
              <w:pageBreakBefore w:val="0"/>
              <w:widowControl w:val="0"/>
              <w:kinsoku/>
              <w:wordWrap/>
              <w:overflowPunct/>
              <w:topLinePunct w:val="0"/>
              <w:autoSpaceDE w:val="0"/>
              <w:autoSpaceDN w:val="0"/>
              <w:bidi w:val="0"/>
              <w:adjustRightInd w:val="0"/>
              <w:snapToGrid/>
              <w:spacing w:line="240" w:lineRule="auto"/>
              <w:ind w:firstLine="420" w:firstLineChars="200"/>
              <w:jc w:val="both"/>
              <w:textAlignment w:val="auto"/>
              <w:rPr>
                <w:sz w:val="21"/>
                <w:szCs w:val="21"/>
              </w:rPr>
            </w:pPr>
            <w:r>
              <w:rPr>
                <w:rFonts w:hint="default" w:ascii="Times New Roman" w:hAnsi="Times New Roman" w:eastAsia="宋体" w:cs="Times New Roman"/>
                <w:kern w:val="2"/>
                <w:sz w:val="21"/>
                <w:szCs w:val="21"/>
                <w:u w:val="none"/>
                <w:lang w:eastAsia="zh-CN"/>
              </w:rPr>
              <w:t>(七) 其他不符合自然保护区主体功能定位和国家禁止的设施。</w:t>
            </w:r>
          </w:p>
        </w:tc>
        <w:tc>
          <w:tcPr>
            <w:tcW w:w="2143" w:type="pct"/>
            <w:tcBorders>
              <w:tl2br w:val="nil"/>
              <w:tr2bl w:val="nil"/>
            </w:tcBorders>
            <w:vAlign w:val="center"/>
          </w:tcPr>
          <w:p>
            <w:pPr>
              <w:pStyle w:val="2057"/>
              <w:spacing w:afterLines="0"/>
              <w:ind w:firstLine="0" w:firstLineChars="0"/>
              <w:rPr>
                <w:sz w:val="21"/>
                <w:szCs w:val="21"/>
              </w:rPr>
            </w:pPr>
            <w:r>
              <w:rPr>
                <w:rFonts w:hint="eastAsia"/>
                <w:sz w:val="21"/>
                <w:szCs w:val="21"/>
              </w:rPr>
              <w:t>本项不涉及自然保护区核心区、缓冲区的岸线和河段范围；项目</w:t>
            </w:r>
            <w:r>
              <w:rPr>
                <w:rFonts w:hint="eastAsia"/>
                <w:sz w:val="21"/>
                <w:szCs w:val="21"/>
                <w:lang w:val="en-US" w:eastAsia="zh-CN"/>
              </w:rPr>
              <w:t>不属于其他不符合自然保护区主体功能和国家禁止的设施</w:t>
            </w:r>
          </w:p>
        </w:tc>
        <w:tc>
          <w:tcPr>
            <w:tcW w:w="440" w:type="pct"/>
            <w:tcBorders>
              <w:tl2br w:val="nil"/>
              <w:tr2bl w:val="nil"/>
            </w:tcBorders>
            <w:vAlign w:val="center"/>
          </w:tcPr>
          <w:p>
            <w:pPr>
              <w:pStyle w:val="2057"/>
              <w:spacing w:afterLines="0"/>
              <w:ind w:firstLine="0" w:firstLineChars="0"/>
              <w:rPr>
                <w:sz w:val="21"/>
                <w:szCs w:val="21"/>
              </w:rPr>
            </w:pPr>
            <w:r>
              <w:rPr>
                <w:rFonts w:hint="eastAsia"/>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23" w:hRule="atLeast"/>
        </w:trPr>
        <w:tc>
          <w:tcPr>
            <w:tcW w:w="272" w:type="pct"/>
            <w:tcBorders>
              <w:tl2br w:val="nil"/>
              <w:tr2bl w:val="nil"/>
            </w:tcBorders>
            <w:vAlign w:val="center"/>
          </w:tcPr>
          <w:p>
            <w:pPr>
              <w:pStyle w:val="2057"/>
              <w:spacing w:afterLines="0"/>
              <w:ind w:firstLine="0" w:firstLineChars="0"/>
              <w:rPr>
                <w:sz w:val="21"/>
                <w:szCs w:val="21"/>
              </w:rPr>
            </w:pPr>
            <w:r>
              <w:rPr>
                <w:rFonts w:hint="eastAsia"/>
                <w:sz w:val="21"/>
                <w:szCs w:val="21"/>
              </w:rPr>
              <w:t>3</w:t>
            </w:r>
          </w:p>
        </w:tc>
        <w:tc>
          <w:tcPr>
            <w:tcW w:w="2143" w:type="pct"/>
            <w:tcBorders>
              <w:tl2br w:val="nil"/>
              <w:tr2bl w:val="nil"/>
            </w:tcBorders>
            <w:vAlign w:val="center"/>
          </w:tcPr>
          <w:p>
            <w:pPr>
              <w:pStyle w:val="150"/>
              <w:keepNext w:val="0"/>
              <w:keepLines w:val="0"/>
              <w:pageBreakBefore w:val="0"/>
              <w:widowControl w:val="0"/>
              <w:kinsoku/>
              <w:wordWrap/>
              <w:overflowPunct/>
              <w:topLinePunct w:val="0"/>
              <w:autoSpaceDE w:val="0"/>
              <w:autoSpaceDN w:val="0"/>
              <w:bidi w:val="0"/>
              <w:adjustRightInd w:val="0"/>
              <w:snapToGrid/>
              <w:spacing w:line="240" w:lineRule="auto"/>
              <w:ind w:firstLine="420" w:firstLineChars="200"/>
              <w:jc w:val="both"/>
              <w:textAlignment w:val="auto"/>
              <w:rPr>
                <w:sz w:val="21"/>
                <w:szCs w:val="21"/>
              </w:rPr>
            </w:pPr>
            <w:r>
              <w:rPr>
                <w:rFonts w:hint="default" w:ascii="Times New Roman" w:hAnsi="Times New Roman" w:eastAsia="宋体" w:cs="Times New Roman"/>
                <w:kern w:val="2"/>
                <w:sz w:val="21"/>
                <w:szCs w:val="21"/>
                <w:u w:val="none"/>
                <w:lang w:eastAsia="zh-CN"/>
              </w:rPr>
              <w:t>第六条</w:t>
            </w:r>
            <w:r>
              <w:rPr>
                <w:rFonts w:hint="eastAsia" w:ascii="Times New Roman" w:eastAsia="宋体" w:cs="Times New Roman"/>
                <w:kern w:val="2"/>
                <w:sz w:val="21"/>
                <w:szCs w:val="21"/>
                <w:u w:val="none"/>
                <w:lang w:val="en-US" w:eastAsia="zh-CN"/>
              </w:rPr>
              <w:t xml:space="preserve"> </w:t>
            </w:r>
            <w:r>
              <w:rPr>
                <w:rFonts w:hint="default" w:ascii="Times New Roman" w:hAnsi="Times New Roman" w:eastAsia="宋体" w:cs="Times New Roman"/>
                <w:kern w:val="2"/>
                <w:sz w:val="21"/>
                <w:szCs w:val="21"/>
                <w:u w:val="none"/>
                <w:lang w:eastAsia="zh-CN"/>
              </w:rPr>
              <w:t>禁止违反风景名胜区规划，在风景 名胜区内设立各类开发区和在核心景区内建设宾馆、招待所、培训中心、疗养院以及与风景名胜资源保护无关的其他建筑物；已经建设的，应当按照风景名胜区规划，逐步迁出。</w:t>
            </w:r>
          </w:p>
        </w:tc>
        <w:tc>
          <w:tcPr>
            <w:tcW w:w="2143" w:type="pct"/>
            <w:tcBorders>
              <w:tl2br w:val="nil"/>
              <w:tr2bl w:val="nil"/>
            </w:tcBorders>
            <w:vAlign w:val="center"/>
          </w:tcPr>
          <w:p>
            <w:pPr>
              <w:pStyle w:val="2057"/>
              <w:spacing w:afterLines="0"/>
              <w:ind w:firstLine="0" w:firstLineChars="0"/>
              <w:rPr>
                <w:color w:val="FF0000"/>
                <w:sz w:val="21"/>
                <w:szCs w:val="21"/>
              </w:rPr>
            </w:pPr>
            <w:r>
              <w:rPr>
                <w:rFonts w:hint="eastAsia"/>
                <w:sz w:val="21"/>
                <w:szCs w:val="21"/>
              </w:rPr>
              <w:t>不涉及风景名胜区核心景区的岸线和河段范围，符合要求。</w:t>
            </w:r>
          </w:p>
        </w:tc>
        <w:tc>
          <w:tcPr>
            <w:tcW w:w="440" w:type="pct"/>
            <w:tcBorders>
              <w:tl2br w:val="nil"/>
              <w:tr2bl w:val="nil"/>
            </w:tcBorders>
            <w:vAlign w:val="center"/>
          </w:tcPr>
          <w:p>
            <w:pPr>
              <w:pStyle w:val="2057"/>
              <w:spacing w:afterLines="0"/>
              <w:ind w:firstLine="0" w:firstLineChars="0"/>
              <w:rPr>
                <w:color w:val="FF0000"/>
                <w:sz w:val="21"/>
                <w:szCs w:val="21"/>
              </w:rPr>
            </w:pPr>
            <w:r>
              <w:rPr>
                <w:rFonts w:hint="eastAsia"/>
                <w:color w:val="000000" w:themeColor="text1"/>
                <w:sz w:val="21"/>
                <w:szCs w:val="21"/>
                <w14:textFill>
                  <w14:solidFill>
                    <w14:schemeClr w14:val="tx1"/>
                  </w14:solidFill>
                </w14:textFill>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797" w:hRule="atLeast"/>
        </w:trPr>
        <w:tc>
          <w:tcPr>
            <w:tcW w:w="272" w:type="pct"/>
            <w:tcBorders>
              <w:tl2br w:val="nil"/>
              <w:tr2bl w:val="nil"/>
            </w:tcBorders>
            <w:vAlign w:val="center"/>
          </w:tcPr>
          <w:p>
            <w:pPr>
              <w:pStyle w:val="2057"/>
              <w:spacing w:afterLines="0"/>
              <w:ind w:firstLine="0" w:firstLineChars="0"/>
              <w:rPr>
                <w:sz w:val="21"/>
                <w:szCs w:val="21"/>
              </w:rPr>
            </w:pPr>
            <w:r>
              <w:rPr>
                <w:rFonts w:hint="eastAsia"/>
                <w:sz w:val="21"/>
                <w:szCs w:val="21"/>
              </w:rPr>
              <w:t>4</w:t>
            </w:r>
          </w:p>
        </w:tc>
        <w:tc>
          <w:tcPr>
            <w:tcW w:w="2143" w:type="pct"/>
            <w:tcBorders>
              <w:tl2br w:val="nil"/>
              <w:tr2bl w:val="nil"/>
            </w:tcBorders>
            <w:vAlign w:val="center"/>
          </w:tcPr>
          <w:p>
            <w:pPr>
              <w:pStyle w:val="150"/>
              <w:keepNext w:val="0"/>
              <w:keepLines w:val="0"/>
              <w:pageBreakBefore w:val="0"/>
              <w:widowControl w:val="0"/>
              <w:kinsoku/>
              <w:wordWrap/>
              <w:overflowPunct/>
              <w:topLinePunct w:val="0"/>
              <w:autoSpaceDE w:val="0"/>
              <w:autoSpaceDN w:val="0"/>
              <w:bidi w:val="0"/>
              <w:adjustRightInd w:val="0"/>
              <w:snapToGrid/>
              <w:spacing w:line="240" w:lineRule="auto"/>
              <w:jc w:val="both"/>
              <w:textAlignment w:val="auto"/>
              <w:rPr>
                <w:rFonts w:hint="default" w:ascii="Times New Roman" w:hAnsi="Times New Roman" w:eastAsia="宋体" w:cs="Times New Roman"/>
                <w:kern w:val="2"/>
                <w:sz w:val="21"/>
                <w:szCs w:val="21"/>
                <w:u w:val="none"/>
                <w:lang w:eastAsia="zh-CN"/>
              </w:rPr>
            </w:pPr>
            <w:r>
              <w:rPr>
                <w:rFonts w:hint="default" w:ascii="Times New Roman" w:hAnsi="Times New Roman" w:eastAsia="宋体" w:cs="Times New Roman"/>
                <w:kern w:val="2"/>
                <w:sz w:val="21"/>
                <w:szCs w:val="21"/>
                <w:u w:val="none"/>
                <w:lang w:eastAsia="zh-CN"/>
              </w:rPr>
              <w:t>第七条</w:t>
            </w:r>
            <w:r>
              <w:rPr>
                <w:rFonts w:hint="eastAsia" w:ascii="Times New Roman" w:eastAsia="宋体" w:cs="Times New Roman"/>
                <w:kern w:val="2"/>
                <w:sz w:val="21"/>
                <w:szCs w:val="21"/>
                <w:u w:val="none"/>
                <w:lang w:val="en-US" w:eastAsia="zh-CN"/>
              </w:rPr>
              <w:t xml:space="preserve"> </w:t>
            </w:r>
            <w:r>
              <w:rPr>
                <w:rFonts w:hint="default" w:ascii="Times New Roman" w:hAnsi="Times New Roman" w:eastAsia="宋体" w:cs="Times New Roman"/>
                <w:kern w:val="2"/>
                <w:sz w:val="21"/>
                <w:szCs w:val="21"/>
                <w:u w:val="none"/>
                <w:lang w:eastAsia="zh-CN"/>
              </w:rPr>
              <w:t>饮用水水源一级保护区内禁止新建、改建、扩建与供水设施和保护水源无关的建设项目；禁止向水域排放污水，已设置的排污口必须拆除；不得设置与供水需要无关的码头，禁止停靠船舶；禁止堆 置和存放工业废渣、城市垃圾、粪便和其 它废弃物；禁止设置油库；禁止使用含磷 洗涤剂、化肥、农药；禁止建设养殖场、禁止网箱养殖、旅游等可能污染饮用水水体的投资建设项目。</w:t>
            </w:r>
          </w:p>
          <w:p>
            <w:pPr>
              <w:pStyle w:val="150"/>
              <w:keepNext w:val="0"/>
              <w:keepLines w:val="0"/>
              <w:pageBreakBefore w:val="0"/>
              <w:widowControl w:val="0"/>
              <w:kinsoku/>
              <w:wordWrap/>
              <w:overflowPunct/>
              <w:topLinePunct w:val="0"/>
              <w:autoSpaceDE w:val="0"/>
              <w:autoSpaceDN w:val="0"/>
              <w:bidi w:val="0"/>
              <w:adjustRightInd w:val="0"/>
              <w:snapToGrid/>
              <w:spacing w:line="240" w:lineRule="auto"/>
              <w:ind w:firstLine="420" w:firstLineChars="200"/>
              <w:jc w:val="both"/>
              <w:textAlignment w:val="auto"/>
              <w:rPr>
                <w:sz w:val="21"/>
                <w:szCs w:val="21"/>
              </w:rPr>
            </w:pPr>
            <w:r>
              <w:rPr>
                <w:rFonts w:hint="default" w:ascii="Times New Roman" w:hAnsi="Times New Roman" w:eastAsia="宋体" w:cs="Times New Roman"/>
                <w:kern w:val="2"/>
                <w:sz w:val="21"/>
                <w:szCs w:val="21"/>
                <w:u w:val="none"/>
                <w:lang w:eastAsia="zh-CN"/>
              </w:rPr>
              <w:t>第八条饮用水水源二级保护区内禁止新建、改建、扩建向水体排放污染物的投资 建设项目。原有排污口依法拆除或关闭。 禁止设立装卸垃圾、粪便、油类和有毒物品的码头。</w:t>
            </w:r>
          </w:p>
        </w:tc>
        <w:tc>
          <w:tcPr>
            <w:tcW w:w="2143" w:type="pct"/>
            <w:tcBorders>
              <w:tl2br w:val="nil"/>
              <w:tr2bl w:val="nil"/>
            </w:tcBorders>
            <w:vAlign w:val="center"/>
          </w:tcPr>
          <w:p>
            <w:pPr>
              <w:pStyle w:val="2057"/>
              <w:spacing w:afterLines="0"/>
              <w:ind w:firstLine="0" w:firstLineChars="0"/>
              <w:rPr>
                <w:sz w:val="21"/>
                <w:szCs w:val="21"/>
              </w:rPr>
            </w:pPr>
            <w:r>
              <w:rPr>
                <w:rFonts w:hint="eastAsia"/>
                <w:color w:val="000000" w:themeColor="text1"/>
                <w:sz w:val="21"/>
                <w:szCs w:val="21"/>
                <w14:textFill>
                  <w14:solidFill>
                    <w14:schemeClr w14:val="tx1"/>
                  </w14:solidFill>
                </w14:textFill>
              </w:rPr>
              <w:t>项目不涉及饮用水水源水源一级保护区和二级保护区。</w:t>
            </w:r>
          </w:p>
        </w:tc>
        <w:tc>
          <w:tcPr>
            <w:tcW w:w="440" w:type="pct"/>
            <w:tcBorders>
              <w:tl2br w:val="nil"/>
              <w:tr2bl w:val="nil"/>
            </w:tcBorders>
            <w:vAlign w:val="center"/>
          </w:tcPr>
          <w:p>
            <w:pPr>
              <w:pStyle w:val="2057"/>
              <w:spacing w:afterLines="0"/>
              <w:ind w:firstLine="0" w:firstLineChars="0"/>
              <w:rPr>
                <w:sz w:val="21"/>
                <w:szCs w:val="21"/>
              </w:rPr>
            </w:pPr>
            <w:r>
              <w:rPr>
                <w:rFonts w:hint="eastAsia"/>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117" w:hRule="atLeast"/>
        </w:trPr>
        <w:tc>
          <w:tcPr>
            <w:tcW w:w="272" w:type="pct"/>
            <w:tcBorders>
              <w:tl2br w:val="nil"/>
              <w:tr2bl w:val="nil"/>
            </w:tcBorders>
            <w:vAlign w:val="center"/>
          </w:tcPr>
          <w:p>
            <w:pPr>
              <w:pStyle w:val="2057"/>
              <w:spacing w:afterLines="0"/>
              <w:ind w:firstLine="0" w:firstLineChars="0"/>
              <w:rPr>
                <w:sz w:val="21"/>
                <w:szCs w:val="21"/>
              </w:rPr>
            </w:pPr>
            <w:r>
              <w:rPr>
                <w:rFonts w:hint="eastAsia"/>
                <w:sz w:val="21"/>
                <w:szCs w:val="21"/>
              </w:rPr>
              <w:t>5</w:t>
            </w:r>
          </w:p>
        </w:tc>
        <w:tc>
          <w:tcPr>
            <w:tcW w:w="2143" w:type="pct"/>
            <w:tcBorders>
              <w:tl2br w:val="nil"/>
              <w:tr2bl w:val="nil"/>
            </w:tcBorders>
            <w:vAlign w:val="center"/>
          </w:tcPr>
          <w:p>
            <w:pPr>
              <w:pStyle w:val="150"/>
              <w:keepNext w:val="0"/>
              <w:keepLines w:val="0"/>
              <w:pageBreakBefore w:val="0"/>
              <w:widowControl w:val="0"/>
              <w:kinsoku/>
              <w:wordWrap/>
              <w:overflowPunct/>
              <w:topLinePunct w:val="0"/>
              <w:autoSpaceDE w:val="0"/>
              <w:autoSpaceDN w:val="0"/>
              <w:bidi w:val="0"/>
              <w:adjustRightInd w:val="0"/>
              <w:snapToGrid/>
              <w:spacing w:line="240" w:lineRule="auto"/>
              <w:ind w:firstLine="420" w:firstLineChars="200"/>
              <w:jc w:val="both"/>
              <w:textAlignment w:val="auto"/>
              <w:rPr>
                <w:sz w:val="21"/>
                <w:szCs w:val="21"/>
              </w:rPr>
            </w:pPr>
            <w:r>
              <w:rPr>
                <w:rFonts w:hint="default" w:ascii="Times New Roman" w:hAnsi="Times New Roman" w:eastAsia="宋体" w:cs="Times New Roman"/>
                <w:kern w:val="2"/>
                <w:sz w:val="21"/>
                <w:szCs w:val="21"/>
                <w:u w:val="none"/>
                <w:lang w:eastAsia="zh-CN"/>
              </w:rPr>
              <w:t>第九条</w:t>
            </w:r>
            <w:r>
              <w:rPr>
                <w:rFonts w:hint="eastAsia" w:ascii="Times New Roman" w:eastAsia="宋体" w:cs="Times New Roman"/>
                <w:kern w:val="2"/>
                <w:sz w:val="21"/>
                <w:szCs w:val="21"/>
                <w:u w:val="none"/>
                <w:lang w:val="en-US" w:eastAsia="zh-CN"/>
              </w:rPr>
              <w:t xml:space="preserve"> </w:t>
            </w:r>
            <w:r>
              <w:rPr>
                <w:rFonts w:hint="default" w:ascii="Times New Roman" w:hAnsi="Times New Roman" w:eastAsia="宋体" w:cs="Times New Roman"/>
                <w:kern w:val="2"/>
                <w:sz w:val="21"/>
                <w:szCs w:val="21"/>
                <w:u w:val="none"/>
                <w:lang w:eastAsia="zh-CN"/>
              </w:rPr>
              <w:t>禁止在水产种质资源保护区内新建排污口、从事围湖造田造地等投资建设项目。</w:t>
            </w:r>
          </w:p>
        </w:tc>
        <w:tc>
          <w:tcPr>
            <w:tcW w:w="2143" w:type="pct"/>
            <w:tcBorders>
              <w:tl2br w:val="nil"/>
              <w:tr2bl w:val="nil"/>
            </w:tcBorders>
            <w:vAlign w:val="center"/>
          </w:tcPr>
          <w:p>
            <w:pPr>
              <w:pStyle w:val="2057"/>
              <w:spacing w:afterLines="0"/>
              <w:ind w:firstLine="0" w:firstLineChars="0"/>
              <w:rPr>
                <w:rFonts w:hint="default" w:eastAsia="宋体"/>
                <w:sz w:val="21"/>
                <w:szCs w:val="21"/>
                <w:lang w:val="en-US" w:eastAsia="zh-CN"/>
              </w:rPr>
            </w:pPr>
            <w:r>
              <w:rPr>
                <w:rFonts w:hint="eastAsia"/>
                <w:sz w:val="21"/>
                <w:szCs w:val="21"/>
              </w:rPr>
              <w:t>本项目选址位于</w:t>
            </w:r>
            <w:r>
              <w:rPr>
                <w:sz w:val="21"/>
                <w:szCs w:val="21"/>
              </w:rPr>
              <w:t>洞庭湖口铜鱼短颌鲚国家级水产种质资源保护区的实验区范围内</w:t>
            </w:r>
            <w:r>
              <w:rPr>
                <w:rFonts w:hint="eastAsia"/>
                <w:sz w:val="21"/>
                <w:szCs w:val="21"/>
                <w:lang w:eastAsia="zh-CN"/>
              </w:rPr>
              <w:t>，</w:t>
            </w:r>
            <w:r>
              <w:rPr>
                <w:rFonts w:hint="eastAsia"/>
                <w:sz w:val="21"/>
                <w:szCs w:val="21"/>
                <w:lang w:val="en-US" w:eastAsia="zh-CN"/>
              </w:rPr>
              <w:t>项目不设置排污口，不从事维护造田造地等项目</w:t>
            </w:r>
          </w:p>
        </w:tc>
        <w:tc>
          <w:tcPr>
            <w:tcW w:w="440" w:type="pct"/>
            <w:tcBorders>
              <w:tl2br w:val="nil"/>
              <w:tr2bl w:val="nil"/>
            </w:tcBorders>
            <w:vAlign w:val="center"/>
          </w:tcPr>
          <w:p>
            <w:pPr>
              <w:pStyle w:val="2057"/>
              <w:spacing w:afterLines="0"/>
              <w:ind w:firstLine="0" w:firstLineChars="0"/>
              <w:rPr>
                <w:sz w:val="21"/>
                <w:szCs w:val="21"/>
              </w:rPr>
            </w:pPr>
            <w:r>
              <w:rPr>
                <w:rFonts w:hint="eastAsia"/>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52" w:hRule="atLeast"/>
        </w:trPr>
        <w:tc>
          <w:tcPr>
            <w:tcW w:w="272" w:type="pct"/>
            <w:tcBorders>
              <w:tl2br w:val="nil"/>
              <w:tr2bl w:val="nil"/>
            </w:tcBorders>
            <w:vAlign w:val="center"/>
          </w:tcPr>
          <w:p>
            <w:pPr>
              <w:pStyle w:val="2057"/>
              <w:spacing w:afterLines="0"/>
              <w:ind w:firstLine="0" w:firstLineChars="0"/>
              <w:rPr>
                <w:sz w:val="21"/>
                <w:szCs w:val="21"/>
              </w:rPr>
            </w:pPr>
            <w:r>
              <w:rPr>
                <w:rFonts w:hint="eastAsia"/>
                <w:sz w:val="21"/>
                <w:szCs w:val="21"/>
              </w:rPr>
              <w:t>6</w:t>
            </w:r>
          </w:p>
        </w:tc>
        <w:tc>
          <w:tcPr>
            <w:tcW w:w="2143" w:type="pct"/>
            <w:tcBorders>
              <w:tl2br w:val="nil"/>
              <w:tr2bl w:val="nil"/>
            </w:tcBorders>
            <w:vAlign w:val="center"/>
          </w:tcPr>
          <w:p>
            <w:pPr>
              <w:pStyle w:val="150"/>
              <w:keepNext w:val="0"/>
              <w:keepLines w:val="0"/>
              <w:pageBreakBefore w:val="0"/>
              <w:widowControl w:val="0"/>
              <w:kinsoku/>
              <w:wordWrap/>
              <w:overflowPunct/>
              <w:topLinePunct w:val="0"/>
              <w:autoSpaceDE w:val="0"/>
              <w:autoSpaceDN w:val="0"/>
              <w:bidi w:val="0"/>
              <w:adjustRightInd w:val="0"/>
              <w:snapToGrid/>
              <w:spacing w:line="240" w:lineRule="auto"/>
              <w:jc w:val="both"/>
              <w:textAlignment w:val="auto"/>
              <w:rPr>
                <w:rFonts w:hint="default" w:ascii="Times New Roman" w:hAnsi="Times New Roman" w:eastAsia="宋体" w:cs="Times New Roman"/>
                <w:kern w:val="2"/>
                <w:sz w:val="21"/>
                <w:szCs w:val="21"/>
                <w:u w:val="none"/>
                <w:lang w:eastAsia="zh-CN"/>
              </w:rPr>
            </w:pPr>
            <w:r>
              <w:rPr>
                <w:rFonts w:hint="default" w:ascii="Times New Roman" w:hAnsi="Times New Roman" w:eastAsia="宋体" w:cs="Times New Roman"/>
                <w:kern w:val="2"/>
                <w:sz w:val="21"/>
                <w:szCs w:val="21"/>
                <w:u w:val="none"/>
                <w:lang w:eastAsia="zh-CN"/>
              </w:rPr>
              <w:t>第十条</w:t>
            </w:r>
            <w:r>
              <w:rPr>
                <w:rFonts w:hint="eastAsia" w:ascii="Times New Roman" w:eastAsia="宋体" w:cs="Times New Roman"/>
                <w:kern w:val="2"/>
                <w:sz w:val="21"/>
                <w:szCs w:val="21"/>
                <w:u w:val="none"/>
                <w:lang w:val="en-US" w:eastAsia="zh-CN"/>
              </w:rPr>
              <w:t xml:space="preserve"> </w:t>
            </w:r>
            <w:r>
              <w:rPr>
                <w:rFonts w:hint="default" w:ascii="Times New Roman" w:hAnsi="Times New Roman" w:eastAsia="宋体" w:cs="Times New Roman"/>
                <w:kern w:val="2"/>
                <w:sz w:val="21"/>
                <w:szCs w:val="21"/>
                <w:u w:val="none"/>
                <w:lang w:eastAsia="zh-CN"/>
              </w:rPr>
              <w:t>禁止在国家湿地公园范围内开(围) 垦湿地、挖沙、采矿等，《中华人民共和 国防洪法》规定的紧急防汛期采取的紧急 措施除外。</w:t>
            </w:r>
          </w:p>
          <w:p>
            <w:pPr>
              <w:pStyle w:val="150"/>
              <w:keepNext w:val="0"/>
              <w:keepLines w:val="0"/>
              <w:pageBreakBefore w:val="0"/>
              <w:widowControl w:val="0"/>
              <w:kinsoku/>
              <w:wordWrap/>
              <w:overflowPunct/>
              <w:topLinePunct w:val="0"/>
              <w:autoSpaceDE w:val="0"/>
              <w:autoSpaceDN w:val="0"/>
              <w:bidi w:val="0"/>
              <w:adjustRightInd w:val="0"/>
              <w:snapToGrid/>
              <w:spacing w:line="240" w:lineRule="auto"/>
              <w:ind w:firstLine="420" w:firstLineChars="200"/>
              <w:jc w:val="both"/>
              <w:textAlignment w:val="auto"/>
              <w:rPr>
                <w:sz w:val="21"/>
                <w:szCs w:val="21"/>
              </w:rPr>
            </w:pPr>
            <w:r>
              <w:rPr>
                <w:rFonts w:hint="default" w:ascii="Times New Roman" w:hAnsi="Times New Roman" w:eastAsia="宋体" w:cs="Times New Roman"/>
                <w:kern w:val="2"/>
                <w:sz w:val="21"/>
                <w:szCs w:val="21"/>
                <w:u w:val="none"/>
                <w:lang w:eastAsia="zh-CN"/>
              </w:rPr>
              <w:t>第十一条</w:t>
            </w:r>
            <w:r>
              <w:rPr>
                <w:rFonts w:hint="eastAsia" w:ascii="Times New Roman" w:eastAsia="宋体" w:cs="Times New Roman"/>
                <w:kern w:val="2"/>
                <w:sz w:val="21"/>
                <w:szCs w:val="21"/>
                <w:u w:val="none"/>
                <w:lang w:val="en-US" w:eastAsia="zh-CN"/>
              </w:rPr>
              <w:t xml:space="preserve"> </w:t>
            </w:r>
            <w:r>
              <w:rPr>
                <w:rFonts w:hint="default" w:ascii="Times New Roman" w:hAnsi="Times New Roman" w:eastAsia="宋体" w:cs="Times New Roman"/>
                <w:kern w:val="2"/>
                <w:sz w:val="21"/>
                <w:szCs w:val="21"/>
                <w:u w:val="none"/>
                <w:lang w:eastAsia="zh-CN"/>
              </w:rPr>
              <w:t>禁止在国家湿地公园范围内从事房地产、度假村、高尔夫球场、风力发电、光伏发电等任何不符合主体功能定位的投 资建设项目。</w:t>
            </w:r>
          </w:p>
        </w:tc>
        <w:tc>
          <w:tcPr>
            <w:tcW w:w="2143" w:type="pct"/>
            <w:tcBorders>
              <w:tl2br w:val="nil"/>
              <w:tr2bl w:val="nil"/>
            </w:tcBorders>
            <w:vAlign w:val="center"/>
          </w:tcPr>
          <w:p>
            <w:pPr>
              <w:pStyle w:val="2057"/>
              <w:spacing w:afterLines="0"/>
              <w:ind w:firstLine="0" w:firstLineChars="0"/>
              <w:rPr>
                <w:sz w:val="21"/>
                <w:szCs w:val="21"/>
              </w:rPr>
            </w:pPr>
            <w:r>
              <w:rPr>
                <w:rFonts w:hint="eastAsia"/>
                <w:sz w:val="21"/>
                <w:szCs w:val="21"/>
                <w:lang w:val="en-US" w:eastAsia="zh-CN"/>
              </w:rPr>
              <w:t>本项目不涉及湿地公园</w:t>
            </w:r>
            <w:r>
              <w:rPr>
                <w:rFonts w:hint="eastAsia"/>
                <w:sz w:val="21"/>
                <w:szCs w:val="21"/>
              </w:rPr>
              <w:t>。</w:t>
            </w:r>
          </w:p>
        </w:tc>
        <w:tc>
          <w:tcPr>
            <w:tcW w:w="440" w:type="pct"/>
            <w:tcBorders>
              <w:tl2br w:val="nil"/>
              <w:tr2bl w:val="nil"/>
            </w:tcBorders>
            <w:vAlign w:val="center"/>
          </w:tcPr>
          <w:p>
            <w:pPr>
              <w:pStyle w:val="2057"/>
              <w:spacing w:afterLines="0"/>
              <w:ind w:firstLine="0" w:firstLineChars="0"/>
              <w:rPr>
                <w:sz w:val="21"/>
                <w:szCs w:val="21"/>
              </w:rPr>
            </w:pPr>
            <w:r>
              <w:rPr>
                <w:rFonts w:hint="eastAsia"/>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23" w:hRule="atLeast"/>
        </w:trPr>
        <w:tc>
          <w:tcPr>
            <w:tcW w:w="272" w:type="pct"/>
            <w:tcBorders>
              <w:tl2br w:val="nil"/>
              <w:tr2bl w:val="nil"/>
            </w:tcBorders>
            <w:vAlign w:val="center"/>
          </w:tcPr>
          <w:p>
            <w:pPr>
              <w:pStyle w:val="2057"/>
              <w:spacing w:afterLines="0"/>
              <w:ind w:firstLine="0" w:firstLineChars="0"/>
              <w:rPr>
                <w:sz w:val="21"/>
                <w:szCs w:val="21"/>
              </w:rPr>
            </w:pPr>
            <w:r>
              <w:rPr>
                <w:rFonts w:hint="eastAsia"/>
                <w:sz w:val="21"/>
                <w:szCs w:val="21"/>
              </w:rPr>
              <w:t>7</w:t>
            </w:r>
          </w:p>
        </w:tc>
        <w:tc>
          <w:tcPr>
            <w:tcW w:w="2143" w:type="pct"/>
            <w:tcBorders>
              <w:tl2br w:val="nil"/>
              <w:tr2bl w:val="nil"/>
            </w:tcBorders>
            <w:vAlign w:val="center"/>
          </w:tcPr>
          <w:p>
            <w:pPr>
              <w:pStyle w:val="150"/>
              <w:keepNext w:val="0"/>
              <w:keepLines w:val="0"/>
              <w:pageBreakBefore w:val="0"/>
              <w:widowControl w:val="0"/>
              <w:kinsoku/>
              <w:wordWrap/>
              <w:overflowPunct/>
              <w:topLinePunct w:val="0"/>
              <w:autoSpaceDE w:val="0"/>
              <w:autoSpaceDN w:val="0"/>
              <w:bidi w:val="0"/>
              <w:adjustRightInd w:val="0"/>
              <w:snapToGrid/>
              <w:spacing w:line="240" w:lineRule="auto"/>
              <w:ind w:firstLine="420" w:firstLineChars="200"/>
              <w:jc w:val="both"/>
              <w:textAlignment w:val="auto"/>
              <w:rPr>
                <w:sz w:val="21"/>
                <w:szCs w:val="21"/>
              </w:rPr>
            </w:pPr>
            <w:r>
              <w:rPr>
                <w:rFonts w:hint="default" w:ascii="Times New Roman" w:hAnsi="Times New Roman" w:eastAsia="宋体" w:cs="Times New Roman"/>
                <w:kern w:val="2"/>
                <w:sz w:val="21"/>
                <w:szCs w:val="21"/>
                <w:u w:val="none"/>
                <w:lang w:eastAsia="zh-CN"/>
              </w:rPr>
              <w:t>第十三条</w:t>
            </w:r>
            <w:r>
              <w:rPr>
                <w:rFonts w:hint="eastAsia" w:ascii="Times New Roman" w:eastAsia="宋体" w:cs="Times New Roman"/>
                <w:kern w:val="2"/>
                <w:sz w:val="21"/>
                <w:szCs w:val="21"/>
                <w:u w:val="none"/>
                <w:lang w:val="en-US" w:eastAsia="zh-CN"/>
              </w:rPr>
              <w:t xml:space="preserve"> </w:t>
            </w:r>
            <w:r>
              <w:rPr>
                <w:rFonts w:hint="default" w:ascii="Times New Roman" w:hAnsi="Times New Roman" w:eastAsia="宋体" w:cs="Times New Roman"/>
                <w:kern w:val="2"/>
                <w:sz w:val="21"/>
                <w:szCs w:val="21"/>
                <w:u w:val="none"/>
                <w:lang w:eastAsia="zh-CN"/>
              </w:rPr>
              <w:t>禁止在岸线保护区内投资建设除保障防洪安全、河势稳定、供水安全以及保护生态环境、已建重要枢纽工程以外的项目。禁止在岸线保留区内投资建设除保障防洪安全、河势稳定、供水安全、航道稳定以及保护生态环境以外的项目。</w:t>
            </w:r>
          </w:p>
        </w:tc>
        <w:tc>
          <w:tcPr>
            <w:tcW w:w="2143" w:type="pct"/>
            <w:tcBorders>
              <w:tl2br w:val="nil"/>
              <w:tr2bl w:val="nil"/>
            </w:tcBorders>
            <w:vAlign w:val="center"/>
          </w:tcPr>
          <w:p>
            <w:pPr>
              <w:pStyle w:val="2057"/>
              <w:spacing w:afterLines="0"/>
              <w:ind w:firstLine="0" w:firstLineChars="0"/>
              <w:rPr>
                <w:sz w:val="21"/>
                <w:szCs w:val="21"/>
              </w:rPr>
            </w:pPr>
            <w:r>
              <w:rPr>
                <w:rFonts w:hint="default" w:ascii="Times New Roman" w:hAnsi="Times New Roman" w:eastAsia="宋体" w:cs="Times New Roman"/>
                <w:kern w:val="2"/>
                <w:sz w:val="21"/>
                <w:szCs w:val="21"/>
                <w:u w:val="single"/>
              </w:rPr>
              <w:t>根据长江岸线功能区分区规划，本项目不在岸线保护区和保留区内</w:t>
            </w:r>
            <w:r>
              <w:rPr>
                <w:rFonts w:hint="eastAsia" w:ascii="Times New Roman" w:hAnsi="Times New Roman" w:eastAsia="宋体" w:cs="Times New Roman"/>
                <w:kern w:val="2"/>
                <w:sz w:val="21"/>
                <w:szCs w:val="21"/>
                <w:u w:val="single"/>
                <w:lang w:eastAsia="zh-CN"/>
              </w:rPr>
              <w:t>。</w:t>
            </w:r>
          </w:p>
        </w:tc>
        <w:tc>
          <w:tcPr>
            <w:tcW w:w="440" w:type="pct"/>
            <w:tcBorders>
              <w:tl2br w:val="nil"/>
              <w:tr2bl w:val="nil"/>
            </w:tcBorders>
            <w:vAlign w:val="center"/>
          </w:tcPr>
          <w:p>
            <w:pPr>
              <w:pStyle w:val="2057"/>
              <w:spacing w:afterLines="0"/>
              <w:ind w:firstLine="0" w:firstLineChars="0"/>
              <w:rPr>
                <w:sz w:val="21"/>
                <w:szCs w:val="21"/>
              </w:rPr>
            </w:pPr>
            <w:r>
              <w:rPr>
                <w:rFonts w:hint="eastAsia"/>
                <w:sz w:val="21"/>
                <w:szCs w:val="21"/>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23" w:hRule="atLeast"/>
        </w:trPr>
        <w:tc>
          <w:tcPr>
            <w:tcW w:w="272" w:type="pct"/>
            <w:tcBorders>
              <w:tl2br w:val="nil"/>
              <w:tr2bl w:val="nil"/>
            </w:tcBorders>
            <w:vAlign w:val="center"/>
          </w:tcPr>
          <w:p>
            <w:pPr>
              <w:pStyle w:val="2057"/>
              <w:spacing w:afterLines="0"/>
              <w:ind w:firstLine="0" w:firstLineChars="0"/>
              <w:rPr>
                <w:sz w:val="21"/>
                <w:szCs w:val="21"/>
              </w:rPr>
            </w:pPr>
            <w:r>
              <w:rPr>
                <w:rFonts w:hint="eastAsia"/>
                <w:sz w:val="21"/>
                <w:szCs w:val="21"/>
              </w:rPr>
              <w:t>8</w:t>
            </w:r>
          </w:p>
        </w:tc>
        <w:tc>
          <w:tcPr>
            <w:tcW w:w="2143" w:type="pct"/>
            <w:tcBorders>
              <w:tl2br w:val="nil"/>
              <w:tr2bl w:val="nil"/>
            </w:tcBorders>
            <w:vAlign w:val="center"/>
          </w:tcPr>
          <w:p>
            <w:pPr>
              <w:pStyle w:val="150"/>
              <w:keepNext w:val="0"/>
              <w:keepLines w:val="0"/>
              <w:pageBreakBefore w:val="0"/>
              <w:widowControl w:val="0"/>
              <w:kinsoku/>
              <w:wordWrap/>
              <w:overflowPunct/>
              <w:topLinePunct w:val="0"/>
              <w:autoSpaceDE w:val="0"/>
              <w:autoSpaceDN w:val="0"/>
              <w:bidi w:val="0"/>
              <w:adjustRightInd w:val="0"/>
              <w:snapToGrid/>
              <w:spacing w:line="240" w:lineRule="auto"/>
              <w:ind w:firstLine="420" w:firstLineChars="200"/>
              <w:jc w:val="both"/>
              <w:textAlignment w:val="auto"/>
              <w:rPr>
                <w:sz w:val="21"/>
                <w:szCs w:val="21"/>
              </w:rPr>
            </w:pPr>
            <w:r>
              <w:rPr>
                <w:rFonts w:hint="default" w:ascii="Times New Roman" w:hAnsi="Times New Roman" w:eastAsia="宋体" w:cs="Times New Roman"/>
                <w:kern w:val="2"/>
                <w:sz w:val="21"/>
                <w:szCs w:val="21"/>
                <w:u w:val="none"/>
                <w:lang w:eastAsia="zh-CN"/>
              </w:rPr>
              <w:t>第十五条</w:t>
            </w:r>
            <w:r>
              <w:rPr>
                <w:rFonts w:hint="eastAsia" w:ascii="Times New Roman" w:eastAsia="宋体" w:cs="Times New Roman"/>
                <w:kern w:val="2"/>
                <w:sz w:val="21"/>
                <w:szCs w:val="21"/>
                <w:u w:val="none"/>
                <w:lang w:val="en-US" w:eastAsia="zh-CN"/>
              </w:rPr>
              <w:t xml:space="preserve"> </w:t>
            </w:r>
            <w:r>
              <w:rPr>
                <w:rFonts w:hint="default" w:ascii="Times New Roman" w:hAnsi="Times New Roman" w:eastAsia="宋体" w:cs="Times New Roman"/>
                <w:kern w:val="2"/>
                <w:sz w:val="21"/>
                <w:szCs w:val="21"/>
                <w:u w:val="none"/>
                <w:lang w:eastAsia="zh-CN"/>
              </w:rPr>
              <w:t>禁止在生态保护红线和永久基本农田范围内投资建设除国家重大战略资源勘查项目、生态保护修复和环境治理项目、重大基础设施项目、军事国防项目以及农牧民基本生产生活等必要的民生项目以外的项目。</w:t>
            </w:r>
          </w:p>
        </w:tc>
        <w:tc>
          <w:tcPr>
            <w:tcW w:w="2143" w:type="pct"/>
            <w:tcBorders>
              <w:tl2br w:val="nil"/>
              <w:tr2bl w:val="nil"/>
            </w:tcBorders>
            <w:vAlign w:val="center"/>
          </w:tcPr>
          <w:p>
            <w:pPr>
              <w:pStyle w:val="2057"/>
              <w:spacing w:afterLines="0"/>
              <w:ind w:firstLine="0" w:firstLineChars="0"/>
              <w:rPr>
                <w:sz w:val="21"/>
                <w:szCs w:val="21"/>
              </w:rPr>
            </w:pPr>
            <w:r>
              <w:rPr>
                <w:rFonts w:hint="eastAsia" w:ascii="Times New Roman" w:hAnsi="Times New Roman" w:eastAsia="宋体" w:cs="Times New Roman"/>
                <w:kern w:val="2"/>
                <w:sz w:val="21"/>
                <w:szCs w:val="21"/>
                <w:u w:val="single"/>
                <w:lang w:eastAsia="zh-CN"/>
              </w:rPr>
              <w:t>本项目不在</w:t>
            </w:r>
            <w:r>
              <w:rPr>
                <w:rFonts w:hint="default" w:ascii="Times New Roman" w:hAnsi="Times New Roman" w:eastAsia="宋体" w:cs="Times New Roman"/>
                <w:kern w:val="2"/>
                <w:sz w:val="21"/>
                <w:szCs w:val="21"/>
                <w:u w:val="single"/>
                <w:lang w:eastAsia="zh-CN"/>
              </w:rPr>
              <w:t>生态保护红线</w:t>
            </w:r>
            <w:r>
              <w:rPr>
                <w:rFonts w:hint="eastAsia" w:ascii="Times New Roman" w:eastAsia="宋体" w:cs="Times New Roman"/>
                <w:kern w:val="2"/>
                <w:sz w:val="21"/>
                <w:szCs w:val="21"/>
                <w:u w:val="single"/>
                <w:lang w:eastAsia="zh-CN"/>
              </w:rPr>
              <w:t>范围内、</w:t>
            </w:r>
            <w:r>
              <w:rPr>
                <w:rFonts w:hint="eastAsia" w:ascii="Times New Roman" w:cs="Times New Roman"/>
                <w:kern w:val="2"/>
                <w:sz w:val="21"/>
                <w:szCs w:val="21"/>
                <w:u w:val="single"/>
                <w:lang w:val="en-US" w:eastAsia="zh-CN"/>
              </w:rPr>
              <w:t>不</w:t>
            </w:r>
            <w:r>
              <w:rPr>
                <w:rFonts w:hint="eastAsia" w:ascii="Times New Roman" w:eastAsia="宋体" w:cs="Times New Roman"/>
                <w:kern w:val="2"/>
                <w:sz w:val="21"/>
                <w:szCs w:val="21"/>
                <w:u w:val="single"/>
                <w:lang w:eastAsia="zh-CN"/>
              </w:rPr>
              <w:t>占用</w:t>
            </w:r>
            <w:r>
              <w:rPr>
                <w:rFonts w:hint="default" w:ascii="Times New Roman" w:hAnsi="Times New Roman" w:eastAsia="宋体" w:cs="Times New Roman"/>
                <w:kern w:val="2"/>
                <w:sz w:val="21"/>
                <w:szCs w:val="21"/>
                <w:u w:val="single"/>
                <w:lang w:eastAsia="zh-CN"/>
              </w:rPr>
              <w:t>永久基本农田</w:t>
            </w:r>
            <w:r>
              <w:rPr>
                <w:rFonts w:hint="eastAsia" w:ascii="Times New Roman" w:eastAsia="宋体" w:cs="Times New Roman"/>
                <w:kern w:val="2"/>
                <w:sz w:val="21"/>
                <w:szCs w:val="21"/>
                <w:u w:val="single"/>
                <w:lang w:eastAsia="zh-CN"/>
              </w:rPr>
              <w:t>（附件</w:t>
            </w:r>
            <w:r>
              <w:rPr>
                <w:rFonts w:hint="eastAsia" w:ascii="Times New Roman" w:cs="Times New Roman"/>
                <w:kern w:val="2"/>
                <w:sz w:val="21"/>
                <w:szCs w:val="21"/>
                <w:u w:val="single"/>
                <w:lang w:val="en-US" w:eastAsia="zh-CN"/>
              </w:rPr>
              <w:t>4</w:t>
            </w:r>
            <w:r>
              <w:rPr>
                <w:rFonts w:hint="eastAsia" w:ascii="Times New Roman" w:eastAsia="宋体" w:cs="Times New Roman"/>
                <w:kern w:val="2"/>
                <w:sz w:val="21"/>
                <w:szCs w:val="21"/>
                <w:u w:val="single"/>
                <w:lang w:eastAsia="zh-CN"/>
              </w:rPr>
              <w:t>）。</w:t>
            </w:r>
          </w:p>
        </w:tc>
        <w:tc>
          <w:tcPr>
            <w:tcW w:w="440" w:type="pct"/>
            <w:tcBorders>
              <w:tl2br w:val="nil"/>
              <w:tr2bl w:val="nil"/>
            </w:tcBorders>
            <w:vAlign w:val="center"/>
          </w:tcPr>
          <w:p>
            <w:pPr>
              <w:pStyle w:val="2057"/>
              <w:spacing w:afterLines="0"/>
              <w:ind w:firstLine="0" w:firstLineChars="0"/>
              <w:rPr>
                <w:sz w:val="21"/>
                <w:szCs w:val="21"/>
              </w:rPr>
            </w:pPr>
            <w:r>
              <w:rPr>
                <w:rFonts w:hint="eastAsia"/>
                <w:sz w:val="21"/>
                <w:szCs w:val="21"/>
              </w:rPr>
              <w:t>符合要求</w:t>
            </w:r>
          </w:p>
        </w:tc>
      </w:tr>
    </w:tbl>
    <w:p>
      <w:pPr>
        <w:ind w:firstLine="480"/>
        <w:rPr>
          <w:rFonts w:hint="eastAsia"/>
        </w:rPr>
      </w:pPr>
      <w:r>
        <w:rPr>
          <w:rFonts w:hint="eastAsia"/>
        </w:rPr>
        <w:t>由上表可知，本项目建设符合《</w:t>
      </w:r>
      <w:r>
        <w:rPr>
          <w:rFonts w:hint="eastAsia"/>
          <w:lang w:val="en-US" w:eastAsia="zh-CN"/>
        </w:rPr>
        <w:t>湖南省</w:t>
      </w:r>
      <w:r>
        <w:rPr>
          <w:rFonts w:hint="eastAsia"/>
        </w:rPr>
        <w:t>长江经济带发展负面清单</w:t>
      </w:r>
      <w:r>
        <w:rPr>
          <w:rFonts w:hint="eastAsia"/>
          <w:lang w:val="en-US" w:eastAsia="zh-CN"/>
        </w:rPr>
        <w:t>实施细则</w:t>
      </w:r>
      <w:r>
        <w:rPr>
          <w:rFonts w:hint="eastAsia"/>
        </w:rPr>
        <w:t>（试行，2022年版）》相关要求。</w:t>
      </w:r>
    </w:p>
    <w:p>
      <w:pPr>
        <w:pStyle w:val="454"/>
        <w:ind w:firstLine="606"/>
        <w:rPr>
          <w:color w:val="auto"/>
          <w:spacing w:val="1"/>
        </w:rPr>
      </w:pPr>
      <w:r>
        <w:rPr>
          <w:rFonts w:hint="eastAsia"/>
          <w:color w:val="auto"/>
          <w:spacing w:val="1"/>
          <w:lang w:val="en-US" w:eastAsia="zh-CN"/>
        </w:rPr>
        <w:t>相关法律法规的符合性分析</w:t>
      </w:r>
    </w:p>
    <w:p>
      <w:pPr>
        <w:pStyle w:val="456"/>
        <w:ind w:firstLine="482"/>
        <w:rPr>
          <w:color w:val="auto"/>
          <w:spacing w:val="1"/>
        </w:rPr>
      </w:pPr>
      <w:r>
        <w:rPr>
          <w:color w:val="auto"/>
          <w:spacing w:val="1"/>
        </w:rPr>
        <w:t>与《</w:t>
      </w:r>
      <w:r>
        <w:rPr>
          <w:rFonts w:ascii="Times New Roman" w:hAnsi="Times New Roman" w:cs="Times New Roman"/>
          <w:color w:val="auto"/>
        </w:rPr>
        <w:t>中华人民共和国</w:t>
      </w:r>
      <w:r>
        <w:rPr>
          <w:color w:val="auto"/>
        </w:rPr>
        <w:t>长江保护法</w:t>
      </w:r>
      <w:r>
        <w:rPr>
          <w:color w:val="auto"/>
          <w:spacing w:val="1"/>
        </w:rPr>
        <w:t>》的符合性分析</w:t>
      </w:r>
    </w:p>
    <w:p>
      <w:pPr>
        <w:ind w:firstLine="480"/>
      </w:pPr>
      <w:r>
        <w:t>根据《中华人民共和国长江保护法》</w:t>
      </w:r>
      <w:r>
        <w:rPr>
          <w:rFonts w:asciiTheme="minorEastAsia" w:hAnsiTheme="minorEastAsia" w:eastAsiaTheme="minorEastAsia"/>
        </w:rPr>
        <w:t>“</w:t>
      </w:r>
      <w:r>
        <w:t>第二十五条：国务院水行政主管部门加强长江流域河道、湖泊保护工作。长江流域县级以上地方人民政府负责划定河道、湖泊管理范围，并向社会公告，实行严格的河湖保护，禁止非法侵占河湖水域。</w:t>
      </w:r>
      <w:r>
        <w:rPr>
          <w:rFonts w:asciiTheme="minorEastAsia" w:hAnsiTheme="minorEastAsia" w:eastAsiaTheme="minorEastAsia"/>
        </w:rPr>
        <w:t>”</w:t>
      </w:r>
      <w:r>
        <w:t>根据《岳阳港总体规划与长江岸线保护和开发利用总体规划叠图》可知，本项目位于长江右岸长江造纸厂~新港村河段，岸线全长 24.89km，属于长江岸线功能区分区规划中的控制利用区的规划港口岸线，符合本项要求。</w:t>
      </w:r>
    </w:p>
    <w:p>
      <w:pPr>
        <w:ind w:firstLine="480"/>
      </w:pPr>
      <w:r>
        <w:t>根据《中华人民共和国长江保护法》“第五十一条：禁止在长江流域水上运输剧毒化学品和国家规定禁止通过内河运输的其他危险化学品。”本项目运输货物为砂石、铁矿石、水泥、非金属矿石等，不属于危险化学品，符合中华人民共和国长江保护法相关要求。</w:t>
      </w:r>
    </w:p>
    <w:p>
      <w:pPr>
        <w:ind w:firstLine="480"/>
      </w:pPr>
      <w:r>
        <w:t>根据《中华人民共和国长江保护法》</w:t>
      </w:r>
      <w:r>
        <w:rPr>
          <w:rFonts w:asciiTheme="minorEastAsia" w:hAnsiTheme="minorEastAsia" w:eastAsiaTheme="minorEastAsia"/>
        </w:rPr>
        <w:t>“</w:t>
      </w:r>
      <w:r>
        <w:t>第五十九条：国务院林业和草原、农业农村主管部门应当对长江流域数量急剧下降或者极度濒危的野生动植物和受到严重破坏的栖息地、天然集中分布区、破碎化的典型生态系统制定修复方案和行动计划，修建迁地保护设施，建立野生动植物遗传资源基因库，进行抢救性修复。在长江流域水生生物产卵场、索饵场、越冬场和洄游通道等重要栖息地应当实施生态环境修复和其他保护措施。对鱼类等水生生物洄游产生阻隔的涉水工程应当结合实际采取建设过鱼设施、河湖连通、生态调度、灌江纳苗、基因保存、增殖放流、人工繁育等多种措施，充分满足水生生物的生态需求。</w:t>
      </w:r>
      <w:r>
        <w:rPr>
          <w:rFonts w:asciiTheme="minorEastAsia" w:hAnsiTheme="minorEastAsia" w:eastAsiaTheme="minorEastAsia"/>
        </w:rPr>
        <w:t>”</w:t>
      </w:r>
      <w:r>
        <w:t>本项目已编制了《</w:t>
      </w:r>
      <w:r>
        <w:rPr>
          <w:rFonts w:hint="eastAsia"/>
        </w:rPr>
        <w:t>岳阳港道仁矶码头工程</w:t>
      </w:r>
      <w:r>
        <w:t>对洞庭湖口铜鱼短颌鲚国家级水产种质资源保护区影响专题论证报告》，提出了避让鱼类繁殖期、减缓对水生生态影响、增殖放流、水生植被恢复等渔业资源补偿与修复措施，符合相关要求。</w:t>
      </w:r>
    </w:p>
    <w:p>
      <w:pPr>
        <w:ind w:firstLine="360" w:firstLineChars="150"/>
      </w:pPr>
      <w:r>
        <w:t>综上，项目的建设符合《中华人民共和国长江保护法》相关要求。</w:t>
      </w:r>
    </w:p>
    <w:p>
      <w:pPr>
        <w:pStyle w:val="456"/>
        <w:ind w:firstLine="482"/>
        <w:rPr>
          <w:color w:val="auto"/>
        </w:rPr>
      </w:pPr>
      <w:r>
        <w:rPr>
          <w:rFonts w:hint="eastAsia"/>
          <w:color w:val="auto"/>
          <w:lang w:val="en-US" w:eastAsia="zh-CN"/>
        </w:rPr>
        <w:t>与《</w:t>
      </w:r>
      <w:r>
        <w:rPr>
          <w:rFonts w:hint="default" w:ascii="Times New Roman" w:hAnsi="Times New Roman" w:cs="Times New Roman"/>
          <w:color w:val="auto"/>
          <w:lang w:val="en-US" w:eastAsia="zh-CN"/>
        </w:rPr>
        <w:t>湖南省</w:t>
      </w:r>
      <w:r>
        <w:rPr>
          <w:rFonts w:hint="eastAsia"/>
          <w:color w:val="auto"/>
          <w:lang w:val="en-US" w:eastAsia="zh-CN"/>
        </w:rPr>
        <w:t>贯彻落实&lt;中华人民共和国长江保护法&gt;实施方案》的通知</w:t>
      </w:r>
    </w:p>
    <w:p>
      <w:pPr>
        <w:ind w:firstLine="480"/>
        <w:rPr>
          <w:rFonts w:ascii="Times New Roman" w:hAnsi="Times New Roman" w:eastAsia="宋体" w:cs="Times New Roman"/>
          <w:i w:val="0"/>
          <w:iCs w:val="0"/>
          <w:caps w:val="0"/>
          <w:spacing w:val="0"/>
          <w:sz w:val="24"/>
          <w:szCs w:val="24"/>
          <w:shd w:val="clear"/>
        </w:rPr>
      </w:pPr>
      <w:r>
        <w:rPr>
          <w:rFonts w:hint="eastAsia"/>
        </w:rPr>
        <w:t>202</w:t>
      </w:r>
      <w:r>
        <w:rPr>
          <w:rFonts w:hint="eastAsia"/>
          <w:lang w:val="en-US" w:eastAsia="zh-CN"/>
        </w:rPr>
        <w:t>2</w:t>
      </w:r>
      <w:r>
        <w:rPr>
          <w:rFonts w:hint="eastAsia"/>
        </w:rPr>
        <w:t>年</w:t>
      </w:r>
      <w:r>
        <w:rPr>
          <w:rFonts w:hint="eastAsia"/>
          <w:lang w:val="en-US" w:eastAsia="zh-CN"/>
        </w:rPr>
        <w:t>1</w:t>
      </w:r>
      <w:r>
        <w:rPr>
          <w:rFonts w:hint="eastAsia"/>
        </w:rPr>
        <w:t>月</w:t>
      </w:r>
      <w:r>
        <w:rPr>
          <w:rFonts w:hint="eastAsia"/>
          <w:lang w:val="en-US" w:eastAsia="zh-CN"/>
        </w:rPr>
        <w:t>18</w:t>
      </w:r>
      <w:r>
        <w:rPr>
          <w:rFonts w:hint="eastAsia"/>
        </w:rPr>
        <w:t>日，湖南省人民政府办公厅发布了《</w:t>
      </w:r>
      <w:r>
        <w:rPr>
          <w:rFonts w:hint="eastAsia" w:ascii="宋体" w:hAnsi="宋体" w:cs="宋体"/>
          <w:color w:val="333333"/>
          <w:shd w:val="clear" w:color="auto" w:fill="FFFFFF"/>
        </w:rPr>
        <w:t>湖南省</w:t>
      </w:r>
      <w:r>
        <w:rPr>
          <w:rFonts w:hint="eastAsia" w:ascii="宋体" w:hAnsi="宋体" w:cs="宋体"/>
          <w:color w:val="333333"/>
          <w:shd w:val="clear" w:color="auto" w:fill="FFFFFF"/>
          <w:lang w:val="en-US" w:eastAsia="zh-CN"/>
        </w:rPr>
        <w:t>贯彻落实&lt;中华人民共和国长江保护法&gt;实施方案</w:t>
      </w:r>
      <w:r>
        <w:rPr>
          <w:rFonts w:hint="eastAsia" w:ascii="宋体" w:hAnsi="宋体" w:cs="宋体"/>
          <w:color w:val="333333"/>
          <w:shd w:val="clear" w:color="auto" w:fill="FFFFFF"/>
        </w:rPr>
        <w:t>》（</w:t>
      </w:r>
      <w:r>
        <w:rPr>
          <w:color w:val="333333"/>
          <w:shd w:val="clear" w:color="auto" w:fill="FFFFFF"/>
        </w:rPr>
        <w:t>湘政办发〔202</w:t>
      </w:r>
      <w:r>
        <w:rPr>
          <w:rFonts w:hint="eastAsia"/>
          <w:color w:val="333333"/>
          <w:shd w:val="clear" w:color="auto" w:fill="FFFFFF"/>
          <w:lang w:val="en-US" w:eastAsia="zh-CN"/>
        </w:rPr>
        <w:t>2</w:t>
      </w:r>
      <w:r>
        <w:rPr>
          <w:color w:val="333333"/>
          <w:shd w:val="clear" w:color="auto" w:fill="FFFFFF"/>
        </w:rPr>
        <w:t>〕</w:t>
      </w:r>
      <w:r>
        <w:rPr>
          <w:rFonts w:hint="eastAsia"/>
          <w:color w:val="333333"/>
          <w:shd w:val="clear" w:color="auto" w:fill="FFFFFF"/>
          <w:lang w:val="en-US" w:eastAsia="zh-CN"/>
        </w:rPr>
        <w:t>6</w:t>
      </w:r>
      <w:r>
        <w:rPr>
          <w:color w:val="333333"/>
          <w:shd w:val="clear" w:color="auto" w:fill="FFFFFF"/>
        </w:rPr>
        <w:t>号</w:t>
      </w:r>
      <w:r>
        <w:rPr>
          <w:rFonts w:hint="eastAsia" w:ascii="宋体" w:hAnsi="宋体" w:cs="宋体"/>
          <w:color w:val="333333"/>
          <w:shd w:val="clear" w:color="auto" w:fill="FFFFFF"/>
        </w:rPr>
        <w:t>）；</w:t>
      </w:r>
      <w:r>
        <w:rPr>
          <w:rFonts w:hint="eastAsia" w:ascii="宋体" w:hAnsi="宋体" w:cs="宋体"/>
          <w:color w:val="333333"/>
          <w:shd w:val="clear" w:color="auto" w:fill="FFFFFF"/>
          <w:lang w:val="en-US" w:eastAsia="zh-CN"/>
        </w:rPr>
        <w:t>方案要求</w:t>
      </w:r>
      <w:r>
        <w:rPr>
          <w:rFonts w:ascii="Times New Roman" w:hAnsi="Times New Roman" w:eastAsia="宋体" w:cs="Times New Roman"/>
          <w:i w:val="0"/>
          <w:iCs w:val="0"/>
          <w:caps w:val="0"/>
          <w:spacing w:val="0"/>
          <w:sz w:val="24"/>
          <w:szCs w:val="24"/>
          <w:shd w:val="clear"/>
        </w:rPr>
        <w:t>全面履行法定职责，切实扛牢“守护好一江碧水”政治责任，坚决推动《长江保护法》落地见效。</w:t>
      </w:r>
    </w:p>
    <w:p>
      <w:pPr>
        <w:ind w:firstLine="480"/>
        <w:rPr>
          <w:rFonts w:hint="eastAsia" w:cs="Times New Roman"/>
          <w:i w:val="0"/>
          <w:iCs w:val="0"/>
          <w:caps w:val="0"/>
          <w:spacing w:val="0"/>
          <w:sz w:val="24"/>
          <w:szCs w:val="24"/>
          <w:shd w:val="clear"/>
          <w:lang w:val="en-US" w:eastAsia="zh-CN"/>
        </w:rPr>
      </w:pPr>
      <w:r>
        <w:rPr>
          <w:rFonts w:hint="eastAsia" w:ascii="Times New Roman" w:hAnsi="Times New Roman" w:eastAsia="宋体" w:cs="Times New Roman"/>
          <w:i w:val="0"/>
          <w:iCs w:val="0"/>
          <w:caps w:val="0"/>
          <w:spacing w:val="0"/>
          <w:sz w:val="24"/>
          <w:szCs w:val="24"/>
          <w:shd w:val="clear"/>
          <w:lang w:val="en-US" w:eastAsia="zh-CN"/>
        </w:rPr>
        <w:t>在实施方案中明确要</w:t>
      </w:r>
      <w:r>
        <w:rPr>
          <w:rFonts w:hint="eastAsia" w:ascii="Times New Roman" w:hAnsi="Times New Roman" w:eastAsia="宋体" w:cs="Times New Roman"/>
          <w:i w:val="0"/>
          <w:iCs w:val="0"/>
          <w:caps w:val="0"/>
          <w:spacing w:val="0"/>
          <w:sz w:val="24"/>
          <w:szCs w:val="24"/>
          <w:shd w:val="clear"/>
        </w:rPr>
        <w:t>完善生态环境管控措施。强化和落实河湖长制、林长制，推进上下游、左右岸、干支流建立共建共治共管共享机制。严格长江经济带发展负面清单管理，适时调整优化省长江经济带发展负面清单实施细则。依法依规划定河湖管理范围，编制河湖岸线保护与利用规划，夯实河湖管控基础；持续推进河湖“清四乱”常态化规范化，强化水域岸线空间管控。</w:t>
      </w:r>
      <w:r>
        <w:rPr>
          <w:rFonts w:hint="eastAsia" w:cs="Times New Roman"/>
          <w:i w:val="0"/>
          <w:iCs w:val="0"/>
          <w:caps w:val="0"/>
          <w:spacing w:val="0"/>
          <w:sz w:val="24"/>
          <w:szCs w:val="24"/>
          <w:shd w:val="clear"/>
          <w:lang w:val="en-US" w:eastAsia="zh-CN"/>
        </w:rPr>
        <w:t>本项目建设符合长江岸线保护和开发利用总体规划。</w:t>
      </w:r>
    </w:p>
    <w:p>
      <w:pPr>
        <w:ind w:firstLine="480"/>
        <w:rPr>
          <w:rFonts w:hint="eastAsia" w:cs="Times New Roman"/>
          <w:i w:val="0"/>
          <w:iCs w:val="0"/>
          <w:caps w:val="0"/>
          <w:spacing w:val="0"/>
          <w:sz w:val="24"/>
          <w:szCs w:val="24"/>
          <w:shd w:val="clear"/>
          <w:lang w:val="en-US" w:eastAsia="zh-CN"/>
        </w:rPr>
      </w:pPr>
      <w:r>
        <w:rPr>
          <w:rFonts w:hint="eastAsia" w:ascii="Times New Roman" w:hAnsi="Times New Roman" w:eastAsia="宋体" w:cs="Times New Roman"/>
          <w:i w:val="0"/>
          <w:iCs w:val="0"/>
          <w:caps w:val="0"/>
          <w:spacing w:val="0"/>
          <w:sz w:val="24"/>
          <w:szCs w:val="24"/>
          <w:shd w:val="clear"/>
          <w:lang w:val="en-US" w:eastAsia="zh-CN"/>
        </w:rPr>
        <w:t>在实施方案中明确</w:t>
      </w:r>
      <w:r>
        <w:rPr>
          <w:rFonts w:hint="eastAsia" w:ascii="Times New Roman" w:hAnsi="Times New Roman" w:eastAsia="宋体" w:cs="Times New Roman"/>
          <w:i w:val="0"/>
          <w:iCs w:val="0"/>
          <w:caps w:val="0"/>
          <w:spacing w:val="0"/>
          <w:sz w:val="24"/>
          <w:szCs w:val="24"/>
          <w:shd w:val="clear"/>
        </w:rPr>
        <w:t>深入推进生态环境保护修复专项整治和“一江一湖四水”联治。加强长江入河排污口溯源整治，建立销号制度，加快推进工业企业排污口、城镇污水处理设施排污口及其他污水排放量较大、水质较差、环境影响较大排污口整治工作。（省生态环境厅、省住房城乡建设厅、省农业农村厅）巩固长江干流非法码头专项整治成果，深入开展湘资沅澧四水非法码头清理整治，完成湘江干流航道沿线非法码头整治。（省交通运输厅、省自然资源厅、省生态环境厅、省水利厅、省林业局）</w:t>
      </w:r>
      <w:r>
        <w:rPr>
          <w:rFonts w:hint="eastAsia" w:cs="Times New Roman"/>
          <w:i w:val="0"/>
          <w:iCs w:val="0"/>
          <w:caps w:val="0"/>
          <w:spacing w:val="0"/>
          <w:sz w:val="24"/>
          <w:szCs w:val="24"/>
          <w:shd w:val="clear"/>
          <w:lang w:eastAsia="zh-CN"/>
        </w:rPr>
        <w:t>。</w:t>
      </w:r>
      <w:r>
        <w:rPr>
          <w:rFonts w:hint="eastAsia" w:cs="Times New Roman"/>
          <w:i w:val="0"/>
          <w:iCs w:val="0"/>
          <w:caps w:val="0"/>
          <w:spacing w:val="0"/>
          <w:sz w:val="24"/>
          <w:szCs w:val="24"/>
          <w:shd w:val="clear"/>
          <w:lang w:val="en-US" w:eastAsia="zh-CN"/>
        </w:rPr>
        <w:t>本项目建设符合岳阳港总体规划，不属于需要整治的非法码头。</w:t>
      </w:r>
    </w:p>
    <w:p>
      <w:pPr>
        <w:ind w:firstLine="480"/>
        <w:rPr>
          <w:rFonts w:hint="default"/>
          <w:lang w:val="en-US" w:eastAsia="zh-CN"/>
        </w:rPr>
      </w:pPr>
      <w:r>
        <w:rPr>
          <w:rFonts w:hint="eastAsia" w:cs="Times New Roman"/>
          <w:i w:val="0"/>
          <w:iCs w:val="0"/>
          <w:caps w:val="0"/>
          <w:spacing w:val="0"/>
          <w:sz w:val="24"/>
          <w:szCs w:val="24"/>
          <w:shd w:val="clear"/>
          <w:lang w:val="en-US" w:eastAsia="zh-CN"/>
        </w:rPr>
        <w:t>项目建设符合</w:t>
      </w:r>
      <w:r>
        <w:rPr>
          <w:rFonts w:hint="eastAsia"/>
        </w:rPr>
        <w:t>《</w:t>
      </w:r>
      <w:r>
        <w:rPr>
          <w:rFonts w:hint="eastAsia" w:ascii="Times New Roman" w:hAnsi="Times New Roman" w:cs="Times New Roman"/>
          <w:color w:val="auto"/>
          <w:shd w:val="clear" w:color="auto" w:fill="auto"/>
        </w:rPr>
        <w:t>湖南省</w:t>
      </w:r>
      <w:r>
        <w:rPr>
          <w:rFonts w:hint="eastAsia" w:ascii="Times New Roman" w:hAnsi="Times New Roman" w:cs="Times New Roman"/>
          <w:color w:val="auto"/>
          <w:shd w:val="clear" w:color="auto" w:fill="auto"/>
          <w:lang w:val="en-US" w:eastAsia="zh-CN"/>
        </w:rPr>
        <w:t>贯彻落实&lt;中华人民共和国长江保护法&gt;实施方案</w:t>
      </w:r>
      <w:r>
        <w:rPr>
          <w:rFonts w:hint="eastAsia" w:ascii="Times New Roman" w:hAnsi="Times New Roman" w:cs="Times New Roman"/>
          <w:color w:val="auto"/>
          <w:shd w:val="clear" w:color="auto" w:fill="auto"/>
        </w:rPr>
        <w:t>》（</w:t>
      </w:r>
      <w:r>
        <w:rPr>
          <w:rFonts w:hint="eastAsia"/>
          <w:color w:val="auto"/>
          <w:shd w:val="clear" w:color="auto" w:fill="auto"/>
        </w:rPr>
        <w:t>湘政办发〔202</w:t>
      </w:r>
      <w:r>
        <w:rPr>
          <w:rFonts w:hint="eastAsia"/>
          <w:color w:val="auto"/>
          <w:shd w:val="clear" w:color="auto" w:fill="auto"/>
          <w:lang w:val="en-US" w:eastAsia="zh-CN"/>
        </w:rPr>
        <w:t>2</w:t>
      </w:r>
      <w:r>
        <w:rPr>
          <w:rFonts w:hint="eastAsia"/>
          <w:color w:val="auto"/>
          <w:shd w:val="clear" w:color="auto" w:fill="auto"/>
        </w:rPr>
        <w:t>〕</w:t>
      </w:r>
      <w:r>
        <w:rPr>
          <w:rFonts w:hint="eastAsia"/>
          <w:color w:val="auto"/>
          <w:shd w:val="clear" w:color="auto" w:fill="auto"/>
          <w:lang w:val="en-US" w:eastAsia="zh-CN"/>
        </w:rPr>
        <w:t>6</w:t>
      </w:r>
      <w:r>
        <w:rPr>
          <w:rFonts w:hint="eastAsia"/>
          <w:color w:val="auto"/>
          <w:shd w:val="clear" w:color="auto" w:fill="auto"/>
        </w:rPr>
        <w:t>号</w:t>
      </w:r>
      <w:r>
        <w:rPr>
          <w:rFonts w:hint="eastAsia" w:ascii="Times New Roman" w:hAnsi="Times New Roman" w:cs="Times New Roman"/>
          <w:color w:val="auto"/>
          <w:shd w:val="clear" w:color="auto" w:fill="auto"/>
        </w:rPr>
        <w:t>）</w:t>
      </w:r>
      <w:r>
        <w:rPr>
          <w:rFonts w:hint="eastAsia" w:ascii="Times New Roman" w:hAnsi="Times New Roman" w:cs="Times New Roman"/>
          <w:color w:val="auto"/>
          <w:shd w:val="clear" w:color="auto" w:fill="auto"/>
          <w:lang w:val="en-US" w:eastAsia="zh-CN"/>
        </w:rPr>
        <w:t>相关要求。</w:t>
      </w:r>
    </w:p>
    <w:p>
      <w:pPr>
        <w:pStyle w:val="456"/>
        <w:ind w:firstLine="482"/>
        <w:rPr>
          <w:color w:val="auto"/>
        </w:rPr>
      </w:pPr>
      <w:r>
        <w:rPr>
          <w:rFonts w:hint="eastAsia"/>
          <w:color w:val="auto"/>
          <w:lang w:val="en-US"/>
        </w:rPr>
        <w:t>与《</w:t>
      </w:r>
      <w:r>
        <w:rPr>
          <w:rFonts w:hint="default" w:ascii="Times New Roman" w:hAnsi="Times New Roman" w:cs="Times New Roman"/>
          <w:color w:val="auto"/>
          <w:lang w:val="en-US" w:eastAsia="zh-CN"/>
        </w:rPr>
        <w:t>长江</w:t>
      </w:r>
      <w:r>
        <w:rPr>
          <w:rFonts w:hint="eastAsia"/>
          <w:color w:val="auto"/>
          <w:lang w:val="en-US" w:eastAsia="zh-CN"/>
        </w:rPr>
        <w:t>水生生物管理规定</w:t>
      </w:r>
      <w:r>
        <w:rPr>
          <w:rFonts w:hint="eastAsia"/>
          <w:color w:val="auto"/>
          <w:lang w:val="en-US"/>
        </w:rPr>
        <w:t>》的符合性分析</w:t>
      </w:r>
    </w:p>
    <w:p>
      <w:pPr>
        <w:ind w:firstLine="480"/>
        <w:rPr>
          <w:rFonts w:hint="eastAsia"/>
        </w:rPr>
      </w:pPr>
      <w:r>
        <w:rPr>
          <w:rFonts w:hint="eastAsia"/>
          <w:lang w:val="en-US" w:eastAsia="zh-CN"/>
        </w:rPr>
        <w:t>农业</w:t>
      </w:r>
      <w:r>
        <w:rPr>
          <w:rFonts w:hint="default"/>
          <w:lang w:val="en-US" w:eastAsia="zh-CN"/>
        </w:rPr>
        <w:t xml:space="preserve">农村部第 </w:t>
      </w:r>
      <w:r>
        <w:rPr>
          <w:rFonts w:hint="eastAsia"/>
          <w:lang w:val="en-US" w:eastAsia="zh-CN"/>
        </w:rPr>
        <w:t xml:space="preserve">15 </w:t>
      </w:r>
      <w:r>
        <w:rPr>
          <w:rFonts w:hint="default"/>
          <w:lang w:val="en-US" w:eastAsia="zh-CN"/>
        </w:rPr>
        <w:t>次常务会议审议通过</w:t>
      </w:r>
      <w:r>
        <w:rPr>
          <w:rFonts w:hint="eastAsia"/>
          <w:lang w:val="en-US" w:eastAsia="zh-CN"/>
        </w:rPr>
        <w:t>了《长江水生生物保护管理规定》，根据规定第十六条：在长江流域水生生物重要栖息地应当实施生态环</w:t>
      </w:r>
      <w:r>
        <w:rPr>
          <w:rFonts w:hint="default"/>
          <w:lang w:val="en-US" w:eastAsia="zh-CN"/>
        </w:rPr>
        <w:t>境修复和其他保护措施</w:t>
      </w:r>
      <w:r>
        <w:rPr>
          <w:rFonts w:hint="eastAsia"/>
          <w:lang w:val="en-US" w:eastAsia="zh-CN"/>
        </w:rPr>
        <w:t>。 对鱼类等水生生物洄游或种质交流产生阻隔的涉水工程,</w:t>
      </w:r>
      <w:r>
        <w:rPr>
          <w:rFonts w:hint="default"/>
          <w:lang w:val="en-US" w:eastAsia="zh-CN"/>
        </w:rPr>
        <w:t>建设或运行单位应当结合实际采取建设过鱼设施、河湖连通、生态调度、灌江纳苗、基因保存、增殖放流、人工繁育等多种措施,充分满足水生生物洄游、繁殖、种质交流等生态需求。</w:t>
      </w:r>
    </w:p>
    <w:p>
      <w:pPr>
        <w:ind w:firstLine="480"/>
        <w:rPr>
          <w:rFonts w:hint="eastAsia"/>
        </w:rPr>
      </w:pPr>
      <w:r>
        <w:rPr>
          <w:rFonts w:hint="eastAsia"/>
          <w:lang w:val="en-US" w:eastAsia="zh-CN"/>
        </w:rPr>
        <w:t>第十八条：长江流域涉水开发规划或建设项目应当充分考虑</w:t>
      </w:r>
      <w:r>
        <w:rPr>
          <w:rFonts w:hint="default"/>
          <w:lang w:val="en-US" w:eastAsia="zh-CN"/>
        </w:rPr>
        <w:t>水生生物及其栖息地的保护需求</w:t>
      </w:r>
      <w:r>
        <w:rPr>
          <w:rFonts w:hint="eastAsia"/>
          <w:lang w:val="en-US" w:eastAsia="zh-CN"/>
        </w:rPr>
        <w:t>,</w:t>
      </w:r>
      <w:r>
        <w:rPr>
          <w:rFonts w:hint="default"/>
          <w:lang w:val="en-US" w:eastAsia="zh-CN"/>
        </w:rPr>
        <w:t xml:space="preserve">涉及或可能对其造成影响的,建设单位在编制环境影响评价文件和开展公众参与调查时,应当书面征求农业农村主管部门的意见,并按有关要求进行专题论证。 </w:t>
      </w:r>
    </w:p>
    <w:p>
      <w:pPr>
        <w:ind w:firstLine="480"/>
        <w:rPr>
          <w:rFonts w:hint="eastAsia"/>
        </w:rPr>
      </w:pPr>
      <w:r>
        <w:rPr>
          <w:rFonts w:hint="default"/>
          <w:lang w:val="en-US" w:eastAsia="zh-CN"/>
        </w:rPr>
        <w:t xml:space="preserve">涉及珍贵、濒危水生野生动植物及其重要栖息地、水产种质资源保护区的,由长江流域省级人民政府农业农村主管部门组织专题论证;涉及国家一级重点保护水生野生动植物及其重要栖息地或国家级水产种质资源保护区的,由农业农村部组织专题论证。 </w:t>
      </w:r>
    </w:p>
    <w:p>
      <w:pPr>
        <w:keepNext w:val="0"/>
        <w:keepLines w:val="0"/>
        <w:widowControl/>
        <w:suppressLineNumbers w:val="0"/>
        <w:jc w:val="left"/>
        <w:rPr>
          <w:rFonts w:hint="default"/>
          <w:lang w:val="en-US" w:eastAsia="zh-CN"/>
        </w:rPr>
      </w:pPr>
      <w:r>
        <w:rPr>
          <w:rFonts w:hint="eastAsia"/>
          <w:lang w:val="en-US" w:eastAsia="zh-CN"/>
        </w:rPr>
        <w:t>本项目水域设施占地过水面积较小，基本不会对鱼类等水生生物洄游或种质交流产生阻隔，同时，本项目采取增值放流等措施减少对水生生物的影响。本项目涉及洞庭湖口铜鱼短颌鲚国家级水产种质资源保护区，在本项目环评前已编制了</w:t>
      </w:r>
      <w:r>
        <w:rPr>
          <w:rFonts w:hint="eastAsia"/>
        </w:rPr>
        <w:t>《岳阳港道仁矶通用码头工程对洞庭湖口铜鱼短颌鲚国家级水产种质资源保护区影响专题论证报告》，</w:t>
      </w:r>
      <w:r>
        <w:rPr>
          <w:rFonts w:hint="eastAsia"/>
          <w:lang w:eastAsia="zh-CN"/>
        </w:rPr>
        <w:t>目前已通过湖南省农业农村厅组织的专家评审。</w:t>
      </w:r>
    </w:p>
    <w:p>
      <w:pPr>
        <w:ind w:firstLine="480"/>
        <w:rPr>
          <w:rFonts w:hint="default"/>
          <w:lang w:val="en-US" w:eastAsia="zh-CN"/>
        </w:rPr>
      </w:pPr>
      <w:r>
        <w:rPr>
          <w:rFonts w:hint="eastAsia"/>
          <w:lang w:val="en-US" w:eastAsia="zh-CN"/>
        </w:rPr>
        <w:t>综上，本项目建设满足《长江水生生物保护管理规定》相关要求。</w:t>
      </w:r>
    </w:p>
    <w:p>
      <w:pPr>
        <w:pStyle w:val="456"/>
        <w:ind w:firstLine="482"/>
        <w:rPr>
          <w:color w:val="auto"/>
          <w:spacing w:val="1"/>
        </w:rPr>
      </w:pPr>
      <w:r>
        <w:rPr>
          <w:color w:val="auto"/>
          <w:spacing w:val="1"/>
        </w:rPr>
        <w:t>与《水产种质资源保护区管理暂行办法》的符合性分析</w:t>
      </w:r>
    </w:p>
    <w:p>
      <w:pPr>
        <w:ind w:firstLine="480"/>
      </w:pPr>
      <w:r>
        <w:t>根据《水产种质资源保护区管理暂行办法》第十七条：在水产种质资源保护区内从事修建水利工程、疏浚航道、建闸筑坝、勘探和开采矿产资源、港口建设等工程建设的，或者在水产种质资源保护区外从事可能损害保护区功能的工程建设活动的，应当按照国家有关规定编制建设项目对水产种质资源保护区的影响专题论证报告，并将其纳入环境影响评价报告书。</w:t>
      </w:r>
    </w:p>
    <w:p>
      <w:pPr>
        <w:ind w:firstLine="480"/>
      </w:pPr>
      <w:r>
        <w:t>本项目建设单位已委托武汉市伊美净科技发展有限公司编制了《</w:t>
      </w:r>
      <w:r>
        <w:rPr>
          <w:rFonts w:hint="eastAsia"/>
        </w:rPr>
        <w:t>岳阳港道仁矶码头工程</w:t>
      </w:r>
      <w:r>
        <w:t>对洞庭湖口铜鱼短颌鲚国家级水产种质资源保护区影响专题论证报告》</w:t>
      </w:r>
      <w:r>
        <w:rPr>
          <w:rFonts w:hint="eastAsia"/>
        </w:rPr>
        <w:t>，报告中明确了项目建设对</w:t>
      </w:r>
      <w:r>
        <w:t>洞庭湖口铜鱼短颌鲚国家级水产种质资源保护区</w:t>
      </w:r>
      <w:r>
        <w:rPr>
          <w:rFonts w:hint="eastAsia"/>
        </w:rPr>
        <w:t>的影响并提出了生态保护和补偿措施，并于2022年9月30日通过了由湖南省农业农村厅再湖南长沙组织召开了审查会</w:t>
      </w:r>
      <w:r>
        <w:t>。项目的建设符合《水产种质资源保护区管理暂行办法》相关要求。</w:t>
      </w:r>
    </w:p>
    <w:p>
      <w:pPr>
        <w:pStyle w:val="456"/>
        <w:ind w:firstLine="482"/>
        <w:rPr>
          <w:color w:val="auto"/>
        </w:rPr>
      </w:pPr>
      <w:r>
        <w:rPr>
          <w:color w:val="auto"/>
          <w:spacing w:val="1"/>
        </w:rPr>
        <w:t>与饮用水水源保护区相关法律法规相符性分析</w:t>
      </w:r>
    </w:p>
    <w:p>
      <w:pPr>
        <w:ind w:firstLine="360" w:firstLineChars="150"/>
      </w:pPr>
      <w:r>
        <w:t>根据</w:t>
      </w:r>
      <w:r>
        <w:rPr>
          <w:bCs/>
        </w:rPr>
        <w:t>《中华人民共和国水污染防治</w:t>
      </w:r>
      <w:r>
        <w:t>法》（2017年修订版）第六十六条 ：</w:t>
      </w:r>
      <w:r>
        <w:rPr>
          <w:rFonts w:asciiTheme="minorEastAsia" w:hAnsiTheme="minorEastAsia" w:eastAsiaTheme="minorEastAsia"/>
        </w:rPr>
        <w:t>“</w:t>
      </w:r>
      <w:r>
        <w:t>禁止在饮用水水源二级保护区内新建、改建、扩建排放污染物的建设项目；已建成的排放污染物的建设项目，由县级以上人民政府责令拆除或者关闭。在饮用水水源二级保护区内从事网箱养殖、旅游等活动的，应当按照规定采取措施，防止污染饮用水水体。</w:t>
      </w:r>
      <w:r>
        <w:rPr>
          <w:rFonts w:asciiTheme="minorEastAsia" w:hAnsiTheme="minorEastAsia" w:eastAsiaTheme="minorEastAsia"/>
        </w:rPr>
        <w:t>”</w:t>
      </w:r>
    </w:p>
    <w:p>
      <w:pPr>
        <w:ind w:firstLine="360" w:firstLineChars="150"/>
        <w:rPr>
          <w:bCs/>
        </w:rPr>
      </w:pPr>
      <w:r>
        <w:rPr>
          <w:bCs/>
        </w:rPr>
        <w:t>根据《饮用水水源保护区污染防治管理规定》第十二条：</w:t>
      </w:r>
      <w:r>
        <w:rPr>
          <w:rFonts w:asciiTheme="minorEastAsia" w:hAnsiTheme="minorEastAsia" w:eastAsiaTheme="minorEastAsia"/>
          <w:bCs/>
        </w:rPr>
        <w:t>“</w:t>
      </w:r>
      <w:r>
        <w:rPr>
          <w:bCs/>
        </w:rPr>
        <w:t>一级保护区内禁止新建、扩建与供水设施和保护水源无关的建设项目；不得设置与供水需要无关的码头，禁止停靠船舶；禁止设置油库；禁止可能污染水源的旅游活动和其他活动。二级保护区内禁止新建、扩建向水体排放污染物的建设项目，禁止设立装卸垃圾、粪便、油类和有毒物品的码头。</w:t>
      </w:r>
      <w:r>
        <w:rPr>
          <w:rFonts w:asciiTheme="minorEastAsia" w:hAnsiTheme="minorEastAsia" w:eastAsiaTheme="minorEastAsia"/>
          <w:bCs/>
        </w:rPr>
        <w:t>”</w:t>
      </w:r>
    </w:p>
    <w:p>
      <w:pPr>
        <w:ind w:firstLine="360" w:firstLineChars="150"/>
      </w:pPr>
      <w:r>
        <w:rPr>
          <w:rFonts w:asciiTheme="minorEastAsia" w:hAnsiTheme="minorEastAsia" w:eastAsiaTheme="minorEastAsia"/>
        </w:rPr>
        <w:t>“</w:t>
      </w:r>
      <w:r>
        <w:t>关于答复全国集中式饮用水水源地环境保护专项行动有关问题的函（环办环监函〔2018〕767号）</w:t>
      </w:r>
      <w:r>
        <w:rPr>
          <w:rFonts w:asciiTheme="minorEastAsia" w:hAnsiTheme="minorEastAsia" w:eastAsiaTheme="minorEastAsia"/>
        </w:rPr>
        <w:t>”</w:t>
      </w:r>
      <w:r>
        <w:t>对饮用水源保护区内的各类项目进行了详细答复，其中</w:t>
      </w:r>
      <w:r>
        <w:rPr>
          <w:rFonts w:asciiTheme="minorEastAsia" w:hAnsiTheme="minorEastAsia" w:eastAsiaTheme="minorEastAsia"/>
        </w:rPr>
        <w:t>“</w:t>
      </w:r>
      <w:r>
        <w:t>三、关于饮用水水源保护区内的码头</w:t>
      </w:r>
      <w:r>
        <w:rPr>
          <w:rFonts w:asciiTheme="minorEastAsia" w:hAnsiTheme="minorEastAsia" w:eastAsiaTheme="minorEastAsia"/>
        </w:rPr>
        <w:t>”</w:t>
      </w:r>
      <w:r>
        <w:t>有以下规定：</w:t>
      </w:r>
      <w:r>
        <w:rPr>
          <w:rFonts w:hint="eastAsia" w:ascii="宋体" w:hAnsi="宋体" w:cs="宋体"/>
        </w:rPr>
        <w:t>①</w:t>
      </w:r>
      <w:r>
        <w:t>饮用水水源保护区内凡从事危险化学品、煤炭、矿砂、水泥等装卸作业的货运码头应拆除或关闭。</w:t>
      </w:r>
      <w:r>
        <w:rPr>
          <w:rFonts w:hint="eastAsia" w:ascii="宋体" w:hAnsi="宋体" w:cs="宋体"/>
        </w:rPr>
        <w:t>②</w:t>
      </w:r>
      <w:r>
        <w:t>饮用水水源一级保护区内旅游码头和航运、海事等管理部门工作码头应拆除或关闭。二级保护区内旅游码头和航运、海事等管理部门工作码头的污水、垃圾应统一收集至保护区外处理排放。</w:t>
      </w:r>
      <w:r>
        <w:rPr>
          <w:rFonts w:hint="eastAsia" w:ascii="宋体" w:hAnsi="宋体" w:cs="宋体"/>
        </w:rPr>
        <w:t>③</w:t>
      </w:r>
      <w:r>
        <w:t>自来水厂取水趸船（码头）、水文趸船作为与供水设施和保护水源有关的建设项目，可以在饮用水水源保护区内存在。</w:t>
      </w:r>
    </w:p>
    <w:p>
      <w:pPr>
        <w:ind w:firstLine="360" w:firstLineChars="150"/>
        <w:rPr>
          <w:rFonts w:hint="eastAsia" w:ascii="Times New Roman" w:hAnsi="Times New Roman" w:cs="Times New Roman"/>
          <w:color w:val="auto"/>
          <w:spacing w:val="1"/>
        </w:rPr>
      </w:pPr>
      <w:r>
        <w:t>本项目属于岳阳港总体规划的码头项目，</w:t>
      </w:r>
      <w:r>
        <w:rPr>
          <w:rFonts w:hint="eastAsia"/>
        </w:rPr>
        <w:t>项目不涉及饮用水水源保护区</w:t>
      </w:r>
      <w:r>
        <w:t>，本项目符合饮用水水源保护区相关法律法规要求。</w:t>
      </w:r>
    </w:p>
    <w:p>
      <w:pPr>
        <w:pStyle w:val="454"/>
        <w:ind w:firstLine="606"/>
        <w:rPr>
          <w:rFonts w:ascii="Times New Roman" w:cs="Times New Roman"/>
        </w:rPr>
      </w:pPr>
      <w:bookmarkStart w:id="60" w:name="_Toc18773477"/>
      <w:bookmarkStart w:id="61" w:name="_Toc12959067"/>
      <w:bookmarkStart w:id="62" w:name="_Toc12953623"/>
      <w:bookmarkStart w:id="63" w:name="_Toc12960113"/>
      <w:bookmarkStart w:id="64" w:name="_Toc13022374"/>
      <w:bookmarkStart w:id="65" w:name="_Toc12960214"/>
      <w:bookmarkStart w:id="66" w:name="_Toc12959548"/>
      <w:r>
        <w:rPr>
          <w:rFonts w:hint="eastAsia" w:ascii="Times New Roman" w:hAnsi="Times New Roman" w:cs="Times New Roman"/>
          <w:color w:val="auto"/>
          <w:spacing w:val="1"/>
          <w:lang w:val="en-US"/>
        </w:rPr>
        <w:t>三线一单</w:t>
      </w:r>
      <w:r>
        <w:rPr>
          <w:rFonts w:hint="eastAsia" w:ascii="Times New Roman" w:hAnsi="Times New Roman" w:eastAsia="宋体" w:cs="Times New Roman"/>
          <w:color w:val="auto"/>
          <w:spacing w:val="1"/>
          <w:lang w:val="en-US"/>
        </w:rPr>
        <w:t>”</w:t>
      </w:r>
      <w:r>
        <w:rPr>
          <w:rFonts w:hint="eastAsia" w:ascii="Times New Roman" w:hAnsi="Times New Roman" w:cs="Times New Roman"/>
          <w:color w:val="auto"/>
          <w:spacing w:val="1"/>
          <w:lang w:val="en-US"/>
        </w:rPr>
        <w:t>相符</w:t>
      </w:r>
      <w:r>
        <w:rPr>
          <w:rFonts w:hint="eastAsia" w:ascii="Times New Roman" w:hAnsi="Times New Roman" w:cs="Times New Roman"/>
          <w:b/>
          <w:bCs/>
          <w:color w:val="auto"/>
          <w:spacing w:val="1"/>
          <w:kern w:val="18"/>
          <w:sz w:val="30"/>
          <w:szCs w:val="30"/>
        </w:rPr>
        <w:t>性</w:t>
      </w:r>
      <w:r>
        <w:rPr>
          <w:rFonts w:ascii="Times New Roman" w:cs="Times New Roman"/>
        </w:rPr>
        <w:t>分析</w:t>
      </w:r>
    </w:p>
    <w:p>
      <w:pPr>
        <w:ind w:firstLine="480"/>
        <w:rPr>
          <w:shd w:val="clear" w:color="auto" w:fill="FFFFFF"/>
        </w:rPr>
      </w:pPr>
      <w:r>
        <w:t>根据《湖南省人民政府关于实施</w:t>
      </w:r>
      <w:r>
        <w:rPr>
          <w:rFonts w:asciiTheme="minorEastAsia" w:hAnsiTheme="minorEastAsia" w:eastAsiaTheme="minorEastAsia"/>
        </w:rPr>
        <w:t>“</w:t>
      </w:r>
      <w:r>
        <w:t>三线一单</w:t>
      </w:r>
      <w:r>
        <w:rPr>
          <w:rFonts w:asciiTheme="minorEastAsia" w:hAnsiTheme="minorEastAsia" w:eastAsiaTheme="minorEastAsia"/>
        </w:rPr>
        <w:t>”</w:t>
      </w:r>
      <w:r>
        <w:t>生态环境分区管控的意见》（湘政发〔2020〕12号，2020年6月30日）：</w:t>
      </w:r>
      <w:r>
        <w:rPr>
          <w:rFonts w:asciiTheme="minorEastAsia" w:hAnsiTheme="minorEastAsia" w:eastAsiaTheme="minorEastAsia"/>
        </w:rPr>
        <w:t>“</w:t>
      </w:r>
      <w:r>
        <w:t>保护优先。落实生态保护红线、环境质量底线、资源利用上线硬约束，推动形成绿色发展方式和生活方式，筑牢生态安全屏障，促进经济社会高质量发展。分区管控。根据生态环境功能、自然资源禀赋、经济与社会发展实际，对环境管控单元实施差异化生态环境准入管理，促进环境质量持续改善。动态管理。坚持省级统筹、区域协调、上下联动，建立和完善生态环境数据共享体系及成果应用机制，定期评估并动态更新。</w:t>
      </w:r>
      <w:r>
        <w:rPr>
          <w:shd w:val="clear" w:color="auto" w:fill="FFFFFF"/>
        </w:rPr>
        <w:t>优先保护单元应依法禁止或限制大规模、高强度的工业和城镇建设，在功能受损的优先保护单元优先开展生态保护修复活动，恢复生态系统服务功能。重点管控单元应优化空间布局，加强污染物排放控制和环境风险防控，不断提升资源利用效率，解决生态环境质量不达标、生态环境风险高等问题。一般管控单元主要落实生态环境保护基本要求。</w:t>
      </w:r>
      <w:r>
        <w:rPr>
          <w:rFonts w:asciiTheme="minorEastAsia" w:hAnsiTheme="minorEastAsia" w:eastAsiaTheme="minorEastAsia"/>
          <w:shd w:val="clear" w:color="auto" w:fill="FFFFFF"/>
        </w:rPr>
        <w:t>”</w:t>
      </w:r>
    </w:p>
    <w:p>
      <w:pPr>
        <w:pStyle w:val="456"/>
        <w:ind w:firstLine="482"/>
        <w:rPr>
          <w:color w:val="auto"/>
        </w:rPr>
      </w:pPr>
      <w:r>
        <w:rPr>
          <w:color w:val="auto"/>
        </w:rPr>
        <w:t>与生态</w:t>
      </w:r>
      <w:r>
        <w:rPr>
          <w:rFonts w:ascii="Times New Roman" w:hAnsi="Times New Roman" w:cs="Times New Roman"/>
          <w:color w:val="auto"/>
        </w:rPr>
        <w:t>保护</w:t>
      </w:r>
      <w:r>
        <w:rPr>
          <w:color w:val="auto"/>
        </w:rPr>
        <w:t>红线相符性分析</w:t>
      </w:r>
    </w:p>
    <w:p>
      <w:pPr>
        <w:ind w:firstLine="480"/>
      </w:pPr>
      <w:r>
        <w:t>根据《湖南省人民政府关于印发〈湖南省生态保护红线〉的通知》（湘政发〔2018〕20号）划定结果，湖南省生态保护红线划定面积为 4.28万 km</w:t>
      </w:r>
      <w:r>
        <w:rPr>
          <w:vertAlign w:val="superscript"/>
        </w:rPr>
        <w:t>2</w:t>
      </w:r>
      <w:r>
        <w:t>，占全省国土面积的20.23%。全省生态保护红线空间格局为</w:t>
      </w:r>
      <w:r>
        <w:rPr>
          <w:rFonts w:asciiTheme="minorEastAsia" w:hAnsiTheme="minorEastAsia" w:eastAsiaTheme="minorEastAsia"/>
        </w:rPr>
        <w:t>“</w:t>
      </w:r>
      <w:r>
        <w:t>一湖三山四水</w:t>
      </w:r>
      <w:r>
        <w:rPr>
          <w:rFonts w:asciiTheme="minorEastAsia" w:hAnsiTheme="minorEastAsia" w:eastAsiaTheme="minorEastAsia"/>
        </w:rPr>
        <w:t>”</w:t>
      </w:r>
      <w:r>
        <w:t>：</w:t>
      </w:r>
      <w:r>
        <w:rPr>
          <w:rFonts w:asciiTheme="minorEastAsia" w:hAnsiTheme="minorEastAsia" w:eastAsiaTheme="minorEastAsia"/>
        </w:rPr>
        <w:t>“</w:t>
      </w:r>
      <w:r>
        <w:t>一湖</w:t>
      </w:r>
      <w:r>
        <w:rPr>
          <w:rFonts w:asciiTheme="minorEastAsia" w:hAnsiTheme="minorEastAsia" w:eastAsiaTheme="minorEastAsia"/>
        </w:rPr>
        <w:t>”</w:t>
      </w:r>
      <w:r>
        <w:t>为洞庭湖（主要包 括东洞庭湖、南洞庭湖、横岭湖、西洞庭湖等自然保护区和长江岸线），主要生态功能为生物多样性维护、洪水调蓄。</w:t>
      </w:r>
      <w:r>
        <w:rPr>
          <w:rFonts w:asciiTheme="minorEastAsia" w:hAnsiTheme="minorEastAsia" w:eastAsiaTheme="minorEastAsia"/>
        </w:rPr>
        <w:t>“</w:t>
      </w:r>
      <w:r>
        <w:t>三山</w:t>
      </w:r>
      <w:r>
        <w:rPr>
          <w:rFonts w:asciiTheme="minorEastAsia" w:hAnsiTheme="minorEastAsia" w:eastAsiaTheme="minorEastAsia"/>
        </w:rPr>
        <w:t>”</w:t>
      </w:r>
      <w:r>
        <w:t>包括武陵-雪峰山脉生态屏障，主要生态功能为生物多样性维护与水土保持；罗霄-幕阜山脉生态屏障，主要生态功能为生物多样性维护、水源涵养和水土保持；南岭山脉生态屏障，主要生态功能为水源涵养和生物多样性维护，其中南岭山脉生态屏障是南方丘陵山地带的重要组成部分。</w:t>
      </w:r>
      <w:r>
        <w:rPr>
          <w:rFonts w:asciiTheme="minorEastAsia" w:hAnsiTheme="minorEastAsia" w:eastAsiaTheme="minorEastAsia"/>
        </w:rPr>
        <w:t>“</w:t>
      </w:r>
      <w:r>
        <w:t>四水</w:t>
      </w:r>
      <w:r>
        <w:rPr>
          <w:rFonts w:asciiTheme="minorEastAsia" w:hAnsiTheme="minorEastAsia" w:eastAsiaTheme="minorEastAsia"/>
        </w:rPr>
        <w:t>”</w:t>
      </w:r>
      <w:r>
        <w:t>为湘资沅澧（湘江、资水、沅江、澧水）的源头区及重要水域。</w:t>
      </w:r>
    </w:p>
    <w:p>
      <w:pPr>
        <w:ind w:firstLine="480"/>
      </w:pPr>
      <w:r>
        <w:t>通过本项目选址位置与湖南省生态保护红线区域的位置关系对比，本项目不涉及生态红线保护区（详见附件4）。因此，本项目符合生态保护红线要求。</w:t>
      </w:r>
    </w:p>
    <w:p>
      <w:pPr>
        <w:pStyle w:val="456"/>
        <w:ind w:firstLine="482"/>
        <w:rPr>
          <w:color w:val="auto"/>
        </w:rPr>
      </w:pPr>
      <w:r>
        <w:rPr>
          <w:color w:val="auto"/>
        </w:rPr>
        <w:t>环境</w:t>
      </w:r>
      <w:r>
        <w:rPr>
          <w:rFonts w:ascii="Times New Roman" w:hAnsi="Times New Roman" w:cs="Times New Roman"/>
          <w:color w:val="auto"/>
        </w:rPr>
        <w:t>质量</w:t>
      </w:r>
      <w:r>
        <w:rPr>
          <w:color w:val="auto"/>
        </w:rPr>
        <w:t>底线</w:t>
      </w:r>
    </w:p>
    <w:p>
      <w:pPr>
        <w:numPr>
          <w:ilvl w:val="0"/>
          <w:numId w:val="56"/>
        </w:numPr>
        <w:ind w:left="-2" w:firstLine="482" w:firstLineChars="0"/>
        <w:rPr>
          <w:rFonts w:hint="default" w:ascii="黑体" w:hAnsi="黑体" w:eastAsia="宋体"/>
          <w:lang w:val="en-US" w:eastAsia="zh-CN"/>
        </w:rPr>
      </w:pPr>
      <w:r>
        <w:rPr>
          <w:rFonts w:hint="eastAsia"/>
          <w:b/>
          <w:bCs/>
          <w:color w:val="000000" w:themeColor="text1"/>
          <w14:textFill>
            <w14:solidFill>
              <w14:schemeClr w14:val="tx1"/>
            </w14:solidFill>
          </w14:textFill>
        </w:rPr>
        <w:t>环境空气质量现状：</w:t>
      </w:r>
      <w:r>
        <w:rPr>
          <w:rFonts w:hint="eastAsia"/>
        </w:rPr>
        <w:t>项目所在区域2</w:t>
      </w:r>
      <w:r>
        <w:t>02</w:t>
      </w:r>
      <w:r>
        <w:rPr>
          <w:rFonts w:hint="eastAsia"/>
        </w:rPr>
        <w:t>1年环境空气为不达标区域，不达标因子为PM</w:t>
      </w:r>
      <w:r>
        <w:rPr>
          <w:rFonts w:hint="eastAsia"/>
          <w:vertAlign w:val="subscript"/>
        </w:rPr>
        <w:t>2.5</w:t>
      </w:r>
      <w:r>
        <w:rPr>
          <w:rFonts w:hint="eastAsia"/>
        </w:rPr>
        <w:t>。</w:t>
      </w:r>
      <w:r>
        <w:rPr>
          <w:rFonts w:hint="eastAsia"/>
          <w:lang w:val="en-US" w:eastAsia="zh-CN"/>
        </w:rPr>
        <w:t>为</w:t>
      </w:r>
      <w:r>
        <w:rPr>
          <w:rFonts w:hint="eastAsia" w:ascii="Times New Roman" w:hAnsi="Times New Roman" w:eastAsia="宋体" w:cs="Times New Roman"/>
          <w:sz w:val="24"/>
          <w:szCs w:val="24"/>
        </w:rPr>
        <w:t>岳阳市</w:t>
      </w:r>
      <w:r>
        <w:rPr>
          <w:rFonts w:hint="eastAsia" w:ascii="Times New Roman" w:hAnsi="Times New Roman" w:cs="Times New Roman"/>
          <w:sz w:val="24"/>
          <w:szCs w:val="24"/>
          <w:lang w:val="en-US" w:eastAsia="zh-CN"/>
        </w:rPr>
        <w:t>满足</w:t>
      </w:r>
      <w:r>
        <w:rPr>
          <w:rFonts w:hint="eastAsia" w:ascii="Times New Roman" w:hAnsi="Times New Roman" w:eastAsia="宋体" w:cs="Times New Roman"/>
          <w:sz w:val="24"/>
          <w:szCs w:val="24"/>
        </w:rPr>
        <w:t>空气质量改善需求</w:t>
      </w:r>
      <w:r>
        <w:rPr>
          <w:rFonts w:hint="eastAsia" w:ascii="仿宋_GB2312" w:eastAsia="仿宋_GB2312" w:cs="Times New Roman"/>
          <w:sz w:val="32"/>
          <w:szCs w:val="32"/>
        </w:rPr>
        <w:t>，</w:t>
      </w:r>
      <w:r>
        <w:rPr>
          <w:rFonts w:hint="eastAsia" w:ascii="Times New Roman" w:hAnsi="Times New Roman" w:cs="Times New Roman"/>
          <w:b w:val="0"/>
          <w:bCs w:val="0"/>
          <w:sz w:val="24"/>
          <w:szCs w:val="24"/>
          <w:lang w:val="en-US" w:eastAsia="zh-CN"/>
        </w:rPr>
        <w:t>岳阳市生态环境保护委员会下发的关于印发《岳阳市环境空气质量限期达标规划（2020-2026）》的通知（岳生环委发[2020]10号）,通过采取削减煤炭消费需求，推进清洁电力生产；优化产业结构；</w:t>
      </w:r>
      <w:r>
        <w:rPr>
          <w:rFonts w:hint="eastAsia" w:ascii="黑体" w:hAnsi="黑体"/>
          <w:lang w:val="en-US" w:eastAsia="zh-CN"/>
        </w:rPr>
        <w:t>强化扬尘污染治理；巩固燃煤锅炉淘汰成果；强化重点污染行业排污许可证监管；加强对柴油车、非道路移动源污染治理；开展</w:t>
      </w:r>
      <w:r>
        <w:rPr>
          <w:rFonts w:hint="default" w:ascii="Times New Roman" w:hAnsi="Times New Roman" w:cs="Times New Roman"/>
          <w:lang w:val="en-US" w:eastAsia="zh-CN"/>
        </w:rPr>
        <w:t>VOCs重点企业治理</w:t>
      </w:r>
      <w:r>
        <w:rPr>
          <w:rFonts w:hint="eastAsia" w:ascii="黑体" w:hAnsi="黑体"/>
          <w:lang w:val="en-US" w:eastAsia="zh-CN"/>
        </w:rPr>
        <w:t>；禁止露天焚烧秸秆等措施，区域环境空气质量持续好转，且根据本报告大气环境影响分析章节内容，项目建设后叠加区域环境质量现状可以达到区域达标规划要求。</w:t>
      </w:r>
    </w:p>
    <w:p>
      <w:pPr>
        <w:pStyle w:val="2133"/>
        <w:spacing w:line="360" w:lineRule="auto"/>
        <w:ind w:firstLine="482"/>
        <w:jc w:val="left"/>
        <w:rPr>
          <w:rFonts w:cs="Times New Roman"/>
        </w:rPr>
      </w:pPr>
      <w:r>
        <w:rPr>
          <w:rFonts w:hint="eastAsia" w:cs="Times New Roman"/>
          <w:b/>
          <w:bCs/>
          <w:color w:val="000000" w:themeColor="text1"/>
          <w14:textFill>
            <w14:solidFill>
              <w14:schemeClr w14:val="tx1"/>
            </w14:solidFill>
          </w14:textFill>
        </w:rPr>
        <w:t>地表水环境质量现状：</w:t>
      </w:r>
      <w:r>
        <w:rPr>
          <w:rFonts w:hint="eastAsia"/>
        </w:rPr>
        <w:t>根据岳阳市生态环境局网站上公布的</w:t>
      </w:r>
      <w:r>
        <w:rPr>
          <w:rFonts w:cs="Times New Roman"/>
          <w:spacing w:val="-60"/>
        </w:rPr>
        <w:t xml:space="preserve"> </w:t>
      </w:r>
      <w:r>
        <w:rPr>
          <w:rFonts w:hint="eastAsia" w:cs="Times New Roman"/>
        </w:rPr>
        <w:t>《岳阳市2021年度生态环境质量公报》和根据补充地表水环境补充监测数据</w:t>
      </w:r>
      <w:r>
        <w:rPr>
          <w:rFonts w:hint="eastAsia"/>
        </w:rPr>
        <w:t>，</w:t>
      </w:r>
      <w:r>
        <w:t>202</w:t>
      </w:r>
      <w:r>
        <w:rPr>
          <w:rFonts w:hint="eastAsia"/>
        </w:rPr>
        <w:t>1</w:t>
      </w:r>
      <w:r>
        <w:t>年</w:t>
      </w:r>
      <w:r>
        <w:rPr>
          <w:rFonts w:hint="eastAsia"/>
        </w:rPr>
        <w:t>岳阳段</w:t>
      </w:r>
      <w:r>
        <w:rPr>
          <w:rFonts w:hint="eastAsia" w:cs="Times New Roman"/>
        </w:rPr>
        <w:t>长江干流5个监测断面监测数据，各监测断面均达到了《地表水环境质量标准》（GB3838-2002）III类标准，水质状况较好。</w:t>
      </w:r>
    </w:p>
    <w:p>
      <w:pPr>
        <w:ind w:firstLine="482"/>
      </w:pPr>
      <w:r>
        <w:rPr>
          <w:rFonts w:hint="eastAsia"/>
          <w:b/>
          <w:bCs/>
        </w:rPr>
        <w:t>声环境质量现</w:t>
      </w:r>
      <w:r>
        <w:rPr>
          <w:rFonts w:hint="eastAsia"/>
          <w:b/>
          <w:bCs/>
          <w:color w:val="000000" w:themeColor="text1"/>
          <w14:textFill>
            <w14:solidFill>
              <w14:schemeClr w14:val="tx1"/>
            </w14:solidFill>
          </w14:textFill>
        </w:rPr>
        <w:t>状：</w:t>
      </w:r>
      <w:r>
        <w:rPr>
          <w:rFonts w:hint="eastAsia"/>
        </w:rPr>
        <w:t>项目所在地昼、夜间声环境均能满足《声环境质量标准》（GB3096-2008）中相应标准要求。</w:t>
      </w:r>
    </w:p>
    <w:p>
      <w:pPr>
        <w:ind w:firstLine="482"/>
      </w:pPr>
      <w:r>
        <w:rPr>
          <w:rFonts w:hint="eastAsia"/>
          <w:b/>
          <w:bCs/>
        </w:rPr>
        <w:t>水生生态</w:t>
      </w:r>
      <w:r>
        <w:rPr>
          <w:rFonts w:hint="eastAsia"/>
          <w:b/>
          <w:bCs/>
          <w:color w:val="000000" w:themeColor="text1"/>
          <w14:textFill>
            <w14:solidFill>
              <w14:schemeClr w14:val="tx1"/>
            </w14:solidFill>
          </w14:textFill>
        </w:rPr>
        <w:t>环境现状：</w:t>
      </w:r>
      <w:r>
        <w:rPr>
          <w:rFonts w:hint="eastAsia"/>
          <w:color w:val="000000" w:themeColor="text1"/>
          <w14:textFill>
            <w14:solidFill>
              <w14:schemeClr w14:val="tx1"/>
            </w14:solidFill>
          </w14:textFill>
        </w:rPr>
        <w:t>工程评价区域江段浮游植物共鉴定出109属，主要以硅藻门、绿藻门、蓝藻们为主；水生</w:t>
      </w:r>
      <w:r>
        <w:rPr>
          <w:bCs/>
        </w:rPr>
        <w:t>水生维管束植物28种</w:t>
      </w:r>
      <w:r>
        <w:rPr>
          <w:rFonts w:hint="eastAsia"/>
          <w:bCs/>
        </w:rPr>
        <w:t>，主要有沉水植物、挺水植物、浮叶植物；</w:t>
      </w:r>
      <w:r>
        <w:rPr>
          <w:rFonts w:hint="eastAsia"/>
          <w:color w:val="000000" w:themeColor="text1"/>
          <w14:textFill>
            <w14:solidFill>
              <w14:schemeClr w14:val="tx1"/>
            </w14:solidFill>
          </w14:textFill>
        </w:rPr>
        <w:t>浮游动物86属，</w:t>
      </w:r>
      <w:r>
        <w:rPr>
          <w:color w:val="000000" w:themeColor="text1"/>
          <w14:textFill>
            <w14:solidFill>
              <w14:schemeClr w14:val="tx1"/>
            </w14:solidFill>
          </w14:textFill>
        </w:rPr>
        <w:t>主要以轮虫、原生动物、枝角类、桡足类为主</w:t>
      </w:r>
      <w:r>
        <w:rPr>
          <w:rFonts w:hint="eastAsia"/>
          <w:color w:val="000000" w:themeColor="text1"/>
          <w14:textFill>
            <w14:solidFill>
              <w14:schemeClr w14:val="tx1"/>
            </w14:solidFill>
          </w14:textFill>
        </w:rPr>
        <w:t>；共调查</w:t>
      </w:r>
      <w:r>
        <w:rPr>
          <w:lang w:val="zh-CN"/>
        </w:rPr>
        <w:t>底栖动物3门</w:t>
      </w:r>
      <w:r>
        <w:t>28</w:t>
      </w:r>
      <w:r>
        <w:rPr>
          <w:lang w:val="zh-CN"/>
        </w:rPr>
        <w:t>种（属）</w:t>
      </w:r>
      <w:r>
        <w:rPr>
          <w:rFonts w:hint="eastAsia"/>
          <w:lang w:val="zh-CN"/>
        </w:rPr>
        <w:t>，</w:t>
      </w:r>
      <w:r>
        <w:rPr>
          <w:rFonts w:hint="eastAsia"/>
        </w:rPr>
        <w:t>主要以</w:t>
      </w:r>
      <w:r>
        <w:rPr>
          <w:kern w:val="0"/>
        </w:rPr>
        <w:t>节肢动物</w:t>
      </w:r>
      <w:r>
        <w:rPr>
          <w:rFonts w:hint="eastAsia"/>
          <w:kern w:val="0"/>
        </w:rPr>
        <w:t>、</w:t>
      </w:r>
      <w:r>
        <w:rPr>
          <w:lang w:val="zh-CN"/>
        </w:rPr>
        <w:t>软体动物</w:t>
      </w:r>
      <w:r>
        <w:rPr>
          <w:rFonts w:hint="eastAsia"/>
        </w:rPr>
        <w:t>和环节动物为主；</w:t>
      </w:r>
      <w:r>
        <w:rPr>
          <w:rFonts w:hint="eastAsia"/>
          <w:color w:val="000000" w:themeColor="text1"/>
          <w14:textFill>
            <w14:solidFill>
              <w14:schemeClr w14:val="tx1"/>
            </w14:solidFill>
          </w14:textFill>
        </w:rPr>
        <w:t>工程所在江段鱼类资源丰富，</w:t>
      </w:r>
      <w:r>
        <w:rPr>
          <w:color w:val="000000" w:themeColor="text1"/>
          <w14:textFill>
            <w14:solidFill>
              <w14:schemeClr w14:val="tx1"/>
            </w14:solidFill>
          </w14:textFill>
        </w:rPr>
        <w:t>历史上工程江段分布鱼类</w:t>
      </w:r>
      <w:r>
        <w:t>分布鱼类114种，隶属于11目25科。其中鲤形目鱼类有75种，占鱼类种数的65.8%；其次为鲇形目14种，占12.3%，鲈形目鱼类12种，占10.5%。评价区水域记录国家级、湖南省级</w:t>
      </w:r>
      <w:r>
        <w:rPr>
          <w:rFonts w:hint="eastAsia"/>
        </w:rPr>
        <w:t>保护</w:t>
      </w:r>
      <w:r>
        <w:t>以及被列入《中国生物多样性红色名录》（2015）极危、濒危、易危的重要水生生物</w:t>
      </w:r>
      <w:r>
        <w:rPr>
          <w:rFonts w:hint="eastAsia"/>
        </w:rPr>
        <w:t>24种，隶属于</w:t>
      </w:r>
      <w:r>
        <w:t>8目12科属国家重点保护野生动物名录一级保护种类</w:t>
      </w:r>
      <w:r>
        <w:rPr>
          <w:rFonts w:hint="eastAsia"/>
        </w:rPr>
        <w:t>有长江江豚、白鲟、长江鲟、中华鲟、鲥5</w:t>
      </w:r>
      <w:r>
        <w:t>种</w:t>
      </w:r>
      <w:r>
        <w:rPr>
          <w:rFonts w:hint="eastAsia"/>
        </w:rPr>
        <w:t>；</w:t>
      </w:r>
      <w:r>
        <w:t>二级保护种类</w:t>
      </w:r>
      <w:r>
        <w:rPr>
          <w:rFonts w:hint="eastAsia"/>
        </w:rPr>
        <w:t>有胭脂鱼、长薄鳅、红唇薄鳅、鯮、长鳍吻鮈、多鳞白甲鱼、岩原鲤</w:t>
      </w:r>
      <w:r>
        <w:t>7种</w:t>
      </w:r>
      <w:r>
        <w:rPr>
          <w:rFonts w:hint="eastAsia"/>
        </w:rPr>
        <w:t>、圆口铜鱼8</w:t>
      </w:r>
      <w:r>
        <w:t>种；被列入《湖南省地方重点保护野生动植物名录》的有12种，其中鲥和白鲟2种近二十年内未发现；被列入《中国生物多样性红色名录》（2015）的有白鲟、长江鲟、中华鲟、鲥、短吻间银鱼、日本鳗鲡、胭脂鱼、长薄鳅、红唇薄鳅、紫薄鳅、鯮、长鳍吻鮈、圆口铜鱼、多鳞白甲鱼、岩原鲤15种。</w:t>
      </w:r>
    </w:p>
    <w:p>
      <w:pPr>
        <w:ind w:firstLine="480"/>
      </w:pPr>
      <w:r>
        <w:rPr>
          <w:szCs w:val="20"/>
        </w:rPr>
        <w:t>评价区上游城陵矶-大湾江段是</w:t>
      </w:r>
      <w:r>
        <w:rPr>
          <w:rFonts w:hint="eastAsia"/>
          <w:szCs w:val="20"/>
        </w:rPr>
        <w:t>“</w:t>
      </w:r>
      <w:r>
        <w:rPr>
          <w:szCs w:val="20"/>
        </w:rPr>
        <w:t>四大家鱼</w:t>
      </w:r>
      <w:r>
        <w:rPr>
          <w:rFonts w:hint="eastAsia"/>
          <w:szCs w:val="20"/>
        </w:rPr>
        <w:t>”</w:t>
      </w:r>
      <w:r>
        <w:rPr>
          <w:szCs w:val="20"/>
        </w:rPr>
        <w:t>、铜鱼等产漂流性卵鱼类较集中的产卵场。产卵场范围约13km，位于工程上游10km~23km江段。</w:t>
      </w:r>
      <w:r>
        <w:t>产粘草基质卵鱼类产卵场均位于拟建工程上游，距离工程最近的成规模的产粘草基质鱼类产卵为位于三江口，距离工程上游约9.5km。距离工程最近的产粘砾石基质卵鱼类产卵场位于迈江洲，距离工程上游约9km。</w:t>
      </w:r>
    </w:p>
    <w:p>
      <w:pPr>
        <w:wordWrap w:val="0"/>
        <w:ind w:firstLine="480"/>
      </w:pPr>
      <w:r>
        <w:t>工程及评价区不存在大规模鱼类索饵场，距离工程最近的成规模鱼类索饵场位于工程上游约10km的洞庭湖汇口的三江口。</w:t>
      </w:r>
    </w:p>
    <w:p>
      <w:pPr>
        <w:wordWrap w:val="0"/>
        <w:ind w:firstLine="480"/>
      </w:pPr>
      <w:r>
        <w:t>洞庭湖与长江交汇口水深在15~20m之间，洞庭湖汇口与长江干流是鱼类良好的越冬场所。</w:t>
      </w:r>
    </w:p>
    <w:p>
      <w:pPr>
        <w:ind w:firstLine="480"/>
      </w:pPr>
      <w:r>
        <w:t>长江内有中华鲟、日本鳗鲡等江海洄游鱼类，还有四大家鱼等江河洄游鱼类，工程所在的长江干流是长江鱼类重要的洄游通道。</w:t>
      </w:r>
    </w:p>
    <w:p>
      <w:pPr>
        <w:ind w:firstLine="482"/>
      </w:pPr>
      <w:r>
        <w:rPr>
          <w:rFonts w:hint="eastAsia"/>
          <w:b/>
          <w:bCs/>
        </w:rPr>
        <w:t>陆域生态环境现状：</w:t>
      </w:r>
      <w:r>
        <w:rPr>
          <w:rFonts w:hint="eastAsia"/>
        </w:rPr>
        <w:t>码头区内以草本植被为主，没有发现珍稀物种。工程评价区域存在少量农业养殖禽畜、常见鸟类，无等级保护动物。</w:t>
      </w:r>
    </w:p>
    <w:p>
      <w:pPr>
        <w:ind w:firstLine="480"/>
      </w:pPr>
      <w:r>
        <w:rPr>
          <w:rFonts w:hint="eastAsia"/>
        </w:rPr>
        <w:t>区域已出台大气、水相关污染治理方案，方案实施后，区域环境质量将得到改善。拟建项目实施后，通过采取各项污染防治措施和生态保护措施，对区域环境影响较小，不改变区域环境质量，满足环境质量底线要求。</w:t>
      </w:r>
    </w:p>
    <w:p>
      <w:pPr>
        <w:pStyle w:val="456"/>
        <w:ind w:firstLine="482"/>
        <w:rPr>
          <w:color w:val="auto"/>
        </w:rPr>
      </w:pPr>
      <w:r>
        <w:rPr>
          <w:color w:val="auto"/>
        </w:rPr>
        <w:t>资源</w:t>
      </w:r>
      <w:r>
        <w:rPr>
          <w:rFonts w:ascii="Times New Roman" w:hAnsi="Times New Roman" w:cs="Times New Roman"/>
          <w:color w:val="auto"/>
        </w:rPr>
        <w:t>利用</w:t>
      </w:r>
      <w:r>
        <w:rPr>
          <w:color w:val="auto"/>
        </w:rPr>
        <w:t>上线</w:t>
      </w:r>
    </w:p>
    <w:p>
      <w:pPr>
        <w:ind w:firstLine="480"/>
      </w:pPr>
      <w:r>
        <w:t>本项目位于岳阳市云溪区道仁矶镇</w:t>
      </w:r>
      <w:r>
        <w:rPr>
          <w:spacing w:val="-20"/>
        </w:rPr>
        <w:t>，</w:t>
      </w:r>
      <w:r>
        <w:rPr>
          <w:rFonts w:hint="eastAsia"/>
        </w:rPr>
        <w:t>主要进行散货和件杂货物的转运和外售，生产过程仅为装卸转运，不涉及原辅材料加工和产品生产。项目主要能源消耗为装卸设备使用的电能和船舶、车辆使用的燃油，能源利用量少，且不属于高耗能行业。项目采用沉淀池对码头地面清洗水、车辆清洗废水、初期雨水进行收集处理，处理后用于码头面防尘洒水、清洗和绿化，一方面避免了废水排放对长江的污染影响，另一方面节约了用水。因此，项目建设符合区域资源利用上线管理要求。</w:t>
      </w:r>
    </w:p>
    <w:p>
      <w:pPr>
        <w:pStyle w:val="456"/>
        <w:ind w:firstLine="482"/>
        <w:rPr>
          <w:color w:val="auto"/>
        </w:rPr>
      </w:pPr>
      <w:r>
        <w:rPr>
          <w:color w:val="auto"/>
        </w:rPr>
        <w:t>环境准入负面清单</w:t>
      </w:r>
    </w:p>
    <w:p>
      <w:pPr>
        <w:ind w:firstLine="480"/>
      </w:pPr>
      <w:r>
        <w:t>根据</w:t>
      </w:r>
      <w:r>
        <w:rPr>
          <w:rFonts w:asciiTheme="minorEastAsia" w:hAnsiTheme="minorEastAsia" w:eastAsiaTheme="minorEastAsia"/>
        </w:rPr>
        <w:t>“</w:t>
      </w:r>
      <w:r>
        <w:t>湖南省发展和改革委员会关于印发《湖南省国家重点生态功能区产业准入负面清单》的通知</w:t>
      </w:r>
      <w:r>
        <w:rPr>
          <w:rFonts w:asciiTheme="minorEastAsia" w:hAnsiTheme="minorEastAsia" w:eastAsiaTheme="minorEastAsia"/>
        </w:rPr>
        <w:t>”</w:t>
      </w:r>
      <w:r>
        <w:t>（湘发改规划〔2018〕373 号）和</w:t>
      </w:r>
      <w:r>
        <w:rPr>
          <w:rFonts w:asciiTheme="minorEastAsia" w:hAnsiTheme="minorEastAsia" w:eastAsiaTheme="minorEastAsia"/>
        </w:rPr>
        <w:t>“</w:t>
      </w:r>
      <w:r>
        <w:t>湖南省发展和改革委员会关于印发《湖南省新增19个国家重点生态功能区产业准入负面清单（试行）》的通知</w:t>
      </w:r>
      <w:r>
        <w:rPr>
          <w:rFonts w:asciiTheme="minorEastAsia" w:hAnsiTheme="minorEastAsia" w:eastAsiaTheme="minorEastAsia"/>
        </w:rPr>
        <w:t>”</w:t>
      </w:r>
      <w:r>
        <w:t>（湘发改 规划〔2018〕972号），本项目未纳入湖南省的产业准入负面清单。</w:t>
      </w:r>
    </w:p>
    <w:p>
      <w:pPr>
        <w:ind w:firstLine="480"/>
      </w:pPr>
      <w:r>
        <w:t>根据《长江经济带发展负面清单指南（试行，2022年版）》指出，禁止建设不符合 全国和省级港口布局规划以及港口体现划的码头项目，禁止建设不符合《长江干线过江 通道布局规划》的过长江通道项目；禁止在自然保护区核心区、缓冲区的岸线和河段范 围内投资建设旅游和生产经营项目。禁止在风景名胜区核心景区的岸线和河段范围内投 资建设与风景名胜资源保护无关的项目；禁止在饮用水水源一级保护区的岸线和河段范 围内新建、改建、扩建与供水设施和保护水源无关的项目，以及网箱养殖、旅游等可能 污染饮用水水体的投资建设项目。禁止在饮用水水源二级保护区的岸线和河段范围内新 建、改建扩建排放污染物的投资建设项目。本项目属于《岳阳港总体规划》的码头项目，项目不在自然保护区及饮用水水源保护区范围内，本项目不属于所在长江经济带发展负面清单列明的项目。</w:t>
      </w:r>
    </w:p>
    <w:p>
      <w:pPr>
        <w:ind w:firstLine="480"/>
      </w:pPr>
      <w:r>
        <w:rPr>
          <w:rFonts w:hint="eastAsia"/>
          <w:bCs/>
          <w:kern w:val="0"/>
        </w:rPr>
        <w:t>通过比对《</w:t>
      </w:r>
      <w:r>
        <w:rPr>
          <w:rFonts w:hint="eastAsia"/>
        </w:rPr>
        <w:t>岳阳港总体规划（2017-2035）环境影响评价报告书</w:t>
      </w:r>
      <w:r>
        <w:rPr>
          <w:rFonts w:hint="eastAsia"/>
          <w:bCs/>
          <w:kern w:val="0"/>
        </w:rPr>
        <w:t>》中对</w:t>
      </w:r>
      <w:r>
        <w:t>规划港区</w:t>
      </w:r>
      <w:r>
        <w:rPr>
          <w:rFonts w:hint="eastAsia"/>
        </w:rPr>
        <w:t>的环境</w:t>
      </w:r>
      <w:r>
        <w:t>准入条件</w:t>
      </w:r>
      <w:r>
        <w:rPr>
          <w:rFonts w:hint="eastAsia"/>
        </w:rPr>
        <w:t>，本工程不在规划环评负面清单中，故项目的建设符合港口准入要求。</w:t>
      </w:r>
    </w:p>
    <w:p>
      <w:pPr>
        <w:ind w:firstLine="482"/>
        <w:rPr>
          <w:b/>
        </w:rPr>
      </w:pPr>
      <w:r>
        <w:rPr>
          <w:b/>
        </w:rPr>
        <w:t>综上，本项目不在生态保护红线范围内，项目的建设不会造成所在区域环境质量下降或恶化，符合资源利用上限中相关规定，且不属于港口岸线利用功能准入负面清单中所列明的禁止项目，符合</w:t>
      </w:r>
      <w:r>
        <w:rPr>
          <w:rFonts w:asciiTheme="minorEastAsia" w:hAnsiTheme="minorEastAsia" w:eastAsiaTheme="minorEastAsia"/>
          <w:b/>
        </w:rPr>
        <w:t>“</w:t>
      </w:r>
      <w:r>
        <w:rPr>
          <w:b/>
        </w:rPr>
        <w:t>三线一单</w:t>
      </w:r>
      <w:r>
        <w:rPr>
          <w:rFonts w:asciiTheme="minorEastAsia" w:hAnsiTheme="minorEastAsia" w:eastAsiaTheme="minorEastAsia"/>
          <w:b/>
        </w:rPr>
        <w:t>”</w:t>
      </w:r>
      <w:r>
        <w:rPr>
          <w:b/>
        </w:rPr>
        <w:t>的要求。</w:t>
      </w:r>
    </w:p>
    <w:p>
      <w:pPr>
        <w:pStyle w:val="456"/>
        <w:ind w:firstLine="482" w:firstLineChars="0"/>
        <w:rPr>
          <w:rFonts w:ascii="Times New Roman" w:cs="Times New Roman"/>
        </w:rPr>
      </w:pPr>
      <w:r>
        <w:rPr>
          <w:rFonts w:hint="eastAsia" w:ascii="Times New Roman" w:cs="Times New Roman"/>
          <w:lang w:val="en-US"/>
        </w:rPr>
        <w:t>与《</w:t>
      </w:r>
      <w:r>
        <w:rPr>
          <w:rFonts w:hint="default" w:ascii="Times New Roman" w:hAnsi="Times New Roman" w:cs="Times New Roman"/>
          <w:color w:val="auto"/>
          <w:lang w:val="en-US"/>
        </w:rPr>
        <w:t>岳阳市</w:t>
      </w:r>
      <w:r>
        <w:rPr>
          <w:rFonts w:hint="eastAsia" w:ascii="Times New Roman" w:cs="Times New Roman"/>
          <w:lang w:val="en-US"/>
        </w:rPr>
        <w:t>人民政府关于实施岳阳市“三线一单”生态环境分区管控意见》的符合性分析</w:t>
      </w:r>
    </w:p>
    <w:p>
      <w:pPr>
        <w:ind w:firstLine="480"/>
        <w:rPr>
          <w:color w:val="333333"/>
          <w:shd w:val="clear" w:color="auto" w:fill="FFFFFF"/>
        </w:rPr>
      </w:pPr>
      <w:r>
        <w:t>根据</w:t>
      </w:r>
      <w:r>
        <w:rPr>
          <w:color w:val="333333"/>
          <w:shd w:val="clear" w:color="auto" w:fill="FFFFFF"/>
        </w:rPr>
        <w:t>湘政发〔2020〕12号</w:t>
      </w:r>
      <w:r>
        <w:t>《湖南省人民政府关于实施“三线一单”生态环境分区管控的意见》，要以“保护有限、分区管控、动态管理”为原则，</w:t>
      </w:r>
      <w:r>
        <w:rPr>
          <w:color w:val="333333"/>
          <w:shd w:val="clear" w:color="auto" w:fill="FFFFFF"/>
        </w:rPr>
        <w:t>坚持“守底线、优格局、提质量、保安全”的总体思路，建立以“三线一单”为核心的生态环境分区管控体系，提升生态环境治理体系和治理能力现代化水平，推动生态文明建设迈上新台阶，加快建设富饶美丽幸福新湖南。</w:t>
      </w:r>
    </w:p>
    <w:p>
      <w:pPr>
        <w:ind w:firstLine="480"/>
      </w:pPr>
      <w:r>
        <w:t>全省共划定860个环境管控单元，其中：优先保护单元253个，面积占全省国土面积的37.50%;重点管控单元358个(全省144个省级以上产业园区均划为重点管控单元)，面积占比21.38%;一般管控单元249个，面积占比41.12%。分为优先保护单元、重点管控单元和一般管控单元三类，实施分类管控。优先保护单元指以生态环境保护为主的区域，主要包括各类自然保护地、饮用水源保护区、环境空气一类功能区、永久基本农田保护区等。重点管控单元指涉及水、大气、土壤、自然资源等资源环境要素重点管控的区域，主要包括城镇规划区、省级以上产业园区和开发强度大、污染物排放强度高的区域等。一般管控单元指优先保护单元和重点管控单元之外的其他区域。</w:t>
      </w:r>
    </w:p>
    <w:p>
      <w:pPr>
        <w:ind w:firstLine="480"/>
      </w:pPr>
      <w:r>
        <w:rPr>
          <w:rFonts w:hint="eastAsia"/>
        </w:rPr>
        <w:t>岳阳市人民政府根据《湖南省人民政府关于实施“三线一单”生态环境分区管理控制的意见》（湘政发〔2020〕12号）等精神以岳政发〔2021〕2号下发了《岳阳市人民政府关于实施岳阳市“三线一单”生态环境分区管控的意见》，</w:t>
      </w:r>
      <w:r>
        <w:t>坚持保护优先、科学分区管控、动态管理。2020年，初步建立以“三线一单”为核心的生态环境分区管控体系，全市生态环境质量总体改善，基本实现成果共享与动态监管。到2025年，形成较为完善的生态环境分区管控体系，全市生态环境持续改善，生态环境治理能力显著提升。到2035年，建成完善的生态环境分区管控体系，全市生态环境质量根本好转，基本实现环境治理体系和治理能力现代化，实现生态环境高水平保护，社会经济高质量发展。</w:t>
      </w:r>
    </w:p>
    <w:p>
      <w:pPr>
        <w:ind w:firstLine="480"/>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rPr>
        <w:t>岳阳市</w:t>
      </w:r>
      <w:r>
        <w:t>共划定</w:t>
      </w:r>
      <w:r>
        <w:rPr>
          <w:rFonts w:hint="eastAsia"/>
        </w:rPr>
        <w:t>59</w:t>
      </w:r>
      <w:r>
        <w:t>个环境管控单元，其中优先保护单元</w:t>
      </w:r>
      <w:r>
        <w:rPr>
          <w:rFonts w:hint="eastAsia"/>
        </w:rPr>
        <w:t>18</w:t>
      </w:r>
      <w:r>
        <w:t>个、重点管控单元</w:t>
      </w:r>
      <w:r>
        <w:rPr>
          <w:rFonts w:hint="eastAsia"/>
        </w:rPr>
        <w:t>31</w:t>
      </w:r>
      <w:r>
        <w:t>个和一般管控单元</w:t>
      </w:r>
      <w:r>
        <w:rPr>
          <w:rFonts w:hint="eastAsia"/>
        </w:rPr>
        <w:t>10</w:t>
      </w:r>
      <w:r>
        <w:t>个，本项目</w:t>
      </w:r>
      <w:r>
        <w:rPr>
          <w:rFonts w:hint="eastAsia"/>
        </w:rPr>
        <w:t>占用长江岸线，</w:t>
      </w:r>
      <w:r>
        <w:t>位于</w:t>
      </w:r>
      <w:r>
        <w:rPr>
          <w:rFonts w:hint="eastAsia"/>
        </w:rPr>
        <w:t>岳阳市云溪区</w:t>
      </w:r>
      <w:r>
        <w:t>，</w:t>
      </w:r>
      <w:r>
        <w:rPr>
          <w:rFonts w:hint="eastAsia"/>
        </w:rPr>
        <w:t>云溪区</w:t>
      </w:r>
      <w:r>
        <w:t>包含</w:t>
      </w:r>
      <w:r>
        <w:rPr>
          <w:rFonts w:hint="eastAsia"/>
        </w:rPr>
        <w:t>1</w:t>
      </w:r>
      <w:r>
        <w:t>个优先保护单元（</w:t>
      </w:r>
      <w:r>
        <w:rPr>
          <w:rFonts w:hint="eastAsia"/>
        </w:rPr>
        <w:t>陆城镇</w:t>
      </w:r>
      <w:r>
        <w:t>）、</w:t>
      </w:r>
      <w:r>
        <w:rPr>
          <w:rFonts w:hint="eastAsia"/>
        </w:rPr>
        <w:t>1</w:t>
      </w:r>
      <w:r>
        <w:t>个重点管控单元（</w:t>
      </w:r>
      <w:r>
        <w:rPr>
          <w:rFonts w:hint="eastAsia"/>
        </w:rPr>
        <w:t>陆城镇/路口镇/松阳湖街道/云溪镇/长岭街道</w:t>
      </w:r>
      <w:r>
        <w:t>）。本项目</w:t>
      </w:r>
      <w:r>
        <w:rPr>
          <w:rFonts w:hint="eastAsia"/>
        </w:rPr>
        <w:t>陆域部分位于陆城镇</w:t>
      </w:r>
      <w:r>
        <w:t>，属于重点管控单元，与</w:t>
      </w:r>
      <w:r>
        <w:rPr>
          <w:rFonts w:hint="eastAsia"/>
        </w:rPr>
        <w:t>长江岸线和云溪区重点管控单元</w:t>
      </w:r>
      <w:r>
        <w:t>管控要求符合行分析如下</w:t>
      </w:r>
      <w:r>
        <w:rPr>
          <w:rFonts w:hint="eastAsia"/>
        </w:rPr>
        <w:t>表</w:t>
      </w:r>
      <w:r>
        <w:t>所示：</w:t>
      </w:r>
    </w:p>
    <w:p>
      <w:pPr>
        <w:pStyle w:val="619"/>
      </w:pPr>
      <w:r>
        <w:t xml:space="preserve"> </w:t>
      </w:r>
      <w:r>
        <w:rPr>
          <w:rFonts w:hint="eastAsia"/>
        </w:rPr>
        <w:t>长江岸线和陆城镇</w:t>
      </w:r>
      <w:r>
        <w:t>重点管控单元总体管控要求</w:t>
      </w:r>
      <w:r>
        <w:rPr>
          <w:rFonts w:hint="eastAsia"/>
        </w:rPr>
        <w:t>符合性</w:t>
      </w:r>
    </w:p>
    <w:tbl>
      <w:tblPr>
        <w:tblStyle w:val="87"/>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0"/>
        <w:gridCol w:w="651"/>
        <w:gridCol w:w="7991"/>
        <w:gridCol w:w="3982"/>
        <w:gridCol w:w="7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85" w:type="pct"/>
            <w:vAlign w:val="center"/>
          </w:tcPr>
          <w:p>
            <w:pPr>
              <w:pStyle w:val="2057"/>
              <w:spacing w:afterLines="0"/>
              <w:ind w:firstLine="0" w:firstLineChars="0"/>
              <w:rPr>
                <w:sz w:val="21"/>
                <w:szCs w:val="21"/>
              </w:rPr>
            </w:pPr>
            <w:r>
              <w:rPr>
                <w:sz w:val="21"/>
                <w:szCs w:val="21"/>
              </w:rPr>
              <w:t>属性/区域</w:t>
            </w:r>
          </w:p>
        </w:tc>
        <w:tc>
          <w:tcPr>
            <w:tcW w:w="229" w:type="pct"/>
            <w:vAlign w:val="center"/>
          </w:tcPr>
          <w:p>
            <w:pPr>
              <w:pStyle w:val="2057"/>
              <w:spacing w:afterLines="0"/>
              <w:ind w:firstLine="0" w:firstLineChars="0"/>
              <w:rPr>
                <w:sz w:val="21"/>
                <w:szCs w:val="21"/>
              </w:rPr>
            </w:pPr>
            <w:r>
              <w:rPr>
                <w:sz w:val="21"/>
                <w:szCs w:val="21"/>
              </w:rPr>
              <w:t>管控类型</w:t>
            </w:r>
          </w:p>
        </w:tc>
        <w:tc>
          <w:tcPr>
            <w:tcW w:w="2811" w:type="pct"/>
            <w:vAlign w:val="center"/>
          </w:tcPr>
          <w:p>
            <w:pPr>
              <w:pStyle w:val="2057"/>
              <w:spacing w:afterLines="0"/>
              <w:ind w:firstLine="0" w:firstLineChars="0"/>
              <w:rPr>
                <w:sz w:val="21"/>
                <w:szCs w:val="21"/>
              </w:rPr>
            </w:pPr>
            <w:r>
              <w:rPr>
                <w:sz w:val="21"/>
                <w:szCs w:val="21"/>
              </w:rPr>
              <w:t>管控要求</w:t>
            </w:r>
          </w:p>
        </w:tc>
        <w:tc>
          <w:tcPr>
            <w:tcW w:w="1401" w:type="pct"/>
            <w:vAlign w:val="center"/>
          </w:tcPr>
          <w:p>
            <w:pPr>
              <w:pStyle w:val="2057"/>
              <w:spacing w:afterLines="0"/>
              <w:ind w:firstLine="0" w:firstLineChars="0"/>
              <w:rPr>
                <w:sz w:val="21"/>
                <w:szCs w:val="21"/>
              </w:rPr>
            </w:pPr>
            <w:r>
              <w:rPr>
                <w:sz w:val="21"/>
                <w:szCs w:val="21"/>
              </w:rPr>
              <w:t>本项目设置</w:t>
            </w:r>
          </w:p>
        </w:tc>
        <w:tc>
          <w:tcPr>
            <w:tcW w:w="272" w:type="pct"/>
            <w:vAlign w:val="center"/>
          </w:tcPr>
          <w:p>
            <w:pPr>
              <w:pStyle w:val="2057"/>
              <w:spacing w:afterLines="0"/>
              <w:ind w:firstLine="0" w:firstLineChars="0"/>
              <w:rPr>
                <w:sz w:val="21"/>
                <w:szCs w:val="21"/>
              </w:rPr>
            </w:pPr>
            <w:r>
              <w:rPr>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vMerge w:val="restart"/>
            <w:vAlign w:val="center"/>
          </w:tcPr>
          <w:p>
            <w:pPr>
              <w:pStyle w:val="2057"/>
              <w:spacing w:afterLines="0"/>
              <w:ind w:firstLine="0" w:firstLineChars="0"/>
              <w:rPr>
                <w:sz w:val="21"/>
                <w:szCs w:val="21"/>
              </w:rPr>
            </w:pPr>
            <w:r>
              <w:rPr>
                <w:sz w:val="21"/>
                <w:szCs w:val="21"/>
              </w:rPr>
              <w:t>长江岸线</w:t>
            </w:r>
          </w:p>
        </w:tc>
        <w:tc>
          <w:tcPr>
            <w:tcW w:w="229" w:type="pct"/>
            <w:vAlign w:val="center"/>
          </w:tcPr>
          <w:p>
            <w:pPr>
              <w:pStyle w:val="2057"/>
              <w:spacing w:afterLines="0"/>
              <w:ind w:firstLine="0" w:firstLineChars="0"/>
              <w:rPr>
                <w:sz w:val="21"/>
                <w:szCs w:val="21"/>
              </w:rPr>
            </w:pPr>
            <w:r>
              <w:rPr>
                <w:sz w:val="21"/>
                <w:szCs w:val="21"/>
              </w:rPr>
              <w:t>空间</w:t>
            </w:r>
          </w:p>
          <w:p>
            <w:pPr>
              <w:pStyle w:val="2057"/>
              <w:spacing w:afterLines="0"/>
              <w:ind w:firstLine="0" w:firstLineChars="0"/>
              <w:rPr>
                <w:sz w:val="21"/>
                <w:szCs w:val="21"/>
              </w:rPr>
            </w:pPr>
            <w:r>
              <w:rPr>
                <w:sz w:val="21"/>
                <w:szCs w:val="21"/>
              </w:rPr>
              <w:t>布局</w:t>
            </w:r>
          </w:p>
          <w:p>
            <w:pPr>
              <w:pStyle w:val="2057"/>
              <w:spacing w:afterLines="0"/>
              <w:ind w:firstLine="0" w:firstLineChars="0"/>
              <w:rPr>
                <w:sz w:val="21"/>
                <w:szCs w:val="21"/>
              </w:rPr>
            </w:pPr>
            <w:r>
              <w:rPr>
                <w:sz w:val="21"/>
                <w:szCs w:val="21"/>
              </w:rPr>
              <w:t>约束</w:t>
            </w:r>
          </w:p>
        </w:tc>
        <w:tc>
          <w:tcPr>
            <w:tcW w:w="2811" w:type="pct"/>
            <w:vAlign w:val="center"/>
          </w:tcPr>
          <w:p>
            <w:pPr>
              <w:pStyle w:val="2057"/>
              <w:spacing w:afterLines="0"/>
              <w:ind w:firstLine="0" w:firstLineChars="0"/>
              <w:jc w:val="left"/>
              <w:rPr>
                <w:sz w:val="21"/>
                <w:szCs w:val="21"/>
              </w:rPr>
            </w:pPr>
            <w:r>
              <w:rPr>
                <w:sz w:val="21"/>
                <w:szCs w:val="21"/>
              </w:rPr>
              <w:t>1.1 继续推进岳阳市砂石码头整顿治理工作，到 2035 年港口砂石装卸全部通过码头完成，水上过驳砂石通过治理逐步取缔，进一步合并规范砂石码头装卸点，形成集约规模化的砂石码头布置格局</w:t>
            </w:r>
            <w:r>
              <w:rPr>
                <w:rFonts w:hint="eastAsia"/>
                <w:sz w:val="21"/>
                <w:szCs w:val="21"/>
              </w:rPr>
              <w:t>；</w:t>
            </w:r>
          </w:p>
          <w:p>
            <w:pPr>
              <w:pStyle w:val="2057"/>
              <w:spacing w:afterLines="0"/>
              <w:ind w:firstLine="0" w:firstLineChars="0"/>
              <w:jc w:val="left"/>
              <w:rPr>
                <w:sz w:val="21"/>
                <w:szCs w:val="21"/>
              </w:rPr>
            </w:pPr>
            <w:r>
              <w:rPr>
                <w:sz w:val="21"/>
                <w:szCs w:val="21"/>
              </w:rPr>
              <w:t>1.2 使用港口岸线新建、改建、扩建港口设施应当符合《岳阳港总体规划》</w:t>
            </w:r>
            <w:r>
              <w:rPr>
                <w:rFonts w:hint="eastAsia"/>
                <w:sz w:val="21"/>
                <w:szCs w:val="21"/>
              </w:rPr>
              <w:t>；</w:t>
            </w:r>
          </w:p>
          <w:p>
            <w:pPr>
              <w:pStyle w:val="2057"/>
              <w:spacing w:afterLines="0"/>
              <w:ind w:firstLine="0" w:firstLineChars="0"/>
              <w:jc w:val="left"/>
              <w:rPr>
                <w:sz w:val="21"/>
                <w:szCs w:val="21"/>
              </w:rPr>
            </w:pPr>
            <w:r>
              <w:rPr>
                <w:sz w:val="21"/>
                <w:szCs w:val="21"/>
              </w:rPr>
              <w:t>1.3 长江岸线及其后方陆域范围内，经批准但不符合规划要求，特别是存在严重环境污染、重大安全隐患的项目，应依法关闭或搬迁；现有港口和泊位不符合“深水深用、浅水浅用”原则或效益低下的，应采取易地搬迁、资产重组、有偿转让等多种方式进行整合；对港口依赖性不强的涉岸单位，逐步依法实施搬迁</w:t>
            </w:r>
            <w:r>
              <w:rPr>
                <w:rFonts w:hint="eastAsia"/>
                <w:sz w:val="21"/>
                <w:szCs w:val="21"/>
              </w:rPr>
              <w:t>；</w:t>
            </w:r>
          </w:p>
          <w:p>
            <w:pPr>
              <w:pStyle w:val="2057"/>
              <w:spacing w:afterLines="0"/>
              <w:ind w:firstLine="0" w:firstLineChars="0"/>
              <w:jc w:val="left"/>
              <w:rPr>
                <w:sz w:val="21"/>
                <w:szCs w:val="21"/>
              </w:rPr>
            </w:pPr>
            <w:r>
              <w:rPr>
                <w:sz w:val="21"/>
                <w:szCs w:val="21"/>
              </w:rPr>
              <w:t>1.4 在从华容五马口到临湘铁山嘴的长江右岸岸线内：禁止在未经依法审批的港口、码头装卸货物；对多批少用、少批多占的岸线，依法调整和查处</w:t>
            </w:r>
            <w:r>
              <w:rPr>
                <w:rFonts w:hint="eastAsia"/>
                <w:sz w:val="21"/>
                <w:szCs w:val="21"/>
              </w:rPr>
              <w:t>；</w:t>
            </w:r>
          </w:p>
          <w:p>
            <w:pPr>
              <w:pStyle w:val="2057"/>
              <w:spacing w:afterLines="0"/>
              <w:ind w:firstLine="0" w:firstLineChars="0"/>
              <w:jc w:val="left"/>
              <w:rPr>
                <w:sz w:val="21"/>
                <w:szCs w:val="21"/>
              </w:rPr>
            </w:pPr>
            <w:r>
              <w:rPr>
                <w:sz w:val="21"/>
                <w:szCs w:val="21"/>
              </w:rPr>
              <w:t>1.5 市中心城区沿洞庭湖岸线南起南津港、北至城陵矶外贸码头：沿线不得经营砂石和堆放对城市有污染的煤炭和水泥等货物；任何单位和个人未经港口管理部门许可，均不得占用、破坏岸线，不得随意改、扩建码头</w:t>
            </w:r>
            <w:r>
              <w:rPr>
                <w:rFonts w:hint="eastAsia"/>
                <w:sz w:val="21"/>
                <w:szCs w:val="21"/>
              </w:rPr>
              <w:t>；</w:t>
            </w:r>
          </w:p>
          <w:p>
            <w:pPr>
              <w:pStyle w:val="2057"/>
              <w:spacing w:afterLines="0"/>
              <w:ind w:firstLine="0" w:firstLineChars="0"/>
              <w:jc w:val="left"/>
              <w:rPr>
                <w:sz w:val="21"/>
                <w:szCs w:val="21"/>
              </w:rPr>
            </w:pPr>
            <w:r>
              <w:rPr>
                <w:sz w:val="21"/>
                <w:szCs w:val="21"/>
              </w:rPr>
              <w:t>1.6加快推进沿长江干线砂石码头的并转整治和提质升级，适时关停取缔水上砂石过驳点，引导规范砂石运输全部上岸、并通过专业化码头转运，全面改善港口面貌，降低港口对水环境影响</w:t>
            </w:r>
            <w:r>
              <w:rPr>
                <w:rFonts w:hint="eastAsia"/>
                <w:sz w:val="21"/>
                <w:szCs w:val="21"/>
              </w:rPr>
              <w:t>。</w:t>
            </w:r>
          </w:p>
        </w:tc>
        <w:tc>
          <w:tcPr>
            <w:tcW w:w="1401" w:type="pct"/>
            <w:vAlign w:val="center"/>
          </w:tcPr>
          <w:p>
            <w:pPr>
              <w:pStyle w:val="2057"/>
              <w:spacing w:afterLines="0"/>
              <w:ind w:firstLine="0" w:firstLineChars="0"/>
              <w:jc w:val="left"/>
              <w:rPr>
                <w:sz w:val="21"/>
                <w:szCs w:val="21"/>
              </w:rPr>
            </w:pPr>
            <w:r>
              <w:rPr>
                <w:sz w:val="21"/>
                <w:szCs w:val="21"/>
              </w:rPr>
              <w:t>本项目用地均为工业用地；项目码头占用岸线</w:t>
            </w:r>
            <w:r>
              <w:rPr>
                <w:rFonts w:hint="eastAsia"/>
                <w:sz w:val="21"/>
                <w:szCs w:val="21"/>
              </w:rPr>
              <w:t>840</w:t>
            </w:r>
            <w:r>
              <w:rPr>
                <w:sz w:val="21"/>
                <w:szCs w:val="21"/>
              </w:rPr>
              <w:t>m，</w:t>
            </w:r>
            <w:r>
              <w:rPr>
                <w:rFonts w:hint="eastAsia"/>
                <w:sz w:val="21"/>
                <w:szCs w:val="21"/>
              </w:rPr>
              <w:t>项目建设使用港口岸线符合</w:t>
            </w:r>
            <w:r>
              <w:rPr>
                <w:sz w:val="21"/>
                <w:szCs w:val="21"/>
              </w:rPr>
              <w:t>《</w:t>
            </w:r>
            <w:r>
              <w:rPr>
                <w:rFonts w:hint="eastAsia"/>
                <w:sz w:val="21"/>
                <w:szCs w:val="21"/>
              </w:rPr>
              <w:t>岳阳港</w:t>
            </w:r>
            <w:r>
              <w:rPr>
                <w:sz w:val="21"/>
                <w:szCs w:val="21"/>
              </w:rPr>
              <w:t>总体规划》（2035年）</w:t>
            </w:r>
            <w:r>
              <w:rPr>
                <w:rFonts w:hint="eastAsia"/>
                <w:sz w:val="21"/>
                <w:szCs w:val="21"/>
              </w:rPr>
              <w:t>；项目主要运输的货物为砂石、矿石、防汛物资等，项目建设采取了严格的废气污染防治措施，不存在严重环境污染和重大安全隐患；项目不在</w:t>
            </w:r>
            <w:r>
              <w:rPr>
                <w:sz w:val="21"/>
                <w:szCs w:val="21"/>
              </w:rPr>
              <w:t>华容五马口到临湘铁山嘴的长江右岸岸线内</w:t>
            </w:r>
            <w:r>
              <w:rPr>
                <w:rFonts w:hint="eastAsia"/>
                <w:sz w:val="21"/>
                <w:szCs w:val="21"/>
              </w:rPr>
              <w:t>；项目建设本身就是对长江干线砂石码头的</w:t>
            </w:r>
            <w:r>
              <w:rPr>
                <w:sz w:val="21"/>
                <w:szCs w:val="21"/>
              </w:rPr>
              <w:t>并转整治和提质升级</w:t>
            </w:r>
            <w:r>
              <w:rPr>
                <w:rFonts w:hint="eastAsia"/>
                <w:sz w:val="21"/>
                <w:szCs w:val="21"/>
              </w:rPr>
              <w:t>。</w:t>
            </w:r>
          </w:p>
        </w:tc>
        <w:tc>
          <w:tcPr>
            <w:tcW w:w="272" w:type="pct"/>
            <w:vAlign w:val="center"/>
          </w:tcPr>
          <w:p>
            <w:pPr>
              <w:pStyle w:val="2057"/>
              <w:spacing w:afterLines="0"/>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vMerge w:val="continue"/>
            <w:vAlign w:val="center"/>
          </w:tcPr>
          <w:p>
            <w:pPr>
              <w:pStyle w:val="2057"/>
              <w:spacing w:afterLines="0"/>
              <w:ind w:firstLine="0" w:firstLineChars="0"/>
              <w:rPr>
                <w:sz w:val="21"/>
                <w:szCs w:val="21"/>
              </w:rPr>
            </w:pPr>
          </w:p>
        </w:tc>
        <w:tc>
          <w:tcPr>
            <w:tcW w:w="229" w:type="pct"/>
            <w:vAlign w:val="center"/>
          </w:tcPr>
          <w:p>
            <w:pPr>
              <w:pStyle w:val="2057"/>
              <w:spacing w:afterLines="0"/>
              <w:ind w:firstLine="0" w:firstLineChars="0"/>
              <w:rPr>
                <w:sz w:val="21"/>
                <w:szCs w:val="21"/>
              </w:rPr>
            </w:pPr>
            <w:r>
              <w:rPr>
                <w:sz w:val="21"/>
                <w:szCs w:val="21"/>
              </w:rPr>
              <w:t>污染</w:t>
            </w:r>
          </w:p>
          <w:p>
            <w:pPr>
              <w:pStyle w:val="2057"/>
              <w:spacing w:afterLines="0"/>
              <w:ind w:firstLine="0" w:firstLineChars="0"/>
              <w:rPr>
                <w:sz w:val="21"/>
                <w:szCs w:val="21"/>
              </w:rPr>
            </w:pPr>
            <w:r>
              <w:rPr>
                <w:sz w:val="21"/>
                <w:szCs w:val="21"/>
              </w:rPr>
              <w:t>物排</w:t>
            </w:r>
          </w:p>
          <w:p>
            <w:pPr>
              <w:pStyle w:val="2057"/>
              <w:spacing w:afterLines="0"/>
              <w:ind w:firstLine="0" w:firstLineChars="0"/>
              <w:rPr>
                <w:sz w:val="21"/>
                <w:szCs w:val="21"/>
              </w:rPr>
            </w:pPr>
            <w:r>
              <w:rPr>
                <w:sz w:val="21"/>
                <w:szCs w:val="21"/>
              </w:rPr>
              <w:t>放管</w:t>
            </w:r>
          </w:p>
          <w:p>
            <w:pPr>
              <w:pStyle w:val="2057"/>
              <w:spacing w:afterLines="0"/>
              <w:ind w:firstLine="0" w:firstLineChars="0"/>
              <w:rPr>
                <w:sz w:val="21"/>
                <w:szCs w:val="21"/>
              </w:rPr>
            </w:pPr>
            <w:r>
              <w:rPr>
                <w:sz w:val="21"/>
                <w:szCs w:val="21"/>
              </w:rPr>
              <w:t>控</w:t>
            </w:r>
          </w:p>
        </w:tc>
        <w:tc>
          <w:tcPr>
            <w:tcW w:w="2811" w:type="pct"/>
            <w:vAlign w:val="center"/>
          </w:tcPr>
          <w:p>
            <w:pPr>
              <w:pStyle w:val="2057"/>
              <w:spacing w:afterLines="0"/>
              <w:ind w:firstLine="0" w:firstLineChars="0"/>
              <w:jc w:val="left"/>
              <w:rPr>
                <w:sz w:val="21"/>
                <w:szCs w:val="21"/>
              </w:rPr>
            </w:pPr>
            <w:r>
              <w:rPr>
                <w:sz w:val="21"/>
                <w:szCs w:val="21"/>
              </w:rPr>
              <w:t>2.岳阳港港口生产污染总量不突破区域污染物排放总量控制。全面实施循环用水，严格控制港口企业排水的水污染物总量；进一步消减废气排放量，加大对各港区机动车辆、装卸机械废气排放的监控和管理工作；积极推进港区循环经济建设， 选择性地接收能与其它企业形成固体废弃物相互利用的企业</w:t>
            </w:r>
            <w:r>
              <w:rPr>
                <w:rFonts w:hint="eastAsia"/>
                <w:sz w:val="21"/>
                <w:szCs w:val="21"/>
              </w:rPr>
              <w:t>；</w:t>
            </w:r>
          </w:p>
        </w:tc>
        <w:tc>
          <w:tcPr>
            <w:tcW w:w="1401" w:type="pct"/>
            <w:vAlign w:val="center"/>
          </w:tcPr>
          <w:p>
            <w:pPr>
              <w:pStyle w:val="2057"/>
              <w:spacing w:afterLines="0"/>
              <w:ind w:firstLine="0" w:firstLineChars="0"/>
              <w:jc w:val="left"/>
              <w:rPr>
                <w:sz w:val="21"/>
                <w:szCs w:val="21"/>
              </w:rPr>
            </w:pPr>
            <w:r>
              <w:rPr>
                <w:rFonts w:hint="eastAsia"/>
                <w:sz w:val="21"/>
                <w:szCs w:val="21"/>
              </w:rPr>
              <w:t>本项目不设置总量控制；项目初期雨水和车辆冲洗水经处理后回用于项目环保抑尘，实现循环用水；港区使用岸电，主要装卸机械为电能，少量叉车使用柴油。产生的固体废弃物均得到合理处置。</w:t>
            </w:r>
          </w:p>
        </w:tc>
        <w:tc>
          <w:tcPr>
            <w:tcW w:w="272" w:type="pct"/>
            <w:vAlign w:val="center"/>
          </w:tcPr>
          <w:p>
            <w:pPr>
              <w:pStyle w:val="2057"/>
              <w:spacing w:afterLines="0"/>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vMerge w:val="continue"/>
            <w:vAlign w:val="center"/>
          </w:tcPr>
          <w:p>
            <w:pPr>
              <w:pStyle w:val="2057"/>
              <w:spacing w:afterLines="0"/>
              <w:ind w:firstLine="0" w:firstLineChars="0"/>
              <w:rPr>
                <w:sz w:val="21"/>
                <w:szCs w:val="21"/>
              </w:rPr>
            </w:pPr>
          </w:p>
        </w:tc>
        <w:tc>
          <w:tcPr>
            <w:tcW w:w="229" w:type="pct"/>
            <w:vAlign w:val="center"/>
          </w:tcPr>
          <w:p>
            <w:pPr>
              <w:pStyle w:val="2057"/>
              <w:spacing w:afterLines="0"/>
              <w:ind w:firstLine="0" w:firstLineChars="0"/>
              <w:rPr>
                <w:sz w:val="21"/>
                <w:szCs w:val="21"/>
              </w:rPr>
            </w:pPr>
            <w:r>
              <w:rPr>
                <w:sz w:val="21"/>
                <w:szCs w:val="21"/>
              </w:rPr>
              <w:t>环境</w:t>
            </w:r>
          </w:p>
          <w:p>
            <w:pPr>
              <w:pStyle w:val="2057"/>
              <w:spacing w:afterLines="0"/>
              <w:ind w:firstLine="0" w:firstLineChars="0"/>
              <w:rPr>
                <w:sz w:val="21"/>
                <w:szCs w:val="21"/>
              </w:rPr>
            </w:pPr>
            <w:r>
              <w:rPr>
                <w:sz w:val="21"/>
                <w:szCs w:val="21"/>
              </w:rPr>
              <w:t>风险</w:t>
            </w:r>
          </w:p>
          <w:p>
            <w:pPr>
              <w:pStyle w:val="2057"/>
              <w:spacing w:afterLines="0"/>
              <w:ind w:firstLine="0" w:firstLineChars="0"/>
              <w:rPr>
                <w:sz w:val="21"/>
                <w:szCs w:val="21"/>
              </w:rPr>
            </w:pPr>
            <w:r>
              <w:rPr>
                <w:sz w:val="21"/>
                <w:szCs w:val="21"/>
              </w:rPr>
              <w:t>防控</w:t>
            </w:r>
          </w:p>
        </w:tc>
        <w:tc>
          <w:tcPr>
            <w:tcW w:w="2811" w:type="pct"/>
            <w:vAlign w:val="center"/>
          </w:tcPr>
          <w:p>
            <w:pPr>
              <w:pStyle w:val="2057"/>
              <w:spacing w:afterLines="0"/>
              <w:ind w:firstLine="0" w:firstLineChars="0"/>
              <w:jc w:val="left"/>
              <w:rPr>
                <w:sz w:val="21"/>
                <w:szCs w:val="21"/>
              </w:rPr>
            </w:pPr>
            <w:r>
              <w:rPr>
                <w:sz w:val="21"/>
                <w:szCs w:val="21"/>
              </w:rPr>
              <w:t>3.加强岳阳港港口环卫设施、污水处理设施建设规划与当地设施建设规划的衔接。加快建设船舶含油污水、化学品洗舱水、生活污水和垃圾等污染物的接收设施，做好船港之间、港城之间污染物转运、处置设施的衔接，提高污染物接收处置能力。强化干散货码头粉尘防治，全面推进大型煤炭、矿石码头堆场防风抑尘设施建设和设备配备；推进原油成品油码头油气回收治理</w:t>
            </w:r>
          </w:p>
        </w:tc>
        <w:tc>
          <w:tcPr>
            <w:tcW w:w="1401" w:type="pct"/>
            <w:vAlign w:val="center"/>
          </w:tcPr>
          <w:p>
            <w:pPr>
              <w:pStyle w:val="2057"/>
              <w:spacing w:afterLines="0"/>
              <w:ind w:firstLine="0" w:firstLineChars="0"/>
              <w:jc w:val="left"/>
              <w:rPr>
                <w:sz w:val="21"/>
                <w:szCs w:val="21"/>
              </w:rPr>
            </w:pPr>
            <w:r>
              <w:rPr>
                <w:rFonts w:hint="eastAsia"/>
                <w:sz w:val="21"/>
                <w:szCs w:val="21"/>
              </w:rPr>
              <w:t>项目港区生活垃圾交由环卫部门处理，船舶生活污水和含油污水、生活垃圾设置有接收设施，交由海事部门环保工作船收集处理；码头作业区卸料车棚、散货仓库、皮带廊道均采取全封闭措施，每个转运点布设有微雾抑尘系统；卸料点采用高压自动微雾抑尘系统；装船机带俯仰、回转功能，前端设置有伸缩溜筒；同时码头配备雾炮机+洒水车进行抑尘，切实防治大气污染；项目不涉及原油。</w:t>
            </w:r>
          </w:p>
        </w:tc>
        <w:tc>
          <w:tcPr>
            <w:tcW w:w="272" w:type="pct"/>
            <w:vAlign w:val="center"/>
          </w:tcPr>
          <w:p>
            <w:pPr>
              <w:pStyle w:val="2057"/>
              <w:spacing w:afterLines="0"/>
              <w:ind w:firstLine="0" w:firstLineChars="0"/>
              <w:rPr>
                <w:sz w:val="21"/>
                <w:szCs w:val="21"/>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vMerge w:val="continue"/>
            <w:vAlign w:val="center"/>
          </w:tcPr>
          <w:p>
            <w:pPr>
              <w:pStyle w:val="2057"/>
              <w:spacing w:afterLines="0"/>
              <w:ind w:firstLine="0" w:firstLineChars="0"/>
              <w:rPr>
                <w:sz w:val="21"/>
                <w:szCs w:val="21"/>
              </w:rPr>
            </w:pPr>
          </w:p>
        </w:tc>
        <w:tc>
          <w:tcPr>
            <w:tcW w:w="229" w:type="pct"/>
            <w:vAlign w:val="center"/>
          </w:tcPr>
          <w:p>
            <w:pPr>
              <w:pStyle w:val="2057"/>
              <w:spacing w:afterLines="0"/>
              <w:ind w:firstLine="0" w:firstLineChars="0"/>
              <w:rPr>
                <w:sz w:val="21"/>
                <w:szCs w:val="21"/>
              </w:rPr>
            </w:pPr>
            <w:r>
              <w:rPr>
                <w:sz w:val="21"/>
                <w:szCs w:val="21"/>
              </w:rPr>
              <w:t>资源</w:t>
            </w:r>
          </w:p>
          <w:p>
            <w:pPr>
              <w:pStyle w:val="2057"/>
              <w:spacing w:afterLines="0"/>
              <w:ind w:firstLine="0" w:firstLineChars="0"/>
              <w:rPr>
                <w:sz w:val="21"/>
                <w:szCs w:val="21"/>
              </w:rPr>
            </w:pPr>
            <w:r>
              <w:rPr>
                <w:sz w:val="21"/>
                <w:szCs w:val="21"/>
              </w:rPr>
              <w:t>利用</w:t>
            </w:r>
          </w:p>
          <w:p>
            <w:pPr>
              <w:pStyle w:val="2057"/>
              <w:spacing w:afterLines="0"/>
              <w:ind w:firstLine="0" w:firstLineChars="0"/>
              <w:rPr>
                <w:sz w:val="21"/>
                <w:szCs w:val="21"/>
              </w:rPr>
            </w:pPr>
            <w:r>
              <w:rPr>
                <w:sz w:val="21"/>
                <w:szCs w:val="21"/>
              </w:rPr>
              <w:t>效率</w:t>
            </w:r>
          </w:p>
        </w:tc>
        <w:tc>
          <w:tcPr>
            <w:tcW w:w="2811" w:type="pct"/>
            <w:vAlign w:val="center"/>
          </w:tcPr>
          <w:p>
            <w:pPr>
              <w:pStyle w:val="2057"/>
              <w:spacing w:afterLines="0"/>
              <w:ind w:firstLine="0" w:firstLineChars="0"/>
              <w:jc w:val="left"/>
              <w:rPr>
                <w:sz w:val="21"/>
                <w:szCs w:val="21"/>
              </w:rPr>
            </w:pPr>
            <w:r>
              <w:rPr>
                <w:sz w:val="21"/>
                <w:szCs w:val="21"/>
              </w:rPr>
              <w:t>4.岳阳港各港区应采取清洁生产的具体措施，力求减少物耗能耗，在污染防治和原材料综合利用上体现清洁生产的原则</w:t>
            </w:r>
          </w:p>
        </w:tc>
        <w:tc>
          <w:tcPr>
            <w:tcW w:w="1401" w:type="pct"/>
            <w:vAlign w:val="center"/>
          </w:tcPr>
          <w:p>
            <w:pPr>
              <w:pStyle w:val="2057"/>
              <w:spacing w:afterLines="0"/>
              <w:ind w:firstLine="0" w:firstLineChars="0"/>
              <w:jc w:val="left"/>
              <w:rPr>
                <w:sz w:val="21"/>
                <w:szCs w:val="21"/>
              </w:rPr>
            </w:pPr>
            <w:r>
              <w:rPr>
                <w:sz w:val="21"/>
                <w:szCs w:val="21"/>
              </w:rPr>
              <w:t>在码头实施岸基供电设施，船舶靠泊配置岸电设施的泊位后，关闭发动机，使用岸电作为能源。</w:t>
            </w:r>
            <w:r>
              <w:rPr>
                <w:rFonts w:hint="eastAsia"/>
                <w:sz w:val="21"/>
                <w:szCs w:val="21"/>
              </w:rPr>
              <w:t>初期雨水和车辆冲洗废水循环利用。采取各种粉尘治理污染防治设施，符合情节生产的院长。</w:t>
            </w:r>
          </w:p>
        </w:tc>
        <w:tc>
          <w:tcPr>
            <w:tcW w:w="272" w:type="pct"/>
            <w:vAlign w:val="center"/>
          </w:tcPr>
          <w:p>
            <w:pPr>
              <w:pStyle w:val="2057"/>
              <w:spacing w:afterLines="0"/>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vMerge w:val="restart"/>
            <w:vAlign w:val="center"/>
          </w:tcPr>
          <w:p>
            <w:pPr>
              <w:pStyle w:val="2057"/>
              <w:spacing w:afterLines="0"/>
              <w:ind w:firstLine="0" w:firstLineChars="0"/>
              <w:rPr>
                <w:sz w:val="21"/>
                <w:szCs w:val="21"/>
              </w:rPr>
            </w:pPr>
            <w:r>
              <w:rPr>
                <w:sz w:val="21"/>
                <w:szCs w:val="21"/>
              </w:rPr>
              <w:t>陆城镇 /路 口 镇 /松 阳湖街 道 /云 溪 镇 / 长岭街 道</w:t>
            </w:r>
          </w:p>
        </w:tc>
        <w:tc>
          <w:tcPr>
            <w:tcW w:w="229" w:type="pct"/>
            <w:vAlign w:val="center"/>
          </w:tcPr>
          <w:p>
            <w:pPr>
              <w:pStyle w:val="2057"/>
              <w:spacing w:afterLines="0"/>
              <w:ind w:firstLine="0" w:firstLineChars="0"/>
              <w:rPr>
                <w:sz w:val="21"/>
                <w:szCs w:val="21"/>
              </w:rPr>
            </w:pPr>
            <w:r>
              <w:rPr>
                <w:sz w:val="21"/>
                <w:szCs w:val="21"/>
              </w:rPr>
              <w:t>空间</w:t>
            </w:r>
          </w:p>
          <w:p>
            <w:pPr>
              <w:pStyle w:val="2057"/>
              <w:spacing w:afterLines="0"/>
              <w:ind w:firstLine="0" w:firstLineChars="0"/>
              <w:rPr>
                <w:sz w:val="21"/>
                <w:szCs w:val="21"/>
              </w:rPr>
            </w:pPr>
            <w:r>
              <w:rPr>
                <w:sz w:val="21"/>
                <w:szCs w:val="21"/>
              </w:rPr>
              <w:t>布局</w:t>
            </w:r>
          </w:p>
          <w:p>
            <w:pPr>
              <w:pStyle w:val="2057"/>
              <w:spacing w:afterLines="0"/>
              <w:ind w:firstLine="0" w:firstLineChars="0"/>
              <w:rPr>
                <w:sz w:val="21"/>
                <w:szCs w:val="21"/>
              </w:rPr>
            </w:pPr>
            <w:r>
              <w:rPr>
                <w:sz w:val="21"/>
                <w:szCs w:val="21"/>
              </w:rPr>
              <w:t>约束</w:t>
            </w:r>
          </w:p>
        </w:tc>
        <w:tc>
          <w:tcPr>
            <w:tcW w:w="2811" w:type="pct"/>
            <w:vAlign w:val="center"/>
          </w:tcPr>
          <w:p>
            <w:pPr>
              <w:pStyle w:val="2057"/>
              <w:numPr>
                <w:ilvl w:val="1"/>
                <w:numId w:val="57"/>
              </w:numPr>
              <w:spacing w:afterLines="0"/>
              <w:ind w:firstLine="420"/>
              <w:jc w:val="left"/>
              <w:rPr>
                <w:sz w:val="21"/>
                <w:szCs w:val="21"/>
              </w:rPr>
            </w:pPr>
            <w:r>
              <w:rPr>
                <w:sz w:val="21"/>
                <w:szCs w:val="21"/>
              </w:rPr>
              <w:t>依法关闭淘汰非法生产经营或资质证照不全的生产企业，环保设施不全、污染严重的企业，以及列入《产业结构调整指导目录》“淘汰类”的生产线和设备</w:t>
            </w:r>
          </w:p>
          <w:p>
            <w:pPr>
              <w:pStyle w:val="2057"/>
              <w:numPr>
                <w:ilvl w:val="1"/>
                <w:numId w:val="57"/>
              </w:numPr>
              <w:spacing w:afterLines="0"/>
              <w:ind w:firstLine="420"/>
              <w:jc w:val="left"/>
              <w:rPr>
                <w:sz w:val="21"/>
                <w:szCs w:val="21"/>
              </w:rPr>
            </w:pPr>
            <w:r>
              <w:rPr>
                <w:sz w:val="21"/>
                <w:szCs w:val="21"/>
              </w:rPr>
              <w:t>严格落实禁采区、可采区、保留区和禁采期管理措施，严厉打击非法采砂行为</w:t>
            </w:r>
          </w:p>
        </w:tc>
        <w:tc>
          <w:tcPr>
            <w:tcW w:w="1401" w:type="pct"/>
            <w:vAlign w:val="center"/>
          </w:tcPr>
          <w:p>
            <w:pPr>
              <w:pStyle w:val="2057"/>
              <w:spacing w:afterLines="0"/>
              <w:ind w:firstLine="0" w:firstLineChars="0"/>
              <w:jc w:val="left"/>
              <w:rPr>
                <w:sz w:val="21"/>
                <w:szCs w:val="21"/>
              </w:rPr>
            </w:pPr>
            <w:r>
              <w:rPr>
                <w:rFonts w:hint="eastAsia"/>
                <w:sz w:val="21"/>
                <w:szCs w:val="21"/>
              </w:rPr>
              <w:t>本项目环保设施齐全，没有使用</w:t>
            </w:r>
            <w:r>
              <w:rPr>
                <w:sz w:val="21"/>
                <w:szCs w:val="21"/>
              </w:rPr>
              <w:t>列入《产业结构调整指导目录》“淘汰类”的生产线和设备</w:t>
            </w:r>
          </w:p>
        </w:tc>
        <w:tc>
          <w:tcPr>
            <w:tcW w:w="272" w:type="pct"/>
            <w:vAlign w:val="center"/>
          </w:tcPr>
          <w:p>
            <w:pPr>
              <w:pStyle w:val="2057"/>
              <w:spacing w:afterLines="0"/>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vMerge w:val="continue"/>
            <w:vAlign w:val="center"/>
          </w:tcPr>
          <w:p>
            <w:pPr>
              <w:pStyle w:val="2057"/>
              <w:spacing w:afterLines="0"/>
              <w:ind w:firstLine="0" w:firstLineChars="0"/>
              <w:rPr>
                <w:sz w:val="21"/>
                <w:szCs w:val="21"/>
              </w:rPr>
            </w:pPr>
          </w:p>
        </w:tc>
        <w:tc>
          <w:tcPr>
            <w:tcW w:w="229" w:type="pct"/>
            <w:vAlign w:val="center"/>
          </w:tcPr>
          <w:p>
            <w:pPr>
              <w:pStyle w:val="2057"/>
              <w:spacing w:afterLines="0"/>
              <w:ind w:firstLine="0" w:firstLineChars="0"/>
              <w:rPr>
                <w:sz w:val="21"/>
                <w:szCs w:val="21"/>
              </w:rPr>
            </w:pPr>
            <w:r>
              <w:rPr>
                <w:sz w:val="21"/>
                <w:szCs w:val="21"/>
              </w:rPr>
              <w:t>污染</w:t>
            </w:r>
          </w:p>
          <w:p>
            <w:pPr>
              <w:pStyle w:val="2057"/>
              <w:spacing w:afterLines="0"/>
              <w:ind w:firstLine="0" w:firstLineChars="0"/>
              <w:rPr>
                <w:sz w:val="21"/>
                <w:szCs w:val="21"/>
              </w:rPr>
            </w:pPr>
            <w:r>
              <w:rPr>
                <w:sz w:val="21"/>
                <w:szCs w:val="21"/>
              </w:rPr>
              <w:t>物排</w:t>
            </w:r>
          </w:p>
          <w:p>
            <w:pPr>
              <w:pStyle w:val="2057"/>
              <w:spacing w:afterLines="0"/>
              <w:ind w:firstLine="0" w:firstLineChars="0"/>
              <w:rPr>
                <w:sz w:val="21"/>
                <w:szCs w:val="21"/>
              </w:rPr>
            </w:pPr>
            <w:r>
              <w:rPr>
                <w:sz w:val="21"/>
                <w:szCs w:val="21"/>
              </w:rPr>
              <w:t>放管</w:t>
            </w:r>
          </w:p>
          <w:p>
            <w:pPr>
              <w:pStyle w:val="2057"/>
              <w:spacing w:afterLines="0"/>
              <w:ind w:firstLine="0" w:firstLineChars="0"/>
              <w:rPr>
                <w:sz w:val="21"/>
                <w:szCs w:val="21"/>
              </w:rPr>
            </w:pPr>
            <w:r>
              <w:rPr>
                <w:sz w:val="21"/>
                <w:szCs w:val="21"/>
              </w:rPr>
              <w:t>控</w:t>
            </w:r>
          </w:p>
        </w:tc>
        <w:tc>
          <w:tcPr>
            <w:tcW w:w="2811" w:type="pct"/>
            <w:vAlign w:val="center"/>
          </w:tcPr>
          <w:p>
            <w:pPr>
              <w:pStyle w:val="2057"/>
              <w:spacing w:afterLines="0"/>
              <w:ind w:firstLine="0" w:firstLineChars="0"/>
              <w:jc w:val="left"/>
              <w:rPr>
                <w:sz w:val="21"/>
                <w:szCs w:val="21"/>
              </w:rPr>
            </w:pPr>
            <w:r>
              <w:rPr>
                <w:sz w:val="21"/>
                <w:szCs w:val="21"/>
              </w:rPr>
              <w:t>2.1 通过开展畜禽污染防治、规范水产养殖、禁止投肥投饵、严控工业污染、加强黑臭水体排查整治，采取清淤、截污、活水、完善管 网等措施，改善内湖水质；同时，按照“一河一策、一湖一策”原则制定内湖水环境整治方案，按方案实施治理，按期实现水质达标</w:t>
            </w:r>
          </w:p>
          <w:p>
            <w:pPr>
              <w:pStyle w:val="2057"/>
              <w:spacing w:afterLines="0"/>
              <w:ind w:firstLine="0" w:firstLineChars="0"/>
              <w:jc w:val="left"/>
              <w:rPr>
                <w:sz w:val="21"/>
                <w:szCs w:val="21"/>
              </w:rPr>
            </w:pPr>
            <w:r>
              <w:rPr>
                <w:sz w:val="21"/>
                <w:szCs w:val="21"/>
              </w:rPr>
              <w:t>2.2 启动城区雨污管网全面排查工作，完成城南老区生活污水收集管网工程建设和洗马北路、文苑北路等道路雨污分流改造，实现中心 城区建成区污水全收集、全处理</w:t>
            </w:r>
          </w:p>
          <w:p>
            <w:pPr>
              <w:pStyle w:val="2057"/>
              <w:spacing w:afterLines="0"/>
              <w:ind w:firstLine="0" w:firstLineChars="0"/>
              <w:jc w:val="left"/>
              <w:rPr>
                <w:sz w:val="21"/>
                <w:szCs w:val="21"/>
              </w:rPr>
            </w:pPr>
            <w:r>
              <w:rPr>
                <w:sz w:val="21"/>
                <w:szCs w:val="21"/>
              </w:rPr>
              <w:t>2.3 进行畜牧业发展规划和畜禽养殖污染防治规划的编制和修订，实施畜禽规模养殖场标准化改造，完善配套粪污处理设施建设</w:t>
            </w:r>
          </w:p>
          <w:p>
            <w:pPr>
              <w:pStyle w:val="2057"/>
              <w:spacing w:afterLines="0"/>
              <w:ind w:firstLine="0" w:firstLineChars="0"/>
              <w:jc w:val="left"/>
              <w:rPr>
                <w:sz w:val="21"/>
                <w:szCs w:val="21"/>
              </w:rPr>
            </w:pPr>
            <w:r>
              <w:rPr>
                <w:sz w:val="21"/>
                <w:szCs w:val="21"/>
              </w:rPr>
              <w:t>2.4 重点针对VOCs无组织排放，扬尘污染，机动车污染，黑加油站点，秸秆、垃圾露天焚烧，餐饮油烟污染等开展专项执法</w:t>
            </w:r>
          </w:p>
          <w:p>
            <w:pPr>
              <w:pStyle w:val="2057"/>
              <w:spacing w:afterLines="0"/>
              <w:ind w:firstLine="0" w:firstLineChars="0"/>
              <w:jc w:val="left"/>
              <w:rPr>
                <w:sz w:val="21"/>
                <w:szCs w:val="21"/>
              </w:rPr>
            </w:pPr>
            <w:r>
              <w:rPr>
                <w:sz w:val="21"/>
                <w:szCs w:val="21"/>
              </w:rPr>
              <w:t>2.5 石化、化工等 VOCs 排放重点源安装污染物排放自动监测设备，并与生态环境部门联网</w:t>
            </w:r>
          </w:p>
          <w:p>
            <w:pPr>
              <w:pStyle w:val="2057"/>
              <w:spacing w:afterLines="0"/>
              <w:ind w:firstLine="0" w:firstLineChars="0"/>
              <w:jc w:val="left"/>
              <w:rPr>
                <w:sz w:val="21"/>
                <w:szCs w:val="21"/>
              </w:rPr>
            </w:pPr>
            <w:r>
              <w:rPr>
                <w:sz w:val="21"/>
                <w:szCs w:val="21"/>
              </w:rPr>
              <w:t>2.6 针对 VOCs 排放，石油炼制、石油化工、合成树脂等行业企业需全面开展泄漏检测与修复（LDAR），加强非正常工况排放控制，加强无组织废气收集，建设末端治理设施，建立健全管理制度</w:t>
            </w:r>
          </w:p>
          <w:p>
            <w:pPr>
              <w:pStyle w:val="2057"/>
              <w:spacing w:afterLines="0"/>
              <w:ind w:firstLine="0" w:firstLineChars="0"/>
              <w:jc w:val="left"/>
              <w:rPr>
                <w:sz w:val="21"/>
                <w:szCs w:val="21"/>
              </w:rPr>
            </w:pPr>
            <w:r>
              <w:rPr>
                <w:sz w:val="21"/>
                <w:szCs w:val="21"/>
              </w:rPr>
              <w:t>2.7 实现工业园区污水管网全覆盖，工业污水集中收集处理、达标排放，在线监控稳定运行</w:t>
            </w:r>
          </w:p>
          <w:p>
            <w:pPr>
              <w:pStyle w:val="2057"/>
              <w:spacing w:afterLines="0"/>
              <w:ind w:firstLine="0" w:firstLineChars="0"/>
              <w:jc w:val="left"/>
              <w:rPr>
                <w:sz w:val="21"/>
                <w:szCs w:val="21"/>
              </w:rPr>
            </w:pPr>
            <w:r>
              <w:rPr>
                <w:sz w:val="21"/>
                <w:szCs w:val="21"/>
              </w:rPr>
              <w:t>2.8 做好园区渗漏污水收集处置，加强水质检测和周边企业风险排查整治，完成污水渗漏问题整改</w:t>
            </w:r>
          </w:p>
        </w:tc>
        <w:tc>
          <w:tcPr>
            <w:tcW w:w="1401" w:type="pct"/>
            <w:vAlign w:val="center"/>
          </w:tcPr>
          <w:p>
            <w:pPr>
              <w:pStyle w:val="2057"/>
              <w:spacing w:afterLines="0"/>
              <w:ind w:firstLine="0" w:firstLineChars="0"/>
              <w:jc w:val="left"/>
              <w:rPr>
                <w:sz w:val="21"/>
                <w:szCs w:val="21"/>
              </w:rPr>
            </w:pPr>
            <w:r>
              <w:rPr>
                <w:rFonts w:hint="eastAsia"/>
                <w:sz w:val="21"/>
                <w:szCs w:val="21"/>
              </w:rPr>
              <w:t>码头作业区卸料车棚、散货仓库、皮带廊道均采取全封闭措施，每个转运点布设有微雾抑尘系统；卸料点采用高压自动微雾抑尘系统；装船机带俯仰、回转功能，前端设置有伸缩溜筒；同时码头配备雾炮机+洒水车进行抑尘，严格防治扬尘污染</w:t>
            </w:r>
          </w:p>
        </w:tc>
        <w:tc>
          <w:tcPr>
            <w:tcW w:w="272" w:type="pct"/>
            <w:vAlign w:val="center"/>
          </w:tcPr>
          <w:p>
            <w:pPr>
              <w:pStyle w:val="2057"/>
              <w:spacing w:afterLines="0"/>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vMerge w:val="continue"/>
            <w:vAlign w:val="center"/>
          </w:tcPr>
          <w:p>
            <w:pPr>
              <w:pStyle w:val="2057"/>
              <w:spacing w:afterLines="0"/>
              <w:ind w:firstLine="0" w:firstLineChars="0"/>
              <w:rPr>
                <w:sz w:val="21"/>
                <w:szCs w:val="21"/>
              </w:rPr>
            </w:pPr>
          </w:p>
        </w:tc>
        <w:tc>
          <w:tcPr>
            <w:tcW w:w="229" w:type="pct"/>
            <w:vAlign w:val="center"/>
          </w:tcPr>
          <w:p>
            <w:pPr>
              <w:pStyle w:val="2057"/>
              <w:spacing w:afterLines="0"/>
              <w:ind w:firstLine="0" w:firstLineChars="0"/>
              <w:rPr>
                <w:sz w:val="21"/>
                <w:szCs w:val="21"/>
              </w:rPr>
            </w:pPr>
            <w:r>
              <w:rPr>
                <w:sz w:val="21"/>
                <w:szCs w:val="21"/>
              </w:rPr>
              <w:t>环境</w:t>
            </w:r>
          </w:p>
          <w:p>
            <w:pPr>
              <w:pStyle w:val="2057"/>
              <w:spacing w:afterLines="0"/>
              <w:ind w:firstLine="0" w:firstLineChars="0"/>
              <w:rPr>
                <w:sz w:val="21"/>
                <w:szCs w:val="21"/>
              </w:rPr>
            </w:pPr>
            <w:r>
              <w:rPr>
                <w:sz w:val="21"/>
                <w:szCs w:val="21"/>
              </w:rPr>
              <w:t>风险</w:t>
            </w:r>
          </w:p>
          <w:p>
            <w:pPr>
              <w:pStyle w:val="2057"/>
              <w:spacing w:afterLines="0"/>
              <w:ind w:firstLine="0" w:firstLineChars="0"/>
              <w:rPr>
                <w:sz w:val="21"/>
                <w:szCs w:val="21"/>
              </w:rPr>
            </w:pPr>
            <w:r>
              <w:rPr>
                <w:sz w:val="21"/>
                <w:szCs w:val="21"/>
              </w:rPr>
              <w:t>防控</w:t>
            </w:r>
          </w:p>
        </w:tc>
        <w:tc>
          <w:tcPr>
            <w:tcW w:w="2811" w:type="pct"/>
            <w:vAlign w:val="center"/>
          </w:tcPr>
          <w:p>
            <w:pPr>
              <w:pStyle w:val="2057"/>
              <w:spacing w:afterLines="0"/>
              <w:ind w:firstLine="0" w:firstLineChars="0"/>
              <w:jc w:val="left"/>
              <w:rPr>
                <w:sz w:val="21"/>
                <w:szCs w:val="21"/>
              </w:rPr>
            </w:pPr>
            <w:r>
              <w:rPr>
                <w:sz w:val="21"/>
                <w:szCs w:val="21"/>
              </w:rPr>
              <w:t>3.1 加强辖区内涉重企业环境问题排查整治，完成云溪区三角坪化工污染场地修复项目</w:t>
            </w:r>
          </w:p>
          <w:p>
            <w:pPr>
              <w:pStyle w:val="2057"/>
              <w:spacing w:afterLines="0"/>
              <w:ind w:firstLine="0" w:firstLineChars="0"/>
              <w:jc w:val="both"/>
              <w:rPr>
                <w:sz w:val="21"/>
                <w:szCs w:val="21"/>
              </w:rPr>
            </w:pPr>
            <w:r>
              <w:rPr>
                <w:sz w:val="21"/>
                <w:szCs w:val="21"/>
              </w:rPr>
              <w:t>3.2 云溪河上、下游黑臭水体和长街办樟树港黑臭水体整治销号，加强日常监管，防止反弹</w:t>
            </w:r>
          </w:p>
          <w:p>
            <w:pPr>
              <w:pStyle w:val="2057"/>
              <w:spacing w:afterLines="0"/>
              <w:ind w:firstLine="0" w:firstLineChars="0"/>
              <w:jc w:val="left"/>
              <w:rPr>
                <w:sz w:val="21"/>
                <w:szCs w:val="21"/>
              </w:rPr>
            </w:pPr>
            <w:r>
              <w:rPr>
                <w:sz w:val="21"/>
                <w:szCs w:val="21"/>
              </w:rPr>
              <w:t>3.3 全面贯彻落实“一控两减三基本”行动，加强肥料、农药包装废弃物回收处理试点与推广应用，建立健全废弃农膜回收贮运和综合 利用网络，废弃农膜回收率达到 80%以上</w:t>
            </w:r>
          </w:p>
          <w:p>
            <w:pPr>
              <w:pStyle w:val="2057"/>
              <w:spacing w:afterLines="0"/>
              <w:ind w:firstLine="0" w:firstLineChars="0"/>
              <w:jc w:val="left"/>
              <w:rPr>
                <w:sz w:val="21"/>
                <w:szCs w:val="21"/>
              </w:rPr>
            </w:pPr>
            <w:r>
              <w:rPr>
                <w:sz w:val="21"/>
                <w:szCs w:val="21"/>
              </w:rPr>
              <w:t>3.4 制定推进水污染防治重点行业实施清洁化改造方案，明确改造内容及时限要求</w:t>
            </w:r>
          </w:p>
        </w:tc>
        <w:tc>
          <w:tcPr>
            <w:tcW w:w="1401" w:type="pct"/>
            <w:vAlign w:val="center"/>
          </w:tcPr>
          <w:p>
            <w:pPr>
              <w:pStyle w:val="2057"/>
              <w:spacing w:afterLines="0"/>
              <w:ind w:firstLine="0" w:firstLineChars="0"/>
              <w:jc w:val="left"/>
              <w:rPr>
                <w:sz w:val="21"/>
                <w:szCs w:val="21"/>
              </w:rPr>
            </w:pPr>
            <w:r>
              <w:rPr>
                <w:rFonts w:hint="eastAsia"/>
                <w:sz w:val="21"/>
                <w:szCs w:val="21"/>
              </w:rPr>
              <w:t>/</w:t>
            </w:r>
          </w:p>
        </w:tc>
        <w:tc>
          <w:tcPr>
            <w:tcW w:w="272" w:type="pct"/>
            <w:vAlign w:val="center"/>
          </w:tcPr>
          <w:p>
            <w:pPr>
              <w:pStyle w:val="2057"/>
              <w:spacing w:afterLines="0"/>
              <w:ind w:firstLine="0" w:firstLineChars="0"/>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vMerge w:val="continue"/>
            <w:vAlign w:val="center"/>
          </w:tcPr>
          <w:p>
            <w:pPr>
              <w:pStyle w:val="2057"/>
              <w:spacing w:afterLines="0"/>
              <w:ind w:firstLine="0" w:firstLineChars="0"/>
              <w:rPr>
                <w:sz w:val="21"/>
                <w:szCs w:val="21"/>
              </w:rPr>
            </w:pPr>
          </w:p>
        </w:tc>
        <w:tc>
          <w:tcPr>
            <w:tcW w:w="229" w:type="pct"/>
            <w:vAlign w:val="center"/>
          </w:tcPr>
          <w:p>
            <w:pPr>
              <w:pStyle w:val="2057"/>
              <w:spacing w:afterLines="0"/>
              <w:ind w:firstLine="0" w:firstLineChars="0"/>
              <w:rPr>
                <w:sz w:val="21"/>
                <w:szCs w:val="21"/>
              </w:rPr>
            </w:pPr>
            <w:r>
              <w:rPr>
                <w:sz w:val="21"/>
                <w:szCs w:val="21"/>
              </w:rPr>
              <w:t>资源</w:t>
            </w:r>
          </w:p>
          <w:p>
            <w:pPr>
              <w:pStyle w:val="2057"/>
              <w:spacing w:afterLines="0"/>
              <w:ind w:firstLine="0" w:firstLineChars="0"/>
              <w:rPr>
                <w:sz w:val="21"/>
                <w:szCs w:val="21"/>
              </w:rPr>
            </w:pPr>
            <w:r>
              <w:rPr>
                <w:sz w:val="21"/>
                <w:szCs w:val="21"/>
              </w:rPr>
              <w:t>利用</w:t>
            </w:r>
          </w:p>
          <w:p>
            <w:pPr>
              <w:pStyle w:val="2057"/>
              <w:spacing w:afterLines="0"/>
              <w:ind w:firstLine="0" w:firstLineChars="0"/>
              <w:rPr>
                <w:sz w:val="21"/>
                <w:szCs w:val="21"/>
              </w:rPr>
            </w:pPr>
            <w:r>
              <w:rPr>
                <w:sz w:val="21"/>
                <w:szCs w:val="21"/>
              </w:rPr>
              <w:t>效率</w:t>
            </w:r>
          </w:p>
        </w:tc>
        <w:tc>
          <w:tcPr>
            <w:tcW w:w="2811" w:type="pct"/>
            <w:vAlign w:val="center"/>
          </w:tcPr>
          <w:p>
            <w:pPr>
              <w:pStyle w:val="2057"/>
              <w:spacing w:afterLines="0"/>
              <w:ind w:firstLine="0" w:firstLineChars="0"/>
              <w:jc w:val="left"/>
              <w:rPr>
                <w:sz w:val="21"/>
                <w:szCs w:val="21"/>
              </w:rPr>
            </w:pPr>
            <w:r>
              <w:rPr>
                <w:sz w:val="21"/>
                <w:szCs w:val="21"/>
              </w:rPr>
              <w:t>4.1 水资源：云溪区万元国内生产总值用水量34m</w:t>
            </w:r>
            <w:r>
              <w:rPr>
                <w:sz w:val="21"/>
                <w:szCs w:val="21"/>
                <w:vertAlign w:val="superscript"/>
              </w:rPr>
              <w:t xml:space="preserve"> 3</w:t>
            </w:r>
            <w:r>
              <w:rPr>
                <w:sz w:val="21"/>
                <w:szCs w:val="21"/>
              </w:rPr>
              <w:t xml:space="preserve"> /万元，万元工业增加值用水量 29m</w:t>
            </w:r>
            <w:r>
              <w:rPr>
                <w:sz w:val="21"/>
                <w:szCs w:val="21"/>
                <w:vertAlign w:val="superscript"/>
              </w:rPr>
              <w:t xml:space="preserve"> 3</w:t>
            </w:r>
            <w:r>
              <w:rPr>
                <w:sz w:val="21"/>
                <w:szCs w:val="21"/>
              </w:rPr>
              <w:t xml:space="preserve"> /万元，农田灌溉水有效利用系数 0.55 </w:t>
            </w:r>
          </w:p>
          <w:p>
            <w:pPr>
              <w:pStyle w:val="2057"/>
              <w:spacing w:afterLines="0"/>
              <w:ind w:firstLine="0" w:firstLineChars="0"/>
              <w:jc w:val="left"/>
              <w:rPr>
                <w:sz w:val="21"/>
                <w:szCs w:val="21"/>
              </w:rPr>
            </w:pPr>
            <w:r>
              <w:rPr>
                <w:sz w:val="21"/>
                <w:szCs w:val="21"/>
              </w:rPr>
              <w:t>4.2 能源：云溪区“十三五”能耗强度降低目标 17%，“十三五”能耗控制目标 35 万吨标准煤</w:t>
            </w:r>
          </w:p>
          <w:p>
            <w:pPr>
              <w:pStyle w:val="2057"/>
              <w:spacing w:afterLines="0"/>
              <w:ind w:firstLine="0" w:firstLineChars="0"/>
              <w:jc w:val="left"/>
              <w:rPr>
                <w:sz w:val="21"/>
                <w:szCs w:val="21"/>
              </w:rPr>
            </w:pPr>
            <w:r>
              <w:rPr>
                <w:sz w:val="21"/>
                <w:szCs w:val="21"/>
              </w:rPr>
              <w:t>4.3 土地资源：</w:t>
            </w:r>
          </w:p>
          <w:p>
            <w:pPr>
              <w:pStyle w:val="2057"/>
              <w:spacing w:afterLines="0"/>
              <w:ind w:firstLine="0" w:firstLineChars="0"/>
              <w:jc w:val="left"/>
              <w:rPr>
                <w:sz w:val="21"/>
                <w:szCs w:val="21"/>
              </w:rPr>
            </w:pPr>
            <w:r>
              <w:rPr>
                <w:b/>
                <w:bCs w:val="0"/>
                <w:sz w:val="21"/>
                <w:szCs w:val="21"/>
              </w:rPr>
              <w:t>陆城镇：</w:t>
            </w:r>
            <w:r>
              <w:rPr>
                <w:sz w:val="21"/>
                <w:szCs w:val="21"/>
              </w:rPr>
              <w:t>耕地保有量不低于 2412.26 公顷，基本农田保护面积不低于1694.93公顷；建设用地总规模控制在 1318.75 公顷以内，城乡建 设用地规模控制在 925.31 公顷以内，城镇工矿用地规模控制在 800.38 公顷以内</w:t>
            </w:r>
          </w:p>
          <w:p>
            <w:pPr>
              <w:pStyle w:val="2057"/>
              <w:spacing w:afterLines="0"/>
              <w:ind w:firstLine="0" w:firstLineChars="0"/>
              <w:jc w:val="left"/>
              <w:rPr>
                <w:sz w:val="21"/>
                <w:szCs w:val="21"/>
              </w:rPr>
            </w:pPr>
            <w:r>
              <w:rPr>
                <w:b/>
                <w:bCs w:val="0"/>
                <w:sz w:val="21"/>
                <w:szCs w:val="21"/>
              </w:rPr>
              <w:t>路口镇：</w:t>
            </w:r>
            <w:r>
              <w:rPr>
                <w:sz w:val="21"/>
                <w:szCs w:val="21"/>
              </w:rPr>
              <w:t>耕地保有量不低于2045公顷，基本农田保护面积不低于1404.36公顷；建设用地总规模控制在 419.54 公顷以内，城乡建设用 地规模控制在 268.70 公顷以内，城镇工矿用地规模控制在 165.10 公顷以内</w:t>
            </w:r>
          </w:p>
          <w:p>
            <w:pPr>
              <w:pStyle w:val="2057"/>
              <w:spacing w:afterLines="0"/>
              <w:ind w:firstLine="0" w:firstLineChars="0"/>
              <w:jc w:val="left"/>
              <w:rPr>
                <w:sz w:val="21"/>
                <w:szCs w:val="21"/>
              </w:rPr>
            </w:pPr>
            <w:r>
              <w:rPr>
                <w:b/>
                <w:bCs w:val="0"/>
                <w:sz w:val="21"/>
                <w:szCs w:val="21"/>
              </w:rPr>
              <w:t>云溪镇：</w:t>
            </w:r>
            <w:r>
              <w:rPr>
                <w:sz w:val="21"/>
                <w:szCs w:val="21"/>
              </w:rPr>
              <w:t xml:space="preserve">耕地保有量不低于 2396.86 公顷，基本农田保护面积不低于1658.10 公顷；建设用地总规模控制在 4633.64 公顷以内，城乡建 设用地规模控制在 3232.33公顷以内，城镇工矿用地规模控制在3016.16 公顷以内 </w:t>
            </w:r>
          </w:p>
          <w:p>
            <w:pPr>
              <w:pStyle w:val="2057"/>
              <w:spacing w:afterLines="0"/>
              <w:ind w:firstLine="0" w:firstLineChars="0"/>
              <w:jc w:val="left"/>
              <w:rPr>
                <w:sz w:val="21"/>
                <w:szCs w:val="21"/>
              </w:rPr>
            </w:pPr>
            <w:r>
              <w:rPr>
                <w:b/>
                <w:bCs w:val="0"/>
                <w:sz w:val="21"/>
                <w:szCs w:val="21"/>
              </w:rPr>
              <w:t>长岭街道：</w:t>
            </w:r>
            <w:r>
              <w:rPr>
                <w:sz w:val="21"/>
                <w:szCs w:val="21"/>
              </w:rPr>
              <w:t>耕地保有量不低于 755.88 公顷，基本农田保护面积不低于 442.61 公顷；建设用地总规模控制在 792.35 公顷以内，城乡建 设用地规模控制在 732.06 公顷以内，城镇工矿用地规模控制在 675.43 公顷以内</w:t>
            </w:r>
          </w:p>
        </w:tc>
        <w:tc>
          <w:tcPr>
            <w:tcW w:w="1401" w:type="pct"/>
            <w:vAlign w:val="center"/>
          </w:tcPr>
          <w:p>
            <w:pPr>
              <w:pStyle w:val="2057"/>
              <w:spacing w:afterLines="0"/>
              <w:ind w:firstLine="0" w:firstLineChars="0"/>
              <w:jc w:val="left"/>
              <w:rPr>
                <w:sz w:val="21"/>
                <w:szCs w:val="21"/>
              </w:rPr>
            </w:pPr>
            <w:r>
              <w:rPr>
                <w:rFonts w:hint="eastAsia"/>
                <w:sz w:val="21"/>
                <w:szCs w:val="21"/>
              </w:rPr>
              <w:t>项目后方陆域占地为工业用地，初期雨水、车辆冲洗水循环利用，所用能源主要为电能。</w:t>
            </w:r>
          </w:p>
        </w:tc>
        <w:tc>
          <w:tcPr>
            <w:tcW w:w="272" w:type="pct"/>
            <w:vAlign w:val="center"/>
          </w:tcPr>
          <w:p>
            <w:pPr>
              <w:pStyle w:val="2057"/>
              <w:spacing w:afterLines="0"/>
              <w:ind w:firstLine="0" w:firstLineChars="0"/>
              <w:rPr>
                <w:sz w:val="21"/>
                <w:szCs w:val="21"/>
              </w:rPr>
            </w:pPr>
            <w:r>
              <w:rPr>
                <w:sz w:val="21"/>
                <w:szCs w:val="21"/>
              </w:rPr>
              <w:t>符合</w:t>
            </w:r>
          </w:p>
        </w:tc>
      </w:tr>
    </w:tbl>
    <w:p>
      <w:pPr>
        <w:pStyle w:val="2"/>
        <w:sectPr>
          <w:pgSz w:w="16838" w:h="11906" w:orient="landscape"/>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r>
        <w:t>由上表可知，本项目符合《</w:t>
      </w:r>
      <w:r>
        <w:rPr>
          <w:rFonts w:hint="eastAsia"/>
        </w:rPr>
        <w:t>湖南</w:t>
      </w:r>
      <w:r>
        <w:t>省人民政府关于加快实施“三线一单”生态环境分区管控的意见》</w:t>
      </w:r>
      <w:r>
        <w:rPr>
          <w:rFonts w:hint="eastAsia"/>
        </w:rPr>
        <w:t>和《岳阳市人民政府关于实施岳阳市“三线一单”生态环境分区管控的意见》</w:t>
      </w:r>
      <w:r>
        <w:t>的相关要求。</w:t>
      </w:r>
    </w:p>
    <w:p>
      <w:pPr>
        <w:pStyle w:val="2"/>
        <w:rPr>
          <w:rFonts w:hint="eastAsia"/>
        </w:rPr>
      </w:pPr>
    </w:p>
    <w:p>
      <w:pPr>
        <w:pStyle w:val="457"/>
        <w:ind w:firstLine="0" w:firstLineChars="0"/>
        <w:rPr>
          <w:rFonts w:ascii="Times New Roman" w:hAnsi="Times New Roman" w:cs="Times New Roman"/>
        </w:rPr>
      </w:pPr>
      <w:r>
        <w:rPr>
          <w:rFonts w:ascii="Times New Roman" w:hAnsi="Times New Roman" w:cs="Times New Roman"/>
        </w:rPr>
        <w:t xml:space="preserve">  </w:t>
      </w:r>
      <w:bookmarkStart w:id="67" w:name="_Toc401255944"/>
      <w:bookmarkStart w:id="68" w:name="_Toc106696996"/>
      <w:bookmarkStart w:id="69" w:name="_Toc23929"/>
      <w:bookmarkStart w:id="70" w:name="_Toc32696"/>
      <w:r>
        <w:rPr>
          <w:rFonts w:ascii="Times New Roman" w:hAnsi="Times New Roman" w:cs="Times New Roman"/>
        </w:rPr>
        <w:t>工程概况与工程</w:t>
      </w:r>
      <w:bookmarkEnd w:id="67"/>
      <w:r>
        <w:rPr>
          <w:rFonts w:ascii="Times New Roman" w:hAnsi="Times New Roman" w:cs="Times New Roman"/>
        </w:rPr>
        <w:t>分析</w:t>
      </w:r>
      <w:bookmarkEnd w:id="68"/>
      <w:bookmarkEnd w:id="69"/>
      <w:bookmarkEnd w:id="70"/>
    </w:p>
    <w:p>
      <w:pPr>
        <w:pStyle w:val="453"/>
        <w:ind w:firstLine="643" w:firstLineChars="0"/>
        <w:rPr>
          <w:rFonts w:ascii="Times New Roman" w:cs="Times New Roman"/>
        </w:rPr>
      </w:pPr>
      <w:bookmarkStart w:id="71" w:name="_Toc106696997"/>
      <w:bookmarkStart w:id="72" w:name="_Toc15722"/>
      <w:bookmarkStart w:id="73" w:name="_Toc5892"/>
      <w:r>
        <w:rPr>
          <w:rFonts w:ascii="Times New Roman" w:cs="Times New Roman"/>
        </w:rPr>
        <w:t>建设项目概况</w:t>
      </w:r>
      <w:bookmarkEnd w:id="71"/>
      <w:bookmarkEnd w:id="72"/>
      <w:bookmarkEnd w:id="73"/>
    </w:p>
    <w:p>
      <w:pPr>
        <w:pStyle w:val="454"/>
        <w:ind w:firstLine="602"/>
        <w:rPr>
          <w:color w:val="auto"/>
        </w:rPr>
      </w:pPr>
      <w:r>
        <w:rPr>
          <w:color w:val="auto"/>
        </w:rPr>
        <w:t>建设规模</w:t>
      </w:r>
    </w:p>
    <w:p>
      <w:pPr>
        <w:numPr>
          <w:ilvl w:val="0"/>
          <w:numId w:val="58"/>
        </w:numPr>
        <w:tabs>
          <w:tab w:val="clear" w:pos="720"/>
        </w:tabs>
        <w:ind w:firstLine="480"/>
      </w:pPr>
      <w:r>
        <w:t>项目名称：岳阳港道仁矶码头工程</w:t>
      </w:r>
    </w:p>
    <w:p>
      <w:pPr>
        <w:numPr>
          <w:ilvl w:val="0"/>
          <w:numId w:val="58"/>
        </w:numPr>
        <w:tabs>
          <w:tab w:val="clear" w:pos="720"/>
        </w:tabs>
        <w:ind w:firstLine="480"/>
      </w:pPr>
      <w:r>
        <w:t>建设性质：新建</w:t>
      </w:r>
    </w:p>
    <w:p>
      <w:pPr>
        <w:numPr>
          <w:ilvl w:val="0"/>
          <w:numId w:val="58"/>
        </w:numPr>
        <w:tabs>
          <w:tab w:val="clear" w:pos="720"/>
        </w:tabs>
        <w:ind w:firstLine="480"/>
      </w:pPr>
      <w:r>
        <w:t>建设单位：</w:t>
      </w:r>
      <w:r>
        <w:rPr>
          <w:spacing w:val="4"/>
        </w:rPr>
        <w:t>湖南省港务集团有限公司</w:t>
      </w:r>
    </w:p>
    <w:p>
      <w:pPr>
        <w:keepNext w:val="0"/>
        <w:keepLines w:val="0"/>
        <w:widowControl/>
        <w:suppressLineNumbers w:val="0"/>
        <w:jc w:val="left"/>
      </w:pPr>
      <w:r>
        <w:t>建设地址：拟建工程位于湖南省岳阳市云溪区道仁矶镇，荆岳长江大桥上游约1.5km的长江右岸，</w:t>
      </w:r>
      <w:r>
        <w:rPr>
          <w:rFonts w:hint="eastAsia"/>
        </w:rPr>
        <w:t>道仁矶作业区散货泊位一区，</w:t>
      </w:r>
      <w:r>
        <w:rPr>
          <w:rFonts w:hint="eastAsia" w:ascii="宋体" w:hAnsi="宋体" w:eastAsia="宋体" w:cs="宋体"/>
          <w:color w:val="000000"/>
          <w:kern w:val="0"/>
          <w:sz w:val="24"/>
          <w:szCs w:val="24"/>
          <w:lang w:val="en-US" w:eastAsia="zh-CN" w:bidi="ar"/>
        </w:rPr>
        <w:t>中心经纬度：</w:t>
      </w:r>
      <w:r>
        <w:rPr>
          <w:rFonts w:hint="default" w:ascii="Times New Roman" w:hAnsi="Times New Roman" w:eastAsia="宋体" w:cs="Times New Roman"/>
          <w:color w:val="000000"/>
          <w:kern w:val="0"/>
          <w:sz w:val="24"/>
          <w:szCs w:val="24"/>
          <w:lang w:val="en-US" w:eastAsia="zh-CN" w:bidi="ar"/>
        </w:rPr>
        <w:t>113.22376599</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29.52312703</w:t>
      </w:r>
      <w:r>
        <w:rPr>
          <w:rFonts w:hint="eastAsia" w:ascii="宋体" w:hAnsi="宋体" w:eastAsia="宋体" w:cs="宋体"/>
          <w:color w:val="000000"/>
          <w:kern w:val="0"/>
          <w:sz w:val="24"/>
          <w:szCs w:val="24"/>
          <w:lang w:val="en-US" w:eastAsia="zh-CN" w:bidi="ar"/>
        </w:rPr>
        <w:t xml:space="preserve">，工程距城陵矶约 </w:t>
      </w:r>
      <w:r>
        <w:rPr>
          <w:rFonts w:hint="default" w:ascii="Times New Roman" w:hAnsi="Times New Roman" w:eastAsia="宋体" w:cs="Times New Roman"/>
          <w:color w:val="000000"/>
          <w:kern w:val="0"/>
          <w:sz w:val="24"/>
          <w:szCs w:val="24"/>
          <w:lang w:val="en-US" w:eastAsia="zh-CN" w:bidi="ar"/>
        </w:rPr>
        <w:t xml:space="preserve">12km </w:t>
      </w:r>
      <w:r>
        <w:rPr>
          <w:rFonts w:hint="eastAsia" w:ascii="宋体" w:hAnsi="宋体" w:eastAsia="宋体" w:cs="宋体"/>
          <w:color w:val="000000"/>
          <w:kern w:val="0"/>
          <w:sz w:val="24"/>
          <w:szCs w:val="24"/>
          <w:lang w:val="en-US" w:eastAsia="zh-CN" w:bidi="ar"/>
        </w:rPr>
        <w:t>处。</w:t>
      </w:r>
    </w:p>
    <w:p>
      <w:pPr>
        <w:numPr>
          <w:ilvl w:val="0"/>
          <w:numId w:val="58"/>
        </w:numPr>
        <w:tabs>
          <w:tab w:val="clear" w:pos="720"/>
        </w:tabs>
        <w:ind w:firstLine="480"/>
      </w:pPr>
      <w:r>
        <w:t>行业类别：G5532货运港口</w:t>
      </w:r>
    </w:p>
    <w:p>
      <w:pPr>
        <w:numPr>
          <w:ilvl w:val="0"/>
          <w:numId w:val="58"/>
        </w:numPr>
        <w:tabs>
          <w:tab w:val="clear" w:pos="720"/>
        </w:tabs>
        <w:ind w:firstLine="480"/>
      </w:pPr>
      <w:r>
        <w:t>项目投资：总投资为124725.11万元。</w:t>
      </w:r>
    </w:p>
    <w:p>
      <w:pPr>
        <w:numPr>
          <w:ilvl w:val="0"/>
          <w:numId w:val="58"/>
        </w:numPr>
        <w:tabs>
          <w:tab w:val="clear" w:pos="720"/>
        </w:tabs>
        <w:ind w:firstLine="480"/>
      </w:pPr>
      <w:r>
        <w:t>建设规模：本</w:t>
      </w:r>
      <w:r>
        <w:rPr>
          <w:rFonts w:hint="eastAsia"/>
        </w:rPr>
        <w:t>工程拟建6个泊位及相应的配套设施，水工建筑物包括码头平台、引桥及皮带机廊道等，陆域</w:t>
      </w:r>
      <w:r>
        <w:rPr>
          <w:rFonts w:hint="eastAsia"/>
          <w:kern w:val="0"/>
          <w:szCs w:val="20"/>
        </w:rPr>
        <w:t>布置散货仓库、堆场、综合楼等辅助设置</w:t>
      </w:r>
      <w:r>
        <w:rPr>
          <w:rFonts w:hint="eastAsia"/>
        </w:rPr>
        <w:t>。工程占用长江岸线长度840m。1#~5#泊位为10000吨级泊位，6#泊位为5000吨级泊位，水工结构均按靠泊15000吨级船舶设计。设计货物年吞吐量为16</w:t>
      </w:r>
      <w:r>
        <w:t>6</w:t>
      </w:r>
      <w:r>
        <w:rPr>
          <w:rFonts w:hint="eastAsia"/>
        </w:rPr>
        <w:t>0万吨，</w:t>
      </w:r>
      <w:r>
        <w:t>其中散货进口1200万吨，散货出口450万吨</w:t>
      </w:r>
      <w:r>
        <w:rPr>
          <w:rFonts w:hint="eastAsia"/>
        </w:rPr>
        <w:t>，</w:t>
      </w:r>
      <w:r>
        <w:t>防汛物资</w:t>
      </w:r>
      <w:r>
        <w:rPr>
          <w:rFonts w:hint="eastAsia"/>
        </w:rPr>
        <w:t>（件杂货）1</w:t>
      </w:r>
      <w:r>
        <w:t>0万吨</w:t>
      </w:r>
      <w:r>
        <w:rPr>
          <w:rFonts w:hint="eastAsia"/>
          <w:lang w:eastAsia="zh-CN"/>
        </w:rPr>
        <w:t>，</w:t>
      </w:r>
      <w:r>
        <w:rPr>
          <w:rFonts w:hint="eastAsia"/>
        </w:rPr>
        <w:t>工程占地面积</w:t>
      </w:r>
      <w:r>
        <w:rPr>
          <w:rFonts w:hint="eastAsia"/>
          <w:lang w:val="en-US" w:eastAsia="zh-CN"/>
        </w:rPr>
        <w:t>288.3</w:t>
      </w:r>
      <w:r>
        <w:t>亩</w:t>
      </w:r>
      <w:r>
        <w:rPr>
          <w:rFonts w:hint="eastAsia"/>
        </w:rPr>
        <w:t>。</w:t>
      </w:r>
    </w:p>
    <w:p>
      <w:pPr>
        <w:numPr>
          <w:ilvl w:val="0"/>
          <w:numId w:val="58"/>
        </w:numPr>
        <w:tabs>
          <w:tab w:val="clear" w:pos="720"/>
        </w:tabs>
        <w:ind w:firstLine="480"/>
      </w:pPr>
      <w:r>
        <w:t>建设标准：码头水工建筑物等级</w:t>
      </w:r>
      <w:r>
        <w:rPr>
          <w:rFonts w:hint="eastAsia"/>
        </w:rPr>
        <w:t>为</w:t>
      </w:r>
      <w:r>
        <w:t>Ⅱ级</w:t>
      </w:r>
      <w:r>
        <w:rPr>
          <w:rFonts w:hint="eastAsia"/>
        </w:rPr>
        <w:t>，</w:t>
      </w:r>
      <w:r>
        <w:t>码头受淹损失类别</w:t>
      </w:r>
      <w:r>
        <w:rPr>
          <w:rFonts w:hint="eastAsia"/>
        </w:rPr>
        <w:t>为</w:t>
      </w:r>
      <w:r>
        <w:t>二类</w:t>
      </w:r>
      <w:r>
        <w:rPr>
          <w:rFonts w:hint="eastAsia"/>
        </w:rPr>
        <w:t>，</w:t>
      </w:r>
      <w:r>
        <w:t>水工建筑物设计使用年限50年。</w:t>
      </w:r>
    </w:p>
    <w:p>
      <w:pPr>
        <w:numPr>
          <w:ilvl w:val="0"/>
          <w:numId w:val="58"/>
        </w:numPr>
        <w:tabs>
          <w:tab w:val="clear" w:pos="720"/>
        </w:tabs>
        <w:ind w:firstLine="480"/>
      </w:pPr>
      <w:r>
        <w:t>工程货运量</w:t>
      </w:r>
      <w:r>
        <w:rPr>
          <w:rFonts w:hint="eastAsia"/>
        </w:rPr>
        <w:t>：</w:t>
      </w:r>
      <w:r>
        <w:t>根据工可报告，岳阳港道仁矶码头工程到2028年拟承担货运吞吐量1660万吨，其中进口1210万吨，出口450万吨。包括：砂石吞吐量1200万吨，其中进口950万吨，出口250万吨；铁矿石200万吨，其中进口150万吨，出口50万吨；水泥进口80万吨；非金属矿石出口150万吨；其他散货进口20万吨；防汛物资进口10万吨。岳阳港道仁矶码头工程吞吐量和货物流向统计见下表</w:t>
      </w:r>
      <w:r>
        <w:rPr>
          <w:rFonts w:hint="eastAsia"/>
        </w:rPr>
        <w:t>。</w:t>
      </w:r>
    </w:p>
    <w:p>
      <w:pPr>
        <w:tabs>
          <w:tab w:val="left" w:pos="720"/>
        </w:tabs>
        <w:ind w:firstLine="0" w:firstLineChars="0"/>
      </w:pPr>
      <w:r>
        <w:br w:type="page"/>
      </w:r>
    </w:p>
    <w:p>
      <w:pPr>
        <w:pStyle w:val="2285"/>
        <w:ind w:left="0"/>
        <w:rPr>
          <w:rFonts w:cs="Times New Roman"/>
        </w:rPr>
      </w:pPr>
      <w:r>
        <w:rPr>
          <w:rFonts w:cs="Times New Roman"/>
        </w:rPr>
        <w:t>道仁矶通用码头货运量预测汇总表（2028年）</w:t>
      </w:r>
    </w:p>
    <w:tbl>
      <w:tblPr>
        <w:tblStyle w:val="8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79"/>
        <w:gridCol w:w="2473"/>
        <w:gridCol w:w="770"/>
        <w:gridCol w:w="770"/>
        <w:gridCol w:w="3859"/>
        <w:gridCol w:w="8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1644" w:type="pct"/>
            <w:gridSpan w:val="2"/>
            <w:shd w:val="clear" w:color="auto" w:fill="auto"/>
            <w:vAlign w:val="center"/>
          </w:tcPr>
          <w:p>
            <w:pPr>
              <w:tabs>
                <w:tab w:val="clear" w:pos="480"/>
              </w:tabs>
              <w:spacing w:line="240" w:lineRule="auto"/>
              <w:ind w:firstLine="0" w:firstLineChars="0"/>
              <w:jc w:val="center"/>
              <w:rPr>
                <w:b/>
                <w:kern w:val="0"/>
                <w:sz w:val="21"/>
                <w:szCs w:val="22"/>
              </w:rPr>
            </w:pPr>
            <w:r>
              <w:rPr>
                <w:b/>
                <w:kern w:val="0"/>
                <w:sz w:val="21"/>
                <w:szCs w:val="22"/>
              </w:rPr>
              <w:t>货种</w:t>
            </w:r>
          </w:p>
        </w:tc>
        <w:tc>
          <w:tcPr>
            <w:tcW w:w="415" w:type="pct"/>
            <w:shd w:val="clear" w:color="auto" w:fill="auto"/>
            <w:vAlign w:val="center"/>
          </w:tcPr>
          <w:p>
            <w:pPr>
              <w:tabs>
                <w:tab w:val="clear" w:pos="480"/>
              </w:tabs>
              <w:spacing w:line="240" w:lineRule="auto"/>
              <w:ind w:firstLine="0" w:firstLineChars="0"/>
              <w:jc w:val="center"/>
              <w:rPr>
                <w:b/>
                <w:kern w:val="0"/>
                <w:sz w:val="21"/>
                <w:szCs w:val="22"/>
              </w:rPr>
            </w:pPr>
            <w:r>
              <w:rPr>
                <w:b/>
                <w:kern w:val="0"/>
                <w:sz w:val="21"/>
                <w:szCs w:val="22"/>
              </w:rPr>
              <w:t>进口</w:t>
            </w:r>
          </w:p>
        </w:tc>
        <w:tc>
          <w:tcPr>
            <w:tcW w:w="415" w:type="pct"/>
            <w:shd w:val="clear" w:color="auto" w:fill="auto"/>
            <w:vAlign w:val="center"/>
          </w:tcPr>
          <w:p>
            <w:pPr>
              <w:tabs>
                <w:tab w:val="clear" w:pos="480"/>
              </w:tabs>
              <w:spacing w:line="240" w:lineRule="auto"/>
              <w:ind w:firstLine="0" w:firstLineChars="0"/>
              <w:jc w:val="center"/>
              <w:rPr>
                <w:b/>
                <w:kern w:val="0"/>
                <w:sz w:val="21"/>
                <w:szCs w:val="22"/>
              </w:rPr>
            </w:pPr>
            <w:r>
              <w:rPr>
                <w:b/>
                <w:kern w:val="0"/>
                <w:sz w:val="21"/>
                <w:szCs w:val="22"/>
              </w:rPr>
              <w:t>出口</w:t>
            </w:r>
          </w:p>
        </w:tc>
        <w:tc>
          <w:tcPr>
            <w:tcW w:w="2524" w:type="pct"/>
            <w:gridSpan w:val="2"/>
            <w:shd w:val="clear" w:color="auto" w:fill="auto"/>
            <w:vAlign w:val="center"/>
          </w:tcPr>
          <w:p>
            <w:pPr>
              <w:tabs>
                <w:tab w:val="clear" w:pos="480"/>
              </w:tabs>
              <w:spacing w:line="240" w:lineRule="auto"/>
              <w:ind w:firstLine="0" w:firstLineChars="0"/>
              <w:jc w:val="center"/>
              <w:rPr>
                <w:b/>
                <w:kern w:val="0"/>
                <w:sz w:val="21"/>
                <w:szCs w:val="22"/>
              </w:rPr>
            </w:pPr>
            <w:r>
              <w:rPr>
                <w:b/>
                <w:kern w:val="0"/>
                <w:sz w:val="21"/>
                <w:szCs w:val="22"/>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2" w:type="pct"/>
            <w:vMerge w:val="restart"/>
            <w:shd w:val="clear" w:color="auto" w:fill="auto"/>
            <w:vAlign w:val="center"/>
          </w:tcPr>
          <w:p>
            <w:pPr>
              <w:tabs>
                <w:tab w:val="clear" w:pos="480"/>
              </w:tabs>
              <w:spacing w:line="240" w:lineRule="auto"/>
              <w:ind w:firstLine="0" w:firstLineChars="0"/>
              <w:jc w:val="center"/>
              <w:rPr>
                <w:b/>
                <w:kern w:val="0"/>
                <w:sz w:val="21"/>
                <w:szCs w:val="22"/>
              </w:rPr>
            </w:pPr>
            <w:r>
              <w:rPr>
                <w:b/>
                <w:kern w:val="0"/>
                <w:sz w:val="21"/>
                <w:szCs w:val="22"/>
              </w:rPr>
              <w:t>散货</w:t>
            </w:r>
          </w:p>
        </w:tc>
        <w:tc>
          <w:tcPr>
            <w:tcW w:w="1331" w:type="pct"/>
            <w:shd w:val="clear" w:color="auto" w:fill="auto"/>
            <w:vAlign w:val="center"/>
          </w:tcPr>
          <w:p>
            <w:pPr>
              <w:tabs>
                <w:tab w:val="clear" w:pos="480"/>
              </w:tabs>
              <w:spacing w:line="240" w:lineRule="auto"/>
              <w:ind w:firstLine="0" w:firstLineChars="0"/>
              <w:jc w:val="center"/>
              <w:rPr>
                <w:b/>
                <w:kern w:val="0"/>
                <w:sz w:val="21"/>
                <w:szCs w:val="22"/>
              </w:rPr>
            </w:pPr>
            <w:r>
              <w:rPr>
                <w:b/>
                <w:kern w:val="0"/>
                <w:sz w:val="21"/>
                <w:szCs w:val="22"/>
              </w:rPr>
              <w:t>小计</w:t>
            </w:r>
          </w:p>
        </w:tc>
        <w:tc>
          <w:tcPr>
            <w:tcW w:w="415" w:type="pct"/>
            <w:shd w:val="clear" w:color="auto" w:fill="auto"/>
            <w:vAlign w:val="center"/>
          </w:tcPr>
          <w:p>
            <w:pPr>
              <w:tabs>
                <w:tab w:val="clear" w:pos="480"/>
              </w:tabs>
              <w:spacing w:line="240" w:lineRule="auto"/>
              <w:ind w:firstLine="0" w:firstLineChars="0"/>
              <w:jc w:val="center"/>
              <w:rPr>
                <w:b/>
                <w:kern w:val="0"/>
                <w:sz w:val="21"/>
                <w:szCs w:val="22"/>
              </w:rPr>
            </w:pPr>
            <w:r>
              <w:rPr>
                <w:b/>
                <w:kern w:val="0"/>
                <w:sz w:val="21"/>
                <w:szCs w:val="22"/>
              </w:rPr>
              <w:t>1200</w:t>
            </w:r>
          </w:p>
        </w:tc>
        <w:tc>
          <w:tcPr>
            <w:tcW w:w="415" w:type="pct"/>
            <w:shd w:val="clear" w:color="auto" w:fill="auto"/>
            <w:vAlign w:val="center"/>
          </w:tcPr>
          <w:p>
            <w:pPr>
              <w:tabs>
                <w:tab w:val="clear" w:pos="480"/>
              </w:tabs>
              <w:spacing w:line="240" w:lineRule="auto"/>
              <w:ind w:firstLine="0" w:firstLineChars="0"/>
              <w:jc w:val="center"/>
              <w:rPr>
                <w:b/>
                <w:kern w:val="0"/>
                <w:sz w:val="21"/>
                <w:szCs w:val="22"/>
              </w:rPr>
            </w:pPr>
            <w:r>
              <w:rPr>
                <w:b/>
                <w:kern w:val="0"/>
                <w:sz w:val="21"/>
                <w:szCs w:val="22"/>
              </w:rPr>
              <w:t>450</w:t>
            </w:r>
          </w:p>
        </w:tc>
        <w:tc>
          <w:tcPr>
            <w:tcW w:w="2079" w:type="pct"/>
            <w:shd w:val="clear" w:color="auto" w:fill="auto"/>
            <w:vAlign w:val="center"/>
          </w:tcPr>
          <w:p>
            <w:pPr>
              <w:tabs>
                <w:tab w:val="clear" w:pos="480"/>
              </w:tabs>
              <w:spacing w:line="240" w:lineRule="auto"/>
              <w:ind w:firstLine="0" w:firstLineChars="0"/>
              <w:jc w:val="center"/>
              <w:rPr>
                <w:kern w:val="0"/>
                <w:sz w:val="21"/>
                <w:szCs w:val="22"/>
              </w:rPr>
            </w:pPr>
          </w:p>
        </w:tc>
        <w:tc>
          <w:tcPr>
            <w:tcW w:w="445" w:type="pct"/>
            <w:shd w:val="clear" w:color="auto" w:fill="auto"/>
            <w:vAlign w:val="center"/>
          </w:tcPr>
          <w:p>
            <w:pPr>
              <w:tabs>
                <w:tab w:val="clear" w:pos="480"/>
              </w:tabs>
              <w:spacing w:line="240" w:lineRule="auto"/>
              <w:ind w:firstLine="0" w:firstLineChars="0"/>
              <w:jc w:val="center"/>
              <w:rPr>
                <w:kern w:val="0"/>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2" w:type="pct"/>
            <w:vMerge w:val="continue"/>
            <w:shd w:val="clear" w:color="auto" w:fill="auto"/>
            <w:vAlign w:val="center"/>
          </w:tcPr>
          <w:p>
            <w:pPr>
              <w:tabs>
                <w:tab w:val="clear" w:pos="480"/>
              </w:tabs>
              <w:spacing w:line="240" w:lineRule="auto"/>
              <w:ind w:firstLine="0" w:firstLineChars="0"/>
              <w:rPr>
                <w:kern w:val="0"/>
                <w:sz w:val="21"/>
                <w:szCs w:val="22"/>
              </w:rPr>
            </w:pPr>
          </w:p>
        </w:tc>
        <w:tc>
          <w:tcPr>
            <w:tcW w:w="1331" w:type="pct"/>
            <w:shd w:val="clear" w:color="auto" w:fill="auto"/>
            <w:vAlign w:val="center"/>
          </w:tcPr>
          <w:p>
            <w:pPr>
              <w:tabs>
                <w:tab w:val="clear" w:pos="480"/>
              </w:tabs>
              <w:spacing w:line="240" w:lineRule="auto"/>
              <w:ind w:firstLine="0" w:firstLineChars="0"/>
              <w:rPr>
                <w:b/>
                <w:kern w:val="0"/>
                <w:sz w:val="21"/>
                <w:szCs w:val="22"/>
              </w:rPr>
            </w:pPr>
            <w:r>
              <w:rPr>
                <w:b/>
                <w:kern w:val="0"/>
                <w:sz w:val="21"/>
                <w:szCs w:val="22"/>
              </w:rPr>
              <w:t>一、砂石</w:t>
            </w:r>
          </w:p>
        </w:tc>
        <w:tc>
          <w:tcPr>
            <w:tcW w:w="415" w:type="pct"/>
            <w:shd w:val="clear" w:color="auto" w:fill="auto"/>
            <w:vAlign w:val="center"/>
          </w:tcPr>
          <w:p>
            <w:pPr>
              <w:tabs>
                <w:tab w:val="clear" w:pos="480"/>
              </w:tabs>
              <w:spacing w:line="240" w:lineRule="auto"/>
              <w:ind w:firstLine="0" w:firstLineChars="0"/>
              <w:jc w:val="center"/>
              <w:rPr>
                <w:b/>
                <w:kern w:val="0"/>
                <w:sz w:val="21"/>
                <w:szCs w:val="22"/>
              </w:rPr>
            </w:pPr>
            <w:r>
              <w:rPr>
                <w:b/>
                <w:kern w:val="0"/>
                <w:sz w:val="21"/>
                <w:szCs w:val="22"/>
              </w:rPr>
              <w:t>950</w:t>
            </w:r>
          </w:p>
        </w:tc>
        <w:tc>
          <w:tcPr>
            <w:tcW w:w="415" w:type="pct"/>
            <w:shd w:val="clear" w:color="auto" w:fill="auto"/>
            <w:vAlign w:val="center"/>
          </w:tcPr>
          <w:p>
            <w:pPr>
              <w:tabs>
                <w:tab w:val="clear" w:pos="480"/>
              </w:tabs>
              <w:spacing w:line="240" w:lineRule="auto"/>
              <w:ind w:firstLine="0" w:firstLineChars="0"/>
              <w:jc w:val="center"/>
              <w:rPr>
                <w:b/>
                <w:kern w:val="0"/>
                <w:sz w:val="21"/>
                <w:szCs w:val="22"/>
              </w:rPr>
            </w:pPr>
            <w:r>
              <w:rPr>
                <w:b/>
                <w:kern w:val="0"/>
                <w:sz w:val="21"/>
                <w:szCs w:val="22"/>
              </w:rPr>
              <w:t>250</w:t>
            </w:r>
          </w:p>
        </w:tc>
        <w:tc>
          <w:tcPr>
            <w:tcW w:w="2079" w:type="pct"/>
            <w:shd w:val="clear" w:color="auto" w:fill="auto"/>
            <w:vAlign w:val="center"/>
          </w:tcPr>
          <w:p>
            <w:pPr>
              <w:tabs>
                <w:tab w:val="clear" w:pos="480"/>
              </w:tabs>
              <w:spacing w:line="240" w:lineRule="auto"/>
              <w:ind w:firstLine="0" w:firstLineChars="0"/>
              <w:jc w:val="center"/>
              <w:rPr>
                <w:kern w:val="0"/>
                <w:sz w:val="21"/>
                <w:szCs w:val="22"/>
              </w:rPr>
            </w:pPr>
          </w:p>
        </w:tc>
        <w:tc>
          <w:tcPr>
            <w:tcW w:w="445" w:type="pct"/>
            <w:shd w:val="clear" w:color="auto" w:fill="auto"/>
            <w:vAlign w:val="center"/>
          </w:tcPr>
          <w:p>
            <w:pPr>
              <w:tabs>
                <w:tab w:val="clear" w:pos="480"/>
              </w:tabs>
              <w:spacing w:line="240" w:lineRule="auto"/>
              <w:ind w:firstLine="0" w:firstLineChars="0"/>
              <w:jc w:val="center"/>
              <w:rPr>
                <w:kern w:val="0"/>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2" w:type="pct"/>
            <w:vMerge w:val="continue"/>
            <w:shd w:val="clear" w:color="auto" w:fill="auto"/>
            <w:vAlign w:val="center"/>
          </w:tcPr>
          <w:p>
            <w:pPr>
              <w:tabs>
                <w:tab w:val="clear" w:pos="480"/>
              </w:tabs>
              <w:spacing w:line="240" w:lineRule="auto"/>
              <w:ind w:firstLine="0" w:firstLineChars="0"/>
              <w:rPr>
                <w:kern w:val="0"/>
                <w:sz w:val="21"/>
                <w:szCs w:val="22"/>
              </w:rPr>
            </w:pPr>
          </w:p>
        </w:tc>
        <w:tc>
          <w:tcPr>
            <w:tcW w:w="1331"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本地砼加工用骨料</w:t>
            </w:r>
          </w:p>
        </w:tc>
        <w:tc>
          <w:tcPr>
            <w:tcW w:w="415"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600</w:t>
            </w:r>
          </w:p>
        </w:tc>
        <w:tc>
          <w:tcPr>
            <w:tcW w:w="415" w:type="pct"/>
            <w:shd w:val="clear" w:color="auto" w:fill="auto"/>
            <w:vAlign w:val="center"/>
          </w:tcPr>
          <w:p>
            <w:pPr>
              <w:tabs>
                <w:tab w:val="clear" w:pos="480"/>
              </w:tabs>
              <w:spacing w:line="240" w:lineRule="auto"/>
              <w:ind w:firstLine="0" w:firstLineChars="0"/>
              <w:jc w:val="center"/>
              <w:rPr>
                <w:kern w:val="0"/>
                <w:sz w:val="21"/>
                <w:szCs w:val="22"/>
              </w:rPr>
            </w:pPr>
          </w:p>
        </w:tc>
        <w:tc>
          <w:tcPr>
            <w:tcW w:w="2079"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岳阳市年需砂石</w:t>
            </w:r>
          </w:p>
        </w:tc>
        <w:tc>
          <w:tcPr>
            <w:tcW w:w="445"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服务产业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2" w:type="pct"/>
            <w:vMerge w:val="continue"/>
            <w:shd w:val="clear" w:color="auto" w:fill="auto"/>
            <w:vAlign w:val="center"/>
          </w:tcPr>
          <w:p>
            <w:pPr>
              <w:tabs>
                <w:tab w:val="clear" w:pos="480"/>
              </w:tabs>
              <w:spacing w:line="240" w:lineRule="auto"/>
              <w:ind w:firstLine="0" w:firstLineChars="0"/>
              <w:rPr>
                <w:kern w:val="0"/>
                <w:sz w:val="21"/>
                <w:szCs w:val="22"/>
              </w:rPr>
            </w:pPr>
          </w:p>
        </w:tc>
        <w:tc>
          <w:tcPr>
            <w:tcW w:w="1331"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防汛用砂石料</w:t>
            </w:r>
          </w:p>
        </w:tc>
        <w:tc>
          <w:tcPr>
            <w:tcW w:w="415"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100</w:t>
            </w:r>
          </w:p>
        </w:tc>
        <w:tc>
          <w:tcPr>
            <w:tcW w:w="415" w:type="pct"/>
            <w:shd w:val="clear" w:color="auto" w:fill="auto"/>
            <w:vAlign w:val="center"/>
          </w:tcPr>
          <w:p>
            <w:pPr>
              <w:tabs>
                <w:tab w:val="clear" w:pos="480"/>
              </w:tabs>
              <w:spacing w:line="240" w:lineRule="auto"/>
              <w:ind w:firstLine="0" w:firstLineChars="0"/>
              <w:jc w:val="center"/>
              <w:rPr>
                <w:kern w:val="0"/>
                <w:sz w:val="21"/>
                <w:szCs w:val="22"/>
              </w:rPr>
            </w:pPr>
          </w:p>
        </w:tc>
        <w:tc>
          <w:tcPr>
            <w:tcW w:w="2079"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应急保障库存</w:t>
            </w:r>
          </w:p>
        </w:tc>
        <w:tc>
          <w:tcPr>
            <w:tcW w:w="445" w:type="pct"/>
            <w:vMerge w:val="restar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服务物流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2" w:type="pct"/>
            <w:vMerge w:val="continue"/>
            <w:shd w:val="clear" w:color="auto" w:fill="auto"/>
            <w:vAlign w:val="center"/>
          </w:tcPr>
          <w:p>
            <w:pPr>
              <w:tabs>
                <w:tab w:val="clear" w:pos="480"/>
              </w:tabs>
              <w:spacing w:line="240" w:lineRule="auto"/>
              <w:ind w:firstLine="0" w:firstLineChars="0"/>
              <w:rPr>
                <w:kern w:val="0"/>
                <w:sz w:val="21"/>
                <w:szCs w:val="22"/>
              </w:rPr>
            </w:pPr>
          </w:p>
        </w:tc>
        <w:tc>
          <w:tcPr>
            <w:tcW w:w="1331"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全省机制砂中转</w:t>
            </w:r>
          </w:p>
          <w:p>
            <w:pPr>
              <w:tabs>
                <w:tab w:val="clear" w:pos="480"/>
              </w:tabs>
              <w:spacing w:line="240" w:lineRule="auto"/>
              <w:ind w:firstLine="0" w:firstLineChars="0"/>
              <w:jc w:val="center"/>
              <w:rPr>
                <w:kern w:val="0"/>
                <w:sz w:val="21"/>
                <w:szCs w:val="22"/>
              </w:rPr>
            </w:pPr>
            <w:r>
              <w:rPr>
                <w:kern w:val="0"/>
                <w:sz w:val="21"/>
                <w:szCs w:val="22"/>
              </w:rPr>
              <w:t>（水水中转）</w:t>
            </w:r>
          </w:p>
        </w:tc>
        <w:tc>
          <w:tcPr>
            <w:tcW w:w="415"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200</w:t>
            </w:r>
          </w:p>
        </w:tc>
        <w:tc>
          <w:tcPr>
            <w:tcW w:w="415"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200</w:t>
            </w:r>
          </w:p>
        </w:tc>
        <w:tc>
          <w:tcPr>
            <w:tcW w:w="2079"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澧水、湘江上游外销的机制砂</w:t>
            </w:r>
          </w:p>
        </w:tc>
        <w:tc>
          <w:tcPr>
            <w:tcW w:w="445" w:type="pct"/>
            <w:vMerge w:val="continue"/>
            <w:shd w:val="clear" w:color="auto" w:fill="auto"/>
            <w:vAlign w:val="center"/>
          </w:tcPr>
          <w:p>
            <w:pPr>
              <w:tabs>
                <w:tab w:val="clear" w:pos="480"/>
              </w:tabs>
              <w:spacing w:line="240" w:lineRule="auto"/>
              <w:ind w:firstLine="0" w:firstLineChars="0"/>
              <w:jc w:val="center"/>
              <w:rPr>
                <w:kern w:val="0"/>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2" w:type="pct"/>
            <w:vMerge w:val="continue"/>
            <w:shd w:val="clear" w:color="auto" w:fill="auto"/>
            <w:vAlign w:val="center"/>
          </w:tcPr>
          <w:p>
            <w:pPr>
              <w:tabs>
                <w:tab w:val="clear" w:pos="480"/>
              </w:tabs>
              <w:spacing w:line="240" w:lineRule="auto"/>
              <w:ind w:firstLine="0" w:firstLineChars="0"/>
              <w:rPr>
                <w:kern w:val="0"/>
                <w:sz w:val="21"/>
                <w:szCs w:val="22"/>
              </w:rPr>
            </w:pPr>
          </w:p>
        </w:tc>
        <w:tc>
          <w:tcPr>
            <w:tcW w:w="1331"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少量河砂中转</w:t>
            </w:r>
          </w:p>
          <w:p>
            <w:pPr>
              <w:tabs>
                <w:tab w:val="clear" w:pos="480"/>
              </w:tabs>
              <w:spacing w:line="240" w:lineRule="auto"/>
              <w:ind w:firstLine="0" w:firstLineChars="0"/>
              <w:jc w:val="center"/>
              <w:rPr>
                <w:kern w:val="0"/>
                <w:sz w:val="21"/>
                <w:szCs w:val="22"/>
              </w:rPr>
            </w:pPr>
            <w:r>
              <w:rPr>
                <w:kern w:val="0"/>
                <w:sz w:val="21"/>
                <w:szCs w:val="22"/>
              </w:rPr>
              <w:t>（水水中转）</w:t>
            </w:r>
          </w:p>
        </w:tc>
        <w:tc>
          <w:tcPr>
            <w:tcW w:w="415"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50</w:t>
            </w:r>
          </w:p>
        </w:tc>
        <w:tc>
          <w:tcPr>
            <w:tcW w:w="415"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50</w:t>
            </w:r>
          </w:p>
        </w:tc>
        <w:tc>
          <w:tcPr>
            <w:tcW w:w="2079"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少量水砂外销</w:t>
            </w:r>
          </w:p>
        </w:tc>
        <w:tc>
          <w:tcPr>
            <w:tcW w:w="445" w:type="pct"/>
            <w:vMerge w:val="continue"/>
            <w:shd w:val="clear" w:color="auto" w:fill="auto"/>
            <w:vAlign w:val="center"/>
          </w:tcPr>
          <w:p>
            <w:pPr>
              <w:tabs>
                <w:tab w:val="clear" w:pos="480"/>
              </w:tabs>
              <w:spacing w:line="240" w:lineRule="auto"/>
              <w:ind w:firstLine="0" w:firstLineChars="0"/>
              <w:jc w:val="center"/>
              <w:rPr>
                <w:kern w:val="0"/>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2" w:type="pct"/>
            <w:vMerge w:val="continue"/>
            <w:shd w:val="clear" w:color="auto" w:fill="auto"/>
            <w:vAlign w:val="center"/>
          </w:tcPr>
          <w:p>
            <w:pPr>
              <w:tabs>
                <w:tab w:val="clear" w:pos="480"/>
              </w:tabs>
              <w:spacing w:line="240" w:lineRule="auto"/>
              <w:ind w:firstLine="0" w:firstLineChars="0"/>
              <w:rPr>
                <w:kern w:val="0"/>
                <w:sz w:val="21"/>
                <w:szCs w:val="22"/>
              </w:rPr>
            </w:pPr>
          </w:p>
        </w:tc>
        <w:tc>
          <w:tcPr>
            <w:tcW w:w="1331" w:type="pct"/>
            <w:shd w:val="clear" w:color="auto" w:fill="auto"/>
            <w:vAlign w:val="center"/>
          </w:tcPr>
          <w:p>
            <w:pPr>
              <w:tabs>
                <w:tab w:val="clear" w:pos="480"/>
              </w:tabs>
              <w:spacing w:line="240" w:lineRule="auto"/>
              <w:ind w:firstLine="0" w:firstLineChars="0"/>
              <w:rPr>
                <w:b/>
                <w:kern w:val="0"/>
                <w:sz w:val="21"/>
                <w:szCs w:val="22"/>
              </w:rPr>
            </w:pPr>
            <w:r>
              <w:rPr>
                <w:b/>
                <w:kern w:val="0"/>
                <w:sz w:val="21"/>
                <w:szCs w:val="22"/>
              </w:rPr>
              <w:t>二、铁矿石</w:t>
            </w:r>
          </w:p>
        </w:tc>
        <w:tc>
          <w:tcPr>
            <w:tcW w:w="415" w:type="pct"/>
            <w:shd w:val="clear" w:color="auto" w:fill="auto"/>
            <w:vAlign w:val="center"/>
          </w:tcPr>
          <w:p>
            <w:pPr>
              <w:tabs>
                <w:tab w:val="clear" w:pos="480"/>
              </w:tabs>
              <w:spacing w:line="240" w:lineRule="auto"/>
              <w:ind w:firstLine="0" w:firstLineChars="0"/>
              <w:jc w:val="center"/>
              <w:rPr>
                <w:b/>
                <w:kern w:val="0"/>
                <w:sz w:val="21"/>
                <w:szCs w:val="22"/>
              </w:rPr>
            </w:pPr>
            <w:r>
              <w:rPr>
                <w:b/>
                <w:kern w:val="0"/>
                <w:sz w:val="21"/>
                <w:szCs w:val="22"/>
              </w:rPr>
              <w:t>150</w:t>
            </w:r>
          </w:p>
        </w:tc>
        <w:tc>
          <w:tcPr>
            <w:tcW w:w="415" w:type="pct"/>
            <w:shd w:val="clear" w:color="auto" w:fill="auto"/>
            <w:vAlign w:val="center"/>
          </w:tcPr>
          <w:p>
            <w:pPr>
              <w:tabs>
                <w:tab w:val="clear" w:pos="480"/>
              </w:tabs>
              <w:spacing w:line="240" w:lineRule="auto"/>
              <w:ind w:firstLine="0" w:firstLineChars="0"/>
              <w:jc w:val="center"/>
              <w:rPr>
                <w:b/>
                <w:kern w:val="0"/>
                <w:sz w:val="21"/>
                <w:szCs w:val="22"/>
              </w:rPr>
            </w:pPr>
            <w:r>
              <w:rPr>
                <w:b/>
                <w:kern w:val="0"/>
                <w:sz w:val="21"/>
                <w:szCs w:val="22"/>
              </w:rPr>
              <w:t>50</w:t>
            </w:r>
          </w:p>
        </w:tc>
        <w:tc>
          <w:tcPr>
            <w:tcW w:w="2079" w:type="pct"/>
            <w:shd w:val="clear" w:color="auto" w:fill="auto"/>
            <w:vAlign w:val="center"/>
          </w:tcPr>
          <w:p>
            <w:pPr>
              <w:tabs>
                <w:tab w:val="clear" w:pos="480"/>
              </w:tabs>
              <w:spacing w:line="240" w:lineRule="auto"/>
              <w:ind w:firstLine="0" w:firstLineChars="0"/>
              <w:jc w:val="center"/>
              <w:rPr>
                <w:kern w:val="0"/>
                <w:sz w:val="21"/>
                <w:szCs w:val="22"/>
              </w:rPr>
            </w:pPr>
          </w:p>
        </w:tc>
        <w:tc>
          <w:tcPr>
            <w:tcW w:w="445" w:type="pct"/>
            <w:vMerge w:val="continue"/>
            <w:shd w:val="clear" w:color="auto" w:fill="auto"/>
            <w:vAlign w:val="center"/>
          </w:tcPr>
          <w:p>
            <w:pPr>
              <w:tabs>
                <w:tab w:val="clear" w:pos="480"/>
              </w:tabs>
              <w:spacing w:line="240" w:lineRule="auto"/>
              <w:ind w:firstLine="0" w:firstLineChars="0"/>
              <w:jc w:val="center"/>
              <w:rPr>
                <w:kern w:val="0"/>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2" w:type="pct"/>
            <w:vMerge w:val="continue"/>
            <w:shd w:val="clear" w:color="auto" w:fill="auto"/>
            <w:vAlign w:val="center"/>
          </w:tcPr>
          <w:p>
            <w:pPr>
              <w:tabs>
                <w:tab w:val="clear" w:pos="480"/>
              </w:tabs>
              <w:spacing w:line="240" w:lineRule="auto"/>
              <w:ind w:firstLine="0" w:firstLineChars="0"/>
              <w:rPr>
                <w:kern w:val="0"/>
                <w:sz w:val="21"/>
                <w:szCs w:val="22"/>
              </w:rPr>
            </w:pPr>
          </w:p>
        </w:tc>
        <w:tc>
          <w:tcPr>
            <w:tcW w:w="1331"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水水中转</w:t>
            </w:r>
          </w:p>
        </w:tc>
        <w:tc>
          <w:tcPr>
            <w:tcW w:w="415"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50</w:t>
            </w:r>
          </w:p>
        </w:tc>
        <w:tc>
          <w:tcPr>
            <w:tcW w:w="415"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50</w:t>
            </w:r>
          </w:p>
        </w:tc>
        <w:tc>
          <w:tcPr>
            <w:tcW w:w="2079"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七里山过驳基地规范后外溢量</w:t>
            </w:r>
          </w:p>
        </w:tc>
        <w:tc>
          <w:tcPr>
            <w:tcW w:w="445" w:type="pct"/>
            <w:vMerge w:val="continue"/>
            <w:shd w:val="clear" w:color="auto" w:fill="auto"/>
            <w:vAlign w:val="center"/>
          </w:tcPr>
          <w:p>
            <w:pPr>
              <w:tabs>
                <w:tab w:val="clear" w:pos="480"/>
              </w:tabs>
              <w:spacing w:line="240" w:lineRule="auto"/>
              <w:ind w:firstLine="0" w:firstLineChars="0"/>
              <w:jc w:val="center"/>
              <w:rPr>
                <w:kern w:val="0"/>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2" w:type="pct"/>
            <w:vMerge w:val="continue"/>
            <w:shd w:val="clear" w:color="auto" w:fill="auto"/>
            <w:vAlign w:val="center"/>
          </w:tcPr>
          <w:p>
            <w:pPr>
              <w:tabs>
                <w:tab w:val="clear" w:pos="480"/>
              </w:tabs>
              <w:spacing w:line="240" w:lineRule="auto"/>
              <w:ind w:firstLine="0" w:firstLineChars="0"/>
              <w:rPr>
                <w:kern w:val="0"/>
                <w:sz w:val="21"/>
                <w:szCs w:val="22"/>
              </w:rPr>
            </w:pPr>
          </w:p>
        </w:tc>
        <w:tc>
          <w:tcPr>
            <w:tcW w:w="1331"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水路进口</w:t>
            </w:r>
          </w:p>
        </w:tc>
        <w:tc>
          <w:tcPr>
            <w:tcW w:w="415"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100</w:t>
            </w:r>
          </w:p>
        </w:tc>
        <w:tc>
          <w:tcPr>
            <w:tcW w:w="415" w:type="pct"/>
            <w:shd w:val="clear" w:color="auto" w:fill="auto"/>
            <w:vAlign w:val="center"/>
          </w:tcPr>
          <w:p>
            <w:pPr>
              <w:tabs>
                <w:tab w:val="clear" w:pos="480"/>
              </w:tabs>
              <w:spacing w:line="240" w:lineRule="auto"/>
              <w:ind w:firstLine="0" w:firstLineChars="0"/>
              <w:jc w:val="center"/>
              <w:rPr>
                <w:kern w:val="0"/>
                <w:sz w:val="21"/>
                <w:szCs w:val="22"/>
              </w:rPr>
            </w:pPr>
          </w:p>
        </w:tc>
        <w:tc>
          <w:tcPr>
            <w:tcW w:w="2079"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浩吉铁路反向运力销往陕西等地</w:t>
            </w:r>
          </w:p>
        </w:tc>
        <w:tc>
          <w:tcPr>
            <w:tcW w:w="445" w:type="pct"/>
            <w:vMerge w:val="continue"/>
            <w:shd w:val="clear" w:color="auto" w:fill="auto"/>
            <w:vAlign w:val="center"/>
          </w:tcPr>
          <w:p>
            <w:pPr>
              <w:tabs>
                <w:tab w:val="clear" w:pos="480"/>
              </w:tabs>
              <w:spacing w:line="240" w:lineRule="auto"/>
              <w:ind w:firstLine="0" w:firstLineChars="0"/>
              <w:jc w:val="center"/>
              <w:rPr>
                <w:kern w:val="0"/>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2" w:type="pct"/>
            <w:vMerge w:val="continue"/>
            <w:shd w:val="clear" w:color="auto" w:fill="auto"/>
            <w:vAlign w:val="center"/>
          </w:tcPr>
          <w:p>
            <w:pPr>
              <w:tabs>
                <w:tab w:val="clear" w:pos="480"/>
              </w:tabs>
              <w:spacing w:line="240" w:lineRule="auto"/>
              <w:ind w:firstLine="0" w:firstLineChars="0"/>
              <w:rPr>
                <w:kern w:val="0"/>
                <w:sz w:val="21"/>
                <w:szCs w:val="22"/>
              </w:rPr>
            </w:pPr>
          </w:p>
        </w:tc>
        <w:tc>
          <w:tcPr>
            <w:tcW w:w="1331" w:type="pct"/>
            <w:shd w:val="clear" w:color="auto" w:fill="auto"/>
            <w:vAlign w:val="center"/>
          </w:tcPr>
          <w:p>
            <w:pPr>
              <w:tabs>
                <w:tab w:val="clear" w:pos="480"/>
              </w:tabs>
              <w:spacing w:line="240" w:lineRule="auto"/>
              <w:ind w:firstLine="0" w:firstLineChars="0"/>
              <w:rPr>
                <w:b/>
                <w:kern w:val="0"/>
                <w:sz w:val="21"/>
                <w:szCs w:val="22"/>
              </w:rPr>
            </w:pPr>
            <w:r>
              <w:rPr>
                <w:rFonts w:hint="eastAsia"/>
                <w:b/>
                <w:kern w:val="0"/>
                <w:sz w:val="21"/>
                <w:szCs w:val="22"/>
              </w:rPr>
              <w:t>三</w:t>
            </w:r>
            <w:r>
              <w:rPr>
                <w:b/>
                <w:kern w:val="0"/>
                <w:sz w:val="21"/>
                <w:szCs w:val="22"/>
              </w:rPr>
              <w:t>、水泥</w:t>
            </w:r>
          </w:p>
        </w:tc>
        <w:tc>
          <w:tcPr>
            <w:tcW w:w="415" w:type="pct"/>
            <w:shd w:val="clear" w:color="auto" w:fill="auto"/>
            <w:vAlign w:val="center"/>
          </w:tcPr>
          <w:p>
            <w:pPr>
              <w:tabs>
                <w:tab w:val="clear" w:pos="480"/>
              </w:tabs>
              <w:spacing w:line="240" w:lineRule="auto"/>
              <w:ind w:firstLine="0" w:firstLineChars="0"/>
              <w:jc w:val="center"/>
              <w:rPr>
                <w:b/>
                <w:kern w:val="0"/>
                <w:sz w:val="21"/>
                <w:szCs w:val="22"/>
              </w:rPr>
            </w:pPr>
            <w:r>
              <w:rPr>
                <w:b/>
                <w:kern w:val="0"/>
                <w:sz w:val="21"/>
                <w:szCs w:val="22"/>
              </w:rPr>
              <w:t>80</w:t>
            </w:r>
          </w:p>
        </w:tc>
        <w:tc>
          <w:tcPr>
            <w:tcW w:w="415" w:type="pct"/>
            <w:shd w:val="clear" w:color="auto" w:fill="auto"/>
            <w:vAlign w:val="center"/>
          </w:tcPr>
          <w:p>
            <w:pPr>
              <w:tabs>
                <w:tab w:val="clear" w:pos="480"/>
              </w:tabs>
              <w:spacing w:line="240" w:lineRule="auto"/>
              <w:ind w:firstLine="0" w:firstLineChars="0"/>
              <w:jc w:val="center"/>
              <w:rPr>
                <w:b/>
                <w:kern w:val="0"/>
                <w:sz w:val="21"/>
                <w:szCs w:val="22"/>
              </w:rPr>
            </w:pPr>
          </w:p>
        </w:tc>
        <w:tc>
          <w:tcPr>
            <w:tcW w:w="2079"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后方绿色建材商混站原料</w:t>
            </w:r>
          </w:p>
        </w:tc>
        <w:tc>
          <w:tcPr>
            <w:tcW w:w="445" w:type="pct"/>
            <w:vMerge w:val="continue"/>
            <w:shd w:val="clear" w:color="auto" w:fill="auto"/>
            <w:vAlign w:val="center"/>
          </w:tcPr>
          <w:p>
            <w:pPr>
              <w:tabs>
                <w:tab w:val="clear" w:pos="480"/>
              </w:tabs>
              <w:spacing w:line="240" w:lineRule="auto"/>
              <w:ind w:firstLine="0" w:firstLineChars="0"/>
              <w:jc w:val="center"/>
              <w:rPr>
                <w:kern w:val="0"/>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2" w:type="pct"/>
            <w:vMerge w:val="continue"/>
            <w:shd w:val="clear" w:color="auto" w:fill="auto"/>
            <w:vAlign w:val="center"/>
          </w:tcPr>
          <w:p>
            <w:pPr>
              <w:tabs>
                <w:tab w:val="clear" w:pos="480"/>
              </w:tabs>
              <w:spacing w:line="240" w:lineRule="auto"/>
              <w:ind w:firstLine="0" w:firstLineChars="0"/>
              <w:rPr>
                <w:kern w:val="0"/>
                <w:sz w:val="21"/>
                <w:szCs w:val="22"/>
              </w:rPr>
            </w:pPr>
          </w:p>
        </w:tc>
        <w:tc>
          <w:tcPr>
            <w:tcW w:w="1331" w:type="pct"/>
            <w:shd w:val="clear" w:color="auto" w:fill="auto"/>
            <w:vAlign w:val="center"/>
          </w:tcPr>
          <w:p>
            <w:pPr>
              <w:tabs>
                <w:tab w:val="clear" w:pos="480"/>
              </w:tabs>
              <w:spacing w:line="240" w:lineRule="auto"/>
              <w:ind w:firstLine="0" w:firstLineChars="0"/>
              <w:rPr>
                <w:b/>
                <w:kern w:val="0"/>
                <w:sz w:val="21"/>
                <w:szCs w:val="22"/>
              </w:rPr>
            </w:pPr>
            <w:r>
              <w:rPr>
                <w:rFonts w:hint="eastAsia"/>
                <w:b/>
                <w:kern w:val="0"/>
                <w:sz w:val="21"/>
                <w:szCs w:val="22"/>
              </w:rPr>
              <w:t>四</w:t>
            </w:r>
            <w:r>
              <w:rPr>
                <w:b/>
                <w:kern w:val="0"/>
                <w:sz w:val="21"/>
                <w:szCs w:val="22"/>
              </w:rPr>
              <w:t>、非金属矿石</w:t>
            </w:r>
          </w:p>
        </w:tc>
        <w:tc>
          <w:tcPr>
            <w:tcW w:w="415" w:type="pct"/>
            <w:shd w:val="clear" w:color="auto" w:fill="auto"/>
            <w:vAlign w:val="center"/>
          </w:tcPr>
          <w:p>
            <w:pPr>
              <w:tabs>
                <w:tab w:val="clear" w:pos="480"/>
              </w:tabs>
              <w:spacing w:line="240" w:lineRule="auto"/>
              <w:ind w:firstLine="0" w:firstLineChars="0"/>
              <w:jc w:val="center"/>
              <w:rPr>
                <w:b/>
                <w:kern w:val="0"/>
                <w:sz w:val="21"/>
                <w:szCs w:val="22"/>
              </w:rPr>
            </w:pPr>
          </w:p>
        </w:tc>
        <w:tc>
          <w:tcPr>
            <w:tcW w:w="415" w:type="pct"/>
            <w:shd w:val="clear" w:color="auto" w:fill="auto"/>
            <w:vAlign w:val="center"/>
          </w:tcPr>
          <w:p>
            <w:pPr>
              <w:tabs>
                <w:tab w:val="clear" w:pos="480"/>
              </w:tabs>
              <w:spacing w:line="240" w:lineRule="auto"/>
              <w:ind w:firstLine="0" w:firstLineChars="0"/>
              <w:jc w:val="center"/>
              <w:rPr>
                <w:b/>
                <w:kern w:val="0"/>
                <w:sz w:val="21"/>
                <w:szCs w:val="22"/>
              </w:rPr>
            </w:pPr>
            <w:r>
              <w:rPr>
                <w:b/>
                <w:kern w:val="0"/>
                <w:sz w:val="21"/>
                <w:szCs w:val="22"/>
              </w:rPr>
              <w:t>150</w:t>
            </w:r>
          </w:p>
        </w:tc>
        <w:tc>
          <w:tcPr>
            <w:tcW w:w="2079"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本地花岗岩及白云岩等出口</w:t>
            </w:r>
          </w:p>
        </w:tc>
        <w:tc>
          <w:tcPr>
            <w:tcW w:w="445" w:type="pct"/>
            <w:vMerge w:val="continue"/>
            <w:shd w:val="clear" w:color="auto" w:fill="auto"/>
            <w:vAlign w:val="center"/>
          </w:tcPr>
          <w:p>
            <w:pPr>
              <w:tabs>
                <w:tab w:val="clear" w:pos="480"/>
              </w:tabs>
              <w:spacing w:line="240" w:lineRule="auto"/>
              <w:ind w:firstLine="0" w:firstLineChars="0"/>
              <w:jc w:val="center"/>
              <w:rPr>
                <w:kern w:val="0"/>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2" w:type="pct"/>
            <w:vMerge w:val="continue"/>
            <w:shd w:val="clear" w:color="auto" w:fill="auto"/>
            <w:vAlign w:val="center"/>
          </w:tcPr>
          <w:p>
            <w:pPr>
              <w:tabs>
                <w:tab w:val="clear" w:pos="480"/>
              </w:tabs>
              <w:spacing w:line="240" w:lineRule="auto"/>
              <w:ind w:firstLine="0" w:firstLineChars="0"/>
              <w:rPr>
                <w:kern w:val="0"/>
                <w:sz w:val="21"/>
                <w:szCs w:val="22"/>
              </w:rPr>
            </w:pPr>
          </w:p>
        </w:tc>
        <w:tc>
          <w:tcPr>
            <w:tcW w:w="1331" w:type="pct"/>
            <w:shd w:val="clear" w:color="auto" w:fill="auto"/>
            <w:vAlign w:val="center"/>
          </w:tcPr>
          <w:p>
            <w:pPr>
              <w:tabs>
                <w:tab w:val="clear" w:pos="480"/>
              </w:tabs>
              <w:spacing w:line="240" w:lineRule="auto"/>
              <w:ind w:firstLine="0" w:firstLineChars="0"/>
              <w:rPr>
                <w:b/>
                <w:kern w:val="0"/>
                <w:sz w:val="21"/>
                <w:szCs w:val="22"/>
              </w:rPr>
            </w:pPr>
            <w:r>
              <w:rPr>
                <w:rFonts w:hint="eastAsia"/>
                <w:b/>
                <w:kern w:val="0"/>
                <w:sz w:val="21"/>
                <w:szCs w:val="22"/>
              </w:rPr>
              <w:t>五</w:t>
            </w:r>
            <w:r>
              <w:rPr>
                <w:b/>
                <w:kern w:val="0"/>
                <w:sz w:val="21"/>
                <w:szCs w:val="22"/>
              </w:rPr>
              <w:t>、其他散货</w:t>
            </w:r>
          </w:p>
        </w:tc>
        <w:tc>
          <w:tcPr>
            <w:tcW w:w="415" w:type="pct"/>
            <w:shd w:val="clear" w:color="auto" w:fill="auto"/>
            <w:vAlign w:val="center"/>
          </w:tcPr>
          <w:p>
            <w:pPr>
              <w:tabs>
                <w:tab w:val="clear" w:pos="480"/>
              </w:tabs>
              <w:spacing w:line="240" w:lineRule="auto"/>
              <w:ind w:firstLine="0" w:firstLineChars="0"/>
              <w:jc w:val="center"/>
              <w:rPr>
                <w:b/>
                <w:kern w:val="0"/>
                <w:sz w:val="21"/>
                <w:szCs w:val="22"/>
              </w:rPr>
            </w:pPr>
            <w:r>
              <w:rPr>
                <w:b/>
                <w:kern w:val="0"/>
                <w:sz w:val="21"/>
                <w:szCs w:val="22"/>
              </w:rPr>
              <w:t>20</w:t>
            </w:r>
          </w:p>
        </w:tc>
        <w:tc>
          <w:tcPr>
            <w:tcW w:w="415" w:type="pct"/>
            <w:shd w:val="clear" w:color="auto" w:fill="auto"/>
            <w:vAlign w:val="center"/>
          </w:tcPr>
          <w:p>
            <w:pPr>
              <w:tabs>
                <w:tab w:val="clear" w:pos="480"/>
              </w:tabs>
              <w:spacing w:line="240" w:lineRule="auto"/>
              <w:ind w:firstLine="0" w:firstLineChars="0"/>
              <w:jc w:val="center"/>
              <w:rPr>
                <w:b/>
                <w:kern w:val="0"/>
                <w:sz w:val="21"/>
                <w:szCs w:val="22"/>
              </w:rPr>
            </w:pPr>
          </w:p>
        </w:tc>
        <w:tc>
          <w:tcPr>
            <w:tcW w:w="2079"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矿粉、复合肥、土壤修复剂等</w:t>
            </w:r>
          </w:p>
        </w:tc>
        <w:tc>
          <w:tcPr>
            <w:tcW w:w="445" w:type="pct"/>
            <w:vMerge w:val="continue"/>
            <w:shd w:val="clear" w:color="auto" w:fill="auto"/>
            <w:vAlign w:val="center"/>
          </w:tcPr>
          <w:p>
            <w:pPr>
              <w:tabs>
                <w:tab w:val="clear" w:pos="480"/>
              </w:tabs>
              <w:spacing w:line="240" w:lineRule="auto"/>
              <w:ind w:firstLine="0" w:firstLineChars="0"/>
              <w:jc w:val="center"/>
              <w:rPr>
                <w:kern w:val="0"/>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2" w:type="pct"/>
            <w:vMerge w:val="restart"/>
            <w:shd w:val="clear" w:color="auto" w:fill="auto"/>
            <w:vAlign w:val="center"/>
          </w:tcPr>
          <w:p>
            <w:pPr>
              <w:tabs>
                <w:tab w:val="clear" w:pos="480"/>
              </w:tabs>
              <w:spacing w:line="240" w:lineRule="auto"/>
              <w:ind w:firstLine="0" w:firstLineChars="0"/>
              <w:jc w:val="center"/>
              <w:rPr>
                <w:b/>
                <w:kern w:val="0"/>
                <w:sz w:val="21"/>
                <w:szCs w:val="22"/>
              </w:rPr>
            </w:pPr>
            <w:r>
              <w:rPr>
                <w:b/>
                <w:kern w:val="0"/>
                <w:sz w:val="21"/>
                <w:szCs w:val="22"/>
              </w:rPr>
              <w:t>杂件</w:t>
            </w:r>
          </w:p>
        </w:tc>
        <w:tc>
          <w:tcPr>
            <w:tcW w:w="1331" w:type="pct"/>
            <w:shd w:val="clear" w:color="auto" w:fill="auto"/>
            <w:vAlign w:val="center"/>
          </w:tcPr>
          <w:p>
            <w:pPr>
              <w:tabs>
                <w:tab w:val="clear" w:pos="480"/>
              </w:tabs>
              <w:spacing w:line="240" w:lineRule="auto"/>
              <w:ind w:firstLine="0" w:firstLineChars="0"/>
              <w:jc w:val="center"/>
              <w:rPr>
                <w:b/>
                <w:kern w:val="0"/>
                <w:sz w:val="21"/>
                <w:szCs w:val="22"/>
              </w:rPr>
            </w:pPr>
            <w:r>
              <w:rPr>
                <w:b/>
                <w:kern w:val="0"/>
                <w:sz w:val="21"/>
                <w:szCs w:val="22"/>
              </w:rPr>
              <w:t>小计</w:t>
            </w:r>
          </w:p>
        </w:tc>
        <w:tc>
          <w:tcPr>
            <w:tcW w:w="415" w:type="pct"/>
            <w:shd w:val="clear" w:color="auto" w:fill="auto"/>
            <w:vAlign w:val="center"/>
          </w:tcPr>
          <w:p>
            <w:pPr>
              <w:tabs>
                <w:tab w:val="clear" w:pos="480"/>
              </w:tabs>
              <w:spacing w:line="240" w:lineRule="auto"/>
              <w:ind w:firstLine="0" w:firstLineChars="0"/>
              <w:jc w:val="center"/>
              <w:rPr>
                <w:b/>
                <w:kern w:val="0"/>
                <w:sz w:val="21"/>
                <w:szCs w:val="22"/>
              </w:rPr>
            </w:pPr>
            <w:r>
              <w:rPr>
                <w:b/>
                <w:kern w:val="0"/>
                <w:sz w:val="21"/>
                <w:szCs w:val="22"/>
              </w:rPr>
              <w:t>10</w:t>
            </w:r>
          </w:p>
        </w:tc>
        <w:tc>
          <w:tcPr>
            <w:tcW w:w="415" w:type="pct"/>
            <w:shd w:val="clear" w:color="auto" w:fill="auto"/>
            <w:vAlign w:val="center"/>
          </w:tcPr>
          <w:p>
            <w:pPr>
              <w:tabs>
                <w:tab w:val="clear" w:pos="480"/>
              </w:tabs>
              <w:spacing w:line="240" w:lineRule="auto"/>
              <w:ind w:firstLine="0" w:firstLineChars="0"/>
              <w:jc w:val="center"/>
              <w:rPr>
                <w:b/>
                <w:kern w:val="0"/>
                <w:sz w:val="21"/>
                <w:szCs w:val="22"/>
              </w:rPr>
            </w:pPr>
          </w:p>
        </w:tc>
        <w:tc>
          <w:tcPr>
            <w:tcW w:w="2079" w:type="pct"/>
            <w:shd w:val="clear" w:color="auto" w:fill="auto"/>
            <w:vAlign w:val="center"/>
          </w:tcPr>
          <w:p>
            <w:pPr>
              <w:tabs>
                <w:tab w:val="clear" w:pos="480"/>
              </w:tabs>
              <w:spacing w:line="240" w:lineRule="auto"/>
              <w:ind w:firstLine="0" w:firstLineChars="0"/>
              <w:jc w:val="center"/>
              <w:rPr>
                <w:b/>
                <w:kern w:val="0"/>
                <w:sz w:val="21"/>
                <w:szCs w:val="22"/>
              </w:rPr>
            </w:pPr>
          </w:p>
        </w:tc>
        <w:tc>
          <w:tcPr>
            <w:tcW w:w="445" w:type="pct"/>
            <w:vMerge w:val="continue"/>
            <w:shd w:val="clear" w:color="auto" w:fill="auto"/>
            <w:vAlign w:val="center"/>
          </w:tcPr>
          <w:p>
            <w:pPr>
              <w:tabs>
                <w:tab w:val="clear" w:pos="480"/>
              </w:tabs>
              <w:spacing w:line="240" w:lineRule="auto"/>
              <w:ind w:firstLine="0" w:firstLineChars="0"/>
              <w:jc w:val="center"/>
              <w:rPr>
                <w:kern w:val="0"/>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12" w:type="pct"/>
            <w:vMerge w:val="continue"/>
            <w:shd w:val="clear" w:color="auto" w:fill="auto"/>
            <w:vAlign w:val="center"/>
          </w:tcPr>
          <w:p>
            <w:pPr>
              <w:tabs>
                <w:tab w:val="clear" w:pos="480"/>
              </w:tabs>
              <w:spacing w:line="240" w:lineRule="auto"/>
              <w:ind w:firstLine="0" w:firstLineChars="0"/>
              <w:rPr>
                <w:kern w:val="0"/>
                <w:sz w:val="21"/>
                <w:szCs w:val="22"/>
              </w:rPr>
            </w:pPr>
          </w:p>
        </w:tc>
        <w:tc>
          <w:tcPr>
            <w:tcW w:w="1331" w:type="pct"/>
            <w:shd w:val="clear" w:color="auto" w:fill="auto"/>
            <w:vAlign w:val="center"/>
          </w:tcPr>
          <w:p>
            <w:pPr>
              <w:tabs>
                <w:tab w:val="clear" w:pos="480"/>
              </w:tabs>
              <w:spacing w:line="240" w:lineRule="auto"/>
              <w:ind w:firstLine="0" w:firstLineChars="0"/>
              <w:rPr>
                <w:b/>
                <w:kern w:val="0"/>
                <w:sz w:val="21"/>
                <w:szCs w:val="22"/>
              </w:rPr>
            </w:pPr>
            <w:r>
              <w:rPr>
                <w:b/>
                <w:kern w:val="0"/>
                <w:sz w:val="21"/>
                <w:szCs w:val="22"/>
              </w:rPr>
              <w:t>七、防汛物资</w:t>
            </w:r>
          </w:p>
        </w:tc>
        <w:tc>
          <w:tcPr>
            <w:tcW w:w="415" w:type="pct"/>
            <w:shd w:val="clear" w:color="auto" w:fill="auto"/>
            <w:vAlign w:val="center"/>
          </w:tcPr>
          <w:p>
            <w:pPr>
              <w:tabs>
                <w:tab w:val="clear" w:pos="480"/>
              </w:tabs>
              <w:spacing w:line="240" w:lineRule="auto"/>
              <w:ind w:firstLine="0" w:firstLineChars="0"/>
              <w:jc w:val="center"/>
              <w:rPr>
                <w:b/>
                <w:kern w:val="0"/>
                <w:sz w:val="21"/>
                <w:szCs w:val="22"/>
              </w:rPr>
            </w:pPr>
            <w:r>
              <w:rPr>
                <w:b/>
                <w:kern w:val="0"/>
                <w:sz w:val="21"/>
                <w:szCs w:val="22"/>
              </w:rPr>
              <w:t>10</w:t>
            </w:r>
          </w:p>
        </w:tc>
        <w:tc>
          <w:tcPr>
            <w:tcW w:w="415" w:type="pct"/>
            <w:shd w:val="clear" w:color="auto" w:fill="auto"/>
            <w:vAlign w:val="center"/>
          </w:tcPr>
          <w:p>
            <w:pPr>
              <w:tabs>
                <w:tab w:val="clear" w:pos="480"/>
              </w:tabs>
              <w:spacing w:line="240" w:lineRule="auto"/>
              <w:ind w:firstLine="0" w:firstLineChars="0"/>
              <w:jc w:val="center"/>
              <w:rPr>
                <w:b/>
                <w:kern w:val="0"/>
                <w:sz w:val="21"/>
                <w:szCs w:val="22"/>
              </w:rPr>
            </w:pPr>
          </w:p>
        </w:tc>
        <w:tc>
          <w:tcPr>
            <w:tcW w:w="2079" w:type="pct"/>
            <w:shd w:val="clear" w:color="auto" w:fill="auto"/>
            <w:vAlign w:val="center"/>
          </w:tcPr>
          <w:p>
            <w:pPr>
              <w:tabs>
                <w:tab w:val="clear" w:pos="480"/>
              </w:tabs>
              <w:spacing w:line="240" w:lineRule="auto"/>
              <w:ind w:firstLine="0" w:firstLineChars="0"/>
              <w:jc w:val="center"/>
              <w:rPr>
                <w:kern w:val="0"/>
                <w:sz w:val="21"/>
                <w:szCs w:val="22"/>
              </w:rPr>
            </w:pPr>
          </w:p>
        </w:tc>
        <w:tc>
          <w:tcPr>
            <w:tcW w:w="445" w:type="pct"/>
            <w:vMerge w:val="continue"/>
            <w:shd w:val="clear" w:color="auto" w:fill="auto"/>
            <w:vAlign w:val="center"/>
          </w:tcPr>
          <w:p>
            <w:pPr>
              <w:tabs>
                <w:tab w:val="clear" w:pos="480"/>
              </w:tabs>
              <w:spacing w:line="240" w:lineRule="auto"/>
              <w:ind w:firstLine="0" w:firstLineChars="0"/>
              <w:jc w:val="center"/>
              <w:rPr>
                <w:kern w:val="0"/>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44" w:type="pct"/>
            <w:gridSpan w:val="2"/>
            <w:shd w:val="clear" w:color="auto" w:fill="auto"/>
            <w:vAlign w:val="center"/>
          </w:tcPr>
          <w:p>
            <w:pPr>
              <w:tabs>
                <w:tab w:val="clear" w:pos="480"/>
              </w:tabs>
              <w:spacing w:line="240" w:lineRule="auto"/>
              <w:ind w:firstLine="0" w:firstLineChars="0"/>
              <w:jc w:val="center"/>
              <w:rPr>
                <w:b/>
                <w:kern w:val="0"/>
                <w:sz w:val="21"/>
                <w:szCs w:val="22"/>
              </w:rPr>
            </w:pPr>
            <w:r>
              <w:rPr>
                <w:b/>
                <w:kern w:val="0"/>
                <w:sz w:val="21"/>
                <w:szCs w:val="22"/>
              </w:rPr>
              <w:t>总计</w:t>
            </w:r>
          </w:p>
        </w:tc>
        <w:tc>
          <w:tcPr>
            <w:tcW w:w="415" w:type="pct"/>
            <w:shd w:val="clear" w:color="auto" w:fill="auto"/>
            <w:vAlign w:val="center"/>
          </w:tcPr>
          <w:p>
            <w:pPr>
              <w:tabs>
                <w:tab w:val="clear" w:pos="480"/>
              </w:tabs>
              <w:spacing w:line="240" w:lineRule="auto"/>
              <w:ind w:firstLine="0" w:firstLineChars="0"/>
              <w:jc w:val="center"/>
              <w:rPr>
                <w:b/>
                <w:kern w:val="0"/>
                <w:sz w:val="21"/>
                <w:szCs w:val="22"/>
              </w:rPr>
            </w:pPr>
            <w:r>
              <w:rPr>
                <w:b/>
                <w:kern w:val="0"/>
                <w:sz w:val="21"/>
                <w:szCs w:val="22"/>
              </w:rPr>
              <w:t>1210</w:t>
            </w:r>
          </w:p>
        </w:tc>
        <w:tc>
          <w:tcPr>
            <w:tcW w:w="415" w:type="pct"/>
            <w:shd w:val="clear" w:color="auto" w:fill="auto"/>
            <w:vAlign w:val="center"/>
          </w:tcPr>
          <w:p>
            <w:pPr>
              <w:tabs>
                <w:tab w:val="clear" w:pos="480"/>
              </w:tabs>
              <w:spacing w:line="240" w:lineRule="auto"/>
              <w:ind w:firstLine="0" w:firstLineChars="0"/>
              <w:jc w:val="center"/>
              <w:rPr>
                <w:b/>
                <w:kern w:val="0"/>
                <w:sz w:val="21"/>
                <w:szCs w:val="22"/>
              </w:rPr>
            </w:pPr>
            <w:r>
              <w:rPr>
                <w:b/>
                <w:kern w:val="0"/>
                <w:sz w:val="21"/>
                <w:szCs w:val="22"/>
              </w:rPr>
              <w:t>450</w:t>
            </w:r>
          </w:p>
        </w:tc>
        <w:tc>
          <w:tcPr>
            <w:tcW w:w="2079" w:type="pct"/>
            <w:shd w:val="clear" w:color="auto" w:fill="auto"/>
            <w:vAlign w:val="center"/>
          </w:tcPr>
          <w:p>
            <w:pPr>
              <w:tabs>
                <w:tab w:val="clear" w:pos="480"/>
              </w:tabs>
              <w:spacing w:line="240" w:lineRule="auto"/>
              <w:ind w:firstLine="0" w:firstLineChars="0"/>
              <w:jc w:val="center"/>
              <w:rPr>
                <w:b/>
                <w:kern w:val="0"/>
                <w:sz w:val="21"/>
                <w:szCs w:val="22"/>
              </w:rPr>
            </w:pPr>
          </w:p>
        </w:tc>
        <w:tc>
          <w:tcPr>
            <w:tcW w:w="445" w:type="pct"/>
            <w:shd w:val="clear" w:color="auto" w:fill="auto"/>
            <w:vAlign w:val="center"/>
          </w:tcPr>
          <w:p>
            <w:pPr>
              <w:tabs>
                <w:tab w:val="clear" w:pos="480"/>
              </w:tabs>
              <w:spacing w:line="240" w:lineRule="auto"/>
              <w:ind w:firstLine="0" w:firstLineChars="0"/>
              <w:jc w:val="center"/>
              <w:rPr>
                <w:b/>
                <w:kern w:val="0"/>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pPr>
              <w:tabs>
                <w:tab w:val="clear" w:pos="480"/>
              </w:tabs>
              <w:spacing w:line="240" w:lineRule="auto"/>
              <w:ind w:firstLine="0" w:firstLineChars="0"/>
              <w:rPr>
                <w:kern w:val="0"/>
                <w:sz w:val="21"/>
                <w:szCs w:val="22"/>
              </w:rPr>
            </w:pPr>
            <w:r>
              <w:rPr>
                <w:b/>
                <w:kern w:val="0"/>
                <w:sz w:val="21"/>
                <w:szCs w:val="22"/>
              </w:rPr>
              <w:t>本工程主要货物流向为</w:t>
            </w:r>
            <w:r>
              <w:rPr>
                <w:kern w:val="0"/>
                <w:sz w:val="21"/>
                <w:szCs w:val="22"/>
              </w:rPr>
              <w:t>：</w:t>
            </w:r>
          </w:p>
          <w:p>
            <w:pPr>
              <w:tabs>
                <w:tab w:val="clear" w:pos="480"/>
              </w:tabs>
              <w:spacing w:line="240" w:lineRule="auto"/>
              <w:ind w:firstLine="0" w:firstLineChars="0"/>
              <w:rPr>
                <w:kern w:val="0"/>
                <w:sz w:val="21"/>
                <w:szCs w:val="22"/>
              </w:rPr>
            </w:pPr>
            <w:r>
              <w:rPr>
                <w:kern w:val="0"/>
                <w:sz w:val="21"/>
                <w:szCs w:val="22"/>
              </w:rPr>
              <w:t>1、本地砼加工用骨料：岳阳及洞庭湖采区水砂开采——本工程上岸供应本地；</w:t>
            </w:r>
          </w:p>
          <w:p>
            <w:pPr>
              <w:tabs>
                <w:tab w:val="clear" w:pos="480"/>
              </w:tabs>
              <w:spacing w:line="240" w:lineRule="auto"/>
              <w:ind w:firstLine="0" w:firstLineChars="0"/>
              <w:rPr>
                <w:kern w:val="0"/>
                <w:sz w:val="21"/>
                <w:szCs w:val="22"/>
              </w:rPr>
            </w:pPr>
            <w:r>
              <w:rPr>
                <w:kern w:val="0"/>
                <w:sz w:val="21"/>
                <w:szCs w:val="22"/>
              </w:rPr>
              <w:t>2、全省机制砂中转：石门、衡阳永州等地机制砂——经四水至本泊位中转；</w:t>
            </w:r>
          </w:p>
          <w:p>
            <w:pPr>
              <w:tabs>
                <w:tab w:val="clear" w:pos="480"/>
              </w:tabs>
              <w:spacing w:line="240" w:lineRule="auto"/>
              <w:ind w:firstLine="0" w:firstLineChars="0"/>
              <w:rPr>
                <w:kern w:val="0"/>
                <w:sz w:val="21"/>
                <w:szCs w:val="22"/>
              </w:rPr>
            </w:pPr>
            <w:r>
              <w:rPr>
                <w:kern w:val="0"/>
                <w:sz w:val="21"/>
                <w:szCs w:val="22"/>
              </w:rPr>
              <w:t>3、河砂中转：岳阳及洞庭湖采区水砂开采——水水中转出口至长江沿线城市；</w:t>
            </w:r>
          </w:p>
          <w:p>
            <w:pPr>
              <w:tabs>
                <w:tab w:val="clear" w:pos="480"/>
              </w:tabs>
              <w:spacing w:line="240" w:lineRule="auto"/>
              <w:ind w:firstLine="0" w:firstLineChars="0"/>
              <w:rPr>
                <w:kern w:val="0"/>
                <w:sz w:val="21"/>
                <w:szCs w:val="22"/>
              </w:rPr>
            </w:pPr>
            <w:r>
              <w:rPr>
                <w:kern w:val="0"/>
                <w:sz w:val="21"/>
                <w:szCs w:val="22"/>
              </w:rPr>
              <w:t>4、防汛用砂石料：应急保障库存，依据时机水砂或机制砂补充；</w:t>
            </w:r>
          </w:p>
          <w:p>
            <w:pPr>
              <w:tabs>
                <w:tab w:val="clear" w:pos="480"/>
              </w:tabs>
              <w:spacing w:line="240" w:lineRule="auto"/>
              <w:ind w:firstLine="0" w:firstLineChars="0"/>
              <w:rPr>
                <w:kern w:val="0"/>
                <w:sz w:val="21"/>
                <w:szCs w:val="22"/>
              </w:rPr>
            </w:pPr>
            <w:r>
              <w:rPr>
                <w:kern w:val="0"/>
                <w:sz w:val="21"/>
                <w:szCs w:val="22"/>
              </w:rPr>
              <w:t>5、铁矿石水水中转：水路进口铁矿石——水路运输至上游各大钢厂；</w:t>
            </w:r>
          </w:p>
          <w:p>
            <w:pPr>
              <w:tabs>
                <w:tab w:val="clear" w:pos="480"/>
              </w:tabs>
              <w:spacing w:line="240" w:lineRule="auto"/>
              <w:ind w:firstLine="0" w:firstLineChars="0"/>
              <w:rPr>
                <w:kern w:val="0"/>
                <w:sz w:val="21"/>
                <w:szCs w:val="22"/>
              </w:rPr>
            </w:pPr>
            <w:r>
              <w:rPr>
                <w:kern w:val="0"/>
                <w:sz w:val="21"/>
                <w:szCs w:val="22"/>
              </w:rPr>
              <w:t>6、铁矿石水路进口：水路进口铁矿石——通过国铁网转运至各大钢铁企业；</w:t>
            </w:r>
          </w:p>
          <w:p>
            <w:pPr>
              <w:tabs>
                <w:tab w:val="clear" w:pos="480"/>
              </w:tabs>
              <w:spacing w:line="240" w:lineRule="auto"/>
              <w:ind w:firstLine="0" w:firstLineChars="0"/>
              <w:rPr>
                <w:kern w:val="0"/>
                <w:sz w:val="21"/>
                <w:szCs w:val="22"/>
              </w:rPr>
            </w:pPr>
            <w:r>
              <w:rPr>
                <w:kern w:val="0"/>
                <w:sz w:val="21"/>
                <w:szCs w:val="22"/>
              </w:rPr>
              <w:t>7、煤炭：水路进口煤炭——后方园区企业用煤；</w:t>
            </w:r>
          </w:p>
          <w:p>
            <w:pPr>
              <w:tabs>
                <w:tab w:val="clear" w:pos="480"/>
              </w:tabs>
              <w:spacing w:line="240" w:lineRule="auto"/>
              <w:ind w:firstLine="0" w:firstLineChars="0"/>
              <w:rPr>
                <w:kern w:val="0"/>
                <w:sz w:val="21"/>
                <w:szCs w:val="22"/>
              </w:rPr>
            </w:pPr>
            <w:r>
              <w:rPr>
                <w:kern w:val="0"/>
                <w:sz w:val="21"/>
                <w:szCs w:val="22"/>
              </w:rPr>
              <w:t>8、水泥：水路进口水泥——后方绿色建材产业园原料；</w:t>
            </w:r>
          </w:p>
          <w:p>
            <w:pPr>
              <w:tabs>
                <w:tab w:val="clear" w:pos="480"/>
              </w:tabs>
              <w:spacing w:line="240" w:lineRule="auto"/>
              <w:ind w:firstLine="0" w:firstLineChars="0"/>
              <w:rPr>
                <w:kern w:val="0"/>
                <w:sz w:val="21"/>
                <w:szCs w:val="22"/>
              </w:rPr>
            </w:pPr>
            <w:r>
              <w:rPr>
                <w:kern w:val="0"/>
                <w:sz w:val="21"/>
                <w:szCs w:val="22"/>
              </w:rPr>
              <w:t>9、非金属矿石：本地花岗岩及白云岩——长江沿线城市；</w:t>
            </w:r>
          </w:p>
          <w:p>
            <w:pPr>
              <w:tabs>
                <w:tab w:val="clear" w:pos="480"/>
              </w:tabs>
              <w:spacing w:line="240" w:lineRule="auto"/>
              <w:ind w:firstLine="0" w:firstLineChars="0"/>
              <w:rPr>
                <w:kern w:val="0"/>
                <w:sz w:val="21"/>
                <w:szCs w:val="22"/>
              </w:rPr>
            </w:pPr>
            <w:r>
              <w:rPr>
                <w:kern w:val="0"/>
                <w:sz w:val="21"/>
                <w:szCs w:val="22"/>
              </w:rPr>
              <w:t>10、其他散货：四水如澧水石门地区——岳阳及周边地区；</w:t>
            </w:r>
          </w:p>
          <w:p>
            <w:pPr>
              <w:tabs>
                <w:tab w:val="clear" w:pos="480"/>
              </w:tabs>
              <w:spacing w:line="240" w:lineRule="auto"/>
              <w:ind w:firstLine="0" w:firstLineChars="0"/>
              <w:rPr>
                <w:kern w:val="0"/>
                <w:sz w:val="21"/>
                <w:szCs w:val="22"/>
              </w:rPr>
            </w:pPr>
            <w:r>
              <w:rPr>
                <w:kern w:val="0"/>
                <w:sz w:val="21"/>
                <w:szCs w:val="22"/>
              </w:rPr>
              <w:t>11、固体化工品：绿色化工园区企业产品——长江沿线城市；</w:t>
            </w:r>
          </w:p>
          <w:p>
            <w:pPr>
              <w:tabs>
                <w:tab w:val="clear" w:pos="480"/>
              </w:tabs>
              <w:spacing w:line="240" w:lineRule="auto"/>
              <w:ind w:firstLine="0" w:firstLineChars="0"/>
              <w:rPr>
                <w:kern w:val="0"/>
                <w:sz w:val="21"/>
                <w:szCs w:val="22"/>
              </w:rPr>
            </w:pPr>
            <w:r>
              <w:rPr>
                <w:kern w:val="0"/>
                <w:sz w:val="21"/>
                <w:szCs w:val="22"/>
              </w:rPr>
              <w:t>12、钢材进口：湘钢、涟钢等企业生产——本工程上岸供应本地；</w:t>
            </w:r>
          </w:p>
          <w:p>
            <w:pPr>
              <w:tabs>
                <w:tab w:val="clear" w:pos="480"/>
              </w:tabs>
              <w:spacing w:line="240" w:lineRule="auto"/>
              <w:ind w:firstLine="0" w:firstLineChars="0"/>
              <w:rPr>
                <w:b/>
                <w:kern w:val="0"/>
                <w:sz w:val="21"/>
                <w:szCs w:val="22"/>
              </w:rPr>
            </w:pPr>
            <w:r>
              <w:rPr>
                <w:kern w:val="0"/>
                <w:sz w:val="21"/>
                <w:szCs w:val="22"/>
              </w:rPr>
              <w:t>13、装配建筑出口</w:t>
            </w:r>
            <w:r>
              <w:rPr>
                <w:rFonts w:hint="eastAsia"/>
                <w:kern w:val="0"/>
                <w:sz w:val="21"/>
                <w:szCs w:val="22"/>
              </w:rPr>
              <w:t>：</w:t>
            </w:r>
            <w:r>
              <w:rPr>
                <w:kern w:val="0"/>
                <w:sz w:val="21"/>
                <w:szCs w:val="22"/>
              </w:rPr>
              <w:t>本地装配建筑生产——出口至长江沿线城市。</w:t>
            </w:r>
          </w:p>
        </w:tc>
      </w:tr>
    </w:tbl>
    <w:p>
      <w:pPr>
        <w:numPr>
          <w:ilvl w:val="0"/>
          <w:numId w:val="58"/>
        </w:numPr>
        <w:ind w:firstLine="480"/>
        <w:rPr>
          <w:rFonts w:cs="Times New Roman"/>
          <w:spacing w:val="0"/>
        </w:rPr>
      </w:pPr>
      <w:r>
        <w:rPr>
          <w:rFonts w:hint="eastAsia" w:cs="Times New Roman"/>
          <w:spacing w:val="0"/>
          <w:lang w:val="en-US" w:eastAsia="zh-CN"/>
        </w:rPr>
        <w:t>根据工可单位提供的资料，泊位的通过能力见下表。</w:t>
      </w:r>
    </w:p>
    <w:p>
      <w:pPr>
        <w:pStyle w:val="2285"/>
        <w:ind w:left="0"/>
      </w:pPr>
      <w:r>
        <w:rPr>
          <w:rFonts w:hint="eastAsia"/>
        </w:rPr>
        <w:t xml:space="preserve"> </w:t>
      </w:r>
      <w:r>
        <w:t xml:space="preserve"> </w:t>
      </w:r>
      <w:r>
        <w:rPr>
          <w:rFonts w:hint="eastAsia"/>
        </w:rPr>
        <w:t>泊位</w:t>
      </w:r>
      <w:r>
        <w:rPr>
          <w:rFonts w:hint="eastAsia" w:cs="Times New Roman"/>
          <w:bCs/>
          <w:lang w:val="en-US" w:eastAsia="zh-CN"/>
        </w:rPr>
        <w:t>通过能力</w:t>
      </w:r>
      <w:r>
        <w:rPr>
          <w:rFonts w:hint="eastAsia"/>
        </w:rPr>
        <w:t>一览表</w:t>
      </w:r>
    </w:p>
    <w:tbl>
      <w:tblPr>
        <w:tblStyle w:val="87"/>
        <w:tblW w:w="5013"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167"/>
        <w:gridCol w:w="567"/>
        <w:gridCol w:w="1480"/>
        <w:gridCol w:w="1140"/>
        <w:gridCol w:w="1140"/>
        <w:gridCol w:w="1140"/>
        <w:gridCol w:w="149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34" w:hRule="atLeast"/>
        </w:trPr>
        <w:tc>
          <w:tcPr>
            <w:tcW w:w="1241" w:type="pct"/>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项目名称</w:t>
            </w:r>
          </w:p>
        </w:tc>
        <w:tc>
          <w:tcPr>
            <w:tcW w:w="365" w:type="pct"/>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单位</w:t>
            </w:r>
          </w:p>
        </w:tc>
        <w:tc>
          <w:tcPr>
            <w:tcW w:w="678"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1#散货出口泊位</w:t>
            </w:r>
          </w:p>
        </w:tc>
        <w:tc>
          <w:tcPr>
            <w:tcW w:w="67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2#、3#散货进口泊位</w:t>
            </w:r>
          </w:p>
        </w:tc>
        <w:tc>
          <w:tcPr>
            <w:tcW w:w="678" w:type="pct"/>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4#泊位水泥</w:t>
            </w:r>
          </w:p>
        </w:tc>
        <w:tc>
          <w:tcPr>
            <w:tcW w:w="678" w:type="pct"/>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4~6#泊位砂石等散货</w:t>
            </w:r>
          </w:p>
        </w:tc>
        <w:tc>
          <w:tcPr>
            <w:tcW w:w="679" w:type="pct"/>
            <w:tcBorders>
              <w:tl2br w:val="nil"/>
              <w:tr2bl w:val="nil"/>
            </w:tcBorders>
            <w:noWrap/>
            <w:vAlign w:val="center"/>
          </w:tcPr>
          <w:p>
            <w:pPr>
              <w:pStyle w:val="2057"/>
              <w:tabs>
                <w:tab w:val="left" w:pos="480"/>
              </w:tabs>
              <w:spacing w:afterLines="0" w:line="240" w:lineRule="atLeast"/>
              <w:ind w:firstLine="0" w:firstLineChars="0"/>
              <w:rPr>
                <w:rFonts w:hint="default"/>
                <w:sz w:val="21"/>
                <w:szCs w:val="21"/>
                <w:lang w:val="en-US"/>
              </w:rPr>
            </w:pPr>
            <w:r>
              <w:rPr>
                <w:rFonts w:hint="eastAsia"/>
                <w:sz w:val="21"/>
                <w:szCs w:val="21"/>
                <w:lang w:val="en-US" w:eastAsia="zh-CN"/>
              </w:rPr>
              <w:t>6#泊位防汛物资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57" w:hRule="atLeast"/>
        </w:trPr>
        <w:tc>
          <w:tcPr>
            <w:tcW w:w="1241" w:type="pct"/>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设计年吞吐量</w:t>
            </w:r>
          </w:p>
        </w:tc>
        <w:tc>
          <w:tcPr>
            <w:tcW w:w="365" w:type="pct"/>
            <w:tcBorders>
              <w:tl2br w:val="nil"/>
              <w:tr2bl w:val="nil"/>
            </w:tcBorders>
            <w:noWrap/>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万t</w:t>
            </w:r>
          </w:p>
        </w:tc>
        <w:tc>
          <w:tcPr>
            <w:tcW w:w="678" w:type="pct"/>
            <w:tcBorders>
              <w:tl2br w:val="nil"/>
              <w:tr2bl w:val="nil"/>
            </w:tcBorders>
            <w:noWrap/>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450</w:t>
            </w:r>
          </w:p>
        </w:tc>
        <w:tc>
          <w:tcPr>
            <w:tcW w:w="678" w:type="pct"/>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750</w:t>
            </w:r>
          </w:p>
        </w:tc>
        <w:tc>
          <w:tcPr>
            <w:tcW w:w="678" w:type="pct"/>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80</w:t>
            </w:r>
          </w:p>
        </w:tc>
        <w:tc>
          <w:tcPr>
            <w:tcW w:w="678" w:type="pct"/>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370</w:t>
            </w:r>
          </w:p>
        </w:tc>
        <w:tc>
          <w:tcPr>
            <w:tcW w:w="679" w:type="pct"/>
            <w:tcBorders>
              <w:tl2br w:val="nil"/>
              <w:tr2bl w:val="nil"/>
            </w:tcBorders>
            <w:noWrap/>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7" w:hRule="atLeast"/>
        </w:trPr>
        <w:tc>
          <w:tcPr>
            <w:tcW w:w="1241" w:type="pct"/>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有效泊位利用率</w:t>
            </w:r>
          </w:p>
        </w:tc>
        <w:tc>
          <w:tcPr>
            <w:tcW w:w="365" w:type="pct"/>
            <w:tcBorders>
              <w:tl2br w:val="nil"/>
              <w:tr2bl w:val="nil"/>
            </w:tcBorders>
            <w:noWrap/>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w:t>
            </w:r>
          </w:p>
        </w:tc>
        <w:tc>
          <w:tcPr>
            <w:tcW w:w="678" w:type="pct"/>
            <w:tcBorders>
              <w:tl2br w:val="nil"/>
              <w:tr2bl w:val="nil"/>
            </w:tcBorders>
            <w:noWrap/>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0.72</w:t>
            </w:r>
          </w:p>
        </w:tc>
        <w:tc>
          <w:tcPr>
            <w:tcW w:w="678" w:type="pct"/>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0.72</w:t>
            </w:r>
          </w:p>
        </w:tc>
        <w:tc>
          <w:tcPr>
            <w:tcW w:w="678" w:type="pct"/>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0.72</w:t>
            </w:r>
          </w:p>
        </w:tc>
        <w:tc>
          <w:tcPr>
            <w:tcW w:w="67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lang w:val="en-US" w:eastAsia="zh-CN"/>
              </w:rPr>
              <w:t>0.72</w:t>
            </w:r>
          </w:p>
        </w:tc>
        <w:tc>
          <w:tcPr>
            <w:tcW w:w="679"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lang w:val="en-US" w:eastAsia="zh-CN"/>
              </w:rPr>
              <w:t>0.72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41" w:type="pct"/>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年营运天数</w:t>
            </w:r>
          </w:p>
        </w:tc>
        <w:tc>
          <w:tcPr>
            <w:tcW w:w="365" w:type="pct"/>
            <w:tcBorders>
              <w:tl2br w:val="nil"/>
              <w:tr2bl w:val="nil"/>
            </w:tcBorders>
            <w:noWrap/>
            <w:vAlign w:val="center"/>
          </w:tcPr>
          <w:p>
            <w:pPr>
              <w:pStyle w:val="2057"/>
              <w:tabs>
                <w:tab w:val="left" w:pos="480"/>
              </w:tabs>
              <w:spacing w:afterLines="0" w:line="240" w:lineRule="atLeast"/>
              <w:ind w:firstLine="0" w:firstLineChars="0"/>
              <w:rPr>
                <w:rFonts w:hint="eastAsia" w:eastAsia="宋体"/>
                <w:sz w:val="21"/>
                <w:szCs w:val="21"/>
                <w:lang w:val="en-US" w:eastAsia="zh-CN"/>
              </w:rPr>
            </w:pPr>
            <w:r>
              <w:rPr>
                <w:rFonts w:hint="eastAsia"/>
                <w:sz w:val="21"/>
                <w:szCs w:val="21"/>
                <w:lang w:val="en-US" w:eastAsia="zh-CN"/>
              </w:rPr>
              <w:t>d</w:t>
            </w:r>
          </w:p>
        </w:tc>
        <w:tc>
          <w:tcPr>
            <w:tcW w:w="678" w:type="pct"/>
            <w:tcBorders>
              <w:tl2br w:val="nil"/>
              <w:tr2bl w:val="nil"/>
            </w:tcBorders>
            <w:noWrap/>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330</w:t>
            </w:r>
          </w:p>
        </w:tc>
        <w:tc>
          <w:tcPr>
            <w:tcW w:w="1140" w:type="dxa"/>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lang w:val="en-US" w:eastAsia="zh-CN"/>
              </w:rPr>
              <w:t>330</w:t>
            </w:r>
          </w:p>
        </w:tc>
        <w:tc>
          <w:tcPr>
            <w:tcW w:w="1140" w:type="dxa"/>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lang w:val="en-US" w:eastAsia="zh-CN"/>
              </w:rPr>
              <w:t>330</w:t>
            </w:r>
          </w:p>
        </w:tc>
        <w:tc>
          <w:tcPr>
            <w:tcW w:w="1140" w:type="dxa"/>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lang w:val="en-US" w:eastAsia="zh-CN"/>
              </w:rPr>
              <w:t>330</w:t>
            </w:r>
          </w:p>
        </w:tc>
        <w:tc>
          <w:tcPr>
            <w:tcW w:w="1490" w:type="dxa"/>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lang w:val="en-US" w:eastAsia="zh-CN"/>
              </w:rPr>
              <w:t>330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41" w:type="pct"/>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昼夜小时数</w:t>
            </w:r>
          </w:p>
        </w:tc>
        <w:tc>
          <w:tcPr>
            <w:tcW w:w="365" w:type="pct"/>
            <w:tcBorders>
              <w:tl2br w:val="nil"/>
              <w:tr2bl w:val="nil"/>
            </w:tcBorders>
            <w:noWrap/>
            <w:vAlign w:val="center"/>
          </w:tcPr>
          <w:p>
            <w:pPr>
              <w:pStyle w:val="2057"/>
              <w:tabs>
                <w:tab w:val="left" w:pos="480"/>
              </w:tabs>
              <w:spacing w:afterLines="0" w:line="240" w:lineRule="atLeast"/>
              <w:ind w:firstLine="0" w:firstLineChars="0"/>
              <w:rPr>
                <w:rFonts w:hint="eastAsia" w:eastAsia="宋体"/>
                <w:sz w:val="21"/>
                <w:szCs w:val="21"/>
                <w:lang w:val="en-US" w:eastAsia="zh-CN"/>
              </w:rPr>
            </w:pPr>
            <w:r>
              <w:rPr>
                <w:rFonts w:hint="eastAsia"/>
                <w:sz w:val="21"/>
                <w:szCs w:val="21"/>
                <w:lang w:val="en-US" w:eastAsia="zh-CN"/>
              </w:rPr>
              <w:t>h</w:t>
            </w:r>
          </w:p>
        </w:tc>
        <w:tc>
          <w:tcPr>
            <w:tcW w:w="678" w:type="pct"/>
            <w:tcBorders>
              <w:tl2br w:val="nil"/>
              <w:tr2bl w:val="nil"/>
            </w:tcBorders>
            <w:noWrap/>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24</w:t>
            </w:r>
          </w:p>
        </w:tc>
        <w:tc>
          <w:tcPr>
            <w:tcW w:w="1140" w:type="dxa"/>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lang w:val="en-US" w:eastAsia="zh-CN"/>
              </w:rPr>
              <w:t>24</w:t>
            </w:r>
          </w:p>
        </w:tc>
        <w:tc>
          <w:tcPr>
            <w:tcW w:w="1140" w:type="dxa"/>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lang w:val="en-US" w:eastAsia="zh-CN"/>
              </w:rPr>
              <w:t>24</w:t>
            </w:r>
          </w:p>
        </w:tc>
        <w:tc>
          <w:tcPr>
            <w:tcW w:w="1140" w:type="dxa"/>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lang w:val="en-US" w:eastAsia="zh-CN"/>
              </w:rPr>
              <w:t>24</w:t>
            </w:r>
          </w:p>
        </w:tc>
        <w:tc>
          <w:tcPr>
            <w:tcW w:w="1490" w:type="dxa"/>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lang w:val="en-US" w:eastAsia="zh-CN"/>
              </w:rPr>
              <w:t>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41" w:type="pct"/>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辅助与技术作业时间</w:t>
            </w:r>
          </w:p>
        </w:tc>
        <w:tc>
          <w:tcPr>
            <w:tcW w:w="365"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lang w:val="en-US" w:eastAsia="zh-CN"/>
              </w:rPr>
              <w:t>h</w:t>
            </w:r>
          </w:p>
        </w:tc>
        <w:tc>
          <w:tcPr>
            <w:tcW w:w="1480" w:type="dxa"/>
            <w:tcBorders>
              <w:tl2br w:val="nil"/>
              <w:tr2bl w:val="nil"/>
            </w:tcBorders>
            <w:noWrap/>
            <w:vAlign w:val="center"/>
          </w:tcPr>
          <w:p>
            <w:pPr>
              <w:pStyle w:val="2057"/>
              <w:tabs>
                <w:tab w:val="left" w:pos="480"/>
              </w:tabs>
              <w:spacing w:afterLines="0" w:line="240" w:lineRule="atLeast"/>
              <w:ind w:firstLine="0" w:firstLineChars="0"/>
              <w:rPr>
                <w:rFonts w:hint="eastAsia" w:eastAsia="宋体"/>
                <w:sz w:val="21"/>
                <w:szCs w:val="21"/>
                <w:lang w:val="en-US" w:eastAsia="zh-CN"/>
              </w:rPr>
            </w:pPr>
            <w:r>
              <w:rPr>
                <w:rFonts w:hint="eastAsia"/>
                <w:sz w:val="21"/>
                <w:szCs w:val="21"/>
                <w:lang w:val="en-US" w:eastAsia="zh-CN"/>
              </w:rPr>
              <w:t>1.5</w:t>
            </w:r>
          </w:p>
        </w:tc>
        <w:tc>
          <w:tcPr>
            <w:tcW w:w="1140" w:type="dxa"/>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lang w:val="en-US" w:eastAsia="zh-CN"/>
              </w:rPr>
              <w:t>1.5</w:t>
            </w:r>
          </w:p>
        </w:tc>
        <w:tc>
          <w:tcPr>
            <w:tcW w:w="1140" w:type="dxa"/>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lang w:val="en-US" w:eastAsia="zh-CN"/>
              </w:rPr>
              <w:t>1.5</w:t>
            </w:r>
          </w:p>
        </w:tc>
        <w:tc>
          <w:tcPr>
            <w:tcW w:w="1140" w:type="dxa"/>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lang w:val="en-US" w:eastAsia="zh-CN"/>
              </w:rPr>
              <w:t>1.5</w:t>
            </w:r>
          </w:p>
        </w:tc>
        <w:tc>
          <w:tcPr>
            <w:tcW w:w="1490" w:type="dxa"/>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lang w:val="en-US" w:eastAsia="zh-CN"/>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41" w:type="pct"/>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单船实载量</w:t>
            </w:r>
          </w:p>
        </w:tc>
        <w:tc>
          <w:tcPr>
            <w:tcW w:w="365"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lang w:val="en-US" w:eastAsia="zh-CN"/>
              </w:rPr>
              <w:t>t</w:t>
            </w:r>
          </w:p>
        </w:tc>
        <w:tc>
          <w:tcPr>
            <w:tcW w:w="678" w:type="pct"/>
            <w:tcBorders>
              <w:tl2br w:val="nil"/>
              <w:tr2bl w:val="nil"/>
            </w:tcBorders>
            <w:noWrap/>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6850</w:t>
            </w:r>
          </w:p>
        </w:tc>
        <w:tc>
          <w:tcPr>
            <w:tcW w:w="1140" w:type="dxa"/>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6050</w:t>
            </w:r>
          </w:p>
        </w:tc>
        <w:tc>
          <w:tcPr>
            <w:tcW w:w="1140" w:type="dxa"/>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5000</w:t>
            </w:r>
          </w:p>
        </w:tc>
        <w:tc>
          <w:tcPr>
            <w:tcW w:w="1140" w:type="dxa"/>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4050</w:t>
            </w:r>
          </w:p>
        </w:tc>
        <w:tc>
          <w:tcPr>
            <w:tcW w:w="1490" w:type="dxa"/>
            <w:tcBorders>
              <w:tl2br w:val="nil"/>
              <w:tr2bl w:val="nil"/>
            </w:tcBorders>
            <w:noWrap/>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3000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41" w:type="pct"/>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设计船时装卸效率</w:t>
            </w:r>
          </w:p>
        </w:tc>
        <w:tc>
          <w:tcPr>
            <w:tcW w:w="365" w:type="pct"/>
            <w:tcBorders>
              <w:tl2br w:val="nil"/>
              <w:tr2bl w:val="nil"/>
            </w:tcBorders>
            <w:noWrap/>
            <w:vAlign w:val="center"/>
          </w:tcPr>
          <w:p>
            <w:pPr>
              <w:pStyle w:val="2057"/>
              <w:tabs>
                <w:tab w:val="left" w:pos="480"/>
              </w:tabs>
              <w:spacing w:afterLines="0" w:line="240" w:lineRule="atLeast"/>
              <w:ind w:firstLine="0" w:firstLineChars="0"/>
              <w:rPr>
                <w:rFonts w:hint="default"/>
                <w:sz w:val="21"/>
                <w:szCs w:val="21"/>
                <w:lang w:val="en-US"/>
              </w:rPr>
            </w:pPr>
            <w:r>
              <w:rPr>
                <w:rFonts w:hint="eastAsia"/>
                <w:sz w:val="21"/>
                <w:szCs w:val="21"/>
                <w:lang w:val="en-US" w:eastAsia="zh-CN"/>
              </w:rPr>
              <w:t>t/h</w:t>
            </w:r>
          </w:p>
        </w:tc>
        <w:tc>
          <w:tcPr>
            <w:tcW w:w="678" w:type="pct"/>
            <w:tcBorders>
              <w:tl2br w:val="nil"/>
              <w:tr2bl w:val="nil"/>
            </w:tcBorders>
            <w:noWrap/>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1200</w:t>
            </w:r>
          </w:p>
        </w:tc>
        <w:tc>
          <w:tcPr>
            <w:tcW w:w="678" w:type="pct"/>
            <w:tcBorders>
              <w:tl2br w:val="nil"/>
              <w:tr2bl w:val="nil"/>
            </w:tcBorders>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975</w:t>
            </w:r>
          </w:p>
        </w:tc>
        <w:tc>
          <w:tcPr>
            <w:tcW w:w="678" w:type="pct"/>
            <w:tcBorders>
              <w:tl2br w:val="nil"/>
              <w:tr2bl w:val="nil"/>
            </w:tcBorders>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400</w:t>
            </w:r>
          </w:p>
        </w:tc>
        <w:tc>
          <w:tcPr>
            <w:tcW w:w="678" w:type="pct"/>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450</w:t>
            </w:r>
          </w:p>
        </w:tc>
        <w:tc>
          <w:tcPr>
            <w:tcW w:w="679" w:type="pct"/>
            <w:tcBorders>
              <w:tl2br w:val="nil"/>
              <w:tr2bl w:val="nil"/>
            </w:tcBorders>
            <w:noWrap/>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160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41" w:type="pct"/>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一艘船纯装卸时间</w:t>
            </w:r>
          </w:p>
        </w:tc>
        <w:tc>
          <w:tcPr>
            <w:tcW w:w="365"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lang w:val="en-US" w:eastAsia="zh-CN"/>
              </w:rPr>
              <w:t>h</w:t>
            </w:r>
          </w:p>
        </w:tc>
        <w:tc>
          <w:tcPr>
            <w:tcW w:w="678" w:type="pct"/>
            <w:tcBorders>
              <w:tl2br w:val="nil"/>
              <w:tr2bl w:val="nil"/>
            </w:tcBorders>
            <w:noWrap/>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5.71</w:t>
            </w:r>
          </w:p>
        </w:tc>
        <w:tc>
          <w:tcPr>
            <w:tcW w:w="678" w:type="pct"/>
            <w:tcBorders>
              <w:tl2br w:val="nil"/>
              <w:tr2bl w:val="nil"/>
            </w:tcBorders>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6.21</w:t>
            </w:r>
          </w:p>
        </w:tc>
        <w:tc>
          <w:tcPr>
            <w:tcW w:w="678" w:type="pct"/>
            <w:tcBorders>
              <w:tl2br w:val="nil"/>
              <w:tr2bl w:val="nil"/>
            </w:tcBorders>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12.5</w:t>
            </w:r>
          </w:p>
        </w:tc>
        <w:tc>
          <w:tcPr>
            <w:tcW w:w="678" w:type="pct"/>
            <w:tcBorders>
              <w:tl2br w:val="nil"/>
              <w:tr2bl w:val="nil"/>
            </w:tcBorders>
            <w:vAlign w:val="center"/>
          </w:tcPr>
          <w:p>
            <w:pPr>
              <w:pStyle w:val="2057"/>
              <w:tabs>
                <w:tab w:val="left" w:pos="480"/>
              </w:tabs>
              <w:spacing w:afterLines="0" w:line="240" w:lineRule="atLeast"/>
              <w:ind w:firstLine="0" w:firstLineChars="0"/>
              <w:rPr>
                <w:rFonts w:hint="eastAsia" w:eastAsia="宋体"/>
                <w:sz w:val="21"/>
                <w:szCs w:val="21"/>
                <w:lang w:val="en-US" w:eastAsia="zh-CN"/>
              </w:rPr>
            </w:pPr>
            <w:r>
              <w:rPr>
                <w:rFonts w:hint="eastAsia"/>
                <w:sz w:val="21"/>
                <w:szCs w:val="21"/>
                <w:lang w:val="en-US" w:eastAsia="zh-CN"/>
              </w:rPr>
              <w:t>9</w:t>
            </w:r>
          </w:p>
        </w:tc>
        <w:tc>
          <w:tcPr>
            <w:tcW w:w="679" w:type="pct"/>
            <w:tcBorders>
              <w:tl2br w:val="nil"/>
              <w:tr2bl w:val="nil"/>
            </w:tcBorders>
            <w:noWrap/>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18.75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41" w:type="pct"/>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泊位年通过能力</w:t>
            </w:r>
          </w:p>
        </w:tc>
        <w:tc>
          <w:tcPr>
            <w:tcW w:w="365"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lang w:val="en-US" w:eastAsia="zh-CN"/>
              </w:rPr>
              <w:t>万t</w:t>
            </w:r>
          </w:p>
        </w:tc>
        <w:tc>
          <w:tcPr>
            <w:tcW w:w="678" w:type="pct"/>
            <w:tcBorders>
              <w:tl2br w:val="nil"/>
              <w:tr2bl w:val="nil"/>
            </w:tcBorders>
            <w:noWrap/>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474.2</w:t>
            </w:r>
          </w:p>
        </w:tc>
        <w:tc>
          <w:tcPr>
            <w:tcW w:w="678" w:type="pct"/>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lang w:val="en-US" w:eastAsia="zh-CN"/>
              </w:rPr>
              <w:t>391.8</w:t>
            </w:r>
          </w:p>
        </w:tc>
        <w:tc>
          <w:tcPr>
            <w:tcW w:w="678" w:type="pct"/>
            <w:tcBorders>
              <w:tl2br w:val="nil"/>
              <w:tr2bl w:val="nil"/>
            </w:tcBorders>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73.9</w:t>
            </w:r>
          </w:p>
        </w:tc>
        <w:tc>
          <w:tcPr>
            <w:tcW w:w="678" w:type="pct"/>
            <w:tcBorders>
              <w:tl2br w:val="nil"/>
              <w:tr2bl w:val="nil"/>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178.2</w:t>
            </w:r>
          </w:p>
        </w:tc>
        <w:tc>
          <w:tcPr>
            <w:tcW w:w="679" w:type="pct"/>
            <w:tcBorders>
              <w:tl2br w:val="nil"/>
              <w:tr2bl w:val="nil"/>
            </w:tcBorders>
            <w:noWrap/>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192.4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41" w:type="pct"/>
            <w:tcBorders>
              <w:bottom w:val="single" w:color="auto" w:sz="12" w:space="0"/>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码头年通过能力</w:t>
            </w:r>
          </w:p>
        </w:tc>
        <w:tc>
          <w:tcPr>
            <w:tcW w:w="365" w:type="pct"/>
            <w:tcBorders>
              <w:bottom w:val="single" w:color="auto" w:sz="12" w:space="0"/>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lang w:val="en-US" w:eastAsia="zh-CN"/>
              </w:rPr>
              <w:t>万t</w:t>
            </w:r>
          </w:p>
        </w:tc>
        <w:tc>
          <w:tcPr>
            <w:tcW w:w="678" w:type="pct"/>
            <w:tcBorders>
              <w:bottom w:val="single" w:color="auto" w:sz="12" w:space="0"/>
            </w:tcBorders>
            <w:noWrap/>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474.2</w:t>
            </w:r>
          </w:p>
        </w:tc>
        <w:tc>
          <w:tcPr>
            <w:tcW w:w="678" w:type="pct"/>
            <w:tcBorders>
              <w:bottom w:val="single" w:color="auto" w:sz="12" w:space="0"/>
            </w:tcBorders>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783.6</w:t>
            </w:r>
          </w:p>
        </w:tc>
        <w:tc>
          <w:tcPr>
            <w:tcW w:w="678" w:type="pct"/>
            <w:tcBorders>
              <w:bottom w:val="single" w:color="auto" w:sz="12" w:space="0"/>
            </w:tcBorders>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89.1</w:t>
            </w:r>
          </w:p>
        </w:tc>
        <w:tc>
          <w:tcPr>
            <w:tcW w:w="678" w:type="pct"/>
            <w:tcBorders>
              <w:bottom w:val="single" w:color="auto" w:sz="12" w:space="0"/>
            </w:tcBorders>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442.6</w:t>
            </w:r>
          </w:p>
        </w:tc>
        <w:tc>
          <w:tcPr>
            <w:tcW w:w="679" w:type="pct"/>
            <w:tcBorders>
              <w:bottom w:val="single" w:color="auto" w:sz="12" w:space="0"/>
            </w:tcBorders>
            <w:noWrap/>
            <w:vAlign w:val="center"/>
          </w:tcPr>
          <w:p>
            <w:pPr>
              <w:pStyle w:val="2057"/>
              <w:tabs>
                <w:tab w:val="left" w:pos="480"/>
              </w:tabs>
              <w:spacing w:afterLines="0" w:line="240" w:lineRule="atLeast"/>
              <w:ind w:firstLine="0" w:firstLineChars="0"/>
              <w:rPr>
                <w:rFonts w:hint="default" w:eastAsia="宋体"/>
                <w:sz w:val="21"/>
                <w:szCs w:val="21"/>
                <w:lang w:val="en-US" w:eastAsia="zh-CN"/>
              </w:rPr>
            </w:pPr>
            <w:r>
              <w:rPr>
                <w:rFonts w:hint="eastAsia"/>
                <w:sz w:val="21"/>
                <w:szCs w:val="21"/>
                <w:lang w:val="en-US" w:eastAsia="zh-CN"/>
              </w:rPr>
              <w:t>89.1</w:t>
            </w:r>
          </w:p>
        </w:tc>
      </w:tr>
    </w:tbl>
    <w:p>
      <w:pPr>
        <w:numPr>
          <w:ilvl w:val="0"/>
          <w:numId w:val="58"/>
        </w:numPr>
        <w:ind w:firstLine="480"/>
        <w:rPr>
          <w:rFonts w:cs="Times New Roman"/>
          <w:spacing w:val="0"/>
        </w:rPr>
      </w:pPr>
      <w:r>
        <w:rPr>
          <w:rFonts w:hint="default" w:cs="Times New Roman"/>
          <w:spacing w:val="0"/>
        </w:rPr>
        <w:t>根据设计单位提供的资料，每个泊位详细的装卸货物类型、装卸方式、装卸量见下表：</w:t>
      </w:r>
    </w:p>
    <w:p>
      <w:pPr>
        <w:pStyle w:val="2285"/>
        <w:ind w:left="0"/>
      </w:pPr>
      <w:r>
        <w:rPr>
          <w:rFonts w:hint="eastAsia"/>
        </w:rPr>
        <w:t xml:space="preserve"> </w:t>
      </w:r>
      <w:r>
        <w:t xml:space="preserve"> </w:t>
      </w:r>
      <w:r>
        <w:rPr>
          <w:rFonts w:hint="eastAsia"/>
        </w:rPr>
        <w:t>泊位</w:t>
      </w:r>
      <w:r>
        <w:rPr>
          <w:rFonts w:hint="eastAsia" w:cs="Times New Roman"/>
          <w:bCs/>
        </w:rPr>
        <w:t>装卸</w:t>
      </w:r>
      <w:r>
        <w:rPr>
          <w:rFonts w:hint="eastAsia"/>
        </w:rPr>
        <w:t>货物一览表</w:t>
      </w:r>
    </w:p>
    <w:tbl>
      <w:tblPr>
        <w:tblStyle w:val="87"/>
        <w:tblW w:w="505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329"/>
        <w:gridCol w:w="687"/>
        <w:gridCol w:w="2873"/>
        <w:gridCol w:w="736"/>
        <w:gridCol w:w="1284"/>
        <w:gridCol w:w="12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34" w:hRule="atLeast"/>
        </w:trPr>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装卸泊位</w:t>
            </w:r>
          </w:p>
        </w:tc>
        <w:tc>
          <w:tcPr>
            <w:tcW w:w="374"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货物形式</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货种</w:t>
            </w:r>
          </w:p>
        </w:tc>
        <w:tc>
          <w:tcPr>
            <w:tcW w:w="4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单位</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进口</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出口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57" w:hRule="atLeast"/>
        </w:trPr>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1#散货出口泊位</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非金属矿石</w:t>
            </w:r>
          </w:p>
        </w:tc>
        <w:tc>
          <w:tcPr>
            <w:tcW w:w="4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150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7" w:hRule="atLeast"/>
        </w:trPr>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1#散货出口泊位</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砂石（全省机制砂水水中转）</w:t>
            </w:r>
          </w:p>
        </w:tc>
        <w:tc>
          <w:tcPr>
            <w:tcW w:w="4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1#散货出口泊位</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砂石（少量河沙水水中转）</w:t>
            </w:r>
          </w:p>
        </w:tc>
        <w:tc>
          <w:tcPr>
            <w:tcW w:w="4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1#散货出口泊位</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铁矿石（水水中转）</w:t>
            </w:r>
          </w:p>
        </w:tc>
        <w:tc>
          <w:tcPr>
            <w:tcW w:w="4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2#、3#散货进口泊位合计</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铁矿石（水水中转）</w:t>
            </w:r>
          </w:p>
        </w:tc>
        <w:tc>
          <w:tcPr>
            <w:tcW w:w="4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50</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2#、3#散货进口泊位合计</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砂石（全省机制砂水水中转）</w:t>
            </w:r>
          </w:p>
        </w:tc>
        <w:tc>
          <w:tcPr>
            <w:tcW w:w="400" w:type="pct"/>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200</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2#、3#散货进口泊位合计</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砂石（少量河沙水水中转）</w:t>
            </w:r>
          </w:p>
        </w:tc>
        <w:tc>
          <w:tcPr>
            <w:tcW w:w="400" w:type="pct"/>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50</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2#、3#散货进口泊位合计</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本地砼加工用骨料</w:t>
            </w:r>
          </w:p>
        </w:tc>
        <w:tc>
          <w:tcPr>
            <w:tcW w:w="400" w:type="pct"/>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450</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4#泊位</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水泥</w:t>
            </w:r>
          </w:p>
        </w:tc>
        <w:tc>
          <w:tcPr>
            <w:tcW w:w="400" w:type="pct"/>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80</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4#、5#泊位合计</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土壤修复剂、复合肥等</w:t>
            </w:r>
          </w:p>
        </w:tc>
        <w:tc>
          <w:tcPr>
            <w:tcW w:w="400" w:type="pct"/>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20</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4#、5#泊位合计</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本地砼加工用骨料</w:t>
            </w:r>
          </w:p>
        </w:tc>
        <w:tc>
          <w:tcPr>
            <w:tcW w:w="400" w:type="pct"/>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250</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67" w:type="pct"/>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rPr>
              <w:t>6#泊位</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防汛用砂石料</w:t>
            </w:r>
          </w:p>
        </w:tc>
        <w:tc>
          <w:tcPr>
            <w:tcW w:w="400" w:type="pct"/>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100</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5" w:hRule="atLeast"/>
        </w:trPr>
        <w:tc>
          <w:tcPr>
            <w:tcW w:w="1267" w:type="pct"/>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rPr>
              <w:t>6#泊位</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件杂</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防汛物资</w:t>
            </w:r>
          </w:p>
        </w:tc>
        <w:tc>
          <w:tcPr>
            <w:tcW w:w="400" w:type="pct"/>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10</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5" w:hRule="atLeast"/>
        </w:trPr>
        <w:tc>
          <w:tcPr>
            <w:tcW w:w="1267" w:type="pct"/>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rPr>
              <w:t>合计</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p>
        </w:tc>
        <w:tc>
          <w:tcPr>
            <w:tcW w:w="400" w:type="pct"/>
            <w:tcBorders>
              <w:tl2br w:val="nil"/>
              <w:tr2bl w:val="nil"/>
            </w:tcBorders>
          </w:tcPr>
          <w:p>
            <w:pPr>
              <w:pStyle w:val="2057"/>
              <w:tabs>
                <w:tab w:val="left" w:pos="480"/>
              </w:tabs>
              <w:spacing w:afterLines="0" w:line="240" w:lineRule="atLeast"/>
              <w:ind w:firstLine="0" w:firstLineChars="0"/>
              <w:rPr>
                <w:sz w:val="21"/>
                <w:szCs w:val="21"/>
              </w:rPr>
            </w:pP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1210</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450</w:t>
            </w:r>
          </w:p>
        </w:tc>
      </w:tr>
    </w:tbl>
    <w:p>
      <w:pPr>
        <w:numPr>
          <w:ilvl w:val="0"/>
          <w:numId w:val="58"/>
        </w:numPr>
        <w:tabs>
          <w:tab w:val="clear" w:pos="720"/>
        </w:tabs>
        <w:ind w:firstLine="480"/>
        <w:rPr>
          <w:szCs w:val="28"/>
        </w:rPr>
      </w:pPr>
      <w:r>
        <w:t>运输船型：</w:t>
      </w:r>
      <w:r>
        <w:rPr>
          <w:rFonts w:hint="eastAsia"/>
        </w:rPr>
        <w:t>本工程</w:t>
      </w:r>
      <w:r>
        <w:t>1#~5#</w:t>
      </w:r>
      <w:r>
        <w:rPr>
          <w:rFonts w:hint="eastAsia"/>
        </w:rPr>
        <w:t>泊位拟综合采用</w:t>
      </w:r>
      <w:r>
        <w:t>10000</w:t>
      </w:r>
      <w:r>
        <w:rPr>
          <w:rFonts w:hint="eastAsia"/>
        </w:rPr>
        <w:t>吨级货船作为设计船型，并采用</w:t>
      </w:r>
      <w:r>
        <w:t>15000</w:t>
      </w:r>
      <w:r>
        <w:rPr>
          <w:rFonts w:hint="eastAsia"/>
        </w:rPr>
        <w:t>吨级散货船、</w:t>
      </w:r>
      <w:r>
        <w:t>7000</w:t>
      </w:r>
      <w:r>
        <w:rPr>
          <w:rFonts w:hint="eastAsia"/>
        </w:rPr>
        <w:t>吨级散货船、</w:t>
      </w:r>
      <w:r>
        <w:t>5000</w:t>
      </w:r>
      <w:r>
        <w:rPr>
          <w:rFonts w:hint="eastAsia"/>
        </w:rPr>
        <w:t>吨级货船、</w:t>
      </w:r>
      <w:r>
        <w:t>3000</w:t>
      </w:r>
      <w:r>
        <w:rPr>
          <w:rFonts w:hint="eastAsia"/>
        </w:rPr>
        <w:t>吨级货船、</w:t>
      </w:r>
      <w:r>
        <w:t>2000</w:t>
      </w:r>
      <w:r>
        <w:rPr>
          <w:rFonts w:hint="eastAsia"/>
        </w:rPr>
        <w:t>吨级货船、</w:t>
      </w:r>
      <w:r>
        <w:t>1000</w:t>
      </w:r>
      <w:r>
        <w:rPr>
          <w:rFonts w:hint="eastAsia"/>
        </w:rPr>
        <w:t>吨级货船作为兼顾船型；</w:t>
      </w:r>
      <w:r>
        <w:t>6#</w:t>
      </w:r>
      <w:r>
        <w:rPr>
          <w:rFonts w:hint="eastAsia"/>
        </w:rPr>
        <w:t>泊位采用</w:t>
      </w:r>
      <w:r>
        <w:t>5000</w:t>
      </w:r>
      <w:r>
        <w:rPr>
          <w:rFonts w:hint="eastAsia"/>
        </w:rPr>
        <w:t>吨级货船作为设计代表船型</w:t>
      </w:r>
      <w:r>
        <w:t>，详见</w:t>
      </w:r>
      <w:r>
        <w:rPr>
          <w:szCs w:val="28"/>
        </w:rPr>
        <w:t>下表。</w:t>
      </w:r>
    </w:p>
    <w:p>
      <w:pPr>
        <w:pStyle w:val="2285"/>
        <w:ind w:left="0"/>
        <w:rPr>
          <w:rFonts w:cs="Times New Roman"/>
        </w:rPr>
      </w:pPr>
      <w:r>
        <w:rPr>
          <w:rFonts w:cs="Times New Roman"/>
        </w:rPr>
        <w:t>运输船型表</w:t>
      </w:r>
    </w:p>
    <w:tbl>
      <w:tblPr>
        <w:tblStyle w:val="359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405"/>
        <w:gridCol w:w="1081"/>
        <w:gridCol w:w="1181"/>
        <w:gridCol w:w="1447"/>
        <w:gridCol w:w="21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0" w:hRule="exact"/>
          <w:jc w:val="center"/>
        </w:trPr>
        <w:tc>
          <w:tcPr>
            <w:tcW w:w="1833" w:type="pct"/>
            <w:vAlign w:val="center"/>
          </w:tcPr>
          <w:p>
            <w:pPr>
              <w:tabs>
                <w:tab w:val="clear" w:pos="480"/>
              </w:tabs>
              <w:spacing w:line="240" w:lineRule="auto"/>
              <w:ind w:firstLine="0" w:firstLineChars="0"/>
              <w:jc w:val="center"/>
              <w:rPr>
                <w:b/>
                <w:sz w:val="21"/>
                <w:szCs w:val="22"/>
              </w:rPr>
            </w:pPr>
            <w:r>
              <w:rPr>
                <w:b/>
                <w:sz w:val="21"/>
                <w:szCs w:val="22"/>
              </w:rPr>
              <w:t>船型</w:t>
            </w:r>
          </w:p>
        </w:tc>
        <w:tc>
          <w:tcPr>
            <w:tcW w:w="582" w:type="pct"/>
            <w:vAlign w:val="center"/>
          </w:tcPr>
          <w:p>
            <w:pPr>
              <w:tabs>
                <w:tab w:val="clear" w:pos="480"/>
              </w:tabs>
              <w:spacing w:line="240" w:lineRule="auto"/>
              <w:ind w:firstLine="0" w:firstLineChars="0"/>
              <w:jc w:val="center"/>
              <w:rPr>
                <w:b/>
                <w:sz w:val="21"/>
                <w:szCs w:val="22"/>
              </w:rPr>
            </w:pPr>
            <w:r>
              <w:rPr>
                <w:b/>
                <w:sz w:val="21"/>
                <w:szCs w:val="22"/>
              </w:rPr>
              <w:t>型长</w:t>
            </w:r>
          </w:p>
        </w:tc>
        <w:tc>
          <w:tcPr>
            <w:tcW w:w="636" w:type="pct"/>
            <w:vAlign w:val="center"/>
          </w:tcPr>
          <w:p>
            <w:pPr>
              <w:tabs>
                <w:tab w:val="clear" w:pos="480"/>
              </w:tabs>
              <w:spacing w:line="240" w:lineRule="auto"/>
              <w:ind w:firstLine="0" w:firstLineChars="0"/>
              <w:jc w:val="center"/>
              <w:rPr>
                <w:b/>
                <w:sz w:val="21"/>
                <w:szCs w:val="22"/>
              </w:rPr>
            </w:pPr>
            <w:r>
              <w:rPr>
                <w:b/>
                <w:sz w:val="21"/>
                <w:szCs w:val="22"/>
              </w:rPr>
              <w:t>型宽</w:t>
            </w:r>
          </w:p>
        </w:tc>
        <w:tc>
          <w:tcPr>
            <w:tcW w:w="779" w:type="pct"/>
            <w:vAlign w:val="center"/>
          </w:tcPr>
          <w:p>
            <w:pPr>
              <w:tabs>
                <w:tab w:val="clear" w:pos="480"/>
              </w:tabs>
              <w:spacing w:line="240" w:lineRule="auto"/>
              <w:ind w:firstLine="0" w:firstLineChars="0"/>
              <w:jc w:val="center"/>
              <w:rPr>
                <w:b/>
                <w:sz w:val="21"/>
                <w:szCs w:val="22"/>
              </w:rPr>
            </w:pPr>
            <w:r>
              <w:rPr>
                <w:b/>
                <w:sz w:val="21"/>
                <w:szCs w:val="22"/>
              </w:rPr>
              <w:t>满载吃水</w:t>
            </w:r>
          </w:p>
        </w:tc>
        <w:tc>
          <w:tcPr>
            <w:tcW w:w="1167" w:type="pct"/>
            <w:vAlign w:val="center"/>
          </w:tcPr>
          <w:p>
            <w:pPr>
              <w:tabs>
                <w:tab w:val="clear" w:pos="480"/>
              </w:tabs>
              <w:spacing w:line="240" w:lineRule="auto"/>
              <w:ind w:firstLine="0" w:firstLineChars="0"/>
              <w:jc w:val="center"/>
              <w:rPr>
                <w:b/>
                <w:sz w:val="21"/>
                <w:szCs w:val="22"/>
              </w:rPr>
            </w:pPr>
            <w:r>
              <w:rPr>
                <w:b/>
                <w:sz w:val="21"/>
                <w:szCs w:val="22"/>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0" w:hRule="exact"/>
          <w:jc w:val="center"/>
        </w:trPr>
        <w:tc>
          <w:tcPr>
            <w:tcW w:w="1833" w:type="pct"/>
            <w:vAlign w:val="center"/>
          </w:tcPr>
          <w:p>
            <w:pPr>
              <w:tabs>
                <w:tab w:val="clear" w:pos="480"/>
              </w:tabs>
              <w:spacing w:line="240" w:lineRule="auto"/>
              <w:ind w:firstLine="0" w:firstLineChars="0"/>
              <w:jc w:val="center"/>
              <w:rPr>
                <w:sz w:val="21"/>
                <w:szCs w:val="22"/>
              </w:rPr>
            </w:pPr>
            <w:r>
              <w:rPr>
                <w:sz w:val="21"/>
                <w:szCs w:val="22"/>
              </w:rPr>
              <w:t>5000 吨级散货船</w:t>
            </w:r>
          </w:p>
        </w:tc>
        <w:tc>
          <w:tcPr>
            <w:tcW w:w="582" w:type="pct"/>
            <w:vAlign w:val="center"/>
          </w:tcPr>
          <w:p>
            <w:pPr>
              <w:tabs>
                <w:tab w:val="clear" w:pos="480"/>
              </w:tabs>
              <w:spacing w:line="240" w:lineRule="auto"/>
              <w:ind w:firstLine="0" w:firstLineChars="0"/>
              <w:jc w:val="center"/>
              <w:rPr>
                <w:sz w:val="21"/>
                <w:szCs w:val="22"/>
              </w:rPr>
            </w:pPr>
            <w:r>
              <w:rPr>
                <w:sz w:val="21"/>
                <w:szCs w:val="22"/>
              </w:rPr>
              <w:t>110</w:t>
            </w:r>
          </w:p>
        </w:tc>
        <w:tc>
          <w:tcPr>
            <w:tcW w:w="636" w:type="pct"/>
            <w:vAlign w:val="center"/>
          </w:tcPr>
          <w:p>
            <w:pPr>
              <w:tabs>
                <w:tab w:val="clear" w:pos="480"/>
              </w:tabs>
              <w:spacing w:line="240" w:lineRule="auto"/>
              <w:ind w:firstLine="0" w:firstLineChars="0"/>
              <w:jc w:val="center"/>
              <w:rPr>
                <w:sz w:val="21"/>
                <w:szCs w:val="22"/>
              </w:rPr>
            </w:pPr>
            <w:r>
              <w:rPr>
                <w:sz w:val="21"/>
                <w:szCs w:val="22"/>
              </w:rPr>
              <w:t>19.2</w:t>
            </w:r>
          </w:p>
        </w:tc>
        <w:tc>
          <w:tcPr>
            <w:tcW w:w="779" w:type="pct"/>
            <w:vAlign w:val="center"/>
          </w:tcPr>
          <w:p>
            <w:pPr>
              <w:tabs>
                <w:tab w:val="clear" w:pos="480"/>
              </w:tabs>
              <w:spacing w:line="240" w:lineRule="auto"/>
              <w:ind w:firstLine="0" w:firstLineChars="0"/>
              <w:jc w:val="center"/>
              <w:rPr>
                <w:sz w:val="21"/>
                <w:szCs w:val="22"/>
              </w:rPr>
            </w:pPr>
            <w:r>
              <w:rPr>
                <w:sz w:val="21"/>
                <w:szCs w:val="22"/>
              </w:rPr>
              <w:t>4.0</w:t>
            </w:r>
          </w:p>
        </w:tc>
        <w:tc>
          <w:tcPr>
            <w:tcW w:w="1167" w:type="pct"/>
            <w:vAlign w:val="center"/>
          </w:tcPr>
          <w:p>
            <w:pPr>
              <w:tabs>
                <w:tab w:val="clear" w:pos="480"/>
              </w:tabs>
              <w:spacing w:line="240" w:lineRule="auto"/>
              <w:ind w:firstLine="0" w:firstLineChars="0"/>
              <w:jc w:val="center"/>
              <w:rPr>
                <w:sz w:val="21"/>
                <w:szCs w:val="22"/>
              </w:rPr>
            </w:pPr>
            <w:r>
              <w:rPr>
                <w:sz w:val="21"/>
                <w:szCs w:val="22"/>
              </w:rPr>
              <w:t>设计代表船型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0" w:hRule="exact"/>
          <w:jc w:val="center"/>
        </w:trPr>
        <w:tc>
          <w:tcPr>
            <w:tcW w:w="1833" w:type="pct"/>
            <w:vAlign w:val="center"/>
          </w:tcPr>
          <w:p>
            <w:pPr>
              <w:tabs>
                <w:tab w:val="clear" w:pos="480"/>
              </w:tabs>
              <w:spacing w:line="240" w:lineRule="auto"/>
              <w:ind w:firstLine="0" w:firstLineChars="0"/>
              <w:jc w:val="center"/>
              <w:rPr>
                <w:sz w:val="21"/>
                <w:szCs w:val="22"/>
              </w:rPr>
            </w:pPr>
            <w:r>
              <w:rPr>
                <w:sz w:val="21"/>
                <w:szCs w:val="22"/>
              </w:rPr>
              <w:t>10000 吨级散货船</w:t>
            </w:r>
          </w:p>
        </w:tc>
        <w:tc>
          <w:tcPr>
            <w:tcW w:w="582" w:type="pct"/>
            <w:vAlign w:val="center"/>
          </w:tcPr>
          <w:p>
            <w:pPr>
              <w:tabs>
                <w:tab w:val="clear" w:pos="480"/>
              </w:tabs>
              <w:spacing w:line="240" w:lineRule="auto"/>
              <w:ind w:firstLine="0" w:firstLineChars="0"/>
              <w:jc w:val="center"/>
              <w:rPr>
                <w:sz w:val="21"/>
                <w:szCs w:val="22"/>
              </w:rPr>
            </w:pPr>
            <w:r>
              <w:rPr>
                <w:sz w:val="21"/>
                <w:szCs w:val="22"/>
              </w:rPr>
              <w:t>123</w:t>
            </w:r>
          </w:p>
        </w:tc>
        <w:tc>
          <w:tcPr>
            <w:tcW w:w="636" w:type="pct"/>
            <w:vAlign w:val="center"/>
          </w:tcPr>
          <w:p>
            <w:pPr>
              <w:tabs>
                <w:tab w:val="clear" w:pos="480"/>
              </w:tabs>
              <w:spacing w:line="240" w:lineRule="auto"/>
              <w:ind w:firstLine="0" w:firstLineChars="0"/>
              <w:jc w:val="center"/>
              <w:rPr>
                <w:sz w:val="21"/>
                <w:szCs w:val="22"/>
              </w:rPr>
            </w:pPr>
            <w:r>
              <w:rPr>
                <w:sz w:val="21"/>
                <w:szCs w:val="22"/>
              </w:rPr>
              <w:t>21.6</w:t>
            </w:r>
          </w:p>
        </w:tc>
        <w:tc>
          <w:tcPr>
            <w:tcW w:w="779" w:type="pct"/>
            <w:vAlign w:val="center"/>
          </w:tcPr>
          <w:p>
            <w:pPr>
              <w:tabs>
                <w:tab w:val="clear" w:pos="480"/>
              </w:tabs>
              <w:spacing w:line="240" w:lineRule="auto"/>
              <w:ind w:firstLine="0" w:firstLineChars="0"/>
              <w:jc w:val="center"/>
              <w:rPr>
                <w:sz w:val="21"/>
                <w:szCs w:val="22"/>
              </w:rPr>
            </w:pPr>
            <w:r>
              <w:rPr>
                <w:sz w:val="21"/>
                <w:szCs w:val="22"/>
              </w:rPr>
              <w:t>5.8</w:t>
            </w:r>
          </w:p>
        </w:tc>
        <w:tc>
          <w:tcPr>
            <w:tcW w:w="1167" w:type="pct"/>
            <w:vAlign w:val="center"/>
          </w:tcPr>
          <w:p>
            <w:pPr>
              <w:tabs>
                <w:tab w:val="clear" w:pos="480"/>
              </w:tabs>
              <w:spacing w:line="240" w:lineRule="auto"/>
              <w:ind w:firstLine="0" w:firstLineChars="0"/>
              <w:jc w:val="center"/>
              <w:rPr>
                <w:sz w:val="21"/>
                <w:szCs w:val="22"/>
              </w:rPr>
            </w:pPr>
            <w:r>
              <w:rPr>
                <w:sz w:val="21"/>
                <w:szCs w:val="22"/>
              </w:rPr>
              <w:t>设计代表船型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0" w:hRule="exact"/>
          <w:jc w:val="center"/>
        </w:trPr>
        <w:tc>
          <w:tcPr>
            <w:tcW w:w="1833" w:type="pct"/>
            <w:vAlign w:val="center"/>
          </w:tcPr>
          <w:p>
            <w:pPr>
              <w:tabs>
                <w:tab w:val="clear" w:pos="480"/>
              </w:tabs>
              <w:spacing w:line="240" w:lineRule="auto"/>
              <w:ind w:firstLine="0" w:firstLineChars="0"/>
              <w:jc w:val="center"/>
              <w:rPr>
                <w:sz w:val="21"/>
                <w:szCs w:val="22"/>
              </w:rPr>
            </w:pPr>
            <w:r>
              <w:rPr>
                <w:sz w:val="21"/>
                <w:szCs w:val="22"/>
              </w:rPr>
              <w:t>1000 吨级货船</w:t>
            </w:r>
          </w:p>
        </w:tc>
        <w:tc>
          <w:tcPr>
            <w:tcW w:w="582" w:type="pct"/>
            <w:vAlign w:val="center"/>
          </w:tcPr>
          <w:p>
            <w:pPr>
              <w:tabs>
                <w:tab w:val="clear" w:pos="480"/>
              </w:tabs>
              <w:spacing w:line="240" w:lineRule="auto"/>
              <w:ind w:firstLine="0" w:firstLineChars="0"/>
              <w:jc w:val="center"/>
              <w:rPr>
                <w:sz w:val="21"/>
                <w:szCs w:val="22"/>
              </w:rPr>
            </w:pPr>
            <w:r>
              <w:rPr>
                <w:sz w:val="21"/>
                <w:szCs w:val="22"/>
              </w:rPr>
              <w:t>85</w:t>
            </w:r>
          </w:p>
        </w:tc>
        <w:tc>
          <w:tcPr>
            <w:tcW w:w="636" w:type="pct"/>
            <w:vAlign w:val="center"/>
          </w:tcPr>
          <w:p>
            <w:pPr>
              <w:tabs>
                <w:tab w:val="clear" w:pos="480"/>
              </w:tabs>
              <w:spacing w:line="240" w:lineRule="auto"/>
              <w:ind w:firstLine="0" w:firstLineChars="0"/>
              <w:jc w:val="center"/>
              <w:rPr>
                <w:sz w:val="21"/>
                <w:szCs w:val="22"/>
              </w:rPr>
            </w:pPr>
            <w:r>
              <w:rPr>
                <w:sz w:val="21"/>
                <w:szCs w:val="22"/>
              </w:rPr>
              <w:t>10.8</w:t>
            </w:r>
          </w:p>
        </w:tc>
        <w:tc>
          <w:tcPr>
            <w:tcW w:w="779" w:type="pct"/>
            <w:vAlign w:val="center"/>
          </w:tcPr>
          <w:p>
            <w:pPr>
              <w:tabs>
                <w:tab w:val="clear" w:pos="480"/>
              </w:tabs>
              <w:spacing w:line="240" w:lineRule="auto"/>
              <w:ind w:firstLine="0" w:firstLineChars="0"/>
              <w:jc w:val="center"/>
              <w:rPr>
                <w:sz w:val="21"/>
                <w:szCs w:val="22"/>
              </w:rPr>
            </w:pPr>
            <w:r>
              <w:rPr>
                <w:sz w:val="21"/>
                <w:szCs w:val="22"/>
              </w:rPr>
              <w:t>2.0</w:t>
            </w:r>
          </w:p>
        </w:tc>
        <w:tc>
          <w:tcPr>
            <w:tcW w:w="1167" w:type="pct"/>
            <w:vAlign w:val="center"/>
          </w:tcPr>
          <w:p>
            <w:pPr>
              <w:tabs>
                <w:tab w:val="clear" w:pos="480"/>
              </w:tabs>
              <w:spacing w:line="240" w:lineRule="auto"/>
              <w:ind w:firstLine="0" w:firstLineChars="0"/>
              <w:jc w:val="center"/>
              <w:rPr>
                <w:sz w:val="21"/>
                <w:szCs w:val="22"/>
              </w:rPr>
            </w:pPr>
            <w:r>
              <w:rPr>
                <w:sz w:val="21"/>
                <w:szCs w:val="22"/>
              </w:rPr>
              <w:t>兼顾船型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0" w:hRule="exact"/>
          <w:jc w:val="center"/>
        </w:trPr>
        <w:tc>
          <w:tcPr>
            <w:tcW w:w="1833" w:type="pct"/>
            <w:vAlign w:val="center"/>
          </w:tcPr>
          <w:p>
            <w:pPr>
              <w:tabs>
                <w:tab w:val="clear" w:pos="480"/>
              </w:tabs>
              <w:spacing w:line="240" w:lineRule="auto"/>
              <w:ind w:firstLine="0" w:firstLineChars="0"/>
              <w:jc w:val="center"/>
              <w:rPr>
                <w:sz w:val="21"/>
                <w:szCs w:val="22"/>
              </w:rPr>
            </w:pPr>
            <w:r>
              <w:rPr>
                <w:sz w:val="21"/>
                <w:szCs w:val="22"/>
              </w:rPr>
              <w:t>2000 吨级货船</w:t>
            </w:r>
          </w:p>
        </w:tc>
        <w:tc>
          <w:tcPr>
            <w:tcW w:w="582" w:type="pct"/>
            <w:vAlign w:val="center"/>
          </w:tcPr>
          <w:p>
            <w:pPr>
              <w:tabs>
                <w:tab w:val="clear" w:pos="480"/>
              </w:tabs>
              <w:spacing w:line="240" w:lineRule="auto"/>
              <w:ind w:firstLine="0" w:firstLineChars="0"/>
              <w:jc w:val="center"/>
              <w:rPr>
                <w:sz w:val="21"/>
                <w:szCs w:val="22"/>
              </w:rPr>
            </w:pPr>
            <w:r>
              <w:rPr>
                <w:sz w:val="21"/>
                <w:szCs w:val="22"/>
              </w:rPr>
              <w:t>90</w:t>
            </w:r>
          </w:p>
        </w:tc>
        <w:tc>
          <w:tcPr>
            <w:tcW w:w="636" w:type="pct"/>
            <w:vAlign w:val="center"/>
          </w:tcPr>
          <w:p>
            <w:pPr>
              <w:tabs>
                <w:tab w:val="clear" w:pos="480"/>
              </w:tabs>
              <w:spacing w:line="240" w:lineRule="auto"/>
              <w:ind w:firstLine="0" w:firstLineChars="0"/>
              <w:jc w:val="center"/>
              <w:rPr>
                <w:sz w:val="21"/>
                <w:szCs w:val="22"/>
              </w:rPr>
            </w:pPr>
            <w:r>
              <w:rPr>
                <w:sz w:val="21"/>
                <w:szCs w:val="22"/>
              </w:rPr>
              <w:t>14.8</w:t>
            </w:r>
          </w:p>
        </w:tc>
        <w:tc>
          <w:tcPr>
            <w:tcW w:w="779" w:type="pct"/>
            <w:vAlign w:val="center"/>
          </w:tcPr>
          <w:p>
            <w:pPr>
              <w:tabs>
                <w:tab w:val="clear" w:pos="480"/>
              </w:tabs>
              <w:spacing w:line="240" w:lineRule="auto"/>
              <w:ind w:firstLine="0" w:firstLineChars="0"/>
              <w:jc w:val="center"/>
              <w:rPr>
                <w:sz w:val="21"/>
                <w:szCs w:val="22"/>
              </w:rPr>
            </w:pPr>
            <w:r>
              <w:rPr>
                <w:sz w:val="21"/>
                <w:szCs w:val="22"/>
              </w:rPr>
              <w:t>2.6</w:t>
            </w:r>
          </w:p>
        </w:tc>
        <w:tc>
          <w:tcPr>
            <w:tcW w:w="1167" w:type="pct"/>
            <w:vAlign w:val="center"/>
          </w:tcPr>
          <w:p>
            <w:pPr>
              <w:tabs>
                <w:tab w:val="clear" w:pos="480"/>
              </w:tabs>
              <w:spacing w:line="240" w:lineRule="auto"/>
              <w:ind w:firstLine="0" w:firstLineChars="0"/>
              <w:jc w:val="center"/>
              <w:rPr>
                <w:sz w:val="21"/>
                <w:szCs w:val="22"/>
              </w:rPr>
            </w:pPr>
            <w:r>
              <w:rPr>
                <w:sz w:val="21"/>
                <w:szCs w:val="22"/>
              </w:rPr>
              <w:t>兼顾船型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0" w:hRule="exact"/>
          <w:jc w:val="center"/>
        </w:trPr>
        <w:tc>
          <w:tcPr>
            <w:tcW w:w="1833" w:type="pct"/>
            <w:vAlign w:val="center"/>
          </w:tcPr>
          <w:p>
            <w:pPr>
              <w:tabs>
                <w:tab w:val="clear" w:pos="480"/>
              </w:tabs>
              <w:spacing w:line="240" w:lineRule="auto"/>
              <w:ind w:firstLine="0" w:firstLineChars="0"/>
              <w:jc w:val="center"/>
              <w:rPr>
                <w:sz w:val="21"/>
                <w:szCs w:val="22"/>
              </w:rPr>
            </w:pPr>
            <w:r>
              <w:rPr>
                <w:sz w:val="21"/>
                <w:szCs w:val="22"/>
              </w:rPr>
              <w:t>3000 吨级货船</w:t>
            </w:r>
          </w:p>
        </w:tc>
        <w:tc>
          <w:tcPr>
            <w:tcW w:w="582" w:type="pct"/>
            <w:vAlign w:val="center"/>
          </w:tcPr>
          <w:p>
            <w:pPr>
              <w:tabs>
                <w:tab w:val="clear" w:pos="480"/>
              </w:tabs>
              <w:spacing w:line="240" w:lineRule="auto"/>
              <w:ind w:firstLine="0" w:firstLineChars="0"/>
              <w:jc w:val="center"/>
              <w:rPr>
                <w:sz w:val="21"/>
                <w:szCs w:val="22"/>
              </w:rPr>
            </w:pPr>
            <w:r>
              <w:rPr>
                <w:sz w:val="21"/>
                <w:szCs w:val="22"/>
              </w:rPr>
              <w:t>95</w:t>
            </w:r>
          </w:p>
        </w:tc>
        <w:tc>
          <w:tcPr>
            <w:tcW w:w="636" w:type="pct"/>
            <w:vAlign w:val="center"/>
          </w:tcPr>
          <w:p>
            <w:pPr>
              <w:tabs>
                <w:tab w:val="clear" w:pos="480"/>
              </w:tabs>
              <w:spacing w:line="240" w:lineRule="auto"/>
              <w:ind w:firstLine="0" w:firstLineChars="0"/>
              <w:jc w:val="center"/>
              <w:rPr>
                <w:sz w:val="21"/>
                <w:szCs w:val="22"/>
              </w:rPr>
            </w:pPr>
            <w:r>
              <w:rPr>
                <w:sz w:val="21"/>
                <w:szCs w:val="22"/>
              </w:rPr>
              <w:t>16.2</w:t>
            </w:r>
          </w:p>
        </w:tc>
        <w:tc>
          <w:tcPr>
            <w:tcW w:w="779" w:type="pct"/>
            <w:vAlign w:val="center"/>
          </w:tcPr>
          <w:p>
            <w:pPr>
              <w:tabs>
                <w:tab w:val="clear" w:pos="480"/>
              </w:tabs>
              <w:spacing w:line="240" w:lineRule="auto"/>
              <w:ind w:firstLine="0" w:firstLineChars="0"/>
              <w:jc w:val="center"/>
              <w:rPr>
                <w:sz w:val="21"/>
                <w:szCs w:val="22"/>
              </w:rPr>
            </w:pPr>
            <w:r>
              <w:rPr>
                <w:sz w:val="21"/>
                <w:szCs w:val="22"/>
              </w:rPr>
              <w:t>3.2</w:t>
            </w:r>
          </w:p>
        </w:tc>
        <w:tc>
          <w:tcPr>
            <w:tcW w:w="1167" w:type="pct"/>
            <w:vAlign w:val="center"/>
          </w:tcPr>
          <w:p>
            <w:pPr>
              <w:tabs>
                <w:tab w:val="clear" w:pos="480"/>
              </w:tabs>
              <w:spacing w:line="240" w:lineRule="auto"/>
              <w:ind w:firstLine="0" w:firstLineChars="0"/>
              <w:jc w:val="center"/>
              <w:rPr>
                <w:sz w:val="21"/>
                <w:szCs w:val="22"/>
              </w:rPr>
            </w:pPr>
            <w:r>
              <w:rPr>
                <w:sz w:val="21"/>
                <w:szCs w:val="22"/>
              </w:rPr>
              <w:t>兼顾船型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0" w:hRule="exact"/>
          <w:jc w:val="center"/>
        </w:trPr>
        <w:tc>
          <w:tcPr>
            <w:tcW w:w="1833" w:type="pct"/>
            <w:vAlign w:val="center"/>
          </w:tcPr>
          <w:p>
            <w:pPr>
              <w:tabs>
                <w:tab w:val="clear" w:pos="480"/>
              </w:tabs>
              <w:spacing w:line="240" w:lineRule="auto"/>
              <w:ind w:firstLine="0" w:firstLineChars="0"/>
              <w:jc w:val="center"/>
              <w:rPr>
                <w:sz w:val="21"/>
                <w:szCs w:val="22"/>
              </w:rPr>
            </w:pPr>
            <w:r>
              <w:rPr>
                <w:sz w:val="21"/>
                <w:szCs w:val="22"/>
              </w:rPr>
              <w:t>7000 吨级散货船</w:t>
            </w:r>
          </w:p>
        </w:tc>
        <w:tc>
          <w:tcPr>
            <w:tcW w:w="582" w:type="pct"/>
            <w:vAlign w:val="center"/>
          </w:tcPr>
          <w:p>
            <w:pPr>
              <w:tabs>
                <w:tab w:val="clear" w:pos="480"/>
              </w:tabs>
              <w:spacing w:line="240" w:lineRule="auto"/>
              <w:ind w:firstLine="0" w:firstLineChars="0"/>
              <w:jc w:val="center"/>
              <w:rPr>
                <w:sz w:val="21"/>
                <w:szCs w:val="22"/>
              </w:rPr>
            </w:pPr>
            <w:r>
              <w:rPr>
                <w:sz w:val="21"/>
                <w:szCs w:val="22"/>
              </w:rPr>
              <w:t>95</w:t>
            </w:r>
          </w:p>
        </w:tc>
        <w:tc>
          <w:tcPr>
            <w:tcW w:w="636" w:type="pct"/>
            <w:vAlign w:val="center"/>
          </w:tcPr>
          <w:p>
            <w:pPr>
              <w:tabs>
                <w:tab w:val="clear" w:pos="480"/>
              </w:tabs>
              <w:spacing w:line="240" w:lineRule="auto"/>
              <w:ind w:firstLine="0" w:firstLineChars="0"/>
              <w:jc w:val="center"/>
              <w:rPr>
                <w:sz w:val="21"/>
                <w:szCs w:val="22"/>
              </w:rPr>
            </w:pPr>
            <w:r>
              <w:rPr>
                <w:sz w:val="21"/>
                <w:szCs w:val="22"/>
              </w:rPr>
              <w:t>16.2</w:t>
            </w:r>
          </w:p>
        </w:tc>
        <w:tc>
          <w:tcPr>
            <w:tcW w:w="779" w:type="pct"/>
            <w:vAlign w:val="center"/>
          </w:tcPr>
          <w:p>
            <w:pPr>
              <w:tabs>
                <w:tab w:val="clear" w:pos="480"/>
              </w:tabs>
              <w:spacing w:line="240" w:lineRule="auto"/>
              <w:ind w:firstLine="0" w:firstLineChars="0"/>
              <w:jc w:val="center"/>
              <w:rPr>
                <w:sz w:val="21"/>
                <w:szCs w:val="22"/>
              </w:rPr>
            </w:pPr>
            <w:r>
              <w:rPr>
                <w:sz w:val="21"/>
                <w:szCs w:val="22"/>
              </w:rPr>
              <w:t>3.2</w:t>
            </w:r>
          </w:p>
        </w:tc>
        <w:tc>
          <w:tcPr>
            <w:tcW w:w="1167" w:type="pct"/>
            <w:vAlign w:val="center"/>
          </w:tcPr>
          <w:p>
            <w:pPr>
              <w:tabs>
                <w:tab w:val="clear" w:pos="480"/>
              </w:tabs>
              <w:spacing w:line="240" w:lineRule="auto"/>
              <w:ind w:firstLine="0" w:firstLineChars="0"/>
              <w:jc w:val="center"/>
              <w:rPr>
                <w:sz w:val="21"/>
                <w:szCs w:val="22"/>
              </w:rPr>
            </w:pPr>
            <w:r>
              <w:rPr>
                <w:sz w:val="21"/>
                <w:szCs w:val="22"/>
              </w:rPr>
              <w:t>兼顾船型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0" w:hRule="exact"/>
          <w:jc w:val="center"/>
        </w:trPr>
        <w:tc>
          <w:tcPr>
            <w:tcW w:w="1833" w:type="pct"/>
            <w:vAlign w:val="center"/>
          </w:tcPr>
          <w:p>
            <w:pPr>
              <w:tabs>
                <w:tab w:val="clear" w:pos="480"/>
              </w:tabs>
              <w:spacing w:line="240" w:lineRule="auto"/>
              <w:ind w:firstLine="0" w:firstLineChars="0"/>
              <w:jc w:val="center"/>
              <w:rPr>
                <w:sz w:val="21"/>
                <w:szCs w:val="22"/>
              </w:rPr>
            </w:pPr>
            <w:r>
              <w:rPr>
                <w:sz w:val="21"/>
                <w:szCs w:val="22"/>
              </w:rPr>
              <w:t>5000 吨级江海轮</w:t>
            </w:r>
          </w:p>
        </w:tc>
        <w:tc>
          <w:tcPr>
            <w:tcW w:w="582" w:type="pct"/>
            <w:vAlign w:val="center"/>
          </w:tcPr>
          <w:p>
            <w:pPr>
              <w:tabs>
                <w:tab w:val="clear" w:pos="480"/>
              </w:tabs>
              <w:spacing w:line="240" w:lineRule="auto"/>
              <w:ind w:firstLine="0" w:firstLineChars="0"/>
              <w:jc w:val="center"/>
              <w:rPr>
                <w:sz w:val="21"/>
                <w:szCs w:val="22"/>
              </w:rPr>
            </w:pPr>
            <w:r>
              <w:rPr>
                <w:sz w:val="21"/>
                <w:szCs w:val="22"/>
              </w:rPr>
              <w:t>110</w:t>
            </w:r>
          </w:p>
        </w:tc>
        <w:tc>
          <w:tcPr>
            <w:tcW w:w="636" w:type="pct"/>
            <w:vAlign w:val="center"/>
          </w:tcPr>
          <w:p>
            <w:pPr>
              <w:tabs>
                <w:tab w:val="clear" w:pos="480"/>
              </w:tabs>
              <w:spacing w:line="240" w:lineRule="auto"/>
              <w:ind w:firstLine="0" w:firstLineChars="0"/>
              <w:jc w:val="center"/>
              <w:rPr>
                <w:sz w:val="21"/>
                <w:szCs w:val="22"/>
              </w:rPr>
            </w:pPr>
            <w:r>
              <w:rPr>
                <w:sz w:val="21"/>
                <w:szCs w:val="22"/>
              </w:rPr>
              <w:t>19.2</w:t>
            </w:r>
          </w:p>
        </w:tc>
        <w:tc>
          <w:tcPr>
            <w:tcW w:w="779" w:type="pct"/>
            <w:vAlign w:val="center"/>
          </w:tcPr>
          <w:p>
            <w:pPr>
              <w:tabs>
                <w:tab w:val="clear" w:pos="480"/>
              </w:tabs>
              <w:spacing w:line="240" w:lineRule="auto"/>
              <w:ind w:firstLine="0" w:firstLineChars="0"/>
              <w:jc w:val="center"/>
              <w:rPr>
                <w:sz w:val="21"/>
                <w:szCs w:val="22"/>
              </w:rPr>
            </w:pPr>
            <w:r>
              <w:rPr>
                <w:sz w:val="21"/>
                <w:szCs w:val="22"/>
              </w:rPr>
              <w:t>4.0</w:t>
            </w:r>
          </w:p>
        </w:tc>
        <w:tc>
          <w:tcPr>
            <w:tcW w:w="1167" w:type="pct"/>
            <w:vAlign w:val="center"/>
          </w:tcPr>
          <w:p>
            <w:pPr>
              <w:tabs>
                <w:tab w:val="clear" w:pos="480"/>
              </w:tabs>
              <w:spacing w:line="240" w:lineRule="auto"/>
              <w:ind w:firstLine="0" w:firstLineChars="0"/>
              <w:jc w:val="center"/>
              <w:rPr>
                <w:sz w:val="21"/>
                <w:szCs w:val="22"/>
              </w:rPr>
            </w:pPr>
            <w:r>
              <w:rPr>
                <w:sz w:val="21"/>
                <w:szCs w:val="22"/>
              </w:rPr>
              <w:t>兼顾船型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0" w:hRule="exact"/>
          <w:jc w:val="center"/>
        </w:trPr>
        <w:tc>
          <w:tcPr>
            <w:tcW w:w="1833" w:type="pct"/>
            <w:vAlign w:val="center"/>
          </w:tcPr>
          <w:p>
            <w:pPr>
              <w:tabs>
                <w:tab w:val="clear" w:pos="480"/>
              </w:tabs>
              <w:spacing w:line="240" w:lineRule="auto"/>
              <w:ind w:firstLine="0" w:firstLineChars="0"/>
              <w:jc w:val="center"/>
              <w:rPr>
                <w:sz w:val="21"/>
                <w:szCs w:val="22"/>
              </w:rPr>
            </w:pPr>
            <w:r>
              <w:rPr>
                <w:sz w:val="21"/>
                <w:szCs w:val="22"/>
              </w:rPr>
              <w:t>15000 吨级散货船</w:t>
            </w:r>
          </w:p>
        </w:tc>
        <w:tc>
          <w:tcPr>
            <w:tcW w:w="582" w:type="pct"/>
            <w:vAlign w:val="center"/>
          </w:tcPr>
          <w:p>
            <w:pPr>
              <w:tabs>
                <w:tab w:val="clear" w:pos="480"/>
              </w:tabs>
              <w:spacing w:line="240" w:lineRule="auto"/>
              <w:ind w:firstLine="0" w:firstLineChars="0"/>
              <w:jc w:val="center"/>
              <w:rPr>
                <w:sz w:val="21"/>
                <w:szCs w:val="22"/>
              </w:rPr>
            </w:pPr>
            <w:r>
              <w:rPr>
                <w:sz w:val="21"/>
                <w:szCs w:val="22"/>
              </w:rPr>
              <w:t>135</w:t>
            </w:r>
          </w:p>
        </w:tc>
        <w:tc>
          <w:tcPr>
            <w:tcW w:w="636" w:type="pct"/>
            <w:vAlign w:val="center"/>
          </w:tcPr>
          <w:p>
            <w:pPr>
              <w:tabs>
                <w:tab w:val="clear" w:pos="480"/>
              </w:tabs>
              <w:spacing w:line="240" w:lineRule="auto"/>
              <w:ind w:firstLine="0" w:firstLineChars="0"/>
              <w:jc w:val="center"/>
              <w:rPr>
                <w:sz w:val="21"/>
                <w:szCs w:val="22"/>
              </w:rPr>
            </w:pPr>
            <w:r>
              <w:rPr>
                <w:sz w:val="21"/>
                <w:szCs w:val="22"/>
              </w:rPr>
              <w:t>22</w:t>
            </w:r>
          </w:p>
        </w:tc>
        <w:tc>
          <w:tcPr>
            <w:tcW w:w="779" w:type="pct"/>
            <w:vAlign w:val="center"/>
          </w:tcPr>
          <w:p>
            <w:pPr>
              <w:tabs>
                <w:tab w:val="clear" w:pos="480"/>
              </w:tabs>
              <w:spacing w:line="240" w:lineRule="auto"/>
              <w:ind w:firstLine="0" w:firstLineChars="0"/>
              <w:jc w:val="center"/>
              <w:rPr>
                <w:sz w:val="21"/>
                <w:szCs w:val="22"/>
              </w:rPr>
            </w:pPr>
            <w:r>
              <w:rPr>
                <w:sz w:val="21"/>
                <w:szCs w:val="22"/>
              </w:rPr>
              <w:t>7.8</w:t>
            </w:r>
          </w:p>
        </w:tc>
        <w:tc>
          <w:tcPr>
            <w:tcW w:w="1167" w:type="pct"/>
            <w:vAlign w:val="center"/>
          </w:tcPr>
          <w:p>
            <w:pPr>
              <w:tabs>
                <w:tab w:val="clear" w:pos="480"/>
              </w:tabs>
              <w:spacing w:line="240" w:lineRule="auto"/>
              <w:ind w:firstLine="0" w:firstLineChars="0"/>
              <w:jc w:val="center"/>
              <w:rPr>
                <w:sz w:val="21"/>
                <w:szCs w:val="22"/>
              </w:rPr>
            </w:pPr>
            <w:r>
              <w:rPr>
                <w:sz w:val="21"/>
                <w:szCs w:val="22"/>
              </w:rPr>
              <w:t>兼顾船型</w:t>
            </w:r>
          </w:p>
        </w:tc>
      </w:tr>
    </w:tbl>
    <w:p>
      <w:pPr>
        <w:pStyle w:val="454"/>
        <w:ind w:firstLine="602"/>
        <w:rPr>
          <w:color w:val="auto"/>
        </w:rPr>
      </w:pPr>
      <w:r>
        <w:rPr>
          <w:color w:val="auto"/>
        </w:rPr>
        <w:t>项目组成与建设内容</w:t>
      </w:r>
    </w:p>
    <w:p>
      <w:pPr>
        <w:ind w:firstLine="480"/>
      </w:pPr>
      <w:r>
        <w:t>本项目由主体工程、公辅工程、环保工程和依托工程组成，项目建设工程主要内容见下表。</w:t>
      </w:r>
    </w:p>
    <w:p>
      <w:pPr>
        <w:pStyle w:val="2285"/>
        <w:ind w:left="0"/>
        <w:rPr>
          <w:rFonts w:cs="Times New Roman"/>
        </w:rPr>
      </w:pPr>
      <w:r>
        <w:rPr>
          <w:rFonts w:cs="Times New Roman"/>
        </w:rPr>
        <w:t>项目组成及主要建设内容一览表</w:t>
      </w:r>
    </w:p>
    <w:tbl>
      <w:tblPr>
        <w:tblStyle w:val="359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88"/>
        <w:gridCol w:w="1800"/>
        <w:gridCol w:w="609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88" w:type="dxa"/>
            <w:vAlign w:val="center"/>
          </w:tcPr>
          <w:p>
            <w:pPr>
              <w:pStyle w:val="2691"/>
            </w:pPr>
            <w:r>
              <w:t>工程类别</w:t>
            </w:r>
          </w:p>
        </w:tc>
        <w:tc>
          <w:tcPr>
            <w:tcW w:w="1800" w:type="dxa"/>
            <w:vAlign w:val="center"/>
          </w:tcPr>
          <w:p>
            <w:pPr>
              <w:pStyle w:val="2691"/>
            </w:pPr>
            <w:r>
              <w:t>名称</w:t>
            </w:r>
          </w:p>
        </w:tc>
        <w:tc>
          <w:tcPr>
            <w:tcW w:w="6098" w:type="dxa"/>
            <w:vAlign w:val="center"/>
          </w:tcPr>
          <w:p>
            <w:pPr>
              <w:pStyle w:val="2691"/>
            </w:pPr>
            <w:r>
              <w:t>工程内容、规模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12" w:hRule="atLeast"/>
          <w:jc w:val="center"/>
        </w:trPr>
        <w:tc>
          <w:tcPr>
            <w:tcW w:w="1388" w:type="dxa"/>
            <w:vMerge w:val="restart"/>
            <w:vAlign w:val="center"/>
          </w:tcPr>
          <w:p>
            <w:pPr>
              <w:pStyle w:val="2691"/>
            </w:pPr>
            <w:r>
              <w:t>主体工程</w:t>
            </w:r>
          </w:p>
        </w:tc>
        <w:tc>
          <w:tcPr>
            <w:tcW w:w="1800" w:type="dxa"/>
            <w:vAlign w:val="center"/>
          </w:tcPr>
          <w:p>
            <w:pPr>
              <w:pStyle w:val="2691"/>
            </w:pPr>
            <w:r>
              <w:t>码头平台</w:t>
            </w:r>
          </w:p>
        </w:tc>
        <w:tc>
          <w:tcPr>
            <w:tcW w:w="6098" w:type="dxa"/>
            <w:vAlign w:val="center"/>
          </w:tcPr>
          <w:p>
            <w:pPr>
              <w:pStyle w:val="2691"/>
            </w:pPr>
            <w:r>
              <w:rPr>
                <w:rFonts w:hint="eastAsia"/>
              </w:rPr>
              <w:t>采用高桩码头结构，1#~6#泊位桩基采用钢管芯柱嵌岩斜桩结构，码头平台总长 840m，其中1#泊位码头平台宽度为 22m，2~6#泊位码头平台宽度为 24m。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88" w:type="dxa"/>
            <w:vMerge w:val="continue"/>
            <w:vAlign w:val="center"/>
          </w:tcPr>
          <w:p>
            <w:pPr>
              <w:pStyle w:val="2691"/>
            </w:pPr>
          </w:p>
        </w:tc>
        <w:tc>
          <w:tcPr>
            <w:tcW w:w="1800" w:type="dxa"/>
            <w:vAlign w:val="center"/>
          </w:tcPr>
          <w:p>
            <w:pPr>
              <w:pStyle w:val="2691"/>
            </w:pPr>
            <w:r>
              <w:t>皮带机廊道</w:t>
            </w:r>
          </w:p>
          <w:p>
            <w:pPr>
              <w:pStyle w:val="2691"/>
            </w:pPr>
            <w:r>
              <w:t>行车引桥</w:t>
            </w:r>
          </w:p>
        </w:tc>
        <w:tc>
          <w:tcPr>
            <w:tcW w:w="6098" w:type="dxa"/>
            <w:vAlign w:val="center"/>
          </w:tcPr>
          <w:p>
            <w:pPr>
              <w:pStyle w:val="2133"/>
              <w:adjustRightInd w:val="0"/>
              <w:snapToGrid w:val="0"/>
              <w:spacing w:line="360" w:lineRule="auto"/>
              <w:ind w:left="0" w:leftChars="0" w:right="0" w:rightChars="0" w:firstLine="0" w:firstLineChars="0"/>
              <w:jc w:val="center"/>
              <w:rPr>
                <w:rFonts w:hint="eastAsia" w:ascii="Times New Roman" w:hAnsi="Times New Roman" w:cs="Times New Roman"/>
              </w:rPr>
            </w:pPr>
            <w:r>
              <w:rPr>
                <w:rFonts w:hint="eastAsia" w:ascii="Times New Roman" w:hAnsi="Times New Roman"/>
                <w:b w:val="0"/>
                <w:bCs w:val="0"/>
                <w:kern w:val="0"/>
                <w:sz w:val="21"/>
                <w:szCs w:val="21"/>
                <w:lang w:val="en-US" w:eastAsia="zh-CN"/>
              </w:rPr>
              <w:t>码头平台通过 5 座行车引桥和 3 座皮带机廊道桥与后方陆域连接。上游 1#行车引桥、1#2#皮带机廊道桥、2#行车引桥布置于 2#、3#泊位之间后方，对接转运站布置，宽度分别为 6m、15m、6m。 3#行车引桥和 4#行车引桥分别布置在 4#泊位上游和 5#泊位下游，形成运输环形通道，宽度均为 15m。 5#行车引桥布置在 6#泊位下游，与 4#行车引桥形成运输环形通道， 宽度为 9m。 3#皮带机廊道桥布置在 6#泊位下游端部，宽度为 4m。行车引桥与长江大堤平交，通过 3 条下堤路与后方陆域连接。皮带机廊道桥架空跨越大堤与后方陆域转运站相接，跨堤处净空高 度不小于 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88" w:type="dxa"/>
            <w:vMerge w:val="continue"/>
            <w:vAlign w:val="center"/>
          </w:tcPr>
          <w:p>
            <w:pPr>
              <w:pStyle w:val="2691"/>
            </w:pPr>
          </w:p>
        </w:tc>
        <w:tc>
          <w:tcPr>
            <w:tcW w:w="1800" w:type="dxa"/>
            <w:vAlign w:val="center"/>
          </w:tcPr>
          <w:p>
            <w:pPr>
              <w:pStyle w:val="2133"/>
              <w:adjustRightInd w:val="0"/>
              <w:snapToGrid w:val="0"/>
              <w:spacing w:line="360" w:lineRule="auto"/>
              <w:ind w:left="-120" w:leftChars="-50" w:right="-120" w:rightChars="-50" w:firstLine="0" w:firstLineChars="0"/>
              <w:jc w:val="center"/>
              <w:rPr>
                <w:rFonts w:cs="Times New Roman"/>
                <w:sz w:val="21"/>
                <w:szCs w:val="21"/>
              </w:rPr>
            </w:pPr>
            <w:r>
              <w:rPr>
                <w:rFonts w:cs="Times New Roman"/>
                <w:sz w:val="21"/>
                <w:szCs w:val="21"/>
              </w:rPr>
              <w:t>陆域建筑</w:t>
            </w:r>
          </w:p>
        </w:tc>
        <w:tc>
          <w:tcPr>
            <w:tcW w:w="6098" w:type="dxa"/>
            <w:vAlign w:val="center"/>
          </w:tcPr>
          <w:p>
            <w:pPr>
              <w:widowControl/>
              <w:jc w:val="center"/>
              <w:rPr>
                <w:rFonts w:cs="Times New Roman"/>
                <w:sz w:val="21"/>
                <w:szCs w:val="21"/>
              </w:rPr>
            </w:pPr>
            <w:r>
              <w:rPr>
                <w:rFonts w:hint="eastAsia" w:ascii="宋体" w:hAnsi="宋体" w:eastAsia="宋体" w:cs="宋体"/>
                <w:b w:val="0"/>
                <w:bCs w:val="0"/>
                <w:color w:val="000000"/>
                <w:kern w:val="0"/>
                <w:sz w:val="21"/>
                <w:szCs w:val="21"/>
                <w:lang w:val="en-US" w:eastAsia="zh-CN" w:bidi="ar"/>
              </w:rPr>
              <w:t xml:space="preserve">结合陆域用地范围，分两块地布置，地块 </w:t>
            </w:r>
            <w:r>
              <w:rPr>
                <w:rFonts w:hint="default" w:ascii="Times New Roman" w:hAnsi="Times New Roman" w:eastAsia="宋体" w:cs="Times New Roman"/>
                <w:b w:val="0"/>
                <w:bCs w:val="0"/>
                <w:color w:val="000000"/>
                <w:kern w:val="0"/>
                <w:sz w:val="21"/>
                <w:szCs w:val="21"/>
                <w:lang w:val="en-US" w:eastAsia="zh-CN" w:bidi="ar"/>
              </w:rPr>
              <w:t xml:space="preserve">A </w:t>
            </w:r>
            <w:r>
              <w:rPr>
                <w:rFonts w:hint="eastAsia" w:ascii="宋体" w:hAnsi="宋体" w:eastAsia="宋体" w:cs="宋体"/>
                <w:b w:val="0"/>
                <w:bCs w:val="0"/>
                <w:color w:val="000000"/>
                <w:kern w:val="0"/>
                <w:sz w:val="21"/>
                <w:szCs w:val="21"/>
                <w:lang w:val="en-US" w:eastAsia="zh-CN" w:bidi="ar"/>
              </w:rPr>
              <w:t>位于厂家长江大堤与</w:t>
            </w:r>
            <w:r>
              <w:rPr>
                <w:rFonts w:hint="default" w:ascii="Times New Roman" w:hAnsi="Times New Roman" w:eastAsia="宋体" w:cs="Times New Roman"/>
                <w:b w:val="0"/>
                <w:bCs w:val="0"/>
                <w:color w:val="000000"/>
                <w:kern w:val="0"/>
                <w:sz w:val="21"/>
                <w:szCs w:val="21"/>
                <w:lang w:val="en-US" w:eastAsia="zh-CN" w:bidi="ar"/>
              </w:rPr>
              <w:t xml:space="preserve">S208 </w:t>
            </w:r>
            <w:r>
              <w:rPr>
                <w:rFonts w:hint="eastAsia" w:ascii="宋体" w:hAnsi="宋体" w:eastAsia="宋体" w:cs="宋体"/>
                <w:b w:val="0"/>
                <w:bCs w:val="0"/>
                <w:color w:val="000000"/>
                <w:kern w:val="0"/>
                <w:sz w:val="21"/>
                <w:szCs w:val="21"/>
                <w:lang w:val="en-US" w:eastAsia="zh-CN" w:bidi="ar"/>
              </w:rPr>
              <w:t xml:space="preserve">省道之间；地块 </w:t>
            </w:r>
            <w:r>
              <w:rPr>
                <w:rFonts w:hint="default" w:ascii="Times New Roman" w:hAnsi="Times New Roman" w:eastAsia="宋体" w:cs="Times New Roman"/>
                <w:b w:val="0"/>
                <w:bCs w:val="0"/>
                <w:color w:val="000000"/>
                <w:kern w:val="0"/>
                <w:sz w:val="21"/>
                <w:szCs w:val="21"/>
                <w:lang w:val="en-US" w:eastAsia="zh-CN" w:bidi="ar"/>
              </w:rPr>
              <w:t xml:space="preserve">B </w:t>
            </w:r>
            <w:r>
              <w:rPr>
                <w:rFonts w:hint="eastAsia" w:ascii="宋体" w:hAnsi="宋体" w:eastAsia="宋体" w:cs="宋体"/>
                <w:b w:val="0"/>
                <w:bCs w:val="0"/>
                <w:color w:val="000000"/>
                <w:kern w:val="0"/>
                <w:sz w:val="21"/>
                <w:szCs w:val="21"/>
                <w:lang w:val="en-US" w:eastAsia="zh-CN" w:bidi="ar"/>
              </w:rPr>
              <w:t xml:space="preserve">位于省道 </w:t>
            </w:r>
            <w:r>
              <w:rPr>
                <w:rFonts w:hint="default" w:ascii="Times New Roman" w:hAnsi="Times New Roman" w:eastAsia="宋体" w:cs="Times New Roman"/>
                <w:b w:val="0"/>
                <w:bCs w:val="0"/>
                <w:color w:val="000000"/>
                <w:kern w:val="0"/>
                <w:sz w:val="21"/>
                <w:szCs w:val="21"/>
                <w:lang w:val="en-US" w:eastAsia="zh-CN" w:bidi="ar"/>
              </w:rPr>
              <w:t xml:space="preserve">S208 </w:t>
            </w:r>
            <w:r>
              <w:rPr>
                <w:rFonts w:hint="eastAsia" w:ascii="宋体" w:hAnsi="宋体" w:eastAsia="宋体" w:cs="宋体"/>
                <w:b w:val="0"/>
                <w:bCs w:val="0"/>
                <w:color w:val="000000"/>
                <w:kern w:val="0"/>
                <w:sz w:val="21"/>
                <w:szCs w:val="21"/>
                <w:lang w:val="en-US" w:eastAsia="zh-CN" w:bidi="ar"/>
              </w:rPr>
              <w:t>东侧，现有兴长路南侧。</w:t>
            </w:r>
            <w:r>
              <w:rPr>
                <w:rFonts w:hint="default" w:ascii="Times New Roman" w:hAnsi="Times New Roman" w:eastAsia="宋体" w:cs="Times New Roman"/>
                <w:b w:val="0"/>
                <w:bCs w:val="0"/>
                <w:color w:val="000000"/>
                <w:kern w:val="0"/>
                <w:sz w:val="21"/>
                <w:szCs w:val="21"/>
                <w:lang w:val="en-US" w:eastAsia="zh-CN" w:bidi="ar"/>
              </w:rPr>
              <w:t xml:space="preserve"> 1</w:t>
            </w:r>
            <w:r>
              <w:rPr>
                <w:rFonts w:hint="eastAsia" w:ascii="宋体" w:hAnsi="宋体" w:eastAsia="宋体" w:cs="宋体"/>
                <w:b w:val="0"/>
                <w:bCs w:val="0"/>
                <w:color w:val="000000"/>
                <w:kern w:val="0"/>
                <w:sz w:val="21"/>
                <w:szCs w:val="21"/>
                <w:lang w:val="en-US" w:eastAsia="zh-CN" w:bidi="ar"/>
              </w:rPr>
              <w:t xml:space="preserve">）地块 </w:t>
            </w:r>
            <w:r>
              <w:rPr>
                <w:rFonts w:hint="default" w:ascii="Times New Roman" w:hAnsi="Times New Roman" w:eastAsia="宋体" w:cs="Times New Roman"/>
                <w:b w:val="0"/>
                <w:bCs w:val="0"/>
                <w:color w:val="000000"/>
                <w:kern w:val="0"/>
                <w:sz w:val="21"/>
                <w:szCs w:val="21"/>
                <w:lang w:val="en-US" w:eastAsia="zh-CN" w:bidi="ar"/>
              </w:rPr>
              <w:t xml:space="preserve">A </w:t>
            </w:r>
            <w:r>
              <w:rPr>
                <w:rFonts w:hint="eastAsia" w:ascii="宋体" w:hAnsi="宋体" w:eastAsia="宋体" w:cs="宋体"/>
                <w:b w:val="0"/>
                <w:bCs w:val="0"/>
                <w:color w:val="000000"/>
                <w:kern w:val="0"/>
                <w:sz w:val="21"/>
                <w:szCs w:val="21"/>
                <w:lang w:val="en-US" w:eastAsia="zh-CN" w:bidi="ar"/>
              </w:rPr>
              <w:t xml:space="preserve">地块 </w:t>
            </w:r>
            <w:r>
              <w:rPr>
                <w:rFonts w:hint="default" w:ascii="Times New Roman" w:hAnsi="Times New Roman" w:eastAsia="宋体" w:cs="Times New Roman"/>
                <w:b w:val="0"/>
                <w:bCs w:val="0"/>
                <w:color w:val="000000"/>
                <w:kern w:val="0"/>
                <w:sz w:val="21"/>
                <w:szCs w:val="21"/>
                <w:lang w:val="en-US" w:eastAsia="zh-CN" w:bidi="ar"/>
              </w:rPr>
              <w:t xml:space="preserve">A </w:t>
            </w:r>
            <w:r>
              <w:rPr>
                <w:rFonts w:hint="eastAsia" w:ascii="宋体" w:hAnsi="宋体" w:eastAsia="宋体" w:cs="宋体"/>
                <w:b w:val="0"/>
                <w:bCs w:val="0"/>
                <w:color w:val="000000"/>
                <w:kern w:val="0"/>
                <w:sz w:val="21"/>
                <w:szCs w:val="21"/>
                <w:lang w:val="en-US" w:eastAsia="zh-CN" w:bidi="ar"/>
              </w:rPr>
              <w:t xml:space="preserve">陆域纵深宽 </w:t>
            </w:r>
            <w:r>
              <w:rPr>
                <w:rFonts w:hint="default" w:ascii="Times New Roman" w:hAnsi="Times New Roman" w:eastAsia="宋体" w:cs="Times New Roman"/>
                <w:b w:val="0"/>
                <w:bCs w:val="0"/>
                <w:color w:val="000000"/>
                <w:kern w:val="0"/>
                <w:sz w:val="21"/>
                <w:szCs w:val="21"/>
                <w:lang w:val="en-US" w:eastAsia="zh-CN" w:bidi="ar"/>
              </w:rPr>
              <w:t>160m~224m</w:t>
            </w:r>
            <w:r>
              <w:rPr>
                <w:rFonts w:hint="eastAsia" w:ascii="宋体" w:hAnsi="宋体" w:eastAsia="宋体" w:cs="宋体"/>
                <w:b w:val="0"/>
                <w:bCs w:val="0"/>
                <w:color w:val="000000"/>
                <w:kern w:val="0"/>
                <w:sz w:val="21"/>
                <w:szCs w:val="21"/>
                <w:lang w:val="en-US" w:eastAsia="zh-CN" w:bidi="ar"/>
              </w:rPr>
              <w:t xml:space="preserve">，沿长江方向长度约 </w:t>
            </w:r>
            <w:r>
              <w:rPr>
                <w:rFonts w:hint="default" w:ascii="Times New Roman" w:hAnsi="Times New Roman" w:eastAsia="宋体" w:cs="Times New Roman"/>
                <w:b w:val="0"/>
                <w:bCs w:val="0"/>
                <w:color w:val="000000"/>
                <w:kern w:val="0"/>
                <w:sz w:val="21"/>
                <w:szCs w:val="21"/>
                <w:lang w:val="en-US" w:eastAsia="zh-CN" w:bidi="ar"/>
              </w:rPr>
              <w:t>710.9m</w:t>
            </w:r>
            <w:r>
              <w:rPr>
                <w:rFonts w:hint="eastAsia" w:ascii="宋体" w:hAnsi="宋体" w:eastAsia="宋体" w:cs="宋体"/>
                <w:b w:val="0"/>
                <w:bCs w:val="0"/>
                <w:color w:val="000000"/>
                <w:kern w:val="0"/>
                <w:sz w:val="21"/>
                <w:szCs w:val="21"/>
                <w:lang w:val="en-US" w:eastAsia="zh-CN" w:bidi="ar"/>
              </w:rPr>
              <w:t xml:space="preserve">。临 </w:t>
            </w:r>
            <w:r>
              <w:rPr>
                <w:rFonts w:hint="default" w:ascii="Times New Roman" w:hAnsi="Times New Roman" w:eastAsia="宋体" w:cs="Times New Roman"/>
                <w:b w:val="0"/>
                <w:bCs w:val="0"/>
                <w:color w:val="000000"/>
                <w:kern w:val="0"/>
                <w:sz w:val="21"/>
                <w:szCs w:val="21"/>
                <w:lang w:val="en-US" w:eastAsia="zh-CN" w:bidi="ar"/>
              </w:rPr>
              <w:t>S208</w:t>
            </w:r>
            <w:r>
              <w:rPr>
                <w:rFonts w:hint="eastAsia" w:ascii="宋体" w:hAnsi="宋体" w:eastAsia="宋体" w:cs="宋体"/>
                <w:b w:val="0"/>
                <w:bCs w:val="0"/>
                <w:color w:val="000000"/>
                <w:kern w:val="0"/>
                <w:sz w:val="21"/>
                <w:szCs w:val="21"/>
                <w:lang w:val="en-US" w:eastAsia="zh-CN" w:bidi="ar"/>
              </w:rPr>
              <w:t xml:space="preserve">省道沿线已布有石化管线。一侧为防洪管理区，一侧需与管线保持安全 距离，地块狭长，不适宜布置大面积建构筑物，以布置堆场及停车场为 主，主要布置港内停车场及防汛物质堆场。下游侧布置 </w:t>
            </w:r>
            <w:r>
              <w:rPr>
                <w:rFonts w:hint="default" w:ascii="Times New Roman" w:hAnsi="Times New Roman" w:eastAsia="宋体" w:cs="Times New Roman"/>
                <w:b w:val="0"/>
                <w:bCs w:val="0"/>
                <w:color w:val="000000"/>
                <w:kern w:val="0"/>
                <w:sz w:val="21"/>
                <w:szCs w:val="21"/>
                <w:lang w:val="en-US" w:eastAsia="zh-CN" w:bidi="ar"/>
              </w:rPr>
              <w:t>1#</w:t>
            </w:r>
            <w:r>
              <w:rPr>
                <w:rFonts w:hint="eastAsia" w:ascii="宋体" w:hAnsi="宋体" w:eastAsia="宋体" w:cs="宋体"/>
                <w:b w:val="0"/>
                <w:bCs w:val="0"/>
                <w:color w:val="000000"/>
                <w:kern w:val="0"/>
                <w:sz w:val="21"/>
                <w:szCs w:val="21"/>
                <w:lang w:val="en-US" w:eastAsia="zh-CN" w:bidi="ar"/>
              </w:rPr>
              <w:t>门卫用于港区 进出管理。</w:t>
            </w:r>
            <w:r>
              <w:rPr>
                <w:rFonts w:hint="default" w:ascii="Times New Roman" w:hAnsi="Times New Roman" w:eastAsia="宋体" w:cs="Times New Roman"/>
                <w:b w:val="0"/>
                <w:bCs w:val="0"/>
                <w:color w:val="000000"/>
                <w:kern w:val="0"/>
                <w:sz w:val="21"/>
                <w:szCs w:val="21"/>
                <w:lang w:val="en-US" w:eastAsia="zh-CN" w:bidi="ar"/>
              </w:rPr>
              <w:t xml:space="preserve"> 2</w:t>
            </w:r>
            <w:r>
              <w:rPr>
                <w:rFonts w:hint="eastAsia" w:ascii="宋体" w:hAnsi="宋体" w:eastAsia="宋体" w:cs="宋体"/>
                <w:b w:val="0"/>
                <w:bCs w:val="0"/>
                <w:color w:val="000000"/>
                <w:kern w:val="0"/>
                <w:sz w:val="21"/>
                <w:szCs w:val="21"/>
                <w:lang w:val="en-US" w:eastAsia="zh-CN" w:bidi="ar"/>
              </w:rPr>
              <w:t xml:space="preserve">）地块 </w:t>
            </w:r>
            <w:r>
              <w:rPr>
                <w:rFonts w:hint="default" w:ascii="Times New Roman" w:hAnsi="Times New Roman" w:eastAsia="宋体" w:cs="Times New Roman"/>
                <w:b w:val="0"/>
                <w:bCs w:val="0"/>
                <w:color w:val="000000"/>
                <w:kern w:val="0"/>
                <w:sz w:val="21"/>
                <w:szCs w:val="21"/>
                <w:lang w:val="en-US" w:eastAsia="zh-CN" w:bidi="ar"/>
              </w:rPr>
              <w:t xml:space="preserve">B </w:t>
            </w:r>
            <w:r>
              <w:rPr>
                <w:rFonts w:hint="eastAsia" w:ascii="宋体" w:hAnsi="宋体" w:eastAsia="宋体" w:cs="宋体"/>
                <w:b w:val="0"/>
                <w:bCs w:val="0"/>
                <w:color w:val="000000"/>
                <w:kern w:val="0"/>
                <w:sz w:val="21"/>
                <w:szCs w:val="21"/>
                <w:lang w:val="en-US" w:eastAsia="zh-CN" w:bidi="ar"/>
              </w:rPr>
              <w:t xml:space="preserve">地块 </w:t>
            </w:r>
            <w:r>
              <w:rPr>
                <w:rFonts w:hint="default" w:ascii="Times New Roman" w:hAnsi="Times New Roman" w:eastAsia="宋体" w:cs="Times New Roman"/>
                <w:b w:val="0"/>
                <w:bCs w:val="0"/>
                <w:color w:val="000000"/>
                <w:kern w:val="0"/>
                <w:sz w:val="21"/>
                <w:szCs w:val="21"/>
                <w:lang w:val="en-US" w:eastAsia="zh-CN" w:bidi="ar"/>
              </w:rPr>
              <w:t xml:space="preserve">B </w:t>
            </w:r>
            <w:r>
              <w:rPr>
                <w:rFonts w:hint="eastAsia" w:ascii="宋体" w:hAnsi="宋体" w:eastAsia="宋体" w:cs="宋体"/>
                <w:b w:val="0"/>
                <w:bCs w:val="0"/>
                <w:color w:val="000000"/>
                <w:kern w:val="0"/>
                <w:sz w:val="21"/>
                <w:szCs w:val="21"/>
                <w:lang w:val="en-US" w:eastAsia="zh-CN" w:bidi="ar"/>
              </w:rPr>
              <w:t xml:space="preserve">布置生产辅助建筑物以及散货仓库。结合产业园区规划，生 产辅助建筑去布置于东南侧，临园区中心湖布置，主要布置有综合楼、 泵房及消防水池、污水处理池、变电所等。西侧布置 </w:t>
            </w:r>
            <w:r>
              <w:rPr>
                <w:rFonts w:hint="default" w:ascii="Times New Roman" w:hAnsi="Times New Roman" w:eastAsia="宋体" w:cs="Times New Roman"/>
                <w:b w:val="0"/>
                <w:bCs w:val="0"/>
                <w:color w:val="000000"/>
                <w:kern w:val="0"/>
                <w:sz w:val="21"/>
                <w:szCs w:val="21"/>
                <w:lang w:val="en-US" w:eastAsia="zh-CN" w:bidi="ar"/>
              </w:rPr>
              <w:t xml:space="preserve">1 </w:t>
            </w:r>
            <w:r>
              <w:rPr>
                <w:rFonts w:hint="eastAsia" w:ascii="宋体" w:hAnsi="宋体" w:eastAsia="宋体" w:cs="宋体"/>
                <w:b w:val="0"/>
                <w:bCs w:val="0"/>
                <w:color w:val="000000"/>
                <w:kern w:val="0"/>
                <w:sz w:val="21"/>
                <w:szCs w:val="21"/>
                <w:lang w:val="en-US" w:eastAsia="zh-CN" w:bidi="ar"/>
              </w:rPr>
              <w:t xml:space="preserve">座散货仓库，面 积约 </w:t>
            </w:r>
            <w:r>
              <w:rPr>
                <w:rFonts w:hint="default" w:ascii="Times New Roman" w:hAnsi="Times New Roman" w:eastAsia="宋体" w:cs="Times New Roman"/>
                <w:b w:val="0"/>
                <w:bCs w:val="0"/>
                <w:color w:val="000000"/>
                <w:kern w:val="0"/>
                <w:sz w:val="21"/>
                <w:szCs w:val="21"/>
                <w:lang w:val="en-US" w:eastAsia="zh-CN" w:bidi="ar"/>
              </w:rPr>
              <w:t xml:space="preserve">2.9 </w:t>
            </w:r>
            <w:r>
              <w:rPr>
                <w:rFonts w:hint="eastAsia" w:ascii="宋体" w:hAnsi="宋体" w:eastAsia="宋体" w:cs="宋体"/>
                <w:b w:val="0"/>
                <w:bCs w:val="0"/>
                <w:color w:val="000000"/>
                <w:kern w:val="0"/>
                <w:sz w:val="21"/>
                <w:szCs w:val="21"/>
                <w:lang w:val="en-US" w:eastAsia="zh-CN" w:bidi="ar"/>
              </w:rPr>
              <w:t>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70" w:hRule="atLeast"/>
          <w:jc w:val="center"/>
        </w:trPr>
        <w:tc>
          <w:tcPr>
            <w:tcW w:w="1388" w:type="dxa"/>
            <w:vMerge w:val="restart"/>
            <w:vAlign w:val="center"/>
          </w:tcPr>
          <w:p>
            <w:pPr>
              <w:pStyle w:val="2691"/>
            </w:pPr>
            <w:r>
              <w:t>公辅工程</w:t>
            </w:r>
          </w:p>
        </w:tc>
        <w:tc>
          <w:tcPr>
            <w:tcW w:w="1800" w:type="dxa"/>
            <w:vAlign w:val="center"/>
          </w:tcPr>
          <w:p>
            <w:pPr>
              <w:pStyle w:val="2691"/>
            </w:pPr>
            <w:r>
              <w:t>供电照明系统</w:t>
            </w:r>
          </w:p>
        </w:tc>
        <w:tc>
          <w:tcPr>
            <w:tcW w:w="6098" w:type="dxa"/>
            <w:vAlign w:val="center"/>
          </w:tcPr>
          <w:p>
            <w:pPr>
              <w:pStyle w:val="2691"/>
            </w:pPr>
            <w:r>
              <w:rPr>
                <w:rFonts w:hint="eastAsia"/>
              </w:rPr>
              <w:t>主变电所布置于港区后方卸车料棚旁绿化带内，为码头后方综合楼、机修间、卸车料棚、散货仓库、泵房、门卫等建筑及设备提供电源。码头前沿综合用房内设置码头前沿变电所，10kV 电源引自码头后方主变电所，为码头前方卸船机、装船机、门座起重机、皮带机、船舶岸电等设备及照明提供电源</w:t>
            </w: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88" w:type="dxa"/>
            <w:vMerge w:val="continue"/>
            <w:vAlign w:val="center"/>
          </w:tcPr>
          <w:p>
            <w:pPr>
              <w:pStyle w:val="2691"/>
            </w:pPr>
          </w:p>
        </w:tc>
        <w:tc>
          <w:tcPr>
            <w:tcW w:w="1800" w:type="dxa"/>
            <w:vAlign w:val="center"/>
          </w:tcPr>
          <w:p>
            <w:pPr>
              <w:pStyle w:val="2691"/>
            </w:pPr>
            <w:r>
              <w:t>给排水系统</w:t>
            </w:r>
          </w:p>
        </w:tc>
        <w:tc>
          <w:tcPr>
            <w:tcW w:w="6098" w:type="dxa"/>
            <w:vAlign w:val="center"/>
          </w:tcPr>
          <w:p>
            <w:pPr>
              <w:pStyle w:val="2691"/>
            </w:pPr>
            <w:r>
              <w:t>港区供水水源可直接取自道仁矶镇市政给水管网。从镇上就近引入给水管道作为港区生产、生活、环保以及消防用水的水源。港区采用雨、污水分流制度。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85" w:hRule="atLeast"/>
          <w:jc w:val="center"/>
        </w:trPr>
        <w:tc>
          <w:tcPr>
            <w:tcW w:w="1388" w:type="dxa"/>
            <w:vMerge w:val="continue"/>
            <w:vAlign w:val="center"/>
          </w:tcPr>
          <w:p>
            <w:pPr>
              <w:pStyle w:val="2691"/>
            </w:pPr>
          </w:p>
        </w:tc>
        <w:tc>
          <w:tcPr>
            <w:tcW w:w="1800" w:type="dxa"/>
            <w:vAlign w:val="center"/>
          </w:tcPr>
          <w:p>
            <w:pPr>
              <w:pStyle w:val="2691"/>
            </w:pPr>
            <w:r>
              <w:t>消防系统</w:t>
            </w:r>
          </w:p>
        </w:tc>
        <w:tc>
          <w:tcPr>
            <w:tcW w:w="6098" w:type="dxa"/>
            <w:vAlign w:val="center"/>
          </w:tcPr>
          <w:p>
            <w:pPr>
              <w:pStyle w:val="2691"/>
            </w:pPr>
            <w:r>
              <w:t>消防水源主要依托市政自来水供水。同时对职工进行消防安全培训，做到</w:t>
            </w:r>
            <w:r>
              <w:rPr>
                <w:rFonts w:asciiTheme="minorEastAsia" w:hAnsiTheme="minorEastAsia" w:eastAsiaTheme="minorEastAsia"/>
              </w:rPr>
              <w:t>“</w:t>
            </w:r>
            <w:r>
              <w:t>防消结合</w:t>
            </w:r>
            <w:r>
              <w:rPr>
                <w:rFonts w:asciiTheme="minorEastAsia" w:hAnsiTheme="minorEastAsia" w:eastAsiaTheme="minorEastAsia"/>
              </w:rPr>
              <w:t>”</w:t>
            </w:r>
            <w:r>
              <w:t>。一旦发生火灾后，港区自建职工消防队可第一时间进行自救，若无法控制消灭火势，可请求附近消防中队救援。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00" w:hRule="atLeast"/>
          <w:jc w:val="center"/>
        </w:trPr>
        <w:tc>
          <w:tcPr>
            <w:tcW w:w="1388" w:type="dxa"/>
            <w:vMerge w:val="continue"/>
            <w:vAlign w:val="center"/>
          </w:tcPr>
          <w:p>
            <w:pPr>
              <w:pStyle w:val="2691"/>
            </w:pPr>
          </w:p>
        </w:tc>
        <w:tc>
          <w:tcPr>
            <w:tcW w:w="1800" w:type="dxa"/>
            <w:vAlign w:val="center"/>
          </w:tcPr>
          <w:p>
            <w:pPr>
              <w:pStyle w:val="2691"/>
            </w:pPr>
            <w:r>
              <w:t>通信系统</w:t>
            </w:r>
          </w:p>
        </w:tc>
        <w:tc>
          <w:tcPr>
            <w:tcW w:w="6098" w:type="dxa"/>
            <w:vAlign w:val="center"/>
          </w:tcPr>
          <w:p>
            <w:pPr>
              <w:tabs>
                <w:tab w:val="clear" w:pos="480"/>
              </w:tabs>
              <w:autoSpaceDE w:val="0"/>
              <w:autoSpaceDN w:val="0"/>
              <w:adjustRightInd w:val="0"/>
              <w:spacing w:line="240" w:lineRule="auto"/>
              <w:ind w:firstLine="0" w:firstLineChars="0"/>
              <w:jc w:val="left"/>
              <w:rPr>
                <w:sz w:val="21"/>
                <w:szCs w:val="21"/>
              </w:rPr>
            </w:pPr>
            <w:r>
              <w:rPr>
                <w:rFonts w:hint="eastAsia"/>
                <w:sz w:val="21"/>
                <w:szCs w:val="21"/>
              </w:rPr>
              <w:t>项目所在地公用通信网的建设较为完备，能够提供有线/无线通信，包括语音、数据、传真、图像、窄带、宽带等多种业务的通信网络，能够满足本工程的通信需求</w:t>
            </w:r>
            <w:r>
              <w:rPr>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43" w:hRule="atLeast"/>
          <w:jc w:val="center"/>
        </w:trPr>
        <w:tc>
          <w:tcPr>
            <w:tcW w:w="1388" w:type="dxa"/>
            <w:vMerge w:val="continue"/>
            <w:vAlign w:val="center"/>
          </w:tcPr>
          <w:p>
            <w:pPr>
              <w:pStyle w:val="2691"/>
            </w:pPr>
          </w:p>
        </w:tc>
        <w:tc>
          <w:tcPr>
            <w:tcW w:w="1800" w:type="dxa"/>
            <w:vAlign w:val="center"/>
          </w:tcPr>
          <w:p>
            <w:pPr>
              <w:pStyle w:val="2691"/>
            </w:pPr>
            <w:r>
              <w:t>控制系统</w:t>
            </w:r>
          </w:p>
        </w:tc>
        <w:tc>
          <w:tcPr>
            <w:tcW w:w="6098" w:type="dxa"/>
            <w:vAlign w:val="center"/>
          </w:tcPr>
          <w:p>
            <w:pPr>
              <w:pStyle w:val="2691"/>
            </w:pPr>
            <w:r>
              <w:t>皮带机输料系统则采用PLC自动控制方式，将散货码头的装船机、皮带机、卸船桥抓共同组成一个集中联锁控制系统，对散货码头的整个工艺流程进行控制。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88" w:type="dxa"/>
            <w:vMerge w:val="continue"/>
            <w:vAlign w:val="center"/>
          </w:tcPr>
          <w:p>
            <w:pPr>
              <w:pStyle w:val="2691"/>
            </w:pPr>
          </w:p>
        </w:tc>
        <w:tc>
          <w:tcPr>
            <w:tcW w:w="1800" w:type="dxa"/>
            <w:vAlign w:val="center"/>
          </w:tcPr>
          <w:p>
            <w:pPr>
              <w:pStyle w:val="2691"/>
            </w:pPr>
            <w:r>
              <w:t>助导航</w:t>
            </w:r>
          </w:p>
        </w:tc>
        <w:tc>
          <w:tcPr>
            <w:tcW w:w="6098" w:type="dxa"/>
            <w:vAlign w:val="center"/>
          </w:tcPr>
          <w:p>
            <w:pPr>
              <w:pStyle w:val="2691"/>
            </w:pPr>
            <w:r>
              <w:t>长江干线航道经多年维护、整治，沿途助航设施齐全完善。在港区码头水域和上、下锚地设置相应的标志，并加强维护和管理</w:t>
            </w:r>
            <w:r>
              <w:rPr>
                <w:spacing w:val="-26"/>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61" w:hRule="atLeast"/>
          <w:jc w:val="center"/>
        </w:trPr>
        <w:tc>
          <w:tcPr>
            <w:tcW w:w="1388" w:type="dxa"/>
            <w:vMerge w:val="continue"/>
            <w:vAlign w:val="center"/>
          </w:tcPr>
          <w:p>
            <w:pPr>
              <w:pStyle w:val="2691"/>
            </w:pPr>
          </w:p>
        </w:tc>
        <w:tc>
          <w:tcPr>
            <w:tcW w:w="1800" w:type="dxa"/>
            <w:vAlign w:val="center"/>
          </w:tcPr>
          <w:p>
            <w:pPr>
              <w:pStyle w:val="2691"/>
            </w:pPr>
            <w:r>
              <w:t>生产及辅助建筑物</w:t>
            </w:r>
          </w:p>
        </w:tc>
        <w:tc>
          <w:tcPr>
            <w:tcW w:w="6098" w:type="dxa"/>
            <w:vAlign w:val="center"/>
          </w:tcPr>
          <w:p>
            <w:pPr>
              <w:pStyle w:val="2691"/>
            </w:pPr>
            <w:r>
              <w:t>生产和生产辅助建筑物有转运站、变电所等。前沿综合用房（含前沿变电所）布置于引桥与码头平台连接处，面积374m</w:t>
            </w:r>
            <w:r>
              <w:rPr>
                <w:vertAlign w:val="superscript"/>
              </w:rPr>
              <w:t>2</w:t>
            </w: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61" w:hRule="atLeast"/>
          <w:jc w:val="center"/>
        </w:trPr>
        <w:tc>
          <w:tcPr>
            <w:tcW w:w="1388" w:type="dxa"/>
            <w:vMerge w:val="restart"/>
            <w:vAlign w:val="center"/>
          </w:tcPr>
          <w:p>
            <w:pPr>
              <w:pStyle w:val="2691"/>
            </w:pPr>
            <w:r>
              <w:rPr>
                <w:rFonts w:hint="eastAsia"/>
              </w:rPr>
              <w:t>依托工程</w:t>
            </w:r>
          </w:p>
        </w:tc>
        <w:tc>
          <w:tcPr>
            <w:tcW w:w="1800" w:type="dxa"/>
            <w:vAlign w:val="center"/>
          </w:tcPr>
          <w:p>
            <w:pPr>
              <w:pStyle w:val="2691"/>
            </w:pPr>
            <w:r>
              <w:rPr>
                <w:rFonts w:hint="eastAsia"/>
              </w:rPr>
              <w:t>航道、锚地</w:t>
            </w:r>
          </w:p>
        </w:tc>
        <w:tc>
          <w:tcPr>
            <w:tcW w:w="6098" w:type="dxa"/>
            <w:vAlign w:val="center"/>
          </w:tcPr>
          <w:p>
            <w:pPr>
              <w:pStyle w:val="2691"/>
            </w:pPr>
            <w:r>
              <w:rPr>
                <w:rFonts w:hint="eastAsia"/>
              </w:rPr>
              <w:t>本项目位于长江中游杨林岩水道中段，利用现有长江航道；</w:t>
            </w:r>
            <w:r>
              <w:rPr>
                <w:rFonts w:hint="eastAsia"/>
                <w:lang w:val="en-US" w:eastAsia="zh-CN"/>
              </w:rPr>
              <w:t xml:space="preserve">码头 </w:t>
            </w:r>
          </w:p>
          <w:p>
            <w:pPr>
              <w:pStyle w:val="2691"/>
            </w:pPr>
            <w:r>
              <w:rPr>
                <w:rFonts w:hint="eastAsia"/>
                <w:lang w:val="en-US" w:eastAsia="zh-CN"/>
              </w:rPr>
              <w:t xml:space="preserve">设计河底高程为 </w:t>
            </w:r>
            <w:r>
              <w:rPr>
                <w:rFonts w:hint="default"/>
                <w:lang w:val="en-US" w:eastAsia="zh-CN"/>
              </w:rPr>
              <w:t>10.6m</w:t>
            </w:r>
            <w:r>
              <w:rPr>
                <w:rFonts w:hint="eastAsia"/>
                <w:lang w:val="en-US" w:eastAsia="zh-CN"/>
              </w:rPr>
              <w:t xml:space="preserve">，拟对码头下游 </w:t>
            </w:r>
            <w:r>
              <w:rPr>
                <w:rFonts w:hint="default"/>
                <w:lang w:val="en-US" w:eastAsia="zh-CN"/>
              </w:rPr>
              <w:t>6#</w:t>
            </w:r>
            <w:r>
              <w:rPr>
                <w:rFonts w:hint="eastAsia"/>
                <w:lang w:val="en-US" w:eastAsia="zh-CN"/>
              </w:rPr>
              <w:t xml:space="preserve">泊位附近及上游 </w:t>
            </w:r>
            <w:r>
              <w:rPr>
                <w:rFonts w:hint="default"/>
                <w:lang w:val="en-US" w:eastAsia="zh-CN"/>
              </w:rPr>
              <w:t>1#</w:t>
            </w:r>
            <w:r>
              <w:rPr>
                <w:rFonts w:hint="eastAsia"/>
                <w:lang w:val="en-US" w:eastAsia="zh-CN"/>
              </w:rPr>
              <w:t xml:space="preserve">泊位局部区域进行疏浚，疏浚土质以淤泥质粉质粘土为主，港池疏浚土方为 </w:t>
            </w:r>
            <w:r>
              <w:rPr>
                <w:rFonts w:hint="default"/>
                <w:lang w:val="en-US" w:eastAsia="zh-CN"/>
              </w:rPr>
              <w:t xml:space="preserve">1.55 </w:t>
            </w:r>
            <w:r>
              <w:rPr>
                <w:rFonts w:hint="eastAsia"/>
                <w:lang w:val="en-US" w:eastAsia="zh-CN"/>
              </w:rPr>
              <w:t xml:space="preserve">万 </w:t>
            </w:r>
            <w:r>
              <w:rPr>
                <w:rFonts w:hint="default"/>
                <w:lang w:val="en-US" w:eastAsia="zh-CN"/>
              </w:rPr>
              <w:t>m3</w:t>
            </w:r>
            <w:r>
              <w:rPr>
                <w:rFonts w:hint="eastAsia"/>
                <w:lang w:val="en-US" w:eastAsia="zh-CN"/>
              </w:rPr>
              <w:t>；荆岳长江大桥上游规划新建道仁矶公用锚地，本工程拟使用该锚地作为待港锚地。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61" w:hRule="atLeast"/>
          <w:jc w:val="center"/>
        </w:trPr>
        <w:tc>
          <w:tcPr>
            <w:tcW w:w="1388" w:type="dxa"/>
            <w:vMerge w:val="continue"/>
            <w:vAlign w:val="center"/>
          </w:tcPr>
          <w:p>
            <w:pPr>
              <w:pStyle w:val="2691"/>
            </w:pPr>
          </w:p>
        </w:tc>
        <w:tc>
          <w:tcPr>
            <w:tcW w:w="1800" w:type="dxa"/>
            <w:vAlign w:val="center"/>
          </w:tcPr>
          <w:p>
            <w:pPr>
              <w:pStyle w:val="2691"/>
            </w:pPr>
            <w:r>
              <w:rPr>
                <w:rFonts w:hint="eastAsia"/>
              </w:rPr>
              <w:t>疏港道路</w:t>
            </w:r>
          </w:p>
        </w:tc>
        <w:tc>
          <w:tcPr>
            <w:tcW w:w="6098" w:type="dxa"/>
            <w:vAlign w:val="center"/>
          </w:tcPr>
          <w:p>
            <w:pPr>
              <w:pStyle w:val="2691"/>
            </w:pPr>
            <w:r>
              <w:rPr>
                <w:rFonts w:hint="eastAsia"/>
              </w:rPr>
              <w:t>依托已有的</w:t>
            </w:r>
            <w:r>
              <w:rPr>
                <w:szCs w:val="28"/>
              </w:rPr>
              <w:t>S208省道作为</w:t>
            </w:r>
            <w:r>
              <w:rPr>
                <w:rFonts w:hint="eastAsia"/>
              </w:rPr>
              <w:t>疏港大道，陆域</w:t>
            </w:r>
            <w:r>
              <w:rPr>
                <w:rFonts w:hint="eastAsia"/>
                <w:spacing w:val="4"/>
              </w:rPr>
              <w:t>港区大门与</w:t>
            </w:r>
            <w:r>
              <w:rPr>
                <w:szCs w:val="28"/>
              </w:rPr>
              <w:t>S208省道</w:t>
            </w:r>
            <w:r>
              <w:rPr>
                <w:rFonts w:hint="eastAsia"/>
                <w:spacing w:val="4"/>
              </w:rPr>
              <w:t>连接。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61" w:hRule="atLeast"/>
          <w:jc w:val="center"/>
        </w:trPr>
        <w:tc>
          <w:tcPr>
            <w:tcW w:w="1388" w:type="dxa"/>
            <w:vMerge w:val="continue"/>
            <w:vAlign w:val="center"/>
          </w:tcPr>
          <w:p>
            <w:pPr>
              <w:pStyle w:val="2691"/>
            </w:pPr>
          </w:p>
        </w:tc>
        <w:tc>
          <w:tcPr>
            <w:tcW w:w="1800" w:type="dxa"/>
            <w:vAlign w:val="center"/>
          </w:tcPr>
          <w:p>
            <w:pPr>
              <w:pStyle w:val="2691"/>
            </w:pPr>
            <w:r>
              <w:rPr>
                <w:rFonts w:hint="eastAsia"/>
              </w:rPr>
              <w:t>机修</w:t>
            </w:r>
          </w:p>
        </w:tc>
        <w:tc>
          <w:tcPr>
            <w:tcW w:w="6098" w:type="dxa"/>
            <w:vAlign w:val="center"/>
          </w:tcPr>
          <w:p>
            <w:pPr>
              <w:pStyle w:val="2691"/>
            </w:pPr>
            <w:r>
              <w:rPr>
                <w:rFonts w:hint="eastAsia"/>
              </w:rPr>
              <w:t>本项目主要设备修理和日常故障维修均考虑委托港外机械修理公司、设备厂家及其它社会力量。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61" w:hRule="atLeast"/>
          <w:jc w:val="center"/>
        </w:trPr>
        <w:tc>
          <w:tcPr>
            <w:tcW w:w="1388" w:type="dxa"/>
            <w:vMerge w:val="continue"/>
            <w:vAlign w:val="center"/>
          </w:tcPr>
          <w:p>
            <w:pPr>
              <w:pStyle w:val="2691"/>
            </w:pPr>
          </w:p>
        </w:tc>
        <w:tc>
          <w:tcPr>
            <w:tcW w:w="1800" w:type="dxa"/>
            <w:vAlign w:val="center"/>
          </w:tcPr>
          <w:p>
            <w:pPr>
              <w:pStyle w:val="2691"/>
            </w:pPr>
            <w:r>
              <w:rPr>
                <w:rFonts w:hint="eastAsia"/>
              </w:rPr>
              <w:t>污水处理厂</w:t>
            </w:r>
          </w:p>
        </w:tc>
        <w:tc>
          <w:tcPr>
            <w:tcW w:w="6098" w:type="dxa"/>
            <w:vAlign w:val="center"/>
          </w:tcPr>
          <w:p>
            <w:pPr>
              <w:pStyle w:val="2691"/>
              <w:rPr>
                <w:rFonts w:hint="eastAsia" w:eastAsia="宋体"/>
                <w:lang w:val="en-US" w:eastAsia="zh-CN"/>
              </w:rPr>
            </w:pPr>
            <w:r>
              <w:rPr>
                <w:rFonts w:hint="eastAsia"/>
              </w:rPr>
              <w:t>本项目运营期员工生活污水</w:t>
            </w:r>
            <w:r>
              <w:rPr>
                <w:rFonts w:hint="default"/>
                <w:lang w:val="en-US" w:eastAsia="zh-CN"/>
              </w:rPr>
              <w:t>依托临港水质净化厂进行处理，临港水质净化厂</w:t>
            </w:r>
            <w:r>
              <w:rPr>
                <w:rFonts w:ascii="Times New Roman" w:hAnsi="Times New Roman" w:eastAsia="宋体" w:cs="Times New Roman"/>
                <w:i w:val="0"/>
                <w:iCs w:val="0"/>
                <w:caps w:val="0"/>
                <w:color w:val="auto"/>
                <w:spacing w:val="0"/>
                <w:sz w:val="21"/>
                <w:szCs w:val="21"/>
              </w:rPr>
              <w:t>处理规模为3万吨/天，采用CASS污水处理工艺，规划服务面积160.63平方公里</w:t>
            </w:r>
            <w:r>
              <w:rPr>
                <w:rFonts w:hint="eastAsia" w:cs="Times New Roman"/>
                <w:i w:val="0"/>
                <w:iCs w:val="0"/>
                <w:caps w:val="0"/>
                <w:spacing w:val="0"/>
                <w:sz w:val="21"/>
                <w:szCs w:val="21"/>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88" w:hRule="atLeast"/>
          <w:jc w:val="center"/>
        </w:trPr>
        <w:tc>
          <w:tcPr>
            <w:tcW w:w="1388" w:type="dxa"/>
            <w:vMerge w:val="restart"/>
            <w:vAlign w:val="center"/>
          </w:tcPr>
          <w:p>
            <w:pPr>
              <w:pStyle w:val="2691"/>
            </w:pPr>
            <w:r>
              <w:t>环保工程</w:t>
            </w:r>
          </w:p>
        </w:tc>
        <w:tc>
          <w:tcPr>
            <w:tcW w:w="1800" w:type="dxa"/>
            <w:vAlign w:val="center"/>
          </w:tcPr>
          <w:p>
            <w:pPr>
              <w:pStyle w:val="2691"/>
            </w:pPr>
            <w:r>
              <w:t>废水</w:t>
            </w:r>
          </w:p>
        </w:tc>
        <w:tc>
          <w:tcPr>
            <w:tcW w:w="6098" w:type="dxa"/>
            <w:vAlign w:val="center"/>
          </w:tcPr>
          <w:p>
            <w:pPr>
              <w:widowControl/>
              <w:tabs>
                <w:tab w:val="clear" w:pos="480"/>
              </w:tabs>
              <w:autoSpaceDE w:val="0"/>
              <w:autoSpaceDN w:val="0"/>
              <w:adjustRightInd w:val="0"/>
              <w:spacing w:line="240" w:lineRule="auto"/>
              <w:ind w:firstLine="0" w:firstLineChars="0"/>
              <w:jc w:val="left"/>
            </w:pPr>
            <w:r>
              <w:rPr>
                <w:sz w:val="21"/>
                <w:szCs w:val="21"/>
              </w:rPr>
              <w:t>本项目</w:t>
            </w:r>
            <w:r>
              <w:rPr>
                <w:spacing w:val="0"/>
                <w:sz w:val="21"/>
                <w:szCs w:val="21"/>
              </w:rPr>
              <w:t>到港船舶油污水和生活污水</w:t>
            </w:r>
            <w:r>
              <w:rPr>
                <w:rFonts w:hint="default" w:ascii="Times New Roman" w:hAnsi="Times New Roman" w:eastAsia="宋体" w:cs="Times New Roman"/>
                <w:kern w:val="2"/>
                <w:sz w:val="21"/>
                <w:szCs w:val="21"/>
                <w:lang w:val="en-US" w:eastAsia="zh-CN" w:bidi="ar"/>
              </w:rPr>
              <w:t>上岸进入港区专用</w:t>
            </w:r>
            <w:r>
              <w:rPr>
                <w:rFonts w:hint="default" w:eastAsia="宋体" w:cs="Times New Roman"/>
                <w:kern w:val="2"/>
                <w:sz w:val="21"/>
                <w:szCs w:val="21"/>
                <w:lang w:val="en-US" w:eastAsia="zh-CN" w:bidi="ar"/>
              </w:rPr>
              <w:t>接收装置</w:t>
            </w:r>
            <w:r>
              <w:rPr>
                <w:rFonts w:hint="default" w:ascii="Times New Roman" w:hAnsi="Times New Roman" w:eastAsia="宋体" w:cs="Times New Roman"/>
                <w:kern w:val="2"/>
                <w:sz w:val="21"/>
                <w:szCs w:val="21"/>
                <w:lang w:val="en-US" w:eastAsia="zh-CN" w:bidi="ar"/>
              </w:rPr>
              <w:t>，</w:t>
            </w:r>
            <w:r>
              <w:rPr>
                <w:spacing w:val="0"/>
                <w:sz w:val="21"/>
                <w:szCs w:val="21"/>
              </w:rPr>
              <w:t>申请海事部门的环保工作船进行专业收集处理</w:t>
            </w:r>
            <w:r>
              <w:rPr>
                <w:rFonts w:hint="default"/>
                <w:spacing w:val="0"/>
                <w:sz w:val="21"/>
                <w:szCs w:val="21"/>
              </w:rPr>
              <w:t>；</w:t>
            </w:r>
            <w:r>
              <w:rPr>
                <w:rFonts w:hint="default"/>
                <w:spacing w:val="0"/>
                <w:sz w:val="21"/>
                <w:szCs w:val="21"/>
                <w:lang w:val="en-US" w:eastAsia="zh-CN"/>
              </w:rPr>
              <w:t>运输车辆和</w:t>
            </w:r>
            <w:r>
              <w:rPr>
                <w:sz w:val="21"/>
                <w:szCs w:val="21"/>
              </w:rPr>
              <w:t>机械冲洗废水</w:t>
            </w:r>
            <w:r>
              <w:rPr>
                <w:rFonts w:hint="default"/>
                <w:sz w:val="21"/>
                <w:szCs w:val="21"/>
                <w:lang w:eastAsia="zh-CN"/>
              </w:rPr>
              <w:t>、</w:t>
            </w:r>
            <w:r>
              <w:rPr>
                <w:rFonts w:hint="default"/>
                <w:sz w:val="21"/>
                <w:szCs w:val="21"/>
              </w:rPr>
              <w:t>地面</w:t>
            </w:r>
            <w:r>
              <w:rPr>
                <w:sz w:val="21"/>
                <w:szCs w:val="21"/>
              </w:rPr>
              <w:t>冲洗废水和初期雨水经污水收集池</w:t>
            </w:r>
            <w:r>
              <w:rPr>
                <w:spacing w:val="0"/>
                <w:sz w:val="21"/>
                <w:szCs w:val="21"/>
              </w:rPr>
              <w:t>收集，后</w:t>
            </w:r>
            <w:r>
              <w:rPr>
                <w:rFonts w:hint="default"/>
                <w:spacing w:val="0"/>
                <w:sz w:val="21"/>
                <w:szCs w:val="21"/>
                <w:lang w:val="en-US" w:eastAsia="zh-CN"/>
              </w:rPr>
              <w:t xml:space="preserve"> </w:t>
            </w:r>
            <w:r>
              <w:rPr>
                <w:sz w:val="21"/>
                <w:szCs w:val="21"/>
              </w:rPr>
              <w:t>由防爆污水泵和管道抽送</w:t>
            </w:r>
            <w:r>
              <w:rPr>
                <w:spacing w:val="0"/>
                <w:sz w:val="21"/>
                <w:szCs w:val="21"/>
              </w:rPr>
              <w:t>至后方陆域工程区</w:t>
            </w:r>
            <w:r>
              <w:rPr>
                <w:sz w:val="21"/>
                <w:szCs w:val="21"/>
              </w:rPr>
              <w:t>含尘污水处理间处理</w:t>
            </w:r>
            <w:r>
              <w:rPr>
                <w:spacing w:val="0"/>
                <w:sz w:val="21"/>
                <w:szCs w:val="21"/>
              </w:rPr>
              <w:t>，和陆域含尘废水一同经</w:t>
            </w:r>
            <w:r>
              <w:rPr>
                <w:sz w:val="21"/>
                <w:szCs w:val="21"/>
              </w:rPr>
              <w:t>处理达标后回用于</w:t>
            </w:r>
            <w:r>
              <w:rPr>
                <w:rFonts w:hint="default"/>
                <w:sz w:val="21"/>
                <w:szCs w:val="21"/>
              </w:rPr>
              <w:t>散货</w:t>
            </w:r>
            <w:r>
              <w:rPr>
                <w:sz w:val="21"/>
                <w:szCs w:val="21"/>
              </w:rPr>
              <w:t>堆场喷洒降尘</w:t>
            </w:r>
            <w:r>
              <w:rPr>
                <w:rFonts w:hint="default"/>
                <w:sz w:val="21"/>
                <w:szCs w:val="21"/>
              </w:rPr>
              <w:t>；</w:t>
            </w:r>
            <w:r>
              <w:rPr>
                <w:rFonts w:hint="default"/>
                <w:sz w:val="21"/>
                <w:szCs w:val="21"/>
                <w:lang w:val="en-US" w:eastAsia="zh-CN"/>
              </w:rPr>
              <w:t>盈余废水与</w:t>
            </w:r>
            <w:r>
              <w:rPr>
                <w:rFonts w:hint="default"/>
                <w:sz w:val="21"/>
                <w:szCs w:val="21"/>
              </w:rPr>
              <w:t>员工</w:t>
            </w:r>
            <w:r>
              <w:rPr>
                <w:sz w:val="21"/>
                <w:szCs w:val="21"/>
              </w:rPr>
              <w:t>生活污水</w:t>
            </w:r>
            <w:r>
              <w:rPr>
                <w:rFonts w:hint="default"/>
                <w:sz w:val="21"/>
                <w:szCs w:val="21"/>
              </w:rPr>
              <w:t>接入市政污水管网，交由</w:t>
            </w:r>
            <w:r>
              <w:rPr>
                <w:rFonts w:hint="default"/>
                <w:sz w:val="21"/>
                <w:szCs w:val="21"/>
                <w:lang w:val="en-US" w:eastAsia="zh-CN"/>
              </w:rPr>
              <w:t>临港水质净化厂</w:t>
            </w:r>
            <w:r>
              <w:rPr>
                <w:rFonts w:hint="default"/>
                <w:sz w:val="21"/>
                <w:szCs w:val="21"/>
              </w:rPr>
              <w:t>处理</w:t>
            </w:r>
            <w:r>
              <w:rPr>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22" w:hRule="atLeast"/>
          <w:jc w:val="center"/>
        </w:trPr>
        <w:tc>
          <w:tcPr>
            <w:tcW w:w="1388" w:type="dxa"/>
            <w:vMerge w:val="continue"/>
            <w:vAlign w:val="center"/>
          </w:tcPr>
          <w:p>
            <w:pPr>
              <w:pStyle w:val="2691"/>
            </w:pPr>
          </w:p>
        </w:tc>
        <w:tc>
          <w:tcPr>
            <w:tcW w:w="1800" w:type="dxa"/>
            <w:vAlign w:val="center"/>
          </w:tcPr>
          <w:p>
            <w:pPr>
              <w:pStyle w:val="2691"/>
            </w:pPr>
            <w:r>
              <w:t>废气</w:t>
            </w:r>
          </w:p>
        </w:tc>
        <w:tc>
          <w:tcPr>
            <w:tcW w:w="6098" w:type="dxa"/>
            <w:vAlign w:val="center"/>
          </w:tcPr>
          <w:p>
            <w:pPr>
              <w:tabs>
                <w:tab w:val="clear" w:pos="480"/>
              </w:tabs>
              <w:autoSpaceDE w:val="0"/>
              <w:autoSpaceDN w:val="0"/>
              <w:adjustRightInd w:val="0"/>
              <w:spacing w:line="240" w:lineRule="auto"/>
              <w:ind w:firstLine="0" w:firstLineChars="0"/>
              <w:jc w:val="left"/>
              <w:rPr>
                <w:sz w:val="21"/>
                <w:szCs w:val="21"/>
              </w:rPr>
            </w:pPr>
            <w:r>
              <w:rPr>
                <w:sz w:val="21"/>
                <w:szCs w:val="21"/>
              </w:rPr>
              <w:t>码头装卸区域采用湿式除尘；皮带机廊道采用密封式廊道；转运站各转载点采取密闭措施，设置密闭溜筒和密闭导料槽，通过干雾除尘措施防尘；在码头实施岸基供电设施，船舶靠泊配置岸电设施的泊位后，关闭发动机，使用岸电作为能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54" w:hRule="atLeast"/>
          <w:jc w:val="center"/>
        </w:trPr>
        <w:tc>
          <w:tcPr>
            <w:tcW w:w="1388" w:type="dxa"/>
            <w:vMerge w:val="continue"/>
            <w:vAlign w:val="center"/>
          </w:tcPr>
          <w:p>
            <w:pPr>
              <w:pStyle w:val="2691"/>
            </w:pPr>
          </w:p>
        </w:tc>
        <w:tc>
          <w:tcPr>
            <w:tcW w:w="1800" w:type="dxa"/>
            <w:vAlign w:val="center"/>
          </w:tcPr>
          <w:p>
            <w:pPr>
              <w:pStyle w:val="2691"/>
            </w:pPr>
            <w:r>
              <w:t>噪声</w:t>
            </w:r>
          </w:p>
        </w:tc>
        <w:tc>
          <w:tcPr>
            <w:tcW w:w="6098" w:type="dxa"/>
            <w:vAlign w:val="center"/>
          </w:tcPr>
          <w:p>
            <w:pPr>
              <w:tabs>
                <w:tab w:val="clear" w:pos="480"/>
              </w:tabs>
              <w:autoSpaceDE w:val="0"/>
              <w:autoSpaceDN w:val="0"/>
              <w:adjustRightInd w:val="0"/>
              <w:spacing w:line="240" w:lineRule="auto"/>
              <w:ind w:firstLine="0" w:firstLineChars="0"/>
              <w:jc w:val="left"/>
              <w:rPr>
                <w:sz w:val="21"/>
                <w:szCs w:val="21"/>
              </w:rPr>
            </w:pPr>
            <w:r>
              <w:rPr>
                <w:sz w:val="21"/>
              </w:rPr>
              <w:t>加强对进出港区车辆、船舶管理，非必要时禁鸣；加强噪声设备的维护管理，采用低噪声设备和减振措施；加强厂区绿化。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54" w:hRule="atLeast"/>
          <w:jc w:val="center"/>
        </w:trPr>
        <w:tc>
          <w:tcPr>
            <w:tcW w:w="1388" w:type="dxa"/>
            <w:vMerge w:val="continue"/>
            <w:vAlign w:val="center"/>
          </w:tcPr>
          <w:p>
            <w:pPr>
              <w:pStyle w:val="2691"/>
            </w:pPr>
          </w:p>
        </w:tc>
        <w:tc>
          <w:tcPr>
            <w:tcW w:w="1800" w:type="dxa"/>
            <w:vAlign w:val="center"/>
          </w:tcPr>
          <w:p>
            <w:pPr>
              <w:pStyle w:val="2691"/>
            </w:pPr>
            <w:r>
              <w:t>固废</w:t>
            </w:r>
          </w:p>
        </w:tc>
        <w:tc>
          <w:tcPr>
            <w:tcW w:w="6098" w:type="dxa"/>
            <w:vAlign w:val="center"/>
          </w:tcPr>
          <w:p>
            <w:pPr>
              <w:pStyle w:val="2133"/>
              <w:adjustRightInd w:val="0"/>
              <w:snapToGrid w:val="0"/>
              <w:spacing w:line="240" w:lineRule="auto"/>
              <w:ind w:left="-72" w:leftChars="-30" w:right="-72" w:rightChars="-30" w:firstLine="0" w:firstLineChars="0"/>
              <w:jc w:val="center"/>
              <w:rPr>
                <w:rFonts w:cs="Times New Roman"/>
                <w:sz w:val="21"/>
                <w:szCs w:val="21"/>
              </w:rPr>
            </w:pPr>
            <w:r>
              <w:rPr>
                <w:rFonts w:cs="Times New Roman"/>
                <w:sz w:val="21"/>
                <w:szCs w:val="21"/>
              </w:rPr>
              <w:t>施工期建筑垃圾</w:t>
            </w:r>
            <w:r>
              <w:rPr>
                <w:rFonts w:hint="eastAsia" w:cs="Times New Roman"/>
                <w:sz w:val="21"/>
                <w:szCs w:val="21"/>
              </w:rPr>
              <w:t>尽量利用，不能利用的部分运至建筑垃圾填埋场处理</w:t>
            </w:r>
            <w:r>
              <w:rPr>
                <w:rFonts w:cs="Times New Roman"/>
                <w:sz w:val="21"/>
                <w:szCs w:val="21"/>
              </w:rPr>
              <w:t>，生活垃圾集中运至城市垃圾处理场处理。</w:t>
            </w:r>
          </w:p>
          <w:p>
            <w:pPr>
              <w:tabs>
                <w:tab w:val="clear" w:pos="480"/>
              </w:tabs>
              <w:autoSpaceDE w:val="0"/>
              <w:autoSpaceDN w:val="0"/>
              <w:adjustRightInd w:val="0"/>
              <w:spacing w:line="240" w:lineRule="auto"/>
              <w:ind w:firstLine="0" w:firstLineChars="0"/>
              <w:jc w:val="left"/>
              <w:rPr>
                <w:sz w:val="21"/>
              </w:rPr>
            </w:pPr>
            <w:r>
              <w:rPr>
                <w:rFonts w:hint="eastAsia"/>
                <w:sz w:val="21"/>
                <w:szCs w:val="21"/>
              </w:rPr>
              <w:t>运营期</w:t>
            </w:r>
            <w:r>
              <w:rPr>
                <w:sz w:val="21"/>
                <w:szCs w:val="21"/>
              </w:rPr>
              <w:t>港区生活垃圾和生产垃圾分类收集，</w:t>
            </w:r>
            <w:r>
              <w:rPr>
                <w:rFonts w:hint="eastAsia"/>
                <w:sz w:val="21"/>
                <w:szCs w:val="21"/>
              </w:rPr>
              <w:t>生活垃圾等</w:t>
            </w:r>
            <w:r>
              <w:rPr>
                <w:sz w:val="21"/>
                <w:szCs w:val="21"/>
              </w:rPr>
              <w:t>收集后委托环卫部门定期清运</w:t>
            </w:r>
            <w:r>
              <w:rPr>
                <w:rFonts w:hint="eastAsia"/>
                <w:sz w:val="21"/>
                <w:szCs w:val="21"/>
              </w:rPr>
              <w:t>；</w:t>
            </w:r>
            <w:r>
              <w:rPr>
                <w:rFonts w:hint="eastAsia"/>
                <w:sz w:val="21"/>
                <w:szCs w:val="21"/>
                <w:lang w:val="en-US" w:eastAsia="zh-CN"/>
              </w:rPr>
              <w:t>废机油、</w:t>
            </w:r>
            <w:r>
              <w:rPr>
                <w:rFonts w:hint="eastAsia"/>
                <w:sz w:val="21"/>
                <w:szCs w:val="21"/>
              </w:rPr>
              <w:t>废含油抹布危险废物设置一处20m</w:t>
            </w:r>
            <w:r>
              <w:rPr>
                <w:rFonts w:hint="eastAsia"/>
                <w:sz w:val="21"/>
                <w:szCs w:val="21"/>
                <w:vertAlign w:val="superscript"/>
              </w:rPr>
              <w:t>2</w:t>
            </w:r>
            <w:r>
              <w:rPr>
                <w:rFonts w:hint="eastAsia"/>
                <w:sz w:val="21"/>
                <w:szCs w:val="21"/>
              </w:rPr>
              <w:t>的危废暂存间，交由有资质单位处理；</w:t>
            </w:r>
            <w:r>
              <w:rPr>
                <w:sz w:val="21"/>
                <w:szCs w:val="21"/>
              </w:rPr>
              <w:t>船舶垃圾经过检疫后由环卫部门统一外运处理。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88" w:type="dxa"/>
            <w:vMerge w:val="continue"/>
            <w:vAlign w:val="center"/>
          </w:tcPr>
          <w:p>
            <w:pPr>
              <w:pStyle w:val="2691"/>
            </w:pPr>
          </w:p>
        </w:tc>
        <w:tc>
          <w:tcPr>
            <w:tcW w:w="1800" w:type="dxa"/>
            <w:vAlign w:val="center"/>
          </w:tcPr>
          <w:p>
            <w:pPr>
              <w:pStyle w:val="2691"/>
            </w:pPr>
            <w:r>
              <w:t>风险防范</w:t>
            </w:r>
          </w:p>
        </w:tc>
        <w:tc>
          <w:tcPr>
            <w:tcW w:w="6098" w:type="dxa"/>
            <w:vAlign w:val="center"/>
          </w:tcPr>
          <w:p>
            <w:pPr>
              <w:pStyle w:val="2691"/>
            </w:pPr>
            <w:r>
              <w:t>码头区域配备溢油应急物资及设备。</w:t>
            </w:r>
          </w:p>
        </w:tc>
      </w:tr>
    </w:tbl>
    <w:p>
      <w:pPr>
        <w:ind w:firstLine="480"/>
      </w:pPr>
      <w:r>
        <w:t>本项目主要经济技术指标见下表。</w:t>
      </w:r>
    </w:p>
    <w:p>
      <w:pPr>
        <w:pStyle w:val="2285"/>
        <w:ind w:left="0"/>
        <w:rPr>
          <w:rFonts w:cs="Times New Roman"/>
        </w:rPr>
      </w:pPr>
      <w:r>
        <w:rPr>
          <w:rFonts w:cs="Times New Roman"/>
        </w:rPr>
        <w:t>项目技术经济指标一览表</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81"/>
        <w:gridCol w:w="468"/>
        <w:gridCol w:w="1748"/>
        <w:gridCol w:w="1456"/>
        <w:gridCol w:w="1456"/>
        <w:gridCol w:w="347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367"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kern w:val="0"/>
                <w:sz w:val="21"/>
                <w:szCs w:val="21"/>
              </w:rPr>
              <w:t>序号</w:t>
            </w:r>
          </w:p>
        </w:tc>
        <w:tc>
          <w:tcPr>
            <w:tcW w:w="1193" w:type="pct"/>
            <w:gridSpan w:val="2"/>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kern w:val="0"/>
                <w:sz w:val="21"/>
                <w:szCs w:val="21"/>
              </w:rPr>
              <w:t>指 标 名 称</w:t>
            </w:r>
          </w:p>
        </w:tc>
        <w:tc>
          <w:tcPr>
            <w:tcW w:w="784"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kern w:val="0"/>
                <w:sz w:val="21"/>
                <w:szCs w:val="21"/>
              </w:rPr>
              <w:t>单位</w:t>
            </w:r>
          </w:p>
        </w:tc>
        <w:tc>
          <w:tcPr>
            <w:tcW w:w="784"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kern w:val="0"/>
                <w:sz w:val="21"/>
                <w:szCs w:val="21"/>
              </w:rPr>
              <w:t>数量</w:t>
            </w:r>
          </w:p>
        </w:tc>
        <w:tc>
          <w:tcPr>
            <w:tcW w:w="1872"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kern w:val="0"/>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67"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kern w:val="0"/>
                <w:sz w:val="21"/>
                <w:szCs w:val="21"/>
              </w:rPr>
              <w:t>1</w:t>
            </w:r>
          </w:p>
        </w:tc>
        <w:tc>
          <w:tcPr>
            <w:tcW w:w="1193" w:type="pct"/>
            <w:gridSpan w:val="2"/>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r>
              <w:rPr>
                <w:kern w:val="0"/>
                <w:sz w:val="21"/>
                <w:szCs w:val="21"/>
              </w:rPr>
              <w:t>设计吞吐量</w:t>
            </w:r>
          </w:p>
        </w:tc>
        <w:tc>
          <w:tcPr>
            <w:tcW w:w="784"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万吨/年</w:t>
            </w:r>
          </w:p>
        </w:tc>
        <w:tc>
          <w:tcPr>
            <w:tcW w:w="784"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kern w:val="0"/>
                <w:sz w:val="21"/>
                <w:szCs w:val="21"/>
              </w:rPr>
              <w:t>1660</w:t>
            </w:r>
          </w:p>
        </w:tc>
        <w:tc>
          <w:tcPr>
            <w:tcW w:w="1872"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67"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kern w:val="0"/>
                <w:sz w:val="21"/>
                <w:szCs w:val="21"/>
              </w:rPr>
              <w:t>2</w:t>
            </w:r>
          </w:p>
        </w:tc>
        <w:tc>
          <w:tcPr>
            <w:tcW w:w="1193" w:type="pct"/>
            <w:gridSpan w:val="2"/>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r>
              <w:rPr>
                <w:kern w:val="0"/>
                <w:sz w:val="21"/>
                <w:szCs w:val="21"/>
              </w:rPr>
              <w:t>设计吞吐能力</w:t>
            </w:r>
          </w:p>
        </w:tc>
        <w:tc>
          <w:tcPr>
            <w:tcW w:w="784"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万吨/年</w:t>
            </w:r>
          </w:p>
        </w:tc>
        <w:tc>
          <w:tcPr>
            <w:tcW w:w="784"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kern w:val="0"/>
                <w:sz w:val="21"/>
                <w:szCs w:val="21"/>
              </w:rPr>
              <w:t>1804.2</w:t>
            </w:r>
          </w:p>
        </w:tc>
        <w:tc>
          <w:tcPr>
            <w:tcW w:w="1872"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67"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kern w:val="0"/>
                <w:sz w:val="21"/>
                <w:szCs w:val="21"/>
              </w:rPr>
              <w:t>3</w:t>
            </w:r>
          </w:p>
        </w:tc>
        <w:tc>
          <w:tcPr>
            <w:tcW w:w="1193" w:type="pct"/>
            <w:gridSpan w:val="2"/>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r>
              <w:rPr>
                <w:kern w:val="0"/>
                <w:sz w:val="21"/>
                <w:szCs w:val="21"/>
              </w:rPr>
              <w:t>泊位数</w:t>
            </w:r>
          </w:p>
        </w:tc>
        <w:tc>
          <w:tcPr>
            <w:tcW w:w="784"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个</w:t>
            </w:r>
          </w:p>
        </w:tc>
        <w:tc>
          <w:tcPr>
            <w:tcW w:w="784"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kern w:val="0"/>
                <w:sz w:val="21"/>
                <w:szCs w:val="21"/>
              </w:rPr>
              <w:t>6</w:t>
            </w:r>
          </w:p>
        </w:tc>
        <w:tc>
          <w:tcPr>
            <w:tcW w:w="1872"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19" w:hRule="exact"/>
          <w:jc w:val="center"/>
        </w:trPr>
        <w:tc>
          <w:tcPr>
            <w:tcW w:w="367"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kern w:val="0"/>
                <w:sz w:val="21"/>
                <w:szCs w:val="21"/>
              </w:rPr>
              <w:t>4</w:t>
            </w:r>
          </w:p>
        </w:tc>
        <w:tc>
          <w:tcPr>
            <w:tcW w:w="1193" w:type="pct"/>
            <w:gridSpan w:val="2"/>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r>
              <w:rPr>
                <w:kern w:val="0"/>
                <w:sz w:val="21"/>
                <w:szCs w:val="21"/>
              </w:rPr>
              <w:t>码头岸线长度</w:t>
            </w:r>
          </w:p>
        </w:tc>
        <w:tc>
          <w:tcPr>
            <w:tcW w:w="784"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kern w:val="0"/>
                <w:sz w:val="21"/>
                <w:szCs w:val="21"/>
              </w:rPr>
              <w:t>m</w:t>
            </w:r>
          </w:p>
        </w:tc>
        <w:tc>
          <w:tcPr>
            <w:tcW w:w="784" w:type="pct"/>
            <w:shd w:val="clear" w:color="auto" w:fill="auto"/>
            <w:vAlign w:val="center"/>
          </w:tcPr>
          <w:p>
            <w:pPr>
              <w:tabs>
                <w:tab w:val="clear" w:pos="480"/>
              </w:tabs>
              <w:snapToGrid w:val="0"/>
              <w:spacing w:line="240" w:lineRule="auto"/>
              <w:ind w:firstLine="0" w:firstLineChars="0"/>
              <w:jc w:val="center"/>
              <w:rPr>
                <w:kern w:val="0"/>
                <w:sz w:val="21"/>
                <w:szCs w:val="21"/>
              </w:rPr>
            </w:pPr>
            <w:r>
              <w:rPr>
                <w:kern w:val="0"/>
                <w:sz w:val="21"/>
                <w:szCs w:val="21"/>
              </w:rPr>
              <w:t>840</w:t>
            </w:r>
          </w:p>
        </w:tc>
        <w:tc>
          <w:tcPr>
            <w:tcW w:w="1872" w:type="pct"/>
            <w:shd w:val="clear" w:color="auto" w:fill="auto"/>
            <w:vAlign w:val="center"/>
          </w:tcPr>
          <w:p>
            <w:pPr>
              <w:tabs>
                <w:tab w:val="clear" w:pos="480"/>
              </w:tabs>
              <w:snapToGrid w:val="0"/>
              <w:spacing w:line="240" w:lineRule="auto"/>
              <w:ind w:firstLine="0" w:firstLineChars="0"/>
              <w:jc w:val="center"/>
              <w:rPr>
                <w:kern w:val="0"/>
                <w:sz w:val="21"/>
                <w:szCs w:val="21"/>
              </w:rPr>
            </w:pPr>
            <w:r>
              <w:rPr>
                <w:kern w:val="0"/>
                <w:sz w:val="21"/>
                <w:szCs w:val="21"/>
              </w:rPr>
              <w:t>位于《岳阳港总体规划（2035年）》道仁矶作业区散货泊位一区，占用规划全部 840m 岸线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67"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kern w:val="0"/>
                <w:sz w:val="21"/>
                <w:szCs w:val="21"/>
              </w:rPr>
              <w:t>5</w:t>
            </w:r>
          </w:p>
        </w:tc>
        <w:tc>
          <w:tcPr>
            <w:tcW w:w="1193" w:type="pct"/>
            <w:gridSpan w:val="2"/>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r>
              <w:rPr>
                <w:kern w:val="0"/>
                <w:sz w:val="21"/>
                <w:szCs w:val="21"/>
              </w:rPr>
              <w:t>陆域占地面积</w:t>
            </w:r>
          </w:p>
        </w:tc>
        <w:tc>
          <w:tcPr>
            <w:tcW w:w="784"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亩</w:t>
            </w:r>
          </w:p>
        </w:tc>
        <w:tc>
          <w:tcPr>
            <w:tcW w:w="784" w:type="pct"/>
            <w:shd w:val="clear" w:color="auto" w:fill="auto"/>
            <w:vAlign w:val="center"/>
          </w:tcPr>
          <w:p>
            <w:pPr>
              <w:tabs>
                <w:tab w:val="clear" w:pos="480"/>
              </w:tabs>
              <w:snapToGrid w:val="0"/>
              <w:spacing w:line="240" w:lineRule="auto"/>
              <w:ind w:firstLine="0" w:firstLineChars="0"/>
              <w:jc w:val="center"/>
              <w:rPr>
                <w:kern w:val="0"/>
                <w:sz w:val="21"/>
                <w:szCs w:val="21"/>
              </w:rPr>
            </w:pPr>
            <w:r>
              <w:rPr>
                <w:kern w:val="0"/>
                <w:sz w:val="21"/>
                <w:szCs w:val="21"/>
              </w:rPr>
              <w:t>288.3</w:t>
            </w:r>
          </w:p>
        </w:tc>
        <w:tc>
          <w:tcPr>
            <w:tcW w:w="1872" w:type="pct"/>
            <w:shd w:val="clear" w:color="auto" w:fill="auto"/>
            <w:vAlign w:val="center"/>
          </w:tcPr>
          <w:p>
            <w:pPr>
              <w:tabs>
                <w:tab w:val="clear" w:pos="480"/>
              </w:tabs>
              <w:snapToGrid w:val="0"/>
              <w:spacing w:line="240" w:lineRule="auto"/>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67" w:type="pct"/>
            <w:vMerge w:val="restar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kern w:val="0"/>
                <w:sz w:val="21"/>
                <w:szCs w:val="21"/>
              </w:rPr>
              <w:t>6</w:t>
            </w:r>
          </w:p>
        </w:tc>
        <w:tc>
          <w:tcPr>
            <w:tcW w:w="1193" w:type="pct"/>
            <w:gridSpan w:val="2"/>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r>
              <w:rPr>
                <w:kern w:val="0"/>
                <w:sz w:val="21"/>
                <w:szCs w:val="21"/>
              </w:rPr>
              <w:t>陆域铺砌面积</w:t>
            </w:r>
          </w:p>
        </w:tc>
        <w:tc>
          <w:tcPr>
            <w:tcW w:w="784"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1"/>
              </w:rPr>
              <w:t>m</w:t>
            </w:r>
            <w:r>
              <w:rPr>
                <w:kern w:val="0"/>
                <w:sz w:val="21"/>
                <w:szCs w:val="21"/>
                <w:vertAlign w:val="superscript"/>
              </w:rPr>
              <w:t>2</w:t>
            </w:r>
          </w:p>
        </w:tc>
        <w:tc>
          <w:tcPr>
            <w:tcW w:w="784" w:type="pct"/>
            <w:shd w:val="clear" w:color="auto" w:fill="auto"/>
            <w:vAlign w:val="center"/>
          </w:tcPr>
          <w:p>
            <w:pPr>
              <w:tabs>
                <w:tab w:val="clear" w:pos="480"/>
              </w:tabs>
              <w:snapToGrid w:val="0"/>
              <w:spacing w:line="240" w:lineRule="auto"/>
              <w:ind w:firstLine="0" w:firstLineChars="0"/>
              <w:jc w:val="center"/>
              <w:rPr>
                <w:kern w:val="0"/>
                <w:sz w:val="21"/>
                <w:szCs w:val="21"/>
              </w:rPr>
            </w:pPr>
            <w:r>
              <w:rPr>
                <w:kern w:val="0"/>
                <w:sz w:val="21"/>
                <w:szCs w:val="21"/>
              </w:rPr>
              <w:t>110711</w:t>
            </w:r>
          </w:p>
        </w:tc>
        <w:tc>
          <w:tcPr>
            <w:tcW w:w="1872" w:type="pct"/>
            <w:shd w:val="clear" w:color="auto" w:fill="auto"/>
            <w:vAlign w:val="center"/>
          </w:tcPr>
          <w:p>
            <w:pPr>
              <w:tabs>
                <w:tab w:val="clear" w:pos="480"/>
              </w:tabs>
              <w:snapToGrid w:val="0"/>
              <w:spacing w:line="240" w:lineRule="auto"/>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67" w:type="pct"/>
            <w:vMerge w:val="continue"/>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p>
        </w:tc>
        <w:tc>
          <w:tcPr>
            <w:tcW w:w="252" w:type="pct"/>
            <w:vMerge w:val="restart"/>
            <w:shd w:val="clear" w:color="auto" w:fill="auto"/>
            <w:vAlign w:val="center"/>
          </w:tcPr>
          <w:p>
            <w:pPr>
              <w:tabs>
                <w:tab w:val="clear" w:pos="480"/>
              </w:tabs>
              <w:snapToGrid w:val="0"/>
              <w:spacing w:before="46" w:beforeLines="15" w:after="46" w:afterLines="15" w:line="320" w:lineRule="atLeast"/>
              <w:ind w:firstLine="0" w:firstLineChars="0"/>
              <w:rPr>
                <w:kern w:val="0"/>
                <w:sz w:val="21"/>
                <w:szCs w:val="21"/>
              </w:rPr>
            </w:pPr>
            <w:r>
              <w:rPr>
                <w:kern w:val="0"/>
                <w:sz w:val="21"/>
                <w:szCs w:val="21"/>
              </w:rPr>
              <w:t>其中</w:t>
            </w:r>
          </w:p>
        </w:tc>
        <w:tc>
          <w:tcPr>
            <w:tcW w:w="941" w:type="pct"/>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r>
              <w:rPr>
                <w:kern w:val="0"/>
                <w:sz w:val="21"/>
                <w:szCs w:val="21"/>
              </w:rPr>
              <w:t>防汛物资堆场</w:t>
            </w:r>
          </w:p>
        </w:tc>
        <w:tc>
          <w:tcPr>
            <w:tcW w:w="784"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1"/>
              </w:rPr>
              <w:t>m</w:t>
            </w:r>
            <w:r>
              <w:rPr>
                <w:kern w:val="0"/>
                <w:sz w:val="21"/>
                <w:szCs w:val="21"/>
                <w:vertAlign w:val="superscript"/>
              </w:rPr>
              <w:t>2</w:t>
            </w:r>
          </w:p>
        </w:tc>
        <w:tc>
          <w:tcPr>
            <w:tcW w:w="784" w:type="pct"/>
            <w:shd w:val="clear" w:color="auto" w:fill="auto"/>
            <w:vAlign w:val="center"/>
          </w:tcPr>
          <w:p>
            <w:pPr>
              <w:tabs>
                <w:tab w:val="clear" w:pos="480"/>
              </w:tabs>
              <w:snapToGrid w:val="0"/>
              <w:spacing w:line="240" w:lineRule="auto"/>
              <w:ind w:firstLine="0" w:firstLineChars="0"/>
              <w:jc w:val="center"/>
              <w:rPr>
                <w:kern w:val="0"/>
                <w:sz w:val="21"/>
                <w:szCs w:val="21"/>
              </w:rPr>
            </w:pPr>
            <w:r>
              <w:rPr>
                <w:rFonts w:hint="eastAsia"/>
                <w:kern w:val="0"/>
                <w:sz w:val="21"/>
                <w:szCs w:val="21"/>
              </w:rPr>
              <w:t>1</w:t>
            </w:r>
            <w:r>
              <w:rPr>
                <w:kern w:val="0"/>
                <w:sz w:val="21"/>
                <w:szCs w:val="21"/>
              </w:rPr>
              <w:t>5382</w:t>
            </w:r>
          </w:p>
        </w:tc>
        <w:tc>
          <w:tcPr>
            <w:tcW w:w="1872" w:type="pct"/>
            <w:shd w:val="clear" w:color="auto" w:fill="auto"/>
            <w:vAlign w:val="center"/>
          </w:tcPr>
          <w:p>
            <w:pPr>
              <w:tabs>
                <w:tab w:val="clear" w:pos="480"/>
              </w:tabs>
              <w:snapToGrid w:val="0"/>
              <w:spacing w:line="240" w:lineRule="auto"/>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67" w:type="pct"/>
            <w:vMerge w:val="continue"/>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p>
        </w:tc>
        <w:tc>
          <w:tcPr>
            <w:tcW w:w="252" w:type="pct"/>
            <w:vMerge w:val="continue"/>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p>
        </w:tc>
        <w:tc>
          <w:tcPr>
            <w:tcW w:w="941" w:type="pct"/>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r>
              <w:rPr>
                <w:kern w:val="0"/>
                <w:sz w:val="21"/>
                <w:szCs w:val="21"/>
              </w:rPr>
              <w:t>道路</w:t>
            </w:r>
          </w:p>
        </w:tc>
        <w:tc>
          <w:tcPr>
            <w:tcW w:w="784"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1"/>
              </w:rPr>
              <w:t>m</w:t>
            </w:r>
            <w:r>
              <w:rPr>
                <w:kern w:val="0"/>
                <w:sz w:val="21"/>
                <w:szCs w:val="21"/>
                <w:vertAlign w:val="superscript"/>
              </w:rPr>
              <w:t>2</w:t>
            </w:r>
          </w:p>
        </w:tc>
        <w:tc>
          <w:tcPr>
            <w:tcW w:w="784" w:type="pct"/>
            <w:shd w:val="clear" w:color="auto" w:fill="auto"/>
            <w:vAlign w:val="center"/>
          </w:tcPr>
          <w:p>
            <w:pPr>
              <w:tabs>
                <w:tab w:val="clear" w:pos="480"/>
              </w:tabs>
              <w:snapToGrid w:val="0"/>
              <w:spacing w:line="240" w:lineRule="auto"/>
              <w:ind w:firstLine="0" w:firstLineChars="0"/>
              <w:jc w:val="center"/>
              <w:rPr>
                <w:kern w:val="0"/>
                <w:sz w:val="21"/>
                <w:szCs w:val="21"/>
              </w:rPr>
            </w:pPr>
            <w:r>
              <w:rPr>
                <w:rFonts w:hint="eastAsia"/>
                <w:kern w:val="0"/>
                <w:sz w:val="21"/>
                <w:szCs w:val="21"/>
              </w:rPr>
              <w:t>5</w:t>
            </w:r>
            <w:r>
              <w:rPr>
                <w:kern w:val="0"/>
                <w:sz w:val="21"/>
                <w:szCs w:val="21"/>
              </w:rPr>
              <w:t>1217</w:t>
            </w:r>
          </w:p>
        </w:tc>
        <w:tc>
          <w:tcPr>
            <w:tcW w:w="1872" w:type="pct"/>
            <w:shd w:val="clear" w:color="auto" w:fill="auto"/>
            <w:vAlign w:val="center"/>
          </w:tcPr>
          <w:p>
            <w:pPr>
              <w:tabs>
                <w:tab w:val="clear" w:pos="480"/>
              </w:tabs>
              <w:snapToGrid w:val="0"/>
              <w:spacing w:line="240" w:lineRule="auto"/>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67" w:type="pct"/>
            <w:vMerge w:val="continue"/>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p>
        </w:tc>
        <w:tc>
          <w:tcPr>
            <w:tcW w:w="252" w:type="pct"/>
            <w:vMerge w:val="continue"/>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p>
        </w:tc>
        <w:tc>
          <w:tcPr>
            <w:tcW w:w="941" w:type="pct"/>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r>
              <w:rPr>
                <w:kern w:val="0"/>
                <w:sz w:val="21"/>
                <w:szCs w:val="21"/>
              </w:rPr>
              <w:t>停车场</w:t>
            </w:r>
          </w:p>
        </w:tc>
        <w:tc>
          <w:tcPr>
            <w:tcW w:w="784"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1"/>
              </w:rPr>
              <w:t>m</w:t>
            </w:r>
            <w:r>
              <w:rPr>
                <w:kern w:val="0"/>
                <w:sz w:val="21"/>
                <w:szCs w:val="21"/>
                <w:vertAlign w:val="superscript"/>
              </w:rPr>
              <w:t>2</w:t>
            </w:r>
          </w:p>
        </w:tc>
        <w:tc>
          <w:tcPr>
            <w:tcW w:w="784" w:type="pct"/>
            <w:shd w:val="clear" w:color="auto" w:fill="auto"/>
            <w:vAlign w:val="center"/>
          </w:tcPr>
          <w:p>
            <w:pPr>
              <w:tabs>
                <w:tab w:val="clear" w:pos="480"/>
              </w:tabs>
              <w:snapToGrid w:val="0"/>
              <w:spacing w:line="240" w:lineRule="auto"/>
              <w:ind w:firstLine="0" w:firstLineChars="0"/>
              <w:jc w:val="center"/>
              <w:rPr>
                <w:kern w:val="0"/>
                <w:sz w:val="21"/>
                <w:szCs w:val="21"/>
              </w:rPr>
            </w:pPr>
            <w:r>
              <w:rPr>
                <w:rFonts w:hint="eastAsia"/>
                <w:kern w:val="0"/>
                <w:sz w:val="21"/>
                <w:szCs w:val="21"/>
              </w:rPr>
              <w:t>3</w:t>
            </w:r>
            <w:r>
              <w:rPr>
                <w:kern w:val="0"/>
                <w:sz w:val="21"/>
                <w:szCs w:val="21"/>
              </w:rPr>
              <w:t>8743</w:t>
            </w:r>
          </w:p>
        </w:tc>
        <w:tc>
          <w:tcPr>
            <w:tcW w:w="1872" w:type="pct"/>
            <w:shd w:val="clear" w:color="auto" w:fill="auto"/>
            <w:vAlign w:val="center"/>
          </w:tcPr>
          <w:p>
            <w:pPr>
              <w:tabs>
                <w:tab w:val="clear" w:pos="480"/>
              </w:tabs>
              <w:snapToGrid w:val="0"/>
              <w:spacing w:line="240" w:lineRule="auto"/>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67" w:type="pct"/>
            <w:vMerge w:val="continue"/>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p>
        </w:tc>
        <w:tc>
          <w:tcPr>
            <w:tcW w:w="252" w:type="pct"/>
            <w:vMerge w:val="continue"/>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p>
        </w:tc>
        <w:tc>
          <w:tcPr>
            <w:tcW w:w="941" w:type="pct"/>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r>
              <w:rPr>
                <w:kern w:val="0"/>
                <w:sz w:val="21"/>
                <w:szCs w:val="21"/>
              </w:rPr>
              <w:t>其他铺砌</w:t>
            </w:r>
          </w:p>
        </w:tc>
        <w:tc>
          <w:tcPr>
            <w:tcW w:w="784"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1"/>
              </w:rPr>
              <w:t>m</w:t>
            </w:r>
            <w:r>
              <w:rPr>
                <w:kern w:val="0"/>
                <w:sz w:val="21"/>
                <w:szCs w:val="21"/>
                <w:vertAlign w:val="superscript"/>
              </w:rPr>
              <w:t>2</w:t>
            </w:r>
          </w:p>
        </w:tc>
        <w:tc>
          <w:tcPr>
            <w:tcW w:w="784" w:type="pct"/>
            <w:shd w:val="clear" w:color="auto" w:fill="auto"/>
            <w:vAlign w:val="center"/>
          </w:tcPr>
          <w:p>
            <w:pPr>
              <w:tabs>
                <w:tab w:val="clear" w:pos="480"/>
              </w:tabs>
              <w:snapToGrid w:val="0"/>
              <w:spacing w:line="240" w:lineRule="auto"/>
              <w:ind w:firstLine="0" w:firstLineChars="0"/>
              <w:jc w:val="center"/>
              <w:rPr>
                <w:kern w:val="0"/>
                <w:sz w:val="21"/>
                <w:szCs w:val="21"/>
              </w:rPr>
            </w:pPr>
            <w:r>
              <w:rPr>
                <w:rFonts w:hint="eastAsia"/>
                <w:kern w:val="0"/>
                <w:sz w:val="21"/>
                <w:szCs w:val="21"/>
              </w:rPr>
              <w:t>5</w:t>
            </w:r>
            <w:r>
              <w:rPr>
                <w:kern w:val="0"/>
                <w:sz w:val="21"/>
                <w:szCs w:val="21"/>
              </w:rPr>
              <w:t>369</w:t>
            </w:r>
          </w:p>
        </w:tc>
        <w:tc>
          <w:tcPr>
            <w:tcW w:w="1872" w:type="pct"/>
            <w:shd w:val="clear" w:color="auto" w:fill="auto"/>
            <w:vAlign w:val="center"/>
          </w:tcPr>
          <w:p>
            <w:pPr>
              <w:tabs>
                <w:tab w:val="clear" w:pos="480"/>
              </w:tabs>
              <w:snapToGrid w:val="0"/>
              <w:spacing w:line="240" w:lineRule="auto"/>
              <w:ind w:firstLine="0" w:firstLineChars="0"/>
              <w:jc w:val="center"/>
              <w:rPr>
                <w:kern w:val="0"/>
                <w:sz w:val="21"/>
                <w:szCs w:val="21"/>
              </w:rPr>
            </w:pPr>
            <w:r>
              <w:rPr>
                <w:kern w:val="0"/>
                <w:sz w:val="21"/>
                <w:szCs w:val="21"/>
              </w:rPr>
              <w:t>建筑周边等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67"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kern w:val="0"/>
                <w:sz w:val="21"/>
                <w:szCs w:val="21"/>
              </w:rPr>
              <w:t>7</w:t>
            </w:r>
          </w:p>
        </w:tc>
        <w:tc>
          <w:tcPr>
            <w:tcW w:w="1193" w:type="pct"/>
            <w:gridSpan w:val="2"/>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r>
              <w:rPr>
                <w:kern w:val="0"/>
                <w:sz w:val="21"/>
                <w:szCs w:val="21"/>
              </w:rPr>
              <w:t>散货仓库面积</w:t>
            </w:r>
          </w:p>
        </w:tc>
        <w:tc>
          <w:tcPr>
            <w:tcW w:w="784"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1"/>
              </w:rPr>
              <w:t>m</w:t>
            </w:r>
            <w:r>
              <w:rPr>
                <w:kern w:val="0"/>
                <w:sz w:val="21"/>
                <w:szCs w:val="21"/>
                <w:vertAlign w:val="superscript"/>
              </w:rPr>
              <w:t>2</w:t>
            </w:r>
          </w:p>
        </w:tc>
        <w:tc>
          <w:tcPr>
            <w:tcW w:w="784" w:type="pct"/>
            <w:shd w:val="clear" w:color="auto" w:fill="auto"/>
            <w:vAlign w:val="center"/>
          </w:tcPr>
          <w:p>
            <w:pPr>
              <w:tabs>
                <w:tab w:val="clear" w:pos="480"/>
              </w:tabs>
              <w:snapToGrid w:val="0"/>
              <w:spacing w:line="240" w:lineRule="auto"/>
              <w:ind w:firstLine="0" w:firstLineChars="0"/>
              <w:jc w:val="center"/>
              <w:rPr>
                <w:kern w:val="0"/>
                <w:sz w:val="21"/>
                <w:szCs w:val="21"/>
              </w:rPr>
            </w:pPr>
            <w:r>
              <w:rPr>
                <w:kern w:val="0"/>
                <w:sz w:val="21"/>
                <w:szCs w:val="21"/>
              </w:rPr>
              <w:t>29271</w:t>
            </w:r>
          </w:p>
        </w:tc>
        <w:tc>
          <w:tcPr>
            <w:tcW w:w="1872" w:type="pct"/>
            <w:shd w:val="clear" w:color="auto" w:fill="auto"/>
            <w:vAlign w:val="center"/>
          </w:tcPr>
          <w:p>
            <w:pPr>
              <w:tabs>
                <w:tab w:val="clear" w:pos="480"/>
              </w:tabs>
              <w:snapToGrid w:val="0"/>
              <w:spacing w:line="240" w:lineRule="auto"/>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67"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kern w:val="0"/>
                <w:sz w:val="21"/>
                <w:szCs w:val="21"/>
              </w:rPr>
              <w:t>8</w:t>
            </w:r>
          </w:p>
        </w:tc>
        <w:tc>
          <w:tcPr>
            <w:tcW w:w="1193" w:type="pct"/>
            <w:gridSpan w:val="2"/>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r>
              <w:rPr>
                <w:rFonts w:hint="eastAsia"/>
                <w:kern w:val="0"/>
                <w:sz w:val="21"/>
                <w:szCs w:val="21"/>
              </w:rPr>
              <w:t>卸车</w:t>
            </w:r>
            <w:r>
              <w:rPr>
                <w:kern w:val="0"/>
                <w:sz w:val="21"/>
                <w:szCs w:val="21"/>
              </w:rPr>
              <w:t>仓库面积</w:t>
            </w:r>
          </w:p>
        </w:tc>
        <w:tc>
          <w:tcPr>
            <w:tcW w:w="784"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1"/>
              </w:rPr>
              <w:t>m</w:t>
            </w:r>
            <w:r>
              <w:rPr>
                <w:kern w:val="0"/>
                <w:sz w:val="21"/>
                <w:szCs w:val="21"/>
                <w:vertAlign w:val="superscript"/>
              </w:rPr>
              <w:t>2</w:t>
            </w:r>
          </w:p>
        </w:tc>
        <w:tc>
          <w:tcPr>
            <w:tcW w:w="784" w:type="pct"/>
            <w:shd w:val="clear" w:color="auto" w:fill="auto"/>
            <w:vAlign w:val="center"/>
          </w:tcPr>
          <w:p>
            <w:pPr>
              <w:tabs>
                <w:tab w:val="clear" w:pos="480"/>
              </w:tabs>
              <w:snapToGrid w:val="0"/>
              <w:spacing w:line="240" w:lineRule="auto"/>
              <w:ind w:firstLine="0" w:firstLineChars="0"/>
              <w:jc w:val="center"/>
              <w:rPr>
                <w:kern w:val="0"/>
                <w:sz w:val="21"/>
                <w:szCs w:val="21"/>
              </w:rPr>
            </w:pPr>
            <w:r>
              <w:rPr>
                <w:kern w:val="0"/>
                <w:sz w:val="21"/>
                <w:szCs w:val="21"/>
              </w:rPr>
              <w:t>2277</w:t>
            </w:r>
          </w:p>
        </w:tc>
        <w:tc>
          <w:tcPr>
            <w:tcW w:w="1872" w:type="pct"/>
            <w:shd w:val="clear" w:color="auto" w:fill="auto"/>
            <w:vAlign w:val="center"/>
          </w:tcPr>
          <w:p>
            <w:pPr>
              <w:tabs>
                <w:tab w:val="clear" w:pos="480"/>
              </w:tabs>
              <w:snapToGrid w:val="0"/>
              <w:spacing w:line="240" w:lineRule="auto"/>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67"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kern w:val="0"/>
                <w:sz w:val="21"/>
                <w:szCs w:val="21"/>
              </w:rPr>
              <w:t>9</w:t>
            </w:r>
          </w:p>
        </w:tc>
        <w:tc>
          <w:tcPr>
            <w:tcW w:w="1193" w:type="pct"/>
            <w:gridSpan w:val="2"/>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r>
              <w:rPr>
                <w:rFonts w:hint="eastAsia"/>
                <w:kern w:val="0"/>
                <w:sz w:val="21"/>
                <w:szCs w:val="21"/>
              </w:rPr>
              <w:t>生产和辅助建筑物</w:t>
            </w:r>
            <w:r>
              <w:rPr>
                <w:kern w:val="0"/>
                <w:sz w:val="21"/>
                <w:szCs w:val="21"/>
              </w:rPr>
              <w:t>面积</w:t>
            </w:r>
          </w:p>
        </w:tc>
        <w:tc>
          <w:tcPr>
            <w:tcW w:w="784"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1"/>
              </w:rPr>
              <w:t>m</w:t>
            </w:r>
            <w:r>
              <w:rPr>
                <w:kern w:val="0"/>
                <w:sz w:val="21"/>
                <w:szCs w:val="21"/>
                <w:vertAlign w:val="superscript"/>
              </w:rPr>
              <w:t>2</w:t>
            </w:r>
          </w:p>
        </w:tc>
        <w:tc>
          <w:tcPr>
            <w:tcW w:w="784" w:type="pct"/>
            <w:shd w:val="clear" w:color="auto" w:fill="auto"/>
            <w:vAlign w:val="center"/>
          </w:tcPr>
          <w:p>
            <w:pPr>
              <w:tabs>
                <w:tab w:val="clear" w:pos="480"/>
              </w:tabs>
              <w:snapToGrid w:val="0"/>
              <w:spacing w:line="240" w:lineRule="auto"/>
              <w:ind w:firstLine="0" w:firstLineChars="0"/>
              <w:jc w:val="center"/>
              <w:rPr>
                <w:kern w:val="0"/>
                <w:sz w:val="21"/>
                <w:szCs w:val="21"/>
              </w:rPr>
            </w:pPr>
            <w:r>
              <w:rPr>
                <w:kern w:val="0"/>
                <w:sz w:val="21"/>
                <w:szCs w:val="21"/>
              </w:rPr>
              <w:t>41451</w:t>
            </w:r>
          </w:p>
        </w:tc>
        <w:tc>
          <w:tcPr>
            <w:tcW w:w="1872" w:type="pct"/>
            <w:shd w:val="clear" w:color="auto" w:fill="auto"/>
            <w:vAlign w:val="center"/>
          </w:tcPr>
          <w:p>
            <w:pPr>
              <w:tabs>
                <w:tab w:val="clear" w:pos="480"/>
              </w:tabs>
              <w:snapToGrid w:val="0"/>
              <w:spacing w:line="240" w:lineRule="auto"/>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67"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rFonts w:hint="eastAsia"/>
                <w:kern w:val="0"/>
                <w:sz w:val="21"/>
                <w:szCs w:val="21"/>
              </w:rPr>
              <w:t>1</w:t>
            </w:r>
            <w:r>
              <w:rPr>
                <w:kern w:val="0"/>
                <w:sz w:val="21"/>
                <w:szCs w:val="21"/>
              </w:rPr>
              <w:t>0</w:t>
            </w:r>
          </w:p>
        </w:tc>
        <w:tc>
          <w:tcPr>
            <w:tcW w:w="1193" w:type="pct"/>
            <w:gridSpan w:val="2"/>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r>
              <w:rPr>
                <w:kern w:val="0"/>
                <w:sz w:val="21"/>
                <w:szCs w:val="21"/>
              </w:rPr>
              <w:t>绿化面积</w:t>
            </w:r>
          </w:p>
        </w:tc>
        <w:tc>
          <w:tcPr>
            <w:tcW w:w="784"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1"/>
              </w:rPr>
              <w:t>m</w:t>
            </w:r>
            <w:r>
              <w:rPr>
                <w:kern w:val="0"/>
                <w:sz w:val="21"/>
                <w:szCs w:val="21"/>
                <w:vertAlign w:val="superscript"/>
              </w:rPr>
              <w:t>2</w:t>
            </w:r>
          </w:p>
        </w:tc>
        <w:tc>
          <w:tcPr>
            <w:tcW w:w="784" w:type="pct"/>
            <w:shd w:val="clear" w:color="auto" w:fill="auto"/>
            <w:vAlign w:val="center"/>
          </w:tcPr>
          <w:p>
            <w:pPr>
              <w:tabs>
                <w:tab w:val="clear" w:pos="480"/>
              </w:tabs>
              <w:snapToGrid w:val="0"/>
              <w:spacing w:line="240" w:lineRule="auto"/>
              <w:ind w:firstLine="0" w:firstLineChars="0"/>
              <w:jc w:val="center"/>
              <w:rPr>
                <w:kern w:val="0"/>
                <w:sz w:val="21"/>
                <w:szCs w:val="21"/>
              </w:rPr>
            </w:pPr>
            <w:r>
              <w:rPr>
                <w:kern w:val="0"/>
                <w:sz w:val="21"/>
                <w:szCs w:val="21"/>
              </w:rPr>
              <w:t>44663</w:t>
            </w:r>
          </w:p>
        </w:tc>
        <w:tc>
          <w:tcPr>
            <w:tcW w:w="1872" w:type="pct"/>
            <w:shd w:val="clear" w:color="auto" w:fill="auto"/>
            <w:vAlign w:val="center"/>
          </w:tcPr>
          <w:p>
            <w:pPr>
              <w:tabs>
                <w:tab w:val="clear" w:pos="480"/>
              </w:tabs>
              <w:snapToGrid w:val="0"/>
              <w:spacing w:line="240" w:lineRule="auto"/>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67"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rFonts w:hint="eastAsia"/>
                <w:kern w:val="0"/>
                <w:sz w:val="21"/>
                <w:szCs w:val="21"/>
              </w:rPr>
              <w:t>1</w:t>
            </w:r>
            <w:r>
              <w:rPr>
                <w:kern w:val="0"/>
                <w:sz w:val="21"/>
                <w:szCs w:val="21"/>
              </w:rPr>
              <w:t>1</w:t>
            </w:r>
          </w:p>
        </w:tc>
        <w:tc>
          <w:tcPr>
            <w:tcW w:w="1193" w:type="pct"/>
            <w:gridSpan w:val="2"/>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r>
              <w:rPr>
                <w:kern w:val="0"/>
                <w:sz w:val="21"/>
                <w:szCs w:val="21"/>
              </w:rPr>
              <w:t>港区定员</w:t>
            </w:r>
          </w:p>
        </w:tc>
        <w:tc>
          <w:tcPr>
            <w:tcW w:w="784"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人</w:t>
            </w:r>
          </w:p>
        </w:tc>
        <w:tc>
          <w:tcPr>
            <w:tcW w:w="784" w:type="pct"/>
            <w:shd w:val="clear" w:color="auto" w:fill="auto"/>
            <w:vAlign w:val="center"/>
          </w:tcPr>
          <w:p>
            <w:pPr>
              <w:tabs>
                <w:tab w:val="clear" w:pos="480"/>
              </w:tabs>
              <w:snapToGrid w:val="0"/>
              <w:spacing w:line="240" w:lineRule="auto"/>
              <w:ind w:firstLine="0" w:firstLineChars="0"/>
              <w:jc w:val="center"/>
              <w:rPr>
                <w:kern w:val="0"/>
                <w:sz w:val="21"/>
                <w:szCs w:val="21"/>
              </w:rPr>
            </w:pPr>
            <w:r>
              <w:rPr>
                <w:kern w:val="0"/>
                <w:sz w:val="21"/>
                <w:szCs w:val="21"/>
              </w:rPr>
              <w:t>235</w:t>
            </w:r>
          </w:p>
        </w:tc>
        <w:tc>
          <w:tcPr>
            <w:tcW w:w="1872" w:type="pct"/>
            <w:shd w:val="clear" w:color="auto" w:fill="auto"/>
            <w:vAlign w:val="center"/>
          </w:tcPr>
          <w:p>
            <w:pPr>
              <w:tabs>
                <w:tab w:val="clear" w:pos="480"/>
              </w:tabs>
              <w:snapToGrid w:val="0"/>
              <w:spacing w:line="240" w:lineRule="auto"/>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67"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rFonts w:hint="eastAsia"/>
                <w:kern w:val="0"/>
                <w:sz w:val="21"/>
                <w:szCs w:val="21"/>
              </w:rPr>
              <w:t>1</w:t>
            </w:r>
            <w:r>
              <w:rPr>
                <w:kern w:val="0"/>
                <w:sz w:val="21"/>
                <w:szCs w:val="21"/>
              </w:rPr>
              <w:t>2</w:t>
            </w:r>
          </w:p>
        </w:tc>
        <w:tc>
          <w:tcPr>
            <w:tcW w:w="1193" w:type="pct"/>
            <w:gridSpan w:val="2"/>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r>
              <w:rPr>
                <w:rFonts w:hint="eastAsia"/>
                <w:kern w:val="0"/>
                <w:sz w:val="21"/>
                <w:szCs w:val="21"/>
              </w:rPr>
              <w:t>码头</w:t>
            </w:r>
            <w:r>
              <w:rPr>
                <w:kern w:val="0"/>
                <w:sz w:val="21"/>
                <w:szCs w:val="21"/>
              </w:rPr>
              <w:t>用电总容量</w:t>
            </w:r>
          </w:p>
        </w:tc>
        <w:tc>
          <w:tcPr>
            <w:tcW w:w="784"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kW</w:t>
            </w:r>
          </w:p>
        </w:tc>
        <w:tc>
          <w:tcPr>
            <w:tcW w:w="784"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9492</w:t>
            </w:r>
          </w:p>
        </w:tc>
        <w:tc>
          <w:tcPr>
            <w:tcW w:w="1872"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67"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rFonts w:hint="eastAsia"/>
                <w:kern w:val="0"/>
                <w:sz w:val="21"/>
                <w:szCs w:val="21"/>
              </w:rPr>
              <w:t>1</w:t>
            </w:r>
            <w:r>
              <w:rPr>
                <w:kern w:val="0"/>
                <w:sz w:val="21"/>
                <w:szCs w:val="21"/>
              </w:rPr>
              <w:t>3</w:t>
            </w:r>
          </w:p>
        </w:tc>
        <w:tc>
          <w:tcPr>
            <w:tcW w:w="1193" w:type="pct"/>
            <w:gridSpan w:val="2"/>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r>
              <w:rPr>
                <w:kern w:val="0"/>
                <w:sz w:val="21"/>
                <w:szCs w:val="21"/>
              </w:rPr>
              <w:t>日最大用水量</w:t>
            </w:r>
          </w:p>
        </w:tc>
        <w:tc>
          <w:tcPr>
            <w:tcW w:w="784" w:type="pct"/>
            <w:shd w:val="clear" w:color="auto" w:fill="auto"/>
            <w:vAlign w:val="center"/>
          </w:tcPr>
          <w:p>
            <w:pPr>
              <w:tabs>
                <w:tab w:val="clear" w:pos="480"/>
              </w:tabs>
              <w:adjustRightInd w:val="0"/>
              <w:snapToGrid w:val="0"/>
              <w:spacing w:line="240" w:lineRule="atLeast"/>
              <w:ind w:left="-24" w:leftChars="-10" w:right="-31" w:rightChars="-13" w:firstLine="0" w:firstLineChars="0"/>
              <w:jc w:val="center"/>
              <w:rPr>
                <w:bCs/>
                <w:kern w:val="0"/>
                <w:sz w:val="21"/>
                <w:szCs w:val="21"/>
              </w:rPr>
            </w:pPr>
            <w:r>
              <w:rPr>
                <w:kern w:val="0"/>
                <w:sz w:val="21"/>
                <w:szCs w:val="21"/>
              </w:rPr>
              <w:t>m</w:t>
            </w:r>
            <w:r>
              <w:rPr>
                <w:kern w:val="0"/>
                <w:sz w:val="21"/>
                <w:szCs w:val="21"/>
                <w:vertAlign w:val="superscript"/>
              </w:rPr>
              <w:t>3</w:t>
            </w:r>
          </w:p>
        </w:tc>
        <w:tc>
          <w:tcPr>
            <w:tcW w:w="784"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1680</w:t>
            </w:r>
          </w:p>
        </w:tc>
        <w:tc>
          <w:tcPr>
            <w:tcW w:w="1872"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67"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rFonts w:hint="eastAsia"/>
                <w:kern w:val="0"/>
                <w:sz w:val="21"/>
                <w:szCs w:val="21"/>
              </w:rPr>
              <w:t>1</w:t>
            </w:r>
            <w:r>
              <w:rPr>
                <w:kern w:val="0"/>
                <w:sz w:val="21"/>
                <w:szCs w:val="21"/>
              </w:rPr>
              <w:t>4</w:t>
            </w:r>
          </w:p>
        </w:tc>
        <w:tc>
          <w:tcPr>
            <w:tcW w:w="1193" w:type="pct"/>
            <w:gridSpan w:val="2"/>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r>
              <w:rPr>
                <w:kern w:val="0"/>
                <w:sz w:val="21"/>
                <w:szCs w:val="21"/>
              </w:rPr>
              <w:t>港池疏挖</w:t>
            </w:r>
          </w:p>
        </w:tc>
        <w:tc>
          <w:tcPr>
            <w:tcW w:w="784" w:type="pct"/>
            <w:shd w:val="clear" w:color="auto" w:fill="auto"/>
            <w:vAlign w:val="center"/>
          </w:tcPr>
          <w:p>
            <w:pPr>
              <w:tabs>
                <w:tab w:val="clear" w:pos="480"/>
              </w:tabs>
              <w:spacing w:line="240" w:lineRule="atLeast"/>
              <w:ind w:firstLine="0" w:firstLineChars="0"/>
              <w:jc w:val="center"/>
              <w:rPr>
                <w:kern w:val="0"/>
                <w:sz w:val="21"/>
                <w:szCs w:val="21"/>
              </w:rPr>
            </w:pPr>
            <w:r>
              <w:rPr>
                <w:kern w:val="0"/>
                <w:sz w:val="21"/>
                <w:szCs w:val="21"/>
              </w:rPr>
              <w:t>万m</w:t>
            </w:r>
            <w:r>
              <w:rPr>
                <w:kern w:val="0"/>
                <w:sz w:val="21"/>
                <w:szCs w:val="21"/>
                <w:vertAlign w:val="superscript"/>
              </w:rPr>
              <w:t>3</w:t>
            </w:r>
          </w:p>
        </w:tc>
        <w:tc>
          <w:tcPr>
            <w:tcW w:w="784"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1.55</w:t>
            </w:r>
          </w:p>
        </w:tc>
        <w:tc>
          <w:tcPr>
            <w:tcW w:w="1872"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67"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rFonts w:hint="eastAsia"/>
                <w:kern w:val="0"/>
                <w:sz w:val="21"/>
                <w:szCs w:val="21"/>
              </w:rPr>
              <w:t>1</w:t>
            </w:r>
            <w:r>
              <w:rPr>
                <w:kern w:val="0"/>
                <w:sz w:val="21"/>
                <w:szCs w:val="21"/>
              </w:rPr>
              <w:t>5</w:t>
            </w:r>
          </w:p>
        </w:tc>
        <w:tc>
          <w:tcPr>
            <w:tcW w:w="1193" w:type="pct"/>
            <w:gridSpan w:val="2"/>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r>
              <w:rPr>
                <w:kern w:val="0"/>
                <w:sz w:val="21"/>
                <w:szCs w:val="21"/>
              </w:rPr>
              <w:t>挖方</w:t>
            </w:r>
          </w:p>
        </w:tc>
        <w:tc>
          <w:tcPr>
            <w:tcW w:w="784" w:type="pct"/>
            <w:shd w:val="clear" w:color="auto" w:fill="auto"/>
            <w:vAlign w:val="center"/>
          </w:tcPr>
          <w:p>
            <w:pPr>
              <w:tabs>
                <w:tab w:val="clear" w:pos="480"/>
              </w:tabs>
              <w:spacing w:line="240" w:lineRule="atLeast"/>
              <w:ind w:firstLine="0" w:firstLineChars="0"/>
              <w:jc w:val="center"/>
              <w:rPr>
                <w:kern w:val="0"/>
                <w:sz w:val="21"/>
                <w:szCs w:val="21"/>
              </w:rPr>
            </w:pPr>
            <w:r>
              <w:rPr>
                <w:kern w:val="0"/>
                <w:sz w:val="21"/>
                <w:szCs w:val="21"/>
              </w:rPr>
              <w:t>m</w:t>
            </w:r>
            <w:r>
              <w:rPr>
                <w:kern w:val="0"/>
                <w:sz w:val="21"/>
                <w:szCs w:val="21"/>
                <w:vertAlign w:val="superscript"/>
              </w:rPr>
              <w:t>3</w:t>
            </w:r>
          </w:p>
        </w:tc>
        <w:tc>
          <w:tcPr>
            <w:tcW w:w="784"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56335</w:t>
            </w:r>
          </w:p>
        </w:tc>
        <w:tc>
          <w:tcPr>
            <w:tcW w:w="1872"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kern w:val="0"/>
                <w:sz w:val="21"/>
                <w:szCs w:val="21"/>
              </w:rPr>
              <w:t>含清表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67"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rFonts w:hint="eastAsia"/>
                <w:kern w:val="0"/>
                <w:sz w:val="21"/>
                <w:szCs w:val="21"/>
              </w:rPr>
              <w:t>1</w:t>
            </w:r>
            <w:r>
              <w:rPr>
                <w:kern w:val="0"/>
                <w:sz w:val="21"/>
                <w:szCs w:val="21"/>
              </w:rPr>
              <w:t>6</w:t>
            </w:r>
          </w:p>
        </w:tc>
        <w:tc>
          <w:tcPr>
            <w:tcW w:w="1193" w:type="pct"/>
            <w:gridSpan w:val="2"/>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r>
              <w:rPr>
                <w:kern w:val="0"/>
                <w:sz w:val="21"/>
                <w:szCs w:val="21"/>
              </w:rPr>
              <w:t>填方</w:t>
            </w:r>
          </w:p>
        </w:tc>
        <w:tc>
          <w:tcPr>
            <w:tcW w:w="784" w:type="pct"/>
            <w:shd w:val="clear" w:color="auto" w:fill="auto"/>
            <w:vAlign w:val="center"/>
          </w:tcPr>
          <w:p>
            <w:pPr>
              <w:tabs>
                <w:tab w:val="clear" w:pos="480"/>
              </w:tabs>
              <w:spacing w:line="240" w:lineRule="atLeast"/>
              <w:ind w:firstLine="0" w:firstLineChars="0"/>
              <w:jc w:val="center"/>
              <w:rPr>
                <w:kern w:val="0"/>
                <w:sz w:val="21"/>
                <w:szCs w:val="21"/>
              </w:rPr>
            </w:pPr>
            <w:r>
              <w:rPr>
                <w:kern w:val="0"/>
                <w:sz w:val="21"/>
                <w:szCs w:val="21"/>
              </w:rPr>
              <w:t>m</w:t>
            </w:r>
            <w:r>
              <w:rPr>
                <w:kern w:val="0"/>
                <w:sz w:val="21"/>
                <w:szCs w:val="21"/>
                <w:vertAlign w:val="superscript"/>
              </w:rPr>
              <w:t>3</w:t>
            </w:r>
          </w:p>
        </w:tc>
        <w:tc>
          <w:tcPr>
            <w:tcW w:w="784"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352500</w:t>
            </w:r>
          </w:p>
        </w:tc>
        <w:tc>
          <w:tcPr>
            <w:tcW w:w="1872"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67"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r>
              <w:rPr>
                <w:rFonts w:hint="eastAsia"/>
                <w:kern w:val="0"/>
                <w:sz w:val="21"/>
                <w:szCs w:val="21"/>
              </w:rPr>
              <w:t>1</w:t>
            </w:r>
            <w:r>
              <w:rPr>
                <w:kern w:val="0"/>
                <w:sz w:val="21"/>
                <w:szCs w:val="21"/>
              </w:rPr>
              <w:t>7</w:t>
            </w:r>
          </w:p>
        </w:tc>
        <w:tc>
          <w:tcPr>
            <w:tcW w:w="1193" w:type="pct"/>
            <w:gridSpan w:val="2"/>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1"/>
              </w:rPr>
            </w:pPr>
            <w:r>
              <w:rPr>
                <w:kern w:val="0"/>
                <w:sz w:val="21"/>
                <w:szCs w:val="21"/>
              </w:rPr>
              <w:t>工程总投资估算</w:t>
            </w:r>
          </w:p>
        </w:tc>
        <w:tc>
          <w:tcPr>
            <w:tcW w:w="784" w:type="pct"/>
            <w:shd w:val="clear" w:color="auto" w:fill="auto"/>
            <w:vAlign w:val="center"/>
          </w:tcPr>
          <w:p>
            <w:pPr>
              <w:tabs>
                <w:tab w:val="clear" w:pos="480"/>
              </w:tabs>
              <w:spacing w:line="240" w:lineRule="atLeast"/>
              <w:ind w:firstLine="0" w:firstLineChars="0"/>
              <w:jc w:val="center"/>
              <w:rPr>
                <w:kern w:val="0"/>
                <w:sz w:val="21"/>
                <w:szCs w:val="21"/>
              </w:rPr>
            </w:pPr>
            <w:r>
              <w:rPr>
                <w:kern w:val="0"/>
                <w:sz w:val="21"/>
                <w:szCs w:val="21"/>
              </w:rPr>
              <w:t>万元</w:t>
            </w:r>
          </w:p>
        </w:tc>
        <w:tc>
          <w:tcPr>
            <w:tcW w:w="784"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124725.11</w:t>
            </w:r>
          </w:p>
        </w:tc>
        <w:tc>
          <w:tcPr>
            <w:tcW w:w="1872" w:type="pct"/>
            <w:shd w:val="clear" w:color="auto" w:fill="auto"/>
            <w:vAlign w:val="center"/>
          </w:tcPr>
          <w:p>
            <w:pPr>
              <w:tabs>
                <w:tab w:val="clear" w:pos="480"/>
              </w:tabs>
              <w:snapToGrid w:val="0"/>
              <w:spacing w:before="46" w:beforeLines="15" w:after="46" w:afterLines="15" w:line="320" w:lineRule="atLeast"/>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67"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18</w:t>
            </w:r>
          </w:p>
        </w:tc>
        <w:tc>
          <w:tcPr>
            <w:tcW w:w="1193" w:type="pct"/>
            <w:gridSpan w:val="2"/>
            <w:shd w:val="clear" w:color="auto" w:fill="auto"/>
            <w:vAlign w:val="center"/>
          </w:tcPr>
          <w:p>
            <w:pPr>
              <w:tabs>
                <w:tab w:val="clear" w:pos="480"/>
              </w:tabs>
              <w:snapToGrid w:val="0"/>
              <w:spacing w:before="46" w:beforeLines="15" w:after="46" w:afterLines="15" w:line="320" w:lineRule="atLeast"/>
              <w:ind w:firstLine="105" w:firstLineChars="50"/>
              <w:rPr>
                <w:kern w:val="0"/>
                <w:sz w:val="21"/>
                <w:szCs w:val="22"/>
              </w:rPr>
            </w:pPr>
            <w:r>
              <w:rPr>
                <w:kern w:val="0"/>
                <w:sz w:val="21"/>
                <w:szCs w:val="21"/>
              </w:rPr>
              <w:t>建设工期</w:t>
            </w:r>
          </w:p>
        </w:tc>
        <w:tc>
          <w:tcPr>
            <w:tcW w:w="784" w:type="pct"/>
            <w:shd w:val="clear" w:color="auto" w:fill="auto"/>
            <w:vAlign w:val="center"/>
          </w:tcPr>
          <w:p>
            <w:pPr>
              <w:tabs>
                <w:tab w:val="clear" w:pos="480"/>
              </w:tabs>
              <w:spacing w:line="240" w:lineRule="auto"/>
              <w:ind w:firstLine="0" w:firstLineChars="0"/>
              <w:jc w:val="center"/>
              <w:rPr>
                <w:kern w:val="0"/>
                <w:sz w:val="21"/>
                <w:szCs w:val="22"/>
              </w:rPr>
            </w:pPr>
            <w:r>
              <w:rPr>
                <w:kern w:val="0"/>
                <w:sz w:val="21"/>
                <w:szCs w:val="22"/>
              </w:rPr>
              <w:t>月</w:t>
            </w:r>
          </w:p>
        </w:tc>
        <w:tc>
          <w:tcPr>
            <w:tcW w:w="784" w:type="pct"/>
            <w:shd w:val="clear" w:color="auto" w:fill="auto"/>
            <w:vAlign w:val="center"/>
          </w:tcPr>
          <w:p>
            <w:pPr>
              <w:tabs>
                <w:tab w:val="clear" w:pos="480"/>
              </w:tabs>
              <w:spacing w:line="240" w:lineRule="auto"/>
              <w:ind w:firstLine="0" w:firstLineChars="0"/>
              <w:jc w:val="center"/>
              <w:rPr>
                <w:rFonts w:hint="default" w:eastAsia="宋体"/>
                <w:kern w:val="0"/>
                <w:sz w:val="21"/>
                <w:szCs w:val="22"/>
                <w:lang w:val="en-US" w:eastAsia="zh-CN"/>
              </w:rPr>
            </w:pPr>
            <w:r>
              <w:rPr>
                <w:rFonts w:hint="eastAsia"/>
                <w:kern w:val="0"/>
                <w:sz w:val="21"/>
                <w:szCs w:val="22"/>
                <w:lang w:val="en-US" w:eastAsia="zh-CN"/>
              </w:rPr>
              <w:t>24</w:t>
            </w:r>
          </w:p>
        </w:tc>
        <w:tc>
          <w:tcPr>
            <w:tcW w:w="1872" w:type="pct"/>
            <w:shd w:val="clear" w:color="auto" w:fill="auto"/>
            <w:vAlign w:val="center"/>
          </w:tcPr>
          <w:p>
            <w:pPr>
              <w:tabs>
                <w:tab w:val="clear" w:pos="480"/>
              </w:tabs>
              <w:spacing w:line="240" w:lineRule="auto"/>
              <w:ind w:firstLine="0" w:firstLineChars="0"/>
              <w:jc w:val="center"/>
              <w:rPr>
                <w:kern w:val="0"/>
                <w:sz w:val="21"/>
                <w:szCs w:val="22"/>
              </w:rPr>
            </w:pPr>
          </w:p>
        </w:tc>
      </w:tr>
    </w:tbl>
    <w:p>
      <w:pPr>
        <w:pStyle w:val="2285"/>
        <w:ind w:left="0"/>
        <w:rPr>
          <w:rFonts w:cs="Times New Roman"/>
        </w:rPr>
      </w:pPr>
      <w:r>
        <w:rPr>
          <w:rFonts w:hint="eastAsia" w:cs="Times New Roman"/>
        </w:rPr>
        <w:t>主要构筑物一览表</w:t>
      </w:r>
    </w:p>
    <w:tbl>
      <w:tblPr>
        <w:tblStyle w:val="359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05"/>
        <w:gridCol w:w="2183"/>
        <w:gridCol w:w="1748"/>
        <w:gridCol w:w="1601"/>
        <w:gridCol w:w="27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1"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序号</w:t>
            </w:r>
          </w:p>
        </w:tc>
        <w:tc>
          <w:tcPr>
            <w:tcW w:w="1175"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建筑物名称</w:t>
            </w:r>
          </w:p>
        </w:tc>
        <w:tc>
          <w:tcPr>
            <w:tcW w:w="941"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建筑面积</w:t>
            </w:r>
          </w:p>
        </w:tc>
        <w:tc>
          <w:tcPr>
            <w:tcW w:w="862"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单位</w:t>
            </w:r>
          </w:p>
        </w:tc>
        <w:tc>
          <w:tcPr>
            <w:tcW w:w="1480"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41"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1</w:t>
            </w:r>
          </w:p>
        </w:tc>
        <w:tc>
          <w:tcPr>
            <w:tcW w:w="1175"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散货仓库</w:t>
            </w:r>
          </w:p>
        </w:tc>
        <w:tc>
          <w:tcPr>
            <w:tcW w:w="941"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29271</w:t>
            </w:r>
          </w:p>
        </w:tc>
        <w:tc>
          <w:tcPr>
            <w:tcW w:w="862"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m</w:t>
            </w:r>
            <w:r>
              <w:rPr>
                <w:kern w:val="0"/>
                <w:sz w:val="21"/>
                <w:szCs w:val="22"/>
                <w:vertAlign w:val="superscript"/>
              </w:rPr>
              <w:t>2</w:t>
            </w:r>
          </w:p>
        </w:tc>
        <w:tc>
          <w:tcPr>
            <w:tcW w:w="1480"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一层、</w:t>
            </w:r>
            <w:r>
              <w:rPr>
                <w:rFonts w:hint="eastAsia"/>
                <w:kern w:val="0"/>
                <w:sz w:val="21"/>
                <w:szCs w:val="22"/>
              </w:rPr>
              <w:t>网架结构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1"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2</w:t>
            </w:r>
          </w:p>
        </w:tc>
        <w:tc>
          <w:tcPr>
            <w:tcW w:w="1175"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卸料仓库</w:t>
            </w:r>
          </w:p>
        </w:tc>
        <w:tc>
          <w:tcPr>
            <w:tcW w:w="941"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2277</w:t>
            </w:r>
          </w:p>
        </w:tc>
        <w:tc>
          <w:tcPr>
            <w:tcW w:w="862"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m</w:t>
            </w:r>
            <w:r>
              <w:rPr>
                <w:kern w:val="0"/>
                <w:sz w:val="21"/>
                <w:szCs w:val="22"/>
                <w:vertAlign w:val="superscript"/>
              </w:rPr>
              <w:t>2</w:t>
            </w:r>
          </w:p>
        </w:tc>
        <w:tc>
          <w:tcPr>
            <w:tcW w:w="1480"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一层、</w:t>
            </w:r>
            <w:r>
              <w:rPr>
                <w:rFonts w:hint="eastAsia"/>
                <w:kern w:val="0"/>
                <w:sz w:val="21"/>
                <w:szCs w:val="22"/>
              </w:rPr>
              <w:t>门式钢架</w:t>
            </w:r>
            <w:r>
              <w:rPr>
                <w:kern w:val="0"/>
                <w:sz w:val="21"/>
                <w:szCs w:val="22"/>
              </w:rPr>
              <w:t>结构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1"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3</w:t>
            </w:r>
          </w:p>
        </w:tc>
        <w:tc>
          <w:tcPr>
            <w:tcW w:w="1175"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综合楼</w:t>
            </w:r>
          </w:p>
        </w:tc>
        <w:tc>
          <w:tcPr>
            <w:tcW w:w="941"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5400</w:t>
            </w:r>
          </w:p>
        </w:tc>
        <w:tc>
          <w:tcPr>
            <w:tcW w:w="862"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m</w:t>
            </w:r>
            <w:r>
              <w:rPr>
                <w:kern w:val="0"/>
                <w:sz w:val="21"/>
                <w:szCs w:val="22"/>
                <w:vertAlign w:val="superscript"/>
              </w:rPr>
              <w:t>2</w:t>
            </w:r>
          </w:p>
        </w:tc>
        <w:tc>
          <w:tcPr>
            <w:tcW w:w="1480"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五层、框架结构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1"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4</w:t>
            </w:r>
          </w:p>
        </w:tc>
        <w:tc>
          <w:tcPr>
            <w:tcW w:w="1175"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变电所</w:t>
            </w:r>
          </w:p>
        </w:tc>
        <w:tc>
          <w:tcPr>
            <w:tcW w:w="941"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160</w:t>
            </w:r>
          </w:p>
        </w:tc>
        <w:tc>
          <w:tcPr>
            <w:tcW w:w="862"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m</w:t>
            </w:r>
            <w:r>
              <w:rPr>
                <w:kern w:val="0"/>
                <w:sz w:val="21"/>
                <w:szCs w:val="22"/>
                <w:vertAlign w:val="superscript"/>
              </w:rPr>
              <w:t>2</w:t>
            </w:r>
          </w:p>
        </w:tc>
        <w:tc>
          <w:tcPr>
            <w:tcW w:w="1480"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一层、框架结构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1"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5</w:t>
            </w:r>
          </w:p>
        </w:tc>
        <w:tc>
          <w:tcPr>
            <w:tcW w:w="1175" w:type="pct"/>
            <w:vAlign w:val="center"/>
          </w:tcPr>
          <w:p>
            <w:pPr>
              <w:tabs>
                <w:tab w:val="clear" w:pos="480"/>
              </w:tabs>
              <w:spacing w:line="240" w:lineRule="auto"/>
              <w:ind w:firstLine="0" w:firstLineChars="0"/>
              <w:jc w:val="center"/>
              <w:rPr>
                <w:rFonts w:eastAsiaTheme="minorEastAsia"/>
                <w:sz w:val="21"/>
                <w:szCs w:val="22"/>
              </w:rPr>
            </w:pPr>
            <w:r>
              <w:rPr>
                <w:rFonts w:hint="eastAsia"/>
                <w:kern w:val="0"/>
                <w:sz w:val="21"/>
                <w:szCs w:val="22"/>
              </w:rPr>
              <w:t>码头前沿综合用房</w:t>
            </w:r>
          </w:p>
        </w:tc>
        <w:tc>
          <w:tcPr>
            <w:tcW w:w="941"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374</w:t>
            </w:r>
          </w:p>
        </w:tc>
        <w:tc>
          <w:tcPr>
            <w:tcW w:w="862"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m</w:t>
            </w:r>
            <w:r>
              <w:rPr>
                <w:kern w:val="0"/>
                <w:sz w:val="21"/>
                <w:szCs w:val="22"/>
                <w:vertAlign w:val="superscript"/>
              </w:rPr>
              <w:t>2</w:t>
            </w:r>
          </w:p>
        </w:tc>
        <w:tc>
          <w:tcPr>
            <w:tcW w:w="1480"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二层、框架结构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1"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6</w:t>
            </w:r>
          </w:p>
        </w:tc>
        <w:tc>
          <w:tcPr>
            <w:tcW w:w="1175"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污水处理</w:t>
            </w:r>
            <w:r>
              <w:rPr>
                <w:rFonts w:hint="eastAsia"/>
                <w:kern w:val="0"/>
                <w:sz w:val="21"/>
                <w:szCs w:val="22"/>
              </w:rPr>
              <w:t>池</w:t>
            </w:r>
          </w:p>
        </w:tc>
        <w:tc>
          <w:tcPr>
            <w:tcW w:w="941"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192</w:t>
            </w:r>
          </w:p>
        </w:tc>
        <w:tc>
          <w:tcPr>
            <w:tcW w:w="862"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m</w:t>
            </w:r>
            <w:r>
              <w:rPr>
                <w:kern w:val="0"/>
                <w:sz w:val="21"/>
                <w:szCs w:val="22"/>
                <w:vertAlign w:val="superscript"/>
              </w:rPr>
              <w:t>3</w:t>
            </w:r>
          </w:p>
        </w:tc>
        <w:tc>
          <w:tcPr>
            <w:tcW w:w="1480"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地埋钢筋砼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1"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7</w:t>
            </w:r>
          </w:p>
        </w:tc>
        <w:tc>
          <w:tcPr>
            <w:tcW w:w="1175" w:type="pct"/>
            <w:vAlign w:val="center"/>
          </w:tcPr>
          <w:p>
            <w:pPr>
              <w:tabs>
                <w:tab w:val="clear" w:pos="480"/>
              </w:tabs>
              <w:spacing w:line="240" w:lineRule="auto"/>
              <w:ind w:firstLine="0" w:firstLineChars="0"/>
              <w:jc w:val="center"/>
              <w:rPr>
                <w:rFonts w:eastAsiaTheme="minorEastAsia"/>
                <w:sz w:val="21"/>
                <w:szCs w:val="22"/>
              </w:rPr>
            </w:pPr>
            <w:r>
              <w:rPr>
                <w:rFonts w:hint="eastAsia"/>
                <w:kern w:val="0"/>
                <w:sz w:val="21"/>
                <w:szCs w:val="22"/>
              </w:rPr>
              <w:t>泵房及消防水池</w:t>
            </w:r>
          </w:p>
        </w:tc>
        <w:tc>
          <w:tcPr>
            <w:tcW w:w="941"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210</w:t>
            </w:r>
          </w:p>
        </w:tc>
        <w:tc>
          <w:tcPr>
            <w:tcW w:w="862"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m</w:t>
            </w:r>
            <w:r>
              <w:rPr>
                <w:kern w:val="0"/>
                <w:sz w:val="21"/>
                <w:szCs w:val="22"/>
                <w:vertAlign w:val="superscript"/>
              </w:rPr>
              <w:t>2</w:t>
            </w:r>
          </w:p>
        </w:tc>
        <w:tc>
          <w:tcPr>
            <w:tcW w:w="1480"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二层、框架结构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1"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8</w:t>
            </w:r>
          </w:p>
        </w:tc>
        <w:tc>
          <w:tcPr>
            <w:tcW w:w="1175" w:type="pct"/>
            <w:vAlign w:val="center"/>
          </w:tcPr>
          <w:p>
            <w:pPr>
              <w:tabs>
                <w:tab w:val="clear" w:pos="480"/>
              </w:tabs>
              <w:spacing w:line="240" w:lineRule="auto"/>
              <w:ind w:firstLine="0" w:firstLineChars="0"/>
              <w:jc w:val="center"/>
              <w:rPr>
                <w:rFonts w:eastAsiaTheme="minorEastAsia"/>
                <w:sz w:val="21"/>
                <w:szCs w:val="22"/>
              </w:rPr>
            </w:pPr>
            <w:r>
              <w:rPr>
                <w:rFonts w:hint="eastAsia"/>
                <w:kern w:val="0"/>
                <w:sz w:val="21"/>
                <w:szCs w:val="22"/>
              </w:rPr>
              <w:t>门卫1</w:t>
            </w:r>
          </w:p>
        </w:tc>
        <w:tc>
          <w:tcPr>
            <w:tcW w:w="941"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50</w:t>
            </w:r>
          </w:p>
        </w:tc>
        <w:tc>
          <w:tcPr>
            <w:tcW w:w="862"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m</w:t>
            </w:r>
            <w:r>
              <w:rPr>
                <w:kern w:val="0"/>
                <w:sz w:val="21"/>
                <w:szCs w:val="22"/>
                <w:vertAlign w:val="superscript"/>
              </w:rPr>
              <w:t>2</w:t>
            </w:r>
          </w:p>
        </w:tc>
        <w:tc>
          <w:tcPr>
            <w:tcW w:w="1480"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一层、框架结构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1"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9</w:t>
            </w:r>
          </w:p>
        </w:tc>
        <w:tc>
          <w:tcPr>
            <w:tcW w:w="1175" w:type="pct"/>
            <w:vAlign w:val="center"/>
          </w:tcPr>
          <w:p>
            <w:pPr>
              <w:tabs>
                <w:tab w:val="clear" w:pos="480"/>
              </w:tabs>
              <w:spacing w:line="240" w:lineRule="auto"/>
              <w:ind w:firstLine="0" w:firstLineChars="0"/>
              <w:jc w:val="center"/>
              <w:rPr>
                <w:rFonts w:eastAsiaTheme="minorEastAsia"/>
                <w:sz w:val="21"/>
                <w:szCs w:val="22"/>
              </w:rPr>
            </w:pPr>
            <w:r>
              <w:rPr>
                <w:rFonts w:hint="eastAsia"/>
                <w:kern w:val="0"/>
                <w:sz w:val="21"/>
                <w:szCs w:val="22"/>
              </w:rPr>
              <w:t>门卫2</w:t>
            </w:r>
          </w:p>
        </w:tc>
        <w:tc>
          <w:tcPr>
            <w:tcW w:w="941" w:type="pct"/>
            <w:vAlign w:val="center"/>
          </w:tcPr>
          <w:p>
            <w:pPr>
              <w:tabs>
                <w:tab w:val="clear" w:pos="480"/>
              </w:tabs>
              <w:spacing w:line="240" w:lineRule="auto"/>
              <w:ind w:firstLine="0" w:firstLineChars="0"/>
              <w:jc w:val="center"/>
              <w:rPr>
                <w:rFonts w:eastAsiaTheme="minorEastAsia"/>
                <w:sz w:val="21"/>
                <w:szCs w:val="22"/>
              </w:rPr>
            </w:pPr>
            <w:r>
              <w:rPr>
                <w:rFonts w:hint="eastAsia"/>
                <w:kern w:val="0"/>
                <w:sz w:val="21"/>
                <w:szCs w:val="22"/>
              </w:rPr>
              <w:t>5</w:t>
            </w:r>
            <w:r>
              <w:rPr>
                <w:kern w:val="0"/>
                <w:sz w:val="21"/>
                <w:szCs w:val="22"/>
              </w:rPr>
              <w:t>0</w:t>
            </w:r>
          </w:p>
        </w:tc>
        <w:tc>
          <w:tcPr>
            <w:tcW w:w="862"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m</w:t>
            </w:r>
            <w:r>
              <w:rPr>
                <w:kern w:val="0"/>
                <w:sz w:val="21"/>
                <w:szCs w:val="22"/>
                <w:vertAlign w:val="superscript"/>
              </w:rPr>
              <w:t>2</w:t>
            </w:r>
          </w:p>
        </w:tc>
        <w:tc>
          <w:tcPr>
            <w:tcW w:w="1480"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一层、框架结构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1"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10</w:t>
            </w:r>
          </w:p>
        </w:tc>
        <w:tc>
          <w:tcPr>
            <w:tcW w:w="1175"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转运站Z01</w:t>
            </w:r>
          </w:p>
        </w:tc>
        <w:tc>
          <w:tcPr>
            <w:tcW w:w="941"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520</w:t>
            </w:r>
          </w:p>
        </w:tc>
        <w:tc>
          <w:tcPr>
            <w:tcW w:w="862"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m</w:t>
            </w:r>
            <w:r>
              <w:rPr>
                <w:kern w:val="0"/>
                <w:sz w:val="21"/>
                <w:szCs w:val="22"/>
                <w:vertAlign w:val="superscript"/>
              </w:rPr>
              <w:t>2</w:t>
            </w:r>
          </w:p>
        </w:tc>
        <w:tc>
          <w:tcPr>
            <w:tcW w:w="1480" w:type="pct"/>
            <w:vAlign w:val="center"/>
          </w:tcPr>
          <w:p>
            <w:pPr>
              <w:tabs>
                <w:tab w:val="clear" w:pos="480"/>
              </w:tabs>
              <w:spacing w:line="240" w:lineRule="auto"/>
              <w:ind w:firstLine="0" w:firstLineChars="0"/>
              <w:jc w:val="center"/>
              <w:rPr>
                <w:rFonts w:eastAsiaTheme="minorEastAsia"/>
                <w:sz w:val="21"/>
                <w:szCs w:val="22"/>
              </w:rPr>
            </w:pPr>
            <w:r>
              <w:rPr>
                <w:rFonts w:hint="eastAsia"/>
                <w:kern w:val="0"/>
                <w:sz w:val="21"/>
                <w:szCs w:val="22"/>
              </w:rPr>
              <w:t>三</w:t>
            </w:r>
            <w:r>
              <w:rPr>
                <w:kern w:val="0"/>
                <w:sz w:val="21"/>
                <w:szCs w:val="22"/>
              </w:rPr>
              <w:t>层、框架结构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1"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11</w:t>
            </w:r>
          </w:p>
        </w:tc>
        <w:tc>
          <w:tcPr>
            <w:tcW w:w="1175"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转运站Z02</w:t>
            </w:r>
          </w:p>
        </w:tc>
        <w:tc>
          <w:tcPr>
            <w:tcW w:w="941" w:type="pct"/>
            <w:vAlign w:val="center"/>
          </w:tcPr>
          <w:p>
            <w:pPr>
              <w:tabs>
                <w:tab w:val="clear" w:pos="480"/>
              </w:tabs>
              <w:spacing w:line="240" w:lineRule="auto"/>
              <w:ind w:firstLine="0" w:firstLineChars="0"/>
              <w:jc w:val="center"/>
              <w:rPr>
                <w:rFonts w:eastAsiaTheme="minorEastAsia"/>
                <w:sz w:val="21"/>
                <w:szCs w:val="22"/>
              </w:rPr>
            </w:pPr>
            <w:r>
              <w:rPr>
                <w:rFonts w:hint="eastAsia"/>
                <w:kern w:val="0"/>
                <w:sz w:val="21"/>
                <w:szCs w:val="22"/>
              </w:rPr>
              <w:t>8</w:t>
            </w:r>
            <w:r>
              <w:rPr>
                <w:kern w:val="0"/>
                <w:sz w:val="21"/>
                <w:szCs w:val="22"/>
              </w:rPr>
              <w:t>64</w:t>
            </w:r>
          </w:p>
        </w:tc>
        <w:tc>
          <w:tcPr>
            <w:tcW w:w="862"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m</w:t>
            </w:r>
            <w:r>
              <w:rPr>
                <w:kern w:val="0"/>
                <w:sz w:val="21"/>
                <w:szCs w:val="22"/>
                <w:vertAlign w:val="superscript"/>
              </w:rPr>
              <w:t>2</w:t>
            </w:r>
          </w:p>
        </w:tc>
        <w:tc>
          <w:tcPr>
            <w:tcW w:w="1480" w:type="pct"/>
            <w:vAlign w:val="center"/>
          </w:tcPr>
          <w:p>
            <w:pPr>
              <w:tabs>
                <w:tab w:val="clear" w:pos="480"/>
              </w:tabs>
              <w:spacing w:line="240" w:lineRule="auto"/>
              <w:ind w:firstLine="0" w:firstLineChars="0"/>
              <w:jc w:val="center"/>
              <w:rPr>
                <w:rFonts w:eastAsiaTheme="minorEastAsia"/>
                <w:sz w:val="21"/>
                <w:szCs w:val="22"/>
              </w:rPr>
            </w:pPr>
            <w:r>
              <w:rPr>
                <w:rFonts w:hint="eastAsia"/>
                <w:kern w:val="0"/>
                <w:sz w:val="21"/>
                <w:szCs w:val="22"/>
              </w:rPr>
              <w:t>三</w:t>
            </w:r>
            <w:r>
              <w:rPr>
                <w:kern w:val="0"/>
                <w:sz w:val="21"/>
                <w:szCs w:val="22"/>
              </w:rPr>
              <w:t>层、框架结构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1"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12</w:t>
            </w:r>
          </w:p>
        </w:tc>
        <w:tc>
          <w:tcPr>
            <w:tcW w:w="1175"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转运站Z03</w:t>
            </w:r>
          </w:p>
        </w:tc>
        <w:tc>
          <w:tcPr>
            <w:tcW w:w="941"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810</w:t>
            </w:r>
          </w:p>
        </w:tc>
        <w:tc>
          <w:tcPr>
            <w:tcW w:w="862"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m</w:t>
            </w:r>
            <w:r>
              <w:rPr>
                <w:kern w:val="0"/>
                <w:sz w:val="21"/>
                <w:szCs w:val="22"/>
                <w:vertAlign w:val="superscript"/>
              </w:rPr>
              <w:t>2</w:t>
            </w:r>
          </w:p>
        </w:tc>
        <w:tc>
          <w:tcPr>
            <w:tcW w:w="1480" w:type="pct"/>
            <w:vAlign w:val="center"/>
          </w:tcPr>
          <w:p>
            <w:pPr>
              <w:tabs>
                <w:tab w:val="clear" w:pos="480"/>
              </w:tabs>
              <w:spacing w:line="240" w:lineRule="auto"/>
              <w:ind w:firstLine="0" w:firstLineChars="0"/>
              <w:jc w:val="center"/>
              <w:rPr>
                <w:rFonts w:eastAsiaTheme="minorEastAsia"/>
                <w:sz w:val="21"/>
                <w:szCs w:val="22"/>
              </w:rPr>
            </w:pPr>
            <w:r>
              <w:rPr>
                <w:rFonts w:hint="eastAsia"/>
                <w:kern w:val="0"/>
                <w:sz w:val="21"/>
                <w:szCs w:val="22"/>
              </w:rPr>
              <w:t>三</w:t>
            </w:r>
            <w:r>
              <w:rPr>
                <w:kern w:val="0"/>
                <w:sz w:val="21"/>
                <w:szCs w:val="22"/>
              </w:rPr>
              <w:t>层、框架结构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1" w:type="pct"/>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1</w:t>
            </w:r>
            <w:r>
              <w:rPr>
                <w:rFonts w:eastAsiaTheme="minorEastAsia"/>
                <w:sz w:val="21"/>
                <w:szCs w:val="22"/>
              </w:rPr>
              <w:t>3</w:t>
            </w:r>
          </w:p>
        </w:tc>
        <w:tc>
          <w:tcPr>
            <w:tcW w:w="1175"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转运站Z04</w:t>
            </w:r>
          </w:p>
        </w:tc>
        <w:tc>
          <w:tcPr>
            <w:tcW w:w="941"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585</w:t>
            </w:r>
          </w:p>
        </w:tc>
        <w:tc>
          <w:tcPr>
            <w:tcW w:w="862"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m</w:t>
            </w:r>
            <w:r>
              <w:rPr>
                <w:kern w:val="0"/>
                <w:sz w:val="21"/>
                <w:szCs w:val="22"/>
                <w:vertAlign w:val="superscript"/>
              </w:rPr>
              <w:t>2</w:t>
            </w:r>
          </w:p>
        </w:tc>
        <w:tc>
          <w:tcPr>
            <w:tcW w:w="1480" w:type="pct"/>
            <w:vAlign w:val="center"/>
          </w:tcPr>
          <w:p>
            <w:pPr>
              <w:tabs>
                <w:tab w:val="clear" w:pos="480"/>
              </w:tabs>
              <w:spacing w:line="240" w:lineRule="auto"/>
              <w:ind w:firstLine="0" w:firstLineChars="0"/>
              <w:jc w:val="center"/>
              <w:rPr>
                <w:rFonts w:eastAsiaTheme="minorEastAsia"/>
                <w:sz w:val="21"/>
                <w:szCs w:val="22"/>
              </w:rPr>
            </w:pPr>
            <w:r>
              <w:rPr>
                <w:rFonts w:hint="eastAsia"/>
                <w:kern w:val="0"/>
                <w:sz w:val="21"/>
                <w:szCs w:val="22"/>
              </w:rPr>
              <w:t>三</w:t>
            </w:r>
            <w:r>
              <w:rPr>
                <w:kern w:val="0"/>
                <w:sz w:val="21"/>
                <w:szCs w:val="22"/>
              </w:rPr>
              <w:t>层、框架结构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1" w:type="pct"/>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1</w:t>
            </w:r>
            <w:r>
              <w:rPr>
                <w:rFonts w:eastAsiaTheme="minorEastAsia"/>
                <w:sz w:val="21"/>
                <w:szCs w:val="22"/>
              </w:rPr>
              <w:t>4</w:t>
            </w:r>
          </w:p>
        </w:tc>
        <w:tc>
          <w:tcPr>
            <w:tcW w:w="1175"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转运站Z05</w:t>
            </w:r>
          </w:p>
        </w:tc>
        <w:tc>
          <w:tcPr>
            <w:tcW w:w="941"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360</w:t>
            </w:r>
          </w:p>
        </w:tc>
        <w:tc>
          <w:tcPr>
            <w:tcW w:w="862"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m</w:t>
            </w:r>
            <w:r>
              <w:rPr>
                <w:kern w:val="0"/>
                <w:sz w:val="21"/>
                <w:szCs w:val="22"/>
                <w:vertAlign w:val="superscript"/>
              </w:rPr>
              <w:t>2</w:t>
            </w:r>
          </w:p>
        </w:tc>
        <w:tc>
          <w:tcPr>
            <w:tcW w:w="1480" w:type="pct"/>
            <w:vAlign w:val="center"/>
          </w:tcPr>
          <w:p>
            <w:pPr>
              <w:tabs>
                <w:tab w:val="clear" w:pos="480"/>
              </w:tabs>
              <w:spacing w:line="240" w:lineRule="auto"/>
              <w:ind w:firstLine="0" w:firstLineChars="0"/>
              <w:jc w:val="center"/>
              <w:rPr>
                <w:rFonts w:eastAsiaTheme="minorEastAsia"/>
                <w:sz w:val="21"/>
                <w:szCs w:val="22"/>
              </w:rPr>
            </w:pPr>
            <w:r>
              <w:rPr>
                <w:kern w:val="0"/>
                <w:sz w:val="21"/>
                <w:szCs w:val="22"/>
              </w:rPr>
              <w:t>二层、框架结构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1" w:type="pct"/>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1</w:t>
            </w:r>
            <w:r>
              <w:rPr>
                <w:rFonts w:eastAsiaTheme="minorEastAsia"/>
                <w:sz w:val="21"/>
                <w:szCs w:val="22"/>
              </w:rPr>
              <w:t>5</w:t>
            </w:r>
          </w:p>
        </w:tc>
        <w:tc>
          <w:tcPr>
            <w:tcW w:w="1175"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地磅</w:t>
            </w:r>
          </w:p>
        </w:tc>
        <w:tc>
          <w:tcPr>
            <w:tcW w:w="941" w:type="pct"/>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7</w:t>
            </w:r>
          </w:p>
        </w:tc>
        <w:tc>
          <w:tcPr>
            <w:tcW w:w="862"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座</w:t>
            </w:r>
          </w:p>
        </w:tc>
        <w:tc>
          <w:tcPr>
            <w:tcW w:w="1480"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含磅房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1" w:type="pct"/>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1</w:t>
            </w:r>
            <w:r>
              <w:rPr>
                <w:rFonts w:eastAsiaTheme="minorEastAsia"/>
                <w:sz w:val="21"/>
                <w:szCs w:val="22"/>
              </w:rPr>
              <w:t>6</w:t>
            </w:r>
          </w:p>
        </w:tc>
        <w:tc>
          <w:tcPr>
            <w:tcW w:w="1175"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洗车池</w:t>
            </w:r>
          </w:p>
        </w:tc>
        <w:tc>
          <w:tcPr>
            <w:tcW w:w="941" w:type="pct"/>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4</w:t>
            </w:r>
          </w:p>
        </w:tc>
        <w:tc>
          <w:tcPr>
            <w:tcW w:w="862"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座</w:t>
            </w:r>
          </w:p>
        </w:tc>
        <w:tc>
          <w:tcPr>
            <w:tcW w:w="1480" w:type="pct"/>
            <w:vAlign w:val="center"/>
          </w:tcPr>
          <w:p>
            <w:pPr>
              <w:tabs>
                <w:tab w:val="clear" w:pos="480"/>
              </w:tabs>
              <w:spacing w:line="240" w:lineRule="auto"/>
              <w:ind w:firstLine="0" w:firstLineChars="0"/>
              <w:jc w:val="center"/>
              <w:rPr>
                <w:rFonts w:eastAsiaTheme="minorEastAsia"/>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1" w:type="pct"/>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1</w:t>
            </w:r>
            <w:r>
              <w:rPr>
                <w:rFonts w:eastAsiaTheme="minorEastAsia"/>
                <w:sz w:val="21"/>
                <w:szCs w:val="22"/>
              </w:rPr>
              <w:t>7</w:t>
            </w:r>
          </w:p>
        </w:tc>
        <w:tc>
          <w:tcPr>
            <w:tcW w:w="1175"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围墙</w:t>
            </w:r>
          </w:p>
        </w:tc>
        <w:tc>
          <w:tcPr>
            <w:tcW w:w="941" w:type="pct"/>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1</w:t>
            </w:r>
            <w:r>
              <w:rPr>
                <w:rFonts w:eastAsiaTheme="minorEastAsia"/>
                <w:sz w:val="21"/>
                <w:szCs w:val="22"/>
              </w:rPr>
              <w:t>534</w:t>
            </w:r>
          </w:p>
        </w:tc>
        <w:tc>
          <w:tcPr>
            <w:tcW w:w="862" w:type="pct"/>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m</w:t>
            </w:r>
          </w:p>
        </w:tc>
        <w:tc>
          <w:tcPr>
            <w:tcW w:w="1480" w:type="pct"/>
            <w:vAlign w:val="center"/>
          </w:tcPr>
          <w:p>
            <w:pPr>
              <w:tabs>
                <w:tab w:val="clear" w:pos="480"/>
              </w:tabs>
              <w:spacing w:line="240" w:lineRule="auto"/>
              <w:ind w:firstLine="0" w:firstLineChars="0"/>
              <w:jc w:val="center"/>
              <w:rPr>
                <w:rFonts w:eastAsiaTheme="minorEastAsia"/>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1" w:type="pct"/>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1</w:t>
            </w:r>
            <w:r>
              <w:rPr>
                <w:rFonts w:eastAsiaTheme="minorEastAsia"/>
                <w:sz w:val="21"/>
                <w:szCs w:val="22"/>
              </w:rPr>
              <w:t>8</w:t>
            </w:r>
          </w:p>
        </w:tc>
        <w:tc>
          <w:tcPr>
            <w:tcW w:w="1175"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简易门岗</w:t>
            </w:r>
          </w:p>
        </w:tc>
        <w:tc>
          <w:tcPr>
            <w:tcW w:w="941" w:type="pct"/>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9</w:t>
            </w:r>
          </w:p>
        </w:tc>
        <w:tc>
          <w:tcPr>
            <w:tcW w:w="862" w:type="pct"/>
            <w:vAlign w:val="center"/>
          </w:tcPr>
          <w:p>
            <w:pPr>
              <w:tabs>
                <w:tab w:val="clear" w:pos="480"/>
              </w:tabs>
              <w:spacing w:line="240" w:lineRule="auto"/>
              <w:ind w:firstLine="0" w:firstLineChars="0"/>
              <w:jc w:val="center"/>
              <w:rPr>
                <w:rFonts w:eastAsiaTheme="minorEastAsia"/>
                <w:sz w:val="21"/>
                <w:szCs w:val="22"/>
              </w:rPr>
            </w:pPr>
            <w:r>
              <w:rPr>
                <w:rFonts w:eastAsiaTheme="minorEastAsia"/>
                <w:sz w:val="21"/>
                <w:szCs w:val="22"/>
              </w:rPr>
              <w:t>座</w:t>
            </w:r>
          </w:p>
        </w:tc>
        <w:tc>
          <w:tcPr>
            <w:tcW w:w="1480" w:type="pct"/>
            <w:vAlign w:val="center"/>
          </w:tcPr>
          <w:p>
            <w:pPr>
              <w:tabs>
                <w:tab w:val="clear" w:pos="480"/>
              </w:tabs>
              <w:spacing w:line="240" w:lineRule="auto"/>
              <w:ind w:firstLine="0" w:firstLineChars="0"/>
              <w:jc w:val="center"/>
              <w:rPr>
                <w:rFonts w:eastAsiaTheme="minorEastAsia"/>
                <w:sz w:val="21"/>
                <w:szCs w:val="22"/>
              </w:rPr>
            </w:pPr>
          </w:p>
        </w:tc>
      </w:tr>
    </w:tbl>
    <w:p>
      <w:pPr>
        <w:pStyle w:val="454"/>
        <w:ind w:firstLine="602"/>
        <w:rPr>
          <w:color w:val="auto"/>
        </w:rPr>
      </w:pPr>
      <w:r>
        <w:rPr>
          <w:color w:val="auto"/>
        </w:rPr>
        <w:t>总平面布置</w:t>
      </w:r>
    </w:p>
    <w:p>
      <w:pPr>
        <w:ind w:firstLine="480"/>
        <w:rPr>
          <w:kern w:val="0"/>
          <w:szCs w:val="20"/>
        </w:rPr>
      </w:pPr>
      <w:r>
        <w:rPr>
          <w:rFonts w:hint="eastAsia"/>
          <w:kern w:val="0"/>
          <w:szCs w:val="20"/>
        </w:rPr>
        <w:t>根据工程所在地的自然条件及水域、陆域地形情况，综合考虑装卸工艺的布置、码头前沿线位置、现有陆域平面布置的方案，提出总平面布置方案。</w:t>
      </w:r>
    </w:p>
    <w:p>
      <w:pPr>
        <w:ind w:firstLine="480"/>
        <w:rPr>
          <w:kern w:val="0"/>
          <w:szCs w:val="20"/>
        </w:rPr>
      </w:pPr>
      <w:r>
        <w:rPr>
          <w:rFonts w:hint="eastAsia"/>
          <w:kern w:val="0"/>
          <w:szCs w:val="20"/>
        </w:rPr>
        <w:t>中央防汛物资储备基地位于本工程陆域下游侧，因此防汛物资泊位布置在码头下游侧，物料运输途径相对较短，更为经济，以散货为主要货种（矿建材料、矿石、水泥等）的泊位则集中布置于上游侧。</w:t>
      </w:r>
    </w:p>
    <w:p>
      <w:pPr>
        <w:pStyle w:val="456"/>
        <w:ind w:firstLine="482"/>
      </w:pPr>
      <w:r>
        <w:t>水域布置</w:t>
      </w:r>
    </w:p>
    <w:p>
      <w:pPr>
        <w:ind w:firstLine="480"/>
        <w:rPr>
          <w:kern w:val="0"/>
          <w:szCs w:val="20"/>
        </w:rPr>
      </w:pPr>
      <w:r>
        <w:rPr>
          <w:kern w:val="0"/>
          <w:szCs w:val="20"/>
        </w:rPr>
        <w:t>本工程拟新建6个泊位，自上游往下游依次为：1#泊位为10000吨级</w:t>
      </w:r>
      <w:r>
        <w:rPr>
          <w:rFonts w:hint="eastAsia"/>
          <w:kern w:val="0"/>
          <w:szCs w:val="20"/>
        </w:rPr>
        <w:t>散货</w:t>
      </w:r>
      <w:r>
        <w:rPr>
          <w:kern w:val="0"/>
          <w:szCs w:val="20"/>
        </w:rPr>
        <w:t>泊位，用于散货出口，2#~3#泊位为10000吨级</w:t>
      </w:r>
      <w:r>
        <w:rPr>
          <w:rFonts w:hint="eastAsia"/>
          <w:kern w:val="0"/>
          <w:szCs w:val="20"/>
        </w:rPr>
        <w:t>散货</w:t>
      </w:r>
      <w:r>
        <w:rPr>
          <w:kern w:val="0"/>
          <w:szCs w:val="20"/>
        </w:rPr>
        <w:t>泊位，以散货进口为主，4#~5#泊位为10000吨级</w:t>
      </w:r>
      <w:r>
        <w:rPr>
          <w:rFonts w:hint="eastAsia"/>
          <w:kern w:val="0"/>
          <w:szCs w:val="20"/>
        </w:rPr>
        <w:t>散货</w:t>
      </w:r>
      <w:r>
        <w:rPr>
          <w:kern w:val="0"/>
          <w:szCs w:val="20"/>
        </w:rPr>
        <w:t>泊位</w:t>
      </w:r>
      <w:r>
        <w:rPr>
          <w:rFonts w:hint="eastAsia"/>
          <w:kern w:val="0"/>
          <w:szCs w:val="20"/>
        </w:rPr>
        <w:t>，以装卸车船直取砂石、水泥以及其他散货等为主</w:t>
      </w:r>
      <w:r>
        <w:rPr>
          <w:kern w:val="0"/>
          <w:szCs w:val="20"/>
        </w:rPr>
        <w:t>，6#泊位为5000吨级</w:t>
      </w:r>
      <w:r>
        <w:rPr>
          <w:rFonts w:hint="eastAsia"/>
          <w:kern w:val="0"/>
          <w:szCs w:val="20"/>
        </w:rPr>
        <w:t>散货</w:t>
      </w:r>
      <w:r>
        <w:rPr>
          <w:kern w:val="0"/>
          <w:szCs w:val="20"/>
        </w:rPr>
        <w:t>泊位，以装卸防汛物资为主。1#~6#泊位水工结构均按靠泊15000吨级船舶设计。</w:t>
      </w:r>
    </w:p>
    <w:p>
      <w:pPr>
        <w:ind w:firstLine="480"/>
        <w:rPr>
          <w:kern w:val="0"/>
          <w:szCs w:val="20"/>
        </w:rPr>
      </w:pPr>
      <w:r>
        <w:rPr>
          <w:kern w:val="0"/>
          <w:szCs w:val="20"/>
        </w:rPr>
        <w:t>1#~6#泊位一字排开，码头平台总长840m。1#泊位平台长160m，宽22m；2#~6#泊位平台长680m，宽24m，码头面高程33.9m。</w:t>
      </w:r>
      <w:r>
        <w:rPr>
          <w:rFonts w:hint="eastAsia"/>
          <w:kern w:val="0"/>
          <w:szCs w:val="20"/>
        </w:rPr>
        <w:t>在</w:t>
      </w:r>
      <w:r>
        <w:rPr>
          <w:kern w:val="0"/>
          <w:szCs w:val="20"/>
        </w:rPr>
        <w:t>1#</w:t>
      </w:r>
      <w:r>
        <w:rPr>
          <w:rFonts w:hint="eastAsia"/>
          <w:kern w:val="0"/>
          <w:szCs w:val="20"/>
        </w:rPr>
        <w:t>、</w:t>
      </w:r>
      <w:r>
        <w:rPr>
          <w:kern w:val="0"/>
          <w:szCs w:val="20"/>
        </w:rPr>
        <w:t>2#</w:t>
      </w:r>
      <w:r>
        <w:rPr>
          <w:rFonts w:hint="eastAsia"/>
          <w:kern w:val="0"/>
          <w:szCs w:val="20"/>
        </w:rPr>
        <w:t>泊位之间布置皮带机转运站。根据装卸工艺要求，结合码头面设计宽度，在</w:t>
      </w:r>
      <w:r>
        <w:rPr>
          <w:kern w:val="0"/>
          <w:szCs w:val="20"/>
        </w:rPr>
        <w:t>2#</w:t>
      </w:r>
      <w:r>
        <w:rPr>
          <w:rFonts w:hint="eastAsia"/>
          <w:kern w:val="0"/>
          <w:szCs w:val="20"/>
        </w:rPr>
        <w:t>、</w:t>
      </w:r>
      <w:r>
        <w:rPr>
          <w:kern w:val="0"/>
          <w:szCs w:val="20"/>
        </w:rPr>
        <w:t>3#</w:t>
      </w:r>
      <w:r>
        <w:rPr>
          <w:rFonts w:hint="eastAsia"/>
          <w:kern w:val="0"/>
          <w:szCs w:val="20"/>
        </w:rPr>
        <w:t>泊位平台后方布置抓斗平台，尺度为</w:t>
      </w:r>
      <w:r>
        <w:rPr>
          <w:kern w:val="0"/>
          <w:szCs w:val="20"/>
        </w:rPr>
        <w:t>12m</w:t>
      </w:r>
      <w:r>
        <w:rPr>
          <w:rFonts w:hint="eastAsia"/>
          <w:kern w:val="0"/>
          <w:szCs w:val="20"/>
        </w:rPr>
        <w:t>×</w:t>
      </w:r>
      <w:r>
        <w:rPr>
          <w:kern w:val="0"/>
          <w:szCs w:val="20"/>
        </w:rPr>
        <w:t>9m</w:t>
      </w:r>
      <w:r>
        <w:rPr>
          <w:rFonts w:hint="eastAsia"/>
          <w:kern w:val="0"/>
          <w:szCs w:val="20"/>
        </w:rPr>
        <w:t>。结合码头运营及装卸设备用电要求，在</w:t>
      </w:r>
      <w:r>
        <w:rPr>
          <w:kern w:val="0"/>
          <w:szCs w:val="20"/>
        </w:rPr>
        <w:t>3#</w:t>
      </w:r>
      <w:r>
        <w:rPr>
          <w:rFonts w:hint="eastAsia"/>
          <w:kern w:val="0"/>
          <w:szCs w:val="20"/>
        </w:rPr>
        <w:t>泊位平台后方布置</w:t>
      </w:r>
      <w:r>
        <w:rPr>
          <w:kern w:val="0"/>
          <w:szCs w:val="20"/>
        </w:rPr>
        <w:t>变电所平台</w:t>
      </w:r>
      <w:r>
        <w:rPr>
          <w:rFonts w:hint="eastAsia"/>
          <w:kern w:val="0"/>
          <w:szCs w:val="20"/>
        </w:rPr>
        <w:t>，尺度为</w:t>
      </w:r>
      <w:r>
        <w:rPr>
          <w:kern w:val="0"/>
          <w:szCs w:val="20"/>
        </w:rPr>
        <w:t>20m</w:t>
      </w:r>
      <w:r>
        <w:rPr>
          <w:rFonts w:hint="eastAsia"/>
          <w:kern w:val="0"/>
          <w:szCs w:val="20"/>
        </w:rPr>
        <w:t>×</w:t>
      </w:r>
      <w:r>
        <w:rPr>
          <w:kern w:val="0"/>
          <w:szCs w:val="20"/>
        </w:rPr>
        <w:t>15m</w:t>
      </w:r>
      <w:r>
        <w:rPr>
          <w:rFonts w:hint="eastAsia"/>
          <w:kern w:val="0"/>
          <w:szCs w:val="20"/>
        </w:rPr>
        <w:t>。</w:t>
      </w:r>
    </w:p>
    <w:p>
      <w:pPr>
        <w:ind w:firstLine="480"/>
        <w:rPr>
          <w:kern w:val="0"/>
          <w:szCs w:val="20"/>
        </w:rPr>
      </w:pPr>
      <w:r>
        <w:rPr>
          <w:rFonts w:hint="eastAsia"/>
          <w:kern w:val="0"/>
          <w:szCs w:val="20"/>
        </w:rPr>
        <w:t>在</w:t>
      </w:r>
      <w:r>
        <w:rPr>
          <w:kern w:val="0"/>
          <w:szCs w:val="20"/>
        </w:rPr>
        <w:t>码头平台通过5座行车引桥和3座皮带机廊道桥与后方陆域连接。</w:t>
      </w:r>
    </w:p>
    <w:p>
      <w:pPr>
        <w:ind w:firstLine="480"/>
        <w:rPr>
          <w:kern w:val="0"/>
          <w:szCs w:val="20"/>
        </w:rPr>
      </w:pPr>
      <w:r>
        <w:rPr>
          <w:kern w:val="0"/>
          <w:szCs w:val="20"/>
        </w:rPr>
        <w:t>上游1#行车引桥、1#2#皮带机廊道桥、2#行车引桥布置于1#、2#泊位之间后方，对接转运站布置，宽度分别为6m、16m、6m</w:t>
      </w:r>
      <w:r>
        <w:rPr>
          <w:rFonts w:hint="eastAsia"/>
          <w:kern w:val="0"/>
          <w:szCs w:val="20"/>
        </w:rPr>
        <w:t>，</w:t>
      </w:r>
      <w:r>
        <w:rPr>
          <w:kern w:val="0"/>
          <w:szCs w:val="20"/>
        </w:rPr>
        <w:t>1#</w:t>
      </w:r>
      <w:r>
        <w:rPr>
          <w:rFonts w:hint="eastAsia"/>
          <w:kern w:val="0"/>
          <w:szCs w:val="20"/>
        </w:rPr>
        <w:t>、</w:t>
      </w:r>
      <w:r>
        <w:rPr>
          <w:kern w:val="0"/>
          <w:szCs w:val="20"/>
        </w:rPr>
        <w:t>2#行车引桥长度分别为140.62m、141.67m</w:t>
      </w:r>
      <w:r>
        <w:rPr>
          <w:rFonts w:hint="eastAsia"/>
          <w:kern w:val="0"/>
          <w:szCs w:val="20"/>
        </w:rPr>
        <w:t>。</w:t>
      </w:r>
    </w:p>
    <w:p>
      <w:pPr>
        <w:ind w:firstLine="480"/>
        <w:rPr>
          <w:kern w:val="0"/>
          <w:szCs w:val="20"/>
        </w:rPr>
      </w:pPr>
      <w:r>
        <w:rPr>
          <w:kern w:val="0"/>
          <w:szCs w:val="20"/>
        </w:rPr>
        <w:t>3#行车引桥和4#行车引桥分别布置在4#泊位上游和5#泊位下游，形成运输环形通道，长度分别为146.91m、140.27m，宽度均为15m</w:t>
      </w:r>
      <w:r>
        <w:rPr>
          <w:rFonts w:hint="eastAsia"/>
          <w:kern w:val="0"/>
          <w:szCs w:val="20"/>
        </w:rPr>
        <w:t>。</w:t>
      </w:r>
    </w:p>
    <w:p>
      <w:pPr>
        <w:ind w:firstLine="480"/>
        <w:rPr>
          <w:kern w:val="0"/>
          <w:szCs w:val="20"/>
        </w:rPr>
      </w:pPr>
      <w:r>
        <w:rPr>
          <w:kern w:val="0"/>
          <w:szCs w:val="20"/>
        </w:rPr>
        <w:t>5#行车引桥布置在6#泊位下游，与4#行车引桥形成运输环形通道，长度为135.55m，宽度为9m</w:t>
      </w:r>
      <w:r>
        <w:rPr>
          <w:rFonts w:hint="eastAsia"/>
          <w:kern w:val="0"/>
          <w:szCs w:val="20"/>
        </w:rPr>
        <w:t>。</w:t>
      </w:r>
    </w:p>
    <w:p>
      <w:pPr>
        <w:ind w:firstLine="480"/>
        <w:rPr>
          <w:kern w:val="0"/>
          <w:szCs w:val="20"/>
        </w:rPr>
      </w:pPr>
      <w:r>
        <w:rPr>
          <w:kern w:val="0"/>
          <w:szCs w:val="20"/>
        </w:rPr>
        <w:t>3#皮带机廊道桥布置在6#泊位下游端部，宽度为4m。</w:t>
      </w:r>
    </w:p>
    <w:p>
      <w:pPr>
        <w:ind w:firstLine="480"/>
        <w:rPr>
          <w:kern w:val="0"/>
          <w:szCs w:val="20"/>
        </w:rPr>
      </w:pPr>
      <w:r>
        <w:rPr>
          <w:kern w:val="0"/>
          <w:szCs w:val="20"/>
        </w:rPr>
        <w:t>行车引桥与长江大堤平交，通过3条下堤路与后方陆域连接。</w:t>
      </w:r>
    </w:p>
    <w:p>
      <w:pPr>
        <w:ind w:firstLine="480"/>
        <w:rPr>
          <w:kern w:val="0"/>
          <w:szCs w:val="20"/>
        </w:rPr>
      </w:pPr>
      <w:r>
        <w:rPr>
          <w:kern w:val="0"/>
          <w:szCs w:val="20"/>
        </w:rPr>
        <w:t>皮带机廊道桥架空跨越大堤与后方陆域转运站相接</w:t>
      </w:r>
      <w:r>
        <w:rPr>
          <w:rFonts w:hint="eastAsia"/>
          <w:kern w:val="0"/>
          <w:szCs w:val="20"/>
        </w:rPr>
        <w:t>，跨堤处净空高度不小于</w:t>
      </w:r>
      <w:r>
        <w:rPr>
          <w:kern w:val="0"/>
          <w:szCs w:val="20"/>
        </w:rPr>
        <w:t>5m。</w:t>
      </w:r>
    </w:p>
    <w:p>
      <w:pPr>
        <w:pStyle w:val="2285"/>
        <w:ind w:left="0"/>
        <w:rPr>
          <w:rFonts w:cs="Times New Roman"/>
        </w:rPr>
      </w:pPr>
      <w:r>
        <w:rPr>
          <w:rFonts w:hint="eastAsia" w:cs="Times New Roman"/>
        </w:rPr>
        <w:t xml:space="preserve"> </w:t>
      </w:r>
      <w:r>
        <w:rPr>
          <w:rFonts w:cs="Times New Roman"/>
        </w:rPr>
        <w:t xml:space="preserve"> </w:t>
      </w:r>
      <w:r>
        <w:t>码头主尺度表</w:t>
      </w:r>
    </w:p>
    <w:tbl>
      <w:tblPr>
        <w:tblStyle w:val="359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18"/>
        <w:gridCol w:w="1462"/>
        <w:gridCol w:w="1695"/>
        <w:gridCol w:w="1695"/>
        <w:gridCol w:w="22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497"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建筑物</w:t>
            </w:r>
          </w:p>
        </w:tc>
        <w:tc>
          <w:tcPr>
            <w:tcW w:w="1631"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长度（m）</w:t>
            </w:r>
          </w:p>
        </w:tc>
        <w:tc>
          <w:tcPr>
            <w:tcW w:w="1898"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长度（m）</w:t>
            </w:r>
          </w:p>
        </w:tc>
        <w:tc>
          <w:tcPr>
            <w:tcW w:w="1898"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顶面标高（m）</w:t>
            </w:r>
          </w:p>
        </w:tc>
        <w:tc>
          <w:tcPr>
            <w:tcW w:w="2496"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底高程（m）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497"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水工平台</w:t>
            </w:r>
          </w:p>
        </w:tc>
        <w:tc>
          <w:tcPr>
            <w:tcW w:w="1631"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840</w:t>
            </w:r>
          </w:p>
        </w:tc>
        <w:tc>
          <w:tcPr>
            <w:tcW w:w="1898"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22m/24m</w:t>
            </w:r>
          </w:p>
        </w:tc>
        <w:tc>
          <w:tcPr>
            <w:tcW w:w="1898"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33.9</w:t>
            </w:r>
          </w:p>
        </w:tc>
        <w:tc>
          <w:tcPr>
            <w:tcW w:w="2496"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10.60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497"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行车引桥1#</w:t>
            </w:r>
          </w:p>
        </w:tc>
        <w:tc>
          <w:tcPr>
            <w:tcW w:w="1631"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134.92</w:t>
            </w:r>
          </w:p>
        </w:tc>
        <w:tc>
          <w:tcPr>
            <w:tcW w:w="1898"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6m</w:t>
            </w:r>
          </w:p>
        </w:tc>
        <w:tc>
          <w:tcPr>
            <w:tcW w:w="1898"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33.9~36.3</w:t>
            </w:r>
          </w:p>
        </w:tc>
        <w:tc>
          <w:tcPr>
            <w:tcW w:w="2496"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原泥面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497"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行车引桥2#</w:t>
            </w:r>
          </w:p>
        </w:tc>
        <w:tc>
          <w:tcPr>
            <w:tcW w:w="1631"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136.26</w:t>
            </w:r>
          </w:p>
        </w:tc>
        <w:tc>
          <w:tcPr>
            <w:tcW w:w="1898"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6m</w:t>
            </w:r>
          </w:p>
        </w:tc>
        <w:tc>
          <w:tcPr>
            <w:tcW w:w="1898"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33.9~36.3</w:t>
            </w:r>
          </w:p>
        </w:tc>
        <w:tc>
          <w:tcPr>
            <w:tcW w:w="2496"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原泥面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497"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行车引桥3#</w:t>
            </w:r>
          </w:p>
        </w:tc>
        <w:tc>
          <w:tcPr>
            <w:tcW w:w="1631"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143.65</w:t>
            </w:r>
          </w:p>
        </w:tc>
        <w:tc>
          <w:tcPr>
            <w:tcW w:w="1898"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15m</w:t>
            </w:r>
          </w:p>
        </w:tc>
        <w:tc>
          <w:tcPr>
            <w:tcW w:w="1898"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33.9~36.35</w:t>
            </w:r>
          </w:p>
        </w:tc>
        <w:tc>
          <w:tcPr>
            <w:tcW w:w="2496"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原泥面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497"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行车引桥4#</w:t>
            </w:r>
          </w:p>
        </w:tc>
        <w:tc>
          <w:tcPr>
            <w:tcW w:w="1631"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139.21</w:t>
            </w:r>
          </w:p>
        </w:tc>
        <w:tc>
          <w:tcPr>
            <w:tcW w:w="1898"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15m</w:t>
            </w:r>
          </w:p>
        </w:tc>
        <w:tc>
          <w:tcPr>
            <w:tcW w:w="1898"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33.9~36.3</w:t>
            </w:r>
          </w:p>
        </w:tc>
        <w:tc>
          <w:tcPr>
            <w:tcW w:w="2496"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原泥面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497"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行车引桥5#</w:t>
            </w:r>
          </w:p>
        </w:tc>
        <w:tc>
          <w:tcPr>
            <w:tcW w:w="1631"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135.55</w:t>
            </w:r>
          </w:p>
        </w:tc>
        <w:tc>
          <w:tcPr>
            <w:tcW w:w="1898"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9m</w:t>
            </w:r>
          </w:p>
        </w:tc>
        <w:tc>
          <w:tcPr>
            <w:tcW w:w="1898"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33.9~36.5</w:t>
            </w:r>
          </w:p>
        </w:tc>
        <w:tc>
          <w:tcPr>
            <w:tcW w:w="2496"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原泥面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497"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皮带机廊道1#</w:t>
            </w:r>
          </w:p>
        </w:tc>
        <w:tc>
          <w:tcPr>
            <w:tcW w:w="1631"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w:t>
            </w:r>
          </w:p>
        </w:tc>
        <w:tc>
          <w:tcPr>
            <w:tcW w:w="1898"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4.5m</w:t>
            </w:r>
          </w:p>
        </w:tc>
        <w:tc>
          <w:tcPr>
            <w:tcW w:w="1898"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33.9~36.3</w:t>
            </w:r>
          </w:p>
        </w:tc>
        <w:tc>
          <w:tcPr>
            <w:tcW w:w="2496"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原泥面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497"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皮带机廊道2#</w:t>
            </w:r>
          </w:p>
        </w:tc>
        <w:tc>
          <w:tcPr>
            <w:tcW w:w="1631"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w:t>
            </w:r>
          </w:p>
        </w:tc>
        <w:tc>
          <w:tcPr>
            <w:tcW w:w="1898"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7.5m</w:t>
            </w:r>
          </w:p>
        </w:tc>
        <w:tc>
          <w:tcPr>
            <w:tcW w:w="1898"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33.9~36.3</w:t>
            </w:r>
          </w:p>
        </w:tc>
        <w:tc>
          <w:tcPr>
            <w:tcW w:w="2496"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原泥面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2497"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皮带机廊道3#</w:t>
            </w:r>
          </w:p>
        </w:tc>
        <w:tc>
          <w:tcPr>
            <w:tcW w:w="1631"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w:t>
            </w:r>
          </w:p>
        </w:tc>
        <w:tc>
          <w:tcPr>
            <w:tcW w:w="1898"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4m</w:t>
            </w:r>
          </w:p>
        </w:tc>
        <w:tc>
          <w:tcPr>
            <w:tcW w:w="1898"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33.9~36.5</w:t>
            </w:r>
          </w:p>
        </w:tc>
        <w:tc>
          <w:tcPr>
            <w:tcW w:w="2496" w:type="dxa"/>
            <w:vAlign w:val="center"/>
          </w:tcPr>
          <w:p>
            <w:pPr>
              <w:tabs>
                <w:tab w:val="clear" w:pos="480"/>
              </w:tabs>
              <w:spacing w:line="240" w:lineRule="auto"/>
              <w:ind w:firstLine="0" w:firstLineChars="0"/>
              <w:jc w:val="center"/>
              <w:rPr>
                <w:rFonts w:eastAsiaTheme="minorEastAsia"/>
                <w:sz w:val="21"/>
                <w:szCs w:val="22"/>
              </w:rPr>
            </w:pPr>
            <w:r>
              <w:rPr>
                <w:rFonts w:hint="eastAsia" w:eastAsiaTheme="minorEastAsia"/>
                <w:sz w:val="21"/>
                <w:szCs w:val="22"/>
              </w:rPr>
              <w:t>原泥面</w:t>
            </w:r>
          </w:p>
        </w:tc>
      </w:tr>
    </w:tbl>
    <w:p>
      <w:pPr>
        <w:pStyle w:val="456"/>
        <w:ind w:firstLine="482"/>
      </w:pPr>
      <w:r>
        <w:t>陆域布置</w:t>
      </w:r>
    </w:p>
    <w:p>
      <w:pPr>
        <w:ind w:firstLine="480"/>
        <w:rPr>
          <w:kern w:val="0"/>
          <w:szCs w:val="20"/>
        </w:rPr>
      </w:pPr>
      <w:r>
        <w:rPr>
          <w:rFonts w:hint="eastAsia"/>
          <w:kern w:val="0"/>
          <w:szCs w:val="20"/>
        </w:rPr>
        <w:t>结合陆域用地范围，分两块地布置，地块</w:t>
      </w:r>
      <w:r>
        <w:rPr>
          <w:kern w:val="0"/>
          <w:szCs w:val="20"/>
        </w:rPr>
        <w:t>A</w:t>
      </w:r>
      <w:r>
        <w:rPr>
          <w:rFonts w:hint="eastAsia"/>
          <w:kern w:val="0"/>
          <w:szCs w:val="20"/>
        </w:rPr>
        <w:t>位于厂家长江大堤与</w:t>
      </w:r>
      <w:r>
        <w:rPr>
          <w:kern w:val="0"/>
          <w:szCs w:val="20"/>
        </w:rPr>
        <w:t>S208</w:t>
      </w:r>
      <w:r>
        <w:rPr>
          <w:rFonts w:hint="eastAsia"/>
          <w:kern w:val="0"/>
          <w:szCs w:val="20"/>
        </w:rPr>
        <w:t>省道之间；地块</w:t>
      </w:r>
      <w:r>
        <w:rPr>
          <w:kern w:val="0"/>
          <w:szCs w:val="20"/>
        </w:rPr>
        <w:t>B</w:t>
      </w:r>
      <w:r>
        <w:rPr>
          <w:rFonts w:hint="eastAsia"/>
          <w:kern w:val="0"/>
          <w:szCs w:val="20"/>
        </w:rPr>
        <w:t>位于省道</w:t>
      </w:r>
      <w:r>
        <w:rPr>
          <w:kern w:val="0"/>
          <w:szCs w:val="20"/>
        </w:rPr>
        <w:t>S208</w:t>
      </w:r>
      <w:r>
        <w:rPr>
          <w:rFonts w:hint="eastAsia"/>
          <w:kern w:val="0"/>
          <w:szCs w:val="20"/>
        </w:rPr>
        <w:t>东侧，现有兴长路南侧。</w:t>
      </w:r>
    </w:p>
    <w:p>
      <w:pPr>
        <w:ind w:firstLine="480"/>
        <w:rPr>
          <w:kern w:val="0"/>
          <w:szCs w:val="20"/>
        </w:rPr>
      </w:pPr>
      <w:r>
        <w:rPr>
          <w:kern w:val="0"/>
          <w:szCs w:val="20"/>
        </w:rPr>
        <w:t>1</w:t>
      </w:r>
      <w:r>
        <w:rPr>
          <w:rFonts w:hint="eastAsia"/>
          <w:kern w:val="0"/>
          <w:szCs w:val="20"/>
        </w:rPr>
        <w:t>）地块</w:t>
      </w:r>
      <w:r>
        <w:rPr>
          <w:kern w:val="0"/>
          <w:szCs w:val="20"/>
        </w:rPr>
        <w:t>A</w:t>
      </w:r>
    </w:p>
    <w:p>
      <w:pPr>
        <w:ind w:firstLine="480"/>
        <w:rPr>
          <w:kern w:val="0"/>
          <w:szCs w:val="20"/>
        </w:rPr>
      </w:pPr>
      <w:r>
        <w:rPr>
          <w:rFonts w:hint="eastAsia"/>
          <w:kern w:val="0"/>
          <w:szCs w:val="20"/>
        </w:rPr>
        <w:t>地块</w:t>
      </w:r>
      <w:r>
        <w:rPr>
          <w:kern w:val="0"/>
          <w:szCs w:val="20"/>
        </w:rPr>
        <w:t>A</w:t>
      </w:r>
      <w:r>
        <w:rPr>
          <w:rFonts w:hint="eastAsia"/>
          <w:kern w:val="0"/>
          <w:szCs w:val="20"/>
        </w:rPr>
        <w:t>陆域纵深宽</w:t>
      </w:r>
      <w:r>
        <w:rPr>
          <w:kern w:val="0"/>
          <w:szCs w:val="20"/>
        </w:rPr>
        <w:t>160m~224m</w:t>
      </w:r>
      <w:r>
        <w:rPr>
          <w:rFonts w:hint="eastAsia"/>
          <w:kern w:val="0"/>
          <w:szCs w:val="20"/>
        </w:rPr>
        <w:t>，沿长江方向长度约</w:t>
      </w:r>
      <w:r>
        <w:rPr>
          <w:kern w:val="0"/>
          <w:szCs w:val="20"/>
        </w:rPr>
        <w:t>710.9m</w:t>
      </w:r>
      <w:r>
        <w:rPr>
          <w:rFonts w:hint="eastAsia"/>
          <w:kern w:val="0"/>
          <w:szCs w:val="20"/>
        </w:rPr>
        <w:t>。临</w:t>
      </w:r>
      <w:r>
        <w:rPr>
          <w:kern w:val="0"/>
          <w:szCs w:val="20"/>
        </w:rPr>
        <w:t>S208</w:t>
      </w:r>
      <w:r>
        <w:rPr>
          <w:rFonts w:hint="eastAsia"/>
          <w:kern w:val="0"/>
          <w:szCs w:val="20"/>
        </w:rPr>
        <w:t>省道沿线已布有石化管线。一侧为防洪管理区，一侧需与管线保持安全距离，地块狭长，不适宜布置大面积建构筑物，以布置堆场及停车场为主，主要布置港内停车场及防汛物质堆场，防汛物资堆场设置轨道式龙门起重机作业。下游侧布置</w:t>
      </w:r>
      <w:r>
        <w:rPr>
          <w:kern w:val="0"/>
          <w:szCs w:val="20"/>
        </w:rPr>
        <w:t>1#</w:t>
      </w:r>
      <w:r>
        <w:rPr>
          <w:rFonts w:hint="eastAsia"/>
          <w:kern w:val="0"/>
          <w:szCs w:val="20"/>
        </w:rPr>
        <w:t>门卫用于港区进出管理。</w:t>
      </w:r>
    </w:p>
    <w:p>
      <w:pPr>
        <w:ind w:firstLine="480"/>
        <w:rPr>
          <w:kern w:val="0"/>
          <w:szCs w:val="20"/>
        </w:rPr>
      </w:pPr>
      <w:r>
        <w:rPr>
          <w:kern w:val="0"/>
          <w:szCs w:val="20"/>
        </w:rPr>
        <w:t>2</w:t>
      </w:r>
      <w:r>
        <w:rPr>
          <w:rFonts w:hint="eastAsia"/>
          <w:kern w:val="0"/>
          <w:szCs w:val="20"/>
        </w:rPr>
        <w:t>）地块</w:t>
      </w:r>
      <w:r>
        <w:rPr>
          <w:kern w:val="0"/>
          <w:szCs w:val="20"/>
        </w:rPr>
        <w:t>B</w:t>
      </w:r>
    </w:p>
    <w:p>
      <w:pPr>
        <w:ind w:firstLine="480"/>
        <w:rPr>
          <w:kern w:val="0"/>
          <w:szCs w:val="20"/>
        </w:rPr>
      </w:pPr>
      <w:r>
        <w:rPr>
          <w:rFonts w:hint="eastAsia"/>
          <w:kern w:val="0"/>
          <w:szCs w:val="20"/>
        </w:rPr>
        <w:t>地块</w:t>
      </w:r>
      <w:r>
        <w:rPr>
          <w:kern w:val="0"/>
          <w:szCs w:val="20"/>
        </w:rPr>
        <w:t>B</w:t>
      </w:r>
      <w:r>
        <w:rPr>
          <w:rFonts w:hint="eastAsia"/>
          <w:kern w:val="0"/>
          <w:szCs w:val="20"/>
        </w:rPr>
        <w:t>布置生产辅助区以及散货仓库区。结合产业园区规划，生产辅助区布置于东南侧，临园区中心湖布置，散货仓库区布置于西侧。</w:t>
      </w:r>
    </w:p>
    <w:p>
      <w:pPr>
        <w:ind w:firstLine="480"/>
        <w:rPr>
          <w:kern w:val="0"/>
          <w:szCs w:val="20"/>
        </w:rPr>
      </w:pPr>
      <w:r>
        <w:rPr>
          <w:rFonts w:hint="eastAsia"/>
          <w:kern w:val="0"/>
          <w:szCs w:val="20"/>
        </w:rPr>
        <w:t>辅助区：结合用地的形状，地块</w:t>
      </w:r>
      <w:r>
        <w:rPr>
          <w:kern w:val="0"/>
          <w:szCs w:val="20"/>
        </w:rPr>
        <w:t>B</w:t>
      </w:r>
      <w:r>
        <w:rPr>
          <w:rFonts w:hint="eastAsia"/>
          <w:kern w:val="0"/>
          <w:szCs w:val="20"/>
        </w:rPr>
        <w:t>东南侧，临园区中心湖布置。辅建区主体建筑为综合楼，集办公、食堂、住宿等功能于一体。消防水池、污水处理站等建筑物及构筑物布置于综合楼前方，采用埋地布置。</w:t>
      </w:r>
    </w:p>
    <w:p>
      <w:pPr>
        <w:ind w:firstLine="480"/>
        <w:rPr>
          <w:kern w:val="0"/>
          <w:szCs w:val="20"/>
        </w:rPr>
      </w:pPr>
      <w:r>
        <w:rPr>
          <w:rFonts w:hint="eastAsia"/>
          <w:kern w:val="0"/>
          <w:szCs w:val="20"/>
        </w:rPr>
        <w:t>散货仓库区布置于西侧，临省道</w:t>
      </w:r>
      <w:r>
        <w:rPr>
          <w:kern w:val="0"/>
          <w:szCs w:val="20"/>
        </w:rPr>
        <w:t>S208</w:t>
      </w:r>
      <w:r>
        <w:rPr>
          <w:rFonts w:hint="eastAsia"/>
          <w:kern w:val="0"/>
          <w:szCs w:val="20"/>
        </w:rPr>
        <w:t>布置，散货仓库和卸车仓库采用合并布置的形式，其中散货仓库约</w:t>
      </w:r>
      <w:r>
        <w:rPr>
          <w:kern w:val="0"/>
          <w:szCs w:val="20"/>
        </w:rPr>
        <w:t>2.93</w:t>
      </w:r>
      <w:r>
        <w:rPr>
          <w:rFonts w:hint="eastAsia"/>
          <w:kern w:val="0"/>
          <w:szCs w:val="20"/>
        </w:rPr>
        <w:t>万</w:t>
      </w:r>
      <w:r>
        <w:rPr>
          <w:kern w:val="0"/>
          <w:szCs w:val="20"/>
        </w:rPr>
        <w:t>m</w:t>
      </w:r>
      <w:r>
        <w:rPr>
          <w:kern w:val="0"/>
          <w:szCs w:val="20"/>
          <w:vertAlign w:val="superscript"/>
        </w:rPr>
        <w:t>2</w:t>
      </w:r>
      <w:r>
        <w:rPr>
          <w:rFonts w:hint="eastAsia"/>
          <w:kern w:val="0"/>
          <w:szCs w:val="20"/>
        </w:rPr>
        <w:t>，卸车仓库</w:t>
      </w:r>
      <w:r>
        <w:rPr>
          <w:kern w:val="0"/>
          <w:szCs w:val="20"/>
        </w:rPr>
        <w:t>2277 m</w:t>
      </w:r>
      <w:r>
        <w:rPr>
          <w:kern w:val="0"/>
          <w:szCs w:val="20"/>
          <w:vertAlign w:val="superscript"/>
        </w:rPr>
        <w:t>2</w:t>
      </w:r>
      <w:r>
        <w:rPr>
          <w:rFonts w:hint="eastAsia"/>
          <w:kern w:val="0"/>
          <w:szCs w:val="20"/>
        </w:rPr>
        <w:t>。卸车仓库内布置地坑皮带，设置卸车地坑料斗，自卸汽车驶入料棚，直接将出口物料卸入地坑；当前沿水水中转导致皮带机无法及时输送则可短暂堆存于料棚中，再利用装载机转运至地坑。</w:t>
      </w:r>
    </w:p>
    <w:p>
      <w:pPr>
        <w:pStyle w:val="456"/>
        <w:ind w:firstLine="482"/>
      </w:pPr>
      <w:r>
        <w:t>设计主尺度</w:t>
      </w:r>
    </w:p>
    <w:p>
      <w:pPr>
        <w:ind w:firstLine="482"/>
        <w:rPr>
          <w:b/>
        </w:rPr>
      </w:pPr>
      <w:r>
        <w:rPr>
          <w:b/>
        </w:rPr>
        <w:t>一、水域主尺度</w:t>
      </w:r>
    </w:p>
    <w:p>
      <w:pPr>
        <w:numPr>
          <w:ilvl w:val="0"/>
          <w:numId w:val="59"/>
        </w:numPr>
        <w:ind w:firstLineChars="0"/>
        <w:jc w:val="left"/>
      </w:pPr>
      <w:r>
        <w:t>码头前沿线</w:t>
      </w:r>
    </w:p>
    <w:p>
      <w:pPr>
        <w:ind w:firstLine="480"/>
        <w:rPr>
          <w:kern w:val="0"/>
          <w:szCs w:val="20"/>
        </w:rPr>
      </w:pPr>
      <w:r>
        <w:rPr>
          <w:rFonts w:hint="eastAsia"/>
          <w:kern w:val="0"/>
          <w:szCs w:val="20"/>
        </w:rPr>
        <w:t>码头前沿线选取考虑河势、地形、地质及防洪、通航影响综合确定。道仁矶矶头对本工程码头前沿线位置的确定有较大影响，根据矶头形态，结合原兴达码头及防汛码头前沿线位置，确定码头前沿线走向。矶头的存在导致等深线呈弧形，因此码头走向与等深线不完全平行，上游位于</w:t>
      </w:r>
      <w:r>
        <w:rPr>
          <w:kern w:val="0"/>
          <w:szCs w:val="20"/>
        </w:rPr>
        <w:t>12.0m</w:t>
      </w:r>
      <w:r>
        <w:rPr>
          <w:rFonts w:hint="eastAsia"/>
          <w:kern w:val="0"/>
          <w:szCs w:val="20"/>
        </w:rPr>
        <w:t>等高线附近，而下游临近矶头处位于</w:t>
      </w:r>
      <w:r>
        <w:rPr>
          <w:kern w:val="0"/>
          <w:szCs w:val="20"/>
        </w:rPr>
        <w:t>14.0m</w:t>
      </w:r>
      <w:r>
        <w:rPr>
          <w:rFonts w:hint="eastAsia"/>
          <w:kern w:val="0"/>
          <w:szCs w:val="20"/>
        </w:rPr>
        <w:t>等高线附近，上游延长线不超出云溪</w:t>
      </w:r>
      <w:r>
        <w:rPr>
          <w:kern w:val="0"/>
          <w:szCs w:val="20"/>
        </w:rPr>
        <w:t>LNG</w:t>
      </w:r>
      <w:r>
        <w:rPr>
          <w:rFonts w:hint="eastAsia"/>
          <w:kern w:val="0"/>
          <w:szCs w:val="20"/>
        </w:rPr>
        <w:t>加注码头前沿线。码头前沿距现有大堤堤顶约</w:t>
      </w:r>
      <w:r>
        <w:rPr>
          <w:kern w:val="0"/>
          <w:szCs w:val="20"/>
        </w:rPr>
        <w:t>135m ~147m</w:t>
      </w:r>
      <w:r>
        <w:rPr>
          <w:rFonts w:hint="eastAsia"/>
          <w:kern w:val="0"/>
          <w:szCs w:val="20"/>
        </w:rPr>
        <w:t>。</w:t>
      </w:r>
    </w:p>
    <w:p>
      <w:pPr>
        <w:numPr>
          <w:ilvl w:val="0"/>
          <w:numId w:val="59"/>
        </w:numPr>
        <w:ind w:firstLineChars="0"/>
        <w:jc w:val="left"/>
      </w:pPr>
      <w:r>
        <w:t>泊位长度和码头长度</w:t>
      </w:r>
    </w:p>
    <w:p>
      <w:pPr>
        <w:ind w:firstLine="480"/>
      </w:pPr>
      <w:r>
        <w:t>对于直立式码头，泊位长度按下式计算：</w:t>
      </w:r>
    </w:p>
    <w:p>
      <w:pPr>
        <w:ind w:firstLine="1200" w:firstLineChars="500"/>
      </w:pPr>
      <w:r>
        <w:t>L</w:t>
      </w:r>
      <w:r>
        <w:rPr>
          <w:vertAlign w:val="subscript"/>
        </w:rPr>
        <w:t>b1</w:t>
      </w:r>
      <w:r>
        <w:t>= L＋1.5×d</w:t>
      </w:r>
    </w:p>
    <w:p>
      <w:pPr>
        <w:ind w:firstLine="1200" w:firstLineChars="500"/>
      </w:pPr>
      <w:r>
        <w:t>L</w:t>
      </w:r>
      <w:r>
        <w:rPr>
          <w:vertAlign w:val="subscript"/>
        </w:rPr>
        <w:t>b2</w:t>
      </w:r>
      <w:r>
        <w:t>= L＋d</w:t>
      </w:r>
    </w:p>
    <w:p>
      <w:pPr>
        <w:ind w:firstLine="480"/>
      </w:pPr>
      <w:r>
        <w:t>式中：L</w:t>
      </w:r>
      <w:r>
        <w:rPr>
          <w:vertAlign w:val="subscript"/>
        </w:rPr>
        <w:t>b1</w:t>
      </w:r>
      <w:r>
        <w:t>—端部泊位长度（m）</w:t>
      </w:r>
    </w:p>
    <w:p>
      <w:pPr>
        <w:ind w:firstLine="1200" w:firstLineChars="500"/>
      </w:pPr>
      <w:r>
        <w:t>L</w:t>
      </w:r>
      <w:r>
        <w:rPr>
          <w:vertAlign w:val="subscript"/>
        </w:rPr>
        <w:t>b2</w:t>
      </w:r>
      <w:r>
        <w:t>—中间泊位长度（m）</w:t>
      </w:r>
    </w:p>
    <w:p>
      <w:pPr>
        <w:ind w:firstLine="1200" w:firstLineChars="500"/>
      </w:pPr>
      <w:r>
        <w:t>d—泊位富裕长度（m），对设计船型均取</w:t>
      </w:r>
      <w:r>
        <w:rPr>
          <w:rFonts w:hint="eastAsia"/>
        </w:rPr>
        <w:t>1</w:t>
      </w:r>
      <w:r>
        <w:t>2m</w:t>
      </w:r>
    </w:p>
    <w:p>
      <w:pPr>
        <w:ind w:firstLine="1200" w:firstLineChars="500"/>
      </w:pPr>
      <w:r>
        <w:t>L—设计船型长度</w:t>
      </w:r>
      <w:r>
        <w:rPr>
          <w:rFonts w:hint="eastAsia"/>
        </w:rPr>
        <w:t>，</w:t>
      </w:r>
      <w:r>
        <w:rPr>
          <w:rFonts w:hint="eastAsia"/>
          <w:szCs w:val="28"/>
        </w:rPr>
        <w:t>1</w:t>
      </w:r>
      <w:r>
        <w:rPr>
          <w:szCs w:val="28"/>
        </w:rPr>
        <w:t>0000吨级船取123m</w:t>
      </w:r>
      <w:r>
        <w:rPr>
          <w:rFonts w:hint="eastAsia"/>
          <w:szCs w:val="28"/>
        </w:rPr>
        <w:t>，5</w:t>
      </w:r>
      <w:r>
        <w:rPr>
          <w:szCs w:val="28"/>
        </w:rPr>
        <w:t>000吨级</w:t>
      </w:r>
      <w:r>
        <w:rPr>
          <w:rFonts w:hint="eastAsia"/>
          <w:szCs w:val="28"/>
        </w:rPr>
        <w:t>船</w:t>
      </w:r>
      <w:r>
        <w:rPr>
          <w:szCs w:val="28"/>
        </w:rPr>
        <w:t>取110m</w:t>
      </w:r>
      <w:r>
        <w:t>。</w:t>
      </w:r>
    </w:p>
    <w:p>
      <w:pPr>
        <w:ind w:firstLine="480"/>
      </w:pPr>
      <w:r>
        <w:rPr>
          <w:rFonts w:hint="eastAsia"/>
        </w:rPr>
        <w:t>为了满足工艺需求，码头中部在</w:t>
      </w:r>
      <w:r>
        <w:t>1#</w:t>
      </w:r>
      <w:r>
        <w:rPr>
          <w:rFonts w:hint="eastAsia"/>
        </w:rPr>
        <w:t>和</w:t>
      </w:r>
      <w:r>
        <w:t>2#</w:t>
      </w:r>
      <w:r>
        <w:rPr>
          <w:rFonts w:hint="eastAsia"/>
        </w:rPr>
        <w:t>泊位之间布置转运站，占用岸线长度</w:t>
      </w:r>
      <w:r>
        <w:t>18m</w:t>
      </w:r>
      <w:r>
        <w:rPr>
          <w:rFonts w:hint="eastAsia"/>
        </w:rPr>
        <w:t>，转运站往上游考虑装船机尾车占用岸线长度</w:t>
      </w:r>
      <w:r>
        <w:t>25</w:t>
      </w:r>
      <w:r>
        <w:rPr>
          <w:rFonts w:hint="eastAsia"/>
        </w:rPr>
        <w:t>m（含泊位富裕长度</w:t>
      </w:r>
      <w:r>
        <w:t>12m</w:t>
      </w:r>
      <w:r>
        <w:rPr>
          <w:rFonts w:hint="eastAsia"/>
        </w:rPr>
        <w:t>）。</w:t>
      </w:r>
    </w:p>
    <w:p>
      <w:pPr>
        <w:ind w:firstLine="480"/>
      </w:pPr>
      <w:r>
        <w:t>则泊位总长度L</w:t>
      </w:r>
      <w:r>
        <w:rPr>
          <w:vertAlign w:val="subscript"/>
        </w:rPr>
        <w:t>b</w:t>
      </w:r>
      <w:r>
        <w:t>=12+123+25+18+123+12+123+12+123+12+123+12+110+12=840m。</w:t>
      </w:r>
    </w:p>
    <w:p>
      <w:pPr>
        <w:numPr>
          <w:ilvl w:val="0"/>
          <w:numId w:val="59"/>
        </w:numPr>
        <w:ind w:firstLineChars="0"/>
        <w:jc w:val="left"/>
      </w:pPr>
      <w:r>
        <w:t>停泊水域</w:t>
      </w:r>
    </w:p>
    <w:p>
      <w:pPr>
        <w:ind w:firstLine="480"/>
      </w:pPr>
      <w:r>
        <w:rPr>
          <w:szCs w:val="28"/>
        </w:rPr>
        <w:t>码头前沿停泊水域宽度取2倍设计船型宽度，设计船型按最大兼顾船型10000吨级散货船考虑，故停泊水域宽度2×21.6=43.2m</w:t>
      </w:r>
      <w:r>
        <w:rPr>
          <w:rFonts w:hint="eastAsia"/>
          <w:szCs w:val="28"/>
        </w:rPr>
        <w:t>，</w:t>
      </w:r>
      <w:r>
        <w:rPr>
          <w:szCs w:val="28"/>
        </w:rPr>
        <w:t>取</w:t>
      </w:r>
      <w:r>
        <w:rPr>
          <w:rFonts w:hint="eastAsia"/>
          <w:szCs w:val="28"/>
        </w:rPr>
        <w:t>4</w:t>
      </w:r>
      <w:r>
        <w:rPr>
          <w:szCs w:val="28"/>
        </w:rPr>
        <w:t>4m</w:t>
      </w:r>
      <w:r>
        <w:t>。</w:t>
      </w:r>
    </w:p>
    <w:p>
      <w:pPr>
        <w:numPr>
          <w:ilvl w:val="0"/>
          <w:numId w:val="59"/>
        </w:numPr>
        <w:ind w:firstLineChars="0"/>
        <w:jc w:val="left"/>
      </w:pPr>
      <w:r>
        <w:t>码头前沿回旋水域</w:t>
      </w:r>
    </w:p>
    <w:p>
      <w:pPr>
        <w:ind w:firstLine="480"/>
      </w:pPr>
      <w:r>
        <w:t>按《河港工程总体设计规范》规定，回旋水域沿垂直水流方向的长度不宜小于单船或船队长度的1.5倍，顺水流方向的长度不宜小于单船或船队长度的2.5倍，码头各泊位所需回旋水域长度为：</w:t>
      </w:r>
    </w:p>
    <w:p>
      <w:pPr>
        <w:pStyle w:val="458"/>
        <w:ind w:firstLine="480"/>
        <w:rPr>
          <w:rFonts w:cs="Times New Roman"/>
          <w:color w:val="auto"/>
        </w:rPr>
      </w:pPr>
      <w:r>
        <w:rPr>
          <w:rFonts w:cs="Times New Roman"/>
          <w:color w:val="auto"/>
          <w:szCs w:val="28"/>
        </w:rPr>
        <w:t>船舶回旋水域沿水流方向的长度不宜小于船长的2.5倍，垂直水流方向的宽度不宜小于船长的1.5倍。对于10000吨级船舶，其回旋水域长轴≥2.5×123=307.5m，取310m；短轴≥1.5×123=184.5m，取185m</w:t>
      </w:r>
      <w:r>
        <w:rPr>
          <w:rFonts w:cs="Times New Roman"/>
          <w:color w:val="auto"/>
        </w:rPr>
        <w:t>。</w:t>
      </w:r>
      <w:r>
        <w:t>回旋水域水深拟与航道水深匹配，设计水深6.7m。</w:t>
      </w:r>
    </w:p>
    <w:p>
      <w:pPr>
        <w:pStyle w:val="458"/>
        <w:ind w:firstLine="480"/>
        <w:rPr>
          <w:rFonts w:cs="Times New Roman"/>
          <w:color w:val="auto"/>
        </w:rPr>
      </w:pPr>
      <w:r>
        <w:rPr>
          <w:rFonts w:cs="Times New Roman"/>
          <w:color w:val="auto"/>
          <w:szCs w:val="28"/>
        </w:rPr>
        <w:t>码头前方水域宽阔，水深条件良好，可以满足设计船型在码头前方调头需要，基本不影响航道正常通航。</w:t>
      </w:r>
    </w:p>
    <w:p>
      <w:pPr>
        <w:pStyle w:val="458"/>
        <w:ind w:firstLine="482"/>
        <w:rPr>
          <w:rFonts w:cs="Times New Roman"/>
          <w:b/>
          <w:color w:val="auto"/>
        </w:rPr>
      </w:pPr>
      <w:r>
        <w:rPr>
          <w:rFonts w:cs="Times New Roman"/>
          <w:b/>
          <w:color w:val="auto"/>
        </w:rPr>
        <w:t>二、陆域主尺度</w:t>
      </w:r>
    </w:p>
    <w:p>
      <w:pPr>
        <w:pStyle w:val="458"/>
        <w:ind w:firstLine="480"/>
        <w:rPr>
          <w:rFonts w:cs="Times New Roman"/>
          <w:color w:val="auto"/>
          <w:szCs w:val="28"/>
        </w:rPr>
      </w:pPr>
      <w:r>
        <w:rPr>
          <w:rFonts w:hint="eastAsia" w:cs="Times New Roman"/>
          <w:color w:val="auto"/>
          <w:szCs w:val="28"/>
        </w:rPr>
        <w:t>本工程陆域用地布置在长江大堤内侧，码头前沿线后方，本项目陆域用地布置在长江大堤内侧，码头前沿线后方，总占地面积</w:t>
      </w:r>
      <w:r>
        <w:rPr>
          <w:rFonts w:cs="Times New Roman"/>
          <w:color w:val="auto"/>
          <w:szCs w:val="28"/>
        </w:rPr>
        <w:t>288.3</w:t>
      </w:r>
      <w:r>
        <w:rPr>
          <w:rFonts w:hint="eastAsia" w:cs="Times New Roman"/>
          <w:color w:val="auto"/>
          <w:szCs w:val="28"/>
        </w:rPr>
        <w:t>亩（含临时</w:t>
      </w:r>
      <w:r>
        <w:rPr>
          <w:rFonts w:cs="Times New Roman"/>
          <w:color w:val="auto"/>
          <w:szCs w:val="28"/>
        </w:rPr>
        <w:t>60</w:t>
      </w:r>
      <w:r>
        <w:rPr>
          <w:rFonts w:hint="eastAsia" w:cs="Times New Roman"/>
          <w:color w:val="auto"/>
          <w:szCs w:val="28"/>
        </w:rPr>
        <w:t>亩）。总共分两块地，地块</w:t>
      </w:r>
      <w:r>
        <w:rPr>
          <w:rFonts w:cs="Times New Roman"/>
          <w:color w:val="auto"/>
          <w:szCs w:val="28"/>
        </w:rPr>
        <w:t>A</w:t>
      </w:r>
      <w:r>
        <w:rPr>
          <w:rFonts w:hint="eastAsia" w:cs="Times New Roman"/>
          <w:color w:val="auto"/>
          <w:szCs w:val="28"/>
        </w:rPr>
        <w:t>位于厂家长江大堤与</w:t>
      </w:r>
      <w:r>
        <w:rPr>
          <w:rFonts w:cs="Times New Roman"/>
          <w:color w:val="auto"/>
          <w:szCs w:val="28"/>
        </w:rPr>
        <w:t>S208</w:t>
      </w:r>
      <w:r>
        <w:rPr>
          <w:rFonts w:hint="eastAsia" w:cs="Times New Roman"/>
          <w:color w:val="auto"/>
          <w:szCs w:val="28"/>
        </w:rPr>
        <w:t>省道之间，占地面积</w:t>
      </w:r>
      <w:r>
        <w:rPr>
          <w:rFonts w:cs="Times New Roman"/>
          <w:color w:val="auto"/>
          <w:szCs w:val="28"/>
        </w:rPr>
        <w:t>161.7</w:t>
      </w:r>
      <w:r>
        <w:rPr>
          <w:rFonts w:hint="eastAsia" w:cs="Times New Roman"/>
          <w:color w:val="auto"/>
          <w:szCs w:val="28"/>
        </w:rPr>
        <w:t>亩，其中临时</w:t>
      </w:r>
      <w:r>
        <w:rPr>
          <w:rFonts w:cs="Times New Roman"/>
          <w:color w:val="auto"/>
          <w:szCs w:val="28"/>
        </w:rPr>
        <w:t>60</w:t>
      </w:r>
      <w:r>
        <w:rPr>
          <w:rFonts w:hint="eastAsia" w:cs="Times New Roman"/>
          <w:color w:val="auto"/>
          <w:szCs w:val="28"/>
        </w:rPr>
        <w:t>亩；地块</w:t>
      </w:r>
      <w:r>
        <w:rPr>
          <w:rFonts w:cs="Times New Roman"/>
          <w:color w:val="auto"/>
          <w:szCs w:val="28"/>
        </w:rPr>
        <w:t>B</w:t>
      </w:r>
      <w:r>
        <w:rPr>
          <w:rFonts w:hint="eastAsia" w:cs="Times New Roman"/>
          <w:color w:val="auto"/>
          <w:szCs w:val="28"/>
        </w:rPr>
        <w:t>位于省道</w:t>
      </w:r>
      <w:r>
        <w:rPr>
          <w:rFonts w:cs="Times New Roman"/>
          <w:color w:val="auto"/>
          <w:szCs w:val="28"/>
        </w:rPr>
        <w:t>S208</w:t>
      </w:r>
      <w:r>
        <w:rPr>
          <w:rFonts w:hint="eastAsia" w:cs="Times New Roman"/>
          <w:color w:val="auto"/>
          <w:szCs w:val="28"/>
        </w:rPr>
        <w:t>东侧，现有兴长路南侧，占地面积</w:t>
      </w:r>
      <w:r>
        <w:rPr>
          <w:rFonts w:cs="Times New Roman"/>
          <w:color w:val="auto"/>
          <w:szCs w:val="28"/>
        </w:rPr>
        <w:t>126.6</w:t>
      </w:r>
      <w:r>
        <w:rPr>
          <w:rFonts w:hint="eastAsia" w:cs="Times New Roman"/>
          <w:color w:val="auto"/>
          <w:szCs w:val="28"/>
        </w:rPr>
        <w:t>亩。</w:t>
      </w:r>
    </w:p>
    <w:p>
      <w:pPr>
        <w:pStyle w:val="458"/>
        <w:ind w:firstLine="480"/>
        <w:rPr>
          <w:rFonts w:cs="Times New Roman"/>
          <w:color w:val="auto"/>
          <w:szCs w:val="28"/>
        </w:rPr>
      </w:pPr>
      <w:r>
        <w:rPr>
          <w:rFonts w:hint="eastAsia" w:cs="Times New Roman"/>
          <w:color w:val="auto"/>
          <w:szCs w:val="28"/>
        </w:rPr>
        <w:t>地块</w:t>
      </w:r>
      <w:r>
        <w:rPr>
          <w:rFonts w:cs="Times New Roman"/>
          <w:color w:val="auto"/>
          <w:szCs w:val="28"/>
        </w:rPr>
        <w:t>A</w:t>
      </w:r>
      <w:r>
        <w:rPr>
          <w:rFonts w:hint="eastAsia" w:cs="Times New Roman"/>
          <w:color w:val="auto"/>
          <w:szCs w:val="28"/>
        </w:rPr>
        <w:t>在</w:t>
      </w:r>
      <w:r>
        <w:rPr>
          <w:rFonts w:cs="Times New Roman"/>
          <w:color w:val="auto"/>
          <w:szCs w:val="28"/>
        </w:rPr>
        <w:t>S208</w:t>
      </w:r>
      <w:r>
        <w:rPr>
          <w:rFonts w:hint="eastAsia" w:cs="Times New Roman"/>
          <w:color w:val="auto"/>
          <w:szCs w:val="28"/>
        </w:rPr>
        <w:t>省道与长江大堤之间的狭长地带，占地面积</w:t>
      </w:r>
      <w:r>
        <w:rPr>
          <w:rFonts w:cs="Times New Roman"/>
          <w:color w:val="auto"/>
          <w:szCs w:val="28"/>
        </w:rPr>
        <w:t>161.7</w:t>
      </w:r>
      <w:r>
        <w:rPr>
          <w:rFonts w:hint="eastAsia" w:cs="Times New Roman"/>
          <w:color w:val="auto"/>
          <w:szCs w:val="28"/>
        </w:rPr>
        <w:t>亩，其中永久用地</w:t>
      </w:r>
      <w:r>
        <w:rPr>
          <w:rFonts w:cs="Times New Roman"/>
          <w:color w:val="auto"/>
          <w:szCs w:val="28"/>
        </w:rPr>
        <w:t>101.7</w:t>
      </w:r>
      <w:r>
        <w:rPr>
          <w:rFonts w:hint="eastAsia" w:cs="Times New Roman"/>
          <w:color w:val="auto"/>
          <w:szCs w:val="28"/>
        </w:rPr>
        <w:t>亩，临时用地</w:t>
      </w:r>
      <w:r>
        <w:rPr>
          <w:rFonts w:cs="Times New Roman"/>
          <w:color w:val="auto"/>
          <w:szCs w:val="28"/>
        </w:rPr>
        <w:t>60</w:t>
      </w:r>
      <w:r>
        <w:rPr>
          <w:rFonts w:hint="eastAsia" w:cs="Times New Roman"/>
          <w:color w:val="auto"/>
          <w:szCs w:val="28"/>
        </w:rPr>
        <w:t>亩。根据《湖南省实施〈中华人民共和国水法〉办法》（</w:t>
      </w:r>
      <w:r>
        <w:rPr>
          <w:rFonts w:cs="Times New Roman"/>
          <w:color w:val="auto"/>
          <w:szCs w:val="28"/>
        </w:rPr>
        <w:t>2004</w:t>
      </w:r>
      <w:r>
        <w:rPr>
          <w:rFonts w:hint="eastAsia" w:cs="Times New Roman"/>
          <w:color w:val="auto"/>
          <w:szCs w:val="28"/>
        </w:rPr>
        <w:t>）第十六项第一条</w:t>
      </w:r>
      <w:r>
        <w:rPr>
          <w:rFonts w:cs="Times New Roman"/>
          <w:color w:val="auto"/>
          <w:szCs w:val="28"/>
        </w:rPr>
        <w:t>“</w:t>
      </w:r>
      <w:r>
        <w:rPr>
          <w:rFonts w:hint="eastAsia" w:cs="Times New Roman"/>
          <w:color w:val="auto"/>
          <w:szCs w:val="28"/>
        </w:rPr>
        <w:t>防洪、防涝的堤防、间堤背水坡脚向外水平延伸</w:t>
      </w:r>
      <w:r>
        <w:rPr>
          <w:rFonts w:cs="Times New Roman"/>
          <w:color w:val="auto"/>
          <w:szCs w:val="28"/>
        </w:rPr>
        <w:t>30</w:t>
      </w:r>
      <w:r>
        <w:rPr>
          <w:rFonts w:hint="eastAsia" w:cs="Times New Roman"/>
          <w:color w:val="auto"/>
          <w:szCs w:val="28"/>
        </w:rPr>
        <w:t>至</w:t>
      </w:r>
      <w:r>
        <w:rPr>
          <w:rFonts w:cs="Times New Roman"/>
          <w:color w:val="auto"/>
          <w:szCs w:val="28"/>
        </w:rPr>
        <w:t>50</w:t>
      </w:r>
      <w:r>
        <w:rPr>
          <w:rFonts w:hint="eastAsia" w:cs="Times New Roman"/>
          <w:color w:val="auto"/>
          <w:szCs w:val="28"/>
        </w:rPr>
        <w:t>米（经过城镇的堤段不得少于</w:t>
      </w:r>
      <w:r>
        <w:rPr>
          <w:rFonts w:cs="Times New Roman"/>
          <w:color w:val="auto"/>
          <w:szCs w:val="28"/>
        </w:rPr>
        <w:t>10</w:t>
      </w:r>
      <w:r>
        <w:rPr>
          <w:rFonts w:hint="eastAsia" w:cs="Times New Roman"/>
          <w:color w:val="auto"/>
          <w:szCs w:val="28"/>
        </w:rPr>
        <w:t>m）为管理范围。保护范围视堤防重要程度、堤基土质条件划定。</w:t>
      </w:r>
      <w:r>
        <w:rPr>
          <w:rFonts w:cs="Times New Roman"/>
          <w:color w:val="auto"/>
          <w:szCs w:val="28"/>
        </w:rPr>
        <w:t>”</w:t>
      </w:r>
      <w:r>
        <w:rPr>
          <w:rFonts w:hint="eastAsia" w:cs="Times New Roman"/>
          <w:color w:val="auto"/>
          <w:szCs w:val="28"/>
        </w:rPr>
        <w:t>据此，我司参照邻近工程经验，陆域主体建设永久用地边线距离大堤坡脚暂取</w:t>
      </w:r>
      <w:r>
        <w:rPr>
          <w:rFonts w:cs="Times New Roman"/>
          <w:color w:val="auto"/>
          <w:szCs w:val="28"/>
        </w:rPr>
        <w:t>60m</w:t>
      </w:r>
      <w:r>
        <w:rPr>
          <w:rFonts w:hint="eastAsia" w:cs="Times New Roman"/>
          <w:color w:val="auto"/>
          <w:szCs w:val="28"/>
        </w:rPr>
        <w:t>，距离</w:t>
      </w:r>
      <w:r>
        <w:rPr>
          <w:rFonts w:cs="Times New Roman"/>
          <w:color w:val="auto"/>
          <w:szCs w:val="28"/>
        </w:rPr>
        <w:t>60m</w:t>
      </w:r>
      <w:r>
        <w:rPr>
          <w:rFonts w:hint="eastAsia" w:cs="Times New Roman"/>
          <w:color w:val="auto"/>
          <w:szCs w:val="28"/>
        </w:rPr>
        <w:t>范围内拟征用临时用地，作为临时停车使用。</w:t>
      </w:r>
    </w:p>
    <w:p>
      <w:pPr>
        <w:pStyle w:val="458"/>
        <w:ind w:firstLine="480"/>
        <w:rPr>
          <w:rFonts w:cs="Times New Roman"/>
          <w:color w:val="auto"/>
          <w:szCs w:val="28"/>
        </w:rPr>
      </w:pPr>
      <w:r>
        <w:rPr>
          <w:rFonts w:hint="eastAsia" w:cs="Times New Roman"/>
          <w:color w:val="auto"/>
          <w:szCs w:val="28"/>
        </w:rPr>
        <w:t>地块</w:t>
      </w:r>
      <w:r>
        <w:rPr>
          <w:rFonts w:cs="Times New Roman"/>
          <w:color w:val="auto"/>
          <w:szCs w:val="28"/>
        </w:rPr>
        <w:t>B</w:t>
      </w:r>
      <w:r>
        <w:rPr>
          <w:rFonts w:hint="eastAsia" w:cs="Times New Roman"/>
          <w:color w:val="auto"/>
          <w:szCs w:val="28"/>
        </w:rPr>
        <w:t>省道</w:t>
      </w:r>
      <w:r>
        <w:rPr>
          <w:rFonts w:cs="Times New Roman"/>
          <w:color w:val="auto"/>
          <w:szCs w:val="28"/>
        </w:rPr>
        <w:t>S208</w:t>
      </w:r>
      <w:r>
        <w:rPr>
          <w:rFonts w:hint="eastAsia" w:cs="Times New Roman"/>
          <w:color w:val="auto"/>
          <w:szCs w:val="28"/>
        </w:rPr>
        <w:t>东侧，为岳阳港总体规划的港口用地范围，由岳阳城投统一开发建设，目前已初步与岳阳城投达成用地协议，由其统一征地拆迁，转让建设单位。</w:t>
      </w:r>
    </w:p>
    <w:p>
      <w:pPr>
        <w:pStyle w:val="456"/>
        <w:ind w:firstLine="482"/>
      </w:pPr>
      <w:r>
        <w:t>高程设计</w:t>
      </w:r>
    </w:p>
    <w:p>
      <w:pPr>
        <w:ind w:firstLine="480"/>
      </w:pPr>
      <w:r>
        <w:rPr>
          <w:rFonts w:hint="eastAsia"/>
        </w:rPr>
        <w:t>码头面标高：3</w:t>
      </w:r>
      <w:r>
        <w:t>3.90m</w:t>
      </w:r>
      <w:r>
        <w:rPr>
          <w:rFonts w:hint="eastAsia"/>
        </w:rPr>
        <w:t>；</w:t>
      </w:r>
    </w:p>
    <w:p>
      <w:pPr>
        <w:ind w:firstLine="480"/>
      </w:pPr>
      <w:r>
        <w:t>码头设计高水位</w:t>
      </w:r>
      <w:r>
        <w:rPr>
          <w:rFonts w:hint="eastAsia"/>
        </w:rPr>
        <w:t>：3</w:t>
      </w:r>
      <w:r>
        <w:t>2.82m</w:t>
      </w:r>
      <w:r>
        <w:rPr>
          <w:rFonts w:hint="eastAsia"/>
        </w:rPr>
        <w:t>（二十年一遇）；</w:t>
      </w:r>
    </w:p>
    <w:p>
      <w:pPr>
        <w:ind w:firstLine="480"/>
      </w:pPr>
      <w:r>
        <w:t>码头设计</w:t>
      </w:r>
      <w:r>
        <w:rPr>
          <w:rFonts w:hint="eastAsia"/>
        </w:rPr>
        <w:t>低</w:t>
      </w:r>
      <w:r>
        <w:t>水位</w:t>
      </w:r>
      <w:r>
        <w:rPr>
          <w:rFonts w:hint="eastAsia"/>
        </w:rPr>
        <w:t>：</w:t>
      </w:r>
      <w:r>
        <w:t>17.30m</w:t>
      </w:r>
      <w:r>
        <w:rPr>
          <w:rFonts w:hint="eastAsia"/>
        </w:rPr>
        <w:t>（保证率9</w:t>
      </w:r>
      <w:r>
        <w:t>8</w:t>
      </w:r>
      <w:r>
        <w:rPr>
          <w:rFonts w:hint="eastAsia"/>
        </w:rPr>
        <w:t>%）。</w:t>
      </w:r>
    </w:p>
    <w:p>
      <w:pPr>
        <w:ind w:firstLine="482"/>
        <w:rPr>
          <w:b/>
        </w:rPr>
      </w:pPr>
      <w:r>
        <w:rPr>
          <w:b/>
        </w:rPr>
        <w:t>一、码头面前沿高程</w:t>
      </w:r>
    </w:p>
    <w:p>
      <w:pPr>
        <w:ind w:firstLine="480"/>
      </w:pPr>
      <w:r>
        <w:t>根据《河港总体设计规范》（JTS</w:t>
      </w:r>
      <w:r>
        <w:rPr>
          <w:rFonts w:hint="eastAsia"/>
        </w:rPr>
        <w:t>-</w:t>
      </w:r>
      <w:r>
        <w:t>2020），码头前沿设计高程按下式计算：</w:t>
      </w:r>
    </w:p>
    <w:p>
      <w:pPr>
        <w:ind w:firstLine="480"/>
      </w:pPr>
      <w:r>
        <w:t>码头前沿设计高程＝设计高水位＋超高＝32.82＋(0.1～0.5)＝32.92～33.42m</w:t>
      </w:r>
    </w:p>
    <w:p>
      <w:pPr>
        <w:ind w:firstLine="480"/>
      </w:pPr>
      <w:r>
        <w:t>据上，并结合岳阳长江沿线已建类似码头</w:t>
      </w:r>
      <w:r>
        <w:rPr>
          <w:szCs w:val="28"/>
        </w:rPr>
        <w:t>的建设标高</w:t>
      </w:r>
      <w:r>
        <w:t>，最终确定码头顶高程为33.90m。</w:t>
      </w:r>
    </w:p>
    <w:p>
      <w:pPr>
        <w:ind w:firstLine="482"/>
        <w:rPr>
          <w:b/>
        </w:rPr>
      </w:pPr>
      <w:r>
        <w:rPr>
          <w:b/>
        </w:rPr>
        <w:t>二、设计河底高程</w:t>
      </w:r>
    </w:p>
    <w:p>
      <w:pPr>
        <w:ind w:firstLine="480"/>
      </w:pPr>
      <w:r>
        <w:t>码头前沿设计水深按下式计算：</w:t>
      </w:r>
    </w:p>
    <w:p>
      <w:pPr>
        <w:ind w:firstLine="480"/>
      </w:pPr>
      <w:r>
        <w:t>D</w:t>
      </w:r>
      <w:r>
        <w:rPr>
          <w:vertAlign w:val="subscript"/>
        </w:rPr>
        <w:t>m</w:t>
      </w:r>
      <w:r>
        <w:t xml:space="preserve">= T + Z +ΔZ </w:t>
      </w:r>
    </w:p>
    <w:p>
      <w:pPr>
        <w:ind w:firstLine="480"/>
      </w:pPr>
      <w:r>
        <w:t>T—船舶吃水，对设计船型10000吨级货船为5.8m；</w:t>
      </w:r>
    </w:p>
    <w:p>
      <w:pPr>
        <w:ind w:firstLine="480"/>
      </w:pPr>
      <w:r>
        <w:t>Z—龙骨下最小富裕深度，</w:t>
      </w:r>
      <w:r>
        <w:rPr>
          <w:szCs w:val="28"/>
        </w:rPr>
        <w:t>按石质河床考虑，</w:t>
      </w:r>
      <w:r>
        <w:t>取0.5m；</w:t>
      </w:r>
    </w:p>
    <w:p>
      <w:pPr>
        <w:ind w:firstLine="480"/>
      </w:pPr>
      <w:r>
        <w:t>ΔZ—</w:t>
      </w:r>
      <w:r>
        <w:rPr>
          <w:szCs w:val="28"/>
        </w:rPr>
        <w:t>其它富裕深度（m），取0.4m</w:t>
      </w:r>
      <w:r>
        <w:t>；</w:t>
      </w:r>
    </w:p>
    <w:p>
      <w:pPr>
        <w:ind w:firstLine="480"/>
      </w:pPr>
      <w:r>
        <w:t>经计算：</w:t>
      </w:r>
    </w:p>
    <w:p>
      <w:pPr>
        <w:ind w:firstLine="480"/>
      </w:pPr>
      <w:r>
        <w:t>对于10000吨级泊位，Dm=5.8+0.5+0.4=6.7m，则码头前沿设计河底高程=设计低水位-设计水深=17.30-6.7=10.6m。</w:t>
      </w:r>
    </w:p>
    <w:p>
      <w:pPr>
        <w:ind w:firstLine="480"/>
      </w:pPr>
      <w:r>
        <w:t>对于5000吨级泊位，Dm=4.0+0.5+0.4=4.9m。则设计河底高程=设计低水位-设计水深=17.30-4.9=12.4m。</w:t>
      </w:r>
    </w:p>
    <w:p>
      <w:pPr>
        <w:ind w:firstLine="480"/>
      </w:pPr>
      <w:r>
        <w:rPr>
          <w:rFonts w:hint="eastAsia"/>
        </w:rPr>
        <w:t>结合港池疏浚工程量，为方便码头后期运营，因此设计河底高程统一按</w:t>
      </w:r>
      <w:r>
        <w:t>10000</w:t>
      </w:r>
      <w:r>
        <w:rPr>
          <w:rFonts w:hint="eastAsia"/>
        </w:rPr>
        <w:t>吨级船舶考虑，取</w:t>
      </w:r>
      <w:r>
        <w:t>10.6m</w:t>
      </w:r>
      <w:r>
        <w:rPr>
          <w:rFonts w:hint="eastAsia"/>
        </w:rPr>
        <w:t>。</w:t>
      </w:r>
    </w:p>
    <w:p>
      <w:pPr>
        <w:ind w:firstLine="480"/>
      </w:pPr>
      <w:r>
        <w:rPr>
          <w:rFonts w:hint="eastAsia"/>
        </w:rPr>
        <w:t>远期设计低水位下降，再行对港池进行疏浚，以满足远期枯水位船舶靠泊要求。</w:t>
      </w:r>
    </w:p>
    <w:p>
      <w:pPr>
        <w:pStyle w:val="454"/>
        <w:ind w:firstLine="602"/>
        <w:rPr>
          <w:color w:val="auto"/>
        </w:rPr>
      </w:pPr>
      <w:r>
        <w:rPr>
          <w:color w:val="auto"/>
        </w:rPr>
        <w:t>装卸工艺</w:t>
      </w:r>
    </w:p>
    <w:p>
      <w:pPr>
        <w:pStyle w:val="456"/>
        <w:ind w:firstLine="482"/>
      </w:pPr>
      <w:r>
        <w:t>主要设计参数</w:t>
      </w:r>
    </w:p>
    <w:p>
      <w:pPr>
        <w:ind w:firstLine="480"/>
      </w:pPr>
      <w:r>
        <w:t>根据工可报告，岳阳港道仁矶码头工程到2028年拟承担货运吞吐量1660万吨，其中进口1210万吨，出口450万吨。包括：砂石吞吐量1200万吨，其中进口950 万吨，出口250 万吨；铁矿石200万吨，其中进口150万吨，出口50万吨；水泥进口80万吨；非金属矿石出口150万吨；其他散货进口20万吨；防汛物资进口10万吨。</w:t>
      </w:r>
    </w:p>
    <w:p>
      <w:pPr>
        <w:pStyle w:val="2285"/>
        <w:ind w:left="0"/>
        <w:rPr>
          <w:rFonts w:cs="Times New Roman"/>
        </w:rPr>
      </w:pPr>
      <w:r>
        <w:rPr>
          <w:rFonts w:cs="Times New Roman"/>
        </w:rPr>
        <w:t>主要技术参数表</w:t>
      </w:r>
    </w:p>
    <w:tbl>
      <w:tblPr>
        <w:tblStyle w:val="359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21"/>
        <w:gridCol w:w="3584"/>
        <w:gridCol w:w="2100"/>
        <w:gridCol w:w="268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6" w:type="pct"/>
            <w:tcBorders>
              <w:bottom w:val="single" w:color="auto" w:sz="12" w:space="0"/>
            </w:tcBorders>
            <w:vAlign w:val="center"/>
          </w:tcPr>
          <w:p>
            <w:pPr>
              <w:widowControl/>
              <w:tabs>
                <w:tab w:val="clear" w:pos="480"/>
              </w:tabs>
              <w:wordWrap w:val="0"/>
              <w:overflowPunct w:val="0"/>
              <w:topLinePunct/>
              <w:spacing w:line="240" w:lineRule="auto"/>
              <w:ind w:firstLine="0" w:firstLineChars="0"/>
              <w:jc w:val="center"/>
              <w:rPr>
                <w:b/>
                <w:bCs/>
                <w:snapToGrid w:val="0"/>
                <w:sz w:val="21"/>
                <w:szCs w:val="21"/>
              </w:rPr>
            </w:pPr>
            <w:r>
              <w:rPr>
                <w:b/>
                <w:bCs/>
                <w:snapToGrid w:val="0"/>
                <w:sz w:val="21"/>
                <w:szCs w:val="21"/>
              </w:rPr>
              <w:t>序号</w:t>
            </w:r>
          </w:p>
        </w:tc>
        <w:tc>
          <w:tcPr>
            <w:tcW w:w="1930" w:type="pct"/>
            <w:tcBorders>
              <w:bottom w:val="single" w:color="auto" w:sz="12" w:space="0"/>
            </w:tcBorders>
            <w:vAlign w:val="center"/>
          </w:tcPr>
          <w:p>
            <w:pPr>
              <w:widowControl/>
              <w:tabs>
                <w:tab w:val="clear" w:pos="480"/>
              </w:tabs>
              <w:wordWrap w:val="0"/>
              <w:overflowPunct w:val="0"/>
              <w:topLinePunct/>
              <w:spacing w:line="240" w:lineRule="auto"/>
              <w:ind w:firstLine="0" w:firstLineChars="0"/>
              <w:jc w:val="center"/>
              <w:rPr>
                <w:b/>
                <w:bCs/>
                <w:snapToGrid w:val="0"/>
                <w:sz w:val="21"/>
                <w:szCs w:val="21"/>
              </w:rPr>
            </w:pPr>
            <w:r>
              <w:rPr>
                <w:b/>
                <w:bCs/>
                <w:snapToGrid w:val="0"/>
                <w:sz w:val="21"/>
                <w:szCs w:val="21"/>
              </w:rPr>
              <w:t>项目</w:t>
            </w:r>
          </w:p>
        </w:tc>
        <w:tc>
          <w:tcPr>
            <w:tcW w:w="1131" w:type="pct"/>
            <w:tcBorders>
              <w:bottom w:val="single" w:color="auto" w:sz="12" w:space="0"/>
            </w:tcBorders>
            <w:vAlign w:val="center"/>
          </w:tcPr>
          <w:p>
            <w:pPr>
              <w:widowControl/>
              <w:tabs>
                <w:tab w:val="clear" w:pos="480"/>
              </w:tabs>
              <w:wordWrap w:val="0"/>
              <w:overflowPunct w:val="0"/>
              <w:topLinePunct/>
              <w:spacing w:line="240" w:lineRule="auto"/>
              <w:ind w:firstLine="0" w:firstLineChars="0"/>
              <w:jc w:val="center"/>
              <w:rPr>
                <w:b/>
                <w:bCs/>
                <w:snapToGrid w:val="0"/>
                <w:sz w:val="21"/>
                <w:szCs w:val="21"/>
              </w:rPr>
            </w:pPr>
            <w:r>
              <w:rPr>
                <w:b/>
                <w:bCs/>
                <w:snapToGrid w:val="0"/>
                <w:sz w:val="21"/>
                <w:szCs w:val="21"/>
              </w:rPr>
              <w:t>单位</w:t>
            </w:r>
          </w:p>
        </w:tc>
        <w:tc>
          <w:tcPr>
            <w:tcW w:w="1443" w:type="pct"/>
            <w:tcBorders>
              <w:bottom w:val="single" w:color="auto" w:sz="12" w:space="0"/>
            </w:tcBorders>
            <w:vAlign w:val="center"/>
          </w:tcPr>
          <w:p>
            <w:pPr>
              <w:widowControl/>
              <w:tabs>
                <w:tab w:val="clear" w:pos="480"/>
              </w:tabs>
              <w:wordWrap w:val="0"/>
              <w:overflowPunct w:val="0"/>
              <w:topLinePunct/>
              <w:spacing w:line="240" w:lineRule="auto"/>
              <w:ind w:firstLine="0" w:firstLineChars="0"/>
              <w:jc w:val="center"/>
              <w:rPr>
                <w:b/>
                <w:bCs/>
                <w:snapToGrid w:val="0"/>
                <w:sz w:val="21"/>
                <w:szCs w:val="21"/>
              </w:rPr>
            </w:pPr>
            <w:r>
              <w:rPr>
                <w:b/>
                <w:bCs/>
                <w:snapToGrid w:val="0"/>
                <w:sz w:val="21"/>
                <w:szCs w:val="21"/>
              </w:rPr>
              <w:t>参数值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96" w:type="pct"/>
            <w:tcBorders>
              <w:top w:val="single" w:color="auto" w:sz="12" w:space="0"/>
            </w:tcBorders>
            <w:vAlign w:val="center"/>
          </w:tcPr>
          <w:p>
            <w:pPr>
              <w:widowControl/>
              <w:tabs>
                <w:tab w:val="clear" w:pos="480"/>
              </w:tabs>
              <w:wordWrap w:val="0"/>
              <w:overflowPunct w:val="0"/>
              <w:topLinePunct/>
              <w:spacing w:line="240" w:lineRule="auto"/>
              <w:ind w:firstLine="0" w:firstLineChars="0"/>
              <w:jc w:val="center"/>
              <w:rPr>
                <w:snapToGrid w:val="0"/>
                <w:sz w:val="21"/>
                <w:szCs w:val="21"/>
              </w:rPr>
            </w:pPr>
            <w:r>
              <w:rPr>
                <w:snapToGrid w:val="0"/>
                <w:sz w:val="21"/>
                <w:szCs w:val="21"/>
              </w:rPr>
              <w:t>1</w:t>
            </w:r>
          </w:p>
        </w:tc>
        <w:tc>
          <w:tcPr>
            <w:tcW w:w="1930" w:type="pct"/>
            <w:tcBorders>
              <w:top w:val="single" w:color="auto" w:sz="12" w:space="0"/>
            </w:tcBorders>
            <w:vAlign w:val="center"/>
          </w:tcPr>
          <w:p>
            <w:pPr>
              <w:widowControl/>
              <w:tabs>
                <w:tab w:val="clear" w:pos="480"/>
              </w:tabs>
              <w:wordWrap w:val="0"/>
              <w:overflowPunct w:val="0"/>
              <w:topLinePunct/>
              <w:spacing w:line="240" w:lineRule="auto"/>
              <w:ind w:firstLine="0" w:firstLineChars="0"/>
              <w:jc w:val="center"/>
              <w:rPr>
                <w:snapToGrid w:val="0"/>
                <w:sz w:val="21"/>
                <w:szCs w:val="21"/>
              </w:rPr>
            </w:pPr>
            <w:r>
              <w:rPr>
                <w:snapToGrid w:val="0"/>
                <w:sz w:val="21"/>
                <w:szCs w:val="21"/>
              </w:rPr>
              <w:t>设计年吞吐量</w:t>
            </w:r>
          </w:p>
        </w:tc>
        <w:tc>
          <w:tcPr>
            <w:tcW w:w="1131" w:type="pct"/>
            <w:tcBorders>
              <w:top w:val="single" w:color="auto" w:sz="12" w:space="0"/>
            </w:tcBorders>
            <w:vAlign w:val="center"/>
          </w:tcPr>
          <w:p>
            <w:pPr>
              <w:widowControl/>
              <w:tabs>
                <w:tab w:val="clear" w:pos="480"/>
              </w:tabs>
              <w:wordWrap w:val="0"/>
              <w:overflowPunct w:val="0"/>
              <w:topLinePunct/>
              <w:spacing w:line="240" w:lineRule="auto"/>
              <w:ind w:firstLine="0" w:firstLineChars="0"/>
              <w:jc w:val="center"/>
              <w:rPr>
                <w:snapToGrid w:val="0"/>
                <w:sz w:val="21"/>
                <w:szCs w:val="21"/>
              </w:rPr>
            </w:pPr>
            <w:r>
              <w:rPr>
                <w:snapToGrid w:val="0"/>
                <w:sz w:val="21"/>
                <w:szCs w:val="21"/>
              </w:rPr>
              <w:t>万吨</w:t>
            </w:r>
          </w:p>
        </w:tc>
        <w:tc>
          <w:tcPr>
            <w:tcW w:w="1443" w:type="pct"/>
            <w:tcBorders>
              <w:top w:val="single" w:color="auto" w:sz="12" w:space="0"/>
            </w:tcBorders>
            <w:vAlign w:val="center"/>
          </w:tcPr>
          <w:p>
            <w:pPr>
              <w:widowControl/>
              <w:tabs>
                <w:tab w:val="clear" w:pos="480"/>
              </w:tabs>
              <w:wordWrap w:val="0"/>
              <w:overflowPunct w:val="0"/>
              <w:topLinePunct/>
              <w:spacing w:line="240" w:lineRule="auto"/>
              <w:ind w:firstLine="0" w:firstLineChars="0"/>
              <w:jc w:val="center"/>
              <w:rPr>
                <w:snapToGrid w:val="0"/>
                <w:sz w:val="21"/>
                <w:szCs w:val="21"/>
              </w:rPr>
            </w:pPr>
            <w:r>
              <w:rPr>
                <w:snapToGrid w:val="0"/>
                <w:sz w:val="21"/>
                <w:szCs w:val="21"/>
              </w:rPr>
              <w:t>16</w:t>
            </w:r>
            <w:r>
              <w:rPr>
                <w:rFonts w:hint="eastAsia"/>
                <w:snapToGrid w:val="0"/>
                <w:sz w:val="21"/>
                <w:szCs w:val="21"/>
              </w:rPr>
              <w:t>6</w:t>
            </w:r>
            <w:r>
              <w:rPr>
                <w:snapToGrid w:val="0"/>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96" w:type="pct"/>
            <w:vAlign w:val="center"/>
          </w:tcPr>
          <w:p>
            <w:pPr>
              <w:widowControl/>
              <w:tabs>
                <w:tab w:val="clear" w:pos="480"/>
              </w:tabs>
              <w:wordWrap w:val="0"/>
              <w:overflowPunct w:val="0"/>
              <w:topLinePunct/>
              <w:spacing w:line="240" w:lineRule="auto"/>
              <w:ind w:firstLine="0" w:firstLineChars="0"/>
              <w:jc w:val="center"/>
              <w:rPr>
                <w:snapToGrid w:val="0"/>
                <w:sz w:val="21"/>
                <w:szCs w:val="21"/>
              </w:rPr>
            </w:pPr>
            <w:r>
              <w:rPr>
                <w:snapToGrid w:val="0"/>
                <w:sz w:val="21"/>
                <w:szCs w:val="21"/>
              </w:rPr>
              <w:t>2</w:t>
            </w:r>
          </w:p>
        </w:tc>
        <w:tc>
          <w:tcPr>
            <w:tcW w:w="1930" w:type="pct"/>
            <w:vAlign w:val="center"/>
          </w:tcPr>
          <w:p>
            <w:pPr>
              <w:widowControl/>
              <w:tabs>
                <w:tab w:val="clear" w:pos="480"/>
              </w:tabs>
              <w:wordWrap w:val="0"/>
              <w:overflowPunct w:val="0"/>
              <w:topLinePunct/>
              <w:spacing w:line="240" w:lineRule="auto"/>
              <w:ind w:firstLine="0" w:firstLineChars="0"/>
              <w:jc w:val="center"/>
              <w:rPr>
                <w:snapToGrid w:val="0"/>
                <w:sz w:val="21"/>
                <w:szCs w:val="21"/>
              </w:rPr>
            </w:pPr>
            <w:r>
              <w:rPr>
                <w:snapToGrid w:val="0"/>
                <w:sz w:val="21"/>
                <w:szCs w:val="21"/>
              </w:rPr>
              <w:t>码头年营运天</w:t>
            </w:r>
          </w:p>
        </w:tc>
        <w:tc>
          <w:tcPr>
            <w:tcW w:w="1131" w:type="pct"/>
            <w:vAlign w:val="center"/>
          </w:tcPr>
          <w:p>
            <w:pPr>
              <w:widowControl/>
              <w:tabs>
                <w:tab w:val="clear" w:pos="480"/>
              </w:tabs>
              <w:wordWrap w:val="0"/>
              <w:overflowPunct w:val="0"/>
              <w:topLinePunct/>
              <w:spacing w:line="240" w:lineRule="auto"/>
              <w:ind w:firstLine="0" w:firstLineChars="0"/>
              <w:jc w:val="center"/>
              <w:rPr>
                <w:snapToGrid w:val="0"/>
                <w:sz w:val="21"/>
                <w:szCs w:val="21"/>
              </w:rPr>
            </w:pPr>
            <w:r>
              <w:rPr>
                <w:snapToGrid w:val="0"/>
                <w:sz w:val="21"/>
                <w:szCs w:val="21"/>
              </w:rPr>
              <w:t>d</w:t>
            </w:r>
          </w:p>
        </w:tc>
        <w:tc>
          <w:tcPr>
            <w:tcW w:w="1443" w:type="pct"/>
            <w:vAlign w:val="center"/>
          </w:tcPr>
          <w:p>
            <w:pPr>
              <w:widowControl/>
              <w:tabs>
                <w:tab w:val="clear" w:pos="480"/>
              </w:tabs>
              <w:wordWrap w:val="0"/>
              <w:overflowPunct w:val="0"/>
              <w:topLinePunct/>
              <w:spacing w:line="240" w:lineRule="auto"/>
              <w:ind w:firstLine="0" w:firstLineChars="0"/>
              <w:jc w:val="center"/>
              <w:rPr>
                <w:snapToGrid w:val="0"/>
                <w:sz w:val="21"/>
                <w:szCs w:val="21"/>
              </w:rPr>
            </w:pPr>
            <w:r>
              <w:rPr>
                <w:snapToGrid w:val="0"/>
                <w:sz w:val="21"/>
                <w:szCs w:val="21"/>
              </w:rPr>
              <w:t>330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96" w:type="pct"/>
            <w:vAlign w:val="center"/>
          </w:tcPr>
          <w:p>
            <w:pPr>
              <w:widowControl/>
              <w:tabs>
                <w:tab w:val="clear" w:pos="480"/>
              </w:tabs>
              <w:wordWrap w:val="0"/>
              <w:overflowPunct w:val="0"/>
              <w:topLinePunct/>
              <w:spacing w:line="240" w:lineRule="auto"/>
              <w:ind w:firstLine="0" w:firstLineChars="0"/>
              <w:jc w:val="center"/>
              <w:rPr>
                <w:snapToGrid w:val="0"/>
                <w:sz w:val="21"/>
                <w:szCs w:val="21"/>
              </w:rPr>
            </w:pPr>
            <w:r>
              <w:rPr>
                <w:snapToGrid w:val="0"/>
                <w:sz w:val="21"/>
                <w:szCs w:val="21"/>
              </w:rPr>
              <w:t>3</w:t>
            </w:r>
          </w:p>
        </w:tc>
        <w:tc>
          <w:tcPr>
            <w:tcW w:w="1930" w:type="pct"/>
            <w:vAlign w:val="center"/>
          </w:tcPr>
          <w:p>
            <w:pPr>
              <w:widowControl/>
              <w:tabs>
                <w:tab w:val="clear" w:pos="480"/>
              </w:tabs>
              <w:wordWrap w:val="0"/>
              <w:overflowPunct w:val="0"/>
              <w:topLinePunct/>
              <w:spacing w:line="240" w:lineRule="auto"/>
              <w:ind w:firstLine="0" w:firstLineChars="0"/>
              <w:jc w:val="center"/>
              <w:rPr>
                <w:snapToGrid w:val="0"/>
                <w:sz w:val="21"/>
                <w:szCs w:val="21"/>
              </w:rPr>
            </w:pPr>
            <w:r>
              <w:rPr>
                <w:snapToGrid w:val="0"/>
                <w:sz w:val="21"/>
                <w:szCs w:val="21"/>
              </w:rPr>
              <w:t>昼夜班制</w:t>
            </w:r>
          </w:p>
        </w:tc>
        <w:tc>
          <w:tcPr>
            <w:tcW w:w="1131" w:type="pct"/>
            <w:vAlign w:val="center"/>
          </w:tcPr>
          <w:p>
            <w:pPr>
              <w:widowControl/>
              <w:tabs>
                <w:tab w:val="clear" w:pos="480"/>
              </w:tabs>
              <w:wordWrap w:val="0"/>
              <w:overflowPunct w:val="0"/>
              <w:topLinePunct/>
              <w:spacing w:line="240" w:lineRule="auto"/>
              <w:ind w:firstLine="0" w:firstLineChars="0"/>
              <w:jc w:val="center"/>
              <w:rPr>
                <w:snapToGrid w:val="0"/>
                <w:sz w:val="21"/>
                <w:szCs w:val="21"/>
              </w:rPr>
            </w:pPr>
            <w:r>
              <w:rPr>
                <w:snapToGrid w:val="0"/>
                <w:sz w:val="21"/>
                <w:szCs w:val="21"/>
              </w:rPr>
              <w:t>班</w:t>
            </w:r>
          </w:p>
        </w:tc>
        <w:tc>
          <w:tcPr>
            <w:tcW w:w="1443" w:type="pct"/>
            <w:vAlign w:val="center"/>
          </w:tcPr>
          <w:p>
            <w:pPr>
              <w:widowControl/>
              <w:tabs>
                <w:tab w:val="clear" w:pos="480"/>
              </w:tabs>
              <w:wordWrap w:val="0"/>
              <w:overflowPunct w:val="0"/>
              <w:topLinePunct/>
              <w:spacing w:line="240" w:lineRule="auto"/>
              <w:ind w:firstLine="0" w:firstLineChars="0"/>
              <w:jc w:val="center"/>
              <w:rPr>
                <w:snapToGrid w:val="0"/>
                <w:sz w:val="21"/>
                <w:szCs w:val="21"/>
              </w:rPr>
            </w:pPr>
            <w:r>
              <w:rPr>
                <w:snapToGrid w:val="0"/>
                <w:sz w:val="21"/>
                <w:szCs w:val="21"/>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96" w:type="pct"/>
            <w:vAlign w:val="center"/>
          </w:tcPr>
          <w:p>
            <w:pPr>
              <w:widowControl/>
              <w:tabs>
                <w:tab w:val="clear" w:pos="480"/>
              </w:tabs>
              <w:wordWrap w:val="0"/>
              <w:overflowPunct w:val="0"/>
              <w:topLinePunct/>
              <w:spacing w:line="240" w:lineRule="auto"/>
              <w:ind w:firstLine="0" w:firstLineChars="0"/>
              <w:jc w:val="center"/>
              <w:rPr>
                <w:snapToGrid w:val="0"/>
                <w:sz w:val="21"/>
                <w:szCs w:val="21"/>
              </w:rPr>
            </w:pPr>
            <w:r>
              <w:rPr>
                <w:snapToGrid w:val="0"/>
                <w:sz w:val="21"/>
                <w:szCs w:val="21"/>
              </w:rPr>
              <w:t>4</w:t>
            </w:r>
          </w:p>
        </w:tc>
        <w:tc>
          <w:tcPr>
            <w:tcW w:w="1930" w:type="pct"/>
            <w:vAlign w:val="center"/>
          </w:tcPr>
          <w:p>
            <w:pPr>
              <w:widowControl/>
              <w:tabs>
                <w:tab w:val="clear" w:pos="480"/>
              </w:tabs>
              <w:wordWrap w:val="0"/>
              <w:overflowPunct w:val="0"/>
              <w:topLinePunct/>
              <w:spacing w:line="240" w:lineRule="auto"/>
              <w:ind w:firstLine="0" w:firstLineChars="0"/>
              <w:jc w:val="center"/>
              <w:rPr>
                <w:snapToGrid w:val="0"/>
                <w:sz w:val="21"/>
                <w:szCs w:val="21"/>
              </w:rPr>
            </w:pPr>
            <w:r>
              <w:rPr>
                <w:snapToGrid w:val="0"/>
                <w:sz w:val="21"/>
                <w:szCs w:val="21"/>
              </w:rPr>
              <w:t>设计船型载货量</w:t>
            </w:r>
          </w:p>
        </w:tc>
        <w:tc>
          <w:tcPr>
            <w:tcW w:w="1131" w:type="pct"/>
            <w:vAlign w:val="center"/>
          </w:tcPr>
          <w:p>
            <w:pPr>
              <w:widowControl/>
              <w:tabs>
                <w:tab w:val="clear" w:pos="480"/>
              </w:tabs>
              <w:wordWrap w:val="0"/>
              <w:overflowPunct w:val="0"/>
              <w:topLinePunct/>
              <w:spacing w:line="240" w:lineRule="auto"/>
              <w:ind w:firstLine="0" w:firstLineChars="0"/>
              <w:jc w:val="center"/>
              <w:rPr>
                <w:snapToGrid w:val="0"/>
                <w:sz w:val="21"/>
                <w:szCs w:val="21"/>
              </w:rPr>
            </w:pPr>
            <w:r>
              <w:rPr>
                <w:snapToGrid w:val="0"/>
                <w:sz w:val="21"/>
                <w:szCs w:val="21"/>
              </w:rPr>
              <w:t>t</w:t>
            </w:r>
          </w:p>
        </w:tc>
        <w:tc>
          <w:tcPr>
            <w:tcW w:w="1443" w:type="pct"/>
            <w:vAlign w:val="center"/>
          </w:tcPr>
          <w:p>
            <w:pPr>
              <w:widowControl/>
              <w:tabs>
                <w:tab w:val="clear" w:pos="480"/>
              </w:tabs>
              <w:wordWrap w:val="0"/>
              <w:overflowPunct w:val="0"/>
              <w:topLinePunct/>
              <w:spacing w:line="240" w:lineRule="auto"/>
              <w:ind w:firstLine="0" w:firstLineChars="0"/>
              <w:jc w:val="center"/>
              <w:rPr>
                <w:snapToGrid w:val="0"/>
                <w:sz w:val="21"/>
                <w:szCs w:val="21"/>
              </w:rPr>
            </w:pPr>
            <w:r>
              <w:rPr>
                <w:snapToGrid w:val="0"/>
                <w:sz w:val="21"/>
                <w:szCs w:val="21"/>
              </w:rPr>
              <w:t>10000/5000</w:t>
            </w:r>
          </w:p>
        </w:tc>
      </w:tr>
    </w:tbl>
    <w:p>
      <w:pPr>
        <w:pStyle w:val="456"/>
        <w:ind w:firstLine="482"/>
      </w:pPr>
      <w:r>
        <w:t>装卸工艺方案</w:t>
      </w:r>
    </w:p>
    <w:p>
      <w:pPr>
        <w:ind w:firstLine="480"/>
        <w:rPr>
          <w:color w:val="000000"/>
        </w:rPr>
      </w:pPr>
      <w:r>
        <w:rPr>
          <w:color w:val="000000"/>
        </w:rPr>
        <w:t>1#~5#</w:t>
      </w:r>
      <w:r>
        <w:rPr>
          <w:rFonts w:hint="eastAsia"/>
          <w:color w:val="000000"/>
        </w:rPr>
        <w:t>泊位为</w:t>
      </w:r>
      <w:r>
        <w:rPr>
          <w:color w:val="000000"/>
        </w:rPr>
        <w:t>10000</w:t>
      </w:r>
      <w:r>
        <w:rPr>
          <w:rFonts w:hint="eastAsia"/>
          <w:color w:val="000000"/>
        </w:rPr>
        <w:t>吨级泊位，</w:t>
      </w:r>
      <w:r>
        <w:rPr>
          <w:color w:val="000000"/>
        </w:rPr>
        <w:t>6#</w:t>
      </w:r>
      <w:r>
        <w:rPr>
          <w:rFonts w:hint="eastAsia"/>
          <w:color w:val="000000"/>
        </w:rPr>
        <w:t>泊位为</w:t>
      </w:r>
      <w:r>
        <w:rPr>
          <w:color w:val="000000"/>
        </w:rPr>
        <w:t>5000</w:t>
      </w:r>
      <w:r>
        <w:rPr>
          <w:rFonts w:hint="eastAsia"/>
          <w:color w:val="000000"/>
        </w:rPr>
        <w:t>吨级泊位，水工结构均靠泊按</w:t>
      </w:r>
      <w:r>
        <w:rPr>
          <w:color w:val="000000"/>
        </w:rPr>
        <w:t>15000</w:t>
      </w:r>
      <w:r>
        <w:rPr>
          <w:rFonts w:hint="eastAsia"/>
          <w:color w:val="000000"/>
        </w:rPr>
        <w:t>吨级船舶设计。</w:t>
      </w:r>
    </w:p>
    <w:p>
      <w:pPr>
        <w:ind w:firstLine="480"/>
      </w:pPr>
      <w:r>
        <w:rPr>
          <w:color w:val="000000"/>
        </w:rPr>
        <w:t>本项目装卸工艺主要有码头前沿装卸船工艺、水平运输工艺以及库场装卸工艺三大部分组成。</w:t>
      </w:r>
    </w:p>
    <w:p>
      <w:pPr>
        <w:ind w:firstLine="482"/>
        <w:rPr>
          <w:b/>
        </w:rPr>
      </w:pPr>
      <w:r>
        <w:rPr>
          <w:b/>
        </w:rPr>
        <w:t>（1）码头装卸船工艺</w:t>
      </w:r>
    </w:p>
    <w:p>
      <w:pPr>
        <w:tabs>
          <w:tab w:val="clear" w:pos="480"/>
        </w:tabs>
        <w:ind w:firstLine="480"/>
        <w:rPr>
          <w:color w:val="000000"/>
        </w:rPr>
      </w:pPr>
      <w:r>
        <w:rPr>
          <w:color w:val="000000"/>
        </w:rPr>
        <w:t>码头装卸主要包括散货的装、卸船和水水中转，以及件杂货的装卸船。</w:t>
      </w:r>
    </w:p>
    <w:p>
      <w:pPr>
        <w:tabs>
          <w:tab w:val="clear" w:pos="480"/>
        </w:tabs>
        <w:ind w:firstLine="482"/>
        <w:rPr>
          <w:b/>
          <w:color w:val="000000"/>
        </w:rPr>
      </w:pPr>
      <w:r>
        <w:rPr>
          <w:b/>
          <w:color w:val="000000"/>
        </w:rPr>
        <w:t>a、散货装船工艺</w:t>
      </w:r>
    </w:p>
    <w:p>
      <w:pPr>
        <w:tabs>
          <w:tab w:val="clear" w:pos="480"/>
        </w:tabs>
        <w:ind w:firstLine="480"/>
        <w:rPr>
          <w:color w:val="000000"/>
        </w:rPr>
      </w:pPr>
      <w:r>
        <w:rPr>
          <w:color w:val="000000"/>
        </w:rPr>
        <w:t>散货装船宜采用专业化装船机，具有环保高效的优点，常用的有固定式装船机、摆动式装船机以及移动式装船机。固定式装船机及摆动式装船机作业面固定，覆盖范围小，适应船型范围有限，部分需移船作业，不适宜本项目特点。故</w:t>
      </w:r>
      <w:r>
        <w:rPr>
          <w:b/>
          <w:color w:val="000000"/>
        </w:rPr>
        <w:t>本项目拟采用直线轨道式移动装船机</w:t>
      </w:r>
      <w:r>
        <w:rPr>
          <w:rFonts w:hint="eastAsia"/>
          <w:color w:val="000000"/>
        </w:rPr>
        <w:t>。</w:t>
      </w:r>
    </w:p>
    <w:p>
      <w:pPr>
        <w:tabs>
          <w:tab w:val="clear" w:pos="480"/>
        </w:tabs>
        <w:ind w:firstLine="480"/>
        <w:rPr>
          <w:color w:val="000000"/>
        </w:rPr>
      </w:pPr>
      <w:r>
        <w:rPr>
          <w:color w:val="000000"/>
        </w:rPr>
        <w:t>1#泊位用于散货装船，采用直线轨道式移动装船机，共配置1台2000t/h直线轨道式移动装船机。后方卸车物料通过固定带式输送机输送至码头装船机进行装船；水水中转时，卸船机卸下物料通过带式输送机输送至装船机进行装船。</w:t>
      </w:r>
      <w:r>
        <w:rPr>
          <w:b/>
          <w:color w:val="000000"/>
        </w:rPr>
        <w:t>装船机设置装船溜筒，装船作业时，将溜筒伸入船舱进行作业，减少下料带来扬尘。</w:t>
      </w:r>
    </w:p>
    <w:p>
      <w:pPr>
        <w:tabs>
          <w:tab w:val="clear" w:pos="480"/>
        </w:tabs>
        <w:ind w:firstLine="0" w:firstLineChars="0"/>
        <w:jc w:val="center"/>
        <w:rPr>
          <w:b/>
          <w:color w:val="000000"/>
        </w:rPr>
      </w:pPr>
      <w:r>
        <w:rPr>
          <w:sz w:val="21"/>
          <w:szCs w:val="22"/>
        </w:rPr>
        <w:drawing>
          <wp:inline distT="0" distB="0" distL="114300" distR="114300">
            <wp:extent cx="3948430" cy="2713355"/>
            <wp:effectExtent l="0" t="0" r="1270" b="4445"/>
            <wp:docPr id="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9"/>
                    <pic:cNvPicPr>
                      <a:picLocks noChangeAspect="1"/>
                    </pic:cNvPicPr>
                  </pic:nvPicPr>
                  <pic:blipFill>
                    <a:blip r:embed="rId33"/>
                    <a:stretch>
                      <a:fillRect/>
                    </a:stretch>
                  </pic:blipFill>
                  <pic:spPr>
                    <a:xfrm>
                      <a:off x="0" y="0"/>
                      <a:ext cx="3948430" cy="2713355"/>
                    </a:xfrm>
                    <a:prstGeom prst="rect">
                      <a:avLst/>
                    </a:prstGeom>
                    <a:noFill/>
                    <a:ln>
                      <a:noFill/>
                    </a:ln>
                  </pic:spPr>
                </pic:pic>
              </a:graphicData>
            </a:graphic>
          </wp:inline>
        </w:drawing>
      </w:r>
    </w:p>
    <w:p>
      <w:pPr>
        <w:tabs>
          <w:tab w:val="clear" w:pos="480"/>
        </w:tabs>
        <w:ind w:firstLine="0" w:firstLineChars="0"/>
        <w:jc w:val="center"/>
        <w:rPr>
          <w:b/>
          <w:color w:val="000000"/>
        </w:rPr>
      </w:pPr>
      <w:r>
        <w:rPr>
          <w:b/>
          <w:color w:val="000000"/>
        </w:rPr>
        <w:t>图</w:t>
      </w:r>
      <w:r>
        <w:rPr>
          <w:rFonts w:hint="eastAsia"/>
          <w:b/>
          <w:color w:val="000000"/>
        </w:rPr>
        <w:t>2-1</w:t>
      </w:r>
      <w:r>
        <w:rPr>
          <w:b/>
          <w:color w:val="000000"/>
        </w:rPr>
        <w:t xml:space="preserve"> 直线移动轨道式装船机</w:t>
      </w:r>
    </w:p>
    <w:p>
      <w:pPr>
        <w:tabs>
          <w:tab w:val="clear" w:pos="480"/>
        </w:tabs>
        <w:ind w:firstLine="482"/>
        <w:rPr>
          <w:b/>
          <w:color w:val="000000"/>
        </w:rPr>
      </w:pPr>
      <w:r>
        <w:rPr>
          <w:b/>
          <w:color w:val="000000"/>
        </w:rPr>
        <w:t>b、散货卸船工艺</w:t>
      </w:r>
    </w:p>
    <w:p>
      <w:pPr>
        <w:tabs>
          <w:tab w:val="clear" w:pos="480"/>
        </w:tabs>
        <w:ind w:firstLine="480"/>
        <w:rPr>
          <w:color w:val="000000"/>
        </w:rPr>
      </w:pPr>
      <w:r>
        <w:rPr>
          <w:color w:val="000000"/>
        </w:rPr>
        <w:t>散货卸船主要有抓斗式与连续式两类。抓斗式卸船设备的优点是性能可靠，对物种的适应性强，缺点是清舱工作量较大，能耗较高。针对清舱量较大的缺点，可配清舱机解决。连续式卸船设备一般具有生产效率高、清舱量小、可连续自行取料、对环境污染小等优点，主要适应于粘性和颗粒小的粮食、砂砾、化肥、水泥等物料，而对颗粒较大的物料有一定适应局限，能耗较高。</w:t>
      </w:r>
    </w:p>
    <w:p>
      <w:pPr>
        <w:tabs>
          <w:tab w:val="clear" w:pos="480"/>
        </w:tabs>
        <w:ind w:firstLine="480"/>
        <w:rPr>
          <w:color w:val="000000"/>
        </w:rPr>
      </w:pPr>
      <w:r>
        <w:rPr>
          <w:color w:val="000000"/>
        </w:rPr>
        <w:t>本项目装卸的主要主要散货有砂石骨料、铁矿石、水泥以及其他散货等，针对砂石骨料、铁矿石等运量大散货，并结合其物料特性，</w:t>
      </w:r>
      <w:r>
        <w:rPr>
          <w:b/>
          <w:color w:val="000000"/>
        </w:rPr>
        <w:t>拟采用抓斗式卸船设备</w:t>
      </w:r>
      <w:r>
        <w:rPr>
          <w:rFonts w:hint="eastAsia"/>
          <w:color w:val="000000"/>
        </w:rPr>
        <w:t>。</w:t>
      </w:r>
      <w:r>
        <w:rPr>
          <w:color w:val="000000"/>
        </w:rPr>
        <w:t>抓斗式散货卸船主要常用的有门座起重机、带斗门座起重机以及桥式抓斗卸船机等，门座起重机主要适用兼顾件杂货和散货的通用泊位或通过量不大</w:t>
      </w:r>
      <w:r>
        <w:rPr>
          <w:rFonts w:hint="eastAsia"/>
          <w:color w:val="000000"/>
        </w:rPr>
        <w:t>、</w:t>
      </w:r>
      <w:r>
        <w:rPr>
          <w:color w:val="000000"/>
        </w:rPr>
        <w:t>车船直取作业散货码头；带斗门座起重机单机效率在 400～600t/h，主要适用散货通过能力较大的通用泊位或者专业化散货泊位；桥式抓斗卸船主要用于专业化散货卸船泊位，具有单机效率高的优点。本工程为专业化散货泊位，宜采用少线高效的装卸工艺形式，故设计采用桥式抓斗卸船机和带斗门座式起重机之间进行比选。</w:t>
      </w:r>
    </w:p>
    <w:tbl>
      <w:tblPr>
        <w:tblStyle w:val="87"/>
        <w:tblW w:w="0" w:type="auto"/>
        <w:tblInd w:w="108" w:type="dxa"/>
        <w:tblLayout w:type="autofit"/>
        <w:tblCellMar>
          <w:top w:w="0" w:type="dxa"/>
          <w:left w:w="108" w:type="dxa"/>
          <w:bottom w:w="0" w:type="dxa"/>
          <w:right w:w="108" w:type="dxa"/>
        </w:tblCellMar>
      </w:tblPr>
      <w:tblGrid>
        <w:gridCol w:w="4928"/>
        <w:gridCol w:w="3594"/>
      </w:tblGrid>
      <w:tr>
        <w:tblPrEx>
          <w:tblCellMar>
            <w:top w:w="0" w:type="dxa"/>
            <w:left w:w="108" w:type="dxa"/>
            <w:bottom w:w="0" w:type="dxa"/>
            <w:right w:w="108" w:type="dxa"/>
          </w:tblCellMar>
        </w:tblPrEx>
        <w:tc>
          <w:tcPr>
            <w:tcW w:w="4928" w:type="dxa"/>
            <w:shd w:val="clear" w:color="auto" w:fill="auto"/>
          </w:tcPr>
          <w:p>
            <w:pPr>
              <w:tabs>
                <w:tab w:val="clear" w:pos="480"/>
              </w:tabs>
              <w:ind w:firstLine="0" w:firstLineChars="0"/>
              <w:jc w:val="center"/>
              <w:rPr>
                <w:color w:val="000000"/>
                <w:kern w:val="0"/>
              </w:rPr>
            </w:pPr>
            <w:r>
              <w:rPr>
                <w:kern w:val="0"/>
                <w:sz w:val="21"/>
                <w:szCs w:val="22"/>
              </w:rPr>
              <w:drawing>
                <wp:inline distT="0" distB="0" distL="114300" distR="114300">
                  <wp:extent cx="2755265" cy="2006600"/>
                  <wp:effectExtent l="0" t="0" r="635" b="0"/>
                  <wp:docPr id="1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0"/>
                          <pic:cNvPicPr>
                            <a:picLocks noChangeAspect="1"/>
                          </pic:cNvPicPr>
                        </pic:nvPicPr>
                        <pic:blipFill>
                          <a:blip r:embed="rId34"/>
                          <a:stretch>
                            <a:fillRect/>
                          </a:stretch>
                        </pic:blipFill>
                        <pic:spPr>
                          <a:xfrm>
                            <a:off x="0" y="0"/>
                            <a:ext cx="2755265" cy="2006600"/>
                          </a:xfrm>
                          <a:prstGeom prst="rect">
                            <a:avLst/>
                          </a:prstGeom>
                          <a:noFill/>
                          <a:ln>
                            <a:noFill/>
                          </a:ln>
                        </pic:spPr>
                      </pic:pic>
                    </a:graphicData>
                  </a:graphic>
                </wp:inline>
              </w:drawing>
            </w:r>
          </w:p>
        </w:tc>
        <w:tc>
          <w:tcPr>
            <w:tcW w:w="3594" w:type="dxa"/>
            <w:shd w:val="clear" w:color="auto" w:fill="auto"/>
          </w:tcPr>
          <w:p>
            <w:pPr>
              <w:tabs>
                <w:tab w:val="clear" w:pos="480"/>
              </w:tabs>
              <w:ind w:firstLine="0" w:firstLineChars="0"/>
              <w:jc w:val="center"/>
              <w:rPr>
                <w:color w:val="000000"/>
                <w:kern w:val="0"/>
              </w:rPr>
            </w:pPr>
            <w:r>
              <w:rPr>
                <w:kern w:val="0"/>
                <w:sz w:val="21"/>
                <w:szCs w:val="22"/>
              </w:rPr>
              <w:drawing>
                <wp:inline distT="0" distB="0" distL="114300" distR="114300">
                  <wp:extent cx="1704340" cy="1976120"/>
                  <wp:effectExtent l="0" t="0" r="10160" b="5080"/>
                  <wp:docPr id="1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1"/>
                          <pic:cNvPicPr>
                            <a:picLocks noChangeAspect="1"/>
                          </pic:cNvPicPr>
                        </pic:nvPicPr>
                        <pic:blipFill>
                          <a:blip r:embed="rId35"/>
                          <a:stretch>
                            <a:fillRect/>
                          </a:stretch>
                        </pic:blipFill>
                        <pic:spPr>
                          <a:xfrm>
                            <a:off x="0" y="0"/>
                            <a:ext cx="1704340" cy="1976120"/>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4928" w:type="dxa"/>
            <w:shd w:val="clear" w:color="auto" w:fill="auto"/>
          </w:tcPr>
          <w:p>
            <w:pPr>
              <w:tabs>
                <w:tab w:val="clear" w:pos="480"/>
              </w:tabs>
              <w:ind w:firstLine="0" w:firstLineChars="0"/>
              <w:jc w:val="center"/>
              <w:rPr>
                <w:b/>
                <w:kern w:val="0"/>
              </w:rPr>
            </w:pPr>
            <w:r>
              <w:rPr>
                <w:b/>
                <w:kern w:val="0"/>
              </w:rPr>
              <w:t>图2-</w:t>
            </w:r>
            <w:r>
              <w:rPr>
                <w:rFonts w:hint="eastAsia"/>
                <w:b/>
                <w:kern w:val="0"/>
              </w:rPr>
              <w:t>2</w:t>
            </w:r>
            <w:r>
              <w:rPr>
                <w:b/>
                <w:kern w:val="0"/>
              </w:rPr>
              <w:t xml:space="preserve"> 桥式抓斗卸船机</w:t>
            </w:r>
          </w:p>
        </w:tc>
        <w:tc>
          <w:tcPr>
            <w:tcW w:w="3594" w:type="dxa"/>
            <w:shd w:val="clear" w:color="auto" w:fill="auto"/>
          </w:tcPr>
          <w:p>
            <w:pPr>
              <w:tabs>
                <w:tab w:val="clear" w:pos="480"/>
              </w:tabs>
              <w:ind w:firstLine="0" w:firstLineChars="0"/>
              <w:jc w:val="center"/>
              <w:rPr>
                <w:b/>
                <w:kern w:val="0"/>
              </w:rPr>
            </w:pPr>
            <w:r>
              <w:rPr>
                <w:b/>
                <w:kern w:val="0"/>
              </w:rPr>
              <w:t>图2-</w:t>
            </w:r>
            <w:r>
              <w:rPr>
                <w:rFonts w:hint="eastAsia"/>
                <w:b/>
                <w:kern w:val="0"/>
              </w:rPr>
              <w:t>3</w:t>
            </w:r>
            <w:r>
              <w:rPr>
                <w:b/>
                <w:kern w:val="0"/>
              </w:rPr>
              <w:t xml:space="preserve"> 带斗门座式卸船机</w:t>
            </w:r>
          </w:p>
        </w:tc>
      </w:tr>
    </w:tbl>
    <w:p>
      <w:pPr>
        <w:ind w:firstLine="482"/>
        <w:rPr>
          <w:color w:val="000000"/>
        </w:rPr>
      </w:pPr>
      <w:r>
        <w:rPr>
          <w:b/>
          <w:color w:val="000000"/>
        </w:rPr>
        <w:t>2#、3#泊位采用桥式抓斗卸船机进行散货卸船作业</w:t>
      </w:r>
      <w:r>
        <w:rPr>
          <w:color w:val="000000"/>
        </w:rPr>
        <w:t>，2个泊位共配置3台1000t/h桥式抓斗卸船机。卸船机轨内布置三路带式输送机，其中水侧1路带式输送机连接装船泊位，靠陆侧2路带式输送机连接后方陆域输送系统。卸船机卸船后，可通过固定带式输送机输送至上游泊位进行水水转装船或输送至后方的散货仓库堆存。卸船作业时，2台卸船机向其中1路带式输送机供料，卸船机将张开的抓斗放入船舱，而后通过闭合抓斗，抓取物料至卸船上的料斗上方，打开抓斗进行卸料。卸船机集料斗水侧设置挡料板防止抓斗移动过程中物料洒落至水域，同时料斗上设置抑尘装置，在抓斗卸料的时候喷射干雾，避免装卸过程中的扬尘。</w:t>
      </w:r>
    </w:p>
    <w:p>
      <w:pPr>
        <w:ind w:firstLine="480"/>
      </w:pPr>
      <w:r>
        <w:rPr>
          <w:rFonts w:hint="eastAsia"/>
        </w:rPr>
        <w:t>4</w:t>
      </w:r>
      <w:r>
        <w:t>#</w:t>
      </w:r>
      <w:r>
        <w:tab/>
      </w:r>
      <w:r>
        <w:rPr>
          <w:rFonts w:hint="eastAsia"/>
        </w:rPr>
        <w:t>~</w:t>
      </w:r>
      <w:r>
        <w:rPr>
          <w:rFonts w:hint="eastAsia"/>
          <w:color w:val="000000"/>
        </w:rPr>
        <w:t>6#</w:t>
      </w:r>
      <w:r>
        <w:rPr>
          <w:rFonts w:hint="eastAsia"/>
        </w:rPr>
        <w:t>泊</w:t>
      </w:r>
      <w:r>
        <w:rPr>
          <w:rFonts w:hint="eastAsia"/>
          <w:color w:val="000000"/>
        </w:rPr>
        <w:t>位以水泥、砂石车船直取、其他散货及防汛物资卸船为主。</w:t>
      </w:r>
    </w:p>
    <w:p>
      <w:pPr>
        <w:ind w:firstLine="480"/>
        <w:rPr>
          <w:color w:val="000000"/>
        </w:rPr>
      </w:pPr>
      <w:r>
        <w:rPr>
          <w:color w:val="000000"/>
        </w:rPr>
        <w:t>水泥不适宜采用抓斗形式卸船机，结合运量拟配置1台500t/h</w:t>
      </w:r>
      <w:r>
        <w:rPr>
          <w:b/>
          <w:color w:val="000000"/>
        </w:rPr>
        <w:t>螺旋卸船机</w:t>
      </w:r>
      <w:r>
        <w:rPr>
          <w:color w:val="000000"/>
        </w:rPr>
        <w:t>进行卸船作业，螺旋卸船机卸船后通过门架下方4个装车位进行装车疏港。门架轨后预留气力输送接口，预留后续通过气力管道输送至后方水泥库储存。水泥卸船作业时，卸船机将螺旋头深入船舱内，通过取料头旋转，将物料吸入封闭的螺旋输送机中，而后密封输送至卸船机上的装车头中，装车头与水泥罐车上方仓口对接，输送物料，整个装卸过程实现物料的全封闭作业。</w:t>
      </w:r>
      <w:r>
        <w:rPr>
          <w:rFonts w:hint="eastAsia"/>
          <w:color w:val="000000"/>
        </w:rPr>
        <w:t>远期取消部分装车头，增加仓泵，通过气力管道将物料输送至后方水泥库储存。</w:t>
      </w:r>
    </w:p>
    <w:p>
      <w:pPr>
        <w:ind w:firstLine="480"/>
        <w:rPr>
          <w:color w:val="000000"/>
        </w:rPr>
      </w:pPr>
      <w:r>
        <w:rPr>
          <w:color w:val="000000"/>
        </w:rPr>
        <w:t>车船直取砂石以及其他散货如土壤修复剂、复合肥等量少、品种多的散货不适宜采用专业化方案，拟采用通用性好、灵活的</w:t>
      </w:r>
      <w:r>
        <w:rPr>
          <w:b/>
          <w:color w:val="000000"/>
        </w:rPr>
        <w:t>门机配抓斗</w:t>
      </w:r>
      <w:r>
        <w:rPr>
          <w:color w:val="000000"/>
        </w:rPr>
        <w:t>进行卸船作业，门机卸船后通过</w:t>
      </w:r>
      <w:r>
        <w:rPr>
          <w:b/>
          <w:color w:val="000000"/>
        </w:rPr>
        <w:t>集料斗装车</w:t>
      </w:r>
      <w:r>
        <w:rPr>
          <w:color w:val="000000"/>
        </w:rPr>
        <w:t>运输至后方。集料斗水侧设置挡料板防止物料洒落至水域。</w:t>
      </w:r>
    </w:p>
    <w:p>
      <w:pPr>
        <w:ind w:firstLine="480"/>
        <w:rPr>
          <w:color w:val="000000"/>
        </w:rPr>
      </w:pPr>
      <w:r>
        <w:rPr>
          <w:color w:val="000000"/>
        </w:rPr>
        <w:t>下游端部</w:t>
      </w:r>
      <w:r>
        <w:rPr>
          <w:rFonts w:hint="eastAsia"/>
          <w:color w:val="000000"/>
        </w:rPr>
        <w:t>6#</w:t>
      </w:r>
      <w:r>
        <w:rPr>
          <w:color w:val="000000"/>
        </w:rPr>
        <w:t>泊位以防汛物资及防汛砂石为主，拟采用</w:t>
      </w:r>
      <w:r>
        <w:rPr>
          <w:b/>
          <w:color w:val="000000"/>
        </w:rPr>
        <w:t>门机配抓斗</w:t>
      </w:r>
      <w:r>
        <w:rPr>
          <w:color w:val="000000"/>
        </w:rPr>
        <w:t>作业，</w:t>
      </w:r>
      <w:r>
        <w:rPr>
          <w:rFonts w:hint="eastAsia"/>
          <w:color w:val="000000"/>
        </w:rPr>
        <w:t>兼顾防汛物资（件杂货）及砂石卸船功能。防汛件杂物资通过汽车运输至防汛物质仓库，砂石通过皮带机输送至后方防汛库场。</w:t>
      </w:r>
    </w:p>
    <w:p>
      <w:pPr>
        <w:ind w:firstLine="480"/>
        <w:rPr>
          <w:color w:val="000000"/>
        </w:rPr>
      </w:pPr>
      <w:r>
        <w:rPr>
          <w:rFonts w:hint="eastAsia"/>
          <w:color w:val="000000"/>
        </w:rPr>
        <w:t>下游</w:t>
      </w:r>
      <w:r>
        <w:rPr>
          <w:color w:val="000000"/>
        </w:rPr>
        <w:t>3</w:t>
      </w:r>
      <w:r>
        <w:rPr>
          <w:rFonts w:hint="eastAsia"/>
          <w:color w:val="000000"/>
        </w:rPr>
        <w:t>个</w:t>
      </w:r>
      <w:r>
        <w:rPr>
          <w:rFonts w:hint="eastAsia"/>
        </w:rPr>
        <w:t>泊</w:t>
      </w:r>
      <w:r>
        <w:rPr>
          <w:rFonts w:hint="eastAsia"/>
          <w:color w:val="000000"/>
        </w:rPr>
        <w:t>位（</w:t>
      </w:r>
      <w:r>
        <w:rPr>
          <w:rFonts w:hint="eastAsia"/>
        </w:rPr>
        <w:t>4</w:t>
      </w:r>
      <w:r>
        <w:t>#</w:t>
      </w:r>
      <w:r>
        <w:tab/>
      </w:r>
      <w:r>
        <w:rPr>
          <w:rFonts w:hint="eastAsia"/>
        </w:rPr>
        <w:t>~</w:t>
      </w:r>
      <w:r>
        <w:rPr>
          <w:rFonts w:hint="eastAsia"/>
          <w:color w:val="000000"/>
        </w:rPr>
        <w:t>6#）共配置</w:t>
      </w:r>
      <w:r>
        <w:rPr>
          <w:color w:val="000000"/>
        </w:rPr>
        <w:t>4</w:t>
      </w:r>
      <w:r>
        <w:rPr>
          <w:rFonts w:hint="eastAsia"/>
          <w:color w:val="000000"/>
        </w:rPr>
        <w:t>台</w:t>
      </w:r>
      <w:r>
        <w:rPr>
          <w:color w:val="000000"/>
        </w:rPr>
        <w:t>25t-35m</w:t>
      </w:r>
      <w:r>
        <w:rPr>
          <w:rFonts w:hint="eastAsia"/>
          <w:color w:val="000000"/>
        </w:rPr>
        <w:t>门机、</w:t>
      </w:r>
      <w:r>
        <w:rPr>
          <w:color w:val="000000"/>
        </w:rPr>
        <w:t>1</w:t>
      </w:r>
      <w:r>
        <w:rPr>
          <w:rFonts w:hint="eastAsia"/>
          <w:color w:val="000000"/>
        </w:rPr>
        <w:t>台</w:t>
      </w:r>
      <w:r>
        <w:rPr>
          <w:color w:val="000000"/>
        </w:rPr>
        <w:t>40t-35m</w:t>
      </w:r>
      <w:r>
        <w:rPr>
          <w:rFonts w:hint="eastAsia"/>
          <w:color w:val="000000"/>
        </w:rPr>
        <w:t>门机，门机配抓斗可兼顾散货、件杂货（防汛物资）的装卸作业。</w:t>
      </w:r>
    </w:p>
    <w:p>
      <w:pPr>
        <w:ind w:firstLine="482"/>
        <w:rPr>
          <w:b/>
          <w:color w:val="000000"/>
        </w:rPr>
      </w:pPr>
      <w:r>
        <w:rPr>
          <w:b/>
          <w:color w:val="000000"/>
        </w:rPr>
        <w:t xml:space="preserve">c、水水中转工艺 </w:t>
      </w:r>
    </w:p>
    <w:p>
      <w:pPr>
        <w:ind w:firstLine="480"/>
        <w:rPr>
          <w:color w:val="000000"/>
        </w:rPr>
      </w:pPr>
      <w:r>
        <w:rPr>
          <w:color w:val="000000"/>
        </w:rPr>
        <w:t>卸船机轨内布置3路带式输送机，其中水侧一路专用于水水中转，水水</w:t>
      </w:r>
      <w:r>
        <w:rPr>
          <w:rFonts w:hint="eastAsia"/>
          <w:color w:val="000000"/>
        </w:rPr>
        <w:t>中转</w:t>
      </w:r>
      <w:r>
        <w:rPr>
          <w:color w:val="000000"/>
        </w:rPr>
        <w:t>作业时，2台（或1台，依情况灵活调配）卸船向水侧皮带机供料，而后输送至装船泊位进行装船。</w:t>
      </w:r>
    </w:p>
    <w:p>
      <w:pPr>
        <w:ind w:firstLine="482"/>
        <w:rPr>
          <w:b/>
          <w:color w:val="000000"/>
        </w:rPr>
      </w:pPr>
      <w:r>
        <w:rPr>
          <w:b/>
          <w:color w:val="000000"/>
        </w:rPr>
        <w:t>（2）水平输送工艺</w:t>
      </w:r>
    </w:p>
    <w:p>
      <w:pPr>
        <w:ind w:firstLine="482"/>
        <w:rPr>
          <w:b/>
          <w:color w:val="000000"/>
        </w:rPr>
      </w:pPr>
      <w:r>
        <w:rPr>
          <w:b/>
          <w:color w:val="000000"/>
        </w:rPr>
        <w:t>a、散货水平运输</w:t>
      </w:r>
    </w:p>
    <w:p>
      <w:pPr>
        <w:ind w:firstLine="480"/>
        <w:rPr>
          <w:color w:val="000000"/>
        </w:rPr>
      </w:pPr>
      <w:r>
        <w:rPr>
          <w:color w:val="000000"/>
        </w:rPr>
        <w:t>本项目为专业散货码头，水平运输设备应具有输送效率高、节能环保的特点。</w:t>
      </w:r>
      <w:r>
        <w:rPr>
          <w:rFonts w:hint="eastAsia"/>
          <w:color w:val="000000"/>
        </w:rPr>
        <w:t>针对</w:t>
      </w:r>
      <w:r>
        <w:rPr>
          <w:color w:val="000000"/>
        </w:rPr>
        <w:t>对大宗散货如砂石骨料、铁矿石等拟采用DT</w:t>
      </w:r>
      <w:r>
        <w:rPr>
          <w:rFonts w:hint="eastAsia" w:ascii="宋体" w:hAnsi="宋体" w:cs="宋体"/>
          <w:color w:val="000000"/>
        </w:rPr>
        <w:t>Ⅱ</w:t>
      </w:r>
      <w:r>
        <w:rPr>
          <w:color w:val="000000"/>
        </w:rPr>
        <w:t>(A)型带式输送机输送，带宽B=1400mm，矿石、砂石额定输送能力2000t/h。下游端部用于防汛砂石装卸，结合门机作业效率，考虑采用带宽B=1200mm带式输送机，额定输送能力1200t/h。考虑环保性，</w:t>
      </w:r>
      <w:r>
        <w:rPr>
          <w:b/>
          <w:color w:val="000000"/>
        </w:rPr>
        <w:t>输送系统均采用全封闭廊道形式</w:t>
      </w:r>
      <w:r>
        <w:rPr>
          <w:color w:val="000000"/>
        </w:rPr>
        <w:t>，避免输送过程中的扬尘及洒落，码头前沿不能封闭处皮带两侧设置挡风板，避免扬尘。</w:t>
      </w:r>
    </w:p>
    <w:tbl>
      <w:tblPr>
        <w:tblStyle w:val="87"/>
        <w:tblW w:w="0" w:type="auto"/>
        <w:tblInd w:w="108" w:type="dxa"/>
        <w:tblLayout w:type="autofit"/>
        <w:tblCellMar>
          <w:top w:w="0" w:type="dxa"/>
          <w:left w:w="108" w:type="dxa"/>
          <w:bottom w:w="0" w:type="dxa"/>
          <w:right w:w="108" w:type="dxa"/>
        </w:tblCellMar>
      </w:tblPr>
      <w:tblGrid>
        <w:gridCol w:w="3956"/>
        <w:gridCol w:w="5222"/>
      </w:tblGrid>
      <w:tr>
        <w:tblPrEx>
          <w:tblCellMar>
            <w:top w:w="0" w:type="dxa"/>
            <w:left w:w="108" w:type="dxa"/>
            <w:bottom w:w="0" w:type="dxa"/>
            <w:right w:w="108" w:type="dxa"/>
          </w:tblCellMar>
        </w:tblPrEx>
        <w:tc>
          <w:tcPr>
            <w:tcW w:w="3656" w:type="dxa"/>
            <w:shd w:val="clear" w:color="auto" w:fill="auto"/>
          </w:tcPr>
          <w:p>
            <w:pPr>
              <w:ind w:firstLine="480"/>
              <w:jc w:val="center"/>
              <w:rPr>
                <w:kern w:val="0"/>
              </w:rPr>
            </w:pPr>
            <w:r>
              <w:rPr>
                <w:kern w:val="0"/>
              </w:rPr>
              <w:drawing>
                <wp:inline distT="0" distB="0" distL="114300" distR="114300">
                  <wp:extent cx="2124710" cy="2273300"/>
                  <wp:effectExtent l="0" t="0" r="8890" b="0"/>
                  <wp:docPr id="1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2"/>
                          <pic:cNvPicPr>
                            <a:picLocks noChangeAspect="1"/>
                          </pic:cNvPicPr>
                        </pic:nvPicPr>
                        <pic:blipFill>
                          <a:blip r:embed="rId36"/>
                          <a:stretch>
                            <a:fillRect/>
                          </a:stretch>
                        </pic:blipFill>
                        <pic:spPr>
                          <a:xfrm>
                            <a:off x="0" y="0"/>
                            <a:ext cx="2124710" cy="2273300"/>
                          </a:xfrm>
                          <a:prstGeom prst="rect">
                            <a:avLst/>
                          </a:prstGeom>
                          <a:noFill/>
                          <a:ln>
                            <a:noFill/>
                          </a:ln>
                        </pic:spPr>
                      </pic:pic>
                    </a:graphicData>
                  </a:graphic>
                </wp:inline>
              </w:drawing>
            </w:r>
          </w:p>
        </w:tc>
        <w:tc>
          <w:tcPr>
            <w:tcW w:w="4866" w:type="dxa"/>
            <w:shd w:val="clear" w:color="auto" w:fill="auto"/>
          </w:tcPr>
          <w:p>
            <w:pPr>
              <w:ind w:firstLine="480"/>
              <w:jc w:val="center"/>
              <w:rPr>
                <w:kern w:val="0"/>
              </w:rPr>
            </w:pPr>
            <w:r>
              <w:rPr>
                <w:kern w:val="0"/>
              </w:rPr>
              <w:drawing>
                <wp:inline distT="0" distB="0" distL="114300" distR="114300">
                  <wp:extent cx="2951480" cy="2288540"/>
                  <wp:effectExtent l="0" t="0" r="7620" b="10160"/>
                  <wp:docPr id="1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3"/>
                          <pic:cNvPicPr>
                            <a:picLocks noChangeAspect="1"/>
                          </pic:cNvPicPr>
                        </pic:nvPicPr>
                        <pic:blipFill>
                          <a:blip r:embed="rId37"/>
                          <a:stretch>
                            <a:fillRect/>
                          </a:stretch>
                        </pic:blipFill>
                        <pic:spPr>
                          <a:xfrm>
                            <a:off x="0" y="0"/>
                            <a:ext cx="2951480" cy="2288540"/>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3656" w:type="dxa"/>
            <w:shd w:val="clear" w:color="auto" w:fill="auto"/>
          </w:tcPr>
          <w:p>
            <w:pPr>
              <w:ind w:firstLine="482"/>
              <w:jc w:val="center"/>
              <w:rPr>
                <w:b/>
                <w:kern w:val="0"/>
              </w:rPr>
            </w:pPr>
            <w:r>
              <w:rPr>
                <w:b/>
                <w:kern w:val="0"/>
              </w:rPr>
              <w:t>图</w:t>
            </w:r>
            <w:r>
              <w:rPr>
                <w:rFonts w:hint="eastAsia"/>
                <w:b/>
                <w:kern w:val="0"/>
              </w:rPr>
              <w:t>2</w:t>
            </w:r>
            <w:r>
              <w:rPr>
                <w:b/>
                <w:kern w:val="0"/>
              </w:rPr>
              <w:t>-</w:t>
            </w:r>
            <w:r>
              <w:rPr>
                <w:rFonts w:hint="eastAsia"/>
                <w:b/>
                <w:kern w:val="0"/>
              </w:rPr>
              <w:t>4</w:t>
            </w:r>
            <w:r>
              <w:rPr>
                <w:b/>
                <w:kern w:val="0"/>
              </w:rPr>
              <w:t xml:space="preserve"> 码头前沿平台</w:t>
            </w:r>
          </w:p>
        </w:tc>
        <w:tc>
          <w:tcPr>
            <w:tcW w:w="4866" w:type="dxa"/>
            <w:shd w:val="clear" w:color="auto" w:fill="auto"/>
          </w:tcPr>
          <w:p>
            <w:pPr>
              <w:ind w:firstLine="482"/>
              <w:jc w:val="center"/>
              <w:rPr>
                <w:b/>
                <w:kern w:val="0"/>
              </w:rPr>
            </w:pPr>
            <w:r>
              <w:rPr>
                <w:b/>
                <w:kern w:val="0"/>
              </w:rPr>
              <w:t>图2-</w:t>
            </w:r>
            <w:r>
              <w:rPr>
                <w:rFonts w:hint="eastAsia"/>
                <w:b/>
                <w:kern w:val="0"/>
              </w:rPr>
              <w:t>5</w:t>
            </w:r>
            <w:r>
              <w:rPr>
                <w:b/>
                <w:kern w:val="0"/>
              </w:rPr>
              <w:t xml:space="preserve"> 全封闭带式输送机廊道</w:t>
            </w:r>
          </w:p>
        </w:tc>
      </w:tr>
    </w:tbl>
    <w:p>
      <w:pPr>
        <w:ind w:firstLine="480"/>
        <w:rPr>
          <w:color w:val="000000"/>
        </w:rPr>
      </w:pPr>
      <w:r>
        <w:rPr>
          <w:color w:val="000000"/>
        </w:rPr>
        <w:t>卸车至装船输送线和卸船进堆场输送线布置在于1#泊位与2#泊位之间。考虑到环保要求，输送系统每个转接点处以及卸车点均配置抑尘设备，采用微雾抑尘工艺，达到良好的抑尘效果。</w:t>
      </w:r>
    </w:p>
    <w:p>
      <w:pPr>
        <w:ind w:firstLine="480"/>
        <w:jc w:val="center"/>
        <w:rPr>
          <w:b/>
          <w:color w:val="000000"/>
        </w:rPr>
      </w:pPr>
      <w:r>
        <w:drawing>
          <wp:inline distT="0" distB="0" distL="114300" distR="114300">
            <wp:extent cx="3451860" cy="2495550"/>
            <wp:effectExtent l="0" t="0" r="2540" b="6350"/>
            <wp:docPr id="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4"/>
                    <pic:cNvPicPr>
                      <a:picLocks noChangeAspect="1"/>
                    </pic:cNvPicPr>
                  </pic:nvPicPr>
                  <pic:blipFill>
                    <a:blip r:embed="rId38"/>
                    <a:stretch>
                      <a:fillRect/>
                    </a:stretch>
                  </pic:blipFill>
                  <pic:spPr>
                    <a:xfrm>
                      <a:off x="0" y="0"/>
                      <a:ext cx="3451860" cy="2495550"/>
                    </a:xfrm>
                    <a:prstGeom prst="rect">
                      <a:avLst/>
                    </a:prstGeom>
                    <a:noFill/>
                    <a:ln>
                      <a:noFill/>
                    </a:ln>
                  </pic:spPr>
                </pic:pic>
              </a:graphicData>
            </a:graphic>
          </wp:inline>
        </w:drawing>
      </w:r>
    </w:p>
    <w:p>
      <w:pPr>
        <w:ind w:firstLine="482"/>
        <w:jc w:val="center"/>
        <w:rPr>
          <w:b/>
          <w:color w:val="000000"/>
        </w:rPr>
      </w:pPr>
      <w:r>
        <w:rPr>
          <w:b/>
          <w:color w:val="000000"/>
        </w:rPr>
        <w:t>图2-</w:t>
      </w:r>
      <w:r>
        <w:rPr>
          <w:rFonts w:hint="eastAsia"/>
          <w:b/>
          <w:color w:val="000000"/>
        </w:rPr>
        <w:t>6</w:t>
      </w:r>
      <w:r>
        <w:rPr>
          <w:b/>
          <w:color w:val="000000"/>
        </w:rPr>
        <w:t xml:space="preserve"> 环保抑尘系统组成（仅为示意）</w:t>
      </w:r>
    </w:p>
    <w:tbl>
      <w:tblPr>
        <w:tblStyle w:val="87"/>
        <w:tblW w:w="0" w:type="auto"/>
        <w:tblInd w:w="108" w:type="dxa"/>
        <w:tblLayout w:type="autofit"/>
        <w:tblCellMar>
          <w:top w:w="0" w:type="dxa"/>
          <w:left w:w="108" w:type="dxa"/>
          <w:bottom w:w="0" w:type="dxa"/>
          <w:right w:w="108" w:type="dxa"/>
        </w:tblCellMar>
      </w:tblPr>
      <w:tblGrid>
        <w:gridCol w:w="5316"/>
        <w:gridCol w:w="3862"/>
      </w:tblGrid>
      <w:tr>
        <w:tblPrEx>
          <w:tblCellMar>
            <w:top w:w="0" w:type="dxa"/>
            <w:left w:w="108" w:type="dxa"/>
            <w:bottom w:w="0" w:type="dxa"/>
            <w:right w:w="108" w:type="dxa"/>
          </w:tblCellMar>
        </w:tblPrEx>
        <w:tc>
          <w:tcPr>
            <w:tcW w:w="5242" w:type="dxa"/>
            <w:shd w:val="clear" w:color="auto" w:fill="auto"/>
          </w:tcPr>
          <w:p>
            <w:pPr>
              <w:ind w:firstLine="480"/>
              <w:jc w:val="center"/>
              <w:rPr>
                <w:kern w:val="0"/>
              </w:rPr>
            </w:pPr>
            <w:r>
              <w:rPr>
                <w:kern w:val="0"/>
              </w:rPr>
              <w:drawing>
                <wp:inline distT="0" distB="0" distL="114300" distR="114300">
                  <wp:extent cx="3117215" cy="2280920"/>
                  <wp:effectExtent l="0" t="0" r="6985" b="5080"/>
                  <wp:docPr id="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5"/>
                          <pic:cNvPicPr>
                            <a:picLocks noChangeAspect="1"/>
                          </pic:cNvPicPr>
                        </pic:nvPicPr>
                        <pic:blipFill>
                          <a:blip r:embed="rId39"/>
                          <a:stretch>
                            <a:fillRect/>
                          </a:stretch>
                        </pic:blipFill>
                        <pic:spPr>
                          <a:xfrm>
                            <a:off x="0" y="0"/>
                            <a:ext cx="3117215" cy="2280920"/>
                          </a:xfrm>
                          <a:prstGeom prst="rect">
                            <a:avLst/>
                          </a:prstGeom>
                          <a:noFill/>
                          <a:ln>
                            <a:noFill/>
                          </a:ln>
                        </pic:spPr>
                      </pic:pic>
                    </a:graphicData>
                  </a:graphic>
                </wp:inline>
              </w:drawing>
            </w:r>
          </w:p>
        </w:tc>
        <w:tc>
          <w:tcPr>
            <w:tcW w:w="3828" w:type="dxa"/>
            <w:shd w:val="clear" w:color="auto" w:fill="auto"/>
          </w:tcPr>
          <w:p>
            <w:pPr>
              <w:ind w:firstLine="480"/>
              <w:jc w:val="center"/>
              <w:rPr>
                <w:kern w:val="0"/>
              </w:rPr>
            </w:pPr>
            <w:r>
              <w:rPr>
                <w:kern w:val="0"/>
              </w:rPr>
              <w:drawing>
                <wp:inline distT="0" distB="0" distL="114300" distR="114300">
                  <wp:extent cx="2143760" cy="2143760"/>
                  <wp:effectExtent l="0" t="0" r="2540" b="2540"/>
                  <wp:docPr id="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6"/>
                          <pic:cNvPicPr>
                            <a:picLocks noChangeAspect="1"/>
                          </pic:cNvPicPr>
                        </pic:nvPicPr>
                        <pic:blipFill>
                          <a:blip r:embed="rId40"/>
                          <a:stretch>
                            <a:fillRect/>
                          </a:stretch>
                        </pic:blipFill>
                        <pic:spPr>
                          <a:xfrm>
                            <a:off x="0" y="0"/>
                            <a:ext cx="2143760" cy="2143760"/>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5242" w:type="dxa"/>
            <w:shd w:val="clear" w:color="auto" w:fill="auto"/>
          </w:tcPr>
          <w:p>
            <w:pPr>
              <w:ind w:firstLine="422"/>
              <w:jc w:val="center"/>
              <w:rPr>
                <w:b/>
                <w:kern w:val="0"/>
                <w:sz w:val="21"/>
                <w:szCs w:val="21"/>
              </w:rPr>
            </w:pPr>
            <w:r>
              <w:rPr>
                <w:b/>
                <w:kern w:val="0"/>
                <w:sz w:val="21"/>
                <w:szCs w:val="21"/>
              </w:rPr>
              <w:t>图2-</w:t>
            </w:r>
            <w:r>
              <w:rPr>
                <w:rFonts w:hint="eastAsia"/>
                <w:b/>
                <w:kern w:val="0"/>
                <w:sz w:val="21"/>
                <w:szCs w:val="21"/>
              </w:rPr>
              <w:t>7</w:t>
            </w:r>
            <w:r>
              <w:rPr>
                <w:b/>
                <w:kern w:val="0"/>
                <w:sz w:val="21"/>
                <w:szCs w:val="21"/>
              </w:rPr>
              <w:t xml:space="preserve"> 带式输送机转接点抑尘</w:t>
            </w:r>
          </w:p>
        </w:tc>
        <w:tc>
          <w:tcPr>
            <w:tcW w:w="3828" w:type="dxa"/>
            <w:shd w:val="clear" w:color="auto" w:fill="auto"/>
          </w:tcPr>
          <w:p>
            <w:pPr>
              <w:ind w:firstLine="422"/>
              <w:jc w:val="center"/>
              <w:rPr>
                <w:b/>
                <w:kern w:val="0"/>
                <w:sz w:val="21"/>
                <w:szCs w:val="21"/>
              </w:rPr>
            </w:pPr>
            <w:r>
              <w:rPr>
                <w:b/>
                <w:kern w:val="0"/>
                <w:sz w:val="21"/>
                <w:szCs w:val="21"/>
              </w:rPr>
              <w:t>图2-</w:t>
            </w:r>
            <w:r>
              <w:rPr>
                <w:rFonts w:hint="eastAsia"/>
                <w:b/>
                <w:kern w:val="0"/>
                <w:sz w:val="21"/>
                <w:szCs w:val="21"/>
              </w:rPr>
              <w:t>8</w:t>
            </w:r>
            <w:r>
              <w:rPr>
                <w:b/>
                <w:kern w:val="0"/>
                <w:sz w:val="21"/>
                <w:szCs w:val="21"/>
              </w:rPr>
              <w:t>卸船机抓斗卸料抑尘</w:t>
            </w:r>
          </w:p>
        </w:tc>
      </w:tr>
    </w:tbl>
    <w:p>
      <w:pPr>
        <w:ind w:firstLine="480"/>
        <w:rPr>
          <w:color w:val="000000"/>
        </w:rPr>
      </w:pPr>
      <w:r>
        <w:rPr>
          <w:color w:val="000000"/>
        </w:rPr>
        <w:t>水泥近期考虑采用密封性好的槽罐车运输，卸船机卸货后直接装车运输。后续货运量增加后，采用气力式管道运输，预留2路输送能力250t/h管道输送至后方水泥库区。</w:t>
      </w:r>
    </w:p>
    <w:p>
      <w:pPr>
        <w:ind w:firstLine="480"/>
        <w:rPr>
          <w:color w:val="000000"/>
        </w:rPr>
      </w:pPr>
      <w:r>
        <w:rPr>
          <w:color w:val="000000"/>
        </w:rPr>
        <w:t>车船直取砂石及其他散货如土壤修复剂、复合肥等品种多、数量少等拟采用汽车运输。</w:t>
      </w:r>
      <w:r>
        <w:rPr>
          <w:rFonts w:hint="eastAsia"/>
          <w:color w:val="000000"/>
        </w:rPr>
        <w:t>结合货运量及装卸作业线数量，港区配置</w:t>
      </w:r>
      <w:r>
        <w:rPr>
          <w:color w:val="000000"/>
        </w:rPr>
        <w:t>16</w:t>
      </w:r>
      <w:r>
        <w:rPr>
          <w:rFonts w:hint="eastAsia"/>
          <w:color w:val="000000"/>
        </w:rPr>
        <w:t>台载重</w:t>
      </w:r>
      <w:r>
        <w:rPr>
          <w:color w:val="000000"/>
        </w:rPr>
        <w:t>30t</w:t>
      </w:r>
      <w:r>
        <w:rPr>
          <w:rFonts w:hint="eastAsia"/>
          <w:color w:val="000000"/>
        </w:rPr>
        <w:t>自卸汽车用于散货运输。</w:t>
      </w:r>
    </w:p>
    <w:p>
      <w:pPr>
        <w:ind w:firstLine="480"/>
        <w:rPr>
          <w:color w:val="000000"/>
        </w:rPr>
      </w:pPr>
      <w:r>
        <w:rPr>
          <w:rFonts w:hint="eastAsia"/>
          <w:color w:val="000000"/>
        </w:rPr>
        <w:t>目前自卸车以燃油驱动为主，电能驱动应用也越来越广泛。燃油车购置成本低，但是运行及保养成本高，电动车购置费用高，但运行、保养成本低。综合考虑车辆购置费用的年均摊以及碳排放效益，电动车的年综合使用效益高于燃油车。由于本项目车辆属于港内运输车辆，运输距离短，从货运量角度计算，年运输距离约</w:t>
      </w:r>
      <w:r>
        <w:rPr>
          <w:color w:val="000000"/>
        </w:rPr>
        <w:t>13500</w:t>
      </w:r>
      <w:r>
        <w:rPr>
          <w:rFonts w:hint="eastAsia"/>
          <w:color w:val="000000"/>
        </w:rPr>
        <w:t>k</w:t>
      </w:r>
      <w:r>
        <w:rPr>
          <w:color w:val="000000"/>
        </w:rPr>
        <w:t>m</w:t>
      </w:r>
      <w:r>
        <w:rPr>
          <w:rFonts w:hint="eastAsia"/>
          <w:color w:val="000000"/>
        </w:rPr>
        <w:t>，每公里较低的运行成本费用不足以抵消高昂的购置及电池更换费用，综合下来，按照机动车</w:t>
      </w:r>
      <w:r>
        <w:rPr>
          <w:color w:val="000000"/>
        </w:rPr>
        <w:t>15</w:t>
      </w:r>
      <w:r>
        <w:rPr>
          <w:rFonts w:hint="eastAsia"/>
          <w:color w:val="000000"/>
        </w:rPr>
        <w:t>年使用年限，电动车综合年均使用费用更高。从综合使用成本角度考虑，推荐使用燃油牵引车。</w:t>
      </w:r>
    </w:p>
    <w:p>
      <w:pPr>
        <w:ind w:firstLine="482"/>
        <w:rPr>
          <w:b/>
          <w:color w:val="000000"/>
        </w:rPr>
      </w:pPr>
      <w:r>
        <w:rPr>
          <w:b/>
          <w:color w:val="000000"/>
        </w:rPr>
        <w:t>b、件杂货</w:t>
      </w:r>
      <w:r>
        <w:rPr>
          <w:rFonts w:hint="eastAsia"/>
          <w:b/>
          <w:color w:val="000000"/>
        </w:rPr>
        <w:t>（防汛物资）</w:t>
      </w:r>
      <w:r>
        <w:rPr>
          <w:b/>
          <w:color w:val="000000"/>
        </w:rPr>
        <w:t xml:space="preserve">水平运输 </w:t>
      </w:r>
    </w:p>
    <w:p>
      <w:pPr>
        <w:ind w:firstLine="480"/>
        <w:rPr>
          <w:color w:val="000000"/>
        </w:rPr>
      </w:pPr>
      <w:r>
        <w:rPr>
          <w:color w:val="000000"/>
        </w:rPr>
        <w:t>件杂货主要为防汛物资</w:t>
      </w:r>
      <w:r>
        <w:rPr>
          <w:rFonts w:hint="eastAsia"/>
          <w:color w:val="000000"/>
        </w:rPr>
        <w:t>，</w:t>
      </w:r>
      <w:r>
        <w:rPr>
          <w:color w:val="000000"/>
        </w:rPr>
        <w:t>水平运输</w:t>
      </w:r>
      <w:r>
        <w:rPr>
          <w:rFonts w:hint="eastAsia"/>
          <w:color w:val="000000"/>
        </w:rPr>
        <w:t>采用汽车，运输车辆由防汛储备库租用社会车辆，不需购置车辆</w:t>
      </w:r>
      <w:r>
        <w:rPr>
          <w:color w:val="000000"/>
        </w:rPr>
        <w:t>。</w:t>
      </w:r>
    </w:p>
    <w:p>
      <w:pPr>
        <w:ind w:firstLine="482"/>
        <w:rPr>
          <w:b/>
          <w:szCs w:val="28"/>
        </w:rPr>
      </w:pPr>
      <w:r>
        <w:rPr>
          <w:rFonts w:hint="eastAsia"/>
          <w:b/>
          <w:color w:val="000000"/>
        </w:rPr>
        <w:t>（3）库场</w:t>
      </w:r>
      <w:r>
        <w:rPr>
          <w:rFonts w:hint="eastAsia"/>
          <w:b/>
          <w:szCs w:val="28"/>
        </w:rPr>
        <w:t>装卸工艺</w:t>
      </w:r>
    </w:p>
    <w:p>
      <w:pPr>
        <w:ind w:firstLine="480"/>
        <w:rPr>
          <w:color w:val="000000"/>
        </w:rPr>
      </w:pPr>
      <w:r>
        <w:rPr>
          <w:color w:val="000000"/>
        </w:rPr>
        <w:t>a</w:t>
      </w:r>
      <w:r>
        <w:rPr>
          <w:rFonts w:hint="eastAsia"/>
          <w:color w:val="000000"/>
        </w:rPr>
        <w:t>、散货库场装卸</w:t>
      </w:r>
    </w:p>
    <w:p>
      <w:pPr>
        <w:ind w:firstLine="480"/>
        <w:rPr>
          <w:color w:val="000000"/>
        </w:rPr>
      </w:pPr>
      <w:r>
        <w:rPr>
          <w:rFonts w:hint="eastAsia"/>
          <w:color w:val="000000"/>
        </w:rPr>
        <w:t>考虑环保性，散货均在全封闭散货仓库内堆存，散货仓库内采用抛料小车进行堆料，抛料小车行走于仓库内的高架带式输送机上。码头来料通过带式输送机运输至抛料小车上，而后通过抛料小车悬臂皮带将物料抛卸至仓库地面。仓库内取料采用单斗装载机进行装车作业。</w:t>
      </w:r>
    </w:p>
    <w:p>
      <w:pPr>
        <w:ind w:firstLine="480"/>
        <w:rPr>
          <w:color w:val="000000"/>
        </w:rPr>
      </w:pPr>
      <w:r>
        <w:rPr>
          <w:rFonts w:hint="eastAsia"/>
          <w:color w:val="000000"/>
        </w:rPr>
        <w:t>仓库总宽度</w:t>
      </w:r>
      <w:r>
        <w:rPr>
          <w:color w:val="000000"/>
        </w:rPr>
        <w:t>72m</w:t>
      </w:r>
      <w:r>
        <w:rPr>
          <w:rFonts w:hint="eastAsia"/>
          <w:color w:val="000000"/>
        </w:rPr>
        <w:t>，中间布置</w:t>
      </w:r>
      <w:r>
        <w:rPr>
          <w:color w:val="000000"/>
        </w:rPr>
        <w:t>2</w:t>
      </w:r>
      <w:r>
        <w:rPr>
          <w:rFonts w:hint="eastAsia"/>
          <w:color w:val="000000"/>
        </w:rPr>
        <w:t>路高架皮带及抛料小车堆料，两侧用于单斗装载机装车作业。</w:t>
      </w:r>
    </w:p>
    <w:p>
      <w:pPr>
        <w:ind w:firstLine="480"/>
        <w:rPr>
          <w:color w:val="000000"/>
        </w:rPr>
      </w:pPr>
      <w:r>
        <w:rPr>
          <w:color w:val="000000"/>
        </w:rPr>
        <w:t>b</w:t>
      </w:r>
      <w:r>
        <w:rPr>
          <w:rFonts w:hint="eastAsia"/>
          <w:color w:val="000000"/>
        </w:rPr>
        <w:t>、防汛物资堆场装卸</w:t>
      </w:r>
    </w:p>
    <w:p>
      <w:pPr>
        <w:ind w:firstLine="480"/>
        <w:rPr>
          <w:color w:val="000000"/>
        </w:rPr>
      </w:pPr>
      <w:r>
        <w:rPr>
          <w:rFonts w:hint="eastAsia"/>
          <w:color w:val="000000"/>
        </w:rPr>
        <w:t>防汛物资堆场采用轨道式龙门起重机进行装卸车，配置</w:t>
      </w:r>
      <w:r>
        <w:rPr>
          <w:color w:val="000000"/>
        </w:rPr>
        <w:t>1</w:t>
      </w:r>
      <w:r>
        <w:rPr>
          <w:rFonts w:hint="eastAsia"/>
          <w:color w:val="000000"/>
        </w:rPr>
        <w:t>台</w:t>
      </w:r>
      <w:r>
        <w:rPr>
          <w:color w:val="000000"/>
        </w:rPr>
        <w:t>40t-40m</w:t>
      </w:r>
      <w:r>
        <w:rPr>
          <w:rFonts w:hint="eastAsia"/>
          <w:color w:val="000000"/>
        </w:rPr>
        <w:t>轨道龙门起重机。</w:t>
      </w:r>
    </w:p>
    <w:p>
      <w:pPr>
        <w:ind w:firstLine="482"/>
        <w:rPr>
          <w:b/>
          <w:color w:val="000000"/>
        </w:rPr>
      </w:pPr>
      <w:r>
        <w:rPr>
          <w:rFonts w:hint="eastAsia"/>
          <w:b/>
          <w:color w:val="000000"/>
        </w:rPr>
        <w:t>（</w:t>
      </w:r>
      <w:r>
        <w:rPr>
          <w:b/>
          <w:color w:val="000000"/>
        </w:rPr>
        <w:t>4</w:t>
      </w:r>
      <w:r>
        <w:rPr>
          <w:rFonts w:hint="eastAsia"/>
          <w:b/>
          <w:color w:val="000000"/>
        </w:rPr>
        <w:t>）散货卸车工艺</w:t>
      </w:r>
    </w:p>
    <w:p>
      <w:pPr>
        <w:ind w:firstLine="480"/>
        <w:rPr>
          <w:color w:val="000000"/>
        </w:rPr>
      </w:pPr>
      <w:r>
        <w:rPr>
          <w:rFonts w:hint="eastAsia"/>
          <w:color w:val="000000"/>
        </w:rPr>
        <w:t>砂石料卸车采用自卸形式，卸车在全封闭情况下进行，设置卸车棚，卸车棚内设置</w:t>
      </w:r>
      <w:r>
        <w:rPr>
          <w:color w:val="000000"/>
        </w:rPr>
        <w:t>5</w:t>
      </w:r>
      <w:r>
        <w:rPr>
          <w:rFonts w:hint="eastAsia"/>
          <w:color w:val="000000"/>
        </w:rPr>
        <w:t>个卸车位，每个卸车位下设置</w:t>
      </w:r>
      <w:r>
        <w:rPr>
          <w:color w:val="000000"/>
        </w:rPr>
        <w:t>1</w:t>
      </w:r>
      <w:r>
        <w:rPr>
          <w:rFonts w:hint="eastAsia"/>
          <w:color w:val="000000"/>
        </w:rPr>
        <w:t>个卸车料斗。每个料斗上方设置钢格栅，防止大块杂物进入输送系统。料斗来车一侧设置挡车墩台，防止重车驶入料斗上方。料斗下方设置给料机，给料能力</w:t>
      </w:r>
      <w:r>
        <w:rPr>
          <w:color w:val="000000"/>
        </w:rPr>
        <w:t>500t/h</w:t>
      </w:r>
      <w:r>
        <w:rPr>
          <w:rFonts w:hint="eastAsia"/>
          <w:color w:val="000000"/>
        </w:rPr>
        <w:t>。给料机下方设置</w:t>
      </w:r>
      <w:r>
        <w:rPr>
          <w:color w:val="000000"/>
        </w:rPr>
        <w:t>1</w:t>
      </w:r>
      <w:r>
        <w:rPr>
          <w:rFonts w:hint="eastAsia"/>
          <w:color w:val="000000"/>
        </w:rPr>
        <w:t>路带式输送机向码头输送物料，卸船作业时，可同时</w:t>
      </w:r>
      <w:r>
        <w:rPr>
          <w:color w:val="000000"/>
        </w:rPr>
        <w:t>4</w:t>
      </w:r>
      <w:r>
        <w:rPr>
          <w:rFonts w:hint="eastAsia"/>
          <w:color w:val="000000"/>
        </w:rPr>
        <w:t>台给料机向皮带机供料，额定给料能力</w:t>
      </w:r>
      <w:r>
        <w:rPr>
          <w:color w:val="000000"/>
        </w:rPr>
        <w:t>2000t/h</w:t>
      </w:r>
      <w:r>
        <w:rPr>
          <w:rFonts w:hint="eastAsia"/>
          <w:color w:val="000000"/>
        </w:rPr>
        <w:t>，考虑作业均衡系数</w:t>
      </w:r>
      <w:r>
        <w:rPr>
          <w:color w:val="000000"/>
        </w:rPr>
        <w:t>0.8</w:t>
      </w:r>
      <w:r>
        <w:rPr>
          <w:rFonts w:hint="eastAsia"/>
          <w:color w:val="000000"/>
        </w:rPr>
        <w:t>，平均给料能力</w:t>
      </w:r>
      <w:r>
        <w:rPr>
          <w:color w:val="000000"/>
        </w:rPr>
        <w:t>1600t/h</w:t>
      </w:r>
      <w:r>
        <w:rPr>
          <w:rFonts w:hint="eastAsia"/>
          <w:color w:val="000000"/>
        </w:rPr>
        <w:t>。自卸车物料直接自卸至卸车料斗内，而后通过振动给料机均匀的向带式输送机供料，而后通过带式输送机输送至码头装船。卸车棚内设置卸车临时堆料场地，采用单斗装载机配合作业。</w:t>
      </w:r>
    </w:p>
    <w:p>
      <w:pPr>
        <w:ind w:firstLine="482"/>
        <w:rPr>
          <w:b/>
          <w:color w:val="000000"/>
        </w:rPr>
      </w:pPr>
      <w:r>
        <w:rPr>
          <w:rFonts w:hint="eastAsia"/>
          <w:b/>
          <w:color w:val="000000"/>
        </w:rPr>
        <w:t>（5）清舱作业</w:t>
      </w:r>
    </w:p>
    <w:p>
      <w:pPr>
        <w:ind w:firstLine="480"/>
        <w:rPr>
          <w:color w:val="000000"/>
        </w:rPr>
      </w:pPr>
      <w:r>
        <w:rPr>
          <w:rFonts w:hint="eastAsia"/>
          <w:color w:val="000000"/>
        </w:rPr>
        <w:t>散货船清舱采用清舱机进行。</w:t>
      </w:r>
    </w:p>
    <w:p>
      <w:pPr>
        <w:ind w:firstLine="482"/>
        <w:rPr>
          <w:b/>
          <w:color w:val="000000"/>
        </w:rPr>
      </w:pPr>
      <w:r>
        <w:rPr>
          <w:rFonts w:hint="eastAsia"/>
          <w:b/>
          <w:color w:val="000000"/>
        </w:rPr>
        <w:t>（</w:t>
      </w:r>
      <w:r>
        <w:rPr>
          <w:b/>
          <w:color w:val="000000"/>
        </w:rPr>
        <w:t>6</w:t>
      </w:r>
      <w:r>
        <w:rPr>
          <w:rFonts w:hint="eastAsia"/>
          <w:b/>
          <w:color w:val="000000"/>
        </w:rPr>
        <w:t>）计量</w:t>
      </w:r>
    </w:p>
    <w:p>
      <w:pPr>
        <w:ind w:firstLine="480"/>
        <w:rPr>
          <w:color w:val="000000"/>
        </w:rPr>
      </w:pPr>
      <w:r>
        <w:rPr>
          <w:rFonts w:hint="eastAsia"/>
          <w:color w:val="000000"/>
        </w:rPr>
        <w:t>港区进出大门侧设置地磅用于汽车计量；带式输送机上设置电子皮带秤计量。</w:t>
      </w:r>
    </w:p>
    <w:p>
      <w:pPr>
        <w:ind w:firstLine="482"/>
        <w:rPr>
          <w:b/>
          <w:color w:val="000000"/>
        </w:rPr>
      </w:pPr>
      <w:r>
        <w:rPr>
          <w:rFonts w:hint="eastAsia"/>
          <w:b/>
          <w:color w:val="000000"/>
        </w:rPr>
        <w:t>（</w:t>
      </w:r>
      <w:r>
        <w:rPr>
          <w:b/>
          <w:color w:val="000000"/>
        </w:rPr>
        <w:t>7</w:t>
      </w:r>
      <w:r>
        <w:rPr>
          <w:rFonts w:hint="eastAsia"/>
          <w:b/>
          <w:color w:val="000000"/>
        </w:rPr>
        <w:t>）其他</w:t>
      </w:r>
    </w:p>
    <w:p>
      <w:pPr>
        <w:ind w:firstLine="480"/>
        <w:rPr>
          <w:color w:val="000000"/>
        </w:rPr>
      </w:pPr>
      <w:r>
        <w:rPr>
          <w:rFonts w:hint="eastAsia"/>
          <w:color w:val="000000"/>
        </w:rPr>
        <w:t>输送系统转运站设置电动葫芦用于设备检修。</w:t>
      </w:r>
    </w:p>
    <w:p>
      <w:pPr>
        <w:pStyle w:val="456"/>
        <w:ind w:firstLine="482"/>
      </w:pPr>
      <w:r>
        <w:t>装卸机械设备</w:t>
      </w:r>
    </w:p>
    <w:p>
      <w:pPr>
        <w:pStyle w:val="458"/>
        <w:ind w:firstLine="480"/>
        <w:rPr>
          <w:rFonts w:cs="Times New Roman"/>
          <w:color w:val="auto"/>
        </w:rPr>
      </w:pPr>
      <w:r>
        <w:rPr>
          <w:rFonts w:cs="Times New Roman"/>
          <w:color w:val="auto"/>
        </w:rPr>
        <w:t>根据码头年吞吐量及装卸船、皮带机所配备的作业线数、装卸机械主要技术性能参数等，推荐方案所配置的主要装卸机械设备见下表。</w:t>
      </w:r>
    </w:p>
    <w:p>
      <w:pPr>
        <w:pStyle w:val="2285"/>
        <w:ind w:left="0"/>
        <w:rPr>
          <w:rFonts w:cs="Times New Roman"/>
        </w:rPr>
      </w:pPr>
      <w:r>
        <w:rPr>
          <w:rFonts w:cs="Times New Roman"/>
        </w:rPr>
        <w:t>主要装卸机械设备表</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35"/>
        <w:gridCol w:w="2453"/>
        <w:gridCol w:w="3571"/>
        <w:gridCol w:w="1235"/>
        <w:gridCol w:w="12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96" w:type="pct"/>
            <w:shd w:val="clear" w:color="auto" w:fill="auto"/>
            <w:vAlign w:val="center"/>
          </w:tcPr>
          <w:p>
            <w:pPr>
              <w:widowControl/>
              <w:tabs>
                <w:tab w:val="clear" w:pos="480"/>
              </w:tabs>
              <w:wordWrap w:val="0"/>
              <w:overflowPunct w:val="0"/>
              <w:topLinePunct/>
              <w:spacing w:line="240" w:lineRule="auto"/>
              <w:ind w:firstLine="0" w:firstLineChars="0"/>
              <w:jc w:val="center"/>
              <w:rPr>
                <w:b/>
                <w:snapToGrid w:val="0"/>
                <w:kern w:val="0"/>
                <w:sz w:val="21"/>
                <w:szCs w:val="21"/>
              </w:rPr>
            </w:pPr>
            <w:r>
              <w:rPr>
                <w:b/>
                <w:snapToGrid w:val="0"/>
                <w:kern w:val="0"/>
                <w:sz w:val="21"/>
                <w:szCs w:val="21"/>
              </w:rPr>
              <w:t>序号</w:t>
            </w:r>
          </w:p>
        </w:tc>
        <w:tc>
          <w:tcPr>
            <w:tcW w:w="1321" w:type="pct"/>
            <w:shd w:val="clear" w:color="auto" w:fill="auto"/>
            <w:vAlign w:val="center"/>
          </w:tcPr>
          <w:p>
            <w:pPr>
              <w:widowControl/>
              <w:tabs>
                <w:tab w:val="clear" w:pos="480"/>
              </w:tabs>
              <w:overflowPunct w:val="0"/>
              <w:topLinePunct/>
              <w:spacing w:line="240" w:lineRule="auto"/>
              <w:ind w:firstLine="0" w:firstLineChars="0"/>
              <w:jc w:val="center"/>
              <w:rPr>
                <w:b/>
                <w:snapToGrid w:val="0"/>
                <w:kern w:val="0"/>
                <w:sz w:val="21"/>
                <w:szCs w:val="21"/>
              </w:rPr>
            </w:pPr>
            <w:r>
              <w:rPr>
                <w:b/>
                <w:snapToGrid w:val="0"/>
                <w:kern w:val="0"/>
                <w:sz w:val="21"/>
                <w:szCs w:val="21"/>
              </w:rPr>
              <w:t>名称</w:t>
            </w:r>
          </w:p>
        </w:tc>
        <w:tc>
          <w:tcPr>
            <w:tcW w:w="1923" w:type="pct"/>
            <w:shd w:val="clear" w:color="auto" w:fill="auto"/>
            <w:vAlign w:val="center"/>
          </w:tcPr>
          <w:p>
            <w:pPr>
              <w:widowControl/>
              <w:tabs>
                <w:tab w:val="clear" w:pos="480"/>
              </w:tabs>
              <w:wordWrap w:val="0"/>
              <w:overflowPunct w:val="0"/>
              <w:topLinePunct/>
              <w:spacing w:line="240" w:lineRule="auto"/>
              <w:ind w:firstLine="0" w:firstLineChars="0"/>
              <w:jc w:val="center"/>
              <w:rPr>
                <w:b/>
                <w:snapToGrid w:val="0"/>
                <w:kern w:val="0"/>
                <w:sz w:val="21"/>
                <w:szCs w:val="21"/>
              </w:rPr>
            </w:pPr>
            <w:r>
              <w:rPr>
                <w:b/>
                <w:snapToGrid w:val="0"/>
                <w:kern w:val="0"/>
                <w:sz w:val="21"/>
                <w:szCs w:val="21"/>
              </w:rPr>
              <w:t>规格及型号</w:t>
            </w:r>
          </w:p>
        </w:tc>
        <w:tc>
          <w:tcPr>
            <w:tcW w:w="665" w:type="pct"/>
            <w:shd w:val="clear" w:color="auto" w:fill="auto"/>
            <w:vAlign w:val="center"/>
          </w:tcPr>
          <w:p>
            <w:pPr>
              <w:widowControl/>
              <w:tabs>
                <w:tab w:val="clear" w:pos="480"/>
              </w:tabs>
              <w:wordWrap w:val="0"/>
              <w:overflowPunct w:val="0"/>
              <w:topLinePunct/>
              <w:spacing w:line="240" w:lineRule="auto"/>
              <w:ind w:firstLine="0" w:firstLineChars="0"/>
              <w:jc w:val="center"/>
              <w:rPr>
                <w:b/>
                <w:snapToGrid w:val="0"/>
                <w:kern w:val="0"/>
                <w:sz w:val="21"/>
                <w:szCs w:val="21"/>
              </w:rPr>
            </w:pPr>
            <w:r>
              <w:rPr>
                <w:b/>
                <w:snapToGrid w:val="0"/>
                <w:kern w:val="0"/>
                <w:sz w:val="21"/>
                <w:szCs w:val="21"/>
              </w:rPr>
              <w:t>单位</w:t>
            </w:r>
          </w:p>
        </w:tc>
        <w:tc>
          <w:tcPr>
            <w:tcW w:w="695" w:type="pct"/>
            <w:shd w:val="clear" w:color="auto" w:fill="auto"/>
            <w:vAlign w:val="center"/>
          </w:tcPr>
          <w:p>
            <w:pPr>
              <w:widowControl/>
              <w:tabs>
                <w:tab w:val="clear" w:pos="480"/>
              </w:tabs>
              <w:wordWrap w:val="0"/>
              <w:overflowPunct w:val="0"/>
              <w:topLinePunct/>
              <w:spacing w:line="240" w:lineRule="auto"/>
              <w:ind w:firstLine="0" w:firstLineChars="0"/>
              <w:jc w:val="center"/>
              <w:rPr>
                <w:b/>
                <w:snapToGrid w:val="0"/>
                <w:kern w:val="0"/>
                <w:sz w:val="21"/>
                <w:szCs w:val="21"/>
              </w:rPr>
            </w:pPr>
            <w:r>
              <w:rPr>
                <w:b/>
                <w:snapToGrid w:val="0"/>
                <w:kern w:val="0"/>
                <w:sz w:val="21"/>
                <w:szCs w:val="21"/>
              </w:rPr>
              <w:t>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96" w:type="pct"/>
            <w:shd w:val="clear" w:color="auto" w:fill="auto"/>
            <w:vAlign w:val="center"/>
          </w:tcPr>
          <w:p>
            <w:pPr>
              <w:widowControl/>
              <w:tabs>
                <w:tab w:val="clear" w:pos="480"/>
              </w:tabs>
              <w:overflowPunct w:val="0"/>
              <w:topLinePunct/>
              <w:spacing w:line="240" w:lineRule="auto"/>
              <w:ind w:firstLine="0" w:firstLineChars="0"/>
              <w:jc w:val="center"/>
              <w:rPr>
                <w:snapToGrid w:val="0"/>
                <w:kern w:val="0"/>
                <w:sz w:val="21"/>
                <w:szCs w:val="21"/>
              </w:rPr>
            </w:pPr>
            <w:r>
              <w:rPr>
                <w:snapToGrid w:val="0"/>
                <w:kern w:val="0"/>
                <w:sz w:val="21"/>
                <w:szCs w:val="21"/>
              </w:rPr>
              <w:t>1</w:t>
            </w:r>
          </w:p>
        </w:tc>
        <w:tc>
          <w:tcPr>
            <w:tcW w:w="1321" w:type="pct"/>
            <w:shd w:val="clear" w:color="auto" w:fill="auto"/>
            <w:vAlign w:val="center"/>
          </w:tcPr>
          <w:p>
            <w:pPr>
              <w:widowControl/>
              <w:tabs>
                <w:tab w:val="clear" w:pos="480"/>
              </w:tabs>
              <w:overflowPunct w:val="0"/>
              <w:topLinePunct/>
              <w:spacing w:line="240" w:lineRule="auto"/>
              <w:ind w:firstLine="0" w:firstLineChars="0"/>
              <w:rPr>
                <w:snapToGrid w:val="0"/>
                <w:kern w:val="0"/>
                <w:sz w:val="21"/>
                <w:szCs w:val="21"/>
              </w:rPr>
            </w:pPr>
            <w:r>
              <w:rPr>
                <w:snapToGrid w:val="0"/>
                <w:kern w:val="0"/>
                <w:sz w:val="21"/>
                <w:szCs w:val="21"/>
              </w:rPr>
              <w:t>桥式抓斗卸船机</w:t>
            </w:r>
          </w:p>
        </w:tc>
        <w:tc>
          <w:tcPr>
            <w:tcW w:w="1923" w:type="pct"/>
            <w:shd w:val="clear" w:color="auto" w:fill="auto"/>
            <w:vAlign w:val="center"/>
          </w:tcPr>
          <w:p>
            <w:pPr>
              <w:widowControl/>
              <w:tabs>
                <w:tab w:val="clear" w:pos="480"/>
              </w:tabs>
              <w:overflowPunct w:val="0"/>
              <w:topLinePunct/>
              <w:spacing w:line="240" w:lineRule="auto"/>
              <w:ind w:firstLine="0" w:firstLineChars="0"/>
              <w:rPr>
                <w:snapToGrid w:val="0"/>
                <w:kern w:val="0"/>
                <w:sz w:val="21"/>
                <w:szCs w:val="21"/>
              </w:rPr>
            </w:pPr>
            <w:r>
              <w:rPr>
                <w:snapToGrid w:val="0"/>
                <w:kern w:val="0"/>
                <w:sz w:val="21"/>
                <w:szCs w:val="21"/>
              </w:rPr>
              <w:t>1000t/h，轨距 16m，外伸距 25m</w:t>
            </w:r>
          </w:p>
        </w:tc>
        <w:tc>
          <w:tcPr>
            <w:tcW w:w="665" w:type="pct"/>
            <w:shd w:val="clear" w:color="auto" w:fill="auto"/>
            <w:vAlign w:val="center"/>
          </w:tcPr>
          <w:p>
            <w:pPr>
              <w:widowControl/>
              <w:tabs>
                <w:tab w:val="clear" w:pos="480"/>
              </w:tabs>
              <w:overflowPunct w:val="0"/>
              <w:topLinePunct/>
              <w:spacing w:line="240" w:lineRule="auto"/>
              <w:ind w:firstLine="0" w:firstLineChars="0"/>
              <w:jc w:val="center"/>
              <w:rPr>
                <w:snapToGrid w:val="0"/>
                <w:kern w:val="0"/>
                <w:sz w:val="21"/>
                <w:szCs w:val="21"/>
              </w:rPr>
            </w:pPr>
            <w:r>
              <w:rPr>
                <w:snapToGrid w:val="0"/>
                <w:kern w:val="0"/>
                <w:sz w:val="21"/>
                <w:szCs w:val="21"/>
              </w:rPr>
              <w:t>台</w:t>
            </w:r>
          </w:p>
        </w:tc>
        <w:tc>
          <w:tcPr>
            <w:tcW w:w="695" w:type="pct"/>
            <w:shd w:val="clear" w:color="auto" w:fill="auto"/>
            <w:vAlign w:val="center"/>
          </w:tcPr>
          <w:p>
            <w:pPr>
              <w:widowControl/>
              <w:tabs>
                <w:tab w:val="clear" w:pos="480"/>
              </w:tabs>
              <w:overflowPunct w:val="0"/>
              <w:topLinePunct/>
              <w:spacing w:line="240" w:lineRule="auto"/>
              <w:ind w:firstLine="0" w:firstLineChars="0"/>
              <w:jc w:val="center"/>
              <w:rPr>
                <w:snapToGrid w:val="0"/>
                <w:kern w:val="0"/>
                <w:sz w:val="21"/>
                <w:szCs w:val="21"/>
              </w:rPr>
            </w:pPr>
            <w:r>
              <w:rPr>
                <w:snapToGrid w:val="0"/>
                <w:kern w:val="0"/>
                <w:sz w:val="21"/>
                <w:szCs w:val="21"/>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96" w:type="pct"/>
            <w:shd w:val="clear" w:color="auto" w:fill="auto"/>
            <w:vAlign w:val="center"/>
          </w:tcPr>
          <w:p>
            <w:pPr>
              <w:widowControl/>
              <w:tabs>
                <w:tab w:val="clear" w:pos="480"/>
              </w:tabs>
              <w:wordWrap w:val="0"/>
              <w:overflowPunct w:val="0"/>
              <w:topLinePunct/>
              <w:spacing w:line="240" w:lineRule="auto"/>
              <w:ind w:firstLine="0" w:firstLineChars="0"/>
              <w:jc w:val="center"/>
              <w:rPr>
                <w:snapToGrid w:val="0"/>
                <w:kern w:val="0"/>
                <w:sz w:val="21"/>
                <w:szCs w:val="21"/>
              </w:rPr>
            </w:pPr>
            <w:r>
              <w:rPr>
                <w:snapToGrid w:val="0"/>
                <w:kern w:val="0"/>
                <w:sz w:val="21"/>
                <w:szCs w:val="21"/>
              </w:rPr>
              <w:t>2</w:t>
            </w:r>
          </w:p>
        </w:tc>
        <w:tc>
          <w:tcPr>
            <w:tcW w:w="1321" w:type="pct"/>
            <w:shd w:val="clear" w:color="auto" w:fill="auto"/>
            <w:vAlign w:val="center"/>
          </w:tcPr>
          <w:p>
            <w:pPr>
              <w:widowControl/>
              <w:tabs>
                <w:tab w:val="clear" w:pos="480"/>
              </w:tabs>
              <w:wordWrap w:val="0"/>
              <w:overflowPunct w:val="0"/>
              <w:topLinePunct/>
              <w:spacing w:line="240" w:lineRule="auto"/>
              <w:ind w:firstLine="0" w:firstLineChars="0"/>
              <w:rPr>
                <w:snapToGrid w:val="0"/>
                <w:kern w:val="0"/>
                <w:sz w:val="21"/>
                <w:szCs w:val="21"/>
              </w:rPr>
            </w:pPr>
            <w:r>
              <w:rPr>
                <w:snapToGrid w:val="0"/>
                <w:kern w:val="0"/>
                <w:sz w:val="21"/>
                <w:szCs w:val="21"/>
              </w:rPr>
              <w:t>门座起重机</w:t>
            </w:r>
          </w:p>
        </w:tc>
        <w:tc>
          <w:tcPr>
            <w:tcW w:w="1923" w:type="pct"/>
            <w:shd w:val="clear" w:color="auto" w:fill="auto"/>
            <w:vAlign w:val="center"/>
          </w:tcPr>
          <w:p>
            <w:pPr>
              <w:tabs>
                <w:tab w:val="clear" w:pos="480"/>
              </w:tabs>
              <w:spacing w:line="240" w:lineRule="auto"/>
              <w:ind w:firstLine="0" w:firstLineChars="0"/>
              <w:rPr>
                <w:kern w:val="0"/>
                <w:sz w:val="21"/>
                <w:szCs w:val="21"/>
              </w:rPr>
            </w:pPr>
            <w:r>
              <w:rPr>
                <w:kern w:val="0"/>
                <w:sz w:val="21"/>
                <w:szCs w:val="21"/>
              </w:rPr>
              <w:t>25t-35m，轨距 10.5m</w:t>
            </w:r>
          </w:p>
        </w:tc>
        <w:tc>
          <w:tcPr>
            <w:tcW w:w="66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台</w:t>
            </w:r>
          </w:p>
        </w:tc>
        <w:tc>
          <w:tcPr>
            <w:tcW w:w="69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96" w:type="pct"/>
            <w:shd w:val="clear" w:color="auto" w:fill="auto"/>
            <w:vAlign w:val="center"/>
          </w:tcPr>
          <w:p>
            <w:pPr>
              <w:widowControl/>
              <w:tabs>
                <w:tab w:val="clear" w:pos="480"/>
              </w:tabs>
              <w:wordWrap w:val="0"/>
              <w:overflowPunct w:val="0"/>
              <w:topLinePunct/>
              <w:spacing w:line="240" w:lineRule="auto"/>
              <w:ind w:firstLine="0" w:firstLineChars="0"/>
              <w:jc w:val="center"/>
              <w:rPr>
                <w:snapToGrid w:val="0"/>
                <w:kern w:val="0"/>
                <w:sz w:val="21"/>
                <w:szCs w:val="21"/>
              </w:rPr>
            </w:pPr>
            <w:r>
              <w:rPr>
                <w:snapToGrid w:val="0"/>
                <w:kern w:val="0"/>
                <w:sz w:val="21"/>
                <w:szCs w:val="21"/>
              </w:rPr>
              <w:t>3</w:t>
            </w:r>
          </w:p>
        </w:tc>
        <w:tc>
          <w:tcPr>
            <w:tcW w:w="1321" w:type="pct"/>
            <w:shd w:val="clear" w:color="auto" w:fill="auto"/>
            <w:vAlign w:val="center"/>
          </w:tcPr>
          <w:p>
            <w:pPr>
              <w:widowControl/>
              <w:tabs>
                <w:tab w:val="clear" w:pos="480"/>
              </w:tabs>
              <w:wordWrap w:val="0"/>
              <w:overflowPunct w:val="0"/>
              <w:topLinePunct/>
              <w:spacing w:line="240" w:lineRule="auto"/>
              <w:ind w:firstLine="0" w:firstLineChars="0"/>
              <w:rPr>
                <w:snapToGrid w:val="0"/>
                <w:kern w:val="0"/>
                <w:sz w:val="21"/>
                <w:szCs w:val="21"/>
              </w:rPr>
            </w:pPr>
            <w:r>
              <w:rPr>
                <w:snapToGrid w:val="0"/>
                <w:kern w:val="0"/>
                <w:sz w:val="21"/>
                <w:szCs w:val="21"/>
              </w:rPr>
              <w:t>门座起重机</w:t>
            </w:r>
          </w:p>
        </w:tc>
        <w:tc>
          <w:tcPr>
            <w:tcW w:w="1923" w:type="pct"/>
            <w:shd w:val="clear" w:color="auto" w:fill="auto"/>
            <w:vAlign w:val="center"/>
          </w:tcPr>
          <w:p>
            <w:pPr>
              <w:tabs>
                <w:tab w:val="clear" w:pos="480"/>
              </w:tabs>
              <w:spacing w:line="240" w:lineRule="auto"/>
              <w:ind w:firstLine="0" w:firstLineChars="0"/>
              <w:rPr>
                <w:kern w:val="0"/>
                <w:sz w:val="21"/>
                <w:szCs w:val="21"/>
              </w:rPr>
            </w:pPr>
            <w:r>
              <w:rPr>
                <w:kern w:val="0"/>
                <w:sz w:val="21"/>
                <w:szCs w:val="21"/>
              </w:rPr>
              <w:t>40t-35m，轨距 10.5m</w:t>
            </w:r>
          </w:p>
        </w:tc>
        <w:tc>
          <w:tcPr>
            <w:tcW w:w="66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台</w:t>
            </w:r>
          </w:p>
        </w:tc>
        <w:tc>
          <w:tcPr>
            <w:tcW w:w="69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96" w:type="pct"/>
            <w:shd w:val="clear" w:color="auto" w:fill="auto"/>
            <w:vAlign w:val="center"/>
          </w:tcPr>
          <w:p>
            <w:pPr>
              <w:widowControl/>
              <w:tabs>
                <w:tab w:val="clear" w:pos="480"/>
              </w:tabs>
              <w:wordWrap w:val="0"/>
              <w:overflowPunct w:val="0"/>
              <w:topLinePunct/>
              <w:spacing w:line="240" w:lineRule="auto"/>
              <w:ind w:firstLine="0" w:firstLineChars="0"/>
              <w:jc w:val="center"/>
              <w:rPr>
                <w:snapToGrid w:val="0"/>
                <w:kern w:val="0"/>
                <w:sz w:val="21"/>
                <w:szCs w:val="21"/>
              </w:rPr>
            </w:pPr>
            <w:r>
              <w:rPr>
                <w:snapToGrid w:val="0"/>
                <w:kern w:val="0"/>
                <w:sz w:val="21"/>
                <w:szCs w:val="21"/>
              </w:rPr>
              <w:t>4</w:t>
            </w:r>
          </w:p>
        </w:tc>
        <w:tc>
          <w:tcPr>
            <w:tcW w:w="1321" w:type="pct"/>
            <w:shd w:val="clear" w:color="auto" w:fill="auto"/>
            <w:vAlign w:val="center"/>
          </w:tcPr>
          <w:p>
            <w:pPr>
              <w:ind w:firstLine="0" w:firstLineChars="0"/>
              <w:rPr>
                <w:kern w:val="0"/>
                <w:sz w:val="21"/>
                <w:szCs w:val="21"/>
              </w:rPr>
            </w:pPr>
            <w:r>
              <w:rPr>
                <w:kern w:val="0"/>
                <w:sz w:val="21"/>
                <w:szCs w:val="21"/>
              </w:rPr>
              <w:t>轨道式移动装船机</w:t>
            </w:r>
          </w:p>
        </w:tc>
        <w:tc>
          <w:tcPr>
            <w:tcW w:w="1923" w:type="pct"/>
            <w:shd w:val="clear" w:color="auto" w:fill="auto"/>
            <w:vAlign w:val="center"/>
          </w:tcPr>
          <w:p>
            <w:pPr>
              <w:tabs>
                <w:tab w:val="clear" w:pos="480"/>
              </w:tabs>
              <w:spacing w:line="240" w:lineRule="auto"/>
              <w:ind w:firstLine="0" w:firstLineChars="0"/>
              <w:rPr>
                <w:kern w:val="0"/>
                <w:sz w:val="21"/>
                <w:szCs w:val="21"/>
              </w:rPr>
            </w:pPr>
            <w:r>
              <w:rPr>
                <w:kern w:val="0"/>
                <w:sz w:val="21"/>
                <w:szCs w:val="21"/>
              </w:rPr>
              <w:t>1600t/h，轨距 10.5m，外伸距 20m</w:t>
            </w:r>
          </w:p>
        </w:tc>
        <w:tc>
          <w:tcPr>
            <w:tcW w:w="66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台</w:t>
            </w:r>
          </w:p>
        </w:tc>
        <w:tc>
          <w:tcPr>
            <w:tcW w:w="69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96" w:type="pct"/>
            <w:shd w:val="clear" w:color="auto" w:fill="auto"/>
            <w:vAlign w:val="center"/>
          </w:tcPr>
          <w:p>
            <w:pPr>
              <w:widowControl/>
              <w:tabs>
                <w:tab w:val="clear" w:pos="480"/>
              </w:tabs>
              <w:wordWrap w:val="0"/>
              <w:overflowPunct w:val="0"/>
              <w:topLinePunct/>
              <w:spacing w:line="240" w:lineRule="auto"/>
              <w:ind w:firstLine="0" w:firstLineChars="0"/>
              <w:jc w:val="center"/>
              <w:rPr>
                <w:snapToGrid w:val="0"/>
                <w:kern w:val="0"/>
                <w:sz w:val="21"/>
                <w:szCs w:val="21"/>
              </w:rPr>
            </w:pPr>
            <w:r>
              <w:rPr>
                <w:snapToGrid w:val="0"/>
                <w:kern w:val="0"/>
                <w:sz w:val="21"/>
                <w:szCs w:val="21"/>
              </w:rPr>
              <w:t>5</w:t>
            </w:r>
          </w:p>
        </w:tc>
        <w:tc>
          <w:tcPr>
            <w:tcW w:w="1321" w:type="pct"/>
            <w:shd w:val="clear" w:color="auto" w:fill="auto"/>
            <w:vAlign w:val="center"/>
          </w:tcPr>
          <w:p>
            <w:pPr>
              <w:ind w:firstLine="0" w:firstLineChars="0"/>
              <w:rPr>
                <w:kern w:val="0"/>
                <w:sz w:val="21"/>
                <w:szCs w:val="21"/>
              </w:rPr>
            </w:pPr>
            <w:r>
              <w:rPr>
                <w:kern w:val="0"/>
                <w:sz w:val="21"/>
                <w:szCs w:val="21"/>
              </w:rPr>
              <w:t>螺旋卸船机</w:t>
            </w:r>
          </w:p>
        </w:tc>
        <w:tc>
          <w:tcPr>
            <w:tcW w:w="1923" w:type="pct"/>
            <w:shd w:val="clear" w:color="auto" w:fill="auto"/>
            <w:vAlign w:val="center"/>
          </w:tcPr>
          <w:p>
            <w:pPr>
              <w:tabs>
                <w:tab w:val="clear" w:pos="480"/>
              </w:tabs>
              <w:spacing w:line="240" w:lineRule="auto"/>
              <w:ind w:firstLine="0" w:firstLineChars="0"/>
              <w:rPr>
                <w:kern w:val="0"/>
                <w:sz w:val="21"/>
                <w:szCs w:val="21"/>
              </w:rPr>
            </w:pPr>
            <w:r>
              <w:rPr>
                <w:kern w:val="0"/>
                <w:sz w:val="21"/>
                <w:szCs w:val="21"/>
              </w:rPr>
              <w:t>500t/h，轨距 16m，外伸距 17m</w:t>
            </w:r>
          </w:p>
        </w:tc>
        <w:tc>
          <w:tcPr>
            <w:tcW w:w="66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台</w:t>
            </w:r>
          </w:p>
        </w:tc>
        <w:tc>
          <w:tcPr>
            <w:tcW w:w="69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96" w:type="pct"/>
            <w:shd w:val="clear" w:color="auto" w:fill="auto"/>
            <w:vAlign w:val="center"/>
          </w:tcPr>
          <w:p>
            <w:pPr>
              <w:widowControl/>
              <w:tabs>
                <w:tab w:val="clear" w:pos="480"/>
              </w:tabs>
              <w:wordWrap w:val="0"/>
              <w:overflowPunct w:val="0"/>
              <w:topLinePunct/>
              <w:spacing w:line="240" w:lineRule="auto"/>
              <w:ind w:firstLine="0" w:firstLineChars="0"/>
              <w:jc w:val="center"/>
              <w:rPr>
                <w:snapToGrid w:val="0"/>
                <w:kern w:val="0"/>
                <w:sz w:val="21"/>
                <w:szCs w:val="21"/>
              </w:rPr>
            </w:pPr>
            <w:r>
              <w:rPr>
                <w:snapToGrid w:val="0"/>
                <w:kern w:val="0"/>
                <w:sz w:val="21"/>
                <w:szCs w:val="21"/>
              </w:rPr>
              <w:t>6</w:t>
            </w:r>
          </w:p>
        </w:tc>
        <w:tc>
          <w:tcPr>
            <w:tcW w:w="1321" w:type="pct"/>
            <w:shd w:val="clear" w:color="auto" w:fill="auto"/>
            <w:vAlign w:val="center"/>
          </w:tcPr>
          <w:p>
            <w:pPr>
              <w:ind w:firstLine="0" w:firstLineChars="0"/>
              <w:rPr>
                <w:kern w:val="0"/>
                <w:sz w:val="21"/>
                <w:szCs w:val="21"/>
              </w:rPr>
            </w:pPr>
            <w:r>
              <w:rPr>
                <w:kern w:val="0"/>
                <w:sz w:val="21"/>
                <w:szCs w:val="21"/>
              </w:rPr>
              <w:t>轨道式龙门起重机</w:t>
            </w:r>
          </w:p>
        </w:tc>
        <w:tc>
          <w:tcPr>
            <w:tcW w:w="1923" w:type="pct"/>
            <w:shd w:val="clear" w:color="auto" w:fill="auto"/>
            <w:vAlign w:val="center"/>
          </w:tcPr>
          <w:p>
            <w:pPr>
              <w:tabs>
                <w:tab w:val="clear" w:pos="480"/>
              </w:tabs>
              <w:spacing w:line="240" w:lineRule="auto"/>
              <w:ind w:firstLine="0" w:firstLineChars="0"/>
              <w:rPr>
                <w:kern w:val="0"/>
                <w:sz w:val="21"/>
                <w:szCs w:val="21"/>
              </w:rPr>
            </w:pPr>
            <w:r>
              <w:rPr>
                <w:kern w:val="0"/>
                <w:sz w:val="21"/>
                <w:szCs w:val="21"/>
              </w:rPr>
              <w:t>40t-40m</w:t>
            </w:r>
          </w:p>
        </w:tc>
        <w:tc>
          <w:tcPr>
            <w:tcW w:w="66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台</w:t>
            </w:r>
          </w:p>
        </w:tc>
        <w:tc>
          <w:tcPr>
            <w:tcW w:w="69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96" w:type="pct"/>
            <w:shd w:val="clear" w:color="auto" w:fill="auto"/>
            <w:vAlign w:val="center"/>
          </w:tcPr>
          <w:p>
            <w:pPr>
              <w:widowControl/>
              <w:tabs>
                <w:tab w:val="clear" w:pos="480"/>
              </w:tabs>
              <w:wordWrap w:val="0"/>
              <w:overflowPunct w:val="0"/>
              <w:topLinePunct/>
              <w:spacing w:line="240" w:lineRule="auto"/>
              <w:ind w:firstLine="0" w:firstLineChars="0"/>
              <w:jc w:val="center"/>
              <w:rPr>
                <w:snapToGrid w:val="0"/>
                <w:kern w:val="0"/>
                <w:sz w:val="21"/>
                <w:szCs w:val="21"/>
              </w:rPr>
            </w:pPr>
            <w:r>
              <w:rPr>
                <w:snapToGrid w:val="0"/>
                <w:kern w:val="0"/>
                <w:sz w:val="21"/>
                <w:szCs w:val="21"/>
              </w:rPr>
              <w:t>7</w:t>
            </w:r>
          </w:p>
        </w:tc>
        <w:tc>
          <w:tcPr>
            <w:tcW w:w="1321" w:type="pct"/>
            <w:shd w:val="clear" w:color="auto" w:fill="auto"/>
            <w:vAlign w:val="center"/>
          </w:tcPr>
          <w:p>
            <w:pPr>
              <w:ind w:firstLine="0" w:firstLineChars="0"/>
              <w:rPr>
                <w:kern w:val="0"/>
                <w:sz w:val="21"/>
                <w:szCs w:val="21"/>
              </w:rPr>
            </w:pPr>
            <w:r>
              <w:rPr>
                <w:kern w:val="0"/>
                <w:sz w:val="21"/>
                <w:szCs w:val="21"/>
              </w:rPr>
              <w:t>单斗装载机</w:t>
            </w:r>
          </w:p>
        </w:tc>
        <w:tc>
          <w:tcPr>
            <w:tcW w:w="1923" w:type="pct"/>
            <w:shd w:val="clear" w:color="auto" w:fill="auto"/>
            <w:vAlign w:val="center"/>
          </w:tcPr>
          <w:p>
            <w:pPr>
              <w:tabs>
                <w:tab w:val="clear" w:pos="480"/>
              </w:tabs>
              <w:spacing w:line="240" w:lineRule="auto"/>
              <w:ind w:firstLine="0" w:firstLineChars="0"/>
              <w:rPr>
                <w:kern w:val="0"/>
                <w:sz w:val="21"/>
                <w:szCs w:val="21"/>
              </w:rPr>
            </w:pPr>
            <w:r>
              <w:rPr>
                <w:kern w:val="0"/>
                <w:sz w:val="21"/>
                <w:szCs w:val="21"/>
              </w:rPr>
              <w:t>ZL50</w:t>
            </w:r>
          </w:p>
        </w:tc>
        <w:tc>
          <w:tcPr>
            <w:tcW w:w="66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台</w:t>
            </w:r>
          </w:p>
        </w:tc>
        <w:tc>
          <w:tcPr>
            <w:tcW w:w="69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96" w:type="pct"/>
            <w:shd w:val="clear" w:color="auto" w:fill="auto"/>
            <w:vAlign w:val="center"/>
          </w:tcPr>
          <w:p>
            <w:pPr>
              <w:widowControl/>
              <w:tabs>
                <w:tab w:val="clear" w:pos="480"/>
              </w:tabs>
              <w:wordWrap w:val="0"/>
              <w:overflowPunct w:val="0"/>
              <w:topLinePunct/>
              <w:spacing w:line="240" w:lineRule="auto"/>
              <w:ind w:firstLine="0" w:firstLineChars="0"/>
              <w:jc w:val="center"/>
              <w:rPr>
                <w:snapToGrid w:val="0"/>
                <w:kern w:val="0"/>
                <w:sz w:val="21"/>
                <w:szCs w:val="21"/>
              </w:rPr>
            </w:pPr>
            <w:r>
              <w:rPr>
                <w:snapToGrid w:val="0"/>
                <w:kern w:val="0"/>
                <w:sz w:val="21"/>
                <w:szCs w:val="21"/>
              </w:rPr>
              <w:t>8</w:t>
            </w:r>
          </w:p>
        </w:tc>
        <w:tc>
          <w:tcPr>
            <w:tcW w:w="1321" w:type="pct"/>
            <w:shd w:val="clear" w:color="auto" w:fill="auto"/>
            <w:vAlign w:val="center"/>
          </w:tcPr>
          <w:p>
            <w:pPr>
              <w:ind w:firstLine="0" w:firstLineChars="0"/>
              <w:rPr>
                <w:kern w:val="0"/>
                <w:sz w:val="21"/>
                <w:szCs w:val="21"/>
              </w:rPr>
            </w:pPr>
            <w:r>
              <w:rPr>
                <w:kern w:val="0"/>
                <w:sz w:val="21"/>
                <w:szCs w:val="21"/>
              </w:rPr>
              <w:t>自卸车</w:t>
            </w:r>
          </w:p>
        </w:tc>
        <w:tc>
          <w:tcPr>
            <w:tcW w:w="1923" w:type="pct"/>
            <w:shd w:val="clear" w:color="auto" w:fill="auto"/>
            <w:vAlign w:val="center"/>
          </w:tcPr>
          <w:p>
            <w:pPr>
              <w:tabs>
                <w:tab w:val="clear" w:pos="480"/>
              </w:tabs>
              <w:spacing w:line="240" w:lineRule="auto"/>
              <w:ind w:firstLine="0" w:firstLineChars="0"/>
              <w:rPr>
                <w:kern w:val="0"/>
                <w:sz w:val="21"/>
                <w:szCs w:val="21"/>
              </w:rPr>
            </w:pPr>
            <w:r>
              <w:rPr>
                <w:kern w:val="0"/>
                <w:sz w:val="21"/>
                <w:szCs w:val="21"/>
              </w:rPr>
              <w:t>载重30t</w:t>
            </w:r>
          </w:p>
        </w:tc>
        <w:tc>
          <w:tcPr>
            <w:tcW w:w="66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台</w:t>
            </w:r>
          </w:p>
        </w:tc>
        <w:tc>
          <w:tcPr>
            <w:tcW w:w="69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96" w:type="pct"/>
            <w:shd w:val="clear" w:color="auto" w:fill="auto"/>
            <w:vAlign w:val="center"/>
          </w:tcPr>
          <w:p>
            <w:pPr>
              <w:widowControl/>
              <w:tabs>
                <w:tab w:val="clear" w:pos="480"/>
              </w:tabs>
              <w:wordWrap w:val="0"/>
              <w:overflowPunct w:val="0"/>
              <w:topLinePunct/>
              <w:spacing w:line="240" w:lineRule="auto"/>
              <w:ind w:firstLine="0" w:firstLineChars="0"/>
              <w:jc w:val="center"/>
              <w:rPr>
                <w:snapToGrid w:val="0"/>
                <w:kern w:val="0"/>
                <w:sz w:val="21"/>
                <w:szCs w:val="21"/>
              </w:rPr>
            </w:pPr>
            <w:r>
              <w:rPr>
                <w:snapToGrid w:val="0"/>
                <w:kern w:val="0"/>
                <w:sz w:val="21"/>
                <w:szCs w:val="21"/>
              </w:rPr>
              <w:t>9</w:t>
            </w:r>
          </w:p>
        </w:tc>
        <w:tc>
          <w:tcPr>
            <w:tcW w:w="1321" w:type="pct"/>
            <w:shd w:val="clear" w:color="auto" w:fill="auto"/>
            <w:vAlign w:val="center"/>
          </w:tcPr>
          <w:p>
            <w:pPr>
              <w:ind w:firstLine="0" w:firstLineChars="0"/>
              <w:rPr>
                <w:kern w:val="0"/>
                <w:sz w:val="21"/>
                <w:szCs w:val="21"/>
              </w:rPr>
            </w:pPr>
            <w:r>
              <w:rPr>
                <w:kern w:val="0"/>
                <w:sz w:val="21"/>
                <w:szCs w:val="21"/>
              </w:rPr>
              <w:t>地坑料斗</w:t>
            </w:r>
          </w:p>
        </w:tc>
        <w:tc>
          <w:tcPr>
            <w:tcW w:w="1923" w:type="pct"/>
            <w:shd w:val="clear" w:color="auto" w:fill="auto"/>
            <w:vAlign w:val="center"/>
          </w:tcPr>
          <w:p>
            <w:pPr>
              <w:tabs>
                <w:tab w:val="clear" w:pos="480"/>
              </w:tabs>
              <w:spacing w:line="240" w:lineRule="auto"/>
              <w:ind w:firstLine="0" w:firstLineChars="0"/>
              <w:rPr>
                <w:kern w:val="0"/>
                <w:sz w:val="21"/>
                <w:szCs w:val="21"/>
              </w:rPr>
            </w:pPr>
            <w:r>
              <w:rPr>
                <w:kern w:val="0"/>
                <w:sz w:val="21"/>
                <w:szCs w:val="21"/>
              </w:rPr>
              <w:t>5m×5m</w:t>
            </w:r>
          </w:p>
        </w:tc>
        <w:tc>
          <w:tcPr>
            <w:tcW w:w="66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个</w:t>
            </w:r>
          </w:p>
        </w:tc>
        <w:tc>
          <w:tcPr>
            <w:tcW w:w="69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96" w:type="pct"/>
            <w:shd w:val="clear" w:color="auto" w:fill="auto"/>
            <w:vAlign w:val="center"/>
          </w:tcPr>
          <w:p>
            <w:pPr>
              <w:widowControl/>
              <w:tabs>
                <w:tab w:val="clear" w:pos="480"/>
              </w:tabs>
              <w:wordWrap w:val="0"/>
              <w:overflowPunct w:val="0"/>
              <w:topLinePunct/>
              <w:spacing w:line="240" w:lineRule="auto"/>
              <w:ind w:firstLine="0" w:firstLineChars="0"/>
              <w:jc w:val="center"/>
              <w:rPr>
                <w:snapToGrid w:val="0"/>
                <w:kern w:val="0"/>
                <w:sz w:val="21"/>
                <w:szCs w:val="21"/>
              </w:rPr>
            </w:pPr>
            <w:r>
              <w:rPr>
                <w:snapToGrid w:val="0"/>
                <w:kern w:val="0"/>
                <w:sz w:val="21"/>
                <w:szCs w:val="21"/>
              </w:rPr>
              <w:t>10</w:t>
            </w:r>
          </w:p>
        </w:tc>
        <w:tc>
          <w:tcPr>
            <w:tcW w:w="1321" w:type="pct"/>
            <w:shd w:val="clear" w:color="auto" w:fill="auto"/>
            <w:vAlign w:val="center"/>
          </w:tcPr>
          <w:p>
            <w:pPr>
              <w:ind w:firstLine="0" w:firstLineChars="0"/>
              <w:rPr>
                <w:kern w:val="0"/>
                <w:sz w:val="21"/>
                <w:szCs w:val="21"/>
              </w:rPr>
            </w:pPr>
            <w:r>
              <w:rPr>
                <w:kern w:val="0"/>
                <w:sz w:val="21"/>
                <w:szCs w:val="21"/>
              </w:rPr>
              <w:t>集料斗</w:t>
            </w:r>
          </w:p>
        </w:tc>
        <w:tc>
          <w:tcPr>
            <w:tcW w:w="1923" w:type="pct"/>
            <w:shd w:val="clear" w:color="auto" w:fill="auto"/>
            <w:vAlign w:val="center"/>
          </w:tcPr>
          <w:p>
            <w:pPr>
              <w:tabs>
                <w:tab w:val="clear" w:pos="480"/>
              </w:tabs>
              <w:spacing w:line="240" w:lineRule="auto"/>
              <w:ind w:firstLine="0" w:firstLineChars="0"/>
              <w:rPr>
                <w:kern w:val="0"/>
                <w:sz w:val="21"/>
                <w:szCs w:val="21"/>
              </w:rPr>
            </w:pPr>
            <w:r>
              <w:rPr>
                <w:kern w:val="0"/>
                <w:sz w:val="21"/>
                <w:szCs w:val="21"/>
              </w:rPr>
              <w:t>25 方</w:t>
            </w:r>
          </w:p>
        </w:tc>
        <w:tc>
          <w:tcPr>
            <w:tcW w:w="66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个</w:t>
            </w:r>
          </w:p>
        </w:tc>
        <w:tc>
          <w:tcPr>
            <w:tcW w:w="69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7" w:hRule="exact"/>
          <w:jc w:val="center"/>
        </w:trPr>
        <w:tc>
          <w:tcPr>
            <w:tcW w:w="396" w:type="pct"/>
            <w:shd w:val="clear" w:color="auto" w:fill="auto"/>
            <w:vAlign w:val="center"/>
          </w:tcPr>
          <w:p>
            <w:pPr>
              <w:widowControl/>
              <w:tabs>
                <w:tab w:val="clear" w:pos="480"/>
              </w:tabs>
              <w:wordWrap w:val="0"/>
              <w:overflowPunct w:val="0"/>
              <w:topLinePunct/>
              <w:spacing w:line="240" w:lineRule="auto"/>
              <w:ind w:firstLine="0" w:firstLineChars="0"/>
              <w:jc w:val="center"/>
              <w:rPr>
                <w:snapToGrid w:val="0"/>
                <w:kern w:val="0"/>
                <w:sz w:val="21"/>
                <w:szCs w:val="21"/>
              </w:rPr>
            </w:pPr>
            <w:r>
              <w:rPr>
                <w:snapToGrid w:val="0"/>
                <w:kern w:val="0"/>
                <w:sz w:val="21"/>
                <w:szCs w:val="21"/>
              </w:rPr>
              <w:t>11</w:t>
            </w:r>
          </w:p>
        </w:tc>
        <w:tc>
          <w:tcPr>
            <w:tcW w:w="1321" w:type="pct"/>
            <w:shd w:val="clear" w:color="auto" w:fill="auto"/>
            <w:vAlign w:val="center"/>
          </w:tcPr>
          <w:p>
            <w:pPr>
              <w:spacing w:line="240" w:lineRule="auto"/>
              <w:ind w:firstLine="0" w:firstLineChars="0"/>
              <w:rPr>
                <w:kern w:val="0"/>
                <w:sz w:val="21"/>
                <w:szCs w:val="21"/>
              </w:rPr>
            </w:pPr>
            <w:r>
              <w:rPr>
                <w:kern w:val="0"/>
                <w:sz w:val="21"/>
                <w:szCs w:val="21"/>
              </w:rPr>
              <w:t>带式输送机</w:t>
            </w:r>
            <w:r>
              <w:rPr>
                <w:rFonts w:hint="eastAsia"/>
                <w:kern w:val="0"/>
                <w:sz w:val="21"/>
                <w:szCs w:val="21"/>
              </w:rPr>
              <w:t>B</w:t>
            </w:r>
            <w:r>
              <w:rPr>
                <w:kern w:val="0"/>
                <w:sz w:val="21"/>
                <w:szCs w:val="21"/>
              </w:rPr>
              <w:t>C01-BC16</w:t>
            </w:r>
          </w:p>
        </w:tc>
        <w:tc>
          <w:tcPr>
            <w:tcW w:w="1923" w:type="pct"/>
            <w:shd w:val="clear" w:color="auto" w:fill="auto"/>
            <w:vAlign w:val="center"/>
          </w:tcPr>
          <w:p>
            <w:pPr>
              <w:tabs>
                <w:tab w:val="clear" w:pos="480"/>
              </w:tabs>
              <w:spacing w:line="240" w:lineRule="auto"/>
              <w:ind w:firstLine="0" w:firstLineChars="0"/>
              <w:rPr>
                <w:kern w:val="0"/>
                <w:sz w:val="21"/>
                <w:szCs w:val="21"/>
              </w:rPr>
            </w:pPr>
            <w:r>
              <w:rPr>
                <w:kern w:val="0"/>
                <w:sz w:val="21"/>
                <w:szCs w:val="21"/>
              </w:rPr>
              <w:t>B=1400mm，Q=2000t/h</w:t>
            </w:r>
          </w:p>
        </w:tc>
        <w:tc>
          <w:tcPr>
            <w:tcW w:w="66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m</w:t>
            </w:r>
          </w:p>
        </w:tc>
        <w:tc>
          <w:tcPr>
            <w:tcW w:w="69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2756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5" w:hRule="exact"/>
          <w:jc w:val="center"/>
        </w:trPr>
        <w:tc>
          <w:tcPr>
            <w:tcW w:w="396" w:type="pct"/>
            <w:shd w:val="clear" w:color="auto" w:fill="auto"/>
            <w:vAlign w:val="center"/>
          </w:tcPr>
          <w:p>
            <w:pPr>
              <w:widowControl/>
              <w:tabs>
                <w:tab w:val="clear" w:pos="480"/>
              </w:tabs>
              <w:wordWrap w:val="0"/>
              <w:overflowPunct w:val="0"/>
              <w:topLinePunct/>
              <w:spacing w:line="240" w:lineRule="auto"/>
              <w:ind w:firstLine="0" w:firstLineChars="0"/>
              <w:jc w:val="center"/>
              <w:rPr>
                <w:snapToGrid w:val="0"/>
                <w:kern w:val="0"/>
                <w:sz w:val="21"/>
                <w:szCs w:val="21"/>
              </w:rPr>
            </w:pPr>
            <w:r>
              <w:rPr>
                <w:snapToGrid w:val="0"/>
                <w:kern w:val="0"/>
                <w:sz w:val="21"/>
                <w:szCs w:val="21"/>
              </w:rPr>
              <w:t>12</w:t>
            </w:r>
          </w:p>
        </w:tc>
        <w:tc>
          <w:tcPr>
            <w:tcW w:w="1321" w:type="pct"/>
            <w:shd w:val="clear" w:color="auto" w:fill="auto"/>
            <w:vAlign w:val="center"/>
          </w:tcPr>
          <w:p>
            <w:pPr>
              <w:spacing w:line="240" w:lineRule="auto"/>
              <w:ind w:firstLine="0" w:firstLineChars="0"/>
              <w:rPr>
                <w:kern w:val="0"/>
                <w:sz w:val="21"/>
                <w:szCs w:val="21"/>
              </w:rPr>
            </w:pPr>
            <w:r>
              <w:rPr>
                <w:kern w:val="0"/>
                <w:sz w:val="21"/>
                <w:szCs w:val="21"/>
              </w:rPr>
              <w:t>带式输送机</w:t>
            </w:r>
            <w:r>
              <w:rPr>
                <w:rFonts w:hint="eastAsia"/>
                <w:kern w:val="0"/>
                <w:sz w:val="21"/>
                <w:szCs w:val="21"/>
              </w:rPr>
              <w:t>B</w:t>
            </w:r>
            <w:r>
              <w:rPr>
                <w:kern w:val="0"/>
                <w:sz w:val="21"/>
                <w:szCs w:val="21"/>
              </w:rPr>
              <w:t>C17-BC18</w:t>
            </w:r>
          </w:p>
        </w:tc>
        <w:tc>
          <w:tcPr>
            <w:tcW w:w="1923" w:type="pct"/>
            <w:shd w:val="clear" w:color="auto" w:fill="auto"/>
            <w:vAlign w:val="center"/>
          </w:tcPr>
          <w:p>
            <w:pPr>
              <w:tabs>
                <w:tab w:val="clear" w:pos="480"/>
              </w:tabs>
              <w:spacing w:line="240" w:lineRule="auto"/>
              <w:ind w:firstLine="0" w:firstLineChars="0"/>
              <w:rPr>
                <w:kern w:val="0"/>
                <w:sz w:val="21"/>
                <w:szCs w:val="21"/>
              </w:rPr>
            </w:pPr>
            <w:r>
              <w:rPr>
                <w:kern w:val="0"/>
                <w:sz w:val="21"/>
                <w:szCs w:val="21"/>
              </w:rPr>
              <w:t>B=1200mm，Q=1200t/h</w:t>
            </w:r>
          </w:p>
        </w:tc>
        <w:tc>
          <w:tcPr>
            <w:tcW w:w="66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m</w:t>
            </w:r>
          </w:p>
        </w:tc>
        <w:tc>
          <w:tcPr>
            <w:tcW w:w="69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311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7" w:hRule="exact"/>
          <w:jc w:val="center"/>
        </w:trPr>
        <w:tc>
          <w:tcPr>
            <w:tcW w:w="396" w:type="pct"/>
            <w:shd w:val="clear" w:color="auto" w:fill="auto"/>
            <w:vAlign w:val="center"/>
          </w:tcPr>
          <w:p>
            <w:pPr>
              <w:widowControl/>
              <w:tabs>
                <w:tab w:val="clear" w:pos="480"/>
              </w:tabs>
              <w:wordWrap w:val="0"/>
              <w:overflowPunct w:val="0"/>
              <w:topLinePunct/>
              <w:spacing w:line="240" w:lineRule="auto"/>
              <w:ind w:firstLine="0" w:firstLineChars="0"/>
              <w:jc w:val="center"/>
              <w:rPr>
                <w:snapToGrid w:val="0"/>
                <w:kern w:val="0"/>
                <w:sz w:val="21"/>
                <w:szCs w:val="21"/>
              </w:rPr>
            </w:pPr>
            <w:r>
              <w:rPr>
                <w:snapToGrid w:val="0"/>
                <w:kern w:val="0"/>
                <w:sz w:val="21"/>
                <w:szCs w:val="21"/>
              </w:rPr>
              <w:t>13</w:t>
            </w:r>
          </w:p>
        </w:tc>
        <w:tc>
          <w:tcPr>
            <w:tcW w:w="1321" w:type="pct"/>
            <w:shd w:val="clear" w:color="auto" w:fill="auto"/>
            <w:vAlign w:val="center"/>
          </w:tcPr>
          <w:p>
            <w:pPr>
              <w:ind w:firstLine="0" w:firstLineChars="0"/>
              <w:rPr>
                <w:kern w:val="0"/>
                <w:sz w:val="21"/>
                <w:szCs w:val="21"/>
              </w:rPr>
            </w:pPr>
            <w:r>
              <w:rPr>
                <w:kern w:val="0"/>
                <w:sz w:val="21"/>
                <w:szCs w:val="21"/>
              </w:rPr>
              <w:t>抛料小车</w:t>
            </w:r>
          </w:p>
        </w:tc>
        <w:tc>
          <w:tcPr>
            <w:tcW w:w="1923" w:type="pct"/>
            <w:shd w:val="clear" w:color="auto" w:fill="auto"/>
            <w:vAlign w:val="center"/>
          </w:tcPr>
          <w:p>
            <w:pPr>
              <w:tabs>
                <w:tab w:val="clear" w:pos="480"/>
              </w:tabs>
              <w:spacing w:line="240" w:lineRule="auto"/>
              <w:ind w:firstLine="0" w:firstLineChars="0"/>
              <w:rPr>
                <w:kern w:val="0"/>
                <w:sz w:val="21"/>
                <w:szCs w:val="21"/>
              </w:rPr>
            </w:pPr>
            <w:r>
              <w:rPr>
                <w:kern w:val="0"/>
                <w:sz w:val="21"/>
                <w:szCs w:val="21"/>
              </w:rPr>
              <w:t>Q=1600t/h，双侧抛料</w:t>
            </w:r>
          </w:p>
        </w:tc>
        <w:tc>
          <w:tcPr>
            <w:tcW w:w="66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台</w:t>
            </w:r>
          </w:p>
        </w:tc>
        <w:tc>
          <w:tcPr>
            <w:tcW w:w="69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96" w:type="pct"/>
            <w:shd w:val="clear" w:color="auto" w:fill="auto"/>
            <w:vAlign w:val="center"/>
          </w:tcPr>
          <w:p>
            <w:pPr>
              <w:widowControl/>
              <w:tabs>
                <w:tab w:val="clear" w:pos="480"/>
              </w:tabs>
              <w:wordWrap w:val="0"/>
              <w:overflowPunct w:val="0"/>
              <w:topLinePunct/>
              <w:spacing w:line="240" w:lineRule="auto"/>
              <w:ind w:firstLine="0" w:firstLineChars="0"/>
              <w:jc w:val="center"/>
              <w:rPr>
                <w:snapToGrid w:val="0"/>
                <w:kern w:val="0"/>
                <w:sz w:val="21"/>
                <w:szCs w:val="21"/>
              </w:rPr>
            </w:pPr>
            <w:r>
              <w:rPr>
                <w:snapToGrid w:val="0"/>
                <w:kern w:val="0"/>
                <w:sz w:val="21"/>
                <w:szCs w:val="21"/>
              </w:rPr>
              <w:t>14</w:t>
            </w:r>
          </w:p>
        </w:tc>
        <w:tc>
          <w:tcPr>
            <w:tcW w:w="1321" w:type="pct"/>
            <w:shd w:val="clear" w:color="auto" w:fill="auto"/>
            <w:vAlign w:val="center"/>
          </w:tcPr>
          <w:p>
            <w:pPr>
              <w:ind w:firstLine="0" w:firstLineChars="0"/>
              <w:rPr>
                <w:kern w:val="0"/>
                <w:sz w:val="21"/>
                <w:szCs w:val="21"/>
              </w:rPr>
            </w:pPr>
            <w:r>
              <w:rPr>
                <w:kern w:val="0"/>
                <w:sz w:val="21"/>
                <w:szCs w:val="21"/>
              </w:rPr>
              <w:t>清舱机</w:t>
            </w:r>
          </w:p>
        </w:tc>
        <w:tc>
          <w:tcPr>
            <w:tcW w:w="1923" w:type="pct"/>
            <w:shd w:val="clear" w:color="auto" w:fill="auto"/>
            <w:vAlign w:val="center"/>
          </w:tcPr>
          <w:p>
            <w:pPr>
              <w:tabs>
                <w:tab w:val="clear" w:pos="480"/>
              </w:tabs>
              <w:spacing w:line="240" w:lineRule="auto"/>
              <w:ind w:firstLine="0" w:firstLineChars="0"/>
              <w:rPr>
                <w:kern w:val="0"/>
                <w:sz w:val="21"/>
                <w:szCs w:val="21"/>
              </w:rPr>
            </w:pPr>
            <w:r>
              <w:rPr>
                <w:kern w:val="0"/>
                <w:sz w:val="21"/>
                <w:szCs w:val="21"/>
              </w:rPr>
              <w:t>ZL20</w:t>
            </w:r>
          </w:p>
        </w:tc>
        <w:tc>
          <w:tcPr>
            <w:tcW w:w="66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台</w:t>
            </w:r>
          </w:p>
        </w:tc>
        <w:tc>
          <w:tcPr>
            <w:tcW w:w="69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96" w:type="pct"/>
            <w:shd w:val="clear" w:color="auto" w:fill="auto"/>
            <w:vAlign w:val="center"/>
          </w:tcPr>
          <w:p>
            <w:pPr>
              <w:widowControl/>
              <w:tabs>
                <w:tab w:val="clear" w:pos="480"/>
              </w:tabs>
              <w:wordWrap w:val="0"/>
              <w:overflowPunct w:val="0"/>
              <w:topLinePunct/>
              <w:spacing w:line="240" w:lineRule="auto"/>
              <w:ind w:firstLine="0" w:firstLineChars="0"/>
              <w:jc w:val="center"/>
              <w:rPr>
                <w:snapToGrid w:val="0"/>
                <w:kern w:val="0"/>
                <w:sz w:val="21"/>
                <w:szCs w:val="21"/>
              </w:rPr>
            </w:pPr>
            <w:r>
              <w:rPr>
                <w:snapToGrid w:val="0"/>
                <w:kern w:val="0"/>
                <w:sz w:val="21"/>
                <w:szCs w:val="21"/>
              </w:rPr>
              <w:t>15</w:t>
            </w:r>
          </w:p>
        </w:tc>
        <w:tc>
          <w:tcPr>
            <w:tcW w:w="1321" w:type="pct"/>
            <w:shd w:val="clear" w:color="auto" w:fill="auto"/>
            <w:vAlign w:val="center"/>
          </w:tcPr>
          <w:p>
            <w:pPr>
              <w:ind w:firstLine="0" w:firstLineChars="0"/>
              <w:rPr>
                <w:kern w:val="0"/>
                <w:sz w:val="21"/>
                <w:szCs w:val="21"/>
              </w:rPr>
            </w:pPr>
            <w:r>
              <w:rPr>
                <w:kern w:val="0"/>
                <w:sz w:val="21"/>
                <w:szCs w:val="21"/>
              </w:rPr>
              <w:t>除尘装置</w:t>
            </w:r>
          </w:p>
        </w:tc>
        <w:tc>
          <w:tcPr>
            <w:tcW w:w="1923" w:type="pct"/>
            <w:shd w:val="clear" w:color="auto" w:fill="auto"/>
            <w:vAlign w:val="center"/>
          </w:tcPr>
          <w:p>
            <w:pPr>
              <w:tabs>
                <w:tab w:val="clear" w:pos="480"/>
              </w:tabs>
              <w:spacing w:line="240" w:lineRule="auto"/>
              <w:ind w:firstLine="0" w:firstLineChars="0"/>
              <w:rPr>
                <w:kern w:val="0"/>
                <w:sz w:val="21"/>
                <w:szCs w:val="21"/>
              </w:rPr>
            </w:pPr>
            <w:r>
              <w:rPr>
                <w:kern w:val="0"/>
                <w:sz w:val="21"/>
                <w:szCs w:val="21"/>
              </w:rPr>
              <w:t>微雾除尘</w:t>
            </w:r>
          </w:p>
        </w:tc>
        <w:tc>
          <w:tcPr>
            <w:tcW w:w="66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套</w:t>
            </w:r>
          </w:p>
        </w:tc>
        <w:tc>
          <w:tcPr>
            <w:tcW w:w="69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96" w:type="pct"/>
            <w:shd w:val="clear" w:color="auto" w:fill="auto"/>
            <w:vAlign w:val="center"/>
          </w:tcPr>
          <w:p>
            <w:pPr>
              <w:widowControl/>
              <w:tabs>
                <w:tab w:val="clear" w:pos="480"/>
              </w:tabs>
              <w:wordWrap w:val="0"/>
              <w:overflowPunct w:val="0"/>
              <w:topLinePunct/>
              <w:spacing w:line="240" w:lineRule="auto"/>
              <w:ind w:firstLine="0" w:firstLineChars="0"/>
              <w:jc w:val="center"/>
              <w:rPr>
                <w:snapToGrid w:val="0"/>
                <w:kern w:val="0"/>
                <w:sz w:val="21"/>
                <w:szCs w:val="21"/>
              </w:rPr>
            </w:pPr>
            <w:r>
              <w:rPr>
                <w:snapToGrid w:val="0"/>
                <w:kern w:val="0"/>
                <w:sz w:val="21"/>
                <w:szCs w:val="21"/>
              </w:rPr>
              <w:t>16</w:t>
            </w:r>
          </w:p>
        </w:tc>
        <w:tc>
          <w:tcPr>
            <w:tcW w:w="1321" w:type="pct"/>
            <w:shd w:val="clear" w:color="auto" w:fill="auto"/>
            <w:vAlign w:val="center"/>
          </w:tcPr>
          <w:p>
            <w:pPr>
              <w:ind w:firstLine="0" w:firstLineChars="0"/>
              <w:rPr>
                <w:kern w:val="0"/>
                <w:sz w:val="21"/>
                <w:szCs w:val="21"/>
              </w:rPr>
            </w:pPr>
            <w:r>
              <w:rPr>
                <w:kern w:val="0"/>
                <w:sz w:val="21"/>
                <w:szCs w:val="21"/>
              </w:rPr>
              <w:t>电子皮带秤</w:t>
            </w:r>
          </w:p>
        </w:tc>
        <w:tc>
          <w:tcPr>
            <w:tcW w:w="1923" w:type="pct"/>
            <w:shd w:val="clear" w:color="auto" w:fill="auto"/>
            <w:vAlign w:val="center"/>
          </w:tcPr>
          <w:p>
            <w:pPr>
              <w:tabs>
                <w:tab w:val="clear" w:pos="480"/>
              </w:tabs>
              <w:spacing w:line="240" w:lineRule="auto"/>
              <w:ind w:firstLine="0" w:firstLineChars="0"/>
              <w:rPr>
                <w:kern w:val="0"/>
                <w:sz w:val="21"/>
                <w:szCs w:val="21"/>
              </w:rPr>
            </w:pPr>
            <w:r>
              <w:rPr>
                <w:kern w:val="0"/>
                <w:sz w:val="21"/>
                <w:szCs w:val="21"/>
              </w:rPr>
              <w:t>ICS-17A，含校验</w:t>
            </w:r>
          </w:p>
        </w:tc>
        <w:tc>
          <w:tcPr>
            <w:tcW w:w="66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台</w:t>
            </w:r>
          </w:p>
        </w:tc>
        <w:tc>
          <w:tcPr>
            <w:tcW w:w="69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96" w:type="pct"/>
            <w:shd w:val="clear" w:color="auto" w:fill="auto"/>
            <w:vAlign w:val="center"/>
          </w:tcPr>
          <w:p>
            <w:pPr>
              <w:widowControl/>
              <w:tabs>
                <w:tab w:val="clear" w:pos="480"/>
              </w:tabs>
              <w:wordWrap w:val="0"/>
              <w:overflowPunct w:val="0"/>
              <w:topLinePunct/>
              <w:spacing w:line="240" w:lineRule="auto"/>
              <w:ind w:firstLine="0" w:firstLineChars="0"/>
              <w:jc w:val="center"/>
              <w:rPr>
                <w:snapToGrid w:val="0"/>
                <w:kern w:val="0"/>
                <w:sz w:val="21"/>
                <w:szCs w:val="21"/>
              </w:rPr>
            </w:pPr>
            <w:r>
              <w:rPr>
                <w:snapToGrid w:val="0"/>
                <w:kern w:val="0"/>
                <w:sz w:val="21"/>
                <w:szCs w:val="21"/>
              </w:rPr>
              <w:t>17</w:t>
            </w:r>
          </w:p>
        </w:tc>
        <w:tc>
          <w:tcPr>
            <w:tcW w:w="1321" w:type="pct"/>
            <w:shd w:val="clear" w:color="auto" w:fill="auto"/>
            <w:vAlign w:val="center"/>
          </w:tcPr>
          <w:p>
            <w:pPr>
              <w:ind w:firstLine="0" w:firstLineChars="0"/>
              <w:rPr>
                <w:kern w:val="0"/>
                <w:sz w:val="21"/>
                <w:szCs w:val="21"/>
              </w:rPr>
            </w:pPr>
            <w:r>
              <w:rPr>
                <w:kern w:val="0"/>
                <w:sz w:val="21"/>
                <w:szCs w:val="21"/>
              </w:rPr>
              <w:t>电磁除铁器</w:t>
            </w:r>
          </w:p>
        </w:tc>
        <w:tc>
          <w:tcPr>
            <w:tcW w:w="1923" w:type="pct"/>
            <w:shd w:val="clear" w:color="auto" w:fill="auto"/>
            <w:vAlign w:val="center"/>
          </w:tcPr>
          <w:p>
            <w:pPr>
              <w:tabs>
                <w:tab w:val="clear" w:pos="480"/>
              </w:tabs>
              <w:spacing w:line="240" w:lineRule="auto"/>
              <w:ind w:firstLine="0" w:firstLineChars="0"/>
              <w:rPr>
                <w:kern w:val="0"/>
                <w:sz w:val="21"/>
                <w:szCs w:val="21"/>
              </w:rPr>
            </w:pPr>
            <w:r>
              <w:rPr>
                <w:kern w:val="0"/>
                <w:sz w:val="21"/>
                <w:szCs w:val="21"/>
              </w:rPr>
              <w:t>RCDD-G</w:t>
            </w:r>
          </w:p>
        </w:tc>
        <w:tc>
          <w:tcPr>
            <w:tcW w:w="66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台</w:t>
            </w:r>
          </w:p>
        </w:tc>
        <w:tc>
          <w:tcPr>
            <w:tcW w:w="69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96" w:type="pct"/>
            <w:shd w:val="clear" w:color="auto" w:fill="auto"/>
            <w:vAlign w:val="center"/>
          </w:tcPr>
          <w:p>
            <w:pPr>
              <w:widowControl/>
              <w:tabs>
                <w:tab w:val="clear" w:pos="480"/>
              </w:tabs>
              <w:wordWrap w:val="0"/>
              <w:overflowPunct w:val="0"/>
              <w:topLinePunct/>
              <w:spacing w:line="240" w:lineRule="auto"/>
              <w:ind w:firstLine="0" w:firstLineChars="0"/>
              <w:jc w:val="center"/>
              <w:rPr>
                <w:snapToGrid w:val="0"/>
                <w:kern w:val="0"/>
                <w:sz w:val="21"/>
                <w:szCs w:val="21"/>
              </w:rPr>
            </w:pPr>
            <w:r>
              <w:rPr>
                <w:snapToGrid w:val="0"/>
                <w:kern w:val="0"/>
                <w:sz w:val="21"/>
                <w:szCs w:val="21"/>
              </w:rPr>
              <w:t>18</w:t>
            </w:r>
          </w:p>
        </w:tc>
        <w:tc>
          <w:tcPr>
            <w:tcW w:w="1321" w:type="pct"/>
            <w:shd w:val="clear" w:color="auto" w:fill="auto"/>
            <w:vAlign w:val="center"/>
          </w:tcPr>
          <w:p>
            <w:pPr>
              <w:ind w:firstLine="0" w:firstLineChars="0"/>
              <w:rPr>
                <w:kern w:val="0"/>
                <w:sz w:val="21"/>
                <w:szCs w:val="21"/>
              </w:rPr>
            </w:pPr>
            <w:r>
              <w:rPr>
                <w:kern w:val="0"/>
                <w:sz w:val="21"/>
                <w:szCs w:val="21"/>
              </w:rPr>
              <w:t>电动葫芦</w:t>
            </w:r>
          </w:p>
        </w:tc>
        <w:tc>
          <w:tcPr>
            <w:tcW w:w="1923" w:type="pct"/>
            <w:shd w:val="clear" w:color="auto" w:fill="auto"/>
            <w:vAlign w:val="center"/>
          </w:tcPr>
          <w:p>
            <w:pPr>
              <w:tabs>
                <w:tab w:val="clear" w:pos="480"/>
              </w:tabs>
              <w:spacing w:line="240" w:lineRule="auto"/>
              <w:ind w:firstLine="0" w:firstLineChars="0"/>
              <w:rPr>
                <w:kern w:val="0"/>
                <w:sz w:val="21"/>
                <w:szCs w:val="21"/>
              </w:rPr>
            </w:pPr>
            <w:r>
              <w:rPr>
                <w:kern w:val="0"/>
                <w:sz w:val="21"/>
                <w:szCs w:val="21"/>
              </w:rPr>
              <w:t>5t</w:t>
            </w:r>
          </w:p>
        </w:tc>
        <w:tc>
          <w:tcPr>
            <w:tcW w:w="66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台</w:t>
            </w:r>
          </w:p>
        </w:tc>
        <w:tc>
          <w:tcPr>
            <w:tcW w:w="69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96" w:type="pct"/>
            <w:shd w:val="clear" w:color="auto" w:fill="auto"/>
            <w:vAlign w:val="center"/>
          </w:tcPr>
          <w:p>
            <w:pPr>
              <w:widowControl/>
              <w:tabs>
                <w:tab w:val="clear" w:pos="480"/>
              </w:tabs>
              <w:wordWrap w:val="0"/>
              <w:overflowPunct w:val="0"/>
              <w:topLinePunct/>
              <w:spacing w:line="240" w:lineRule="auto"/>
              <w:ind w:firstLine="0" w:firstLineChars="0"/>
              <w:jc w:val="center"/>
              <w:rPr>
                <w:snapToGrid w:val="0"/>
                <w:kern w:val="0"/>
                <w:sz w:val="21"/>
                <w:szCs w:val="21"/>
              </w:rPr>
            </w:pPr>
            <w:r>
              <w:rPr>
                <w:snapToGrid w:val="0"/>
                <w:kern w:val="0"/>
                <w:sz w:val="21"/>
                <w:szCs w:val="21"/>
              </w:rPr>
              <w:t>19</w:t>
            </w:r>
          </w:p>
        </w:tc>
        <w:tc>
          <w:tcPr>
            <w:tcW w:w="1321" w:type="pct"/>
            <w:shd w:val="clear" w:color="auto" w:fill="auto"/>
            <w:vAlign w:val="center"/>
          </w:tcPr>
          <w:p>
            <w:pPr>
              <w:ind w:firstLine="0" w:firstLineChars="0"/>
              <w:rPr>
                <w:kern w:val="0"/>
                <w:sz w:val="21"/>
                <w:szCs w:val="21"/>
              </w:rPr>
            </w:pPr>
            <w:r>
              <w:rPr>
                <w:kern w:val="0"/>
                <w:sz w:val="21"/>
                <w:szCs w:val="21"/>
              </w:rPr>
              <w:t>地磅</w:t>
            </w:r>
          </w:p>
        </w:tc>
        <w:tc>
          <w:tcPr>
            <w:tcW w:w="1923" w:type="pct"/>
            <w:shd w:val="clear" w:color="auto" w:fill="auto"/>
            <w:vAlign w:val="center"/>
          </w:tcPr>
          <w:p>
            <w:pPr>
              <w:tabs>
                <w:tab w:val="clear" w:pos="480"/>
              </w:tabs>
              <w:spacing w:line="240" w:lineRule="auto"/>
              <w:ind w:firstLine="0" w:firstLineChars="0"/>
              <w:rPr>
                <w:kern w:val="0"/>
                <w:sz w:val="21"/>
                <w:szCs w:val="21"/>
              </w:rPr>
            </w:pPr>
            <w:r>
              <w:rPr>
                <w:kern w:val="0"/>
                <w:sz w:val="21"/>
                <w:szCs w:val="21"/>
              </w:rPr>
              <w:t>100t</w:t>
            </w:r>
          </w:p>
        </w:tc>
        <w:tc>
          <w:tcPr>
            <w:tcW w:w="66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台</w:t>
            </w:r>
          </w:p>
        </w:tc>
        <w:tc>
          <w:tcPr>
            <w:tcW w:w="69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96" w:type="pct"/>
            <w:shd w:val="clear" w:color="auto" w:fill="auto"/>
            <w:vAlign w:val="center"/>
          </w:tcPr>
          <w:p>
            <w:pPr>
              <w:widowControl/>
              <w:tabs>
                <w:tab w:val="clear" w:pos="480"/>
              </w:tabs>
              <w:wordWrap w:val="0"/>
              <w:overflowPunct w:val="0"/>
              <w:topLinePunct/>
              <w:spacing w:line="240" w:lineRule="auto"/>
              <w:ind w:firstLine="0" w:firstLineChars="0"/>
              <w:jc w:val="center"/>
              <w:rPr>
                <w:snapToGrid w:val="0"/>
                <w:kern w:val="0"/>
                <w:sz w:val="21"/>
                <w:szCs w:val="21"/>
              </w:rPr>
            </w:pPr>
            <w:r>
              <w:rPr>
                <w:rFonts w:hint="eastAsia"/>
                <w:snapToGrid w:val="0"/>
                <w:kern w:val="0"/>
                <w:sz w:val="21"/>
                <w:szCs w:val="21"/>
              </w:rPr>
              <w:t>2</w:t>
            </w:r>
            <w:r>
              <w:rPr>
                <w:snapToGrid w:val="0"/>
                <w:kern w:val="0"/>
                <w:sz w:val="21"/>
                <w:szCs w:val="21"/>
              </w:rPr>
              <w:t>0</w:t>
            </w:r>
          </w:p>
        </w:tc>
        <w:tc>
          <w:tcPr>
            <w:tcW w:w="1321" w:type="pct"/>
            <w:shd w:val="clear" w:color="auto" w:fill="auto"/>
            <w:vAlign w:val="center"/>
          </w:tcPr>
          <w:p>
            <w:pPr>
              <w:ind w:firstLine="0" w:firstLineChars="0"/>
              <w:rPr>
                <w:kern w:val="0"/>
                <w:sz w:val="21"/>
                <w:szCs w:val="21"/>
              </w:rPr>
            </w:pPr>
            <w:r>
              <w:rPr>
                <w:kern w:val="0"/>
                <w:sz w:val="21"/>
                <w:szCs w:val="21"/>
              </w:rPr>
              <w:t>水泥输送管线</w:t>
            </w:r>
          </w:p>
        </w:tc>
        <w:tc>
          <w:tcPr>
            <w:tcW w:w="1923" w:type="pct"/>
            <w:shd w:val="clear" w:color="auto" w:fill="auto"/>
            <w:vAlign w:val="center"/>
          </w:tcPr>
          <w:p>
            <w:pPr>
              <w:tabs>
                <w:tab w:val="clear" w:pos="480"/>
              </w:tabs>
              <w:spacing w:line="240" w:lineRule="auto"/>
              <w:ind w:firstLine="0" w:firstLineChars="0"/>
              <w:rPr>
                <w:kern w:val="0"/>
                <w:sz w:val="21"/>
                <w:szCs w:val="21"/>
              </w:rPr>
            </w:pPr>
            <w:r>
              <w:rPr>
                <w:kern w:val="0"/>
                <w:sz w:val="21"/>
                <w:szCs w:val="21"/>
              </w:rPr>
              <w:t>能力200t/h，长</w:t>
            </w:r>
            <w:r>
              <w:rPr>
                <w:rFonts w:hint="eastAsia"/>
                <w:kern w:val="0"/>
                <w:sz w:val="21"/>
                <w:szCs w:val="21"/>
              </w:rPr>
              <w:t>6</w:t>
            </w:r>
            <w:r>
              <w:rPr>
                <w:kern w:val="0"/>
                <w:sz w:val="21"/>
                <w:szCs w:val="21"/>
              </w:rPr>
              <w:t>00m</w:t>
            </w:r>
          </w:p>
        </w:tc>
        <w:tc>
          <w:tcPr>
            <w:tcW w:w="66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线</w:t>
            </w:r>
          </w:p>
        </w:tc>
        <w:tc>
          <w:tcPr>
            <w:tcW w:w="695" w:type="pct"/>
            <w:shd w:val="clear" w:color="auto" w:fill="auto"/>
            <w:vAlign w:val="center"/>
          </w:tcPr>
          <w:p>
            <w:pPr>
              <w:tabs>
                <w:tab w:val="clear" w:pos="480"/>
              </w:tabs>
              <w:spacing w:line="240" w:lineRule="auto"/>
              <w:ind w:firstLine="0" w:firstLineChars="0"/>
              <w:jc w:val="center"/>
              <w:rPr>
                <w:kern w:val="0"/>
                <w:sz w:val="21"/>
                <w:szCs w:val="21"/>
              </w:rPr>
            </w:pPr>
            <w:r>
              <w:rPr>
                <w:rFonts w:hint="eastAsia"/>
                <w:kern w:val="0"/>
                <w:sz w:val="21"/>
                <w:szCs w:val="21"/>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96" w:type="pct"/>
            <w:shd w:val="clear" w:color="auto" w:fill="auto"/>
            <w:vAlign w:val="center"/>
          </w:tcPr>
          <w:p>
            <w:pPr>
              <w:widowControl/>
              <w:tabs>
                <w:tab w:val="clear" w:pos="480"/>
              </w:tabs>
              <w:wordWrap w:val="0"/>
              <w:overflowPunct w:val="0"/>
              <w:topLinePunct/>
              <w:spacing w:line="240" w:lineRule="auto"/>
              <w:ind w:firstLine="0" w:firstLineChars="0"/>
              <w:jc w:val="center"/>
              <w:rPr>
                <w:snapToGrid w:val="0"/>
                <w:kern w:val="0"/>
                <w:sz w:val="21"/>
                <w:szCs w:val="21"/>
              </w:rPr>
            </w:pPr>
            <w:r>
              <w:rPr>
                <w:rFonts w:hint="eastAsia"/>
                <w:snapToGrid w:val="0"/>
                <w:kern w:val="0"/>
                <w:sz w:val="21"/>
                <w:szCs w:val="21"/>
              </w:rPr>
              <w:t>2</w:t>
            </w:r>
            <w:r>
              <w:rPr>
                <w:snapToGrid w:val="0"/>
                <w:kern w:val="0"/>
                <w:sz w:val="21"/>
                <w:szCs w:val="21"/>
              </w:rPr>
              <w:t>1</w:t>
            </w:r>
          </w:p>
        </w:tc>
        <w:tc>
          <w:tcPr>
            <w:tcW w:w="1321" w:type="pct"/>
            <w:shd w:val="clear" w:color="auto" w:fill="auto"/>
            <w:vAlign w:val="center"/>
          </w:tcPr>
          <w:p>
            <w:pPr>
              <w:ind w:firstLine="0" w:firstLineChars="0"/>
              <w:rPr>
                <w:kern w:val="0"/>
                <w:sz w:val="21"/>
                <w:szCs w:val="21"/>
              </w:rPr>
            </w:pPr>
            <w:r>
              <w:rPr>
                <w:kern w:val="0"/>
                <w:sz w:val="21"/>
                <w:szCs w:val="21"/>
              </w:rPr>
              <w:t>工属具</w:t>
            </w:r>
          </w:p>
        </w:tc>
        <w:tc>
          <w:tcPr>
            <w:tcW w:w="1923" w:type="pct"/>
            <w:shd w:val="clear" w:color="auto" w:fill="auto"/>
            <w:vAlign w:val="center"/>
          </w:tcPr>
          <w:p>
            <w:pPr>
              <w:tabs>
                <w:tab w:val="clear" w:pos="480"/>
              </w:tabs>
              <w:spacing w:line="240" w:lineRule="auto"/>
              <w:ind w:firstLine="0" w:firstLineChars="0"/>
              <w:rPr>
                <w:kern w:val="0"/>
                <w:sz w:val="21"/>
                <w:szCs w:val="21"/>
              </w:rPr>
            </w:pPr>
          </w:p>
        </w:tc>
        <w:tc>
          <w:tcPr>
            <w:tcW w:w="665" w:type="pct"/>
            <w:shd w:val="clear" w:color="auto" w:fill="auto"/>
            <w:vAlign w:val="center"/>
          </w:tcPr>
          <w:p>
            <w:pPr>
              <w:tabs>
                <w:tab w:val="clear" w:pos="480"/>
              </w:tabs>
              <w:spacing w:line="240" w:lineRule="auto"/>
              <w:ind w:firstLine="0" w:firstLineChars="0"/>
              <w:jc w:val="center"/>
              <w:rPr>
                <w:kern w:val="0"/>
                <w:sz w:val="21"/>
                <w:szCs w:val="21"/>
              </w:rPr>
            </w:pPr>
            <w:r>
              <w:rPr>
                <w:kern w:val="0"/>
                <w:sz w:val="21"/>
                <w:szCs w:val="21"/>
              </w:rPr>
              <w:t>项</w:t>
            </w:r>
          </w:p>
        </w:tc>
        <w:tc>
          <w:tcPr>
            <w:tcW w:w="695" w:type="pct"/>
            <w:shd w:val="clear" w:color="auto" w:fill="auto"/>
            <w:vAlign w:val="center"/>
          </w:tcPr>
          <w:p>
            <w:pPr>
              <w:tabs>
                <w:tab w:val="clear" w:pos="480"/>
              </w:tabs>
              <w:spacing w:line="240" w:lineRule="auto"/>
              <w:ind w:firstLine="0" w:firstLineChars="0"/>
              <w:jc w:val="center"/>
              <w:rPr>
                <w:kern w:val="0"/>
                <w:sz w:val="21"/>
                <w:szCs w:val="21"/>
              </w:rPr>
            </w:pPr>
            <w:r>
              <w:rPr>
                <w:rFonts w:hint="eastAsia"/>
                <w:kern w:val="0"/>
                <w:sz w:val="21"/>
                <w:szCs w:val="21"/>
              </w:rPr>
              <w:t>1</w:t>
            </w:r>
          </w:p>
        </w:tc>
      </w:tr>
    </w:tbl>
    <w:p>
      <w:pPr>
        <w:pStyle w:val="454"/>
        <w:ind w:firstLine="602"/>
        <w:rPr>
          <w:color w:val="auto"/>
        </w:rPr>
      </w:pPr>
      <w:r>
        <w:rPr>
          <w:color w:val="auto"/>
        </w:rPr>
        <w:t>水工建筑物</w:t>
      </w:r>
    </w:p>
    <w:p>
      <w:pPr>
        <w:pStyle w:val="456"/>
        <w:ind w:firstLine="482"/>
      </w:pPr>
      <w:r>
        <w:t>建设内容</w:t>
      </w:r>
    </w:p>
    <w:p>
      <w:pPr>
        <w:ind w:firstLine="480"/>
      </w:pPr>
      <w:r>
        <w:rPr>
          <w:rFonts w:hint="eastAsia"/>
        </w:rPr>
        <w:t>本工程拟建</w:t>
      </w:r>
      <w:r>
        <w:t>6</w:t>
      </w:r>
      <w:r>
        <w:rPr>
          <w:rFonts w:hint="eastAsia"/>
        </w:rPr>
        <w:t>个泊位，其中：</w:t>
      </w:r>
      <w:r>
        <w:t>1~5#</w:t>
      </w:r>
      <w:r>
        <w:rPr>
          <w:rFonts w:hint="eastAsia"/>
        </w:rPr>
        <w:t>泊位为</w:t>
      </w:r>
      <w:r>
        <w:t>10000</w:t>
      </w:r>
      <w:r>
        <w:rPr>
          <w:rFonts w:hint="eastAsia"/>
        </w:rPr>
        <w:t>吨级散货泊位，</w:t>
      </w:r>
      <w:r>
        <w:t>6#</w:t>
      </w:r>
      <w:r>
        <w:rPr>
          <w:rFonts w:hint="eastAsia"/>
        </w:rPr>
        <w:t>泊位为</w:t>
      </w:r>
      <w:r>
        <w:t>5000</w:t>
      </w:r>
      <w:r>
        <w:rPr>
          <w:rFonts w:hint="eastAsia"/>
        </w:rPr>
        <w:t>吨级散货泊位，</w:t>
      </w:r>
      <w:r>
        <w:t>1#~6#</w:t>
      </w:r>
      <w:r>
        <w:rPr>
          <w:rFonts w:hint="eastAsia"/>
        </w:rPr>
        <w:t>泊位水工结构均按靠泊</w:t>
      </w:r>
      <w:r>
        <w:t>15000</w:t>
      </w:r>
      <w:r>
        <w:rPr>
          <w:rFonts w:hint="eastAsia"/>
        </w:rPr>
        <w:t>吨级设计。</w:t>
      </w:r>
    </w:p>
    <w:p>
      <w:pPr>
        <w:ind w:firstLine="480"/>
      </w:pPr>
      <w:r>
        <w:rPr>
          <w:rFonts w:hint="eastAsia"/>
        </w:rPr>
        <w:t>本工程水工建筑物包括码头平台、引桥及皮带机廊道等，</w:t>
      </w:r>
      <w:r>
        <w:t>水工建筑物等级为Ⅱ级，设计使用年限50年。</w:t>
      </w:r>
    </w:p>
    <w:p>
      <w:pPr>
        <w:pStyle w:val="2285"/>
        <w:ind w:left="0"/>
        <w:rPr>
          <w:rFonts w:cs="Times New Roman"/>
        </w:rPr>
      </w:pPr>
      <w:r>
        <w:rPr>
          <w:rFonts w:hint="eastAsia" w:cs="Times New Roman"/>
        </w:rPr>
        <w:t>水工</w:t>
      </w:r>
      <w:r>
        <w:rPr>
          <w:rFonts w:cs="Times New Roman"/>
        </w:rPr>
        <w:t>建筑物组成表</w:t>
      </w:r>
    </w:p>
    <w:tbl>
      <w:tblPr>
        <w:tblStyle w:val="359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31"/>
        <w:gridCol w:w="2111"/>
        <w:gridCol w:w="1030"/>
        <w:gridCol w:w="874"/>
        <w:gridCol w:w="1184"/>
        <w:gridCol w:w="720"/>
        <w:gridCol w:w="10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1090" w:type="pct"/>
            <w:vMerge w:val="restart"/>
            <w:noWrap/>
            <w:vAlign w:val="center"/>
          </w:tcPr>
          <w:p>
            <w:pPr>
              <w:widowControl/>
              <w:tabs>
                <w:tab w:val="clear" w:pos="480"/>
              </w:tabs>
              <w:spacing w:line="240" w:lineRule="auto"/>
              <w:ind w:firstLine="0" w:firstLineChars="0"/>
              <w:jc w:val="center"/>
              <w:rPr>
                <w:b/>
                <w:bCs/>
                <w:kern w:val="0"/>
                <w:sz w:val="18"/>
                <w:szCs w:val="18"/>
              </w:rPr>
            </w:pPr>
            <w:r>
              <w:rPr>
                <w:b/>
                <w:bCs/>
                <w:kern w:val="0"/>
                <w:sz w:val="18"/>
                <w:szCs w:val="18"/>
              </w:rPr>
              <w:t>工程名称</w:t>
            </w:r>
          </w:p>
        </w:tc>
        <w:tc>
          <w:tcPr>
            <w:tcW w:w="1164" w:type="pct"/>
            <w:vMerge w:val="restart"/>
            <w:vAlign w:val="center"/>
          </w:tcPr>
          <w:p>
            <w:pPr>
              <w:widowControl/>
              <w:tabs>
                <w:tab w:val="clear" w:pos="480"/>
              </w:tabs>
              <w:spacing w:line="240" w:lineRule="auto"/>
              <w:ind w:firstLine="0" w:firstLineChars="0"/>
              <w:jc w:val="center"/>
              <w:rPr>
                <w:b/>
                <w:bCs/>
                <w:kern w:val="0"/>
                <w:sz w:val="18"/>
                <w:szCs w:val="18"/>
              </w:rPr>
            </w:pPr>
            <w:r>
              <w:rPr>
                <w:b/>
                <w:bCs/>
                <w:kern w:val="0"/>
                <w:sz w:val="18"/>
                <w:szCs w:val="18"/>
              </w:rPr>
              <w:t>水工建筑尺度</w:t>
            </w:r>
          </w:p>
          <w:p>
            <w:pPr>
              <w:widowControl/>
              <w:tabs>
                <w:tab w:val="clear" w:pos="480"/>
              </w:tabs>
              <w:spacing w:line="240" w:lineRule="auto"/>
              <w:ind w:firstLine="0" w:firstLineChars="0"/>
              <w:jc w:val="center"/>
              <w:rPr>
                <w:b/>
                <w:bCs/>
                <w:kern w:val="0"/>
                <w:sz w:val="18"/>
                <w:szCs w:val="18"/>
              </w:rPr>
            </w:pPr>
            <w:r>
              <w:rPr>
                <w:b/>
                <w:bCs/>
                <w:kern w:val="0"/>
                <w:sz w:val="18"/>
                <w:szCs w:val="18"/>
              </w:rPr>
              <w:t>（长×宽m）</w:t>
            </w:r>
          </w:p>
        </w:tc>
        <w:tc>
          <w:tcPr>
            <w:tcW w:w="582" w:type="pct"/>
            <w:vMerge w:val="restart"/>
            <w:vAlign w:val="center"/>
          </w:tcPr>
          <w:p>
            <w:pPr>
              <w:widowControl/>
              <w:tabs>
                <w:tab w:val="clear" w:pos="480"/>
              </w:tabs>
              <w:spacing w:line="240" w:lineRule="auto"/>
              <w:ind w:firstLine="0" w:firstLineChars="0"/>
              <w:jc w:val="center"/>
              <w:rPr>
                <w:b/>
                <w:bCs/>
                <w:kern w:val="0"/>
                <w:sz w:val="18"/>
                <w:szCs w:val="18"/>
              </w:rPr>
            </w:pPr>
            <w:r>
              <w:rPr>
                <w:b/>
                <w:bCs/>
                <w:kern w:val="0"/>
                <w:sz w:val="18"/>
                <w:szCs w:val="18"/>
              </w:rPr>
              <w:t>水工建筑/设施面积</w:t>
            </w:r>
          </w:p>
          <w:p>
            <w:pPr>
              <w:widowControl/>
              <w:tabs>
                <w:tab w:val="clear" w:pos="480"/>
              </w:tabs>
              <w:spacing w:line="240" w:lineRule="auto"/>
              <w:ind w:firstLine="0" w:firstLineChars="0"/>
              <w:jc w:val="center"/>
              <w:rPr>
                <w:b/>
                <w:bCs/>
                <w:kern w:val="0"/>
                <w:sz w:val="18"/>
                <w:szCs w:val="18"/>
              </w:rPr>
            </w:pPr>
            <w:r>
              <w:rPr>
                <w:b/>
                <w:bCs/>
                <w:kern w:val="0"/>
                <w:sz w:val="18"/>
                <w:szCs w:val="18"/>
              </w:rPr>
              <w:t>(m</w:t>
            </w:r>
            <w:r>
              <w:rPr>
                <w:b/>
                <w:bCs/>
                <w:kern w:val="0"/>
                <w:sz w:val="18"/>
                <w:szCs w:val="18"/>
                <w:vertAlign w:val="superscript"/>
              </w:rPr>
              <w:t>2</w:t>
            </w:r>
            <w:r>
              <w:rPr>
                <w:b/>
                <w:bCs/>
                <w:kern w:val="0"/>
                <w:sz w:val="18"/>
                <w:szCs w:val="18"/>
              </w:rPr>
              <w:t>)</w:t>
            </w:r>
          </w:p>
        </w:tc>
        <w:tc>
          <w:tcPr>
            <w:tcW w:w="2162" w:type="pct"/>
            <w:gridSpan w:val="4"/>
            <w:noWrap/>
            <w:vAlign w:val="center"/>
          </w:tcPr>
          <w:p>
            <w:pPr>
              <w:widowControl/>
              <w:tabs>
                <w:tab w:val="clear" w:pos="480"/>
              </w:tabs>
              <w:spacing w:line="240" w:lineRule="auto"/>
              <w:ind w:firstLine="0" w:firstLineChars="0"/>
              <w:jc w:val="center"/>
              <w:rPr>
                <w:b/>
                <w:bCs/>
                <w:kern w:val="0"/>
                <w:sz w:val="18"/>
                <w:szCs w:val="18"/>
              </w:rPr>
            </w:pPr>
            <w:r>
              <w:rPr>
                <w:b/>
                <w:bCs/>
                <w:kern w:val="0"/>
                <w:sz w:val="18"/>
                <w:szCs w:val="18"/>
              </w:rPr>
              <w:t>桩基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1090" w:type="pct"/>
            <w:vMerge w:val="continue"/>
            <w:vAlign w:val="center"/>
          </w:tcPr>
          <w:p>
            <w:pPr>
              <w:widowControl/>
              <w:tabs>
                <w:tab w:val="clear" w:pos="480"/>
              </w:tabs>
              <w:spacing w:line="240" w:lineRule="auto"/>
              <w:ind w:firstLine="0" w:firstLineChars="0"/>
              <w:jc w:val="left"/>
              <w:rPr>
                <w:b/>
                <w:bCs/>
                <w:kern w:val="0"/>
                <w:sz w:val="18"/>
                <w:szCs w:val="18"/>
              </w:rPr>
            </w:pPr>
          </w:p>
        </w:tc>
        <w:tc>
          <w:tcPr>
            <w:tcW w:w="1164" w:type="pct"/>
            <w:vMerge w:val="continue"/>
            <w:vAlign w:val="center"/>
          </w:tcPr>
          <w:p>
            <w:pPr>
              <w:widowControl/>
              <w:tabs>
                <w:tab w:val="clear" w:pos="480"/>
              </w:tabs>
              <w:spacing w:line="240" w:lineRule="auto"/>
              <w:ind w:firstLine="0" w:firstLineChars="0"/>
              <w:jc w:val="left"/>
              <w:rPr>
                <w:b/>
                <w:bCs/>
                <w:kern w:val="0"/>
                <w:sz w:val="18"/>
                <w:szCs w:val="18"/>
              </w:rPr>
            </w:pPr>
          </w:p>
        </w:tc>
        <w:tc>
          <w:tcPr>
            <w:tcW w:w="582" w:type="pct"/>
            <w:vMerge w:val="continue"/>
            <w:vAlign w:val="center"/>
          </w:tcPr>
          <w:p>
            <w:pPr>
              <w:widowControl/>
              <w:tabs>
                <w:tab w:val="clear" w:pos="480"/>
              </w:tabs>
              <w:spacing w:line="240" w:lineRule="auto"/>
              <w:ind w:firstLine="0" w:firstLineChars="0"/>
              <w:jc w:val="left"/>
              <w:rPr>
                <w:b/>
                <w:bCs/>
                <w:kern w:val="0"/>
                <w:sz w:val="18"/>
                <w:szCs w:val="18"/>
              </w:rPr>
            </w:pPr>
          </w:p>
        </w:tc>
        <w:tc>
          <w:tcPr>
            <w:tcW w:w="498" w:type="pct"/>
            <w:vMerge w:val="restart"/>
            <w:vAlign w:val="center"/>
          </w:tcPr>
          <w:p>
            <w:pPr>
              <w:widowControl/>
              <w:tabs>
                <w:tab w:val="clear" w:pos="480"/>
              </w:tabs>
              <w:spacing w:line="240" w:lineRule="auto"/>
              <w:ind w:firstLine="0" w:firstLineChars="0"/>
              <w:jc w:val="center"/>
              <w:rPr>
                <w:b/>
                <w:bCs/>
                <w:kern w:val="0"/>
                <w:sz w:val="18"/>
                <w:szCs w:val="18"/>
              </w:rPr>
            </w:pPr>
            <w:r>
              <w:rPr>
                <w:b/>
                <w:bCs/>
                <w:kern w:val="0"/>
                <w:sz w:val="18"/>
                <w:szCs w:val="18"/>
              </w:rPr>
              <w:t>数量</w:t>
            </w:r>
          </w:p>
          <w:p>
            <w:pPr>
              <w:widowControl/>
              <w:tabs>
                <w:tab w:val="clear" w:pos="480"/>
              </w:tabs>
              <w:spacing w:line="240" w:lineRule="auto"/>
              <w:ind w:firstLine="0" w:firstLineChars="0"/>
              <w:jc w:val="center"/>
              <w:rPr>
                <w:b/>
                <w:bCs/>
                <w:kern w:val="0"/>
                <w:sz w:val="18"/>
                <w:szCs w:val="18"/>
              </w:rPr>
            </w:pPr>
            <w:r>
              <w:rPr>
                <w:b/>
                <w:bCs/>
                <w:kern w:val="0"/>
                <w:sz w:val="18"/>
                <w:szCs w:val="18"/>
              </w:rPr>
              <w:t>（个）</w:t>
            </w:r>
          </w:p>
        </w:tc>
        <w:tc>
          <w:tcPr>
            <w:tcW w:w="665" w:type="pct"/>
            <w:vMerge w:val="restart"/>
            <w:vAlign w:val="center"/>
          </w:tcPr>
          <w:p>
            <w:pPr>
              <w:widowControl/>
              <w:tabs>
                <w:tab w:val="clear" w:pos="480"/>
              </w:tabs>
              <w:spacing w:line="240" w:lineRule="auto"/>
              <w:ind w:firstLine="0" w:firstLineChars="0"/>
              <w:jc w:val="center"/>
              <w:rPr>
                <w:b/>
                <w:bCs/>
                <w:kern w:val="0"/>
                <w:sz w:val="18"/>
                <w:szCs w:val="18"/>
              </w:rPr>
            </w:pPr>
            <w:r>
              <w:rPr>
                <w:b/>
                <w:bCs/>
                <w:kern w:val="0"/>
                <w:sz w:val="18"/>
                <w:szCs w:val="18"/>
              </w:rPr>
              <w:t>面积</w:t>
            </w:r>
          </w:p>
          <w:p>
            <w:pPr>
              <w:widowControl/>
              <w:tabs>
                <w:tab w:val="clear" w:pos="480"/>
              </w:tabs>
              <w:spacing w:line="240" w:lineRule="auto"/>
              <w:ind w:firstLine="0" w:firstLineChars="0"/>
              <w:jc w:val="center"/>
              <w:rPr>
                <w:b/>
                <w:bCs/>
                <w:kern w:val="0"/>
                <w:sz w:val="18"/>
                <w:szCs w:val="18"/>
              </w:rPr>
            </w:pPr>
            <w:r>
              <w:rPr>
                <w:b/>
                <w:bCs/>
                <w:kern w:val="0"/>
                <w:sz w:val="18"/>
                <w:szCs w:val="18"/>
              </w:rPr>
              <w:t>（m</w:t>
            </w:r>
            <w:r>
              <w:rPr>
                <w:b/>
                <w:bCs/>
                <w:kern w:val="0"/>
                <w:sz w:val="18"/>
                <w:szCs w:val="18"/>
                <w:vertAlign w:val="superscript"/>
              </w:rPr>
              <w:t>2</w:t>
            </w:r>
            <w:r>
              <w:rPr>
                <w:b/>
                <w:bCs/>
                <w:kern w:val="0"/>
                <w:sz w:val="18"/>
                <w:szCs w:val="18"/>
              </w:rPr>
              <w:t>）</w:t>
            </w:r>
          </w:p>
        </w:tc>
        <w:tc>
          <w:tcPr>
            <w:tcW w:w="998" w:type="pct"/>
            <w:gridSpan w:val="2"/>
            <w:vAlign w:val="center"/>
          </w:tcPr>
          <w:p>
            <w:pPr>
              <w:widowControl/>
              <w:tabs>
                <w:tab w:val="clear" w:pos="480"/>
              </w:tabs>
              <w:spacing w:line="240" w:lineRule="auto"/>
              <w:ind w:firstLine="0" w:firstLineChars="0"/>
              <w:jc w:val="center"/>
              <w:rPr>
                <w:b/>
                <w:bCs/>
                <w:kern w:val="0"/>
                <w:sz w:val="18"/>
                <w:szCs w:val="18"/>
              </w:rPr>
            </w:pPr>
            <w:r>
              <w:rPr>
                <w:b/>
                <w:bCs/>
                <w:kern w:val="0"/>
                <w:sz w:val="18"/>
                <w:szCs w:val="18"/>
              </w:rPr>
              <w:t>最高设计水位线以下(＜32.36 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1090" w:type="pct"/>
            <w:vMerge w:val="continue"/>
            <w:vAlign w:val="center"/>
          </w:tcPr>
          <w:p>
            <w:pPr>
              <w:widowControl/>
              <w:tabs>
                <w:tab w:val="clear" w:pos="480"/>
              </w:tabs>
              <w:spacing w:line="240" w:lineRule="auto"/>
              <w:ind w:firstLine="0" w:firstLineChars="0"/>
              <w:jc w:val="left"/>
              <w:rPr>
                <w:b/>
                <w:bCs/>
                <w:kern w:val="0"/>
                <w:sz w:val="18"/>
                <w:szCs w:val="18"/>
              </w:rPr>
            </w:pPr>
          </w:p>
        </w:tc>
        <w:tc>
          <w:tcPr>
            <w:tcW w:w="1164" w:type="pct"/>
            <w:vMerge w:val="continue"/>
            <w:vAlign w:val="center"/>
          </w:tcPr>
          <w:p>
            <w:pPr>
              <w:widowControl/>
              <w:tabs>
                <w:tab w:val="clear" w:pos="480"/>
              </w:tabs>
              <w:spacing w:line="240" w:lineRule="auto"/>
              <w:ind w:firstLine="0" w:firstLineChars="0"/>
              <w:jc w:val="left"/>
              <w:rPr>
                <w:b/>
                <w:bCs/>
                <w:kern w:val="0"/>
                <w:sz w:val="18"/>
                <w:szCs w:val="18"/>
              </w:rPr>
            </w:pPr>
          </w:p>
        </w:tc>
        <w:tc>
          <w:tcPr>
            <w:tcW w:w="582" w:type="pct"/>
            <w:vMerge w:val="continue"/>
            <w:vAlign w:val="center"/>
          </w:tcPr>
          <w:p>
            <w:pPr>
              <w:widowControl/>
              <w:tabs>
                <w:tab w:val="clear" w:pos="480"/>
              </w:tabs>
              <w:spacing w:line="240" w:lineRule="auto"/>
              <w:ind w:firstLine="0" w:firstLineChars="0"/>
              <w:jc w:val="left"/>
              <w:rPr>
                <w:b/>
                <w:bCs/>
                <w:kern w:val="0"/>
                <w:sz w:val="18"/>
                <w:szCs w:val="18"/>
              </w:rPr>
            </w:pPr>
          </w:p>
        </w:tc>
        <w:tc>
          <w:tcPr>
            <w:tcW w:w="498" w:type="pct"/>
            <w:vMerge w:val="continue"/>
            <w:vAlign w:val="center"/>
          </w:tcPr>
          <w:p>
            <w:pPr>
              <w:widowControl/>
              <w:tabs>
                <w:tab w:val="clear" w:pos="480"/>
              </w:tabs>
              <w:spacing w:line="240" w:lineRule="auto"/>
              <w:ind w:firstLine="0" w:firstLineChars="0"/>
              <w:jc w:val="left"/>
              <w:rPr>
                <w:b/>
                <w:bCs/>
                <w:kern w:val="0"/>
                <w:sz w:val="18"/>
                <w:szCs w:val="18"/>
              </w:rPr>
            </w:pPr>
          </w:p>
        </w:tc>
        <w:tc>
          <w:tcPr>
            <w:tcW w:w="665" w:type="pct"/>
            <w:vMerge w:val="continue"/>
            <w:vAlign w:val="center"/>
          </w:tcPr>
          <w:p>
            <w:pPr>
              <w:widowControl/>
              <w:tabs>
                <w:tab w:val="clear" w:pos="480"/>
              </w:tabs>
              <w:spacing w:line="240" w:lineRule="auto"/>
              <w:ind w:firstLine="0" w:firstLineChars="0"/>
              <w:jc w:val="left"/>
              <w:rPr>
                <w:b/>
                <w:bCs/>
                <w:kern w:val="0"/>
                <w:sz w:val="18"/>
                <w:szCs w:val="18"/>
              </w:rPr>
            </w:pPr>
          </w:p>
        </w:tc>
        <w:tc>
          <w:tcPr>
            <w:tcW w:w="415" w:type="pct"/>
            <w:noWrap/>
            <w:vAlign w:val="center"/>
          </w:tcPr>
          <w:p>
            <w:pPr>
              <w:widowControl/>
              <w:tabs>
                <w:tab w:val="clear" w:pos="480"/>
              </w:tabs>
              <w:spacing w:line="240" w:lineRule="auto"/>
              <w:ind w:firstLine="0" w:firstLineChars="0"/>
              <w:jc w:val="center"/>
              <w:rPr>
                <w:b/>
                <w:bCs/>
                <w:kern w:val="0"/>
                <w:sz w:val="18"/>
                <w:szCs w:val="18"/>
              </w:rPr>
            </w:pPr>
            <w:r>
              <w:rPr>
                <w:b/>
                <w:bCs/>
                <w:kern w:val="0"/>
                <w:sz w:val="18"/>
                <w:szCs w:val="18"/>
              </w:rPr>
              <w:t>数量</w:t>
            </w:r>
          </w:p>
        </w:tc>
        <w:tc>
          <w:tcPr>
            <w:tcW w:w="583" w:type="pct"/>
            <w:noWrap/>
            <w:vAlign w:val="center"/>
          </w:tcPr>
          <w:p>
            <w:pPr>
              <w:widowControl/>
              <w:tabs>
                <w:tab w:val="clear" w:pos="480"/>
              </w:tabs>
              <w:spacing w:line="240" w:lineRule="auto"/>
              <w:ind w:firstLine="0" w:firstLineChars="0"/>
              <w:jc w:val="center"/>
              <w:rPr>
                <w:b/>
                <w:bCs/>
                <w:kern w:val="0"/>
                <w:sz w:val="18"/>
                <w:szCs w:val="18"/>
              </w:rPr>
            </w:pPr>
            <w:r>
              <w:rPr>
                <w:b/>
                <w:bCs/>
                <w:kern w:val="0"/>
                <w:sz w:val="18"/>
                <w:szCs w:val="18"/>
              </w:rPr>
              <w:t>面积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1090" w:type="pct"/>
            <w:noWrap/>
            <w:vAlign w:val="center"/>
          </w:tcPr>
          <w:p>
            <w:pPr>
              <w:widowControl/>
              <w:numPr>
                <w:ilvl w:val="0"/>
                <w:numId w:val="60"/>
              </w:numPr>
              <w:tabs>
                <w:tab w:val="clear" w:pos="480"/>
              </w:tabs>
              <w:spacing w:line="240" w:lineRule="auto"/>
              <w:ind w:firstLineChars="0"/>
              <w:jc w:val="left"/>
              <w:rPr>
                <w:kern w:val="0"/>
                <w:sz w:val="18"/>
                <w:szCs w:val="18"/>
              </w:rPr>
            </w:pPr>
            <w:r>
              <w:rPr>
                <w:kern w:val="0"/>
                <w:sz w:val="18"/>
                <w:szCs w:val="18"/>
              </w:rPr>
              <w:t>码头平台</w:t>
            </w:r>
          </w:p>
        </w:tc>
        <w:tc>
          <w:tcPr>
            <w:tcW w:w="1164" w:type="pct"/>
            <w:vAlign w:val="center"/>
          </w:tcPr>
          <w:p>
            <w:pPr>
              <w:widowControl/>
              <w:tabs>
                <w:tab w:val="clear" w:pos="480"/>
              </w:tabs>
              <w:spacing w:line="240" w:lineRule="auto"/>
              <w:ind w:firstLine="0" w:firstLineChars="0"/>
              <w:jc w:val="left"/>
              <w:rPr>
                <w:kern w:val="0"/>
                <w:sz w:val="18"/>
                <w:szCs w:val="18"/>
              </w:rPr>
            </w:pPr>
            <w:r>
              <w:rPr>
                <w:color w:val="000000" w:themeColor="text1"/>
                <w:kern w:val="0"/>
                <w:sz w:val="18"/>
                <w:szCs w:val="18"/>
                <w14:textFill>
                  <w14:solidFill>
                    <w14:schemeClr w14:val="tx1"/>
                  </w14:solidFill>
                </w14:textFill>
              </w:rPr>
              <w:t>160×22；680×24</w:t>
            </w:r>
          </w:p>
        </w:tc>
        <w:tc>
          <w:tcPr>
            <w:tcW w:w="582"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19840</w:t>
            </w:r>
          </w:p>
        </w:tc>
        <w:tc>
          <w:tcPr>
            <w:tcW w:w="498"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594</w:t>
            </w:r>
          </w:p>
        </w:tc>
        <w:tc>
          <w:tcPr>
            <w:tcW w:w="665"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466.29</w:t>
            </w:r>
          </w:p>
        </w:tc>
        <w:tc>
          <w:tcPr>
            <w:tcW w:w="415"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594</w:t>
            </w:r>
          </w:p>
        </w:tc>
        <w:tc>
          <w:tcPr>
            <w:tcW w:w="583"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466.29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1090" w:type="pct"/>
            <w:noWrap/>
            <w:vAlign w:val="center"/>
          </w:tcPr>
          <w:p>
            <w:pPr>
              <w:widowControl/>
              <w:numPr>
                <w:ilvl w:val="0"/>
                <w:numId w:val="60"/>
              </w:numPr>
              <w:tabs>
                <w:tab w:val="clear" w:pos="480"/>
              </w:tabs>
              <w:spacing w:line="240" w:lineRule="auto"/>
              <w:ind w:firstLineChars="0"/>
              <w:jc w:val="left"/>
              <w:rPr>
                <w:kern w:val="0"/>
                <w:sz w:val="18"/>
                <w:szCs w:val="18"/>
              </w:rPr>
            </w:pPr>
            <w:r>
              <w:rPr>
                <w:kern w:val="0"/>
                <w:sz w:val="18"/>
                <w:szCs w:val="18"/>
              </w:rPr>
              <w:t>引桥</w:t>
            </w:r>
          </w:p>
        </w:tc>
        <w:tc>
          <w:tcPr>
            <w:tcW w:w="1164" w:type="pct"/>
            <w:vAlign w:val="center"/>
          </w:tcPr>
          <w:p>
            <w:pPr>
              <w:widowControl/>
              <w:tabs>
                <w:tab w:val="clear" w:pos="480"/>
              </w:tabs>
              <w:spacing w:line="240" w:lineRule="auto"/>
              <w:ind w:firstLine="0" w:firstLineChars="0"/>
              <w:jc w:val="left"/>
              <w:rPr>
                <w:kern w:val="0"/>
                <w:sz w:val="18"/>
                <w:szCs w:val="18"/>
              </w:rPr>
            </w:pPr>
            <w:r>
              <w:rPr>
                <w:color w:val="000000" w:themeColor="text1"/>
                <w:kern w:val="0"/>
                <w:sz w:val="18"/>
                <w:szCs w:val="18"/>
                <w14:textFill>
                  <w14:solidFill>
                    <w14:schemeClr w14:val="tx1"/>
                  </w14:solidFill>
                </w14:textFill>
              </w:rPr>
              <w:t>140.62×6；141.67×6；146.91×15；140.27×15；135.55×9</w:t>
            </w:r>
          </w:p>
        </w:tc>
        <w:tc>
          <w:tcPr>
            <w:tcW w:w="582" w:type="pct"/>
            <w:noWrap/>
            <w:vAlign w:val="center"/>
          </w:tcPr>
          <w:p>
            <w:pPr>
              <w:widowControl/>
              <w:tabs>
                <w:tab w:val="clear" w:pos="480"/>
              </w:tabs>
              <w:spacing w:line="240" w:lineRule="auto"/>
              <w:ind w:firstLine="0" w:firstLineChars="0"/>
              <w:jc w:val="center"/>
              <w:rPr>
                <w:kern w:val="0"/>
                <w:sz w:val="18"/>
                <w:szCs w:val="18"/>
              </w:rPr>
            </w:pPr>
            <w:r>
              <w:rPr>
                <w:color w:val="000000" w:themeColor="text1"/>
                <w:kern w:val="0"/>
                <w:sz w:val="18"/>
                <w:szCs w:val="18"/>
                <w14:textFill>
                  <w14:solidFill>
                    <w14:schemeClr w14:val="tx1"/>
                  </w14:solidFill>
                </w14:textFill>
              </w:rPr>
              <w:t>7221</w:t>
            </w:r>
          </w:p>
        </w:tc>
        <w:tc>
          <w:tcPr>
            <w:tcW w:w="498" w:type="pct"/>
            <w:noWrap/>
            <w:vAlign w:val="center"/>
          </w:tcPr>
          <w:p>
            <w:pPr>
              <w:widowControl/>
              <w:tabs>
                <w:tab w:val="clear" w:pos="480"/>
              </w:tabs>
              <w:spacing w:line="240" w:lineRule="auto"/>
              <w:ind w:firstLine="0" w:firstLineChars="0"/>
              <w:jc w:val="center"/>
              <w:rPr>
                <w:color w:val="FF0000"/>
                <w:kern w:val="0"/>
                <w:sz w:val="18"/>
                <w:szCs w:val="18"/>
              </w:rPr>
            </w:pPr>
            <w:r>
              <w:rPr>
                <w:kern w:val="0"/>
                <w:sz w:val="18"/>
                <w:szCs w:val="18"/>
              </w:rPr>
              <w:t>64</w:t>
            </w:r>
          </w:p>
        </w:tc>
        <w:tc>
          <w:tcPr>
            <w:tcW w:w="665"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89.49</w:t>
            </w:r>
          </w:p>
        </w:tc>
        <w:tc>
          <w:tcPr>
            <w:tcW w:w="415"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64</w:t>
            </w:r>
          </w:p>
        </w:tc>
        <w:tc>
          <w:tcPr>
            <w:tcW w:w="583"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89.49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1090" w:type="pct"/>
            <w:noWrap/>
            <w:vAlign w:val="center"/>
          </w:tcPr>
          <w:p>
            <w:pPr>
              <w:widowControl/>
              <w:numPr>
                <w:ilvl w:val="0"/>
                <w:numId w:val="60"/>
              </w:numPr>
              <w:tabs>
                <w:tab w:val="clear" w:pos="480"/>
              </w:tabs>
              <w:spacing w:line="240" w:lineRule="auto"/>
              <w:ind w:firstLineChars="0"/>
              <w:jc w:val="left"/>
              <w:rPr>
                <w:kern w:val="0"/>
                <w:sz w:val="18"/>
                <w:szCs w:val="18"/>
              </w:rPr>
            </w:pPr>
            <w:r>
              <w:rPr>
                <w:kern w:val="0"/>
                <w:sz w:val="18"/>
                <w:szCs w:val="18"/>
              </w:rPr>
              <w:t>皮带机廊道</w:t>
            </w:r>
          </w:p>
        </w:tc>
        <w:tc>
          <w:tcPr>
            <w:tcW w:w="1164" w:type="pct"/>
            <w:vAlign w:val="center"/>
          </w:tcPr>
          <w:p>
            <w:pPr>
              <w:widowControl/>
              <w:tabs>
                <w:tab w:val="clear" w:pos="480"/>
              </w:tabs>
              <w:spacing w:line="240" w:lineRule="auto"/>
              <w:ind w:firstLine="0" w:firstLineChars="0"/>
              <w:jc w:val="left"/>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141.67×4.5；141.67×7.5；135.55×4</w:t>
            </w:r>
          </w:p>
        </w:tc>
        <w:tc>
          <w:tcPr>
            <w:tcW w:w="582" w:type="pct"/>
            <w:noWrap/>
            <w:vAlign w:val="center"/>
          </w:tcPr>
          <w:p>
            <w:pPr>
              <w:widowControl/>
              <w:tabs>
                <w:tab w:val="clear" w:pos="480"/>
              </w:tabs>
              <w:spacing w:line="240" w:lineRule="auto"/>
              <w:ind w:firstLine="0" w:firstLineChars="0"/>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2242</w:t>
            </w:r>
          </w:p>
        </w:tc>
        <w:tc>
          <w:tcPr>
            <w:tcW w:w="498"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28</w:t>
            </w:r>
          </w:p>
        </w:tc>
        <w:tc>
          <w:tcPr>
            <w:tcW w:w="665"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41.61</w:t>
            </w:r>
          </w:p>
        </w:tc>
        <w:tc>
          <w:tcPr>
            <w:tcW w:w="415"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28</w:t>
            </w:r>
          </w:p>
        </w:tc>
        <w:tc>
          <w:tcPr>
            <w:tcW w:w="583"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41.61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1090" w:type="pct"/>
            <w:noWrap/>
            <w:vAlign w:val="center"/>
          </w:tcPr>
          <w:p>
            <w:pPr>
              <w:widowControl/>
              <w:numPr>
                <w:ilvl w:val="0"/>
                <w:numId w:val="60"/>
              </w:numPr>
              <w:tabs>
                <w:tab w:val="clear" w:pos="480"/>
              </w:tabs>
              <w:spacing w:line="240" w:lineRule="auto"/>
              <w:ind w:firstLineChars="0"/>
              <w:jc w:val="left"/>
              <w:rPr>
                <w:kern w:val="0"/>
                <w:sz w:val="18"/>
                <w:szCs w:val="18"/>
              </w:rPr>
            </w:pPr>
            <w:r>
              <w:rPr>
                <w:color w:val="000000" w:themeColor="text1"/>
                <w:kern w:val="0"/>
                <w:sz w:val="18"/>
                <w:szCs w:val="18"/>
                <w14:textFill>
                  <w14:solidFill>
                    <w14:schemeClr w14:val="tx1"/>
                  </w14:solidFill>
                </w14:textFill>
              </w:rPr>
              <w:t>抓斗机平台</w:t>
            </w:r>
          </w:p>
        </w:tc>
        <w:tc>
          <w:tcPr>
            <w:tcW w:w="1164" w:type="pct"/>
            <w:vAlign w:val="center"/>
          </w:tcPr>
          <w:p>
            <w:pPr>
              <w:widowControl/>
              <w:tabs>
                <w:tab w:val="clear" w:pos="480"/>
              </w:tabs>
              <w:spacing w:line="240" w:lineRule="auto"/>
              <w:ind w:firstLine="0" w:firstLineChars="0"/>
              <w:jc w:val="left"/>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12×9×2（个）</w:t>
            </w:r>
          </w:p>
        </w:tc>
        <w:tc>
          <w:tcPr>
            <w:tcW w:w="582" w:type="pct"/>
            <w:noWrap/>
            <w:vAlign w:val="center"/>
          </w:tcPr>
          <w:p>
            <w:pPr>
              <w:widowControl/>
              <w:tabs>
                <w:tab w:val="clear" w:pos="480"/>
              </w:tabs>
              <w:spacing w:line="240" w:lineRule="auto"/>
              <w:ind w:firstLine="0" w:firstLineChars="0"/>
              <w:jc w:val="center"/>
              <w:rPr>
                <w:color w:val="000000" w:themeColor="text1"/>
                <w:kern w:val="0"/>
                <w:sz w:val="18"/>
                <w:szCs w:val="18"/>
                <w14:textFill>
                  <w14:solidFill>
                    <w14:schemeClr w14:val="tx1"/>
                  </w14:solidFill>
                </w14:textFill>
              </w:rPr>
            </w:pPr>
            <w:r>
              <w:rPr>
                <w:kern w:val="0"/>
                <w:sz w:val="18"/>
                <w:szCs w:val="18"/>
              </w:rPr>
              <w:t>216</w:t>
            </w:r>
          </w:p>
        </w:tc>
        <w:tc>
          <w:tcPr>
            <w:tcW w:w="498"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12</w:t>
            </w:r>
          </w:p>
        </w:tc>
        <w:tc>
          <w:tcPr>
            <w:tcW w:w="665"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17.17</w:t>
            </w:r>
          </w:p>
        </w:tc>
        <w:tc>
          <w:tcPr>
            <w:tcW w:w="415"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12</w:t>
            </w:r>
          </w:p>
        </w:tc>
        <w:tc>
          <w:tcPr>
            <w:tcW w:w="583"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17.17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1090" w:type="pct"/>
            <w:noWrap/>
            <w:vAlign w:val="center"/>
          </w:tcPr>
          <w:p>
            <w:pPr>
              <w:widowControl/>
              <w:numPr>
                <w:ilvl w:val="0"/>
                <w:numId w:val="60"/>
              </w:numPr>
              <w:tabs>
                <w:tab w:val="clear" w:pos="480"/>
              </w:tabs>
              <w:spacing w:line="240" w:lineRule="auto"/>
              <w:ind w:firstLineChars="0"/>
              <w:jc w:val="left"/>
              <w:rPr>
                <w:kern w:val="0"/>
                <w:sz w:val="18"/>
                <w:szCs w:val="18"/>
              </w:rPr>
            </w:pPr>
            <w:r>
              <w:rPr>
                <w:color w:val="000000" w:themeColor="text1"/>
                <w:kern w:val="0"/>
                <w:sz w:val="18"/>
                <w:szCs w:val="18"/>
                <w14:textFill>
                  <w14:solidFill>
                    <w14:schemeClr w14:val="tx1"/>
                  </w14:solidFill>
                </w14:textFill>
              </w:rPr>
              <w:t>综合用房（内设变电所）</w:t>
            </w:r>
          </w:p>
        </w:tc>
        <w:tc>
          <w:tcPr>
            <w:tcW w:w="1164" w:type="pct"/>
            <w:vAlign w:val="center"/>
          </w:tcPr>
          <w:p>
            <w:pPr>
              <w:widowControl/>
              <w:tabs>
                <w:tab w:val="clear" w:pos="480"/>
              </w:tabs>
              <w:spacing w:line="240" w:lineRule="auto"/>
              <w:ind w:firstLine="0" w:firstLineChars="0"/>
              <w:jc w:val="left"/>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374m</w:t>
            </w:r>
            <w:r>
              <w:rPr>
                <w:color w:val="000000" w:themeColor="text1"/>
                <w:kern w:val="0"/>
                <w:sz w:val="18"/>
                <w:szCs w:val="18"/>
                <w:vertAlign w:val="superscript"/>
                <w14:textFill>
                  <w14:solidFill>
                    <w14:schemeClr w14:val="tx1"/>
                  </w14:solidFill>
                </w14:textFill>
              </w:rPr>
              <w:t>2</w:t>
            </w:r>
          </w:p>
        </w:tc>
        <w:tc>
          <w:tcPr>
            <w:tcW w:w="582" w:type="pct"/>
            <w:noWrap/>
            <w:vAlign w:val="center"/>
          </w:tcPr>
          <w:p>
            <w:pPr>
              <w:widowControl/>
              <w:tabs>
                <w:tab w:val="clear" w:pos="480"/>
              </w:tabs>
              <w:spacing w:line="240" w:lineRule="auto"/>
              <w:ind w:firstLine="0" w:firstLineChars="0"/>
              <w:jc w:val="center"/>
              <w:rPr>
                <w:color w:val="000000" w:themeColor="text1"/>
                <w:kern w:val="0"/>
                <w:sz w:val="18"/>
                <w:szCs w:val="18"/>
                <w14:textFill>
                  <w14:solidFill>
                    <w14:schemeClr w14:val="tx1"/>
                  </w14:solidFill>
                </w14:textFill>
              </w:rPr>
            </w:pPr>
            <w:r>
              <w:rPr>
                <w:kern w:val="0"/>
                <w:sz w:val="18"/>
                <w:szCs w:val="18"/>
              </w:rPr>
              <w:t>374</w:t>
            </w:r>
          </w:p>
        </w:tc>
        <w:tc>
          <w:tcPr>
            <w:tcW w:w="498"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9</w:t>
            </w:r>
          </w:p>
        </w:tc>
        <w:tc>
          <w:tcPr>
            <w:tcW w:w="665"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12.88</w:t>
            </w:r>
          </w:p>
        </w:tc>
        <w:tc>
          <w:tcPr>
            <w:tcW w:w="415"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9</w:t>
            </w:r>
          </w:p>
        </w:tc>
        <w:tc>
          <w:tcPr>
            <w:tcW w:w="583"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12.88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1090" w:type="pct"/>
            <w:noWrap/>
            <w:vAlign w:val="center"/>
          </w:tcPr>
          <w:p>
            <w:pPr>
              <w:widowControl/>
              <w:numPr>
                <w:ilvl w:val="0"/>
                <w:numId w:val="60"/>
              </w:numPr>
              <w:tabs>
                <w:tab w:val="clear" w:pos="480"/>
              </w:tabs>
              <w:spacing w:line="240" w:lineRule="auto"/>
              <w:ind w:firstLineChars="0"/>
              <w:jc w:val="left"/>
              <w:rPr>
                <w:kern w:val="0"/>
                <w:sz w:val="18"/>
                <w:szCs w:val="18"/>
              </w:rPr>
            </w:pPr>
            <w:r>
              <w:rPr>
                <w:kern w:val="0"/>
                <w:sz w:val="18"/>
                <w:szCs w:val="18"/>
              </w:rPr>
              <w:t>货船</w:t>
            </w:r>
          </w:p>
        </w:tc>
        <w:tc>
          <w:tcPr>
            <w:tcW w:w="1164" w:type="pct"/>
            <w:vAlign w:val="center"/>
          </w:tcPr>
          <w:p>
            <w:pPr>
              <w:widowControl/>
              <w:tabs>
                <w:tab w:val="clear" w:pos="480"/>
              </w:tabs>
              <w:spacing w:line="240" w:lineRule="auto"/>
              <w:ind w:firstLine="0" w:firstLineChars="0"/>
              <w:jc w:val="left"/>
              <w:rPr>
                <w:kern w:val="0"/>
                <w:sz w:val="18"/>
                <w:szCs w:val="18"/>
              </w:rPr>
            </w:pPr>
            <w:r>
              <w:rPr>
                <w:color w:val="000000" w:themeColor="text1"/>
                <w:kern w:val="0"/>
                <w:sz w:val="18"/>
                <w:szCs w:val="18"/>
                <w14:textFill>
                  <w14:solidFill>
                    <w14:schemeClr w14:val="tx1"/>
                  </w14:solidFill>
                </w14:textFill>
              </w:rPr>
              <w:t>123×21.6×（5艘）；123×19.2×（1艘）</w:t>
            </w:r>
          </w:p>
        </w:tc>
        <w:tc>
          <w:tcPr>
            <w:tcW w:w="582"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15396</w:t>
            </w:r>
          </w:p>
        </w:tc>
        <w:tc>
          <w:tcPr>
            <w:tcW w:w="498"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w:t>
            </w:r>
          </w:p>
        </w:tc>
        <w:tc>
          <w:tcPr>
            <w:tcW w:w="665"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w:t>
            </w:r>
          </w:p>
        </w:tc>
        <w:tc>
          <w:tcPr>
            <w:tcW w:w="415" w:type="pct"/>
            <w:noWrap/>
            <w:vAlign w:val="center"/>
          </w:tcPr>
          <w:p>
            <w:pPr>
              <w:widowControl/>
              <w:tabs>
                <w:tab w:val="clear" w:pos="480"/>
              </w:tabs>
              <w:spacing w:line="240" w:lineRule="auto"/>
              <w:ind w:firstLine="0" w:firstLineChars="0"/>
              <w:jc w:val="center"/>
              <w:rPr>
                <w:bCs/>
                <w:kern w:val="0"/>
                <w:sz w:val="18"/>
                <w:szCs w:val="18"/>
              </w:rPr>
            </w:pPr>
            <w:r>
              <w:rPr>
                <w:bCs/>
                <w:kern w:val="0"/>
                <w:sz w:val="18"/>
                <w:szCs w:val="18"/>
              </w:rPr>
              <w:t>/</w:t>
            </w:r>
          </w:p>
        </w:tc>
        <w:tc>
          <w:tcPr>
            <w:tcW w:w="583" w:type="pct"/>
            <w:noWrap/>
            <w:vAlign w:val="center"/>
          </w:tcPr>
          <w:p>
            <w:pPr>
              <w:widowControl/>
              <w:tabs>
                <w:tab w:val="clear" w:pos="480"/>
              </w:tabs>
              <w:spacing w:line="240" w:lineRule="auto"/>
              <w:ind w:firstLine="0" w:firstLineChars="0"/>
              <w:jc w:val="center"/>
              <w:rPr>
                <w:kern w:val="0"/>
                <w:sz w:val="18"/>
                <w:szCs w:val="18"/>
              </w:rPr>
            </w:pPr>
            <w:r>
              <w:rPr>
                <w:kern w:val="0"/>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1090" w:type="pct"/>
            <w:noWrap/>
            <w:vAlign w:val="center"/>
          </w:tcPr>
          <w:p>
            <w:pPr>
              <w:widowControl/>
              <w:numPr>
                <w:ilvl w:val="0"/>
                <w:numId w:val="60"/>
              </w:numPr>
              <w:tabs>
                <w:tab w:val="clear" w:pos="480"/>
              </w:tabs>
              <w:spacing w:line="240" w:lineRule="auto"/>
              <w:ind w:firstLineChars="0"/>
              <w:jc w:val="left"/>
              <w:rPr>
                <w:kern w:val="0"/>
                <w:sz w:val="18"/>
                <w:szCs w:val="18"/>
              </w:rPr>
            </w:pPr>
            <w:r>
              <w:rPr>
                <w:kern w:val="0"/>
                <w:sz w:val="18"/>
                <w:szCs w:val="18"/>
              </w:rPr>
              <w:t>抛石护桩</w:t>
            </w:r>
          </w:p>
        </w:tc>
        <w:tc>
          <w:tcPr>
            <w:tcW w:w="1164" w:type="pct"/>
            <w:vAlign w:val="center"/>
          </w:tcPr>
          <w:p>
            <w:pPr>
              <w:widowControl/>
              <w:tabs>
                <w:tab w:val="clear" w:pos="480"/>
              </w:tabs>
              <w:spacing w:line="240" w:lineRule="auto"/>
              <w:ind w:firstLine="0" w:firstLineChars="0"/>
              <w:jc w:val="left"/>
              <w:rPr>
                <w:kern w:val="0"/>
                <w:sz w:val="18"/>
                <w:szCs w:val="18"/>
              </w:rPr>
            </w:pPr>
            <w:r>
              <w:rPr>
                <w:sz w:val="18"/>
                <w:szCs w:val="18"/>
              </w:rPr>
              <w:t>（</w:t>
            </w:r>
            <w:r>
              <w:rPr>
                <w:color w:val="000000" w:themeColor="text1"/>
                <w:kern w:val="0"/>
                <w:sz w:val="18"/>
                <w:szCs w:val="18"/>
                <w14:textFill>
                  <w14:solidFill>
                    <w14:schemeClr w14:val="tx1"/>
                  </w14:solidFill>
                </w14:textFill>
              </w:rPr>
              <w:t>码头平台下方坡面）</w:t>
            </w:r>
          </w:p>
        </w:tc>
        <w:tc>
          <w:tcPr>
            <w:tcW w:w="582" w:type="pct"/>
            <w:noWrap/>
            <w:vAlign w:val="center"/>
          </w:tcPr>
          <w:p>
            <w:pPr>
              <w:widowControl/>
              <w:tabs>
                <w:tab w:val="clear" w:pos="480"/>
              </w:tabs>
              <w:spacing w:line="240" w:lineRule="auto"/>
              <w:ind w:firstLine="0" w:firstLineChars="0"/>
              <w:jc w:val="center"/>
              <w:rPr>
                <w:kern w:val="0"/>
                <w:sz w:val="18"/>
                <w:szCs w:val="18"/>
              </w:rPr>
            </w:pPr>
            <w:r>
              <w:rPr>
                <w:sz w:val="18"/>
                <w:szCs w:val="18"/>
              </w:rPr>
              <w:t>29400</w:t>
            </w:r>
          </w:p>
        </w:tc>
        <w:tc>
          <w:tcPr>
            <w:tcW w:w="498" w:type="pct"/>
            <w:noWrap/>
            <w:vAlign w:val="center"/>
          </w:tcPr>
          <w:p>
            <w:pPr>
              <w:widowControl/>
              <w:tabs>
                <w:tab w:val="clear" w:pos="480"/>
              </w:tabs>
              <w:spacing w:line="240" w:lineRule="auto"/>
              <w:ind w:firstLine="0" w:firstLineChars="0"/>
              <w:jc w:val="center"/>
              <w:rPr>
                <w:kern w:val="0"/>
                <w:sz w:val="18"/>
                <w:szCs w:val="18"/>
              </w:rPr>
            </w:pPr>
          </w:p>
        </w:tc>
        <w:tc>
          <w:tcPr>
            <w:tcW w:w="665" w:type="pct"/>
            <w:noWrap/>
            <w:vAlign w:val="center"/>
          </w:tcPr>
          <w:p>
            <w:pPr>
              <w:widowControl/>
              <w:tabs>
                <w:tab w:val="clear" w:pos="480"/>
              </w:tabs>
              <w:spacing w:line="240" w:lineRule="auto"/>
              <w:ind w:firstLine="0" w:firstLineChars="0"/>
              <w:jc w:val="center"/>
              <w:rPr>
                <w:kern w:val="0"/>
                <w:sz w:val="18"/>
                <w:szCs w:val="18"/>
              </w:rPr>
            </w:pPr>
            <w:r>
              <w:rPr>
                <w:sz w:val="18"/>
                <w:szCs w:val="18"/>
              </w:rPr>
              <w:t>29400</w:t>
            </w:r>
          </w:p>
        </w:tc>
        <w:tc>
          <w:tcPr>
            <w:tcW w:w="415" w:type="pct"/>
            <w:noWrap/>
            <w:vAlign w:val="center"/>
          </w:tcPr>
          <w:p>
            <w:pPr>
              <w:widowControl/>
              <w:tabs>
                <w:tab w:val="clear" w:pos="480"/>
              </w:tabs>
              <w:spacing w:line="240" w:lineRule="auto"/>
              <w:ind w:firstLine="0" w:firstLineChars="0"/>
              <w:jc w:val="center"/>
              <w:rPr>
                <w:b/>
                <w:bCs/>
                <w:kern w:val="0"/>
                <w:sz w:val="18"/>
                <w:szCs w:val="18"/>
              </w:rPr>
            </w:pPr>
          </w:p>
        </w:tc>
        <w:tc>
          <w:tcPr>
            <w:tcW w:w="583" w:type="pct"/>
            <w:noWrap/>
            <w:vAlign w:val="center"/>
          </w:tcPr>
          <w:p>
            <w:pPr>
              <w:widowControl/>
              <w:tabs>
                <w:tab w:val="clear" w:pos="480"/>
              </w:tabs>
              <w:spacing w:line="240" w:lineRule="auto"/>
              <w:ind w:firstLine="0" w:firstLineChars="0"/>
              <w:jc w:val="center"/>
              <w:rPr>
                <w:kern w:val="0"/>
                <w:sz w:val="18"/>
                <w:szCs w:val="18"/>
              </w:rPr>
            </w:pPr>
            <w:r>
              <w:rPr>
                <w:sz w:val="18"/>
                <w:szCs w:val="18"/>
              </w:rPr>
              <w:t>29400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1090" w:type="pct"/>
            <w:noWrap/>
            <w:vAlign w:val="center"/>
          </w:tcPr>
          <w:p>
            <w:pPr>
              <w:widowControl/>
              <w:tabs>
                <w:tab w:val="clear" w:pos="480"/>
              </w:tabs>
              <w:spacing w:line="240" w:lineRule="auto"/>
              <w:ind w:firstLine="0" w:firstLineChars="0"/>
              <w:jc w:val="center"/>
              <w:rPr>
                <w:b/>
                <w:bCs/>
                <w:kern w:val="0"/>
                <w:sz w:val="18"/>
                <w:szCs w:val="18"/>
              </w:rPr>
            </w:pPr>
            <w:r>
              <w:rPr>
                <w:b/>
                <w:bCs/>
                <w:kern w:val="0"/>
                <w:sz w:val="18"/>
                <w:szCs w:val="18"/>
              </w:rPr>
              <w:t>合计</w:t>
            </w:r>
          </w:p>
        </w:tc>
        <w:tc>
          <w:tcPr>
            <w:tcW w:w="1164" w:type="pct"/>
            <w:vAlign w:val="center"/>
          </w:tcPr>
          <w:p>
            <w:pPr>
              <w:widowControl/>
              <w:tabs>
                <w:tab w:val="clear" w:pos="480"/>
              </w:tabs>
              <w:spacing w:line="240" w:lineRule="auto"/>
              <w:ind w:firstLine="0" w:firstLineChars="0"/>
              <w:jc w:val="center"/>
              <w:rPr>
                <w:b/>
                <w:bCs/>
                <w:kern w:val="0"/>
                <w:sz w:val="18"/>
                <w:szCs w:val="18"/>
              </w:rPr>
            </w:pPr>
            <w:r>
              <w:rPr>
                <w:b/>
                <w:bCs/>
                <w:kern w:val="0"/>
                <w:sz w:val="18"/>
                <w:szCs w:val="18"/>
              </w:rPr>
              <w:t>/</w:t>
            </w:r>
          </w:p>
        </w:tc>
        <w:tc>
          <w:tcPr>
            <w:tcW w:w="582" w:type="pct"/>
            <w:noWrap/>
            <w:vAlign w:val="center"/>
          </w:tcPr>
          <w:p>
            <w:pPr>
              <w:widowControl/>
              <w:tabs>
                <w:tab w:val="clear" w:pos="480"/>
              </w:tabs>
              <w:spacing w:line="240" w:lineRule="auto"/>
              <w:ind w:firstLine="0" w:firstLineChars="0"/>
              <w:jc w:val="center"/>
              <w:rPr>
                <w:b/>
                <w:bCs/>
                <w:kern w:val="0"/>
                <w:sz w:val="18"/>
                <w:szCs w:val="18"/>
              </w:rPr>
            </w:pPr>
            <w:r>
              <w:rPr>
                <w:b/>
                <w:bCs/>
                <w:kern w:val="0"/>
                <w:sz w:val="18"/>
                <w:szCs w:val="18"/>
              </w:rPr>
              <w:t>54849</w:t>
            </w:r>
          </w:p>
        </w:tc>
        <w:tc>
          <w:tcPr>
            <w:tcW w:w="498" w:type="pct"/>
            <w:noWrap/>
            <w:vAlign w:val="center"/>
          </w:tcPr>
          <w:p>
            <w:pPr>
              <w:widowControl/>
              <w:tabs>
                <w:tab w:val="clear" w:pos="480"/>
              </w:tabs>
              <w:spacing w:line="240" w:lineRule="auto"/>
              <w:ind w:firstLine="0" w:firstLineChars="0"/>
              <w:jc w:val="center"/>
              <w:rPr>
                <w:b/>
                <w:bCs/>
                <w:kern w:val="0"/>
                <w:sz w:val="18"/>
                <w:szCs w:val="18"/>
              </w:rPr>
            </w:pPr>
          </w:p>
        </w:tc>
        <w:tc>
          <w:tcPr>
            <w:tcW w:w="665" w:type="pct"/>
            <w:noWrap/>
            <w:vAlign w:val="center"/>
          </w:tcPr>
          <w:p>
            <w:pPr>
              <w:widowControl/>
              <w:tabs>
                <w:tab w:val="clear" w:pos="480"/>
              </w:tabs>
              <w:spacing w:line="240" w:lineRule="auto"/>
              <w:ind w:firstLine="0" w:firstLineChars="0"/>
              <w:jc w:val="center"/>
              <w:rPr>
                <w:b/>
                <w:bCs/>
                <w:kern w:val="0"/>
                <w:sz w:val="18"/>
                <w:szCs w:val="18"/>
              </w:rPr>
            </w:pPr>
            <w:r>
              <w:rPr>
                <w:b/>
                <w:bCs/>
                <w:kern w:val="0"/>
                <w:sz w:val="18"/>
                <w:szCs w:val="18"/>
              </w:rPr>
              <w:t>30027.44</w:t>
            </w:r>
          </w:p>
        </w:tc>
        <w:tc>
          <w:tcPr>
            <w:tcW w:w="415" w:type="pct"/>
            <w:noWrap/>
            <w:vAlign w:val="center"/>
          </w:tcPr>
          <w:p>
            <w:pPr>
              <w:widowControl/>
              <w:tabs>
                <w:tab w:val="clear" w:pos="480"/>
              </w:tabs>
              <w:spacing w:line="240" w:lineRule="auto"/>
              <w:ind w:firstLine="0" w:firstLineChars="0"/>
              <w:jc w:val="center"/>
              <w:rPr>
                <w:b/>
                <w:bCs/>
                <w:kern w:val="0"/>
                <w:sz w:val="18"/>
                <w:szCs w:val="18"/>
              </w:rPr>
            </w:pPr>
          </w:p>
        </w:tc>
        <w:tc>
          <w:tcPr>
            <w:tcW w:w="583" w:type="pct"/>
            <w:noWrap/>
            <w:vAlign w:val="center"/>
          </w:tcPr>
          <w:p>
            <w:pPr>
              <w:widowControl/>
              <w:tabs>
                <w:tab w:val="clear" w:pos="480"/>
              </w:tabs>
              <w:spacing w:line="240" w:lineRule="auto"/>
              <w:ind w:firstLine="0" w:firstLineChars="0"/>
              <w:jc w:val="center"/>
              <w:rPr>
                <w:b/>
                <w:bCs/>
                <w:kern w:val="0"/>
                <w:sz w:val="18"/>
                <w:szCs w:val="18"/>
              </w:rPr>
            </w:pPr>
            <w:r>
              <w:rPr>
                <w:b/>
                <w:bCs/>
                <w:kern w:val="0"/>
                <w:sz w:val="18"/>
                <w:szCs w:val="18"/>
              </w:rPr>
              <w:t>30027.44</w:t>
            </w:r>
          </w:p>
        </w:tc>
      </w:tr>
    </w:tbl>
    <w:p>
      <w:pPr>
        <w:pStyle w:val="456"/>
        <w:ind w:firstLine="482"/>
      </w:pPr>
      <w:r>
        <w:t>结构方案</w:t>
      </w:r>
    </w:p>
    <w:p>
      <w:pPr>
        <w:ind w:firstLine="480"/>
      </w:pPr>
      <w:r>
        <w:rPr>
          <w:rFonts w:hint="eastAsia"/>
        </w:rPr>
        <w:t>根据地质及前沿水深情况，本工程采用高桩码头结构较为适宜，持力层为中风化板岩，基桩需采用嵌岩桩。</w:t>
      </w:r>
    </w:p>
    <w:p>
      <w:pPr>
        <w:ind w:firstLine="480"/>
      </w:pPr>
      <w:r>
        <w:rPr>
          <w:rFonts w:hint="eastAsia"/>
        </w:rPr>
        <w:t>经过多方案比较，推荐方案采用钢管芯柱嵌岩斜桩结构，桩基为</w:t>
      </w:r>
      <w:r>
        <w:t>4</w:t>
      </w:r>
      <w:r>
        <w:rPr>
          <w:rFonts w:hint="eastAsia"/>
        </w:rPr>
        <w:t>根Φ</w:t>
      </w:r>
      <w:r>
        <w:t>1000mm</w:t>
      </w:r>
      <w:r>
        <w:rPr>
          <w:rFonts w:hint="eastAsia"/>
        </w:rPr>
        <w:t>全直钢管（δ</w:t>
      </w:r>
      <w:r>
        <w:t>18mm</w:t>
      </w:r>
      <w:r>
        <w:rPr>
          <w:rFonts w:hint="eastAsia"/>
        </w:rPr>
        <w:t>）芯柱嵌岩桩及</w:t>
      </w:r>
      <w:r>
        <w:t>2</w:t>
      </w:r>
      <w:r>
        <w:rPr>
          <w:rFonts w:hint="eastAsia"/>
        </w:rPr>
        <w:t>根Φ</w:t>
      </w:r>
      <w:r>
        <w:t>1000mm</w:t>
      </w:r>
      <w:r>
        <w:rPr>
          <w:rFonts w:hint="eastAsia"/>
        </w:rPr>
        <w:t>钢管（δ</w:t>
      </w:r>
      <w:r>
        <w:t>18mm</w:t>
      </w:r>
      <w:r>
        <w:rPr>
          <w:rFonts w:hint="eastAsia"/>
        </w:rPr>
        <w:t>）芯柱嵌岩斜桩（斜度</w:t>
      </w:r>
      <w:r>
        <w:t>6:1</w:t>
      </w:r>
      <w:r>
        <w:rPr>
          <w:rFonts w:hint="eastAsia"/>
        </w:rPr>
        <w:t>）。</w:t>
      </w:r>
    </w:p>
    <w:p>
      <w:pPr>
        <w:ind w:firstLine="480"/>
      </w:pPr>
      <w:r>
        <w:rPr>
          <w:rFonts w:hint="eastAsia"/>
        </w:rPr>
        <w:t>①</w:t>
      </w:r>
      <w:r>
        <w:t>码头平台</w:t>
      </w:r>
      <w:r>
        <w:rPr>
          <w:rFonts w:hint="eastAsia"/>
        </w:rPr>
        <w:t>（</w:t>
      </w:r>
      <w:r>
        <w:t>1#~6#</w:t>
      </w:r>
      <w:r>
        <w:rPr>
          <w:rFonts w:hint="eastAsia"/>
        </w:rPr>
        <w:t>泊位）</w:t>
      </w:r>
    </w:p>
    <w:p>
      <w:pPr>
        <w:ind w:firstLine="480"/>
      </w:pPr>
      <w:r>
        <w:t>1#~6#</w:t>
      </w:r>
      <w:r>
        <w:rPr>
          <w:rFonts w:hint="eastAsia"/>
        </w:rPr>
        <w:t>泊位采用钢管芯柱嵌岩斜桩结构，码头平台总长</w:t>
      </w:r>
      <w:r>
        <w:t>840m</w:t>
      </w:r>
      <w:r>
        <w:rPr>
          <w:rFonts w:hint="eastAsia"/>
        </w:rPr>
        <w:t>，其中</w:t>
      </w:r>
      <w:r>
        <w:t>1#</w:t>
      </w:r>
      <w:r>
        <w:rPr>
          <w:rFonts w:hint="eastAsia"/>
        </w:rPr>
        <w:t>泊位码头平台宽度为</w:t>
      </w:r>
      <w:r>
        <w:t>22m</w:t>
      </w:r>
      <w:r>
        <w:rPr>
          <w:rFonts w:hint="eastAsia"/>
        </w:rPr>
        <w:t>，</w:t>
      </w:r>
      <w:r>
        <w:t>2~6#</w:t>
      </w:r>
      <w:r>
        <w:rPr>
          <w:rFonts w:hint="eastAsia"/>
        </w:rPr>
        <w:t>泊位码头平台宽度为</w:t>
      </w:r>
      <w:r>
        <w:t>24m</w:t>
      </w:r>
      <w:r>
        <w:rPr>
          <w:rFonts w:hint="eastAsia"/>
        </w:rPr>
        <w:t>。码头面高程</w:t>
      </w:r>
      <w:r>
        <w:t>33.90m</w:t>
      </w:r>
      <w:r>
        <w:rPr>
          <w:rFonts w:hint="eastAsia"/>
        </w:rPr>
        <w:t>，标准排架间距</w:t>
      </w:r>
      <w:r>
        <w:t>9m</w:t>
      </w:r>
      <w:r>
        <w:rPr>
          <w:rFonts w:hint="eastAsia"/>
        </w:rPr>
        <w:t>，共</w:t>
      </w:r>
      <w:r>
        <w:t>99</w:t>
      </w:r>
      <w:r>
        <w:rPr>
          <w:rFonts w:hint="eastAsia"/>
        </w:rPr>
        <w:t>榀排架，分为</w:t>
      </w:r>
      <w:r>
        <w:t>12</w:t>
      </w:r>
      <w:r>
        <w:rPr>
          <w:rFonts w:hint="eastAsia"/>
        </w:rPr>
        <w:t>个结构段，结构段分缝采用悬臂分缝。每榀排架基础采用</w:t>
      </w:r>
      <w:r>
        <w:t>4</w:t>
      </w:r>
      <w:r>
        <w:rPr>
          <w:rFonts w:hint="eastAsia"/>
        </w:rPr>
        <w:t>根Φ</w:t>
      </w:r>
      <w:r>
        <w:t>1000mm</w:t>
      </w:r>
      <w:r>
        <w:rPr>
          <w:rFonts w:hint="eastAsia"/>
        </w:rPr>
        <w:t>全直钢管（δ</w:t>
      </w:r>
      <w:r>
        <w:t>18mm</w:t>
      </w:r>
      <w:r>
        <w:rPr>
          <w:rFonts w:hint="eastAsia"/>
        </w:rPr>
        <w:t>）芯柱嵌岩桩及</w:t>
      </w:r>
      <w:r>
        <w:t>2</w:t>
      </w:r>
      <w:r>
        <w:rPr>
          <w:rFonts w:hint="eastAsia"/>
        </w:rPr>
        <w:t>根Φ</w:t>
      </w:r>
      <w:r>
        <w:t>1000mm</w:t>
      </w:r>
      <w:r>
        <w:rPr>
          <w:rFonts w:hint="eastAsia"/>
        </w:rPr>
        <w:t>钢管（δ</w:t>
      </w:r>
      <w:r>
        <w:t>18mm</w:t>
      </w:r>
      <w:r>
        <w:rPr>
          <w:rFonts w:hint="eastAsia"/>
        </w:rPr>
        <w:t>）芯柱嵌岩斜桩（斜度</w:t>
      </w:r>
      <w:r>
        <w:t>6:1</w:t>
      </w:r>
      <w:r>
        <w:rPr>
          <w:rFonts w:hint="eastAsia"/>
        </w:rPr>
        <w:t>）。</w:t>
      </w:r>
    </w:p>
    <w:p>
      <w:pPr>
        <w:ind w:firstLine="480"/>
      </w:pPr>
      <w:r>
        <w:rPr>
          <w:rFonts w:hint="eastAsia"/>
        </w:rPr>
        <w:t>码头排架前沿设Φ</w:t>
      </w:r>
      <w:r>
        <w:t>1000mm</w:t>
      </w:r>
      <w:r>
        <w:rPr>
          <w:rFonts w:hint="eastAsia"/>
        </w:rPr>
        <w:t>δ</w:t>
      </w:r>
      <w:r>
        <w:t>16mm</w:t>
      </w:r>
      <w:r>
        <w:rPr>
          <w:rFonts w:hint="eastAsia"/>
        </w:rPr>
        <w:t>钢靠船立柱，竖向设</w:t>
      </w:r>
      <w:r>
        <w:t>DA-A600H</w:t>
      </w:r>
      <w:r>
        <w:rPr>
          <w:rFonts w:hint="eastAsia"/>
        </w:rPr>
        <w:t>（</w:t>
      </w:r>
      <w:r>
        <w:t>L=2000mm</w:t>
      </w:r>
      <w:r>
        <w:rPr>
          <w:rFonts w:hint="eastAsia"/>
        </w:rPr>
        <w:t>）标准反力型橡胶护舷，排架间水平向设有</w:t>
      </w:r>
      <w:r>
        <w:t>DA-A300H</w:t>
      </w:r>
      <w:r>
        <w:rPr>
          <w:rFonts w:hint="eastAsia"/>
        </w:rPr>
        <w:t>型橡胶护舷进行防护。码头面以下在高程</w:t>
      </w:r>
      <w:r>
        <w:t>27.85m</w:t>
      </w:r>
      <w:r>
        <w:rPr>
          <w:rFonts w:hint="eastAsia"/>
        </w:rPr>
        <w:t>、</w:t>
      </w:r>
      <w:r>
        <w:t>23.85m</w:t>
      </w:r>
      <w:r>
        <w:rPr>
          <w:rFonts w:hint="eastAsia"/>
        </w:rPr>
        <w:t>、</w:t>
      </w:r>
      <w:r>
        <w:t>19.85m</w:t>
      </w:r>
      <w:r>
        <w:rPr>
          <w:rFonts w:hint="eastAsia"/>
        </w:rPr>
        <w:t>处分别设置一层钢系缆平台，顶层系缆平台利用码头面，下层系缆平台由钢系船梁、联系钢纵撑、钢走道板组成，码头顶面及各系缆平台设</w:t>
      </w:r>
      <w:r>
        <w:t>650kN</w:t>
      </w:r>
      <w:r>
        <w:rPr>
          <w:rFonts w:hint="eastAsia"/>
        </w:rPr>
        <w:t>铸钢系船柱。码头平台上游侧设防撞桩及浮趸，保护码头平台结构。</w:t>
      </w:r>
    </w:p>
    <w:p>
      <w:pPr>
        <w:ind w:firstLine="480"/>
      </w:pPr>
      <w:r>
        <w:rPr>
          <w:rFonts w:hint="eastAsia"/>
        </w:rPr>
        <w:t>码头平台上部结构由横梁、纵梁、面板、磨耗层组成。横梁为现浇结构，预制纵梁与横梁节点处均现浇。纵向梁系由前边梁、后边梁、中间纵梁、轨道梁组成。面板采用叠合式结构，其上现浇钢筋砼面层。码头面板采用</w:t>
      </w:r>
      <w:r>
        <w:t>C35</w:t>
      </w:r>
      <w:r>
        <w:rPr>
          <w:rFonts w:hint="eastAsia"/>
        </w:rPr>
        <w:t>叠合板，先预制安装</w:t>
      </w:r>
      <w:r>
        <w:t>300mm</w:t>
      </w:r>
      <w:r>
        <w:rPr>
          <w:rFonts w:hint="eastAsia"/>
        </w:rPr>
        <w:t>厚实心板，然后浇筑</w:t>
      </w:r>
      <w:r>
        <w:t>200mm</w:t>
      </w:r>
      <w:r>
        <w:rPr>
          <w:rFonts w:hint="eastAsia"/>
        </w:rPr>
        <w:t>厚现浇面层。靠船梁、纵梁、轨道梁、后边梁采用预制安装的连续梁。</w:t>
      </w:r>
    </w:p>
    <w:p>
      <w:pPr>
        <w:ind w:firstLine="480"/>
      </w:pPr>
      <w:r>
        <w:rPr>
          <w:rFonts w:hint="eastAsia"/>
        </w:rPr>
        <w:t>码头平台后沿设一座综合用房平台及两座抓斗平台。综合用房尺寸为</w:t>
      </w:r>
      <w:r>
        <w:t>20</w:t>
      </w:r>
      <w:r>
        <w:rPr>
          <w:rFonts w:hint="eastAsia"/>
        </w:rPr>
        <w:t>×</w:t>
      </w:r>
      <w:r>
        <w:t>15m</w:t>
      </w:r>
      <w:r>
        <w:rPr>
          <w:rFonts w:hint="eastAsia"/>
        </w:rPr>
        <w:t>，基础为</w:t>
      </w:r>
      <w:r>
        <w:t>9</w:t>
      </w:r>
      <w:r>
        <w:rPr>
          <w:rFonts w:hint="eastAsia"/>
        </w:rPr>
        <w:t>根Φ</w:t>
      </w:r>
      <w:r>
        <w:t>1350mm</w:t>
      </w:r>
      <w:r>
        <w:rPr>
          <w:rFonts w:hint="eastAsia"/>
        </w:rPr>
        <w:t>嵌岩灌注桩，上部结构为钢纵横撑及现浇墩台。抓斗平台尺寸为</w:t>
      </w:r>
      <w:r>
        <w:t>12</w:t>
      </w:r>
      <w:r>
        <w:rPr>
          <w:rFonts w:hint="eastAsia"/>
        </w:rPr>
        <w:t>×</w:t>
      </w:r>
      <w:r>
        <w:t>9m</w:t>
      </w:r>
      <w:r>
        <w:rPr>
          <w:rFonts w:hint="eastAsia"/>
        </w:rPr>
        <w:t>，基础为</w:t>
      </w:r>
      <w:r>
        <w:t>6</w:t>
      </w:r>
      <w:r>
        <w:rPr>
          <w:rFonts w:hint="eastAsia"/>
        </w:rPr>
        <w:t>根Φ</w:t>
      </w:r>
      <w:r>
        <w:t>1350mm</w:t>
      </w:r>
      <w:r>
        <w:rPr>
          <w:rFonts w:hint="eastAsia"/>
        </w:rPr>
        <w:t>嵌岩灌注桩。</w:t>
      </w:r>
    </w:p>
    <w:p>
      <w:pPr>
        <w:ind w:firstLine="480"/>
      </w:pPr>
      <w:r>
        <w:rPr>
          <w:rFonts w:hint="eastAsia" w:ascii="宋体" w:hAnsi="宋体" w:cs="宋体"/>
        </w:rPr>
        <w:t>②</w:t>
      </w:r>
      <w:r>
        <w:t>引桥</w:t>
      </w:r>
    </w:p>
    <w:p>
      <w:pPr>
        <w:ind w:firstLine="480"/>
      </w:pPr>
      <w:r>
        <w:rPr>
          <w:rFonts w:hint="eastAsia"/>
        </w:rPr>
        <w:t>码头平台上方设置皮带机廊道基础。皮带机廊道桥，分进口、出口两种，桥面宽度</w:t>
      </w:r>
      <w:r>
        <w:t>4m</w:t>
      </w:r>
      <w:r>
        <w:rPr>
          <w:rFonts w:hint="eastAsia"/>
        </w:rPr>
        <w:t>、</w:t>
      </w:r>
      <w:r>
        <w:t>4.5m</w:t>
      </w:r>
      <w:r>
        <w:rPr>
          <w:rFonts w:hint="eastAsia"/>
        </w:rPr>
        <w:t>和</w:t>
      </w:r>
      <w:r>
        <w:t>7.5m</w:t>
      </w:r>
      <w:r>
        <w:rPr>
          <w:rFonts w:hint="eastAsia"/>
        </w:rPr>
        <w:t>，上部构造为</w:t>
      </w:r>
      <w:r>
        <w:t>20m</w:t>
      </w:r>
      <w:r>
        <w:rPr>
          <w:rFonts w:hint="eastAsia"/>
        </w:rPr>
        <w:t>预应力混凝土简支空心板，堤外桥长约</w:t>
      </w:r>
      <w:r>
        <w:t>135~142m</w:t>
      </w:r>
      <w:r>
        <w:rPr>
          <w:rFonts w:hint="eastAsia"/>
        </w:rPr>
        <w:t>；下部构造为柱式墩加桩基，桩基深水区按芯柱嵌岩钢管桩设计，浅水区按钻孔灌注桩设计。</w:t>
      </w:r>
    </w:p>
    <w:p>
      <w:pPr>
        <w:ind w:firstLine="480"/>
      </w:pPr>
      <w:r>
        <w:rPr>
          <w:rFonts w:hint="eastAsia"/>
        </w:rPr>
        <w:t>行车引桥桥面宽度分</w:t>
      </w:r>
      <w:r>
        <w:t>6m</w:t>
      </w:r>
      <w:r>
        <w:rPr>
          <w:rFonts w:hint="eastAsia"/>
        </w:rPr>
        <w:t>、</w:t>
      </w:r>
      <w:r>
        <w:t>9m</w:t>
      </w:r>
      <w:r>
        <w:rPr>
          <w:rFonts w:hint="eastAsia"/>
        </w:rPr>
        <w:t>、</w:t>
      </w:r>
      <w:r>
        <w:t>15m</w:t>
      </w:r>
      <w:r>
        <w:rPr>
          <w:rFonts w:hint="eastAsia"/>
        </w:rPr>
        <w:t>三种，上部构造为</w:t>
      </w:r>
      <w:r>
        <w:t>20m</w:t>
      </w:r>
      <w:r>
        <w:rPr>
          <w:rFonts w:hint="eastAsia"/>
        </w:rPr>
        <w:t>跨预应力混凝土空心板，先简支后桥面连续，桥长约</w:t>
      </w:r>
      <w:r>
        <w:t>135m~147m</w:t>
      </w:r>
      <w:r>
        <w:rPr>
          <w:rFonts w:hint="eastAsia"/>
        </w:rPr>
        <w:t>；下部构造为柱式墩加桩基、柱式台加桩基，桩基深水区按芯柱嵌岩钢管桩设计，浅水区按钻孔灌注桩设计</w:t>
      </w:r>
      <w:r>
        <w:t>。</w:t>
      </w:r>
    </w:p>
    <w:p>
      <w:pPr>
        <w:ind w:firstLine="480"/>
      </w:pPr>
      <w:r>
        <w:rPr>
          <w:rFonts w:hint="eastAsia"/>
        </w:rPr>
        <w:t>（</w:t>
      </w:r>
      <w:r>
        <w:t>4</w:t>
      </w:r>
      <w:r>
        <w:rPr>
          <w:rFonts w:hint="eastAsia"/>
        </w:rPr>
        <w:t>）港池疏浚及护桩</w:t>
      </w:r>
    </w:p>
    <w:p>
      <w:pPr>
        <w:ind w:firstLine="480"/>
      </w:pPr>
      <w:r>
        <w:rPr>
          <w:rFonts w:hint="eastAsia"/>
        </w:rPr>
        <w:t>本工程码头设计河底高程为</w:t>
      </w:r>
      <w:r>
        <w:t>10.6m</w:t>
      </w:r>
      <w:r>
        <w:rPr>
          <w:rFonts w:hint="eastAsia"/>
        </w:rPr>
        <w:t>，码头下游</w:t>
      </w:r>
      <w:r>
        <w:t>6#</w:t>
      </w:r>
      <w:r>
        <w:rPr>
          <w:rFonts w:hint="eastAsia"/>
        </w:rPr>
        <w:t>泊位附近及上游</w:t>
      </w:r>
      <w:r>
        <w:t>1#</w:t>
      </w:r>
      <w:r>
        <w:rPr>
          <w:rFonts w:hint="eastAsia"/>
        </w:rPr>
        <w:t>泊位局部区域需要疏浚，疏浚土质以淤泥质粉质粘土为主。港池疏浚采用环保型绞吸船，</w:t>
      </w:r>
      <w:r>
        <w:rPr>
          <w:rFonts w:hint="eastAsia"/>
          <w:color w:val="000000" w:themeColor="text1"/>
          <w14:textFill>
            <w14:solidFill>
              <w14:schemeClr w14:val="tx1"/>
            </w14:solidFill>
          </w14:textFill>
        </w:rPr>
        <w:t>所挖土方回填至后方陆域。</w:t>
      </w:r>
      <w:r>
        <w:rPr>
          <w:rFonts w:hint="eastAsia"/>
        </w:rPr>
        <w:t>港池疏浚设计超深</w:t>
      </w:r>
      <w:r>
        <w:t>0.4m</w:t>
      </w:r>
      <w:r>
        <w:rPr>
          <w:rFonts w:hint="eastAsia"/>
        </w:rPr>
        <w:t>，超宽</w:t>
      </w:r>
      <w:r>
        <w:t>4.0m</w:t>
      </w:r>
      <w:r>
        <w:rPr>
          <w:rFonts w:hint="eastAsia"/>
        </w:rPr>
        <w:t>，港池疏浚土方为</w:t>
      </w:r>
      <w:r>
        <w:t>1.55</w:t>
      </w:r>
      <w:r>
        <w:rPr>
          <w:rFonts w:hint="eastAsia"/>
        </w:rPr>
        <w:t>万</w:t>
      </w:r>
      <w:r>
        <w:t>m</w:t>
      </w:r>
      <w:r>
        <w:rPr>
          <w:vertAlign w:val="superscript"/>
        </w:rPr>
        <w:t>3</w:t>
      </w:r>
      <w:r>
        <w:rPr>
          <w:rFonts w:hint="eastAsia"/>
        </w:rPr>
        <w:t>。</w:t>
      </w:r>
    </w:p>
    <w:p>
      <w:pPr>
        <w:ind w:firstLine="480"/>
      </w:pPr>
      <w:r>
        <w:rPr>
          <w:rFonts w:hint="eastAsia"/>
        </w:rPr>
        <w:t>码头区域采用袋装砂稳桩及抛石护桩，为确保码头桩基施工安全性，先进行水下袋装砂稳桩，稳桩范围为整个码头平台区域。码头桩基施工后，由于袋装砂坡度较大，需要进行部分拆除，并进行港池疏浚。拆除部分袋装砂稳桩后，再进行抛石护桩，抛石护桩设计坡比为</w:t>
      </w:r>
      <w:r>
        <w:t>1:2</w:t>
      </w:r>
      <w:r>
        <w:rPr>
          <w:rFonts w:hint="eastAsia"/>
        </w:rPr>
        <w:t>，厚度为</w:t>
      </w:r>
      <w:r>
        <w:t>1m</w:t>
      </w:r>
      <w:r>
        <w:rPr>
          <w:rFonts w:hint="eastAsia"/>
        </w:rPr>
        <w:t>，抛石用量为</w:t>
      </w:r>
      <w:r>
        <w:t>32340m</w:t>
      </w:r>
      <w:r>
        <w:rPr>
          <w:vertAlign w:val="superscript"/>
        </w:rPr>
        <w:t>3</w:t>
      </w:r>
      <w:r>
        <w:t>。</w:t>
      </w:r>
    </w:p>
    <w:p>
      <w:pPr>
        <w:pStyle w:val="456"/>
        <w:ind w:firstLine="482"/>
        <w:rPr>
          <w:lang w:val="en-US"/>
        </w:rPr>
      </w:pPr>
      <w:r>
        <w:t>水工建筑物主要工程量</w:t>
      </w:r>
    </w:p>
    <w:p>
      <w:pPr>
        <w:pStyle w:val="2285"/>
        <w:ind w:left="0"/>
        <w:rPr>
          <w:rFonts w:cs="Times New Roman"/>
        </w:rPr>
      </w:pPr>
      <w:r>
        <w:rPr>
          <w:rFonts w:cs="Times New Roman"/>
        </w:rPr>
        <w:t>水工建筑物主要工程量表</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73"/>
        <w:gridCol w:w="873"/>
        <w:gridCol w:w="3629"/>
        <w:gridCol w:w="1532"/>
        <w:gridCol w:w="890"/>
        <w:gridCol w:w="148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shd w:val="clear" w:color="auto" w:fill="auto"/>
            <w:vAlign w:val="center"/>
          </w:tcPr>
          <w:p>
            <w:pPr>
              <w:widowControl/>
              <w:tabs>
                <w:tab w:val="clear" w:pos="480"/>
              </w:tabs>
              <w:spacing w:line="240" w:lineRule="auto"/>
              <w:ind w:firstLine="0" w:firstLineChars="0"/>
              <w:jc w:val="center"/>
              <w:rPr>
                <w:b/>
                <w:bCs/>
                <w:kern w:val="0"/>
                <w:sz w:val="21"/>
                <w:szCs w:val="21"/>
              </w:rPr>
            </w:pPr>
            <w:r>
              <w:rPr>
                <w:b/>
                <w:bCs/>
                <w:kern w:val="0"/>
                <w:sz w:val="21"/>
                <w:szCs w:val="21"/>
              </w:rPr>
              <w:t>部位</w:t>
            </w:r>
          </w:p>
        </w:tc>
        <w:tc>
          <w:tcPr>
            <w:tcW w:w="470" w:type="pct"/>
            <w:shd w:val="clear" w:color="auto" w:fill="auto"/>
            <w:noWrap/>
            <w:vAlign w:val="center"/>
          </w:tcPr>
          <w:p>
            <w:pPr>
              <w:widowControl/>
              <w:tabs>
                <w:tab w:val="clear" w:pos="480"/>
              </w:tabs>
              <w:spacing w:line="240" w:lineRule="auto"/>
              <w:ind w:firstLine="0" w:firstLineChars="0"/>
              <w:jc w:val="center"/>
              <w:rPr>
                <w:b/>
                <w:bCs/>
                <w:kern w:val="0"/>
                <w:sz w:val="21"/>
                <w:szCs w:val="21"/>
              </w:rPr>
            </w:pPr>
            <w:r>
              <w:rPr>
                <w:b/>
                <w:bCs/>
                <w:kern w:val="0"/>
                <w:sz w:val="21"/>
                <w:szCs w:val="21"/>
              </w:rPr>
              <w:t>编号</w:t>
            </w:r>
          </w:p>
        </w:tc>
        <w:tc>
          <w:tcPr>
            <w:tcW w:w="1954" w:type="pct"/>
            <w:shd w:val="clear" w:color="auto" w:fill="auto"/>
            <w:noWrap/>
            <w:vAlign w:val="center"/>
          </w:tcPr>
          <w:p>
            <w:pPr>
              <w:widowControl/>
              <w:tabs>
                <w:tab w:val="clear" w:pos="480"/>
              </w:tabs>
              <w:spacing w:line="240" w:lineRule="auto"/>
              <w:ind w:firstLine="0" w:firstLineChars="0"/>
              <w:jc w:val="center"/>
              <w:rPr>
                <w:b/>
                <w:bCs/>
                <w:kern w:val="0"/>
                <w:sz w:val="21"/>
                <w:szCs w:val="21"/>
              </w:rPr>
            </w:pPr>
            <w:r>
              <w:rPr>
                <w:b/>
                <w:bCs/>
                <w:kern w:val="0"/>
                <w:sz w:val="21"/>
                <w:szCs w:val="21"/>
              </w:rPr>
              <w:t>单项名称</w:t>
            </w:r>
          </w:p>
        </w:tc>
        <w:tc>
          <w:tcPr>
            <w:tcW w:w="825" w:type="pct"/>
            <w:shd w:val="clear" w:color="auto" w:fill="auto"/>
            <w:noWrap/>
            <w:vAlign w:val="center"/>
          </w:tcPr>
          <w:p>
            <w:pPr>
              <w:widowControl/>
              <w:tabs>
                <w:tab w:val="clear" w:pos="480"/>
              </w:tabs>
              <w:spacing w:line="240" w:lineRule="auto"/>
              <w:ind w:firstLine="0" w:firstLineChars="0"/>
              <w:jc w:val="center"/>
              <w:rPr>
                <w:b/>
                <w:bCs/>
                <w:kern w:val="0"/>
                <w:sz w:val="21"/>
                <w:szCs w:val="21"/>
              </w:rPr>
            </w:pPr>
            <w:r>
              <w:rPr>
                <w:b/>
                <w:bCs/>
                <w:kern w:val="0"/>
                <w:sz w:val="21"/>
                <w:szCs w:val="21"/>
              </w:rPr>
              <w:t>规格</w:t>
            </w:r>
          </w:p>
        </w:tc>
        <w:tc>
          <w:tcPr>
            <w:tcW w:w="479" w:type="pct"/>
            <w:shd w:val="clear" w:color="auto" w:fill="auto"/>
            <w:noWrap/>
            <w:vAlign w:val="center"/>
          </w:tcPr>
          <w:p>
            <w:pPr>
              <w:widowControl/>
              <w:tabs>
                <w:tab w:val="clear" w:pos="480"/>
              </w:tabs>
              <w:spacing w:line="240" w:lineRule="auto"/>
              <w:ind w:firstLine="0" w:firstLineChars="0"/>
              <w:jc w:val="center"/>
              <w:rPr>
                <w:b/>
                <w:bCs/>
                <w:kern w:val="0"/>
                <w:sz w:val="21"/>
                <w:szCs w:val="21"/>
              </w:rPr>
            </w:pPr>
            <w:r>
              <w:rPr>
                <w:b/>
                <w:bCs/>
                <w:kern w:val="0"/>
                <w:sz w:val="21"/>
                <w:szCs w:val="21"/>
              </w:rPr>
              <w:t>单位</w:t>
            </w:r>
          </w:p>
        </w:tc>
        <w:tc>
          <w:tcPr>
            <w:tcW w:w="802" w:type="pct"/>
            <w:shd w:val="clear" w:color="auto" w:fill="auto"/>
            <w:noWrap/>
            <w:vAlign w:val="center"/>
          </w:tcPr>
          <w:p>
            <w:pPr>
              <w:widowControl/>
              <w:tabs>
                <w:tab w:val="clear" w:pos="480"/>
              </w:tabs>
              <w:spacing w:line="240" w:lineRule="auto"/>
              <w:ind w:firstLine="0" w:firstLineChars="0"/>
              <w:jc w:val="center"/>
              <w:rPr>
                <w:b/>
                <w:bCs/>
                <w:kern w:val="0"/>
                <w:sz w:val="21"/>
                <w:szCs w:val="21"/>
              </w:rPr>
            </w:pPr>
            <w:r>
              <w:rPr>
                <w:b/>
                <w:bCs/>
                <w:kern w:val="0"/>
                <w:sz w:val="21"/>
                <w:szCs w:val="21"/>
              </w:rPr>
              <w:t>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restar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码头平台</w:t>
            </w: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D=1000mm钢管桩</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Q355B</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t</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7910.42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2</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D=850mm芯桩混凝土</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xml:space="preserve"> C35</w:t>
            </w:r>
            <w:r>
              <w:rPr>
                <w:rFonts w:hint="eastAsia"/>
                <w:kern w:val="0"/>
                <w:sz w:val="21"/>
                <w:szCs w:val="21"/>
              </w:rPr>
              <w:t>钢筋砼</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m</w:t>
            </w:r>
            <w:r>
              <w:rPr>
                <w:kern w:val="0"/>
                <w:sz w:val="21"/>
                <w:szCs w:val="21"/>
                <w:vertAlign w:val="superscript"/>
              </w:rPr>
              <w:t>3</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10118.89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3</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xml:space="preserve">D=1000钢靠船立柱 </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Q355B</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t</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534.30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4</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D=800钢横撑</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Q355B</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t</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660.91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5</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D=800钢纵撑</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Q355B</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t</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1286.64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rFonts w:hint="eastAsia"/>
                <w:kern w:val="0"/>
                <w:sz w:val="21"/>
                <w:szCs w:val="21"/>
              </w:rPr>
              <w:t>6</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施工平台总面积</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m</w:t>
            </w:r>
            <w:r>
              <w:rPr>
                <w:kern w:val="0"/>
                <w:sz w:val="21"/>
                <w:szCs w:val="21"/>
                <w:vertAlign w:val="superscript"/>
              </w:rPr>
              <w:t>2</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19866.00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7</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现浇横梁</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xml:space="preserve"> C35混凝土</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m</w:t>
            </w:r>
            <w:r>
              <w:rPr>
                <w:kern w:val="0"/>
                <w:sz w:val="21"/>
                <w:szCs w:val="21"/>
                <w:vertAlign w:val="superscript"/>
              </w:rPr>
              <w:t>3</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11644.42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8</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预制纵梁</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xml:space="preserve"> C35混凝土</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m</w:t>
            </w:r>
            <w:r>
              <w:rPr>
                <w:kern w:val="0"/>
                <w:sz w:val="21"/>
                <w:szCs w:val="21"/>
                <w:vertAlign w:val="superscript"/>
              </w:rPr>
              <w:t>3</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1641.60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9</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预制前边梁</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xml:space="preserve"> C35混凝土</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m</w:t>
            </w:r>
            <w:r>
              <w:rPr>
                <w:kern w:val="0"/>
                <w:sz w:val="21"/>
                <w:szCs w:val="21"/>
                <w:vertAlign w:val="superscript"/>
              </w:rPr>
              <w:t>3</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626.40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10</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预制后边梁</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xml:space="preserve"> C35混凝土</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m</w:t>
            </w:r>
            <w:r>
              <w:rPr>
                <w:kern w:val="0"/>
                <w:sz w:val="21"/>
                <w:szCs w:val="21"/>
                <w:vertAlign w:val="superscript"/>
              </w:rPr>
              <w:t>3</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709.92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11</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预制轨道梁</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xml:space="preserve"> C40混凝土</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m</w:t>
            </w:r>
            <w:r>
              <w:rPr>
                <w:kern w:val="0"/>
                <w:sz w:val="21"/>
                <w:szCs w:val="21"/>
                <w:vertAlign w:val="superscript"/>
              </w:rPr>
              <w:t>3</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3410.40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12</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悬臂段现浇轨道梁、纵梁、边梁</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xml:space="preserve"> C35混凝土</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m</w:t>
            </w:r>
            <w:r>
              <w:rPr>
                <w:kern w:val="0"/>
                <w:sz w:val="21"/>
                <w:szCs w:val="21"/>
                <w:vertAlign w:val="superscript"/>
              </w:rPr>
              <w:t>3</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598.40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13</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预制面板</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xml:space="preserve"> C35混凝土</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m</w:t>
            </w:r>
            <w:r>
              <w:rPr>
                <w:kern w:val="0"/>
                <w:sz w:val="21"/>
                <w:szCs w:val="21"/>
                <w:vertAlign w:val="superscript"/>
              </w:rPr>
              <w:t>3</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3740.97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14</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现浇面板(含悬臂端现浇面板）</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xml:space="preserve"> C35混凝土</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m</w:t>
            </w:r>
            <w:r>
              <w:rPr>
                <w:kern w:val="0"/>
                <w:sz w:val="21"/>
                <w:szCs w:val="21"/>
                <w:vertAlign w:val="superscript"/>
              </w:rPr>
              <w:t>3</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5718.60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15</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现浇护轮坎</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xml:space="preserve"> C35混凝土</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m</w:t>
            </w:r>
            <w:r>
              <w:rPr>
                <w:kern w:val="0"/>
                <w:sz w:val="21"/>
                <w:szCs w:val="21"/>
                <w:vertAlign w:val="superscript"/>
              </w:rPr>
              <w:t>3</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155.52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16</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现浇系船柱基础</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xml:space="preserve"> C35混凝土</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m</w:t>
            </w:r>
            <w:r>
              <w:rPr>
                <w:kern w:val="0"/>
                <w:sz w:val="21"/>
                <w:szCs w:val="21"/>
                <w:vertAlign w:val="superscript"/>
              </w:rPr>
              <w:t>3</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21.60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17</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现浇磨耗层</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C30混凝土</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m</w:t>
            </w:r>
            <w:r>
              <w:rPr>
                <w:kern w:val="0"/>
                <w:sz w:val="21"/>
                <w:szCs w:val="21"/>
                <w:vertAlign w:val="superscript"/>
              </w:rPr>
              <w:t>3</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1108.80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18</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xml:space="preserve"> DA-A500H2000 标准反力型橡胶护舷</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套</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693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19</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xml:space="preserve"> DA-A300H2000 标准反力型橡胶护舷</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套</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696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rFonts w:hint="eastAsia"/>
                <w:kern w:val="0"/>
                <w:sz w:val="21"/>
                <w:szCs w:val="21"/>
              </w:rPr>
              <w:t>2</w:t>
            </w:r>
            <w:r>
              <w:rPr>
                <w:kern w:val="0"/>
                <w:sz w:val="21"/>
                <w:szCs w:val="21"/>
              </w:rPr>
              <w:t>0</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护舷安装配件钢材</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Q235B</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t</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539.85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rFonts w:hint="eastAsia"/>
                <w:kern w:val="0"/>
                <w:sz w:val="21"/>
                <w:szCs w:val="21"/>
              </w:rPr>
              <w:t>2</w:t>
            </w:r>
            <w:r>
              <w:rPr>
                <w:kern w:val="0"/>
                <w:sz w:val="21"/>
                <w:szCs w:val="21"/>
              </w:rPr>
              <w:t>1</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QU100钢轨</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m</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2000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22</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QU100钢轨预埋件</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Q235B</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t</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73.50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23</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650KN铸钢系船柱</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铸钢</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套</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24</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xml:space="preserve">钢走道平台  </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Q235B</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t</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609.84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25</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钢栏杆</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Q235B</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t</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103.68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26</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钢扶梯1</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Q235B</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t</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14.40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27</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钢扶梯2</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Q235B</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t</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24.00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28</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码头面其他预埋件</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Q235B</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t</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43.64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restart"/>
            <w:shd w:val="clear" w:color="auto" w:fill="auto"/>
            <w:vAlign w:val="center"/>
          </w:tcPr>
          <w:p>
            <w:pPr>
              <w:widowControl/>
              <w:tabs>
                <w:tab w:val="clear" w:pos="480"/>
              </w:tabs>
              <w:spacing w:line="240" w:lineRule="auto"/>
              <w:ind w:firstLine="0" w:firstLineChars="0"/>
              <w:jc w:val="center"/>
              <w:rPr>
                <w:kern w:val="0"/>
                <w:sz w:val="21"/>
                <w:szCs w:val="21"/>
              </w:rPr>
            </w:pPr>
            <w:r>
              <w:rPr>
                <w:rFonts w:hint="eastAsia"/>
                <w:kern w:val="0"/>
                <w:sz w:val="21"/>
                <w:szCs w:val="21"/>
              </w:rPr>
              <w:t>综合</w:t>
            </w:r>
            <w:r>
              <w:rPr>
                <w:kern w:val="0"/>
                <w:sz w:val="21"/>
                <w:szCs w:val="21"/>
              </w:rPr>
              <w:t>用房及后方平台</w:t>
            </w: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D=1350mm</w:t>
            </w:r>
            <w:r>
              <w:rPr>
                <w:rFonts w:hint="eastAsia"/>
                <w:kern w:val="0"/>
                <w:sz w:val="21"/>
                <w:szCs w:val="21"/>
              </w:rPr>
              <w:t>灌注桩</w:t>
            </w:r>
            <w:r>
              <w:rPr>
                <w:kern w:val="0"/>
                <w:sz w:val="21"/>
                <w:szCs w:val="21"/>
              </w:rPr>
              <w:t>混凝土</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xml:space="preserve"> C35混凝土</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m</w:t>
            </w:r>
            <w:r>
              <w:rPr>
                <w:kern w:val="0"/>
                <w:sz w:val="21"/>
                <w:szCs w:val="21"/>
                <w:vertAlign w:val="superscript"/>
              </w:rPr>
              <w:t>3</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1378.23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2</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rFonts w:hint="eastAsia"/>
                <w:kern w:val="0"/>
                <w:sz w:val="21"/>
                <w:szCs w:val="21"/>
              </w:rPr>
              <w:t>永久</w:t>
            </w:r>
            <w:r>
              <w:rPr>
                <w:kern w:val="0"/>
                <w:sz w:val="21"/>
                <w:szCs w:val="21"/>
              </w:rPr>
              <w:t>钢护筒</w:t>
            </w:r>
            <w:r>
              <w:rPr>
                <w:rFonts w:hint="eastAsia"/>
                <w:kern w:val="0"/>
                <w:sz w:val="21"/>
                <w:szCs w:val="21"/>
              </w:rPr>
              <w:t>1</w:t>
            </w:r>
            <w:r>
              <w:rPr>
                <w:kern w:val="0"/>
                <w:sz w:val="21"/>
                <w:szCs w:val="21"/>
              </w:rPr>
              <w:t>500*14</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Q355B</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t</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339.39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rFonts w:hint="eastAsia"/>
                <w:kern w:val="0"/>
                <w:sz w:val="21"/>
                <w:szCs w:val="21"/>
              </w:rPr>
              <w:t>3</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rFonts w:hint="eastAsia"/>
                <w:kern w:val="0"/>
                <w:sz w:val="21"/>
                <w:szCs w:val="21"/>
              </w:rPr>
              <w:t>平台下部钢纵撑</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Q355B</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t</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22.80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4</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rFonts w:hint="eastAsia"/>
                <w:kern w:val="0"/>
                <w:sz w:val="21"/>
                <w:szCs w:val="21"/>
              </w:rPr>
              <w:t>平台下部钢</w:t>
            </w:r>
            <w:r>
              <w:rPr>
                <w:kern w:val="0"/>
                <w:sz w:val="21"/>
                <w:szCs w:val="21"/>
              </w:rPr>
              <w:t>横</w:t>
            </w:r>
            <w:r>
              <w:rPr>
                <w:rFonts w:hint="eastAsia"/>
                <w:kern w:val="0"/>
                <w:sz w:val="21"/>
                <w:szCs w:val="21"/>
              </w:rPr>
              <w:t>撑</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Q355B</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t</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35.28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5</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施工平台总面积</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m</w:t>
            </w:r>
            <w:r>
              <w:rPr>
                <w:kern w:val="0"/>
                <w:sz w:val="21"/>
                <w:szCs w:val="21"/>
                <w:vertAlign w:val="superscript"/>
              </w:rPr>
              <w:t>2</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516.00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6</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现浇墩台</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xml:space="preserve"> C35混凝土</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m</w:t>
            </w:r>
            <w:r>
              <w:rPr>
                <w:kern w:val="0"/>
                <w:sz w:val="21"/>
                <w:szCs w:val="21"/>
                <w:vertAlign w:val="superscript"/>
              </w:rPr>
              <w:t>3</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812.70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rFonts w:hint="eastAsia"/>
                <w:kern w:val="0"/>
                <w:sz w:val="21"/>
                <w:szCs w:val="21"/>
              </w:rPr>
              <w:t>7</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现浇护轮坎</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 xml:space="preserve"> C35混凝土</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m</w:t>
            </w:r>
            <w:r>
              <w:rPr>
                <w:kern w:val="0"/>
                <w:sz w:val="21"/>
                <w:szCs w:val="21"/>
                <w:vertAlign w:val="superscript"/>
              </w:rPr>
              <w:t>3</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10.40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8</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钢栏杆</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Q235B</w:t>
            </w: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t</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2.31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restar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疏浚与护坡</w:t>
            </w: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rFonts w:hint="eastAsia"/>
                <w:kern w:val="0"/>
                <w:sz w:val="21"/>
                <w:szCs w:val="21"/>
              </w:rPr>
              <w:t>1</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高桩码头平台</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m</w:t>
            </w:r>
            <w:r>
              <w:rPr>
                <w:kern w:val="0"/>
                <w:sz w:val="21"/>
                <w:szCs w:val="21"/>
                <w:vertAlign w:val="superscript"/>
              </w:rPr>
              <w:t>3</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32340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rFonts w:hint="eastAsia"/>
                <w:kern w:val="0"/>
                <w:sz w:val="21"/>
                <w:szCs w:val="21"/>
              </w:rPr>
              <w:t>2</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水下抛填袋装砂护桩</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m</w:t>
            </w:r>
            <w:r>
              <w:rPr>
                <w:kern w:val="0"/>
                <w:sz w:val="21"/>
                <w:szCs w:val="21"/>
                <w:vertAlign w:val="superscript"/>
              </w:rPr>
              <w:t>3</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43500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470"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470" w:type="pct"/>
            <w:shd w:val="clear" w:color="auto" w:fill="auto"/>
            <w:vAlign w:val="center"/>
          </w:tcPr>
          <w:p>
            <w:pPr>
              <w:widowControl/>
              <w:tabs>
                <w:tab w:val="clear" w:pos="480"/>
              </w:tabs>
              <w:spacing w:line="240" w:lineRule="auto"/>
              <w:ind w:firstLine="0" w:firstLineChars="0"/>
              <w:jc w:val="center"/>
              <w:rPr>
                <w:kern w:val="0"/>
                <w:sz w:val="21"/>
                <w:szCs w:val="21"/>
              </w:rPr>
            </w:pPr>
            <w:r>
              <w:rPr>
                <w:rFonts w:hint="eastAsia"/>
                <w:kern w:val="0"/>
                <w:sz w:val="21"/>
                <w:szCs w:val="21"/>
              </w:rPr>
              <w:t>3</w:t>
            </w:r>
          </w:p>
        </w:tc>
        <w:tc>
          <w:tcPr>
            <w:tcW w:w="1954"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疏浚</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万m</w:t>
            </w:r>
            <w:r>
              <w:rPr>
                <w:kern w:val="0"/>
                <w:sz w:val="21"/>
                <w:szCs w:val="21"/>
                <w:vertAlign w:val="superscript"/>
              </w:rPr>
              <w:t>3</w:t>
            </w:r>
          </w:p>
        </w:tc>
        <w:tc>
          <w:tcPr>
            <w:tcW w:w="802" w:type="pct"/>
            <w:shd w:val="clear" w:color="auto" w:fill="auto"/>
            <w:vAlign w:val="center"/>
          </w:tcPr>
          <w:p>
            <w:pPr>
              <w:widowControl/>
              <w:tabs>
                <w:tab w:val="clear" w:pos="480"/>
              </w:tabs>
              <w:spacing w:line="240" w:lineRule="auto"/>
              <w:ind w:firstLine="0" w:firstLineChars="0"/>
              <w:jc w:val="center"/>
              <w:rPr>
                <w:kern w:val="0"/>
                <w:sz w:val="21"/>
                <w:szCs w:val="21"/>
              </w:rPr>
            </w:pPr>
            <w:r>
              <w:rPr>
                <w:kern w:val="0"/>
                <w:sz w:val="21"/>
                <w:szCs w:val="21"/>
              </w:rPr>
              <w:t>1.55</w:t>
            </w:r>
          </w:p>
        </w:tc>
      </w:tr>
    </w:tbl>
    <w:p>
      <w:pPr>
        <w:pStyle w:val="454"/>
        <w:ind w:firstLine="602"/>
        <w:rPr>
          <w:color w:val="auto"/>
        </w:rPr>
      </w:pPr>
      <w:r>
        <w:rPr>
          <w:snapToGrid w:val="0"/>
          <w:color w:val="auto"/>
        </w:rPr>
        <w:t>陆域形成及道路、堆场</w:t>
      </w:r>
    </w:p>
    <w:p>
      <w:pPr>
        <w:pStyle w:val="456"/>
        <w:ind w:firstLine="482"/>
      </w:pPr>
      <w:r>
        <w:rPr>
          <w:rFonts w:hint="eastAsia"/>
          <w:lang w:val="en-US"/>
        </w:rPr>
        <w:t>设计条件</w:t>
      </w:r>
    </w:p>
    <w:p>
      <w:pPr>
        <w:pStyle w:val="458"/>
        <w:ind w:firstLine="480"/>
        <w:rPr>
          <w:szCs w:val="28"/>
        </w:rPr>
      </w:pPr>
      <w:r>
        <w:rPr>
          <w:rFonts w:hint="eastAsia"/>
          <w:szCs w:val="28"/>
        </w:rPr>
        <w:t>本项目陆域用地布置在长江大堤内侧，码头前沿线后方，总占地面积</w:t>
      </w:r>
      <w:r>
        <w:rPr>
          <w:szCs w:val="28"/>
        </w:rPr>
        <w:t>288.3</w:t>
      </w:r>
      <w:r>
        <w:rPr>
          <w:rFonts w:hint="eastAsia"/>
          <w:szCs w:val="28"/>
        </w:rPr>
        <w:t>亩（含临时</w:t>
      </w:r>
      <w:r>
        <w:rPr>
          <w:szCs w:val="28"/>
        </w:rPr>
        <w:t>60</w:t>
      </w:r>
      <w:r>
        <w:rPr>
          <w:rFonts w:hint="eastAsia"/>
          <w:szCs w:val="28"/>
        </w:rPr>
        <w:t>亩）。总共分两块地，地块</w:t>
      </w:r>
      <w:r>
        <w:rPr>
          <w:szCs w:val="28"/>
        </w:rPr>
        <w:t>A</w:t>
      </w:r>
      <w:r>
        <w:rPr>
          <w:rFonts w:hint="eastAsia"/>
          <w:szCs w:val="28"/>
        </w:rPr>
        <w:t>位于厂家长江大堤与</w:t>
      </w:r>
      <w:r>
        <w:rPr>
          <w:szCs w:val="28"/>
        </w:rPr>
        <w:t>S208</w:t>
      </w:r>
      <w:r>
        <w:rPr>
          <w:rFonts w:hint="eastAsia"/>
          <w:szCs w:val="28"/>
        </w:rPr>
        <w:t>省道之间，占地面积</w:t>
      </w:r>
      <w:r>
        <w:rPr>
          <w:szCs w:val="28"/>
        </w:rPr>
        <w:t>161.7</w:t>
      </w:r>
      <w:r>
        <w:rPr>
          <w:rFonts w:hint="eastAsia"/>
          <w:szCs w:val="28"/>
        </w:rPr>
        <w:t>亩，其中临时</w:t>
      </w:r>
      <w:r>
        <w:rPr>
          <w:szCs w:val="28"/>
        </w:rPr>
        <w:t>60</w:t>
      </w:r>
      <w:r>
        <w:rPr>
          <w:rFonts w:hint="eastAsia"/>
          <w:szCs w:val="28"/>
        </w:rPr>
        <w:t>亩；地块</w:t>
      </w:r>
      <w:r>
        <w:rPr>
          <w:szCs w:val="28"/>
        </w:rPr>
        <w:t>B</w:t>
      </w:r>
      <w:r>
        <w:rPr>
          <w:rFonts w:hint="eastAsia"/>
          <w:szCs w:val="28"/>
        </w:rPr>
        <w:t>位于省道</w:t>
      </w:r>
      <w:r>
        <w:rPr>
          <w:szCs w:val="28"/>
        </w:rPr>
        <w:t>S208</w:t>
      </w:r>
      <w:r>
        <w:rPr>
          <w:rFonts w:hint="eastAsia"/>
          <w:szCs w:val="28"/>
        </w:rPr>
        <w:t>东侧，现有兴长路南侧，占地面积</w:t>
      </w:r>
      <w:r>
        <w:rPr>
          <w:szCs w:val="28"/>
        </w:rPr>
        <w:t>126.6</w:t>
      </w:r>
      <w:r>
        <w:rPr>
          <w:rFonts w:hint="eastAsia"/>
          <w:szCs w:val="28"/>
        </w:rPr>
        <w:t>亩。现场场地较平整，大部分高程在</w:t>
      </w:r>
      <w:r>
        <w:rPr>
          <w:szCs w:val="28"/>
        </w:rPr>
        <w:t>26.70</w:t>
      </w:r>
      <w:r>
        <w:rPr>
          <w:rFonts w:hint="eastAsia"/>
          <w:szCs w:val="28"/>
        </w:rPr>
        <w:t>～</w:t>
      </w:r>
      <w:r>
        <w:rPr>
          <w:szCs w:val="28"/>
        </w:rPr>
        <w:t>28.73m</w:t>
      </w:r>
      <w:r>
        <w:rPr>
          <w:rFonts w:hint="eastAsia"/>
          <w:szCs w:val="28"/>
        </w:rPr>
        <w:t>。</w:t>
      </w:r>
    </w:p>
    <w:p>
      <w:pPr>
        <w:pStyle w:val="458"/>
        <w:ind w:firstLine="480"/>
        <w:rPr>
          <w:szCs w:val="28"/>
        </w:rPr>
      </w:pPr>
      <w:r>
        <w:rPr>
          <w:rFonts w:hint="eastAsia"/>
          <w:szCs w:val="28"/>
        </w:rPr>
        <w:t>陆域水塘块石及砂砾石换填，需外购。港池开挖土方处理后可用于陆域土方回填。</w:t>
      </w:r>
    </w:p>
    <w:p>
      <w:pPr>
        <w:pStyle w:val="456"/>
        <w:ind w:firstLine="482"/>
      </w:pPr>
      <w:r>
        <w:t>陆域</w:t>
      </w:r>
      <w:r>
        <w:rPr>
          <w:rFonts w:hint="eastAsia"/>
        </w:rPr>
        <w:t>形成</w:t>
      </w:r>
      <w:r>
        <w:t>方案</w:t>
      </w:r>
    </w:p>
    <w:p>
      <w:pPr>
        <w:pStyle w:val="458"/>
        <w:ind w:firstLine="480"/>
        <w:rPr>
          <w:szCs w:val="28"/>
        </w:rPr>
      </w:pPr>
      <w:r>
        <w:rPr>
          <w:rFonts w:hint="eastAsia"/>
          <w:szCs w:val="28"/>
        </w:rPr>
        <w:t>陆域设计高程为</w:t>
      </w:r>
      <w:r>
        <w:rPr>
          <w:szCs w:val="28"/>
        </w:rPr>
        <w:t>28.3m</w:t>
      </w:r>
      <w:r>
        <w:rPr>
          <w:rFonts w:hint="eastAsia"/>
          <w:szCs w:val="28"/>
        </w:rPr>
        <w:t>～</w:t>
      </w:r>
      <w:r>
        <w:rPr>
          <w:szCs w:val="28"/>
        </w:rPr>
        <w:t>30.5m</w:t>
      </w:r>
      <w:r>
        <w:rPr>
          <w:rFonts w:hint="eastAsia"/>
          <w:szCs w:val="28"/>
        </w:rPr>
        <w:t>。对原地面以下至少</w:t>
      </w:r>
      <w:r>
        <w:rPr>
          <w:szCs w:val="28"/>
        </w:rPr>
        <w:t>100</w:t>
      </w:r>
      <w:r>
        <w:rPr>
          <w:rFonts w:hint="eastAsia"/>
          <w:szCs w:val="28"/>
        </w:rPr>
        <w:t>～</w:t>
      </w:r>
      <w:r>
        <w:rPr>
          <w:szCs w:val="28"/>
        </w:rPr>
        <w:t>300mm</w:t>
      </w:r>
      <w:r>
        <w:rPr>
          <w:rFonts w:hint="eastAsia"/>
          <w:szCs w:val="28"/>
        </w:rPr>
        <w:t>内草皮、植被根系和松散表土进行清除后回填。清除植被后，从最低处开始，水平分层，整片回填碾压。必须分层控制填土标高，保证填方压实度，每层压实厚度不大于</w:t>
      </w:r>
      <w:r>
        <w:rPr>
          <w:szCs w:val="28"/>
        </w:rPr>
        <w:t>25</w:t>
      </w:r>
      <w:r>
        <w:rPr>
          <w:rFonts w:hint="eastAsia"/>
          <w:szCs w:val="28"/>
        </w:rPr>
        <w:t>～</w:t>
      </w:r>
      <w:r>
        <w:rPr>
          <w:szCs w:val="28"/>
        </w:rPr>
        <w:t>30cm</w:t>
      </w:r>
      <w:r>
        <w:rPr>
          <w:rFonts w:hint="eastAsia"/>
          <w:szCs w:val="28"/>
        </w:rPr>
        <w:t>，土方填筑至顶面最后一层的压实层厚度不应小于</w:t>
      </w:r>
      <w:r>
        <w:rPr>
          <w:szCs w:val="28"/>
        </w:rPr>
        <w:t>10cm</w:t>
      </w:r>
      <w:r>
        <w:rPr>
          <w:rFonts w:hint="eastAsia"/>
          <w:szCs w:val="28"/>
        </w:rPr>
        <w:t>。</w:t>
      </w:r>
    </w:p>
    <w:p>
      <w:pPr>
        <w:pStyle w:val="458"/>
        <w:ind w:firstLine="480"/>
        <w:rPr>
          <w:szCs w:val="28"/>
        </w:rPr>
      </w:pPr>
      <w:r>
        <w:rPr>
          <w:rFonts w:hint="eastAsia"/>
          <w:szCs w:val="28"/>
        </w:rPr>
        <w:t>陆域局部沟渠、池塘等应清除淤泥，换填</w:t>
      </w:r>
      <w:r>
        <w:rPr>
          <w:szCs w:val="28"/>
        </w:rPr>
        <w:t>0.8m</w:t>
      </w:r>
      <w:r>
        <w:rPr>
          <w:rFonts w:hint="eastAsia"/>
          <w:szCs w:val="28"/>
        </w:rPr>
        <w:t>厚块石，其上设砂砾石垫层，在进行回填粘土碾压密实。</w:t>
      </w:r>
    </w:p>
    <w:p>
      <w:pPr>
        <w:pStyle w:val="456"/>
        <w:ind w:firstLine="482"/>
      </w:pPr>
      <w:r>
        <w:rPr>
          <w:rFonts w:hint="eastAsia"/>
        </w:rPr>
        <w:t>道路、</w:t>
      </w:r>
      <w:r>
        <w:t>堆场</w:t>
      </w:r>
    </w:p>
    <w:p>
      <w:pPr>
        <w:pStyle w:val="458"/>
        <w:ind w:firstLine="480"/>
        <w:rPr>
          <w:szCs w:val="28"/>
        </w:rPr>
      </w:pPr>
      <w:r>
        <w:rPr>
          <w:rFonts w:hint="eastAsia"/>
          <w:szCs w:val="28"/>
        </w:rPr>
        <w:t>港区道路成环状布置，通过两条斜坡道与大堤连接。港区道路、临时堆场、停车场及管理区均采用混凝土铺砌结构。其结构层从上到下依次为：现浇</w:t>
      </w:r>
      <w:r>
        <w:rPr>
          <w:szCs w:val="28"/>
        </w:rPr>
        <w:t>C30</w:t>
      </w:r>
      <w:r>
        <w:rPr>
          <w:rFonts w:hint="eastAsia"/>
          <w:szCs w:val="28"/>
        </w:rPr>
        <w:t>砼面层厚</w:t>
      </w:r>
      <w:r>
        <w:rPr>
          <w:szCs w:val="28"/>
        </w:rPr>
        <w:t>350mm</w:t>
      </w:r>
      <w:r>
        <w:rPr>
          <w:rFonts w:hint="eastAsia"/>
          <w:szCs w:val="28"/>
        </w:rPr>
        <w:t>、沥青封层</w:t>
      </w:r>
      <w:r>
        <w:rPr>
          <w:szCs w:val="28"/>
        </w:rPr>
        <w:t>+</w:t>
      </w:r>
      <w:r>
        <w:rPr>
          <w:rFonts w:hint="eastAsia"/>
          <w:szCs w:val="28"/>
        </w:rPr>
        <w:t>透层厚</w:t>
      </w:r>
      <w:r>
        <w:rPr>
          <w:szCs w:val="28"/>
        </w:rPr>
        <w:t>10mm</w:t>
      </w:r>
      <w:r>
        <w:rPr>
          <w:rFonts w:hint="eastAsia"/>
          <w:szCs w:val="28"/>
        </w:rPr>
        <w:t>、</w:t>
      </w:r>
      <w:r>
        <w:rPr>
          <w:szCs w:val="28"/>
        </w:rPr>
        <w:t>5%</w:t>
      </w:r>
      <w:r>
        <w:rPr>
          <w:rFonts w:hint="eastAsia"/>
          <w:szCs w:val="28"/>
        </w:rPr>
        <w:t>水泥稳定砂砾基层</w:t>
      </w:r>
      <w:r>
        <w:rPr>
          <w:szCs w:val="28"/>
        </w:rPr>
        <w:t>250mm</w:t>
      </w:r>
      <w:r>
        <w:rPr>
          <w:rFonts w:hint="eastAsia"/>
          <w:szCs w:val="28"/>
        </w:rPr>
        <w:t>、</w:t>
      </w:r>
      <w:r>
        <w:rPr>
          <w:szCs w:val="28"/>
        </w:rPr>
        <w:t>4%</w:t>
      </w:r>
      <w:r>
        <w:rPr>
          <w:rFonts w:hint="eastAsia"/>
          <w:szCs w:val="28"/>
        </w:rPr>
        <w:t>水泥稳定砂砾层</w:t>
      </w:r>
      <w:r>
        <w:rPr>
          <w:szCs w:val="28"/>
        </w:rPr>
        <w:t>200cm</w:t>
      </w:r>
      <w:r>
        <w:rPr>
          <w:rFonts w:hint="eastAsia"/>
          <w:szCs w:val="28"/>
        </w:rPr>
        <w:t>、夯实土基。</w:t>
      </w:r>
    </w:p>
    <w:p>
      <w:pPr>
        <w:pStyle w:val="458"/>
        <w:ind w:firstLine="480"/>
        <w:rPr>
          <w:szCs w:val="28"/>
        </w:rPr>
      </w:pPr>
      <w:r>
        <w:rPr>
          <w:rFonts w:hint="eastAsia"/>
          <w:szCs w:val="28"/>
        </w:rPr>
        <w:t>与工艺匹配，陆域多处设置皮带机廊道基础，跨度在</w:t>
      </w:r>
      <w:r>
        <w:rPr>
          <w:szCs w:val="28"/>
        </w:rPr>
        <w:t>20~36m</w:t>
      </w:r>
      <w:r>
        <w:rPr>
          <w:rFonts w:hint="eastAsia"/>
          <w:szCs w:val="28"/>
        </w:rPr>
        <w:t>不等，堤内设备基础均采用浅埋扩大基础，底部设</w:t>
      </w:r>
      <w:r>
        <w:rPr>
          <w:szCs w:val="28"/>
        </w:rPr>
        <w:t>D500mm</w:t>
      </w:r>
      <w:r>
        <w:rPr>
          <w:rFonts w:hint="eastAsia"/>
          <w:szCs w:val="28"/>
        </w:rPr>
        <w:t>水泥搅拌桩进行地基处理。钢筋混凝土框架结构顶部架设封闭钢引桥作为皮带机廊道。</w:t>
      </w:r>
    </w:p>
    <w:p>
      <w:pPr>
        <w:pStyle w:val="454"/>
        <w:ind w:firstLine="602"/>
        <w:rPr>
          <w:color w:val="auto"/>
        </w:rPr>
      </w:pPr>
      <w:r>
        <w:rPr>
          <w:color w:val="auto"/>
        </w:rPr>
        <w:t>公辅工程</w:t>
      </w:r>
    </w:p>
    <w:p>
      <w:pPr>
        <w:pStyle w:val="458"/>
        <w:ind w:firstLine="480"/>
        <w:rPr>
          <w:rFonts w:cs="Times New Roman"/>
          <w:color w:val="auto"/>
          <w:lang w:val="zh-CN"/>
        </w:rPr>
      </w:pPr>
      <w:r>
        <w:rPr>
          <w:rFonts w:cs="Times New Roman"/>
          <w:color w:val="auto"/>
          <w:lang w:val="zh-CN"/>
        </w:rPr>
        <w:t>本工程相应配套建设生产及辅助生产建筑、供电照明及控制、通讯、给排水、消防、暖通、环境保护等。</w:t>
      </w:r>
    </w:p>
    <w:p>
      <w:pPr>
        <w:pStyle w:val="456"/>
        <w:tabs>
          <w:tab w:val="left" w:pos="480"/>
        </w:tabs>
        <w:ind w:firstLine="482"/>
        <w:rPr>
          <w:snapToGrid w:val="0"/>
        </w:rPr>
      </w:pPr>
      <w:r>
        <w:rPr>
          <w:snapToGrid w:val="0"/>
        </w:rPr>
        <w:t>港区交通</w:t>
      </w:r>
    </w:p>
    <w:p>
      <w:pPr>
        <w:pStyle w:val="458"/>
        <w:ind w:firstLine="480"/>
        <w:rPr>
          <w:rFonts w:cs="Times New Roman"/>
          <w:color w:val="auto"/>
          <w:lang w:val="zh-CN"/>
        </w:rPr>
      </w:pPr>
      <w:r>
        <w:rPr>
          <w:rFonts w:hint="eastAsia" w:cs="Times New Roman"/>
          <w:color w:val="auto"/>
          <w:lang w:val="zh-CN"/>
        </w:rPr>
        <w:t>码头位于岳阳市云溪区道仁矶镇，荆岳长江大桥上游</w:t>
      </w:r>
      <w:r>
        <w:rPr>
          <w:rFonts w:cs="Times New Roman"/>
          <w:color w:val="auto"/>
          <w:lang w:val="zh-CN"/>
        </w:rPr>
        <w:t>1500m</w:t>
      </w:r>
      <w:r>
        <w:rPr>
          <w:rFonts w:hint="eastAsia" w:cs="Times New Roman"/>
          <w:color w:val="auto"/>
          <w:lang w:val="zh-CN"/>
        </w:rPr>
        <w:t>～</w:t>
      </w:r>
      <w:r>
        <w:rPr>
          <w:rFonts w:cs="Times New Roman"/>
          <w:color w:val="auto"/>
          <w:lang w:val="zh-CN"/>
        </w:rPr>
        <w:t>2340m</w:t>
      </w:r>
      <w:r>
        <w:rPr>
          <w:rFonts w:hint="eastAsia" w:cs="Times New Roman"/>
          <w:color w:val="auto"/>
          <w:lang w:val="zh-CN"/>
        </w:rPr>
        <w:t>的长江右岸。港外交通条件较好，港区后方毗邻</w:t>
      </w:r>
      <w:r>
        <w:rPr>
          <w:rFonts w:cs="Times New Roman"/>
          <w:color w:val="auto"/>
          <w:lang w:val="zh-CN"/>
        </w:rPr>
        <w:t>S208</w:t>
      </w:r>
      <w:r>
        <w:rPr>
          <w:rFonts w:hint="eastAsia" w:cs="Times New Roman"/>
          <w:color w:val="auto"/>
          <w:lang w:val="zh-CN"/>
        </w:rPr>
        <w:t>，可与</w:t>
      </w:r>
      <w:r>
        <w:rPr>
          <w:rFonts w:cs="Times New Roman"/>
          <w:color w:val="auto"/>
          <w:lang w:val="zh-CN"/>
        </w:rPr>
        <w:t>S301</w:t>
      </w:r>
      <w:r>
        <w:rPr>
          <w:rFonts w:hint="eastAsia" w:cs="Times New Roman"/>
          <w:color w:val="auto"/>
          <w:lang w:val="zh-CN"/>
        </w:rPr>
        <w:t>及</w:t>
      </w:r>
      <w:r>
        <w:rPr>
          <w:rFonts w:cs="Times New Roman"/>
          <w:color w:val="auto"/>
          <w:lang w:val="zh-CN"/>
        </w:rPr>
        <w:t>G107</w:t>
      </w:r>
      <w:r>
        <w:rPr>
          <w:rFonts w:hint="eastAsia" w:cs="Times New Roman"/>
          <w:color w:val="auto"/>
          <w:lang w:val="zh-CN"/>
        </w:rPr>
        <w:t>、京珠高速连接，能快捷到达市区各处。特别是随岳高速、杭瑞高速、临长高速复线等高速公路的建成，可令港区公路运输更加便捷。</w:t>
      </w:r>
    </w:p>
    <w:p>
      <w:pPr>
        <w:pStyle w:val="458"/>
        <w:ind w:firstLine="480"/>
        <w:rPr>
          <w:rFonts w:cs="Times New Roman"/>
          <w:color w:val="auto"/>
          <w:lang w:val="zh-CN"/>
        </w:rPr>
      </w:pPr>
      <w:r>
        <w:rPr>
          <w:rFonts w:hint="eastAsia" w:cs="Times New Roman"/>
          <w:color w:val="auto"/>
          <w:lang w:val="zh-CN"/>
        </w:rPr>
        <w:t>拟建道仁矶码头面临长江航道，属于长江河段中的城陵矶至武汉段航道，该航段维护水深为</w:t>
      </w:r>
      <w:r>
        <w:rPr>
          <w:rFonts w:cs="Times New Roman"/>
          <w:color w:val="auto"/>
          <w:lang w:val="zh-CN"/>
        </w:rPr>
        <w:t>4.2m</w:t>
      </w:r>
      <w:r>
        <w:rPr>
          <w:rFonts w:hint="eastAsia" w:cs="Times New Roman"/>
          <w:color w:val="auto"/>
          <w:lang w:val="zh-CN"/>
        </w:rPr>
        <w:t>，航道尺度达到Ⅰ</w:t>
      </w:r>
      <w:r>
        <w:rPr>
          <w:rFonts w:cs="Times New Roman"/>
          <w:color w:val="auto"/>
          <w:lang w:val="zh-CN"/>
        </w:rPr>
        <w:t>-5</w:t>
      </w:r>
      <w:r>
        <w:rPr>
          <w:rFonts w:hint="eastAsia" w:cs="Times New Roman"/>
          <w:color w:val="auto"/>
          <w:lang w:val="zh-CN"/>
        </w:rPr>
        <w:t>级。到</w:t>
      </w:r>
      <w:r>
        <w:rPr>
          <w:rFonts w:cs="Times New Roman"/>
          <w:color w:val="auto"/>
          <w:lang w:val="zh-CN"/>
        </w:rPr>
        <w:t>2030</w:t>
      </w:r>
      <w:r>
        <w:rPr>
          <w:rFonts w:hint="eastAsia" w:cs="Times New Roman"/>
          <w:color w:val="auto"/>
          <w:lang w:val="zh-CN"/>
        </w:rPr>
        <w:t>年，长江干线航道重庆（朝天门）至武汉段常年维护水深为</w:t>
      </w:r>
      <w:r>
        <w:rPr>
          <w:rFonts w:cs="Times New Roman"/>
          <w:color w:val="auto"/>
          <w:lang w:val="zh-CN"/>
        </w:rPr>
        <w:t>4.5m</w:t>
      </w:r>
      <w:r>
        <w:rPr>
          <w:rFonts w:hint="eastAsia" w:cs="Times New Roman"/>
          <w:color w:val="auto"/>
          <w:lang w:val="zh-CN"/>
        </w:rPr>
        <w:t>，保证率</w:t>
      </w:r>
      <w:r>
        <w:rPr>
          <w:rFonts w:cs="Times New Roman"/>
          <w:color w:val="auto"/>
          <w:lang w:val="zh-CN"/>
        </w:rPr>
        <w:t>98%</w:t>
      </w:r>
      <w:r>
        <w:rPr>
          <w:rFonts w:hint="eastAsia" w:cs="Times New Roman"/>
          <w:color w:val="auto"/>
          <w:lang w:val="zh-CN"/>
        </w:rPr>
        <w:t>，可利用自然水深通航</w:t>
      </w:r>
      <w:r>
        <w:rPr>
          <w:rFonts w:cs="Times New Roman"/>
          <w:color w:val="auto"/>
          <w:lang w:val="zh-CN"/>
        </w:rPr>
        <w:t>5000</w:t>
      </w:r>
      <w:r>
        <w:rPr>
          <w:rFonts w:hint="eastAsia" w:cs="Times New Roman"/>
          <w:color w:val="auto"/>
          <w:lang w:val="zh-CN"/>
        </w:rPr>
        <w:t>吨级船舶。从航道条件、水文条件来看，尽管城陵矶河段最下航道维护水深为</w:t>
      </w:r>
      <w:r>
        <w:rPr>
          <w:rFonts w:cs="Times New Roman"/>
          <w:color w:val="auto"/>
          <w:lang w:val="zh-CN"/>
        </w:rPr>
        <w:t>4.2</w:t>
      </w:r>
      <w:r>
        <w:rPr>
          <w:rFonts w:hint="eastAsia" w:cs="Times New Roman"/>
          <w:color w:val="auto"/>
          <w:lang w:val="zh-CN"/>
        </w:rPr>
        <w:t>m，但考虑到实际港口设计低水位（</w:t>
      </w:r>
      <w:r>
        <w:rPr>
          <w:rFonts w:cs="Times New Roman"/>
          <w:color w:val="auto"/>
          <w:lang w:val="zh-CN"/>
        </w:rPr>
        <w:t>98%</w:t>
      </w:r>
      <w:r>
        <w:rPr>
          <w:rFonts w:hint="eastAsia" w:cs="Times New Roman"/>
          <w:color w:val="auto"/>
          <w:lang w:val="zh-CN"/>
        </w:rPr>
        <w:t>保证率水位）较航行基准面高出约</w:t>
      </w:r>
      <w:r>
        <w:rPr>
          <w:rFonts w:cs="Times New Roman"/>
          <w:color w:val="auto"/>
          <w:lang w:val="zh-CN"/>
        </w:rPr>
        <w:t>2.27</w:t>
      </w:r>
      <w:r>
        <w:rPr>
          <w:rFonts w:hint="eastAsia" w:cs="Times New Roman"/>
          <w:color w:val="auto"/>
          <w:lang w:val="zh-CN"/>
        </w:rPr>
        <w:t>m，特别是随着下游界牌河段航道整治效果的逐年显现，枯水期航宽制约影响明显减弱，城陵矶至武汉段航道实际上已经具备了常年通航万吨级内河散货船的能力。</w:t>
      </w:r>
    </w:p>
    <w:p>
      <w:pPr>
        <w:pStyle w:val="456"/>
        <w:ind w:firstLine="482"/>
        <w:rPr>
          <w:snapToGrid w:val="0"/>
        </w:rPr>
      </w:pPr>
      <w:r>
        <w:rPr>
          <w:snapToGrid w:val="0"/>
        </w:rPr>
        <w:t>供电及照明</w:t>
      </w:r>
    </w:p>
    <w:p>
      <w:pPr>
        <w:pStyle w:val="458"/>
        <w:ind w:firstLine="480"/>
        <w:rPr>
          <w:rFonts w:cs="Times New Roman"/>
          <w:color w:val="auto"/>
        </w:rPr>
      </w:pPr>
      <w:r>
        <w:rPr>
          <w:rFonts w:cs="Times New Roman"/>
          <w:color w:val="auto"/>
        </w:rPr>
        <w:t>（1）供电电源</w:t>
      </w:r>
    </w:p>
    <w:p>
      <w:pPr>
        <w:pStyle w:val="2133"/>
        <w:spacing w:line="360" w:lineRule="auto"/>
        <w:rPr>
          <w:rFonts w:cs="Times New Roman"/>
        </w:rPr>
      </w:pPr>
      <w:r>
        <w:rPr>
          <w:rFonts w:hint="eastAsia" w:cs="Times New Roman"/>
        </w:rPr>
        <w:t>就近从就近城区电网引入一用一备双回路10kV供电电源至本工程主变电所，主变电所布置于港区后方卸车料棚旁绿化带内。</w:t>
      </w:r>
    </w:p>
    <w:p>
      <w:pPr>
        <w:pStyle w:val="458"/>
        <w:ind w:firstLine="480"/>
        <w:rPr>
          <w:rFonts w:cs="Times New Roman"/>
          <w:color w:val="auto"/>
        </w:rPr>
      </w:pPr>
      <w:r>
        <w:rPr>
          <w:rFonts w:cs="Times New Roman"/>
          <w:color w:val="auto"/>
        </w:rPr>
        <w:t>（2）供电方案</w:t>
      </w:r>
    </w:p>
    <w:p>
      <w:pPr>
        <w:pStyle w:val="2133"/>
        <w:spacing w:line="360" w:lineRule="auto"/>
        <w:rPr>
          <w:rFonts w:cs="Times New Roman"/>
        </w:rPr>
      </w:pPr>
      <w:r>
        <w:rPr>
          <w:rFonts w:hint="eastAsia" w:cs="Times New Roman"/>
        </w:rPr>
        <w:t>主变电所布置于港区陆域</w:t>
      </w:r>
      <w:r>
        <w:rPr>
          <w:rFonts w:cs="Times New Roman"/>
        </w:rPr>
        <w:t>Z03</w:t>
      </w:r>
      <w:r>
        <w:rPr>
          <w:rFonts w:hint="eastAsia" w:cs="Times New Roman"/>
        </w:rPr>
        <w:t>转运站旁绿化带内，为就近转运站、水泥筒仓、作业楼、门卫、工艺设备及附近室外照明等提供电源。</w:t>
      </w:r>
    </w:p>
    <w:p>
      <w:pPr>
        <w:pStyle w:val="2133"/>
        <w:spacing w:line="360" w:lineRule="auto"/>
        <w:rPr>
          <w:rFonts w:cs="Times New Roman"/>
        </w:rPr>
      </w:pPr>
      <w:r>
        <w:rPr>
          <w:rFonts w:hint="eastAsia" w:cs="Times New Roman"/>
        </w:rPr>
        <w:t>陆域</w:t>
      </w:r>
      <w:r>
        <w:rPr>
          <w:rFonts w:cs="Times New Roman"/>
        </w:rPr>
        <w:t>Z05</w:t>
      </w:r>
      <w:r>
        <w:rPr>
          <w:rFonts w:hint="eastAsia" w:cs="Times New Roman"/>
        </w:rPr>
        <w:t>转运站旁绿化带设置陆域分变电所，就近为综合楼、散货仓库、卸车仓库、泵房、污水处理设施、就近转运站、工艺设备、门卫及附近室外照明等提供电源。</w:t>
      </w:r>
    </w:p>
    <w:p>
      <w:pPr>
        <w:pStyle w:val="2133"/>
        <w:spacing w:line="360" w:lineRule="auto"/>
        <w:rPr>
          <w:rFonts w:cs="Times New Roman"/>
        </w:rPr>
      </w:pPr>
      <w:r>
        <w:rPr>
          <w:rFonts w:hint="eastAsia" w:cs="Times New Roman"/>
        </w:rPr>
        <w:t>码头前沿综合用房内设置码头前沿变电所，</w:t>
      </w:r>
      <w:r>
        <w:rPr>
          <w:rFonts w:cs="Times New Roman"/>
        </w:rPr>
        <w:t>10kV</w:t>
      </w:r>
      <w:r>
        <w:rPr>
          <w:rFonts w:hint="eastAsia" w:cs="Times New Roman"/>
        </w:rPr>
        <w:t>电源引自码头后方主变电所，为码头前方卸船机、装船机、门座起重机、皮带机、船舶岸电及室外照明等提供电源</w:t>
      </w:r>
      <w:r>
        <w:rPr>
          <w:rFonts w:cs="Times New Roman"/>
        </w:rPr>
        <w:t>。</w:t>
      </w:r>
    </w:p>
    <w:p>
      <w:pPr>
        <w:pStyle w:val="458"/>
        <w:ind w:firstLine="480"/>
        <w:rPr>
          <w:rFonts w:cs="Times New Roman"/>
          <w:color w:val="auto"/>
        </w:rPr>
      </w:pPr>
      <w:r>
        <w:rPr>
          <w:rFonts w:cs="Times New Roman"/>
          <w:color w:val="auto"/>
        </w:rPr>
        <w:t>（3）用电负荷及设备选择</w:t>
      </w:r>
    </w:p>
    <w:p>
      <w:pPr>
        <w:pStyle w:val="2133"/>
        <w:spacing w:line="360" w:lineRule="auto"/>
        <w:rPr>
          <w:rFonts w:cs="Times New Roman"/>
        </w:rPr>
      </w:pPr>
      <w:r>
        <w:rPr>
          <w:rFonts w:hint="eastAsia" w:cs="Times New Roman"/>
        </w:rPr>
        <w:t>消防负荷等级为二级，双电源末端自动切换供电。</w:t>
      </w:r>
    </w:p>
    <w:p>
      <w:pPr>
        <w:pStyle w:val="2133"/>
        <w:spacing w:line="360" w:lineRule="auto"/>
        <w:rPr>
          <w:rFonts w:cs="Times New Roman"/>
        </w:rPr>
      </w:pPr>
      <w:r>
        <w:rPr>
          <w:rFonts w:hint="eastAsia" w:cs="Times New Roman"/>
        </w:rPr>
        <w:t>其他动力照明负荷等级为三级。</w:t>
      </w:r>
    </w:p>
    <w:p>
      <w:pPr>
        <w:pStyle w:val="2133"/>
        <w:spacing w:line="360" w:lineRule="auto"/>
        <w:rPr>
          <w:rFonts w:cs="Times New Roman"/>
        </w:rPr>
      </w:pPr>
      <w:r>
        <w:rPr>
          <w:rFonts w:hint="eastAsia" w:cs="Times New Roman"/>
        </w:rPr>
        <w:t>主变电所10kV设备安装容量为安装容量</w:t>
      </w:r>
      <w:r>
        <w:rPr>
          <w:rFonts w:cs="Times New Roman"/>
        </w:rPr>
        <w:t>940</w:t>
      </w:r>
      <w:r>
        <w:rPr>
          <w:rFonts w:hint="eastAsia" w:cs="Times New Roman"/>
        </w:rPr>
        <w:t>kW。380V设备安装容量1</w:t>
      </w:r>
      <w:r>
        <w:rPr>
          <w:rFonts w:cs="Times New Roman"/>
        </w:rPr>
        <w:t>524</w:t>
      </w:r>
      <w:r>
        <w:rPr>
          <w:rFonts w:hint="eastAsia" w:cs="Times New Roman"/>
        </w:rPr>
        <w:t>kW，计算负荷</w:t>
      </w:r>
      <w:r>
        <w:rPr>
          <w:rFonts w:cs="Times New Roman"/>
        </w:rPr>
        <w:t>1082</w:t>
      </w:r>
      <w:r>
        <w:rPr>
          <w:rFonts w:hint="eastAsia" w:cs="Times New Roman"/>
        </w:rPr>
        <w:t>kVA，选用1台1</w:t>
      </w:r>
      <w:r>
        <w:rPr>
          <w:rFonts w:cs="Times New Roman"/>
        </w:rPr>
        <w:t>25</w:t>
      </w:r>
      <w:r>
        <w:rPr>
          <w:rFonts w:hint="eastAsia" w:cs="Times New Roman"/>
        </w:rPr>
        <w:t>0kVA干式变压器。</w:t>
      </w:r>
    </w:p>
    <w:p>
      <w:pPr>
        <w:ind w:firstLine="480"/>
      </w:pPr>
      <w:r>
        <w:rPr>
          <w:rFonts w:hint="eastAsia"/>
        </w:rPr>
        <w:t>码头前沿变电所10kV设备安装容量为安装容量</w:t>
      </w:r>
      <w:r>
        <w:t>5589</w:t>
      </w:r>
      <w:r>
        <w:rPr>
          <w:rFonts w:hint="eastAsia"/>
        </w:rPr>
        <w:t>kW。380V设备安装容量为</w:t>
      </w:r>
      <w:r>
        <w:t>1439</w:t>
      </w:r>
      <w:r>
        <w:rPr>
          <w:rFonts w:hint="eastAsia"/>
        </w:rPr>
        <w:t>kW，计算负荷</w:t>
      </w:r>
      <w:r>
        <w:t>1025</w:t>
      </w:r>
      <w:r>
        <w:rPr>
          <w:rFonts w:hint="eastAsia"/>
        </w:rPr>
        <w:t>kVA。选用1台</w:t>
      </w:r>
      <w:r>
        <w:t>125</w:t>
      </w:r>
      <w:r>
        <w:rPr>
          <w:rFonts w:hint="eastAsia"/>
        </w:rPr>
        <w:t>0kVA干式变压器</w:t>
      </w:r>
      <w:r>
        <w:t>。</w:t>
      </w:r>
    </w:p>
    <w:p>
      <w:pPr>
        <w:ind w:firstLine="480"/>
      </w:pPr>
      <w:r>
        <w:rPr>
          <w:rFonts w:hint="eastAsia"/>
        </w:rPr>
        <w:t>根据《湖南省内河码头船舶岸电设施建设技术要求》，本工程每个泊位中间位置设置一套</w:t>
      </w:r>
      <w:r>
        <w:t>80kW</w:t>
      </w:r>
      <w:r>
        <w:rPr>
          <w:rFonts w:hint="eastAsia"/>
        </w:rPr>
        <w:t>岸电箱，供电电压</w:t>
      </w:r>
      <w:r>
        <w:t>380V</w:t>
      </w:r>
      <w:r>
        <w:rPr>
          <w:rFonts w:hint="eastAsia"/>
        </w:rPr>
        <w:t>，供电频率</w:t>
      </w:r>
      <w:r>
        <w:t>50Hz</w:t>
      </w:r>
      <w:r>
        <w:rPr>
          <w:rFonts w:hint="eastAsia"/>
        </w:rPr>
        <w:t>，无变频，为靠泊船只提供岸电电源。</w:t>
      </w:r>
    </w:p>
    <w:p>
      <w:pPr>
        <w:pStyle w:val="458"/>
        <w:ind w:firstLine="480"/>
        <w:rPr>
          <w:rFonts w:cs="Times New Roman"/>
          <w:color w:val="auto"/>
        </w:rPr>
      </w:pPr>
      <w:r>
        <w:rPr>
          <w:rFonts w:cs="Times New Roman"/>
          <w:color w:val="auto"/>
        </w:rPr>
        <w:t>（4）照明方案</w:t>
      </w:r>
    </w:p>
    <w:p>
      <w:pPr>
        <w:pStyle w:val="2133"/>
        <w:spacing w:line="360" w:lineRule="auto"/>
        <w:rPr>
          <w:rFonts w:cs="Times New Roman"/>
        </w:rPr>
      </w:pPr>
      <w:r>
        <w:rPr>
          <w:rFonts w:hint="eastAsia" w:cs="Times New Roman"/>
        </w:rPr>
        <w:t>码头前沿平台及引桥采用LED防水防尘灯照明，码头后方及道路采用LED路灯照明。</w:t>
      </w:r>
    </w:p>
    <w:p>
      <w:pPr>
        <w:ind w:firstLine="480"/>
      </w:pPr>
      <w:r>
        <w:rPr>
          <w:rFonts w:hint="eastAsia"/>
        </w:rPr>
        <w:t>综合楼、机修间、变电所、门卫等均采用LED节能型灯具</w:t>
      </w:r>
      <w:r>
        <w:t>。</w:t>
      </w:r>
    </w:p>
    <w:p>
      <w:pPr>
        <w:pStyle w:val="456"/>
        <w:ind w:firstLine="482"/>
        <w:rPr>
          <w:snapToGrid w:val="0"/>
        </w:rPr>
      </w:pPr>
      <w:r>
        <w:rPr>
          <w:snapToGrid w:val="0"/>
        </w:rPr>
        <w:t>防雷及防静电措施</w:t>
      </w:r>
    </w:p>
    <w:p>
      <w:pPr>
        <w:pStyle w:val="458"/>
        <w:ind w:firstLine="480"/>
        <w:rPr>
          <w:rFonts w:cs="Times New Roman"/>
          <w:color w:val="auto"/>
          <w:szCs w:val="28"/>
        </w:rPr>
      </w:pPr>
      <w:r>
        <w:rPr>
          <w:rFonts w:hint="eastAsia" w:cs="Times New Roman"/>
          <w:color w:val="auto"/>
          <w:szCs w:val="28"/>
        </w:rPr>
        <w:t>本工程码头前沿平台接地系统拟利用水工结构主钢筋做自然接地体；陆域单体设置必要的人工接地设施。建筑单体接地电阻不大于</w:t>
      </w:r>
      <w:r>
        <w:rPr>
          <w:rFonts w:cs="Times New Roman"/>
          <w:color w:val="auto"/>
          <w:szCs w:val="28"/>
        </w:rPr>
        <w:t>1</w:t>
      </w:r>
      <w:r>
        <w:rPr>
          <w:rFonts w:hint="eastAsia" w:cs="Times New Roman"/>
          <w:color w:val="auto"/>
          <w:szCs w:val="28"/>
        </w:rPr>
        <w:t>欧姆，变电所接地电阻不大于</w:t>
      </w:r>
      <w:r>
        <w:rPr>
          <w:rFonts w:cs="Times New Roman"/>
          <w:color w:val="auto"/>
          <w:szCs w:val="28"/>
        </w:rPr>
        <w:t>4</w:t>
      </w:r>
      <w:r>
        <w:rPr>
          <w:rFonts w:hint="eastAsia" w:cs="Times New Roman"/>
          <w:color w:val="auto"/>
          <w:szCs w:val="28"/>
        </w:rPr>
        <w:t>欧姆，其他接地电阻不大于</w:t>
      </w:r>
      <w:r>
        <w:rPr>
          <w:rFonts w:cs="Times New Roman"/>
          <w:color w:val="auto"/>
          <w:szCs w:val="28"/>
        </w:rPr>
        <w:t>10</w:t>
      </w:r>
      <w:r>
        <w:rPr>
          <w:rFonts w:hint="eastAsia" w:cs="Times New Roman"/>
          <w:color w:val="auto"/>
          <w:szCs w:val="28"/>
        </w:rPr>
        <w:t>欧姆。</w:t>
      </w:r>
    </w:p>
    <w:p>
      <w:pPr>
        <w:pStyle w:val="458"/>
        <w:ind w:firstLine="480"/>
        <w:rPr>
          <w:rFonts w:cs="Times New Roman"/>
          <w:color w:val="auto"/>
          <w:szCs w:val="28"/>
        </w:rPr>
      </w:pPr>
      <w:r>
        <w:rPr>
          <w:rFonts w:hint="eastAsia" w:cs="Times New Roman"/>
          <w:color w:val="auto"/>
          <w:szCs w:val="28"/>
        </w:rPr>
        <w:t>建筑物采用在屋顶装设避雷带进行防雷保护。各建筑物内除空调电源插座外，其它电源插座回路均设置漏电保护装置。楼层配电箱、计算机电源系统、有线电视引入端、电信引入端设过电压保护装置。</w:t>
      </w:r>
    </w:p>
    <w:p>
      <w:pPr>
        <w:pStyle w:val="456"/>
        <w:ind w:firstLine="482"/>
        <w:rPr>
          <w:snapToGrid w:val="0"/>
        </w:rPr>
      </w:pPr>
      <w:r>
        <w:rPr>
          <w:snapToGrid w:val="0"/>
        </w:rPr>
        <w:t>给排水系统</w:t>
      </w:r>
    </w:p>
    <w:p>
      <w:pPr>
        <w:pStyle w:val="458"/>
        <w:ind w:firstLine="482"/>
        <w:rPr>
          <w:rFonts w:cs="Times New Roman"/>
          <w:b/>
          <w:bCs/>
          <w:color w:val="auto"/>
        </w:rPr>
      </w:pPr>
      <w:r>
        <w:rPr>
          <w:rFonts w:cs="Times New Roman"/>
          <w:b/>
          <w:bCs/>
          <w:color w:val="auto"/>
        </w:rPr>
        <w:t>一、供水</w:t>
      </w:r>
    </w:p>
    <w:p>
      <w:pPr>
        <w:pStyle w:val="458"/>
        <w:ind w:firstLine="480"/>
        <w:rPr>
          <w:rFonts w:cs="Times New Roman"/>
          <w:color w:val="auto"/>
        </w:rPr>
      </w:pPr>
      <w:r>
        <w:rPr>
          <w:rFonts w:hint="eastAsia" w:cs="Times New Roman"/>
          <w:color w:val="auto"/>
        </w:rPr>
        <w:t>码头位于湖南省岳阳市云溪区道仁矶镇，据调查，港区供水水源可直接取自道仁矶镇市政给水管网。从镇上就近引入给水管道作为港区生产、生活、环保以及消防用水的水源</w:t>
      </w:r>
      <w:r>
        <w:rPr>
          <w:rFonts w:cs="Times New Roman"/>
          <w:color w:val="auto"/>
        </w:rPr>
        <w:t>。</w:t>
      </w:r>
    </w:p>
    <w:p>
      <w:pPr>
        <w:pStyle w:val="458"/>
        <w:ind w:firstLine="480"/>
        <w:rPr>
          <w:rFonts w:cs="Times New Roman"/>
          <w:color w:val="auto"/>
        </w:rPr>
      </w:pPr>
      <w:r>
        <w:rPr>
          <w:rFonts w:hint="eastAsia" w:cs="Times New Roman"/>
          <w:color w:val="auto"/>
        </w:rPr>
        <w:t>港区船舶、生产、生活采用一套供水系统，由市政供水管网直接供给。室内外消防系统采用临时高压供水系统，水泵房内设置消防泵（一用一备，互为备用）和增压稳压设备，维持系统的充水和压力。</w:t>
      </w:r>
    </w:p>
    <w:p>
      <w:pPr>
        <w:pStyle w:val="458"/>
        <w:ind w:firstLine="482"/>
        <w:rPr>
          <w:rFonts w:cs="Times New Roman"/>
          <w:b/>
          <w:bCs/>
          <w:color w:val="auto"/>
        </w:rPr>
      </w:pPr>
      <w:r>
        <w:rPr>
          <w:rFonts w:cs="Times New Roman"/>
          <w:b/>
          <w:bCs/>
          <w:color w:val="auto"/>
        </w:rPr>
        <w:t>二、排水</w:t>
      </w:r>
    </w:p>
    <w:p>
      <w:pPr>
        <w:pStyle w:val="458"/>
        <w:ind w:firstLine="480"/>
        <w:rPr>
          <w:rFonts w:cs="Times New Roman"/>
          <w:color w:val="auto"/>
        </w:rPr>
      </w:pPr>
      <w:r>
        <w:rPr>
          <w:rFonts w:cs="Times New Roman"/>
          <w:color w:val="auto"/>
        </w:rPr>
        <w:t>港区采用雨、污水分流制度。</w:t>
      </w:r>
    </w:p>
    <w:p>
      <w:pPr>
        <w:pStyle w:val="458"/>
        <w:ind w:firstLine="480"/>
        <w:rPr>
          <w:rFonts w:cs="Times New Roman"/>
          <w:color w:val="auto"/>
        </w:rPr>
      </w:pPr>
      <w:r>
        <w:rPr>
          <w:rFonts w:cs="Times New Roman"/>
          <w:color w:val="auto"/>
        </w:rPr>
        <w:t>（1）船舶废水</w:t>
      </w:r>
    </w:p>
    <w:p>
      <w:pPr>
        <w:pStyle w:val="458"/>
        <w:ind w:firstLine="468"/>
        <w:rPr>
          <w:rFonts w:hint="eastAsia" w:eastAsia="宋体" w:cs="Times New Roman"/>
          <w:color w:val="auto"/>
          <w:lang w:eastAsia="zh-CN"/>
        </w:rPr>
      </w:pPr>
      <w:r>
        <w:t>本项目</w:t>
      </w:r>
      <w:r>
        <w:rPr>
          <w:spacing w:val="-3"/>
          <w:szCs w:val="22"/>
        </w:rPr>
        <w:t>到港船舶油污水和生活污水</w:t>
      </w:r>
      <w:r>
        <w:rPr>
          <w:rFonts w:hint="eastAsia" w:ascii="Times New Roman" w:hAnsi="Times New Roman" w:cs="Times New Roman" w:eastAsiaTheme="minorEastAsia"/>
          <w:kern w:val="2"/>
          <w:sz w:val="24"/>
          <w:szCs w:val="24"/>
          <w:lang w:val="en-US" w:eastAsia="zh-CN" w:bidi="ar"/>
        </w:rPr>
        <w:t>上岸进入港区专用</w:t>
      </w:r>
      <w:r>
        <w:rPr>
          <w:rFonts w:hint="eastAsia" w:cs="Times New Roman" w:eastAsiaTheme="minorEastAsia"/>
          <w:kern w:val="2"/>
          <w:sz w:val="24"/>
          <w:szCs w:val="24"/>
          <w:lang w:val="en-US" w:eastAsia="zh-CN" w:bidi="ar"/>
        </w:rPr>
        <w:t>接收装置</w:t>
      </w:r>
      <w:r>
        <w:rPr>
          <w:rFonts w:hint="eastAsia" w:ascii="Times New Roman" w:hAnsi="Times New Roman" w:cs="Times New Roman" w:eastAsiaTheme="minorEastAsia"/>
          <w:kern w:val="2"/>
          <w:sz w:val="24"/>
          <w:szCs w:val="24"/>
          <w:lang w:val="en-US" w:eastAsia="zh-CN" w:bidi="ar"/>
        </w:rPr>
        <w:t>，</w:t>
      </w:r>
      <w:r>
        <w:rPr>
          <w:spacing w:val="-3"/>
          <w:szCs w:val="22"/>
        </w:rPr>
        <w:t>申请海事部门的环保工作船进行专业收集处理</w:t>
      </w:r>
      <w:r>
        <w:rPr>
          <w:rFonts w:hint="eastAsia" w:cs="Times New Roman"/>
          <w:color w:val="auto"/>
          <w:spacing w:val="-3"/>
          <w:szCs w:val="22"/>
          <w:lang w:eastAsia="zh-CN"/>
        </w:rPr>
        <w:t>。</w:t>
      </w:r>
    </w:p>
    <w:p>
      <w:pPr>
        <w:pStyle w:val="458"/>
        <w:ind w:firstLine="480"/>
        <w:rPr>
          <w:rFonts w:cs="Times New Roman"/>
          <w:color w:val="auto"/>
        </w:rPr>
      </w:pPr>
      <w:r>
        <w:rPr>
          <w:rFonts w:cs="Times New Roman"/>
          <w:color w:val="auto"/>
        </w:rPr>
        <w:t>（2）码头平台冲洗废水、初期雨水</w:t>
      </w:r>
    </w:p>
    <w:p>
      <w:pPr>
        <w:pStyle w:val="458"/>
        <w:ind w:firstLine="480"/>
        <w:rPr>
          <w:rFonts w:cs="Times New Roman"/>
          <w:color w:val="auto"/>
        </w:rPr>
      </w:pPr>
      <w:r>
        <w:rPr>
          <w:rFonts w:cs="Times New Roman"/>
          <w:color w:val="auto"/>
        </w:rPr>
        <w:t>码头面设置冲洗污水以及初期雨水收集池，码头面污水经收集池收集后由排污泵运送至后方陆域工程区</w:t>
      </w:r>
      <w:r>
        <w:rPr>
          <w:rFonts w:cs="Times New Roman"/>
          <w:color w:val="auto"/>
          <w:spacing w:val="4"/>
        </w:rPr>
        <w:t>，</w:t>
      </w:r>
      <w:r>
        <w:rPr>
          <w:rFonts w:hint="eastAsia" w:cs="Times New Roman"/>
          <w:color w:val="auto"/>
          <w:spacing w:val="4"/>
          <w:lang w:val="en-US" w:eastAsia="zh-CN"/>
        </w:rPr>
        <w:t>经过厂区自建的</w:t>
      </w:r>
      <w:r>
        <w:rPr>
          <w:rFonts w:cs="Times New Roman"/>
          <w:color w:val="auto"/>
        </w:rPr>
        <w:t>污水处理系统进行处理后回用，</w:t>
      </w:r>
      <w:r>
        <w:rPr>
          <w:rFonts w:cs="Times New Roman"/>
          <w:color w:val="auto"/>
          <w:spacing w:val="-3"/>
          <w:szCs w:val="22"/>
        </w:rPr>
        <w:t>不外排</w:t>
      </w:r>
      <w:r>
        <w:rPr>
          <w:rFonts w:cs="Times New Roman"/>
          <w:color w:val="auto"/>
        </w:rPr>
        <w:t>。</w:t>
      </w:r>
    </w:p>
    <w:p>
      <w:pPr>
        <w:pStyle w:val="458"/>
        <w:ind w:firstLine="480"/>
        <w:rPr>
          <w:rFonts w:cs="Times New Roman"/>
          <w:color w:val="auto"/>
        </w:rPr>
      </w:pPr>
      <w:r>
        <w:rPr>
          <w:rFonts w:cs="Times New Roman"/>
          <w:color w:val="auto"/>
        </w:rPr>
        <w:t>（3）生活污水</w:t>
      </w:r>
    </w:p>
    <w:p>
      <w:pPr>
        <w:pStyle w:val="458"/>
        <w:ind w:firstLine="480"/>
        <w:rPr>
          <w:rFonts w:cs="Times New Roman"/>
          <w:color w:val="auto"/>
        </w:rPr>
      </w:pPr>
      <w:r>
        <w:rPr>
          <w:rFonts w:hint="eastAsia" w:cs="Times New Roman"/>
          <w:color w:val="auto"/>
        </w:rPr>
        <w:t>港区员工生活污水</w:t>
      </w:r>
      <w:r>
        <w:rPr>
          <w:rFonts w:hint="eastAsia" w:cs="Times New Roman"/>
        </w:rPr>
        <w:t>接入市政污水管网，</w:t>
      </w:r>
      <w:r>
        <w:rPr>
          <w:rFonts w:hint="eastAsia" w:cs="Times New Roman"/>
          <w:lang w:val="en-US" w:eastAsia="zh-CN"/>
        </w:rPr>
        <w:t>排入临港水质净化厂处理</w:t>
      </w:r>
      <w:r>
        <w:rPr>
          <w:rFonts w:hint="eastAsia" w:cs="Times New Roman"/>
          <w:color w:val="auto"/>
        </w:rPr>
        <w:t>。</w:t>
      </w:r>
    </w:p>
    <w:p>
      <w:pPr>
        <w:pStyle w:val="458"/>
        <w:ind w:firstLine="480"/>
        <w:rPr>
          <w:rFonts w:cs="Times New Roman"/>
          <w:color w:val="auto"/>
        </w:rPr>
      </w:pPr>
      <w:r>
        <w:rPr>
          <w:rFonts w:cs="Times New Roman"/>
          <w:color w:val="auto"/>
        </w:rPr>
        <w:t>（4）雨水排水系统</w:t>
      </w:r>
    </w:p>
    <w:p>
      <w:pPr>
        <w:pStyle w:val="458"/>
        <w:ind w:firstLine="480"/>
        <w:rPr>
          <w:rFonts w:cs="Times New Roman"/>
          <w:color w:val="auto"/>
        </w:rPr>
      </w:pPr>
      <w:r>
        <w:rPr>
          <w:rFonts w:cs="Times New Roman"/>
          <w:color w:val="auto"/>
        </w:rPr>
        <w:t>港区初期雨水污染杂质较多，直接排入市政雨水管道污染较大，因此初期雨水经收集后由排污泵运送至后方陆域工程区</w:t>
      </w:r>
      <w:r>
        <w:rPr>
          <w:rFonts w:cs="Times New Roman"/>
          <w:color w:val="auto"/>
          <w:spacing w:val="4"/>
        </w:rPr>
        <w:t>，进行处理利用</w:t>
      </w:r>
      <w:r>
        <w:rPr>
          <w:rFonts w:cs="Times New Roman"/>
          <w:color w:val="auto"/>
        </w:rPr>
        <w:t>。</w:t>
      </w:r>
    </w:p>
    <w:p>
      <w:pPr>
        <w:pStyle w:val="458"/>
        <w:ind w:firstLine="480"/>
        <w:rPr>
          <w:rFonts w:cs="Times New Roman"/>
          <w:color w:val="auto"/>
        </w:rPr>
      </w:pPr>
      <w:r>
        <w:rPr>
          <w:rFonts w:cs="Times New Roman"/>
          <w:color w:val="auto"/>
        </w:rPr>
        <w:t>后期雨水水质洁净，经雨水口及管道收集后排入市政雨水管道。</w:t>
      </w:r>
    </w:p>
    <w:p>
      <w:pPr>
        <w:pStyle w:val="456"/>
        <w:ind w:firstLine="482"/>
        <w:rPr>
          <w:snapToGrid w:val="0"/>
        </w:rPr>
      </w:pPr>
      <w:r>
        <w:rPr>
          <w:snapToGrid w:val="0"/>
        </w:rPr>
        <w:t>消防系统</w:t>
      </w:r>
    </w:p>
    <w:p>
      <w:pPr>
        <w:pStyle w:val="458"/>
        <w:ind w:firstLine="480"/>
        <w:rPr>
          <w:rFonts w:cs="Times New Roman"/>
          <w:color w:val="auto"/>
          <w:szCs w:val="28"/>
        </w:rPr>
      </w:pPr>
      <w:r>
        <w:rPr>
          <w:rFonts w:hint="eastAsia" w:cs="Times New Roman"/>
          <w:color w:val="auto"/>
          <w:szCs w:val="28"/>
        </w:rPr>
        <w:t>本工程位于湖南省岳阳市云溪区道仁矶镇，消防水源主要依托市政自来水供水。同时对职工进行消防安全培训，做到</w:t>
      </w:r>
      <w:r>
        <w:rPr>
          <w:rFonts w:cs="Times New Roman"/>
          <w:color w:val="auto"/>
          <w:szCs w:val="28"/>
        </w:rPr>
        <w:t>“</w:t>
      </w:r>
      <w:r>
        <w:rPr>
          <w:rFonts w:hint="eastAsia" w:cs="Times New Roman"/>
          <w:color w:val="auto"/>
          <w:szCs w:val="28"/>
        </w:rPr>
        <w:t>防消结合</w:t>
      </w:r>
      <w:r>
        <w:rPr>
          <w:rFonts w:cs="Times New Roman"/>
          <w:color w:val="auto"/>
          <w:szCs w:val="28"/>
        </w:rPr>
        <w:t>”</w:t>
      </w:r>
      <w:r>
        <w:rPr>
          <w:rFonts w:hint="eastAsia" w:cs="Times New Roman"/>
          <w:color w:val="auto"/>
          <w:szCs w:val="28"/>
        </w:rPr>
        <w:t>。一旦发生火灾后，港区自建职工消防队可第一时间进行自救，若无法控制消灭火势，可请求附近消防中队救援。</w:t>
      </w:r>
    </w:p>
    <w:p>
      <w:pPr>
        <w:pStyle w:val="458"/>
        <w:ind w:firstLine="480"/>
        <w:rPr>
          <w:rFonts w:cs="Times New Roman"/>
          <w:color w:val="auto"/>
          <w:szCs w:val="28"/>
        </w:rPr>
      </w:pPr>
      <w:r>
        <w:rPr>
          <w:rFonts w:hint="eastAsia" w:cs="Times New Roman"/>
          <w:color w:val="auto"/>
          <w:szCs w:val="28"/>
        </w:rPr>
        <w:t>本工程可能发生火灾的因素为综合楼办公用品起火、装卸设备老化产生电气起火以及厂区人员随身携带的可燃物品起火。</w:t>
      </w:r>
    </w:p>
    <w:p>
      <w:pPr>
        <w:pStyle w:val="458"/>
        <w:ind w:firstLine="480"/>
        <w:rPr>
          <w:rFonts w:cs="Times New Roman"/>
          <w:color w:val="auto"/>
        </w:rPr>
      </w:pPr>
      <w:r>
        <w:rPr>
          <w:rFonts w:cs="Times New Roman"/>
          <w:color w:val="auto"/>
        </w:rPr>
        <w:t>工程消防设计如下：</w:t>
      </w:r>
    </w:p>
    <w:p>
      <w:pPr>
        <w:pStyle w:val="458"/>
        <w:ind w:firstLine="480"/>
        <w:rPr>
          <w:rFonts w:cs="Times New Roman"/>
          <w:color w:val="auto"/>
        </w:rPr>
      </w:pPr>
      <w:r>
        <w:rPr>
          <w:rFonts w:cs="Times New Roman"/>
          <w:color w:val="auto"/>
        </w:rPr>
        <w:t>（1）防火总平面布置</w:t>
      </w:r>
    </w:p>
    <w:p>
      <w:pPr>
        <w:pStyle w:val="458"/>
        <w:ind w:firstLine="480"/>
        <w:rPr>
          <w:rFonts w:cs="Times New Roman"/>
          <w:color w:val="auto"/>
        </w:rPr>
      </w:pPr>
      <w:r>
        <w:rPr>
          <w:rFonts w:cs="Times New Roman"/>
          <w:color w:val="auto"/>
          <w:szCs w:val="28"/>
        </w:rPr>
        <w:t>港区与市政消防站之间有道路通达。港区布置环形车道，道路宽度为双车道，可供消防车在港区发生火灾时使用。构筑物与构筑物之间，防火安全距离均按规范要求设置</w:t>
      </w:r>
      <w:r>
        <w:rPr>
          <w:rFonts w:cs="Times New Roman"/>
          <w:color w:val="auto"/>
        </w:rPr>
        <w:t>。</w:t>
      </w:r>
    </w:p>
    <w:p>
      <w:pPr>
        <w:pStyle w:val="458"/>
        <w:ind w:firstLine="480"/>
        <w:rPr>
          <w:rFonts w:cs="Times New Roman"/>
          <w:color w:val="auto"/>
        </w:rPr>
      </w:pPr>
      <w:r>
        <w:rPr>
          <w:rFonts w:cs="Times New Roman"/>
          <w:color w:val="auto"/>
        </w:rPr>
        <w:t>（2）装卸工艺防火</w:t>
      </w:r>
    </w:p>
    <w:p>
      <w:pPr>
        <w:pStyle w:val="458"/>
        <w:ind w:firstLine="480"/>
        <w:rPr>
          <w:rFonts w:cs="Times New Roman"/>
          <w:color w:val="auto"/>
          <w:szCs w:val="28"/>
        </w:rPr>
      </w:pPr>
      <w:r>
        <w:rPr>
          <w:rFonts w:hint="eastAsia" w:cs="Times New Roman"/>
          <w:color w:val="auto"/>
          <w:szCs w:val="28"/>
        </w:rPr>
        <w:t>本工程作业散货货种为砂卵石、非金属矿石、铁矿石、水泥等，均为非可燃固体。装卸工艺生产过程不须用火，正常工况也不产生火花。起重机械均设置防雷接地，驾驶室设置灭火器</w:t>
      </w:r>
      <w:r>
        <w:rPr>
          <w:rFonts w:cs="Times New Roman"/>
          <w:color w:val="auto"/>
          <w:szCs w:val="28"/>
        </w:rPr>
        <w:t>。</w:t>
      </w:r>
    </w:p>
    <w:p>
      <w:pPr>
        <w:pStyle w:val="458"/>
        <w:ind w:firstLine="480"/>
        <w:rPr>
          <w:rFonts w:cs="Times New Roman"/>
          <w:color w:val="auto"/>
        </w:rPr>
      </w:pPr>
      <w:r>
        <w:rPr>
          <w:rFonts w:cs="Times New Roman"/>
          <w:color w:val="auto"/>
        </w:rPr>
        <w:t>（3）供电照明防火措施</w:t>
      </w:r>
    </w:p>
    <w:p>
      <w:pPr>
        <w:pStyle w:val="458"/>
        <w:ind w:firstLine="480"/>
        <w:rPr>
          <w:rFonts w:cs="Times New Roman"/>
          <w:color w:val="auto"/>
        </w:rPr>
      </w:pPr>
      <w:r>
        <w:rPr>
          <w:rFonts w:cs="Times New Roman"/>
          <w:color w:val="auto"/>
        </w:rPr>
        <w:t>所有设备均设置防雷接地装置。各建筑物内除空调电源插座外，其它电源插座回路均设置漏电保护装置。配电箱、计算机电源系统、有线电视引入端、电信引入端设过电压保护装置。</w:t>
      </w:r>
    </w:p>
    <w:p>
      <w:pPr>
        <w:pStyle w:val="458"/>
        <w:ind w:firstLine="480"/>
        <w:rPr>
          <w:rFonts w:cs="Times New Roman"/>
          <w:color w:val="auto"/>
        </w:rPr>
      </w:pPr>
      <w:r>
        <w:rPr>
          <w:rFonts w:cs="Times New Roman"/>
          <w:color w:val="auto"/>
        </w:rPr>
        <w:t>消防泵采用独立双电源末端自动切换供电，供电电缆采用阻燃型电力电缆，穿钢管埋地敷设。</w:t>
      </w:r>
    </w:p>
    <w:p>
      <w:pPr>
        <w:pStyle w:val="458"/>
        <w:ind w:firstLine="480"/>
        <w:rPr>
          <w:rFonts w:cs="Times New Roman"/>
          <w:color w:val="auto"/>
        </w:rPr>
      </w:pPr>
      <w:r>
        <w:rPr>
          <w:rFonts w:cs="Times New Roman"/>
          <w:color w:val="auto"/>
        </w:rPr>
        <w:t>（4）码头和陆域构筑物防火措施</w:t>
      </w:r>
    </w:p>
    <w:p>
      <w:pPr>
        <w:pStyle w:val="458"/>
        <w:ind w:firstLine="480"/>
        <w:rPr>
          <w:rFonts w:cs="Times New Roman"/>
          <w:color w:val="auto"/>
        </w:rPr>
      </w:pPr>
      <w:r>
        <w:rPr>
          <w:rFonts w:cs="Times New Roman"/>
          <w:color w:val="auto"/>
        </w:rPr>
        <w:t>码头和陆域构筑物结构为混凝土结构，采用耐火等级1级。</w:t>
      </w:r>
      <w:r>
        <w:rPr>
          <w:rFonts w:hint="eastAsia" w:cs="Times New Roman"/>
          <w:color w:val="auto"/>
          <w:szCs w:val="28"/>
        </w:rPr>
        <w:t>港区</w:t>
      </w:r>
      <w:r>
        <w:rPr>
          <w:rFonts w:cs="Times New Roman"/>
          <w:color w:val="auto"/>
          <w:szCs w:val="28"/>
        </w:rPr>
        <w:t>内严格禁火。码头布置防雷接地</w:t>
      </w:r>
      <w:r>
        <w:rPr>
          <w:rFonts w:cs="Times New Roman"/>
          <w:color w:val="auto"/>
        </w:rPr>
        <w:t>。</w:t>
      </w:r>
    </w:p>
    <w:p>
      <w:pPr>
        <w:pStyle w:val="458"/>
        <w:ind w:firstLine="480"/>
        <w:rPr>
          <w:rFonts w:cs="Times New Roman"/>
          <w:color w:val="auto"/>
        </w:rPr>
      </w:pPr>
      <w:r>
        <w:rPr>
          <w:rFonts w:cs="Times New Roman"/>
          <w:color w:val="auto"/>
        </w:rPr>
        <w:t>（5）其它消防措施</w:t>
      </w:r>
    </w:p>
    <w:p>
      <w:pPr>
        <w:pStyle w:val="458"/>
        <w:ind w:firstLine="480"/>
        <w:rPr>
          <w:rFonts w:cs="Times New Roman"/>
          <w:color w:val="auto"/>
        </w:rPr>
      </w:pPr>
      <w:r>
        <w:rPr>
          <w:rFonts w:cs="Times New Roman"/>
          <w:color w:val="auto"/>
        </w:rPr>
        <w:t>码头前沿等处配置推车式磷酸铵盐干粉灭火器；其余建筑均配置手提式磷酸铵盐干粉灭火器。</w:t>
      </w:r>
    </w:p>
    <w:p>
      <w:pPr>
        <w:pStyle w:val="456"/>
        <w:ind w:firstLine="482"/>
        <w:rPr>
          <w:snapToGrid w:val="0"/>
        </w:rPr>
      </w:pPr>
      <w:r>
        <w:rPr>
          <w:snapToGrid w:val="0"/>
        </w:rPr>
        <w:t>通信系统</w:t>
      </w:r>
    </w:p>
    <w:p>
      <w:pPr>
        <w:pStyle w:val="2133"/>
        <w:spacing w:line="360" w:lineRule="auto"/>
        <w:ind w:firstLine="482"/>
        <w:jc w:val="left"/>
        <w:rPr>
          <w:rFonts w:cs="Times New Roman"/>
          <w:b/>
          <w:bCs/>
        </w:rPr>
      </w:pPr>
      <w:r>
        <w:rPr>
          <w:rFonts w:cs="Times New Roman"/>
          <w:b/>
          <w:bCs/>
        </w:rPr>
        <w:t>1</w:t>
      </w:r>
      <w:r>
        <w:rPr>
          <w:rFonts w:hint="eastAsia" w:cs="Times New Roman"/>
          <w:b/>
          <w:bCs/>
        </w:rPr>
        <w:t>、港区通信</w:t>
      </w:r>
    </w:p>
    <w:p>
      <w:pPr>
        <w:pStyle w:val="2133"/>
        <w:spacing w:line="360" w:lineRule="auto"/>
        <w:jc w:val="left"/>
        <w:rPr>
          <w:rFonts w:cs="Times New Roman"/>
        </w:rPr>
      </w:pPr>
      <w:r>
        <w:rPr>
          <w:rFonts w:hint="eastAsia" w:cs="Times New Roman"/>
        </w:rPr>
        <w:t>（</w:t>
      </w:r>
      <w:r>
        <w:rPr>
          <w:rFonts w:cs="Times New Roman"/>
        </w:rPr>
        <w:t>1</w:t>
      </w:r>
      <w:r>
        <w:rPr>
          <w:rFonts w:hint="eastAsia" w:cs="Times New Roman"/>
        </w:rPr>
        <w:t>）有线通信</w:t>
      </w:r>
    </w:p>
    <w:p>
      <w:pPr>
        <w:pStyle w:val="2133"/>
        <w:spacing w:line="360" w:lineRule="auto"/>
        <w:jc w:val="left"/>
        <w:rPr>
          <w:rFonts w:cs="Times New Roman"/>
        </w:rPr>
      </w:pPr>
      <w:r>
        <w:rPr>
          <w:rFonts w:hint="eastAsia" w:cs="Times New Roman"/>
        </w:rPr>
        <w:t>为满足港区生产管理、对外联系的需要，港区内设置有线通信系统。根据港区规模和实际通信需求测算，港区自动电话的近期用户装机数量约为</w:t>
      </w:r>
      <w:r>
        <w:rPr>
          <w:rFonts w:cs="Times New Roman"/>
        </w:rPr>
        <w:t>30</w:t>
      </w:r>
      <w:r>
        <w:rPr>
          <w:rFonts w:hint="eastAsia" w:cs="Times New Roman"/>
        </w:rPr>
        <w:t>部。</w:t>
      </w:r>
    </w:p>
    <w:p>
      <w:pPr>
        <w:pStyle w:val="2133"/>
        <w:spacing w:line="360" w:lineRule="auto"/>
        <w:jc w:val="left"/>
        <w:rPr>
          <w:rFonts w:cs="Times New Roman"/>
        </w:rPr>
      </w:pPr>
      <w:r>
        <w:rPr>
          <w:rFonts w:hint="eastAsia" w:cs="Times New Roman"/>
        </w:rPr>
        <w:t>在港区内新建一台数字程控自动电话交换机，电话机房设置在综合楼内，在综合楼、仓库、变电所、前沿综合用房等主要场所设置自动电话。程控交换机与港区内所装自动电话通过</w:t>
      </w:r>
      <w:r>
        <w:rPr>
          <w:rFonts w:cs="Times New Roman"/>
        </w:rPr>
        <w:t>HYV</w:t>
      </w:r>
      <w:r>
        <w:rPr>
          <w:rFonts w:hint="eastAsia" w:cs="Times New Roman"/>
        </w:rPr>
        <w:t>型通信电缆连接，实现内外线通信均通过程控交换机中转，内部通信不计费。</w:t>
      </w:r>
    </w:p>
    <w:p>
      <w:pPr>
        <w:pStyle w:val="2133"/>
        <w:spacing w:line="360" w:lineRule="auto"/>
        <w:jc w:val="left"/>
        <w:rPr>
          <w:rFonts w:cs="Times New Roman"/>
        </w:rPr>
      </w:pPr>
      <w:r>
        <w:rPr>
          <w:rFonts w:hint="eastAsia" w:cs="Times New Roman"/>
        </w:rPr>
        <w:t>在综合楼、前沿综合用房设置综合布线系统。</w:t>
      </w:r>
    </w:p>
    <w:p>
      <w:pPr>
        <w:pStyle w:val="2133"/>
        <w:spacing w:line="360" w:lineRule="auto"/>
        <w:jc w:val="left"/>
        <w:rPr>
          <w:rFonts w:cs="Times New Roman"/>
        </w:rPr>
      </w:pPr>
      <w:r>
        <w:rPr>
          <w:rFonts w:hint="eastAsia" w:cs="Times New Roman"/>
        </w:rPr>
        <w:t>（</w:t>
      </w:r>
      <w:r>
        <w:rPr>
          <w:rFonts w:cs="Times New Roman"/>
        </w:rPr>
        <w:t>2</w:t>
      </w:r>
      <w:r>
        <w:rPr>
          <w:rFonts w:hint="eastAsia" w:cs="Times New Roman"/>
        </w:rPr>
        <w:t>）无线通信</w:t>
      </w:r>
    </w:p>
    <w:p>
      <w:pPr>
        <w:pStyle w:val="2133"/>
        <w:spacing w:line="360" w:lineRule="auto"/>
        <w:jc w:val="left"/>
        <w:rPr>
          <w:rFonts w:cs="Times New Roman"/>
        </w:rPr>
      </w:pPr>
      <w:r>
        <w:rPr>
          <w:rFonts w:hint="eastAsia" w:cs="Times New Roman"/>
        </w:rPr>
        <w:t>为满足港区生产管理的需要，港区内生产调度人员之间以及调度人员与移动机械操作人员之间的无线通信采用手持式甚高频</w:t>
      </w:r>
      <w:r>
        <w:rPr>
          <w:rFonts w:cs="Times New Roman"/>
        </w:rPr>
        <w:t>(VHF)</w:t>
      </w:r>
      <w:r>
        <w:rPr>
          <w:rFonts w:hint="eastAsia" w:cs="Times New Roman"/>
        </w:rPr>
        <w:t>无线对讲机，通信范围</w:t>
      </w:r>
      <w:r>
        <w:rPr>
          <w:rFonts w:cs="Times New Roman"/>
        </w:rPr>
        <w:t>3km</w:t>
      </w:r>
      <w:r>
        <w:rPr>
          <w:rFonts w:hint="eastAsia" w:cs="Times New Roman"/>
        </w:rPr>
        <w:t>。</w:t>
      </w:r>
    </w:p>
    <w:p>
      <w:pPr>
        <w:pStyle w:val="2133"/>
        <w:spacing w:line="360" w:lineRule="auto"/>
        <w:ind w:firstLine="482"/>
        <w:jc w:val="left"/>
        <w:rPr>
          <w:rFonts w:cs="Times New Roman"/>
          <w:b/>
          <w:bCs/>
        </w:rPr>
      </w:pPr>
      <w:r>
        <w:rPr>
          <w:rFonts w:cs="Times New Roman"/>
          <w:b/>
          <w:bCs/>
        </w:rPr>
        <w:t>2</w:t>
      </w:r>
      <w:r>
        <w:rPr>
          <w:rFonts w:hint="eastAsia" w:cs="Times New Roman"/>
          <w:b/>
          <w:bCs/>
        </w:rPr>
        <w:t>、船岸通信</w:t>
      </w:r>
    </w:p>
    <w:p>
      <w:pPr>
        <w:pStyle w:val="2133"/>
        <w:spacing w:line="360" w:lineRule="auto"/>
        <w:jc w:val="left"/>
        <w:rPr>
          <w:rFonts w:cs="Times New Roman"/>
        </w:rPr>
      </w:pPr>
      <w:r>
        <w:rPr>
          <w:rFonts w:hint="eastAsia" w:cs="Times New Roman"/>
        </w:rPr>
        <w:t>鉴于本项目所在地通信条件的可靠性，设计考虑借助当地中国移动公众网来实现港区管理部门与往来船舶的中、远程船岸通信。</w:t>
      </w:r>
    </w:p>
    <w:p>
      <w:pPr>
        <w:pStyle w:val="2133"/>
        <w:spacing w:line="360" w:lineRule="auto"/>
        <w:jc w:val="left"/>
        <w:rPr>
          <w:rFonts w:cs="Times New Roman"/>
        </w:rPr>
      </w:pPr>
      <w:r>
        <w:rPr>
          <w:rFonts w:hint="eastAsia" w:cs="Times New Roman"/>
        </w:rPr>
        <w:t>向水运通信主管部门申报1台VHF船岸无线电话，以满足近距离船岸通信的需要。</w:t>
      </w:r>
    </w:p>
    <w:p>
      <w:pPr>
        <w:pStyle w:val="456"/>
        <w:ind w:firstLine="482"/>
        <w:rPr>
          <w:snapToGrid w:val="0"/>
        </w:rPr>
      </w:pPr>
      <w:r>
        <w:rPr>
          <w:snapToGrid w:val="0"/>
        </w:rPr>
        <w:t>控制系统</w:t>
      </w:r>
    </w:p>
    <w:p>
      <w:pPr>
        <w:pStyle w:val="2133"/>
        <w:spacing w:line="360" w:lineRule="auto"/>
        <w:jc w:val="left"/>
        <w:rPr>
          <w:rFonts w:cs="Times New Roman"/>
        </w:rPr>
      </w:pPr>
      <w:r>
        <w:rPr>
          <w:rFonts w:hint="eastAsia" w:cs="Times New Roman"/>
        </w:rPr>
        <w:t>根据装卸工艺作业流程，皮带机输料系统宜采用PLC自动控制方式。因此，本设计将散货码头的装船机、皮带机、卸船桥抓共同组成一个集中联锁控制系统，对散货码头的整个工艺流程进行控制。</w:t>
      </w:r>
    </w:p>
    <w:p>
      <w:pPr>
        <w:pStyle w:val="2133"/>
        <w:spacing w:line="360" w:lineRule="auto"/>
        <w:jc w:val="left"/>
        <w:rPr>
          <w:rFonts w:cs="Times New Roman"/>
        </w:rPr>
      </w:pPr>
      <w:r>
        <w:rPr>
          <w:rFonts w:hint="eastAsia" w:cs="Times New Roman"/>
        </w:rPr>
        <w:t>控制系统由上位机系统和下位机系统两部分组成，上位机系统由2台工作站计组成，互为备用，下位机系则由PLC组成。</w:t>
      </w:r>
    </w:p>
    <w:p>
      <w:pPr>
        <w:pStyle w:val="2133"/>
        <w:spacing w:line="360" w:lineRule="auto"/>
        <w:jc w:val="left"/>
        <w:rPr>
          <w:rFonts w:cs="Times New Roman"/>
        </w:rPr>
      </w:pPr>
      <w:r>
        <w:rPr>
          <w:rFonts w:hint="eastAsia" w:cs="Times New Roman"/>
        </w:rPr>
        <w:t>控制系统拟设三种控制方式：</w:t>
      </w:r>
    </w:p>
    <w:p>
      <w:pPr>
        <w:pStyle w:val="2133"/>
        <w:spacing w:line="360" w:lineRule="auto"/>
        <w:jc w:val="left"/>
        <w:rPr>
          <w:rFonts w:cs="Times New Roman"/>
        </w:rPr>
      </w:pPr>
      <w:r>
        <w:rPr>
          <w:rFonts w:hint="eastAsia" w:cs="Times New Roman"/>
        </w:rPr>
        <w:t>（1）PLC集中自动控制：逆料方向启动，顺料方向停车，堵料时停车。各皮带机动作联锁，为主要运行方式。</w:t>
      </w:r>
    </w:p>
    <w:p>
      <w:pPr>
        <w:pStyle w:val="2133"/>
        <w:spacing w:line="360" w:lineRule="auto"/>
        <w:jc w:val="left"/>
        <w:rPr>
          <w:rFonts w:cs="Times New Roman"/>
        </w:rPr>
      </w:pPr>
      <w:r>
        <w:rPr>
          <w:rFonts w:hint="eastAsia" w:cs="Times New Roman"/>
        </w:rPr>
        <w:t>（2）PLC集中单机控制：作为自动控制的后备方式。</w:t>
      </w:r>
    </w:p>
    <w:p>
      <w:pPr>
        <w:pStyle w:val="2133"/>
        <w:spacing w:line="360" w:lineRule="auto"/>
        <w:jc w:val="left"/>
        <w:rPr>
          <w:rFonts w:cs="Times New Roman"/>
        </w:rPr>
      </w:pPr>
      <w:r>
        <w:rPr>
          <w:rFonts w:hint="eastAsia" w:cs="Times New Roman"/>
        </w:rPr>
        <w:t>（3）机旁控制：供设备试车和检修用，皮带机机旁控制箱上设中控/现场转换开关和单机启动、停止按钮。</w:t>
      </w:r>
    </w:p>
    <w:p>
      <w:pPr>
        <w:pStyle w:val="456"/>
        <w:ind w:firstLine="482"/>
        <w:rPr>
          <w:snapToGrid w:val="0"/>
        </w:rPr>
      </w:pPr>
      <w:r>
        <w:rPr>
          <w:snapToGrid w:val="0"/>
        </w:rPr>
        <w:t>助导航及安全监督设施</w:t>
      </w:r>
    </w:p>
    <w:p>
      <w:pPr>
        <w:pStyle w:val="458"/>
        <w:ind w:firstLine="480"/>
        <w:rPr>
          <w:rFonts w:cs="Times New Roman"/>
          <w:color w:val="auto"/>
        </w:rPr>
      </w:pPr>
      <w:r>
        <w:rPr>
          <w:rFonts w:cs="Times New Roman"/>
          <w:color w:val="auto"/>
        </w:rPr>
        <w:t>导助航设施根据《通航安全影响论证报告》布设，为了确保船舶进出港区及港区作业安全，根据《港口法》和《中华人民共和国内河助航标志》及相关技术规范，应在港区码头水域和上、下锚地设置相应的标志，并加强维护和管理。</w:t>
      </w:r>
    </w:p>
    <w:p>
      <w:pPr>
        <w:pStyle w:val="458"/>
        <w:ind w:firstLine="480"/>
        <w:rPr>
          <w:rFonts w:cs="Times New Roman"/>
          <w:color w:val="auto"/>
        </w:rPr>
      </w:pPr>
      <w:r>
        <w:rPr>
          <w:rFonts w:cs="Times New Roman"/>
          <w:color w:val="auto"/>
        </w:rPr>
        <w:t>目前覆盖岳阳段长江干线水域 AIS，覆盖重点港区、桥区的VTS，重点水域CCTV，重点船舶GPS和常规海巡艇互为补充的现代化水上安全监管体系初步建成；船舶防污能力建设取得重大突破，岳阳船舶溢油应急设备库具备一次性清除50吨溢油的应急处置能力；建立了长江干线（岳阳区段）治安防控体系建设联席会议制度。</w:t>
      </w:r>
    </w:p>
    <w:p>
      <w:pPr>
        <w:pStyle w:val="456"/>
        <w:ind w:firstLine="482"/>
        <w:rPr>
          <w:snapToGrid w:val="0"/>
        </w:rPr>
      </w:pPr>
      <w:r>
        <w:rPr>
          <w:snapToGrid w:val="0"/>
        </w:rPr>
        <w:t>港作车船</w:t>
      </w:r>
    </w:p>
    <w:p>
      <w:pPr>
        <w:pStyle w:val="458"/>
        <w:ind w:firstLine="480"/>
        <w:rPr>
          <w:rFonts w:cs="Times New Roman"/>
          <w:color w:val="auto"/>
          <w:szCs w:val="28"/>
        </w:rPr>
      </w:pPr>
      <w:r>
        <w:rPr>
          <w:rFonts w:hint="eastAsia" w:cs="Times New Roman"/>
          <w:color w:val="auto"/>
          <w:szCs w:val="28"/>
        </w:rPr>
        <w:t>到港主要为机动船，因此不配港作拖轮。</w:t>
      </w:r>
    </w:p>
    <w:p>
      <w:pPr>
        <w:pStyle w:val="458"/>
        <w:ind w:firstLine="480"/>
        <w:rPr>
          <w:rFonts w:cs="Times New Roman"/>
          <w:color w:val="auto"/>
          <w:szCs w:val="28"/>
        </w:rPr>
      </w:pPr>
      <w:r>
        <w:rPr>
          <w:rFonts w:hint="eastAsia" w:cs="Times New Roman"/>
          <w:color w:val="auto"/>
          <w:szCs w:val="28"/>
        </w:rPr>
        <w:t>为方便生产、生活和港区交通，本工程不配置港作交通车辆</w:t>
      </w:r>
      <w:r>
        <w:rPr>
          <w:rFonts w:cs="Times New Roman"/>
          <w:color w:val="auto"/>
          <w:szCs w:val="28"/>
        </w:rPr>
        <w:t>。</w:t>
      </w:r>
    </w:p>
    <w:p>
      <w:pPr>
        <w:pStyle w:val="456"/>
        <w:ind w:firstLine="482"/>
        <w:rPr>
          <w:snapToGrid w:val="0"/>
        </w:rPr>
      </w:pPr>
      <w:r>
        <w:rPr>
          <w:rFonts w:hint="eastAsia"/>
          <w:snapToGrid w:val="0"/>
          <w:lang w:val="en-US"/>
        </w:rPr>
        <w:t>其他</w:t>
      </w:r>
    </w:p>
    <w:p>
      <w:pPr>
        <w:pStyle w:val="458"/>
        <w:ind w:firstLine="480"/>
        <w:rPr>
          <w:snapToGrid w:val="0"/>
        </w:rPr>
      </w:pPr>
      <w:r>
        <w:rPr>
          <w:rFonts w:hint="eastAsia" w:cs="Times New Roman"/>
          <w:color w:val="auto"/>
          <w:szCs w:val="28"/>
        </w:rPr>
        <w:t>机修的主要任务是承担机械设备的日常维护保养、小修。本项目主要设备修理和日常故障维修均考虑委托港外机械修理公司、设备厂家及其它社会力量。</w:t>
      </w:r>
    </w:p>
    <w:p>
      <w:pPr>
        <w:pStyle w:val="456"/>
        <w:ind w:firstLine="482"/>
        <w:rPr>
          <w:snapToGrid w:val="0"/>
        </w:rPr>
      </w:pPr>
      <w:r>
        <w:rPr>
          <w:snapToGrid w:val="0"/>
        </w:rPr>
        <w:t>生产及辅助建筑物</w:t>
      </w:r>
    </w:p>
    <w:p>
      <w:pPr>
        <w:pStyle w:val="458"/>
        <w:ind w:firstLine="480"/>
        <w:rPr>
          <w:rFonts w:cs="Times New Roman"/>
          <w:color w:val="auto"/>
          <w:szCs w:val="28"/>
        </w:rPr>
      </w:pPr>
      <w:r>
        <w:rPr>
          <w:rFonts w:hint="eastAsia" w:cs="Times New Roman"/>
          <w:color w:val="auto"/>
          <w:szCs w:val="28"/>
        </w:rPr>
        <w:t>根据总平面布置方案，生产及辅助生产建筑物有仓库、综合楼变电所等。</w:t>
      </w:r>
    </w:p>
    <w:p>
      <w:pPr>
        <w:pStyle w:val="458"/>
        <w:ind w:firstLine="480"/>
        <w:rPr>
          <w:rFonts w:cs="Times New Roman"/>
          <w:color w:val="auto"/>
          <w:szCs w:val="28"/>
        </w:rPr>
      </w:pPr>
      <w:r>
        <w:rPr>
          <w:rFonts w:hint="eastAsia" w:cs="Times New Roman"/>
          <w:color w:val="auto"/>
          <w:szCs w:val="28"/>
        </w:rPr>
        <w:t>港区主要生产及辅助生产建筑物多层采用桩基础，单层采用钢筋混凝土条型扩大基础，立面设计力求简洁美观，砌体外墙采用统一的外墙饰面色彩，形成和谐统一的港区建筑风貌。</w:t>
      </w:r>
    </w:p>
    <w:p>
      <w:pPr>
        <w:pStyle w:val="458"/>
        <w:ind w:firstLine="480"/>
        <w:rPr>
          <w:rFonts w:cs="Times New Roman"/>
          <w:color w:val="auto"/>
          <w:szCs w:val="28"/>
        </w:rPr>
      </w:pPr>
      <w:r>
        <w:rPr>
          <w:rFonts w:hint="eastAsia" w:cs="Times New Roman"/>
          <w:color w:val="auto"/>
          <w:szCs w:val="28"/>
        </w:rPr>
        <w:t>墙体主要采用灰砂砖和加气混凝土块。屋面防水主要采用卷材防水和压型钢板自防水。地面为混凝土地面、地砖地面和水泥砂浆地面。内墙面采用乳胶漆饰面，外墙面采用真石漆涂料。</w:t>
      </w:r>
    </w:p>
    <w:p>
      <w:pPr>
        <w:pStyle w:val="458"/>
        <w:ind w:firstLine="480"/>
        <w:rPr>
          <w:rFonts w:cs="Times New Roman"/>
          <w:color w:val="auto"/>
          <w:szCs w:val="28"/>
        </w:rPr>
      </w:pPr>
      <w:r>
        <w:rPr>
          <w:rFonts w:hint="eastAsia" w:cs="Times New Roman"/>
          <w:color w:val="auto"/>
          <w:szCs w:val="28"/>
        </w:rPr>
        <w:t>仓库为规则矩形，彩钢屋面及墙面体现出工业建筑简洁大方的特点，交通顺畅，符合工艺流程的要求。建筑物的耐火等级为二级。火灾危险性分类：散货仓库按丙类仓储，卸车料棚按戊类仓储。仓库采用自然排烟措施，和机械排烟相结合，自然排烟口（外墙的上部可开启的窗面积之和）大于建筑面积的2%。</w:t>
      </w:r>
    </w:p>
    <w:p>
      <w:pPr>
        <w:pStyle w:val="458"/>
        <w:ind w:firstLine="480"/>
        <w:rPr>
          <w:rFonts w:cs="Times New Roman"/>
          <w:color w:val="auto"/>
          <w:szCs w:val="28"/>
        </w:rPr>
      </w:pPr>
      <w:r>
        <w:rPr>
          <w:rFonts w:hint="eastAsia" w:cs="Times New Roman"/>
          <w:color w:val="auto"/>
          <w:szCs w:val="28"/>
        </w:rPr>
        <w:t>综合楼、转运站、变电所及综合用房等采用框架结构，桩基础或钢筋混凝土扩大条型基础，钢筋混凝土柱、钢筋混凝土屋架、大型屋面板，墙体采用加气混凝土砌块。</w:t>
      </w:r>
    </w:p>
    <w:p>
      <w:pPr>
        <w:pStyle w:val="458"/>
        <w:ind w:firstLine="480"/>
        <w:rPr>
          <w:rFonts w:cs="Times New Roman"/>
          <w:color w:val="auto"/>
          <w:szCs w:val="28"/>
        </w:rPr>
      </w:pPr>
      <w:r>
        <w:rPr>
          <w:rFonts w:hint="eastAsia" w:cs="Times New Roman"/>
          <w:color w:val="auto"/>
          <w:szCs w:val="28"/>
        </w:rPr>
        <w:t>仓库采用门式钢架结构，屋面为彩钢板屋面，围护结构1.0m以下砖砌、1.0m以上为双层彩钢复合板墙面。主要受力钢筋采用HRB400级，其余采用HPB300级。±0.000以下填充墙均采用MU15页岩实心砖，M7.5水泥砂浆砌筑；±0.000以上填充墙均采用MU10页岩多孔砖（容重≤12kN/m3），M5混合砂浆砌筑。</w:t>
      </w:r>
    </w:p>
    <w:p>
      <w:pPr>
        <w:pStyle w:val="454"/>
        <w:ind w:firstLine="602"/>
        <w:rPr>
          <w:color w:val="auto"/>
        </w:rPr>
      </w:pPr>
      <w:r>
        <w:rPr>
          <w:color w:val="auto"/>
        </w:rPr>
        <w:t>依托工程</w:t>
      </w:r>
    </w:p>
    <w:p>
      <w:pPr>
        <w:pStyle w:val="456"/>
        <w:ind w:firstLine="482"/>
      </w:pPr>
      <w:r>
        <w:t>航道、锚地</w:t>
      </w:r>
    </w:p>
    <w:p>
      <w:pPr>
        <w:ind w:firstLine="482"/>
        <w:rPr>
          <w:b/>
        </w:rPr>
      </w:pPr>
      <w:r>
        <w:rPr>
          <w:b/>
        </w:rPr>
        <w:t>一、航道</w:t>
      </w:r>
    </w:p>
    <w:p>
      <w:pPr>
        <w:ind w:firstLine="480"/>
      </w:pPr>
      <w:r>
        <w:t>拟建道仁矶通用码头面临长江航道，属于长江河段中的城陵矶至武汉段航道，该航段维护水深为4.2m，航道尺度达到</w:t>
      </w:r>
      <w:r>
        <w:rPr>
          <w:rFonts w:hint="eastAsia" w:ascii="宋体" w:hAnsi="宋体" w:cs="宋体"/>
        </w:rPr>
        <w:t>Ⅰ</w:t>
      </w:r>
      <w:r>
        <w:t>-5级，可常年通航5000吨级货船。</w:t>
      </w:r>
    </w:p>
    <w:p>
      <w:pPr>
        <w:ind w:firstLine="480"/>
      </w:pPr>
      <w:r>
        <w:t>长江干线航道2030年发展目标为建成畅通、高效、平安、绿色、智能的长江干线航道现代化服务体系。到2030年，长江干线航道重庆（朝天门）至武汉段常年维护水深为4.5m，保证率98%，可利用自然水深通航5000吨级船舶。从航道条件、水文条件来看，尽管城陵矶河段最小航道维护水深为4.2</w:t>
      </w:r>
      <w:r>
        <w:rPr>
          <w:rFonts w:hint="eastAsia"/>
        </w:rPr>
        <w:t>m</w:t>
      </w:r>
      <w:r>
        <w:t>，但考虑到实际港口设计低水位（98%保证率水位）较航行基准面高出约2.27</w:t>
      </w:r>
      <w:r>
        <w:rPr>
          <w:rFonts w:hint="eastAsia"/>
        </w:rPr>
        <w:t>m</w:t>
      </w:r>
      <w:r>
        <w:t>，特别是随着下游界牌河段航道整治效果的逐年显现，枯水期航宽制约影响明显减弱，城陵矶至武汉段航道实际上已经具备了常年通航10000吨级内河散货船的能力。</w:t>
      </w:r>
    </w:p>
    <w:p>
      <w:pPr>
        <w:ind w:firstLine="482"/>
        <w:rPr>
          <w:b/>
        </w:rPr>
      </w:pPr>
      <w:r>
        <w:rPr>
          <w:b/>
        </w:rPr>
        <w:t>二、锚地</w:t>
      </w:r>
    </w:p>
    <w:p>
      <w:pPr>
        <w:ind w:firstLine="480"/>
      </w:pPr>
      <w:r>
        <w:t>根据《岳阳港总体规划</w:t>
      </w:r>
      <w:r>
        <w:rPr>
          <w:szCs w:val="28"/>
        </w:rPr>
        <w:t>（2035年）</w:t>
      </w:r>
      <w:r>
        <w:t>》，荆岳长江大桥上游规划新建道仁矶公用锚地，面积18万m</w:t>
      </w:r>
      <w:r>
        <w:rPr>
          <w:vertAlign w:val="superscript"/>
        </w:rPr>
        <w:t>2</w:t>
      </w:r>
      <w:r>
        <w:t>；本工程拟使用该锚地作为待港锚地。</w:t>
      </w:r>
      <w:r>
        <w:rPr>
          <w:szCs w:val="28"/>
        </w:rPr>
        <w:t>规划新建锚地可满足本港及邻近新建码头工程码头锚位要求。</w:t>
      </w:r>
    </w:p>
    <w:p>
      <w:pPr>
        <w:pStyle w:val="456"/>
        <w:ind w:firstLine="482"/>
      </w:pPr>
      <w:r>
        <w:t>疏港道路</w:t>
      </w:r>
    </w:p>
    <w:p>
      <w:pPr>
        <w:ind w:firstLine="480"/>
      </w:pPr>
      <w:r>
        <w:rPr>
          <w:rFonts w:hint="eastAsia"/>
        </w:rPr>
        <w:t>本项目位于岳阳市云溪区道仁矶镇，荆岳长江大桥上游</w:t>
      </w:r>
      <w:r>
        <w:t>1500m</w:t>
      </w:r>
      <w:r>
        <w:rPr>
          <w:rFonts w:hint="eastAsia"/>
        </w:rPr>
        <w:t>～</w:t>
      </w:r>
      <w:r>
        <w:t>2340m</w:t>
      </w:r>
      <w:r>
        <w:rPr>
          <w:rFonts w:hint="eastAsia"/>
        </w:rPr>
        <w:t>的长江右岸。港外交通条件较好，港区后方毗邻</w:t>
      </w:r>
      <w:r>
        <w:t>S208</w:t>
      </w:r>
      <w:r>
        <w:rPr>
          <w:rFonts w:hint="eastAsia"/>
        </w:rPr>
        <w:t>，可与</w:t>
      </w:r>
      <w:r>
        <w:t>S301</w:t>
      </w:r>
      <w:r>
        <w:rPr>
          <w:rFonts w:hint="eastAsia"/>
        </w:rPr>
        <w:t>及</w:t>
      </w:r>
      <w:r>
        <w:t>G107</w:t>
      </w:r>
      <w:r>
        <w:rPr>
          <w:rFonts w:hint="eastAsia"/>
        </w:rPr>
        <w:t>、京珠高速连接，能快捷到达市区各处。特别是随岳高速、杭瑞高速、临长高速复线等高速公路的建成，可令港区公路运输更加便捷。本项目依托已有的</w:t>
      </w:r>
      <w:r>
        <w:rPr>
          <w:szCs w:val="28"/>
        </w:rPr>
        <w:t>S208省道作为</w:t>
      </w:r>
      <w:r>
        <w:rPr>
          <w:rFonts w:hint="eastAsia"/>
        </w:rPr>
        <w:t>疏港大道，陆域</w:t>
      </w:r>
      <w:r>
        <w:rPr>
          <w:rFonts w:hint="eastAsia"/>
          <w:spacing w:val="4"/>
        </w:rPr>
        <w:t>港区大门与</w:t>
      </w:r>
      <w:r>
        <w:rPr>
          <w:szCs w:val="28"/>
        </w:rPr>
        <w:t>S208省道</w:t>
      </w:r>
      <w:r>
        <w:rPr>
          <w:rFonts w:hint="eastAsia"/>
          <w:spacing w:val="4"/>
        </w:rPr>
        <w:t>连接。</w:t>
      </w:r>
    </w:p>
    <w:p>
      <w:pPr>
        <w:pStyle w:val="456"/>
        <w:ind w:firstLine="482"/>
      </w:pPr>
      <w:r>
        <w:rPr>
          <w:rFonts w:hint="eastAsia"/>
        </w:rPr>
        <w:t>机修</w:t>
      </w:r>
    </w:p>
    <w:p>
      <w:pPr>
        <w:pStyle w:val="458"/>
        <w:ind w:firstLine="480"/>
        <w:rPr>
          <w:rFonts w:cs="Times New Roman"/>
          <w:color w:val="auto"/>
          <w:szCs w:val="28"/>
        </w:rPr>
      </w:pPr>
      <w:r>
        <w:rPr>
          <w:rFonts w:hint="eastAsia" w:cs="Times New Roman"/>
          <w:color w:val="auto"/>
          <w:szCs w:val="28"/>
        </w:rPr>
        <w:t>本项目主要设备修理和日常故障维修均考虑委托港外机械修理公司、设备厂家及其它社会力量。</w:t>
      </w:r>
    </w:p>
    <w:p>
      <w:pPr>
        <w:pStyle w:val="454"/>
        <w:ind w:firstLine="602"/>
        <w:rPr>
          <w:color w:val="auto"/>
        </w:rPr>
      </w:pPr>
      <w:r>
        <w:rPr>
          <w:color w:val="auto"/>
        </w:rPr>
        <w:t>施工组织</w:t>
      </w:r>
    </w:p>
    <w:p>
      <w:pPr>
        <w:pStyle w:val="456"/>
        <w:ind w:firstLine="482"/>
      </w:pPr>
      <w:r>
        <w:t>施工条件</w:t>
      </w:r>
    </w:p>
    <w:p>
      <w:pPr>
        <w:pStyle w:val="458"/>
        <w:ind w:firstLine="480"/>
        <w:rPr>
          <w:rFonts w:cs="Times New Roman"/>
          <w:color w:val="auto"/>
          <w:szCs w:val="28"/>
        </w:rPr>
      </w:pPr>
      <w:r>
        <w:rPr>
          <w:rFonts w:cs="Times New Roman"/>
          <w:color w:val="auto"/>
          <w:szCs w:val="28"/>
        </w:rPr>
        <w:t>（1）自然条件</w:t>
      </w:r>
    </w:p>
    <w:p>
      <w:pPr>
        <w:pStyle w:val="458"/>
        <w:ind w:firstLine="480"/>
        <w:rPr>
          <w:rFonts w:cs="Times New Roman"/>
          <w:color w:val="auto"/>
          <w:szCs w:val="28"/>
        </w:rPr>
      </w:pPr>
      <w:r>
        <w:rPr>
          <w:rFonts w:cs="Times New Roman"/>
          <w:color w:val="auto"/>
          <w:szCs w:val="28"/>
        </w:rPr>
        <w:t>本工程的自然条件详见本报告第3章。当地气候适宜，雨雪冰冻等恶劣天气较少，具有较好的施工条件，但码头工程施工对施工水位要求较为敏感，施工期间需密切注意长江水位变化，并相应调整施工进度计划。</w:t>
      </w:r>
    </w:p>
    <w:p>
      <w:pPr>
        <w:pStyle w:val="458"/>
        <w:ind w:firstLine="480"/>
        <w:rPr>
          <w:rFonts w:cs="Times New Roman"/>
          <w:color w:val="auto"/>
          <w:szCs w:val="28"/>
        </w:rPr>
      </w:pPr>
      <w:r>
        <w:rPr>
          <w:rFonts w:cs="Times New Roman"/>
          <w:color w:val="auto"/>
          <w:szCs w:val="28"/>
        </w:rPr>
        <w:t>（2）施工用电、用水及通信条件</w:t>
      </w:r>
    </w:p>
    <w:p>
      <w:pPr>
        <w:pStyle w:val="458"/>
        <w:ind w:firstLine="480"/>
        <w:rPr>
          <w:rFonts w:cs="Times New Roman"/>
          <w:color w:val="auto"/>
          <w:szCs w:val="28"/>
        </w:rPr>
      </w:pPr>
      <w:r>
        <w:rPr>
          <w:rFonts w:hint="eastAsia" w:cs="Times New Roman"/>
          <w:color w:val="auto"/>
          <w:szCs w:val="28"/>
        </w:rPr>
        <w:t>本工程为新建工程，陆域场地通过回填、平整和处理即可作为现场施工场地；拟建工程处水域较为宽广，水流平顺，可满足水上施工要求；港区水陆交通方便，施工机具及建筑材料可通过水路、公路直接运到现场。施工生活用水和用电可由附近市政直接接至现场。通信可采用移动通信。</w:t>
      </w:r>
    </w:p>
    <w:p>
      <w:pPr>
        <w:pStyle w:val="458"/>
        <w:ind w:firstLine="480"/>
        <w:rPr>
          <w:rFonts w:cs="Times New Roman"/>
          <w:color w:val="auto"/>
          <w:szCs w:val="28"/>
        </w:rPr>
      </w:pPr>
      <w:r>
        <w:rPr>
          <w:rFonts w:cs="Times New Roman"/>
          <w:color w:val="auto"/>
          <w:szCs w:val="28"/>
        </w:rPr>
        <w:t>（3）施工道路、场地</w:t>
      </w:r>
    </w:p>
    <w:p>
      <w:pPr>
        <w:pStyle w:val="458"/>
        <w:ind w:firstLine="480"/>
        <w:rPr>
          <w:rFonts w:cs="Times New Roman"/>
          <w:color w:val="auto"/>
          <w:szCs w:val="28"/>
        </w:rPr>
      </w:pPr>
      <w:r>
        <w:rPr>
          <w:rFonts w:hint="eastAsia" w:cs="Times New Roman"/>
          <w:color w:val="auto"/>
          <w:szCs w:val="28"/>
        </w:rPr>
        <w:t>本项目可利用省道</w:t>
      </w:r>
      <w:r>
        <w:rPr>
          <w:rFonts w:cs="Times New Roman"/>
          <w:color w:val="auto"/>
          <w:szCs w:val="28"/>
        </w:rPr>
        <w:t>S208</w:t>
      </w:r>
      <w:r>
        <w:rPr>
          <w:rFonts w:hint="eastAsia" w:cs="Times New Roman"/>
          <w:color w:val="auto"/>
          <w:szCs w:val="28"/>
        </w:rPr>
        <w:t>和堤顶公路作为进场道路，有较好的路网可到达主城区、进而进入全国公路网，集疏运条件良好，交通十分便捷</w:t>
      </w:r>
      <w:r>
        <w:rPr>
          <w:rFonts w:cs="Times New Roman"/>
          <w:color w:val="auto"/>
          <w:szCs w:val="28"/>
        </w:rPr>
        <w:t>。</w:t>
      </w:r>
    </w:p>
    <w:p>
      <w:pPr>
        <w:pStyle w:val="458"/>
        <w:ind w:firstLine="480"/>
        <w:rPr>
          <w:rFonts w:cs="Times New Roman"/>
          <w:color w:val="auto"/>
          <w:szCs w:val="28"/>
        </w:rPr>
      </w:pPr>
      <w:r>
        <w:rPr>
          <w:rFonts w:cs="Times New Roman"/>
          <w:color w:val="auto"/>
          <w:szCs w:val="28"/>
        </w:rPr>
        <w:t>（4）</w:t>
      </w:r>
      <w:r>
        <w:rPr>
          <w:rFonts w:hint="eastAsia" w:cs="Times New Roman"/>
          <w:color w:val="auto"/>
          <w:szCs w:val="28"/>
        </w:rPr>
        <w:t>建筑材料</w:t>
      </w:r>
    </w:p>
    <w:p>
      <w:pPr>
        <w:pStyle w:val="458"/>
        <w:tabs>
          <w:tab w:val="right" w:pos="9070"/>
        </w:tabs>
        <w:ind w:firstLine="480"/>
        <w:rPr>
          <w:rFonts w:cs="Times New Roman"/>
          <w:color w:val="auto"/>
          <w:szCs w:val="28"/>
        </w:rPr>
      </w:pPr>
      <w:r>
        <w:rPr>
          <w:rFonts w:cs="Times New Roman"/>
          <w:color w:val="auto"/>
          <w:szCs w:val="28"/>
        </w:rPr>
        <w:t>工程周边地区</w:t>
      </w:r>
      <w:r>
        <w:rPr>
          <w:rFonts w:hint="eastAsia" w:cs="Times New Roman"/>
          <w:color w:val="auto"/>
          <w:szCs w:val="28"/>
        </w:rPr>
        <w:t>建筑</w:t>
      </w:r>
      <w:r>
        <w:rPr>
          <w:rFonts w:cs="Times New Roman"/>
          <w:color w:val="auto"/>
          <w:szCs w:val="28"/>
        </w:rPr>
        <w:t>材料来源丰富，钢材、水泥等建筑材料均可就近购买。</w:t>
      </w:r>
      <w:r>
        <w:rPr>
          <w:rFonts w:cs="Times New Roman"/>
          <w:color w:val="auto"/>
          <w:szCs w:val="28"/>
        </w:rPr>
        <w:tab/>
      </w:r>
    </w:p>
    <w:p>
      <w:pPr>
        <w:pStyle w:val="456"/>
        <w:ind w:firstLine="482"/>
      </w:pPr>
      <w:r>
        <w:t>施工土石方平衡</w:t>
      </w:r>
    </w:p>
    <w:p>
      <w:pPr>
        <w:ind w:firstLine="480"/>
      </w:pPr>
      <w:r>
        <w:t>项目挖方来源于码头前沿疏浚土方，</w:t>
      </w:r>
      <w:r>
        <w:rPr>
          <w:rFonts w:hint="eastAsia"/>
        </w:rPr>
        <w:t>本码头所在区域低水位为16.98m，根据《岳阳港道仁矶码头工程可行性研究报告》设计河底高程为11.98m，根据地质勘察报告，本工程河床为淤泥和粉质黏土底质，高程为12.71m-16.56m</w:t>
      </w:r>
      <w:r>
        <w:t>，经计算可知</w:t>
      </w:r>
      <w:r>
        <w:rPr>
          <w:rStyle w:val="2125"/>
          <w:rFonts w:hint="default"/>
        </w:rPr>
        <w:t>本项目港池疏浚量约</w:t>
      </w:r>
      <w:r>
        <w:rPr>
          <w:rStyle w:val="2125"/>
          <w:rFonts w:hint="default" w:ascii="Times New Roman" w:hAnsi="Times New Roman"/>
        </w:rPr>
        <w:t>1.55</w:t>
      </w:r>
      <w:r>
        <w:rPr>
          <w:rStyle w:val="2125"/>
          <w:rFonts w:hint="default"/>
        </w:rPr>
        <w:t>万</w:t>
      </w:r>
      <w:r>
        <w:t>m</w:t>
      </w:r>
      <w:r>
        <w:rPr>
          <w:vertAlign w:val="superscript"/>
        </w:rPr>
        <w:t>3</w:t>
      </w:r>
      <w:r>
        <w:rPr>
          <w:rFonts w:hint="eastAsia"/>
        </w:rPr>
        <w:t>。工程清表土石方量为</w:t>
      </w:r>
      <w:r>
        <w:t>65612.3m</w:t>
      </w:r>
      <w:r>
        <w:rPr>
          <w:vertAlign w:val="superscript"/>
        </w:rPr>
        <w:t>3</w:t>
      </w:r>
      <w:r>
        <w:rPr>
          <w:rFonts w:hint="eastAsia"/>
        </w:rPr>
        <w:t>，回用于绿化用土。工程土石方回填量为</w:t>
      </w:r>
      <w:r>
        <w:t>179808.20m</w:t>
      </w:r>
      <w:r>
        <w:rPr>
          <w:vertAlign w:val="superscript"/>
        </w:rPr>
        <w:t>3</w:t>
      </w:r>
      <w:r>
        <w:rPr>
          <w:rFonts w:hint="eastAsia"/>
        </w:rPr>
        <w:t>。土方开挖量为</w:t>
      </w:r>
      <w:r>
        <w:t>56335m</w:t>
      </w:r>
      <w:r>
        <w:rPr>
          <w:vertAlign w:val="superscript"/>
        </w:rPr>
        <w:t>3</w:t>
      </w:r>
      <w:r>
        <w:rPr>
          <w:rFonts w:hint="eastAsia" w:ascii="宋体" w:hAnsi="宋体" w:cs="宋体"/>
        </w:rPr>
        <w:t>,</w:t>
      </w:r>
      <w:r>
        <w:t>本项目采用环保型绞吸船施工，</w:t>
      </w:r>
      <w:r>
        <w:rPr>
          <w:szCs w:val="28"/>
        </w:rPr>
        <w:t>所挖土方通过挖泥船运至</w:t>
      </w:r>
      <w:r>
        <w:t>码头用地范围内堆存，经</w:t>
      </w:r>
      <w:r>
        <w:rPr>
          <w:rFonts w:hint="eastAsia"/>
        </w:rPr>
        <w:t>脱水</w:t>
      </w:r>
      <w:r>
        <w:rPr>
          <w:rFonts w:hint="eastAsia"/>
          <w:lang w:val="en-US" w:eastAsia="zh-CN"/>
        </w:rPr>
        <w:t>干化</w:t>
      </w:r>
      <w:r>
        <w:t>后，用于码头后方陆域工程区的回填土。</w:t>
      </w:r>
    </w:p>
    <w:p>
      <w:pPr>
        <w:keepNext w:val="0"/>
        <w:keepLines w:val="0"/>
        <w:widowControl/>
        <w:suppressLineNumbers w:val="0"/>
        <w:ind w:firstLine="480"/>
        <w:jc w:val="left"/>
      </w:pPr>
      <w:r>
        <w:rPr>
          <w:rFonts w:ascii="Times New Roman" w:hAnsi="Times New Roman" w:eastAsia="宋体" w:cs="Times New Roman"/>
          <w:kern w:val="2"/>
          <w:sz w:val="24"/>
          <w:szCs w:val="24"/>
          <w:lang w:val="en-US" w:eastAsia="zh-CN" w:bidi="ar"/>
        </w:rPr>
        <w:t>项目施工共需总挖方</w:t>
      </w:r>
      <w:r>
        <w:rPr>
          <w:rFonts w:hint="default" w:ascii="Times New Roman" w:hAnsi="Times New Roman" w:eastAsia="宋体" w:cs="Times New Roman"/>
          <w:kern w:val="2"/>
          <w:sz w:val="24"/>
          <w:szCs w:val="24"/>
          <w:lang w:val="en-US" w:eastAsia="zh-CN" w:bidi="ar"/>
        </w:rPr>
        <w:t xml:space="preserve">22.40万 m </w:t>
      </w:r>
      <w:r>
        <w:rPr>
          <w:rFonts w:hint="default" w:ascii="Times New Roman" w:hAnsi="Times New Roman" w:eastAsia="宋体" w:cs="Times New Roman"/>
          <w:kern w:val="2"/>
          <w:sz w:val="24"/>
          <w:szCs w:val="24"/>
          <w:vertAlign w:val="superscript"/>
          <w:lang w:val="en-US" w:eastAsia="zh-CN" w:bidi="ar"/>
        </w:rPr>
        <w:t>3</w:t>
      </w:r>
      <w:r>
        <w:rPr>
          <w:rFonts w:hint="default" w:ascii="Times New Roman" w:hAnsi="Times New Roman" w:eastAsia="宋体" w:cs="Times New Roman"/>
          <w:kern w:val="2"/>
          <w:sz w:val="24"/>
          <w:szCs w:val="24"/>
          <w:lang w:val="en-US" w:eastAsia="zh-CN" w:bidi="ar"/>
        </w:rPr>
        <w:t xml:space="preserve">，其中表土1.56万m </w:t>
      </w:r>
      <w:r>
        <w:rPr>
          <w:rFonts w:hint="default" w:ascii="Times New Roman" w:hAnsi="Times New Roman" w:eastAsia="宋体" w:cs="Times New Roman"/>
          <w:kern w:val="2"/>
          <w:sz w:val="24"/>
          <w:szCs w:val="24"/>
          <w:vertAlign w:val="superscript"/>
          <w:lang w:val="en-US" w:eastAsia="zh-CN" w:bidi="ar"/>
        </w:rPr>
        <w:t>3</w:t>
      </w:r>
      <w:r>
        <w:rPr>
          <w:rFonts w:hint="default" w:ascii="Times New Roman" w:hAnsi="Times New Roman" w:eastAsia="宋体" w:cs="Times New Roman"/>
          <w:kern w:val="2"/>
          <w:sz w:val="24"/>
          <w:szCs w:val="24"/>
          <w:lang w:val="en-US" w:eastAsia="zh-CN" w:bidi="ar"/>
        </w:rPr>
        <w:t>、清淤4.82万 m</w:t>
      </w:r>
      <w:r>
        <w:rPr>
          <w:rFonts w:hint="default" w:ascii="Times New Roman" w:hAnsi="Times New Roman" w:eastAsia="宋体" w:cs="Times New Roman"/>
          <w:kern w:val="2"/>
          <w:sz w:val="24"/>
          <w:szCs w:val="24"/>
          <w:vertAlign w:val="superscript"/>
          <w:lang w:val="en-US" w:eastAsia="zh-CN" w:bidi="ar"/>
        </w:rPr>
        <w:t xml:space="preserve"> 3</w:t>
      </w:r>
      <w:r>
        <w:rPr>
          <w:rFonts w:hint="default" w:ascii="Times New Roman" w:hAnsi="Times New Roman" w:eastAsia="宋体" w:cs="Times New Roman"/>
          <w:kern w:val="2"/>
          <w:sz w:val="24"/>
          <w:szCs w:val="24"/>
          <w:lang w:val="en-US" w:eastAsia="zh-CN" w:bidi="ar"/>
        </w:rPr>
        <w:t>，普通土方16.02 万 m</w:t>
      </w:r>
      <w:r>
        <w:rPr>
          <w:rFonts w:hint="default" w:ascii="Times New Roman" w:hAnsi="Times New Roman" w:eastAsia="宋体" w:cs="Times New Roman"/>
          <w:kern w:val="2"/>
          <w:sz w:val="24"/>
          <w:szCs w:val="24"/>
          <w:vertAlign w:val="superscript"/>
          <w:lang w:val="en-US" w:eastAsia="zh-CN" w:bidi="ar"/>
        </w:rPr>
        <w:t xml:space="preserve"> 3</w:t>
      </w:r>
      <w:r>
        <w:rPr>
          <w:rFonts w:hint="default" w:ascii="Times New Roman" w:hAnsi="Times New Roman" w:eastAsia="宋体" w:cs="Times New Roman"/>
          <w:kern w:val="2"/>
          <w:sz w:val="24"/>
          <w:szCs w:val="24"/>
          <w:lang w:val="en-US" w:eastAsia="zh-CN" w:bidi="ar"/>
        </w:rPr>
        <w:t xml:space="preserve">、疏浚方 1.55万 m </w:t>
      </w:r>
      <w:r>
        <w:rPr>
          <w:rFonts w:hint="default" w:ascii="Times New Roman" w:hAnsi="Times New Roman" w:eastAsia="宋体" w:cs="Times New Roman"/>
          <w:kern w:val="2"/>
          <w:sz w:val="24"/>
          <w:szCs w:val="24"/>
          <w:vertAlign w:val="superscript"/>
          <w:lang w:val="en-US" w:eastAsia="zh-CN" w:bidi="ar"/>
        </w:rPr>
        <w:t>3</w:t>
      </w:r>
      <w:r>
        <w:rPr>
          <w:rFonts w:hint="default" w:ascii="Times New Roman" w:hAnsi="Times New Roman" w:eastAsia="宋体" w:cs="Times New Roman"/>
          <w:kern w:val="2"/>
          <w:sz w:val="24"/>
          <w:szCs w:val="24"/>
          <w:lang w:val="en-US" w:eastAsia="zh-CN" w:bidi="ar"/>
        </w:rPr>
        <w:t xml:space="preserve">；填筑土方38.83万 m </w:t>
      </w:r>
      <w:r>
        <w:rPr>
          <w:rFonts w:hint="default" w:ascii="Times New Roman" w:hAnsi="Times New Roman" w:eastAsia="宋体" w:cs="Times New Roman"/>
          <w:kern w:val="2"/>
          <w:sz w:val="24"/>
          <w:szCs w:val="24"/>
          <w:vertAlign w:val="superscript"/>
          <w:lang w:val="en-US" w:eastAsia="zh-CN" w:bidi="ar"/>
        </w:rPr>
        <w:t>3</w:t>
      </w:r>
      <w:r>
        <w:rPr>
          <w:rFonts w:hint="default" w:ascii="Times New Roman" w:hAnsi="Times New Roman" w:eastAsia="宋体" w:cs="Times New Roman"/>
          <w:kern w:val="2"/>
          <w:sz w:val="24"/>
          <w:szCs w:val="24"/>
          <w:lang w:val="en-US" w:eastAsia="zh-CN" w:bidi="ar"/>
        </w:rPr>
        <w:t xml:space="preserve">（含表土1.56万 m </w:t>
      </w:r>
      <w:r>
        <w:rPr>
          <w:rFonts w:hint="default" w:ascii="Times New Roman" w:hAnsi="Times New Roman" w:eastAsia="宋体" w:cs="Times New Roman"/>
          <w:kern w:val="2"/>
          <w:sz w:val="24"/>
          <w:szCs w:val="24"/>
          <w:vertAlign w:val="superscript"/>
          <w:lang w:val="en-US" w:eastAsia="zh-CN" w:bidi="ar"/>
        </w:rPr>
        <w:t>3</w:t>
      </w:r>
      <w:r>
        <w:rPr>
          <w:rFonts w:hint="default" w:ascii="Times New Roman" w:hAnsi="Times New Roman" w:eastAsia="宋体" w:cs="Times New Roman"/>
          <w:kern w:val="2"/>
          <w:sz w:val="24"/>
          <w:szCs w:val="24"/>
          <w:lang w:val="en-US" w:eastAsia="zh-CN" w:bidi="ar"/>
        </w:rPr>
        <w:t xml:space="preserve">，清淤回填 4.82万m </w:t>
      </w:r>
      <w:r>
        <w:rPr>
          <w:rFonts w:hint="default" w:ascii="Times New Roman" w:hAnsi="Times New Roman" w:eastAsia="宋体" w:cs="Times New Roman"/>
          <w:kern w:val="2"/>
          <w:sz w:val="24"/>
          <w:szCs w:val="24"/>
          <w:vertAlign w:val="superscript"/>
          <w:lang w:val="en-US" w:eastAsia="zh-CN" w:bidi="ar"/>
        </w:rPr>
        <w:t>3</w:t>
      </w:r>
      <w:r>
        <w:rPr>
          <w:rFonts w:hint="default" w:ascii="Times New Roman" w:hAnsi="Times New Roman" w:eastAsia="宋体" w:cs="Times New Roman"/>
          <w:kern w:val="2"/>
          <w:sz w:val="24"/>
          <w:szCs w:val="24"/>
          <w:lang w:val="en-US" w:eastAsia="zh-CN" w:bidi="ar"/>
        </w:rPr>
        <w:t>，疏浚回填 1.55 万m</w:t>
      </w:r>
      <w:r>
        <w:rPr>
          <w:rFonts w:hint="default" w:ascii="Times New Roman" w:hAnsi="Times New Roman" w:eastAsia="宋体" w:cs="Times New Roman"/>
          <w:kern w:val="2"/>
          <w:sz w:val="24"/>
          <w:szCs w:val="24"/>
          <w:vertAlign w:val="superscript"/>
          <w:lang w:val="en-US" w:eastAsia="zh-CN" w:bidi="ar"/>
        </w:rPr>
        <w:t xml:space="preserve"> 3</w:t>
      </w:r>
      <w:r>
        <w:rPr>
          <w:rFonts w:hint="default" w:ascii="Times New Roman" w:hAnsi="Times New Roman" w:eastAsia="宋体" w:cs="Times New Roman"/>
          <w:kern w:val="2"/>
          <w:sz w:val="24"/>
          <w:szCs w:val="24"/>
          <w:lang w:val="en-US" w:eastAsia="zh-CN" w:bidi="ar"/>
        </w:rPr>
        <w:t>，普通土方 20.83万m</w:t>
      </w:r>
      <w:r>
        <w:rPr>
          <w:rFonts w:hint="default" w:ascii="Times New Roman" w:hAnsi="Times New Roman" w:eastAsia="宋体" w:cs="Times New Roman"/>
          <w:kern w:val="2"/>
          <w:sz w:val="24"/>
          <w:szCs w:val="24"/>
          <w:vertAlign w:val="superscript"/>
          <w:lang w:val="en-US" w:eastAsia="zh-CN" w:bidi="ar"/>
        </w:rPr>
        <w:t xml:space="preserve"> 3</w:t>
      </w:r>
      <w:r>
        <w:rPr>
          <w:rFonts w:hint="default" w:ascii="Times New Roman" w:hAnsi="Times New Roman" w:eastAsia="宋体" w:cs="Times New Roman"/>
          <w:kern w:val="2"/>
          <w:sz w:val="24"/>
          <w:szCs w:val="24"/>
          <w:lang w:val="en-US" w:eastAsia="zh-CN" w:bidi="ar"/>
        </w:rPr>
        <w:t>，填筑石方 6.62 万 m</w:t>
      </w:r>
      <w:r>
        <w:rPr>
          <w:rFonts w:hint="default" w:ascii="Times New Roman" w:hAnsi="Times New Roman" w:eastAsia="宋体" w:cs="Times New Roman"/>
          <w:kern w:val="2"/>
          <w:sz w:val="24"/>
          <w:szCs w:val="24"/>
          <w:vertAlign w:val="superscript"/>
          <w:lang w:val="en-US" w:eastAsia="zh-CN" w:bidi="ar"/>
        </w:rPr>
        <w:t xml:space="preserve"> 3</w:t>
      </w:r>
      <w:r>
        <w:rPr>
          <w:rFonts w:hint="default" w:ascii="Times New Roman" w:hAnsi="Times New Roman" w:eastAsia="宋体" w:cs="Times New Roman"/>
          <w:kern w:val="2"/>
          <w:sz w:val="24"/>
          <w:szCs w:val="24"/>
          <w:lang w:val="en-US" w:eastAsia="zh-CN" w:bidi="ar"/>
        </w:rPr>
        <w:t xml:space="preserve">）；借方 11.43m </w:t>
      </w:r>
      <w:r>
        <w:rPr>
          <w:rFonts w:hint="default" w:ascii="Times New Roman" w:hAnsi="Times New Roman" w:eastAsia="宋体" w:cs="Times New Roman"/>
          <w:kern w:val="2"/>
          <w:sz w:val="24"/>
          <w:szCs w:val="24"/>
          <w:vertAlign w:val="superscript"/>
          <w:lang w:val="en-US" w:eastAsia="zh-CN" w:bidi="ar"/>
        </w:rPr>
        <w:t>3</w:t>
      </w:r>
      <w:r>
        <w:rPr>
          <w:rFonts w:hint="default" w:ascii="Times New Roman" w:hAnsi="Times New Roman" w:eastAsia="宋体" w:cs="Times New Roman"/>
          <w:kern w:val="2"/>
          <w:sz w:val="24"/>
          <w:szCs w:val="24"/>
          <w:lang w:val="en-US" w:eastAsia="zh-CN" w:bidi="ar"/>
        </w:rPr>
        <w:t xml:space="preserve"> （其中石方 6.62 万m </w:t>
      </w:r>
      <w:r>
        <w:rPr>
          <w:rFonts w:hint="default" w:ascii="Times New Roman" w:hAnsi="Times New Roman" w:eastAsia="宋体" w:cs="Times New Roman"/>
          <w:kern w:val="2"/>
          <w:sz w:val="24"/>
          <w:szCs w:val="24"/>
          <w:vertAlign w:val="superscript"/>
          <w:lang w:val="en-US" w:eastAsia="zh-CN" w:bidi="ar"/>
        </w:rPr>
        <w:t>3</w:t>
      </w:r>
      <w:r>
        <w:rPr>
          <w:rFonts w:hint="default" w:ascii="Times New Roman" w:hAnsi="Times New Roman" w:eastAsia="宋体" w:cs="Times New Roman"/>
          <w:kern w:val="2"/>
          <w:sz w:val="24"/>
          <w:szCs w:val="24"/>
          <w:lang w:val="en-US" w:eastAsia="zh-CN" w:bidi="ar"/>
        </w:rPr>
        <w:t>，土方 4.81万m</w:t>
      </w:r>
      <w:r>
        <w:rPr>
          <w:rFonts w:hint="default" w:ascii="Times New Roman" w:hAnsi="Times New Roman" w:eastAsia="宋体" w:cs="Times New Roman"/>
          <w:kern w:val="2"/>
          <w:sz w:val="24"/>
          <w:szCs w:val="24"/>
          <w:vertAlign w:val="superscript"/>
          <w:lang w:val="en-US" w:eastAsia="zh-CN" w:bidi="ar"/>
        </w:rPr>
        <w:t xml:space="preserve"> 3</w:t>
      </w:r>
      <w:r>
        <w:rPr>
          <w:rFonts w:hint="default" w:ascii="Times New Roman" w:hAnsi="Times New Roman" w:eastAsia="宋体" w:cs="Times New Roman"/>
          <w:kern w:val="2"/>
          <w:sz w:val="24"/>
          <w:szCs w:val="24"/>
          <w:lang w:val="en-US" w:eastAsia="zh-CN" w:bidi="ar"/>
        </w:rPr>
        <w:t xml:space="preserve">，外购），工程开挖的土石方利用率达到 100％。 </w:t>
      </w:r>
    </w:p>
    <w:p>
      <w:pPr>
        <w:widowControl/>
        <w:jc w:val="left"/>
        <w:rPr>
          <w:rFonts w:cs="Times New Roman"/>
          <w:color w:val="auto"/>
          <w:szCs w:val="28"/>
        </w:rPr>
      </w:pPr>
      <w:r>
        <w:rPr>
          <w:rFonts w:hint="default" w:ascii="Times New Roman" w:hAnsi="Times New Roman" w:eastAsia="宋体" w:cs="Times New Roman"/>
          <w:kern w:val="2"/>
          <w:sz w:val="24"/>
          <w:szCs w:val="24"/>
          <w:lang w:val="en-US" w:eastAsia="zh-CN" w:bidi="ar"/>
        </w:rPr>
        <w:t>土石方平衡表详见表</w:t>
      </w:r>
      <w:r>
        <w:rPr>
          <w:rFonts w:hint="eastAsia" w:cs="Times New Roman"/>
          <w:kern w:val="2"/>
          <w:sz w:val="24"/>
          <w:szCs w:val="24"/>
          <w:lang w:val="en-US" w:eastAsia="zh-CN" w:bidi="ar"/>
        </w:rPr>
        <w:t>2-11和表2-12</w:t>
      </w:r>
      <w:r>
        <w:rPr>
          <w:rFonts w:hint="default" w:ascii="Times New Roman" w:hAnsi="Times New Roman" w:eastAsia="宋体" w:cs="Times New Roman"/>
          <w:kern w:val="2"/>
          <w:sz w:val="24"/>
          <w:szCs w:val="24"/>
          <w:lang w:val="en-US" w:eastAsia="zh-CN" w:bidi="ar"/>
        </w:rPr>
        <w:t>（表中土石方数量均按自然方计），土石方流向框图见图</w:t>
      </w:r>
      <w:r>
        <w:rPr>
          <w:rFonts w:hint="eastAsia" w:cs="Times New Roman"/>
          <w:color w:val="000000"/>
          <w:kern w:val="0"/>
          <w:sz w:val="24"/>
          <w:szCs w:val="24"/>
          <w:lang w:val="en-US" w:eastAsia="zh-CN" w:bidi="ar"/>
        </w:rPr>
        <w:t>2-9</w:t>
      </w:r>
      <w:r>
        <w:rPr>
          <w:rFonts w:hint="eastAsia" w:ascii="仿宋" w:hAnsi="仿宋" w:eastAsia="仿宋" w:cs="仿宋"/>
          <w:color w:val="000000"/>
          <w:kern w:val="0"/>
          <w:sz w:val="24"/>
          <w:szCs w:val="24"/>
          <w:lang w:val="en-US" w:eastAsia="zh-CN" w:bidi="ar"/>
        </w:rPr>
        <w:t>。</w:t>
      </w:r>
    </w:p>
    <w:p>
      <w:pPr>
        <w:pStyle w:val="2"/>
        <w:ind w:firstLine="0" w:firstLineChars="0"/>
      </w:pPr>
      <w:r>
        <w:drawing>
          <wp:inline distT="0" distB="0" distL="0" distR="0">
            <wp:extent cx="5759450" cy="3144520"/>
            <wp:effectExtent l="0" t="0" r="12700" b="1778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41"/>
                    <a:stretch>
                      <a:fillRect/>
                    </a:stretch>
                  </pic:blipFill>
                  <pic:spPr>
                    <a:xfrm>
                      <a:off x="0" y="0"/>
                      <a:ext cx="5759450" cy="3144520"/>
                    </a:xfrm>
                    <a:prstGeom prst="rect">
                      <a:avLst/>
                    </a:prstGeom>
                  </pic:spPr>
                </pic:pic>
              </a:graphicData>
            </a:graphic>
          </wp:inline>
        </w:drawing>
      </w:r>
    </w:p>
    <w:p>
      <w:pPr>
        <w:ind w:firstLine="0" w:firstLineChars="0"/>
        <w:jc w:val="center"/>
        <w:rPr>
          <w:b/>
          <w:sz w:val="21"/>
          <w:szCs w:val="21"/>
        </w:rPr>
      </w:pPr>
      <w:r>
        <w:rPr>
          <w:b/>
          <w:sz w:val="21"/>
          <w:szCs w:val="21"/>
        </w:rPr>
        <w:t xml:space="preserve">图2-9 </w:t>
      </w:r>
      <w:r>
        <w:rPr>
          <w:rFonts w:hint="eastAsia"/>
          <w:b/>
          <w:sz w:val="21"/>
          <w:szCs w:val="21"/>
        </w:rPr>
        <w:t>土石方</w:t>
      </w:r>
      <w:r>
        <w:rPr>
          <w:b/>
          <w:sz w:val="21"/>
          <w:szCs w:val="21"/>
        </w:rPr>
        <w:t>平衡流向图</w:t>
      </w:r>
    </w:p>
    <w:p>
      <w:pPr>
        <w:pStyle w:val="2285"/>
        <w:ind w:left="0"/>
        <w:rPr>
          <w:rFonts w:cs="Times New Roman"/>
        </w:rPr>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285"/>
        <w:ind w:left="0"/>
        <w:rPr>
          <w:rFonts w:cs="Times New Roman"/>
        </w:rPr>
      </w:pPr>
      <w:r>
        <w:rPr>
          <w:rFonts w:hint="eastAsia" w:cs="Times New Roman"/>
        </w:rPr>
        <w:t>土石方</w:t>
      </w:r>
      <w:r>
        <w:rPr>
          <w:rFonts w:cs="Times New Roman"/>
        </w:rPr>
        <w:t>平衡表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23"/>
        <w:gridCol w:w="846"/>
        <w:gridCol w:w="752"/>
        <w:gridCol w:w="752"/>
        <w:gridCol w:w="846"/>
        <w:gridCol w:w="846"/>
        <w:gridCol w:w="752"/>
        <w:gridCol w:w="752"/>
        <w:gridCol w:w="846"/>
        <w:gridCol w:w="752"/>
        <w:gridCol w:w="752"/>
        <w:gridCol w:w="822"/>
        <w:gridCol w:w="780"/>
        <w:gridCol w:w="675"/>
        <w:gridCol w:w="855"/>
        <w:gridCol w:w="780"/>
        <w:gridCol w:w="810"/>
        <w:gridCol w:w="47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23" w:type="dxa"/>
            <w:vMerge w:val="restart"/>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施工单元</w:t>
            </w:r>
          </w:p>
        </w:tc>
        <w:tc>
          <w:tcPr>
            <w:tcW w:w="3196" w:type="dxa"/>
            <w:gridSpan w:val="4"/>
            <w:vAlign w:val="center"/>
          </w:tcPr>
          <w:p>
            <w:pPr>
              <w:pStyle w:val="2"/>
              <w:tabs>
                <w:tab w:val="left" w:pos="480"/>
              </w:tabs>
              <w:ind w:firstLine="0" w:firstLineChars="0"/>
              <w:rPr>
                <w:rFonts w:hint="eastAsia"/>
                <w:sz w:val="21"/>
                <w:szCs w:val="21"/>
                <w:vertAlign w:val="baseline"/>
              </w:rPr>
            </w:pPr>
            <w:r>
              <w:rPr>
                <w:rFonts w:hint="eastAsia"/>
                <w:sz w:val="21"/>
                <w:szCs w:val="21"/>
                <w:vertAlign w:val="baseline"/>
                <w:lang w:val="en-US" w:eastAsia="zh-CN"/>
              </w:rPr>
              <w:t>开挖（万m</w:t>
            </w:r>
            <w:r>
              <w:rPr>
                <w:rFonts w:hint="eastAsia"/>
                <w:sz w:val="21"/>
                <w:szCs w:val="21"/>
                <w:vertAlign w:val="superscript"/>
                <w:lang w:val="en-US" w:eastAsia="zh-CN"/>
              </w:rPr>
              <w:t>3</w:t>
            </w:r>
            <w:r>
              <w:rPr>
                <w:rFonts w:hint="eastAsia"/>
                <w:sz w:val="21"/>
                <w:szCs w:val="21"/>
                <w:vertAlign w:val="baseline"/>
                <w:lang w:val="en-US" w:eastAsia="zh-CN"/>
              </w:rPr>
              <w:t>）</w:t>
            </w:r>
          </w:p>
        </w:tc>
        <w:tc>
          <w:tcPr>
            <w:tcW w:w="3948" w:type="dxa"/>
            <w:gridSpan w:val="5"/>
            <w:vAlign w:val="center"/>
          </w:tcPr>
          <w:p>
            <w:pPr>
              <w:pStyle w:val="2"/>
              <w:tabs>
                <w:tab w:val="left" w:pos="480"/>
              </w:tabs>
              <w:ind w:firstLine="0" w:firstLineChars="0"/>
              <w:rPr>
                <w:rFonts w:hint="eastAsia" w:eastAsia="宋体"/>
                <w:sz w:val="21"/>
                <w:szCs w:val="21"/>
                <w:vertAlign w:val="baseline"/>
                <w:lang w:val="en-US" w:eastAsia="zh-CN"/>
              </w:rPr>
            </w:pPr>
            <w:r>
              <w:rPr>
                <w:rFonts w:hint="eastAsia"/>
                <w:sz w:val="21"/>
                <w:szCs w:val="21"/>
                <w:vertAlign w:val="baseline"/>
                <w:lang w:val="en-US" w:eastAsia="zh-CN"/>
              </w:rPr>
              <w:t>填筑（万m</w:t>
            </w:r>
            <w:r>
              <w:rPr>
                <w:rFonts w:hint="eastAsia"/>
                <w:sz w:val="21"/>
                <w:szCs w:val="21"/>
                <w:vertAlign w:val="superscript"/>
                <w:lang w:val="en-US" w:eastAsia="zh-CN"/>
              </w:rPr>
              <w:t>3</w:t>
            </w:r>
            <w:r>
              <w:rPr>
                <w:rFonts w:hint="eastAsia"/>
                <w:sz w:val="21"/>
                <w:szCs w:val="21"/>
                <w:vertAlign w:val="baseline"/>
                <w:lang w:val="en-US" w:eastAsia="zh-CN"/>
              </w:rPr>
              <w:t>）</w:t>
            </w:r>
          </w:p>
        </w:tc>
        <w:tc>
          <w:tcPr>
            <w:tcW w:w="3029" w:type="dxa"/>
            <w:gridSpan w:val="4"/>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调运方（万m</w:t>
            </w:r>
            <w:r>
              <w:rPr>
                <w:rFonts w:hint="eastAsia"/>
                <w:sz w:val="21"/>
                <w:szCs w:val="21"/>
                <w:vertAlign w:val="superscript"/>
                <w:lang w:val="en-US" w:eastAsia="zh-CN"/>
              </w:rPr>
              <w:t>3</w:t>
            </w:r>
            <w:r>
              <w:rPr>
                <w:rFonts w:hint="eastAsia"/>
                <w:sz w:val="21"/>
                <w:szCs w:val="21"/>
                <w:vertAlign w:val="baseline"/>
                <w:lang w:val="en-US" w:eastAsia="zh-CN"/>
              </w:rPr>
              <w:t>）</w:t>
            </w:r>
          </w:p>
        </w:tc>
        <w:tc>
          <w:tcPr>
            <w:tcW w:w="2922" w:type="dxa"/>
            <w:gridSpan w:val="4"/>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借方（万m</w:t>
            </w:r>
            <w:r>
              <w:rPr>
                <w:rFonts w:hint="eastAsia"/>
                <w:sz w:val="21"/>
                <w:szCs w:val="21"/>
                <w:vertAlign w:val="superscript"/>
                <w:lang w:val="en-US" w:eastAsia="zh-CN"/>
              </w:rPr>
              <w:t>3</w:t>
            </w:r>
            <w:r>
              <w:rPr>
                <w:rFonts w:hint="eastAsia"/>
                <w:sz w:val="21"/>
                <w:szCs w:val="21"/>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23" w:type="dxa"/>
            <w:vMerge w:val="continue"/>
            <w:tcBorders>
              <w:bottom w:val="single" w:color="auto" w:sz="12" w:space="0"/>
            </w:tcBorders>
            <w:vAlign w:val="center"/>
          </w:tcPr>
          <w:p>
            <w:pPr>
              <w:pStyle w:val="2"/>
              <w:tabs>
                <w:tab w:val="left" w:pos="480"/>
              </w:tabs>
              <w:ind w:firstLine="0" w:firstLineChars="0"/>
              <w:rPr>
                <w:sz w:val="21"/>
                <w:szCs w:val="21"/>
                <w:vertAlign w:val="baseline"/>
              </w:rPr>
            </w:pPr>
          </w:p>
        </w:tc>
        <w:tc>
          <w:tcPr>
            <w:tcW w:w="846" w:type="dxa"/>
            <w:tcBorders>
              <w:bottom w:val="single" w:color="auto" w:sz="12" w:space="0"/>
            </w:tcBorders>
            <w:vAlign w:val="center"/>
          </w:tcPr>
          <w:p>
            <w:pPr>
              <w:pStyle w:val="2"/>
              <w:tabs>
                <w:tab w:val="left" w:pos="480"/>
              </w:tabs>
              <w:ind w:firstLine="0" w:firstLineChars="0"/>
              <w:rPr>
                <w:rFonts w:hint="eastAsia"/>
                <w:sz w:val="21"/>
                <w:szCs w:val="21"/>
                <w:vertAlign w:val="baseline"/>
              </w:rPr>
            </w:pPr>
            <w:r>
              <w:rPr>
                <w:rFonts w:hint="eastAsia"/>
                <w:sz w:val="21"/>
                <w:szCs w:val="21"/>
                <w:vertAlign w:val="baseline"/>
                <w:lang w:val="en-US" w:eastAsia="zh-CN"/>
              </w:rPr>
              <w:t>合计</w:t>
            </w:r>
          </w:p>
        </w:tc>
        <w:tc>
          <w:tcPr>
            <w:tcW w:w="752" w:type="dxa"/>
            <w:tcBorders>
              <w:bottom w:val="single" w:color="auto" w:sz="12" w:space="0"/>
            </w:tcBorders>
            <w:vAlign w:val="center"/>
          </w:tcPr>
          <w:p>
            <w:pPr>
              <w:pStyle w:val="2"/>
              <w:tabs>
                <w:tab w:val="left" w:pos="480"/>
              </w:tabs>
              <w:ind w:firstLine="0" w:firstLineChars="0"/>
              <w:rPr>
                <w:rFonts w:hint="eastAsia"/>
                <w:sz w:val="21"/>
                <w:szCs w:val="21"/>
                <w:vertAlign w:val="baseline"/>
              </w:rPr>
            </w:pPr>
            <w:r>
              <w:rPr>
                <w:rFonts w:hint="eastAsia"/>
                <w:sz w:val="21"/>
                <w:szCs w:val="21"/>
                <w:vertAlign w:val="baseline"/>
                <w:lang w:val="en-US" w:eastAsia="zh-CN"/>
              </w:rPr>
              <w:t>表土</w:t>
            </w:r>
          </w:p>
        </w:tc>
        <w:tc>
          <w:tcPr>
            <w:tcW w:w="752" w:type="dxa"/>
            <w:tcBorders>
              <w:bottom w:val="single" w:color="auto" w:sz="12" w:space="0"/>
            </w:tcBorders>
            <w:vAlign w:val="center"/>
          </w:tcPr>
          <w:p>
            <w:pPr>
              <w:pStyle w:val="2"/>
              <w:tabs>
                <w:tab w:val="left" w:pos="480"/>
              </w:tabs>
              <w:ind w:firstLine="0" w:firstLineChars="0"/>
              <w:rPr>
                <w:rFonts w:hint="eastAsia"/>
                <w:sz w:val="21"/>
                <w:szCs w:val="21"/>
                <w:vertAlign w:val="baseline"/>
              </w:rPr>
            </w:pPr>
            <w:r>
              <w:rPr>
                <w:rFonts w:hint="eastAsia"/>
                <w:sz w:val="21"/>
                <w:szCs w:val="21"/>
                <w:vertAlign w:val="baseline"/>
                <w:lang w:val="en-US" w:eastAsia="zh-CN"/>
              </w:rPr>
              <w:t>清淤</w:t>
            </w:r>
          </w:p>
        </w:tc>
        <w:tc>
          <w:tcPr>
            <w:tcW w:w="846" w:type="dxa"/>
            <w:tcBorders>
              <w:bottom w:val="single" w:color="auto" w:sz="12" w:space="0"/>
            </w:tcBorders>
            <w:vAlign w:val="center"/>
          </w:tcPr>
          <w:p>
            <w:pPr>
              <w:pStyle w:val="2"/>
              <w:tabs>
                <w:tab w:val="left" w:pos="480"/>
              </w:tabs>
              <w:ind w:firstLine="0" w:firstLineChars="0"/>
              <w:rPr>
                <w:rFonts w:hint="eastAsia"/>
                <w:sz w:val="21"/>
                <w:szCs w:val="21"/>
                <w:vertAlign w:val="baseline"/>
              </w:rPr>
            </w:pPr>
            <w:r>
              <w:rPr>
                <w:rFonts w:hint="eastAsia"/>
                <w:sz w:val="21"/>
                <w:szCs w:val="21"/>
                <w:vertAlign w:val="baseline"/>
                <w:lang w:val="en-US" w:eastAsia="zh-CN"/>
              </w:rPr>
              <w:t>土方</w:t>
            </w:r>
          </w:p>
        </w:tc>
        <w:tc>
          <w:tcPr>
            <w:tcW w:w="846" w:type="dxa"/>
            <w:tcBorders>
              <w:bottom w:val="single" w:color="auto" w:sz="12" w:space="0"/>
            </w:tcBorders>
            <w:vAlign w:val="center"/>
          </w:tcPr>
          <w:p>
            <w:pPr>
              <w:pStyle w:val="2"/>
              <w:tabs>
                <w:tab w:val="left" w:pos="480"/>
              </w:tabs>
              <w:ind w:firstLine="0" w:firstLineChars="0"/>
              <w:rPr>
                <w:sz w:val="21"/>
                <w:szCs w:val="21"/>
                <w:vertAlign w:val="baseline"/>
              </w:rPr>
            </w:pPr>
            <w:r>
              <w:rPr>
                <w:rFonts w:hint="eastAsia"/>
                <w:sz w:val="21"/>
                <w:szCs w:val="21"/>
                <w:vertAlign w:val="baseline"/>
                <w:lang w:val="en-US" w:eastAsia="zh-CN"/>
              </w:rPr>
              <w:t>合计</w:t>
            </w:r>
          </w:p>
        </w:tc>
        <w:tc>
          <w:tcPr>
            <w:tcW w:w="752" w:type="dxa"/>
            <w:tcBorders>
              <w:bottom w:val="single" w:color="auto" w:sz="12" w:space="0"/>
            </w:tcBorders>
            <w:vAlign w:val="center"/>
          </w:tcPr>
          <w:p>
            <w:pPr>
              <w:pStyle w:val="2"/>
              <w:tabs>
                <w:tab w:val="left" w:pos="480"/>
              </w:tabs>
              <w:ind w:firstLine="0" w:firstLineChars="0"/>
              <w:rPr>
                <w:sz w:val="21"/>
                <w:szCs w:val="21"/>
                <w:vertAlign w:val="baseline"/>
              </w:rPr>
            </w:pPr>
            <w:r>
              <w:rPr>
                <w:rFonts w:hint="eastAsia"/>
                <w:sz w:val="21"/>
                <w:szCs w:val="21"/>
                <w:vertAlign w:val="baseline"/>
                <w:lang w:val="en-US" w:eastAsia="zh-CN"/>
              </w:rPr>
              <w:t>表土</w:t>
            </w:r>
          </w:p>
        </w:tc>
        <w:tc>
          <w:tcPr>
            <w:tcW w:w="752" w:type="dxa"/>
            <w:tcBorders>
              <w:bottom w:val="single" w:color="auto" w:sz="12" w:space="0"/>
            </w:tcBorders>
            <w:vAlign w:val="center"/>
          </w:tcPr>
          <w:p>
            <w:pPr>
              <w:pStyle w:val="2"/>
              <w:tabs>
                <w:tab w:val="left" w:pos="480"/>
              </w:tabs>
              <w:ind w:firstLine="0" w:firstLineChars="0"/>
              <w:rPr>
                <w:rFonts w:hint="default"/>
                <w:sz w:val="21"/>
                <w:szCs w:val="21"/>
                <w:vertAlign w:val="baseline"/>
                <w:lang w:val="en-US"/>
              </w:rPr>
            </w:pPr>
            <w:r>
              <w:rPr>
                <w:rFonts w:hint="eastAsia"/>
                <w:sz w:val="21"/>
                <w:szCs w:val="21"/>
                <w:vertAlign w:val="baseline"/>
                <w:lang w:val="en-US" w:eastAsia="zh-CN"/>
              </w:rPr>
              <w:t>清淤回填</w:t>
            </w:r>
          </w:p>
        </w:tc>
        <w:tc>
          <w:tcPr>
            <w:tcW w:w="846" w:type="dxa"/>
            <w:tcBorders>
              <w:bottom w:val="single" w:color="auto" w:sz="12" w:space="0"/>
            </w:tcBorders>
            <w:vAlign w:val="center"/>
          </w:tcPr>
          <w:p>
            <w:pPr>
              <w:pStyle w:val="2"/>
              <w:tabs>
                <w:tab w:val="left" w:pos="480"/>
              </w:tabs>
              <w:ind w:firstLine="0" w:firstLineChars="0"/>
              <w:rPr>
                <w:sz w:val="21"/>
                <w:szCs w:val="21"/>
                <w:vertAlign w:val="baseline"/>
              </w:rPr>
            </w:pPr>
            <w:r>
              <w:rPr>
                <w:rFonts w:hint="eastAsia"/>
                <w:sz w:val="21"/>
                <w:szCs w:val="21"/>
                <w:vertAlign w:val="baseline"/>
                <w:lang w:val="en-US" w:eastAsia="zh-CN"/>
              </w:rPr>
              <w:t>土方</w:t>
            </w:r>
          </w:p>
        </w:tc>
        <w:tc>
          <w:tcPr>
            <w:tcW w:w="752" w:type="dxa"/>
            <w:tcBorders>
              <w:bottom w:val="single" w:color="auto" w:sz="12" w:space="0"/>
            </w:tcBorders>
            <w:vAlign w:val="center"/>
          </w:tcPr>
          <w:p>
            <w:pPr>
              <w:pStyle w:val="2"/>
              <w:tabs>
                <w:tab w:val="left" w:pos="480"/>
              </w:tabs>
              <w:ind w:firstLine="0" w:firstLineChars="0"/>
              <w:rPr>
                <w:rFonts w:hint="eastAsia"/>
                <w:sz w:val="21"/>
                <w:szCs w:val="21"/>
                <w:vertAlign w:val="baseline"/>
              </w:rPr>
            </w:pPr>
            <w:r>
              <w:rPr>
                <w:rFonts w:hint="eastAsia"/>
                <w:sz w:val="21"/>
                <w:szCs w:val="21"/>
                <w:vertAlign w:val="baseline"/>
                <w:lang w:val="en-US" w:eastAsia="zh-CN"/>
              </w:rPr>
              <w:t>石方</w:t>
            </w:r>
          </w:p>
        </w:tc>
        <w:tc>
          <w:tcPr>
            <w:tcW w:w="752" w:type="dxa"/>
            <w:tcBorders>
              <w:bottom w:val="single" w:color="auto" w:sz="12" w:space="0"/>
            </w:tcBorders>
            <w:vAlign w:val="center"/>
          </w:tcPr>
          <w:p>
            <w:pPr>
              <w:pStyle w:val="2"/>
              <w:tabs>
                <w:tab w:val="left" w:pos="480"/>
              </w:tabs>
              <w:ind w:firstLine="0" w:firstLineChars="0"/>
              <w:rPr>
                <w:rFonts w:hint="eastAsia" w:eastAsia="宋体"/>
                <w:sz w:val="21"/>
                <w:szCs w:val="21"/>
                <w:vertAlign w:val="baseline"/>
                <w:lang w:val="en-US" w:eastAsia="zh-CN"/>
              </w:rPr>
            </w:pPr>
            <w:r>
              <w:rPr>
                <w:rFonts w:hint="eastAsia"/>
                <w:sz w:val="21"/>
                <w:szCs w:val="21"/>
                <w:vertAlign w:val="baseline"/>
                <w:lang w:val="en-US" w:eastAsia="zh-CN"/>
              </w:rPr>
              <w:t>调入</w:t>
            </w:r>
          </w:p>
        </w:tc>
        <w:tc>
          <w:tcPr>
            <w:tcW w:w="822" w:type="dxa"/>
            <w:tcBorders>
              <w:bottom w:val="single" w:color="auto" w:sz="12" w:space="0"/>
            </w:tcBorders>
            <w:vAlign w:val="center"/>
          </w:tcPr>
          <w:p>
            <w:pPr>
              <w:pStyle w:val="2"/>
              <w:tabs>
                <w:tab w:val="left" w:pos="480"/>
              </w:tabs>
              <w:ind w:firstLine="0" w:firstLineChars="0"/>
              <w:rPr>
                <w:rFonts w:hint="eastAsia" w:eastAsia="宋体"/>
                <w:sz w:val="21"/>
                <w:szCs w:val="21"/>
                <w:vertAlign w:val="baseline"/>
                <w:lang w:val="en-US" w:eastAsia="zh-CN"/>
              </w:rPr>
            </w:pPr>
            <w:r>
              <w:rPr>
                <w:rFonts w:hint="eastAsia"/>
                <w:sz w:val="21"/>
                <w:szCs w:val="21"/>
                <w:vertAlign w:val="baseline"/>
                <w:lang w:val="en-US" w:eastAsia="zh-CN"/>
              </w:rPr>
              <w:t>来源</w:t>
            </w:r>
          </w:p>
        </w:tc>
        <w:tc>
          <w:tcPr>
            <w:tcW w:w="780" w:type="dxa"/>
            <w:tcBorders>
              <w:bottom w:val="single" w:color="auto" w:sz="12" w:space="0"/>
            </w:tcBorders>
            <w:vAlign w:val="center"/>
          </w:tcPr>
          <w:p>
            <w:pPr>
              <w:pStyle w:val="2"/>
              <w:tabs>
                <w:tab w:val="left" w:pos="480"/>
              </w:tabs>
              <w:ind w:firstLine="0" w:firstLineChars="0"/>
              <w:rPr>
                <w:rFonts w:hint="eastAsia" w:eastAsia="宋体"/>
                <w:sz w:val="21"/>
                <w:szCs w:val="21"/>
                <w:vertAlign w:val="baseline"/>
                <w:lang w:val="en-US" w:eastAsia="zh-CN"/>
              </w:rPr>
            </w:pPr>
            <w:r>
              <w:rPr>
                <w:rFonts w:hint="eastAsia"/>
                <w:sz w:val="21"/>
                <w:szCs w:val="21"/>
                <w:vertAlign w:val="baseline"/>
                <w:lang w:val="en-US" w:eastAsia="zh-CN"/>
              </w:rPr>
              <w:t>调出</w:t>
            </w:r>
          </w:p>
        </w:tc>
        <w:tc>
          <w:tcPr>
            <w:tcW w:w="675" w:type="dxa"/>
            <w:tcBorders>
              <w:bottom w:val="single" w:color="auto" w:sz="12" w:space="0"/>
            </w:tcBorders>
            <w:vAlign w:val="center"/>
          </w:tcPr>
          <w:p>
            <w:pPr>
              <w:pStyle w:val="2"/>
              <w:tabs>
                <w:tab w:val="left" w:pos="480"/>
              </w:tabs>
              <w:ind w:firstLine="0" w:firstLineChars="0"/>
              <w:rPr>
                <w:rFonts w:hint="eastAsia" w:eastAsia="宋体"/>
                <w:sz w:val="21"/>
                <w:szCs w:val="21"/>
                <w:vertAlign w:val="baseline"/>
                <w:lang w:val="en-US" w:eastAsia="zh-CN"/>
              </w:rPr>
            </w:pPr>
            <w:r>
              <w:rPr>
                <w:rFonts w:hint="eastAsia"/>
                <w:sz w:val="21"/>
                <w:szCs w:val="21"/>
                <w:vertAlign w:val="baseline"/>
                <w:lang w:val="en-US" w:eastAsia="zh-CN"/>
              </w:rPr>
              <w:t>去向</w:t>
            </w:r>
          </w:p>
        </w:tc>
        <w:tc>
          <w:tcPr>
            <w:tcW w:w="855" w:type="dxa"/>
            <w:tcBorders>
              <w:bottom w:val="single" w:color="auto" w:sz="12" w:space="0"/>
            </w:tcBorders>
            <w:vAlign w:val="center"/>
          </w:tcPr>
          <w:p>
            <w:pPr>
              <w:pStyle w:val="2"/>
              <w:tabs>
                <w:tab w:val="left" w:pos="480"/>
              </w:tabs>
              <w:ind w:firstLine="0" w:firstLineChars="0"/>
              <w:rPr>
                <w:rFonts w:hint="eastAsia" w:eastAsia="宋体"/>
                <w:sz w:val="21"/>
                <w:szCs w:val="21"/>
                <w:vertAlign w:val="baseline"/>
                <w:lang w:val="en-US" w:eastAsia="zh-CN"/>
              </w:rPr>
            </w:pPr>
            <w:r>
              <w:rPr>
                <w:rFonts w:hint="eastAsia"/>
                <w:sz w:val="21"/>
                <w:szCs w:val="21"/>
                <w:vertAlign w:val="baseline"/>
                <w:lang w:val="en-US" w:eastAsia="zh-CN"/>
              </w:rPr>
              <w:t>合计</w:t>
            </w:r>
          </w:p>
        </w:tc>
        <w:tc>
          <w:tcPr>
            <w:tcW w:w="780" w:type="dxa"/>
            <w:tcBorders>
              <w:bottom w:val="single" w:color="auto" w:sz="12" w:space="0"/>
            </w:tcBorders>
            <w:vAlign w:val="center"/>
          </w:tcPr>
          <w:p>
            <w:pPr>
              <w:pStyle w:val="2"/>
              <w:tabs>
                <w:tab w:val="left" w:pos="480"/>
              </w:tabs>
              <w:ind w:firstLine="0" w:firstLineChars="0"/>
              <w:rPr>
                <w:rFonts w:hint="eastAsia" w:eastAsia="宋体"/>
                <w:sz w:val="21"/>
                <w:szCs w:val="21"/>
                <w:vertAlign w:val="baseline"/>
                <w:lang w:val="en-US" w:eastAsia="zh-CN"/>
              </w:rPr>
            </w:pPr>
            <w:r>
              <w:rPr>
                <w:rFonts w:hint="eastAsia"/>
                <w:sz w:val="21"/>
                <w:szCs w:val="21"/>
                <w:vertAlign w:val="baseline"/>
                <w:lang w:val="en-US" w:eastAsia="zh-CN"/>
              </w:rPr>
              <w:t>土方</w:t>
            </w:r>
          </w:p>
        </w:tc>
        <w:tc>
          <w:tcPr>
            <w:tcW w:w="810" w:type="dxa"/>
            <w:tcBorders>
              <w:bottom w:val="single" w:color="auto" w:sz="12" w:space="0"/>
            </w:tcBorders>
            <w:vAlign w:val="center"/>
          </w:tcPr>
          <w:p>
            <w:pPr>
              <w:pStyle w:val="2"/>
              <w:tabs>
                <w:tab w:val="left" w:pos="480"/>
              </w:tabs>
              <w:ind w:firstLine="0" w:firstLineChars="0"/>
              <w:rPr>
                <w:rFonts w:hint="eastAsia" w:eastAsia="宋体"/>
                <w:sz w:val="21"/>
                <w:szCs w:val="21"/>
                <w:vertAlign w:val="baseline"/>
                <w:lang w:val="en-US" w:eastAsia="zh-CN"/>
              </w:rPr>
            </w:pPr>
            <w:r>
              <w:rPr>
                <w:rFonts w:hint="eastAsia"/>
                <w:sz w:val="21"/>
                <w:szCs w:val="21"/>
                <w:vertAlign w:val="baseline"/>
                <w:lang w:val="en-US" w:eastAsia="zh-CN"/>
              </w:rPr>
              <w:t>石方</w:t>
            </w:r>
          </w:p>
        </w:tc>
        <w:tc>
          <w:tcPr>
            <w:tcW w:w="477" w:type="dxa"/>
            <w:tcBorders>
              <w:bottom w:val="single" w:color="auto" w:sz="12" w:space="0"/>
            </w:tcBorders>
            <w:vAlign w:val="center"/>
          </w:tcPr>
          <w:p>
            <w:pPr>
              <w:pStyle w:val="2"/>
              <w:tabs>
                <w:tab w:val="left" w:pos="480"/>
              </w:tabs>
              <w:ind w:firstLine="0" w:firstLineChars="0"/>
              <w:rPr>
                <w:rFonts w:hint="eastAsia" w:eastAsia="宋体"/>
                <w:sz w:val="21"/>
                <w:szCs w:val="21"/>
                <w:vertAlign w:val="baseline"/>
                <w:lang w:val="en-US" w:eastAsia="zh-CN"/>
              </w:rPr>
            </w:pPr>
            <w:r>
              <w:rPr>
                <w:rFonts w:hint="eastAsia"/>
                <w:sz w:val="21"/>
                <w:szCs w:val="21"/>
                <w:vertAlign w:val="baseline"/>
                <w:lang w:val="en-US" w:eastAsia="zh-CN"/>
              </w:rPr>
              <w:t>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23" w:type="dxa"/>
            <w:tcBorders>
              <w:top w:val="single" w:color="auto" w:sz="12" w:space="0"/>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一、码头及前方作业带</w:t>
            </w:r>
          </w:p>
        </w:tc>
        <w:tc>
          <w:tcPr>
            <w:tcW w:w="846" w:type="dxa"/>
            <w:tcBorders>
              <w:top w:val="single" w:color="auto" w:sz="12" w:space="0"/>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15500</w:t>
            </w:r>
          </w:p>
        </w:tc>
        <w:tc>
          <w:tcPr>
            <w:tcW w:w="752" w:type="dxa"/>
            <w:tcBorders>
              <w:top w:val="single" w:color="auto" w:sz="12" w:space="0"/>
              <w:tl2br w:val="nil"/>
              <w:tr2bl w:val="nil"/>
            </w:tcBorders>
            <w:vAlign w:val="center"/>
          </w:tcPr>
          <w:p>
            <w:pPr>
              <w:pStyle w:val="2"/>
              <w:tabs>
                <w:tab w:val="left" w:pos="480"/>
              </w:tabs>
              <w:ind w:firstLine="0" w:firstLineChars="0"/>
              <w:rPr>
                <w:sz w:val="21"/>
                <w:szCs w:val="21"/>
                <w:vertAlign w:val="baseline"/>
              </w:rPr>
            </w:pPr>
          </w:p>
        </w:tc>
        <w:tc>
          <w:tcPr>
            <w:tcW w:w="752" w:type="dxa"/>
            <w:tcBorders>
              <w:top w:val="single" w:color="auto" w:sz="12" w:space="0"/>
              <w:tl2br w:val="nil"/>
              <w:tr2bl w:val="nil"/>
            </w:tcBorders>
            <w:vAlign w:val="center"/>
          </w:tcPr>
          <w:p>
            <w:pPr>
              <w:pStyle w:val="2"/>
              <w:tabs>
                <w:tab w:val="left" w:pos="480"/>
              </w:tabs>
              <w:ind w:firstLine="0" w:firstLineChars="0"/>
              <w:rPr>
                <w:sz w:val="21"/>
                <w:szCs w:val="21"/>
                <w:vertAlign w:val="baseline"/>
              </w:rPr>
            </w:pPr>
          </w:p>
        </w:tc>
        <w:tc>
          <w:tcPr>
            <w:tcW w:w="846" w:type="dxa"/>
            <w:tcBorders>
              <w:top w:val="single" w:color="auto" w:sz="12" w:space="0"/>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15500</w:t>
            </w:r>
          </w:p>
        </w:tc>
        <w:tc>
          <w:tcPr>
            <w:tcW w:w="846" w:type="dxa"/>
            <w:tcBorders>
              <w:top w:val="single" w:color="auto" w:sz="12" w:space="0"/>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1500</w:t>
            </w:r>
          </w:p>
        </w:tc>
        <w:tc>
          <w:tcPr>
            <w:tcW w:w="752" w:type="dxa"/>
            <w:tcBorders>
              <w:top w:val="single" w:color="auto" w:sz="12" w:space="0"/>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1500</w:t>
            </w:r>
          </w:p>
        </w:tc>
        <w:tc>
          <w:tcPr>
            <w:tcW w:w="752" w:type="dxa"/>
            <w:tcBorders>
              <w:top w:val="single" w:color="auto" w:sz="12" w:space="0"/>
              <w:tl2br w:val="nil"/>
              <w:tr2bl w:val="nil"/>
            </w:tcBorders>
            <w:vAlign w:val="center"/>
          </w:tcPr>
          <w:p>
            <w:pPr>
              <w:pStyle w:val="2"/>
              <w:tabs>
                <w:tab w:val="left" w:pos="480"/>
              </w:tabs>
              <w:ind w:firstLine="0" w:firstLineChars="0"/>
              <w:rPr>
                <w:sz w:val="21"/>
                <w:szCs w:val="21"/>
                <w:vertAlign w:val="baseline"/>
              </w:rPr>
            </w:pPr>
          </w:p>
        </w:tc>
        <w:tc>
          <w:tcPr>
            <w:tcW w:w="846" w:type="dxa"/>
            <w:tcBorders>
              <w:top w:val="single" w:color="auto" w:sz="12" w:space="0"/>
              <w:tl2br w:val="nil"/>
              <w:tr2bl w:val="nil"/>
            </w:tcBorders>
            <w:vAlign w:val="center"/>
          </w:tcPr>
          <w:p>
            <w:pPr>
              <w:pStyle w:val="2"/>
              <w:tabs>
                <w:tab w:val="left" w:pos="480"/>
              </w:tabs>
              <w:ind w:firstLine="0" w:firstLineChars="0"/>
              <w:rPr>
                <w:sz w:val="21"/>
                <w:szCs w:val="21"/>
                <w:vertAlign w:val="baseline"/>
              </w:rPr>
            </w:pPr>
          </w:p>
        </w:tc>
        <w:tc>
          <w:tcPr>
            <w:tcW w:w="752" w:type="dxa"/>
            <w:tcBorders>
              <w:top w:val="single" w:color="auto" w:sz="12" w:space="0"/>
              <w:tl2br w:val="nil"/>
              <w:tr2bl w:val="nil"/>
            </w:tcBorders>
            <w:vAlign w:val="center"/>
          </w:tcPr>
          <w:p>
            <w:pPr>
              <w:pStyle w:val="2"/>
              <w:tabs>
                <w:tab w:val="left" w:pos="480"/>
              </w:tabs>
              <w:ind w:firstLine="0" w:firstLineChars="0"/>
              <w:rPr>
                <w:sz w:val="21"/>
                <w:szCs w:val="21"/>
                <w:vertAlign w:val="baseline"/>
              </w:rPr>
            </w:pPr>
          </w:p>
        </w:tc>
        <w:tc>
          <w:tcPr>
            <w:tcW w:w="752" w:type="dxa"/>
            <w:tcBorders>
              <w:top w:val="single" w:color="auto" w:sz="12" w:space="0"/>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1500</w:t>
            </w:r>
          </w:p>
        </w:tc>
        <w:tc>
          <w:tcPr>
            <w:tcW w:w="822" w:type="dxa"/>
            <w:tcBorders>
              <w:top w:val="single" w:color="auto" w:sz="12" w:space="0"/>
              <w:tl2br w:val="nil"/>
              <w:tr2bl w:val="nil"/>
            </w:tcBorders>
            <w:vAlign w:val="center"/>
          </w:tcPr>
          <w:p>
            <w:pPr>
              <w:pStyle w:val="2"/>
              <w:tabs>
                <w:tab w:val="left" w:pos="480"/>
              </w:tabs>
              <w:ind w:firstLine="0" w:firstLineChars="0"/>
              <w:rPr>
                <w:sz w:val="21"/>
                <w:szCs w:val="21"/>
                <w:vertAlign w:val="baseline"/>
              </w:rPr>
            </w:pPr>
          </w:p>
        </w:tc>
        <w:tc>
          <w:tcPr>
            <w:tcW w:w="780" w:type="dxa"/>
            <w:tcBorders>
              <w:top w:val="single" w:color="auto" w:sz="12" w:space="0"/>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15500</w:t>
            </w:r>
          </w:p>
        </w:tc>
        <w:tc>
          <w:tcPr>
            <w:tcW w:w="675" w:type="dxa"/>
            <w:tcBorders>
              <w:top w:val="single" w:color="auto" w:sz="12" w:space="0"/>
              <w:tl2br w:val="nil"/>
              <w:tr2bl w:val="nil"/>
            </w:tcBorders>
            <w:vAlign w:val="center"/>
          </w:tcPr>
          <w:p>
            <w:pPr>
              <w:pStyle w:val="2"/>
              <w:tabs>
                <w:tab w:val="left" w:pos="480"/>
              </w:tabs>
              <w:ind w:firstLine="0" w:firstLineChars="0"/>
              <w:rPr>
                <w:sz w:val="21"/>
                <w:szCs w:val="21"/>
                <w:vertAlign w:val="baseline"/>
              </w:rPr>
            </w:pPr>
          </w:p>
        </w:tc>
        <w:tc>
          <w:tcPr>
            <w:tcW w:w="855" w:type="dxa"/>
            <w:tcBorders>
              <w:top w:val="single" w:color="auto" w:sz="12" w:space="0"/>
              <w:tl2br w:val="nil"/>
              <w:tr2bl w:val="nil"/>
            </w:tcBorders>
            <w:vAlign w:val="center"/>
          </w:tcPr>
          <w:p>
            <w:pPr>
              <w:pStyle w:val="2"/>
              <w:tabs>
                <w:tab w:val="left" w:pos="480"/>
              </w:tabs>
              <w:ind w:firstLine="0" w:firstLineChars="0"/>
              <w:rPr>
                <w:sz w:val="21"/>
                <w:szCs w:val="21"/>
                <w:vertAlign w:val="baseline"/>
              </w:rPr>
            </w:pPr>
          </w:p>
        </w:tc>
        <w:tc>
          <w:tcPr>
            <w:tcW w:w="780" w:type="dxa"/>
            <w:tcBorders>
              <w:top w:val="single" w:color="auto" w:sz="12" w:space="0"/>
              <w:tl2br w:val="nil"/>
              <w:tr2bl w:val="nil"/>
            </w:tcBorders>
            <w:vAlign w:val="center"/>
          </w:tcPr>
          <w:p>
            <w:pPr>
              <w:pStyle w:val="2"/>
              <w:tabs>
                <w:tab w:val="left" w:pos="480"/>
              </w:tabs>
              <w:ind w:firstLine="0" w:firstLineChars="0"/>
              <w:rPr>
                <w:sz w:val="21"/>
                <w:szCs w:val="21"/>
                <w:vertAlign w:val="baseline"/>
              </w:rPr>
            </w:pPr>
          </w:p>
        </w:tc>
        <w:tc>
          <w:tcPr>
            <w:tcW w:w="810" w:type="dxa"/>
            <w:tcBorders>
              <w:top w:val="single" w:color="auto" w:sz="12" w:space="0"/>
              <w:tl2br w:val="nil"/>
              <w:tr2bl w:val="nil"/>
            </w:tcBorders>
            <w:vAlign w:val="center"/>
          </w:tcPr>
          <w:p>
            <w:pPr>
              <w:pStyle w:val="2"/>
              <w:tabs>
                <w:tab w:val="left" w:pos="480"/>
              </w:tabs>
              <w:ind w:firstLine="0" w:firstLineChars="0"/>
              <w:rPr>
                <w:sz w:val="21"/>
                <w:szCs w:val="21"/>
                <w:vertAlign w:val="baseline"/>
              </w:rPr>
            </w:pPr>
          </w:p>
        </w:tc>
        <w:tc>
          <w:tcPr>
            <w:tcW w:w="477" w:type="dxa"/>
            <w:tcBorders>
              <w:top w:val="single" w:color="auto" w:sz="12" w:space="0"/>
              <w:tl2br w:val="nil"/>
              <w:tr2bl w:val="nil"/>
            </w:tcBorders>
            <w:vAlign w:val="center"/>
          </w:tcPr>
          <w:p>
            <w:pPr>
              <w:pStyle w:val="2"/>
              <w:tabs>
                <w:tab w:val="left" w:pos="480"/>
              </w:tabs>
              <w:ind w:firstLine="0" w:firstLineChars="0"/>
              <w:rPr>
                <w:sz w:val="21"/>
                <w:szCs w:val="21"/>
                <w:vertAlign w:val="baseli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23"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1、码头及引桥作业带</w:t>
            </w:r>
          </w:p>
        </w:tc>
        <w:tc>
          <w:tcPr>
            <w:tcW w:w="846"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15500</w:t>
            </w:r>
          </w:p>
        </w:tc>
        <w:tc>
          <w:tcPr>
            <w:tcW w:w="752" w:type="dxa"/>
            <w:tcBorders>
              <w:tl2br w:val="nil"/>
              <w:tr2bl w:val="nil"/>
            </w:tcBorders>
            <w:vAlign w:val="center"/>
          </w:tcPr>
          <w:p>
            <w:pPr>
              <w:pStyle w:val="2"/>
              <w:tabs>
                <w:tab w:val="left" w:pos="480"/>
              </w:tabs>
              <w:ind w:firstLine="0" w:firstLineChars="0"/>
              <w:rPr>
                <w:sz w:val="21"/>
                <w:szCs w:val="21"/>
                <w:vertAlign w:val="baseline"/>
              </w:rPr>
            </w:pPr>
          </w:p>
        </w:tc>
        <w:tc>
          <w:tcPr>
            <w:tcW w:w="752" w:type="dxa"/>
            <w:tcBorders>
              <w:tl2br w:val="nil"/>
              <w:tr2bl w:val="nil"/>
            </w:tcBorders>
            <w:vAlign w:val="center"/>
          </w:tcPr>
          <w:p>
            <w:pPr>
              <w:pStyle w:val="2"/>
              <w:tabs>
                <w:tab w:val="left" w:pos="480"/>
              </w:tabs>
              <w:ind w:firstLine="0" w:firstLineChars="0"/>
              <w:rPr>
                <w:sz w:val="21"/>
                <w:szCs w:val="21"/>
                <w:vertAlign w:val="baseline"/>
              </w:rPr>
            </w:pPr>
          </w:p>
        </w:tc>
        <w:tc>
          <w:tcPr>
            <w:tcW w:w="846"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15500</w:t>
            </w:r>
          </w:p>
        </w:tc>
        <w:tc>
          <w:tcPr>
            <w:tcW w:w="846" w:type="dxa"/>
            <w:tcBorders>
              <w:tl2br w:val="nil"/>
              <w:tr2bl w:val="nil"/>
            </w:tcBorders>
            <w:vAlign w:val="center"/>
          </w:tcPr>
          <w:p>
            <w:pPr>
              <w:pStyle w:val="2"/>
              <w:tabs>
                <w:tab w:val="left" w:pos="480"/>
              </w:tabs>
              <w:ind w:firstLine="0" w:firstLineChars="0"/>
              <w:rPr>
                <w:sz w:val="21"/>
                <w:szCs w:val="21"/>
                <w:vertAlign w:val="baseline"/>
              </w:rPr>
            </w:pPr>
          </w:p>
        </w:tc>
        <w:tc>
          <w:tcPr>
            <w:tcW w:w="752" w:type="dxa"/>
            <w:tcBorders>
              <w:tl2br w:val="nil"/>
              <w:tr2bl w:val="nil"/>
            </w:tcBorders>
            <w:vAlign w:val="center"/>
          </w:tcPr>
          <w:p>
            <w:pPr>
              <w:pStyle w:val="2"/>
              <w:tabs>
                <w:tab w:val="left" w:pos="480"/>
              </w:tabs>
              <w:ind w:firstLine="0" w:firstLineChars="0"/>
              <w:rPr>
                <w:sz w:val="21"/>
                <w:szCs w:val="21"/>
                <w:vertAlign w:val="baseline"/>
              </w:rPr>
            </w:pPr>
          </w:p>
        </w:tc>
        <w:tc>
          <w:tcPr>
            <w:tcW w:w="752" w:type="dxa"/>
            <w:tcBorders>
              <w:tl2br w:val="nil"/>
              <w:tr2bl w:val="nil"/>
            </w:tcBorders>
            <w:vAlign w:val="center"/>
          </w:tcPr>
          <w:p>
            <w:pPr>
              <w:pStyle w:val="2"/>
              <w:tabs>
                <w:tab w:val="left" w:pos="480"/>
              </w:tabs>
              <w:ind w:firstLine="0" w:firstLineChars="0"/>
              <w:rPr>
                <w:sz w:val="21"/>
                <w:szCs w:val="21"/>
                <w:vertAlign w:val="baseline"/>
              </w:rPr>
            </w:pPr>
          </w:p>
        </w:tc>
        <w:tc>
          <w:tcPr>
            <w:tcW w:w="846" w:type="dxa"/>
            <w:tcBorders>
              <w:tl2br w:val="nil"/>
              <w:tr2bl w:val="nil"/>
            </w:tcBorders>
            <w:vAlign w:val="center"/>
          </w:tcPr>
          <w:p>
            <w:pPr>
              <w:pStyle w:val="2"/>
              <w:tabs>
                <w:tab w:val="left" w:pos="480"/>
              </w:tabs>
              <w:ind w:firstLine="0" w:firstLineChars="0"/>
              <w:rPr>
                <w:sz w:val="21"/>
                <w:szCs w:val="21"/>
                <w:vertAlign w:val="baseline"/>
              </w:rPr>
            </w:pPr>
          </w:p>
        </w:tc>
        <w:tc>
          <w:tcPr>
            <w:tcW w:w="752" w:type="dxa"/>
            <w:tcBorders>
              <w:tl2br w:val="nil"/>
              <w:tr2bl w:val="nil"/>
            </w:tcBorders>
            <w:vAlign w:val="center"/>
          </w:tcPr>
          <w:p>
            <w:pPr>
              <w:pStyle w:val="2"/>
              <w:tabs>
                <w:tab w:val="left" w:pos="480"/>
              </w:tabs>
              <w:ind w:firstLine="0" w:firstLineChars="0"/>
              <w:rPr>
                <w:sz w:val="21"/>
                <w:szCs w:val="21"/>
                <w:vertAlign w:val="baseline"/>
              </w:rPr>
            </w:pPr>
          </w:p>
        </w:tc>
        <w:tc>
          <w:tcPr>
            <w:tcW w:w="752" w:type="dxa"/>
            <w:tcBorders>
              <w:tl2br w:val="nil"/>
              <w:tr2bl w:val="nil"/>
            </w:tcBorders>
            <w:vAlign w:val="center"/>
          </w:tcPr>
          <w:p>
            <w:pPr>
              <w:pStyle w:val="2"/>
              <w:tabs>
                <w:tab w:val="left" w:pos="480"/>
              </w:tabs>
              <w:ind w:firstLine="0" w:firstLineChars="0"/>
              <w:rPr>
                <w:sz w:val="21"/>
                <w:szCs w:val="21"/>
                <w:vertAlign w:val="baseline"/>
              </w:rPr>
            </w:pPr>
          </w:p>
        </w:tc>
        <w:tc>
          <w:tcPr>
            <w:tcW w:w="822" w:type="dxa"/>
            <w:tcBorders>
              <w:tl2br w:val="nil"/>
              <w:tr2bl w:val="nil"/>
            </w:tcBorders>
            <w:vAlign w:val="center"/>
          </w:tcPr>
          <w:p>
            <w:pPr>
              <w:pStyle w:val="2"/>
              <w:tabs>
                <w:tab w:val="left" w:pos="480"/>
              </w:tabs>
              <w:ind w:firstLine="0" w:firstLineChars="0"/>
              <w:rPr>
                <w:sz w:val="21"/>
                <w:szCs w:val="21"/>
                <w:vertAlign w:val="baseline"/>
              </w:rPr>
            </w:pPr>
          </w:p>
        </w:tc>
        <w:tc>
          <w:tcPr>
            <w:tcW w:w="780"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15500</w:t>
            </w:r>
          </w:p>
        </w:tc>
        <w:tc>
          <w:tcPr>
            <w:tcW w:w="675"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堆存在辅助设施区</w:t>
            </w:r>
          </w:p>
        </w:tc>
        <w:tc>
          <w:tcPr>
            <w:tcW w:w="855" w:type="dxa"/>
            <w:tcBorders>
              <w:tl2br w:val="nil"/>
              <w:tr2bl w:val="nil"/>
            </w:tcBorders>
            <w:vAlign w:val="center"/>
          </w:tcPr>
          <w:p>
            <w:pPr>
              <w:pStyle w:val="2"/>
              <w:tabs>
                <w:tab w:val="left" w:pos="480"/>
              </w:tabs>
              <w:ind w:firstLine="0" w:firstLineChars="0"/>
              <w:rPr>
                <w:sz w:val="21"/>
                <w:szCs w:val="21"/>
                <w:vertAlign w:val="baseline"/>
              </w:rPr>
            </w:pPr>
          </w:p>
        </w:tc>
        <w:tc>
          <w:tcPr>
            <w:tcW w:w="780" w:type="dxa"/>
            <w:tcBorders>
              <w:tl2br w:val="nil"/>
              <w:tr2bl w:val="nil"/>
            </w:tcBorders>
            <w:vAlign w:val="center"/>
          </w:tcPr>
          <w:p>
            <w:pPr>
              <w:pStyle w:val="2"/>
              <w:tabs>
                <w:tab w:val="left" w:pos="480"/>
              </w:tabs>
              <w:ind w:firstLine="0" w:firstLineChars="0"/>
              <w:rPr>
                <w:sz w:val="21"/>
                <w:szCs w:val="21"/>
                <w:vertAlign w:val="baseline"/>
              </w:rPr>
            </w:pPr>
          </w:p>
        </w:tc>
        <w:tc>
          <w:tcPr>
            <w:tcW w:w="810" w:type="dxa"/>
            <w:tcBorders>
              <w:tl2br w:val="nil"/>
              <w:tr2bl w:val="nil"/>
            </w:tcBorders>
            <w:vAlign w:val="center"/>
          </w:tcPr>
          <w:p>
            <w:pPr>
              <w:pStyle w:val="2"/>
              <w:tabs>
                <w:tab w:val="left" w:pos="480"/>
              </w:tabs>
              <w:ind w:firstLine="0" w:firstLineChars="0"/>
              <w:rPr>
                <w:sz w:val="21"/>
                <w:szCs w:val="21"/>
                <w:vertAlign w:val="baseline"/>
              </w:rPr>
            </w:pPr>
          </w:p>
        </w:tc>
        <w:tc>
          <w:tcPr>
            <w:tcW w:w="477" w:type="dxa"/>
            <w:tcBorders>
              <w:tl2br w:val="nil"/>
              <w:tr2bl w:val="nil"/>
            </w:tcBorders>
            <w:vAlign w:val="center"/>
          </w:tcPr>
          <w:p>
            <w:pPr>
              <w:pStyle w:val="2"/>
              <w:tabs>
                <w:tab w:val="left" w:pos="480"/>
              </w:tabs>
              <w:ind w:firstLine="0" w:firstLineChars="0"/>
              <w:rPr>
                <w:sz w:val="21"/>
                <w:szCs w:val="21"/>
                <w:vertAlign w:val="baseli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23"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2、施工临建区</w:t>
            </w:r>
          </w:p>
        </w:tc>
        <w:tc>
          <w:tcPr>
            <w:tcW w:w="846" w:type="dxa"/>
            <w:tcBorders>
              <w:tl2br w:val="nil"/>
              <w:tr2bl w:val="nil"/>
            </w:tcBorders>
            <w:vAlign w:val="center"/>
          </w:tcPr>
          <w:p>
            <w:pPr>
              <w:pStyle w:val="2"/>
              <w:tabs>
                <w:tab w:val="left" w:pos="480"/>
              </w:tabs>
              <w:ind w:firstLine="0" w:firstLineChars="0"/>
              <w:rPr>
                <w:sz w:val="21"/>
                <w:szCs w:val="21"/>
                <w:vertAlign w:val="baseline"/>
              </w:rPr>
            </w:pPr>
          </w:p>
        </w:tc>
        <w:tc>
          <w:tcPr>
            <w:tcW w:w="752" w:type="dxa"/>
            <w:tcBorders>
              <w:tl2br w:val="nil"/>
              <w:tr2bl w:val="nil"/>
            </w:tcBorders>
            <w:vAlign w:val="center"/>
          </w:tcPr>
          <w:p>
            <w:pPr>
              <w:pStyle w:val="2"/>
              <w:tabs>
                <w:tab w:val="left" w:pos="480"/>
              </w:tabs>
              <w:ind w:firstLine="0" w:firstLineChars="0"/>
              <w:rPr>
                <w:sz w:val="21"/>
                <w:szCs w:val="21"/>
                <w:vertAlign w:val="baseline"/>
              </w:rPr>
            </w:pPr>
          </w:p>
        </w:tc>
        <w:tc>
          <w:tcPr>
            <w:tcW w:w="752" w:type="dxa"/>
            <w:tcBorders>
              <w:tl2br w:val="nil"/>
              <w:tr2bl w:val="nil"/>
            </w:tcBorders>
            <w:vAlign w:val="center"/>
          </w:tcPr>
          <w:p>
            <w:pPr>
              <w:pStyle w:val="2"/>
              <w:tabs>
                <w:tab w:val="left" w:pos="480"/>
              </w:tabs>
              <w:ind w:firstLine="0" w:firstLineChars="0"/>
              <w:rPr>
                <w:sz w:val="21"/>
                <w:szCs w:val="21"/>
                <w:vertAlign w:val="baseline"/>
              </w:rPr>
            </w:pPr>
          </w:p>
        </w:tc>
        <w:tc>
          <w:tcPr>
            <w:tcW w:w="846" w:type="dxa"/>
            <w:tcBorders>
              <w:tl2br w:val="nil"/>
              <w:tr2bl w:val="nil"/>
            </w:tcBorders>
            <w:vAlign w:val="center"/>
          </w:tcPr>
          <w:p>
            <w:pPr>
              <w:pStyle w:val="2"/>
              <w:tabs>
                <w:tab w:val="left" w:pos="480"/>
              </w:tabs>
              <w:ind w:firstLine="0" w:firstLineChars="0"/>
              <w:rPr>
                <w:sz w:val="21"/>
                <w:szCs w:val="21"/>
                <w:vertAlign w:val="baseline"/>
              </w:rPr>
            </w:pPr>
          </w:p>
        </w:tc>
        <w:tc>
          <w:tcPr>
            <w:tcW w:w="846"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1500</w:t>
            </w:r>
          </w:p>
        </w:tc>
        <w:tc>
          <w:tcPr>
            <w:tcW w:w="75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1500</w:t>
            </w:r>
          </w:p>
        </w:tc>
        <w:tc>
          <w:tcPr>
            <w:tcW w:w="752" w:type="dxa"/>
            <w:tcBorders>
              <w:tl2br w:val="nil"/>
              <w:tr2bl w:val="nil"/>
            </w:tcBorders>
            <w:vAlign w:val="center"/>
          </w:tcPr>
          <w:p>
            <w:pPr>
              <w:pStyle w:val="2"/>
              <w:tabs>
                <w:tab w:val="left" w:pos="480"/>
              </w:tabs>
              <w:ind w:firstLine="0" w:firstLineChars="0"/>
              <w:rPr>
                <w:sz w:val="21"/>
                <w:szCs w:val="21"/>
                <w:vertAlign w:val="baseline"/>
              </w:rPr>
            </w:pPr>
          </w:p>
        </w:tc>
        <w:tc>
          <w:tcPr>
            <w:tcW w:w="846" w:type="dxa"/>
            <w:tcBorders>
              <w:tl2br w:val="nil"/>
              <w:tr2bl w:val="nil"/>
            </w:tcBorders>
            <w:vAlign w:val="center"/>
          </w:tcPr>
          <w:p>
            <w:pPr>
              <w:pStyle w:val="2"/>
              <w:tabs>
                <w:tab w:val="left" w:pos="480"/>
              </w:tabs>
              <w:ind w:firstLine="0" w:firstLineChars="0"/>
              <w:rPr>
                <w:sz w:val="21"/>
                <w:szCs w:val="21"/>
                <w:vertAlign w:val="baseline"/>
              </w:rPr>
            </w:pPr>
          </w:p>
        </w:tc>
        <w:tc>
          <w:tcPr>
            <w:tcW w:w="752" w:type="dxa"/>
            <w:tcBorders>
              <w:tl2br w:val="nil"/>
              <w:tr2bl w:val="nil"/>
            </w:tcBorders>
            <w:vAlign w:val="center"/>
          </w:tcPr>
          <w:p>
            <w:pPr>
              <w:pStyle w:val="2"/>
              <w:tabs>
                <w:tab w:val="left" w:pos="480"/>
              </w:tabs>
              <w:ind w:firstLine="0" w:firstLineChars="0"/>
              <w:rPr>
                <w:sz w:val="21"/>
                <w:szCs w:val="21"/>
                <w:vertAlign w:val="baseline"/>
              </w:rPr>
            </w:pPr>
          </w:p>
        </w:tc>
        <w:tc>
          <w:tcPr>
            <w:tcW w:w="75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1500</w:t>
            </w:r>
          </w:p>
        </w:tc>
        <w:tc>
          <w:tcPr>
            <w:tcW w:w="822" w:type="dxa"/>
            <w:tcBorders>
              <w:tl2br w:val="nil"/>
              <w:tr2bl w:val="nil"/>
            </w:tcBorders>
            <w:vAlign w:val="center"/>
          </w:tcPr>
          <w:p>
            <w:pPr>
              <w:pStyle w:val="2"/>
              <w:tabs>
                <w:tab w:val="left" w:pos="480"/>
              </w:tabs>
              <w:ind w:firstLine="0" w:firstLineChars="0"/>
              <w:rPr>
                <w:sz w:val="21"/>
                <w:szCs w:val="21"/>
                <w:vertAlign w:val="baseline"/>
              </w:rPr>
            </w:pPr>
            <w:r>
              <w:rPr>
                <w:rFonts w:hint="eastAsia"/>
                <w:sz w:val="21"/>
                <w:szCs w:val="21"/>
                <w:vertAlign w:val="baseline"/>
                <w:lang w:val="en-US" w:eastAsia="zh-CN"/>
              </w:rPr>
              <w:t>堆存在辅助设施区</w:t>
            </w:r>
          </w:p>
        </w:tc>
        <w:tc>
          <w:tcPr>
            <w:tcW w:w="780" w:type="dxa"/>
            <w:tcBorders>
              <w:tl2br w:val="nil"/>
              <w:tr2bl w:val="nil"/>
            </w:tcBorders>
            <w:vAlign w:val="center"/>
          </w:tcPr>
          <w:p>
            <w:pPr>
              <w:pStyle w:val="2"/>
              <w:tabs>
                <w:tab w:val="left" w:pos="480"/>
              </w:tabs>
              <w:ind w:firstLine="0" w:firstLineChars="0"/>
              <w:rPr>
                <w:sz w:val="21"/>
                <w:szCs w:val="21"/>
                <w:vertAlign w:val="baseline"/>
              </w:rPr>
            </w:pPr>
          </w:p>
        </w:tc>
        <w:tc>
          <w:tcPr>
            <w:tcW w:w="675" w:type="dxa"/>
            <w:tcBorders>
              <w:tl2br w:val="nil"/>
              <w:tr2bl w:val="nil"/>
            </w:tcBorders>
            <w:vAlign w:val="center"/>
          </w:tcPr>
          <w:p>
            <w:pPr>
              <w:pStyle w:val="2"/>
              <w:tabs>
                <w:tab w:val="left" w:pos="480"/>
              </w:tabs>
              <w:ind w:firstLine="0" w:firstLineChars="0"/>
              <w:rPr>
                <w:sz w:val="21"/>
                <w:szCs w:val="21"/>
                <w:vertAlign w:val="baseline"/>
              </w:rPr>
            </w:pPr>
          </w:p>
        </w:tc>
        <w:tc>
          <w:tcPr>
            <w:tcW w:w="855" w:type="dxa"/>
            <w:tcBorders>
              <w:tl2br w:val="nil"/>
              <w:tr2bl w:val="nil"/>
            </w:tcBorders>
            <w:vAlign w:val="center"/>
          </w:tcPr>
          <w:p>
            <w:pPr>
              <w:pStyle w:val="2"/>
              <w:tabs>
                <w:tab w:val="left" w:pos="480"/>
              </w:tabs>
              <w:ind w:firstLine="0" w:firstLineChars="0"/>
              <w:rPr>
                <w:sz w:val="21"/>
                <w:szCs w:val="21"/>
                <w:vertAlign w:val="baseline"/>
              </w:rPr>
            </w:pPr>
          </w:p>
        </w:tc>
        <w:tc>
          <w:tcPr>
            <w:tcW w:w="780" w:type="dxa"/>
            <w:tcBorders>
              <w:tl2br w:val="nil"/>
              <w:tr2bl w:val="nil"/>
            </w:tcBorders>
            <w:vAlign w:val="center"/>
          </w:tcPr>
          <w:p>
            <w:pPr>
              <w:pStyle w:val="2"/>
              <w:tabs>
                <w:tab w:val="left" w:pos="480"/>
              </w:tabs>
              <w:ind w:firstLine="0" w:firstLineChars="0"/>
              <w:rPr>
                <w:sz w:val="21"/>
                <w:szCs w:val="21"/>
                <w:vertAlign w:val="baseline"/>
              </w:rPr>
            </w:pPr>
          </w:p>
        </w:tc>
        <w:tc>
          <w:tcPr>
            <w:tcW w:w="810" w:type="dxa"/>
            <w:tcBorders>
              <w:tl2br w:val="nil"/>
              <w:tr2bl w:val="nil"/>
            </w:tcBorders>
            <w:vAlign w:val="center"/>
          </w:tcPr>
          <w:p>
            <w:pPr>
              <w:pStyle w:val="2"/>
              <w:tabs>
                <w:tab w:val="left" w:pos="480"/>
              </w:tabs>
              <w:ind w:firstLine="0" w:firstLineChars="0"/>
              <w:rPr>
                <w:sz w:val="21"/>
                <w:szCs w:val="21"/>
                <w:vertAlign w:val="baseline"/>
              </w:rPr>
            </w:pPr>
          </w:p>
        </w:tc>
        <w:tc>
          <w:tcPr>
            <w:tcW w:w="477" w:type="dxa"/>
            <w:tcBorders>
              <w:tl2br w:val="nil"/>
              <w:tr2bl w:val="nil"/>
            </w:tcBorders>
            <w:vAlign w:val="center"/>
          </w:tcPr>
          <w:p>
            <w:pPr>
              <w:pStyle w:val="2"/>
              <w:tabs>
                <w:tab w:val="left" w:pos="480"/>
              </w:tabs>
              <w:ind w:firstLine="0" w:firstLineChars="0"/>
              <w:rPr>
                <w:sz w:val="21"/>
                <w:szCs w:val="21"/>
                <w:vertAlign w:val="baseli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23"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二、陆域平台区</w:t>
            </w:r>
          </w:p>
        </w:tc>
        <w:tc>
          <w:tcPr>
            <w:tcW w:w="846"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20851</w:t>
            </w:r>
          </w:p>
        </w:tc>
        <w:tc>
          <w:tcPr>
            <w:tcW w:w="75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15645</w:t>
            </w:r>
          </w:p>
        </w:tc>
        <w:tc>
          <w:tcPr>
            <w:tcW w:w="75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48167</w:t>
            </w:r>
          </w:p>
        </w:tc>
        <w:tc>
          <w:tcPr>
            <w:tcW w:w="846"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144709</w:t>
            </w:r>
          </w:p>
        </w:tc>
        <w:tc>
          <w:tcPr>
            <w:tcW w:w="846"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336810</w:t>
            </w:r>
          </w:p>
        </w:tc>
        <w:tc>
          <w:tcPr>
            <w:tcW w:w="75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14145</w:t>
            </w:r>
          </w:p>
        </w:tc>
        <w:tc>
          <w:tcPr>
            <w:tcW w:w="75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48167</w:t>
            </w:r>
          </w:p>
        </w:tc>
        <w:tc>
          <w:tcPr>
            <w:tcW w:w="846"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208268</w:t>
            </w:r>
          </w:p>
        </w:tc>
        <w:tc>
          <w:tcPr>
            <w:tcW w:w="75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66230</w:t>
            </w:r>
          </w:p>
        </w:tc>
        <w:tc>
          <w:tcPr>
            <w:tcW w:w="75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25625</w:t>
            </w:r>
          </w:p>
        </w:tc>
        <w:tc>
          <w:tcPr>
            <w:tcW w:w="822" w:type="dxa"/>
            <w:tcBorders>
              <w:tl2br w:val="nil"/>
              <w:tr2bl w:val="nil"/>
            </w:tcBorders>
            <w:vAlign w:val="center"/>
          </w:tcPr>
          <w:p>
            <w:pPr>
              <w:pStyle w:val="2"/>
              <w:tabs>
                <w:tab w:val="left" w:pos="480"/>
              </w:tabs>
              <w:ind w:firstLine="0" w:firstLineChars="0"/>
              <w:rPr>
                <w:sz w:val="21"/>
                <w:szCs w:val="21"/>
                <w:vertAlign w:val="baseline"/>
              </w:rPr>
            </w:pPr>
          </w:p>
        </w:tc>
        <w:tc>
          <w:tcPr>
            <w:tcW w:w="780"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11625</w:t>
            </w:r>
          </w:p>
        </w:tc>
        <w:tc>
          <w:tcPr>
            <w:tcW w:w="675" w:type="dxa"/>
            <w:tcBorders>
              <w:tl2br w:val="nil"/>
              <w:tr2bl w:val="nil"/>
            </w:tcBorders>
            <w:vAlign w:val="center"/>
          </w:tcPr>
          <w:p>
            <w:pPr>
              <w:pStyle w:val="2"/>
              <w:tabs>
                <w:tab w:val="left" w:pos="480"/>
              </w:tabs>
              <w:ind w:firstLine="0" w:firstLineChars="0"/>
              <w:rPr>
                <w:sz w:val="21"/>
                <w:szCs w:val="21"/>
                <w:vertAlign w:val="baseline"/>
              </w:rPr>
            </w:pPr>
          </w:p>
        </w:tc>
        <w:tc>
          <w:tcPr>
            <w:tcW w:w="855"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114289</w:t>
            </w:r>
          </w:p>
        </w:tc>
        <w:tc>
          <w:tcPr>
            <w:tcW w:w="780"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48059</w:t>
            </w:r>
          </w:p>
        </w:tc>
        <w:tc>
          <w:tcPr>
            <w:tcW w:w="810"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66230</w:t>
            </w:r>
          </w:p>
        </w:tc>
        <w:tc>
          <w:tcPr>
            <w:tcW w:w="477" w:type="dxa"/>
            <w:tcBorders>
              <w:tl2br w:val="nil"/>
              <w:tr2bl w:val="nil"/>
            </w:tcBorders>
            <w:vAlign w:val="center"/>
          </w:tcPr>
          <w:p>
            <w:pPr>
              <w:pStyle w:val="2"/>
              <w:tabs>
                <w:tab w:val="left" w:pos="480"/>
              </w:tabs>
              <w:ind w:firstLine="0" w:firstLineChars="0"/>
              <w:rPr>
                <w:rFonts w:hint="eastAsia" w:eastAsia="宋体"/>
                <w:sz w:val="21"/>
                <w:szCs w:val="21"/>
                <w:vertAlign w:val="baseline"/>
                <w:lang w:val="en-US" w:eastAsia="zh-CN"/>
              </w:rPr>
            </w:pPr>
            <w:r>
              <w:rPr>
                <w:rFonts w:hint="eastAsia"/>
                <w:sz w:val="21"/>
                <w:szCs w:val="21"/>
                <w:vertAlign w:val="baseline"/>
                <w:lang w:val="en-US" w:eastAsia="zh-CN"/>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23"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1、堆场、辅助设施区</w:t>
            </w:r>
          </w:p>
        </w:tc>
        <w:tc>
          <w:tcPr>
            <w:tcW w:w="846"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204501</w:t>
            </w:r>
          </w:p>
        </w:tc>
        <w:tc>
          <w:tcPr>
            <w:tcW w:w="75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11625</w:t>
            </w:r>
          </w:p>
        </w:tc>
        <w:tc>
          <w:tcPr>
            <w:tcW w:w="75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48167</w:t>
            </w:r>
          </w:p>
        </w:tc>
        <w:tc>
          <w:tcPr>
            <w:tcW w:w="846"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144709</w:t>
            </w:r>
          </w:p>
        </w:tc>
        <w:tc>
          <w:tcPr>
            <w:tcW w:w="846"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322665</w:t>
            </w:r>
          </w:p>
        </w:tc>
        <w:tc>
          <w:tcPr>
            <w:tcW w:w="752" w:type="dxa"/>
            <w:tcBorders>
              <w:tl2br w:val="nil"/>
              <w:tr2bl w:val="nil"/>
            </w:tcBorders>
            <w:vAlign w:val="center"/>
          </w:tcPr>
          <w:p>
            <w:pPr>
              <w:pStyle w:val="2"/>
              <w:tabs>
                <w:tab w:val="left" w:pos="480"/>
              </w:tabs>
              <w:ind w:firstLine="0" w:firstLineChars="0"/>
              <w:rPr>
                <w:sz w:val="21"/>
                <w:szCs w:val="21"/>
                <w:vertAlign w:val="baseline"/>
              </w:rPr>
            </w:pPr>
          </w:p>
        </w:tc>
        <w:tc>
          <w:tcPr>
            <w:tcW w:w="75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48167</w:t>
            </w:r>
          </w:p>
        </w:tc>
        <w:tc>
          <w:tcPr>
            <w:tcW w:w="846"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208268</w:t>
            </w:r>
          </w:p>
        </w:tc>
        <w:tc>
          <w:tcPr>
            <w:tcW w:w="75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66230</w:t>
            </w:r>
          </w:p>
        </w:tc>
        <w:tc>
          <w:tcPr>
            <w:tcW w:w="75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15500</w:t>
            </w:r>
          </w:p>
        </w:tc>
        <w:tc>
          <w:tcPr>
            <w:tcW w:w="82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码头及引桥作业带</w:t>
            </w:r>
          </w:p>
        </w:tc>
        <w:tc>
          <w:tcPr>
            <w:tcW w:w="780"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11625</w:t>
            </w:r>
          </w:p>
        </w:tc>
        <w:tc>
          <w:tcPr>
            <w:tcW w:w="675"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施工临建区、绿化区</w:t>
            </w:r>
          </w:p>
        </w:tc>
        <w:tc>
          <w:tcPr>
            <w:tcW w:w="855" w:type="dxa"/>
            <w:tcBorders>
              <w:tl2br w:val="nil"/>
              <w:tr2bl w:val="nil"/>
            </w:tcBorders>
            <w:vAlign w:val="center"/>
          </w:tcPr>
          <w:p>
            <w:pPr>
              <w:pStyle w:val="2"/>
              <w:tabs>
                <w:tab w:val="left" w:pos="480"/>
              </w:tabs>
              <w:ind w:firstLine="0" w:firstLineChars="0"/>
              <w:rPr>
                <w:sz w:val="21"/>
                <w:szCs w:val="21"/>
                <w:vertAlign w:val="baseline"/>
              </w:rPr>
            </w:pPr>
            <w:r>
              <w:rPr>
                <w:rFonts w:hint="eastAsia"/>
                <w:sz w:val="21"/>
                <w:szCs w:val="21"/>
                <w:vertAlign w:val="baseline"/>
                <w:lang w:val="en-US" w:eastAsia="zh-CN"/>
              </w:rPr>
              <w:t>114289</w:t>
            </w:r>
          </w:p>
        </w:tc>
        <w:tc>
          <w:tcPr>
            <w:tcW w:w="780" w:type="dxa"/>
            <w:tcBorders>
              <w:tl2br w:val="nil"/>
              <w:tr2bl w:val="nil"/>
            </w:tcBorders>
            <w:vAlign w:val="center"/>
          </w:tcPr>
          <w:p>
            <w:pPr>
              <w:pStyle w:val="2"/>
              <w:tabs>
                <w:tab w:val="left" w:pos="480"/>
              </w:tabs>
              <w:ind w:firstLine="0" w:firstLineChars="0"/>
              <w:rPr>
                <w:sz w:val="21"/>
                <w:szCs w:val="21"/>
                <w:vertAlign w:val="baseline"/>
              </w:rPr>
            </w:pPr>
            <w:r>
              <w:rPr>
                <w:rFonts w:hint="eastAsia"/>
                <w:sz w:val="21"/>
                <w:szCs w:val="21"/>
                <w:vertAlign w:val="baseline"/>
                <w:lang w:val="en-US" w:eastAsia="zh-CN"/>
              </w:rPr>
              <w:t>48059</w:t>
            </w:r>
          </w:p>
        </w:tc>
        <w:tc>
          <w:tcPr>
            <w:tcW w:w="810" w:type="dxa"/>
            <w:tcBorders>
              <w:tl2br w:val="nil"/>
              <w:tr2bl w:val="nil"/>
            </w:tcBorders>
            <w:vAlign w:val="center"/>
          </w:tcPr>
          <w:p>
            <w:pPr>
              <w:pStyle w:val="2"/>
              <w:tabs>
                <w:tab w:val="left" w:pos="480"/>
              </w:tabs>
              <w:ind w:firstLine="0" w:firstLineChars="0"/>
              <w:rPr>
                <w:sz w:val="21"/>
                <w:szCs w:val="21"/>
                <w:vertAlign w:val="baseline"/>
              </w:rPr>
            </w:pPr>
            <w:r>
              <w:rPr>
                <w:rFonts w:hint="eastAsia"/>
                <w:sz w:val="21"/>
                <w:szCs w:val="21"/>
                <w:vertAlign w:val="baseline"/>
                <w:lang w:val="en-US" w:eastAsia="zh-CN"/>
              </w:rPr>
              <w:t>66230</w:t>
            </w:r>
          </w:p>
        </w:tc>
        <w:tc>
          <w:tcPr>
            <w:tcW w:w="477" w:type="dxa"/>
            <w:tcBorders>
              <w:tl2br w:val="nil"/>
              <w:tr2bl w:val="nil"/>
            </w:tcBorders>
            <w:vAlign w:val="center"/>
          </w:tcPr>
          <w:p>
            <w:pPr>
              <w:pStyle w:val="2"/>
              <w:tabs>
                <w:tab w:val="left" w:pos="480"/>
              </w:tabs>
              <w:ind w:firstLine="0" w:firstLineChars="0"/>
              <w:rPr>
                <w:sz w:val="21"/>
                <w:szCs w:val="21"/>
                <w:vertAlign w:val="baseline"/>
              </w:rPr>
            </w:pPr>
            <w:r>
              <w:rPr>
                <w:rFonts w:hint="eastAsia"/>
                <w:sz w:val="21"/>
                <w:szCs w:val="21"/>
                <w:vertAlign w:val="baseline"/>
                <w:lang w:val="en-US" w:eastAsia="zh-CN"/>
              </w:rPr>
              <w:t>外购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23"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2、绿化区</w:t>
            </w:r>
          </w:p>
        </w:tc>
        <w:tc>
          <w:tcPr>
            <w:tcW w:w="846"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4020</w:t>
            </w:r>
          </w:p>
        </w:tc>
        <w:tc>
          <w:tcPr>
            <w:tcW w:w="75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4020</w:t>
            </w:r>
          </w:p>
        </w:tc>
        <w:tc>
          <w:tcPr>
            <w:tcW w:w="752" w:type="dxa"/>
            <w:tcBorders>
              <w:tl2br w:val="nil"/>
              <w:tr2bl w:val="nil"/>
            </w:tcBorders>
            <w:vAlign w:val="center"/>
          </w:tcPr>
          <w:p>
            <w:pPr>
              <w:pStyle w:val="2"/>
              <w:tabs>
                <w:tab w:val="left" w:pos="480"/>
              </w:tabs>
              <w:ind w:firstLine="0" w:firstLineChars="0"/>
              <w:rPr>
                <w:sz w:val="21"/>
                <w:szCs w:val="21"/>
                <w:vertAlign w:val="baseline"/>
              </w:rPr>
            </w:pPr>
          </w:p>
        </w:tc>
        <w:tc>
          <w:tcPr>
            <w:tcW w:w="846" w:type="dxa"/>
            <w:tcBorders>
              <w:tl2br w:val="nil"/>
              <w:tr2bl w:val="nil"/>
            </w:tcBorders>
            <w:vAlign w:val="center"/>
          </w:tcPr>
          <w:p>
            <w:pPr>
              <w:pStyle w:val="2"/>
              <w:tabs>
                <w:tab w:val="left" w:pos="480"/>
              </w:tabs>
              <w:ind w:firstLine="0" w:firstLineChars="0"/>
              <w:rPr>
                <w:sz w:val="21"/>
                <w:szCs w:val="21"/>
                <w:vertAlign w:val="baseline"/>
              </w:rPr>
            </w:pPr>
          </w:p>
        </w:tc>
        <w:tc>
          <w:tcPr>
            <w:tcW w:w="846"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14145</w:t>
            </w:r>
          </w:p>
        </w:tc>
        <w:tc>
          <w:tcPr>
            <w:tcW w:w="75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14145</w:t>
            </w:r>
          </w:p>
        </w:tc>
        <w:tc>
          <w:tcPr>
            <w:tcW w:w="752" w:type="dxa"/>
            <w:tcBorders>
              <w:tl2br w:val="nil"/>
              <w:tr2bl w:val="nil"/>
            </w:tcBorders>
            <w:vAlign w:val="center"/>
          </w:tcPr>
          <w:p>
            <w:pPr>
              <w:pStyle w:val="2"/>
              <w:tabs>
                <w:tab w:val="left" w:pos="480"/>
              </w:tabs>
              <w:ind w:firstLine="0" w:firstLineChars="0"/>
              <w:rPr>
                <w:sz w:val="21"/>
                <w:szCs w:val="21"/>
                <w:vertAlign w:val="baseline"/>
              </w:rPr>
            </w:pPr>
          </w:p>
        </w:tc>
        <w:tc>
          <w:tcPr>
            <w:tcW w:w="846" w:type="dxa"/>
            <w:tcBorders>
              <w:tl2br w:val="nil"/>
              <w:tr2bl w:val="nil"/>
            </w:tcBorders>
            <w:vAlign w:val="center"/>
          </w:tcPr>
          <w:p>
            <w:pPr>
              <w:pStyle w:val="2"/>
              <w:tabs>
                <w:tab w:val="left" w:pos="480"/>
              </w:tabs>
              <w:ind w:firstLine="0" w:firstLineChars="0"/>
              <w:rPr>
                <w:sz w:val="21"/>
                <w:szCs w:val="21"/>
                <w:vertAlign w:val="baseline"/>
              </w:rPr>
            </w:pPr>
          </w:p>
        </w:tc>
        <w:tc>
          <w:tcPr>
            <w:tcW w:w="752" w:type="dxa"/>
            <w:tcBorders>
              <w:tl2br w:val="nil"/>
              <w:tr2bl w:val="nil"/>
            </w:tcBorders>
            <w:vAlign w:val="center"/>
          </w:tcPr>
          <w:p>
            <w:pPr>
              <w:pStyle w:val="2"/>
              <w:tabs>
                <w:tab w:val="left" w:pos="480"/>
              </w:tabs>
              <w:ind w:firstLine="0" w:firstLineChars="0"/>
              <w:rPr>
                <w:sz w:val="21"/>
                <w:szCs w:val="21"/>
                <w:vertAlign w:val="baseline"/>
              </w:rPr>
            </w:pPr>
          </w:p>
        </w:tc>
        <w:tc>
          <w:tcPr>
            <w:tcW w:w="75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10125</w:t>
            </w:r>
          </w:p>
        </w:tc>
        <w:tc>
          <w:tcPr>
            <w:tcW w:w="82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堆场、辅助设施区</w:t>
            </w:r>
          </w:p>
        </w:tc>
        <w:tc>
          <w:tcPr>
            <w:tcW w:w="780" w:type="dxa"/>
            <w:tcBorders>
              <w:tl2br w:val="nil"/>
              <w:tr2bl w:val="nil"/>
            </w:tcBorders>
            <w:vAlign w:val="center"/>
          </w:tcPr>
          <w:p>
            <w:pPr>
              <w:pStyle w:val="2"/>
              <w:tabs>
                <w:tab w:val="left" w:pos="480"/>
              </w:tabs>
              <w:ind w:firstLine="0" w:firstLineChars="0"/>
              <w:rPr>
                <w:sz w:val="21"/>
                <w:szCs w:val="21"/>
                <w:vertAlign w:val="baseline"/>
              </w:rPr>
            </w:pPr>
          </w:p>
        </w:tc>
        <w:tc>
          <w:tcPr>
            <w:tcW w:w="675" w:type="dxa"/>
            <w:tcBorders>
              <w:tl2br w:val="nil"/>
              <w:tr2bl w:val="nil"/>
            </w:tcBorders>
            <w:vAlign w:val="center"/>
          </w:tcPr>
          <w:p>
            <w:pPr>
              <w:pStyle w:val="2"/>
              <w:tabs>
                <w:tab w:val="left" w:pos="480"/>
              </w:tabs>
              <w:ind w:firstLine="0" w:firstLineChars="0"/>
              <w:rPr>
                <w:sz w:val="21"/>
                <w:szCs w:val="21"/>
                <w:vertAlign w:val="baseline"/>
              </w:rPr>
            </w:pPr>
          </w:p>
        </w:tc>
        <w:tc>
          <w:tcPr>
            <w:tcW w:w="855" w:type="dxa"/>
            <w:tcBorders>
              <w:tl2br w:val="nil"/>
              <w:tr2bl w:val="nil"/>
            </w:tcBorders>
            <w:vAlign w:val="center"/>
          </w:tcPr>
          <w:p>
            <w:pPr>
              <w:pStyle w:val="2"/>
              <w:tabs>
                <w:tab w:val="left" w:pos="480"/>
              </w:tabs>
              <w:ind w:firstLine="0" w:firstLineChars="0"/>
              <w:rPr>
                <w:sz w:val="21"/>
                <w:szCs w:val="21"/>
                <w:vertAlign w:val="baseline"/>
              </w:rPr>
            </w:pPr>
          </w:p>
        </w:tc>
        <w:tc>
          <w:tcPr>
            <w:tcW w:w="780" w:type="dxa"/>
            <w:tcBorders>
              <w:tl2br w:val="nil"/>
              <w:tr2bl w:val="nil"/>
            </w:tcBorders>
            <w:vAlign w:val="center"/>
          </w:tcPr>
          <w:p>
            <w:pPr>
              <w:pStyle w:val="2"/>
              <w:tabs>
                <w:tab w:val="left" w:pos="480"/>
              </w:tabs>
              <w:ind w:firstLine="0" w:firstLineChars="0"/>
              <w:rPr>
                <w:sz w:val="21"/>
                <w:szCs w:val="21"/>
                <w:vertAlign w:val="baseline"/>
              </w:rPr>
            </w:pPr>
          </w:p>
        </w:tc>
        <w:tc>
          <w:tcPr>
            <w:tcW w:w="810" w:type="dxa"/>
            <w:tcBorders>
              <w:tl2br w:val="nil"/>
              <w:tr2bl w:val="nil"/>
            </w:tcBorders>
            <w:vAlign w:val="center"/>
          </w:tcPr>
          <w:p>
            <w:pPr>
              <w:pStyle w:val="2"/>
              <w:tabs>
                <w:tab w:val="left" w:pos="480"/>
              </w:tabs>
              <w:ind w:firstLine="0" w:firstLineChars="0"/>
              <w:rPr>
                <w:sz w:val="21"/>
                <w:szCs w:val="21"/>
                <w:vertAlign w:val="baseline"/>
              </w:rPr>
            </w:pPr>
          </w:p>
        </w:tc>
        <w:tc>
          <w:tcPr>
            <w:tcW w:w="477" w:type="dxa"/>
            <w:tcBorders>
              <w:tl2br w:val="nil"/>
              <w:tr2bl w:val="nil"/>
            </w:tcBorders>
            <w:vAlign w:val="center"/>
          </w:tcPr>
          <w:p>
            <w:pPr>
              <w:pStyle w:val="2"/>
              <w:tabs>
                <w:tab w:val="left" w:pos="480"/>
              </w:tabs>
              <w:ind w:firstLine="0" w:firstLineChars="0"/>
              <w:rPr>
                <w:sz w:val="21"/>
                <w:szCs w:val="21"/>
                <w:vertAlign w:val="baseli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23" w:type="dxa"/>
            <w:tcBorders>
              <w:tl2br w:val="nil"/>
              <w:tr2bl w:val="nil"/>
            </w:tcBorders>
            <w:vAlign w:val="center"/>
          </w:tcPr>
          <w:p>
            <w:pPr>
              <w:pStyle w:val="2"/>
              <w:tabs>
                <w:tab w:val="left" w:pos="480"/>
              </w:tabs>
              <w:ind w:firstLine="0" w:firstLineChars="0"/>
              <w:rPr>
                <w:rFonts w:hint="eastAsia" w:eastAsia="宋体"/>
                <w:sz w:val="21"/>
                <w:szCs w:val="21"/>
                <w:vertAlign w:val="baseline"/>
                <w:lang w:val="en-US" w:eastAsia="zh-CN"/>
              </w:rPr>
            </w:pPr>
            <w:r>
              <w:rPr>
                <w:rFonts w:hint="eastAsia"/>
                <w:sz w:val="21"/>
                <w:szCs w:val="21"/>
                <w:vertAlign w:val="baseline"/>
                <w:lang w:val="en-US" w:eastAsia="zh-CN"/>
              </w:rPr>
              <w:t>三、合计</w:t>
            </w:r>
          </w:p>
        </w:tc>
        <w:tc>
          <w:tcPr>
            <w:tcW w:w="846"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224021</w:t>
            </w:r>
          </w:p>
        </w:tc>
        <w:tc>
          <w:tcPr>
            <w:tcW w:w="75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15645</w:t>
            </w:r>
          </w:p>
        </w:tc>
        <w:tc>
          <w:tcPr>
            <w:tcW w:w="75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48167</w:t>
            </w:r>
          </w:p>
        </w:tc>
        <w:tc>
          <w:tcPr>
            <w:tcW w:w="846"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160209</w:t>
            </w:r>
          </w:p>
        </w:tc>
        <w:tc>
          <w:tcPr>
            <w:tcW w:w="846"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338310</w:t>
            </w:r>
          </w:p>
        </w:tc>
        <w:tc>
          <w:tcPr>
            <w:tcW w:w="75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15645</w:t>
            </w:r>
          </w:p>
        </w:tc>
        <w:tc>
          <w:tcPr>
            <w:tcW w:w="75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48167</w:t>
            </w:r>
          </w:p>
        </w:tc>
        <w:tc>
          <w:tcPr>
            <w:tcW w:w="846"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208268</w:t>
            </w:r>
          </w:p>
        </w:tc>
        <w:tc>
          <w:tcPr>
            <w:tcW w:w="75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66230</w:t>
            </w:r>
          </w:p>
        </w:tc>
        <w:tc>
          <w:tcPr>
            <w:tcW w:w="752"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27125</w:t>
            </w:r>
          </w:p>
        </w:tc>
        <w:tc>
          <w:tcPr>
            <w:tcW w:w="822" w:type="dxa"/>
            <w:tcBorders>
              <w:tl2br w:val="nil"/>
              <w:tr2bl w:val="nil"/>
            </w:tcBorders>
            <w:vAlign w:val="center"/>
          </w:tcPr>
          <w:p>
            <w:pPr>
              <w:pStyle w:val="2"/>
              <w:tabs>
                <w:tab w:val="left" w:pos="480"/>
              </w:tabs>
              <w:ind w:firstLine="0" w:firstLineChars="0"/>
              <w:rPr>
                <w:sz w:val="21"/>
                <w:szCs w:val="21"/>
                <w:vertAlign w:val="baseline"/>
              </w:rPr>
            </w:pPr>
          </w:p>
        </w:tc>
        <w:tc>
          <w:tcPr>
            <w:tcW w:w="780"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27125</w:t>
            </w:r>
          </w:p>
        </w:tc>
        <w:tc>
          <w:tcPr>
            <w:tcW w:w="675"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p>
        </w:tc>
        <w:tc>
          <w:tcPr>
            <w:tcW w:w="855"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114289</w:t>
            </w:r>
          </w:p>
        </w:tc>
        <w:tc>
          <w:tcPr>
            <w:tcW w:w="780"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48059</w:t>
            </w:r>
          </w:p>
        </w:tc>
        <w:tc>
          <w:tcPr>
            <w:tcW w:w="810" w:type="dxa"/>
            <w:tcBorders>
              <w:tl2br w:val="nil"/>
              <w:tr2bl w:val="nil"/>
            </w:tcBorders>
            <w:vAlign w:val="center"/>
          </w:tcPr>
          <w:p>
            <w:pPr>
              <w:pStyle w:val="2"/>
              <w:tabs>
                <w:tab w:val="left" w:pos="480"/>
              </w:tabs>
              <w:ind w:firstLine="0" w:firstLineChars="0"/>
              <w:rPr>
                <w:sz w:val="21"/>
                <w:szCs w:val="21"/>
                <w:vertAlign w:val="baseline"/>
              </w:rPr>
            </w:pPr>
            <w:r>
              <w:rPr>
                <w:rFonts w:hint="eastAsia"/>
                <w:sz w:val="21"/>
                <w:szCs w:val="21"/>
                <w:vertAlign w:val="baseline"/>
                <w:lang w:val="en-US" w:eastAsia="zh-CN"/>
              </w:rPr>
              <w:t>66230</w:t>
            </w:r>
          </w:p>
        </w:tc>
        <w:tc>
          <w:tcPr>
            <w:tcW w:w="477" w:type="dxa"/>
            <w:tcBorders>
              <w:tl2br w:val="nil"/>
              <w:tr2bl w:val="nil"/>
            </w:tcBorders>
            <w:vAlign w:val="center"/>
          </w:tcPr>
          <w:p>
            <w:pPr>
              <w:pStyle w:val="2"/>
              <w:tabs>
                <w:tab w:val="left" w:pos="480"/>
              </w:tabs>
              <w:ind w:firstLine="0" w:firstLineChars="0"/>
              <w:rPr>
                <w:sz w:val="21"/>
                <w:szCs w:val="21"/>
                <w:vertAlign w:val="baseline"/>
              </w:rPr>
            </w:pPr>
          </w:p>
        </w:tc>
      </w:tr>
    </w:tbl>
    <w:p>
      <w:pPr>
        <w:pStyle w:val="2285"/>
        <w:ind w:left="0"/>
        <w:rPr>
          <w:rFonts w:cs="Times New Roman"/>
        </w:rPr>
      </w:pPr>
      <w:r>
        <w:rPr>
          <w:rFonts w:hint="eastAsia" w:cs="Times New Roman"/>
          <w:lang w:val="en-US" w:eastAsia="zh-CN"/>
        </w:rPr>
        <w:t>表土剥离回填及堆置方案表</w:t>
      </w:r>
    </w:p>
    <w:tbl>
      <w:tblPr>
        <w:tblStyle w:val="88"/>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61"/>
        <w:gridCol w:w="1100"/>
        <w:gridCol w:w="973"/>
        <w:gridCol w:w="816"/>
        <w:gridCol w:w="873"/>
        <w:gridCol w:w="867"/>
        <w:gridCol w:w="867"/>
        <w:gridCol w:w="830"/>
        <w:gridCol w:w="867"/>
        <w:gridCol w:w="1001"/>
        <w:gridCol w:w="781"/>
        <w:gridCol w:w="732"/>
        <w:gridCol w:w="819"/>
        <w:gridCol w:w="819"/>
        <w:gridCol w:w="819"/>
        <w:gridCol w:w="9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760" w:type="pct"/>
            <w:gridSpan w:val="2"/>
            <w:vMerge w:val="restart"/>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施工单元</w:t>
            </w:r>
          </w:p>
        </w:tc>
        <w:tc>
          <w:tcPr>
            <w:tcW w:w="936" w:type="pct"/>
            <w:gridSpan w:val="3"/>
            <w:tcBorders>
              <w:bottom w:val="single" w:color="auto" w:sz="4" w:space="0"/>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表土剥离</w:t>
            </w:r>
          </w:p>
        </w:tc>
        <w:tc>
          <w:tcPr>
            <w:tcW w:w="902" w:type="pct"/>
            <w:gridSpan w:val="3"/>
            <w:tcBorders>
              <w:bottom w:val="single" w:color="auto" w:sz="4" w:space="0"/>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表土回填</w:t>
            </w:r>
          </w:p>
        </w:tc>
        <w:tc>
          <w:tcPr>
            <w:tcW w:w="657" w:type="pct"/>
            <w:gridSpan w:val="2"/>
            <w:tcBorders>
              <w:bottom w:val="single" w:color="auto" w:sz="4" w:space="0"/>
            </w:tcBorders>
            <w:vAlign w:val="center"/>
          </w:tcPr>
          <w:p>
            <w:pPr>
              <w:pStyle w:val="2"/>
              <w:tabs>
                <w:tab w:val="left" w:pos="480"/>
              </w:tabs>
              <w:ind w:firstLine="0" w:firstLineChars="0"/>
              <w:rPr>
                <w:rFonts w:hint="eastAsia" w:eastAsia="宋体"/>
                <w:sz w:val="21"/>
                <w:szCs w:val="21"/>
                <w:vertAlign w:val="baseline"/>
                <w:lang w:val="en-US" w:eastAsia="zh-CN"/>
              </w:rPr>
            </w:pPr>
            <w:r>
              <w:rPr>
                <w:rFonts w:hint="eastAsia"/>
                <w:sz w:val="21"/>
                <w:szCs w:val="21"/>
                <w:vertAlign w:val="baseline"/>
                <w:lang w:val="en-US" w:eastAsia="zh-CN"/>
              </w:rPr>
              <w:t>调入</w:t>
            </w:r>
          </w:p>
        </w:tc>
        <w:tc>
          <w:tcPr>
            <w:tcW w:w="532" w:type="pct"/>
            <w:gridSpan w:val="2"/>
            <w:tcBorders>
              <w:bottom w:val="single" w:color="auto" w:sz="4" w:space="0"/>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调出</w:t>
            </w:r>
          </w:p>
        </w:tc>
        <w:tc>
          <w:tcPr>
            <w:tcW w:w="1210" w:type="pct"/>
            <w:gridSpan w:val="4"/>
            <w:tcBorders>
              <w:bottom w:val="single" w:color="auto" w:sz="4" w:space="0"/>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临时堆置方案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60" w:type="pct"/>
            <w:gridSpan w:val="2"/>
            <w:vMerge w:val="continue"/>
            <w:tcBorders>
              <w:bottom w:val="single" w:color="auto" w:sz="12" w:space="0"/>
            </w:tcBorders>
            <w:vAlign w:val="center"/>
          </w:tcPr>
          <w:p>
            <w:pPr>
              <w:pStyle w:val="2"/>
              <w:tabs>
                <w:tab w:val="left" w:pos="480"/>
              </w:tabs>
              <w:ind w:firstLine="0" w:firstLineChars="0"/>
              <w:rPr>
                <w:rFonts w:hint="eastAsia"/>
                <w:sz w:val="21"/>
                <w:szCs w:val="21"/>
                <w:vertAlign w:val="baseline"/>
              </w:rPr>
            </w:pPr>
          </w:p>
        </w:tc>
        <w:tc>
          <w:tcPr>
            <w:tcW w:w="342" w:type="pct"/>
            <w:tcBorders>
              <w:top w:val="single" w:color="auto" w:sz="4" w:space="0"/>
              <w:bottom w:val="single" w:color="auto" w:sz="12" w:space="0"/>
            </w:tcBorders>
            <w:vAlign w:val="center"/>
          </w:tcPr>
          <w:p>
            <w:pPr>
              <w:pStyle w:val="2"/>
              <w:tabs>
                <w:tab w:val="left" w:pos="480"/>
              </w:tabs>
              <w:ind w:firstLine="0" w:firstLineChars="0"/>
              <w:rPr>
                <w:rFonts w:hint="eastAsia"/>
                <w:sz w:val="21"/>
                <w:szCs w:val="21"/>
                <w:vertAlign w:val="baseline"/>
                <w:lang w:val="en-US" w:eastAsia="zh-CN"/>
              </w:rPr>
            </w:pPr>
            <w:r>
              <w:rPr>
                <w:rFonts w:hint="eastAsia"/>
                <w:sz w:val="21"/>
                <w:szCs w:val="21"/>
                <w:vertAlign w:val="baseline"/>
                <w:lang w:val="en-US" w:eastAsia="zh-CN"/>
              </w:rPr>
              <w:t>面积</w:t>
            </w:r>
          </w:p>
          <w:p>
            <w:pPr>
              <w:pStyle w:val="2"/>
              <w:tabs>
                <w:tab w:val="left" w:pos="480"/>
              </w:tabs>
              <w:ind w:firstLine="0" w:firstLineChars="0"/>
              <w:rPr>
                <w:rFonts w:hint="eastAsia"/>
                <w:sz w:val="21"/>
                <w:szCs w:val="21"/>
                <w:vertAlign w:val="baseline"/>
                <w:lang w:val="en-US" w:eastAsia="zh-CN"/>
              </w:rPr>
            </w:pPr>
            <w:r>
              <w:rPr>
                <w:rFonts w:hint="eastAsia"/>
                <w:sz w:val="21"/>
                <w:szCs w:val="21"/>
                <w:vertAlign w:val="baseline"/>
                <w:lang w:val="en-US" w:eastAsia="zh-CN"/>
              </w:rPr>
              <w:t>（hm</w:t>
            </w:r>
            <w:r>
              <w:rPr>
                <w:rFonts w:hint="eastAsia"/>
                <w:sz w:val="21"/>
                <w:szCs w:val="21"/>
                <w:vertAlign w:val="superscript"/>
                <w:lang w:val="en-US" w:eastAsia="zh-CN"/>
              </w:rPr>
              <w:t>2</w:t>
            </w:r>
            <w:r>
              <w:rPr>
                <w:rFonts w:hint="eastAsia"/>
                <w:sz w:val="21"/>
                <w:szCs w:val="21"/>
                <w:vertAlign w:val="baseline"/>
                <w:lang w:val="en-US" w:eastAsia="zh-CN"/>
              </w:rPr>
              <w:t>）</w:t>
            </w:r>
          </w:p>
        </w:tc>
        <w:tc>
          <w:tcPr>
            <w:tcW w:w="287" w:type="pct"/>
            <w:tcBorders>
              <w:top w:val="single" w:color="auto" w:sz="4" w:space="0"/>
              <w:bottom w:val="single" w:color="auto" w:sz="12" w:space="0"/>
            </w:tcBorders>
            <w:vAlign w:val="center"/>
          </w:tcPr>
          <w:p>
            <w:pPr>
              <w:pStyle w:val="2"/>
              <w:tabs>
                <w:tab w:val="left" w:pos="480"/>
              </w:tabs>
              <w:ind w:firstLine="0" w:firstLineChars="0"/>
              <w:rPr>
                <w:rFonts w:hint="eastAsia"/>
                <w:sz w:val="21"/>
                <w:szCs w:val="21"/>
                <w:vertAlign w:val="baseline"/>
                <w:lang w:val="en-US" w:eastAsia="zh-CN"/>
              </w:rPr>
            </w:pPr>
            <w:r>
              <w:rPr>
                <w:rFonts w:hint="eastAsia"/>
                <w:sz w:val="21"/>
                <w:szCs w:val="21"/>
                <w:vertAlign w:val="baseline"/>
                <w:lang w:val="en-US" w:eastAsia="zh-CN"/>
              </w:rPr>
              <w:t>厚度</w:t>
            </w:r>
          </w:p>
          <w:p>
            <w:pPr>
              <w:pStyle w:val="2"/>
              <w:tabs>
                <w:tab w:val="left" w:pos="480"/>
              </w:tabs>
              <w:ind w:firstLine="0" w:firstLineChars="0"/>
              <w:rPr>
                <w:rFonts w:hint="default"/>
                <w:sz w:val="21"/>
                <w:szCs w:val="21"/>
                <w:vertAlign w:val="baseline"/>
                <w:lang w:val="en-US" w:eastAsia="zh-CN"/>
              </w:rPr>
            </w:pPr>
            <w:r>
              <w:rPr>
                <w:rFonts w:hint="eastAsia"/>
                <w:sz w:val="21"/>
                <w:szCs w:val="21"/>
                <w:vertAlign w:val="baseline"/>
                <w:lang w:val="en-US" w:eastAsia="zh-CN"/>
              </w:rPr>
              <w:t>（m）</w:t>
            </w:r>
          </w:p>
        </w:tc>
        <w:tc>
          <w:tcPr>
            <w:tcW w:w="307" w:type="pct"/>
            <w:tcBorders>
              <w:top w:val="single" w:color="auto" w:sz="4" w:space="0"/>
              <w:bottom w:val="single" w:color="auto" w:sz="12" w:space="0"/>
            </w:tcBorders>
            <w:vAlign w:val="center"/>
          </w:tcPr>
          <w:p>
            <w:pPr>
              <w:pStyle w:val="2"/>
              <w:tabs>
                <w:tab w:val="left" w:pos="480"/>
              </w:tabs>
              <w:ind w:firstLine="0" w:firstLineChars="0"/>
              <w:rPr>
                <w:rFonts w:hint="eastAsia"/>
                <w:sz w:val="21"/>
                <w:szCs w:val="21"/>
                <w:vertAlign w:val="baseline"/>
                <w:lang w:val="en-US" w:eastAsia="zh-CN"/>
              </w:rPr>
            </w:pPr>
            <w:r>
              <w:rPr>
                <w:rFonts w:hint="eastAsia"/>
                <w:sz w:val="21"/>
                <w:szCs w:val="21"/>
                <w:vertAlign w:val="baseline"/>
                <w:lang w:val="en-US" w:eastAsia="zh-CN"/>
              </w:rPr>
              <w:t>剥离量</w:t>
            </w:r>
          </w:p>
          <w:p>
            <w:pPr>
              <w:pStyle w:val="2"/>
              <w:tabs>
                <w:tab w:val="left" w:pos="480"/>
              </w:tabs>
              <w:ind w:firstLine="0" w:firstLineChars="0"/>
              <w:rPr>
                <w:rFonts w:hint="default"/>
                <w:sz w:val="21"/>
                <w:szCs w:val="21"/>
                <w:vertAlign w:val="baseline"/>
                <w:lang w:val="en-US" w:eastAsia="zh-CN"/>
              </w:rPr>
            </w:pPr>
            <w:r>
              <w:rPr>
                <w:rFonts w:hint="eastAsia"/>
                <w:sz w:val="21"/>
                <w:szCs w:val="21"/>
                <w:vertAlign w:val="baseline"/>
                <w:lang w:val="en-US" w:eastAsia="zh-CN"/>
              </w:rPr>
              <w:t>（m</w:t>
            </w:r>
            <w:r>
              <w:rPr>
                <w:rFonts w:hint="eastAsia"/>
                <w:sz w:val="21"/>
                <w:szCs w:val="21"/>
                <w:vertAlign w:val="superscript"/>
                <w:lang w:val="en-US" w:eastAsia="zh-CN"/>
              </w:rPr>
              <w:t>3</w:t>
            </w:r>
            <w:r>
              <w:rPr>
                <w:rFonts w:hint="eastAsia"/>
                <w:sz w:val="21"/>
                <w:szCs w:val="21"/>
                <w:vertAlign w:val="baseline"/>
                <w:lang w:val="en-US" w:eastAsia="zh-CN"/>
              </w:rPr>
              <w:t>）</w:t>
            </w:r>
          </w:p>
        </w:tc>
        <w:tc>
          <w:tcPr>
            <w:tcW w:w="305" w:type="pct"/>
            <w:tcBorders>
              <w:top w:val="single" w:color="auto" w:sz="4" w:space="0"/>
              <w:bottom w:val="single" w:color="auto" w:sz="12" w:space="0"/>
            </w:tcBorders>
            <w:vAlign w:val="center"/>
          </w:tcPr>
          <w:p>
            <w:pPr>
              <w:pStyle w:val="2"/>
              <w:tabs>
                <w:tab w:val="left" w:pos="480"/>
              </w:tabs>
              <w:ind w:firstLine="0" w:firstLineChars="0"/>
              <w:rPr>
                <w:rFonts w:hint="eastAsia"/>
                <w:sz w:val="21"/>
                <w:szCs w:val="21"/>
                <w:vertAlign w:val="baseline"/>
                <w:lang w:val="en-US" w:eastAsia="zh-CN"/>
              </w:rPr>
            </w:pPr>
            <w:r>
              <w:rPr>
                <w:rFonts w:hint="eastAsia"/>
                <w:sz w:val="21"/>
                <w:szCs w:val="21"/>
                <w:vertAlign w:val="baseline"/>
                <w:lang w:val="en-US" w:eastAsia="zh-CN"/>
              </w:rPr>
              <w:t>回填面积</w:t>
            </w:r>
          </w:p>
          <w:p>
            <w:pPr>
              <w:pStyle w:val="2"/>
              <w:tabs>
                <w:tab w:val="left" w:pos="480"/>
              </w:tabs>
              <w:ind w:firstLine="0" w:firstLineChars="0"/>
              <w:rPr>
                <w:rFonts w:hint="default"/>
                <w:sz w:val="21"/>
                <w:szCs w:val="21"/>
                <w:vertAlign w:val="baseline"/>
                <w:lang w:val="en-US" w:eastAsia="zh-CN"/>
              </w:rPr>
            </w:pPr>
            <w:r>
              <w:rPr>
                <w:rFonts w:hint="eastAsia"/>
                <w:sz w:val="21"/>
                <w:szCs w:val="21"/>
                <w:vertAlign w:val="baseline"/>
                <w:lang w:val="en-US" w:eastAsia="zh-CN"/>
              </w:rPr>
              <w:t>（m</w:t>
            </w:r>
            <w:r>
              <w:rPr>
                <w:rFonts w:hint="eastAsia"/>
                <w:sz w:val="21"/>
                <w:szCs w:val="21"/>
                <w:vertAlign w:val="superscript"/>
                <w:lang w:val="en-US" w:eastAsia="zh-CN"/>
              </w:rPr>
              <w:t>3</w:t>
            </w:r>
            <w:r>
              <w:rPr>
                <w:rFonts w:hint="eastAsia"/>
                <w:sz w:val="21"/>
                <w:szCs w:val="21"/>
                <w:vertAlign w:val="baseline"/>
                <w:lang w:val="en-US" w:eastAsia="zh-CN"/>
              </w:rPr>
              <w:t>）</w:t>
            </w:r>
          </w:p>
        </w:tc>
        <w:tc>
          <w:tcPr>
            <w:tcW w:w="305" w:type="pct"/>
            <w:tcBorders>
              <w:top w:val="single" w:color="auto" w:sz="4" w:space="0"/>
              <w:bottom w:val="single" w:color="auto" w:sz="12" w:space="0"/>
            </w:tcBorders>
            <w:vAlign w:val="center"/>
          </w:tcPr>
          <w:p>
            <w:pPr>
              <w:pStyle w:val="2"/>
              <w:tabs>
                <w:tab w:val="left" w:pos="480"/>
              </w:tabs>
              <w:ind w:firstLine="0" w:firstLineChars="0"/>
              <w:rPr>
                <w:rFonts w:hint="eastAsia"/>
                <w:sz w:val="21"/>
                <w:szCs w:val="21"/>
                <w:vertAlign w:val="baseline"/>
                <w:lang w:val="en-US" w:eastAsia="zh-CN"/>
              </w:rPr>
            </w:pPr>
            <w:r>
              <w:rPr>
                <w:rFonts w:hint="eastAsia"/>
                <w:sz w:val="21"/>
                <w:szCs w:val="21"/>
                <w:vertAlign w:val="baseline"/>
                <w:lang w:val="en-US" w:eastAsia="zh-CN"/>
              </w:rPr>
              <w:t>数量</w:t>
            </w:r>
          </w:p>
          <w:p>
            <w:pPr>
              <w:pStyle w:val="2"/>
              <w:tabs>
                <w:tab w:val="left" w:pos="480"/>
              </w:tabs>
              <w:ind w:firstLine="0" w:firstLineChars="0"/>
              <w:rPr>
                <w:rFonts w:hint="eastAsia"/>
                <w:sz w:val="21"/>
                <w:szCs w:val="21"/>
                <w:vertAlign w:val="baseline"/>
                <w:lang w:val="en-US" w:eastAsia="zh-CN"/>
              </w:rPr>
            </w:pPr>
            <w:r>
              <w:rPr>
                <w:rFonts w:hint="eastAsia"/>
                <w:sz w:val="21"/>
                <w:szCs w:val="21"/>
                <w:vertAlign w:val="baseline"/>
                <w:lang w:val="en-US" w:eastAsia="zh-CN"/>
              </w:rPr>
              <w:t>（m</w:t>
            </w:r>
            <w:r>
              <w:rPr>
                <w:rFonts w:hint="eastAsia"/>
                <w:sz w:val="21"/>
                <w:szCs w:val="21"/>
                <w:vertAlign w:val="superscript"/>
                <w:lang w:val="en-US" w:eastAsia="zh-CN"/>
              </w:rPr>
              <w:t>3</w:t>
            </w:r>
            <w:r>
              <w:rPr>
                <w:rFonts w:hint="eastAsia"/>
                <w:sz w:val="21"/>
                <w:szCs w:val="21"/>
                <w:vertAlign w:val="baseline"/>
                <w:lang w:val="en-US" w:eastAsia="zh-CN"/>
              </w:rPr>
              <w:t>）</w:t>
            </w:r>
          </w:p>
        </w:tc>
        <w:tc>
          <w:tcPr>
            <w:tcW w:w="292" w:type="pct"/>
            <w:tcBorders>
              <w:top w:val="single" w:color="auto" w:sz="4" w:space="0"/>
              <w:bottom w:val="single" w:color="auto" w:sz="12" w:space="0"/>
            </w:tcBorders>
            <w:vAlign w:val="center"/>
          </w:tcPr>
          <w:p>
            <w:pPr>
              <w:pStyle w:val="2"/>
              <w:tabs>
                <w:tab w:val="left" w:pos="480"/>
              </w:tabs>
              <w:ind w:firstLine="0" w:firstLineChars="0"/>
              <w:rPr>
                <w:rFonts w:hint="eastAsia"/>
                <w:sz w:val="21"/>
                <w:szCs w:val="21"/>
                <w:vertAlign w:val="baseline"/>
                <w:lang w:val="en-US" w:eastAsia="zh-CN"/>
              </w:rPr>
            </w:pPr>
            <w:r>
              <w:rPr>
                <w:rFonts w:hint="eastAsia"/>
                <w:sz w:val="21"/>
                <w:szCs w:val="21"/>
                <w:vertAlign w:val="baseline"/>
                <w:lang w:val="en-US" w:eastAsia="zh-CN"/>
              </w:rPr>
              <w:t>厚度</w:t>
            </w:r>
          </w:p>
          <w:p>
            <w:pPr>
              <w:pStyle w:val="2"/>
              <w:tabs>
                <w:tab w:val="left" w:pos="480"/>
              </w:tabs>
              <w:ind w:firstLine="0" w:firstLineChars="0"/>
              <w:rPr>
                <w:rFonts w:hint="eastAsia"/>
                <w:sz w:val="21"/>
                <w:szCs w:val="21"/>
                <w:vertAlign w:val="baseline"/>
                <w:lang w:val="en-US" w:eastAsia="zh-CN"/>
              </w:rPr>
            </w:pPr>
            <w:r>
              <w:rPr>
                <w:rFonts w:hint="eastAsia"/>
                <w:sz w:val="21"/>
                <w:szCs w:val="21"/>
                <w:vertAlign w:val="baseline"/>
                <w:lang w:val="en-US" w:eastAsia="zh-CN"/>
              </w:rPr>
              <w:t>（m）</w:t>
            </w:r>
          </w:p>
        </w:tc>
        <w:tc>
          <w:tcPr>
            <w:tcW w:w="305" w:type="pct"/>
            <w:tcBorders>
              <w:top w:val="single" w:color="auto" w:sz="4" w:space="0"/>
              <w:bottom w:val="single" w:color="auto" w:sz="12" w:space="0"/>
            </w:tcBorders>
            <w:vAlign w:val="center"/>
          </w:tcPr>
          <w:p>
            <w:pPr>
              <w:pStyle w:val="2"/>
              <w:tabs>
                <w:tab w:val="left" w:pos="480"/>
              </w:tabs>
              <w:ind w:firstLine="0" w:firstLineChars="0"/>
              <w:rPr>
                <w:rFonts w:hint="eastAsia"/>
                <w:sz w:val="21"/>
                <w:szCs w:val="21"/>
                <w:vertAlign w:val="baseline"/>
                <w:lang w:val="en-US" w:eastAsia="zh-CN"/>
              </w:rPr>
            </w:pPr>
            <w:r>
              <w:rPr>
                <w:rFonts w:hint="eastAsia"/>
                <w:sz w:val="21"/>
                <w:szCs w:val="21"/>
                <w:vertAlign w:val="baseline"/>
                <w:lang w:val="en-US" w:eastAsia="zh-CN"/>
              </w:rPr>
              <w:t>表土</w:t>
            </w:r>
          </w:p>
          <w:p>
            <w:pPr>
              <w:pStyle w:val="2"/>
              <w:tabs>
                <w:tab w:val="left" w:pos="480"/>
              </w:tabs>
              <w:ind w:firstLine="0" w:firstLineChars="0"/>
              <w:rPr>
                <w:rFonts w:hint="eastAsia"/>
                <w:sz w:val="21"/>
                <w:szCs w:val="21"/>
                <w:vertAlign w:val="baseline"/>
                <w:lang w:val="en-US" w:eastAsia="zh-CN"/>
              </w:rPr>
            </w:pPr>
            <w:r>
              <w:rPr>
                <w:rFonts w:hint="eastAsia"/>
                <w:sz w:val="21"/>
                <w:szCs w:val="21"/>
                <w:vertAlign w:val="baseline"/>
                <w:lang w:val="en-US" w:eastAsia="zh-CN"/>
              </w:rPr>
              <w:t>（m</w:t>
            </w:r>
            <w:r>
              <w:rPr>
                <w:rFonts w:hint="eastAsia"/>
                <w:sz w:val="21"/>
                <w:szCs w:val="21"/>
                <w:vertAlign w:val="superscript"/>
                <w:lang w:val="en-US" w:eastAsia="zh-CN"/>
              </w:rPr>
              <w:t>3</w:t>
            </w:r>
            <w:r>
              <w:rPr>
                <w:rFonts w:hint="eastAsia"/>
                <w:sz w:val="21"/>
                <w:szCs w:val="21"/>
                <w:vertAlign w:val="baseline"/>
                <w:lang w:val="en-US" w:eastAsia="zh-CN"/>
              </w:rPr>
              <w:t>）</w:t>
            </w:r>
          </w:p>
        </w:tc>
        <w:tc>
          <w:tcPr>
            <w:tcW w:w="352" w:type="pct"/>
            <w:tcBorders>
              <w:top w:val="single" w:color="auto" w:sz="4" w:space="0"/>
              <w:bottom w:val="single" w:color="auto" w:sz="12" w:space="0"/>
            </w:tcBorders>
            <w:vAlign w:val="center"/>
          </w:tcPr>
          <w:p>
            <w:pPr>
              <w:pStyle w:val="2"/>
              <w:tabs>
                <w:tab w:val="left" w:pos="480"/>
              </w:tabs>
              <w:ind w:firstLine="0" w:firstLineChars="0"/>
              <w:rPr>
                <w:rFonts w:hint="eastAsia" w:eastAsia="宋体"/>
                <w:sz w:val="21"/>
                <w:szCs w:val="21"/>
                <w:vertAlign w:val="baseline"/>
                <w:lang w:val="en-US" w:eastAsia="zh-CN"/>
              </w:rPr>
            </w:pPr>
            <w:r>
              <w:rPr>
                <w:rFonts w:hint="eastAsia"/>
                <w:sz w:val="21"/>
                <w:szCs w:val="21"/>
                <w:vertAlign w:val="baseline"/>
                <w:lang w:val="en-US" w:eastAsia="zh-CN"/>
              </w:rPr>
              <w:t>来源</w:t>
            </w:r>
          </w:p>
        </w:tc>
        <w:tc>
          <w:tcPr>
            <w:tcW w:w="274" w:type="pct"/>
            <w:tcBorders>
              <w:top w:val="single" w:color="auto" w:sz="4" w:space="0"/>
              <w:bottom w:val="single" w:color="auto" w:sz="12" w:space="0"/>
            </w:tcBorders>
            <w:vAlign w:val="center"/>
          </w:tcPr>
          <w:p>
            <w:pPr>
              <w:pStyle w:val="2"/>
              <w:tabs>
                <w:tab w:val="left" w:pos="480"/>
              </w:tabs>
              <w:ind w:firstLine="0" w:firstLineChars="0"/>
              <w:rPr>
                <w:rFonts w:hint="eastAsia"/>
                <w:sz w:val="21"/>
                <w:szCs w:val="21"/>
                <w:vertAlign w:val="baseline"/>
                <w:lang w:val="en-US" w:eastAsia="zh-CN"/>
              </w:rPr>
            </w:pPr>
            <w:r>
              <w:rPr>
                <w:rFonts w:hint="eastAsia"/>
                <w:sz w:val="21"/>
                <w:szCs w:val="21"/>
                <w:vertAlign w:val="baseline"/>
                <w:lang w:val="en-US" w:eastAsia="zh-CN"/>
              </w:rPr>
              <w:t>表土</w:t>
            </w:r>
          </w:p>
          <w:p>
            <w:pPr>
              <w:pStyle w:val="2"/>
              <w:tabs>
                <w:tab w:val="left" w:pos="480"/>
              </w:tabs>
              <w:ind w:firstLine="0" w:firstLineChars="0"/>
              <w:rPr>
                <w:rFonts w:hint="default"/>
                <w:sz w:val="21"/>
                <w:szCs w:val="21"/>
                <w:vertAlign w:val="baseline"/>
                <w:lang w:val="en-US" w:eastAsia="zh-CN"/>
              </w:rPr>
            </w:pPr>
            <w:r>
              <w:rPr>
                <w:rFonts w:hint="eastAsia"/>
                <w:sz w:val="21"/>
                <w:szCs w:val="21"/>
                <w:vertAlign w:val="baseline"/>
                <w:lang w:val="en-US" w:eastAsia="zh-CN"/>
              </w:rPr>
              <w:t>（m</w:t>
            </w:r>
            <w:r>
              <w:rPr>
                <w:rFonts w:hint="eastAsia"/>
                <w:sz w:val="21"/>
                <w:szCs w:val="21"/>
                <w:vertAlign w:val="superscript"/>
                <w:lang w:val="en-US" w:eastAsia="zh-CN"/>
              </w:rPr>
              <w:t>3</w:t>
            </w:r>
            <w:r>
              <w:rPr>
                <w:rFonts w:hint="eastAsia"/>
                <w:sz w:val="21"/>
                <w:szCs w:val="21"/>
                <w:vertAlign w:val="baseline"/>
                <w:lang w:val="en-US" w:eastAsia="zh-CN"/>
              </w:rPr>
              <w:t>）</w:t>
            </w:r>
          </w:p>
        </w:tc>
        <w:tc>
          <w:tcPr>
            <w:tcW w:w="257" w:type="pct"/>
            <w:tcBorders>
              <w:top w:val="single" w:color="auto" w:sz="4" w:space="0"/>
              <w:bottom w:val="single" w:color="auto" w:sz="12" w:space="0"/>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去向</w:t>
            </w:r>
          </w:p>
        </w:tc>
        <w:tc>
          <w:tcPr>
            <w:tcW w:w="288" w:type="pct"/>
            <w:tcBorders>
              <w:top w:val="single" w:color="auto" w:sz="4" w:space="0"/>
              <w:bottom w:val="single" w:color="auto" w:sz="12" w:space="0"/>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堆置位置</w:t>
            </w:r>
          </w:p>
        </w:tc>
        <w:tc>
          <w:tcPr>
            <w:tcW w:w="288" w:type="pct"/>
            <w:tcBorders>
              <w:top w:val="single" w:color="auto" w:sz="4" w:space="0"/>
              <w:bottom w:val="single" w:color="auto" w:sz="12" w:space="0"/>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数量</w:t>
            </w:r>
          </w:p>
        </w:tc>
        <w:tc>
          <w:tcPr>
            <w:tcW w:w="288" w:type="pct"/>
            <w:tcBorders>
              <w:top w:val="single" w:color="auto" w:sz="4" w:space="0"/>
              <w:bottom w:val="single" w:color="auto" w:sz="12" w:space="0"/>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平均堆高（m）</w:t>
            </w:r>
          </w:p>
        </w:tc>
        <w:tc>
          <w:tcPr>
            <w:tcW w:w="345" w:type="pct"/>
            <w:tcBorders>
              <w:top w:val="single" w:color="auto" w:sz="4" w:space="0"/>
              <w:bottom w:val="single" w:color="auto" w:sz="12" w:space="0"/>
            </w:tcBorders>
            <w:vAlign w:val="center"/>
          </w:tcPr>
          <w:p>
            <w:pPr>
              <w:pStyle w:val="2"/>
              <w:tabs>
                <w:tab w:val="left" w:pos="480"/>
              </w:tabs>
              <w:ind w:firstLine="0" w:firstLineChars="0"/>
              <w:rPr>
                <w:rFonts w:hint="eastAsia"/>
                <w:sz w:val="21"/>
                <w:szCs w:val="21"/>
                <w:vertAlign w:val="baseline"/>
                <w:lang w:val="en-US" w:eastAsia="zh-CN"/>
              </w:rPr>
            </w:pPr>
            <w:r>
              <w:rPr>
                <w:rFonts w:hint="eastAsia"/>
                <w:sz w:val="21"/>
                <w:szCs w:val="21"/>
                <w:vertAlign w:val="baseline"/>
                <w:lang w:val="en-US" w:eastAsia="zh-CN"/>
              </w:rPr>
              <w:t>堆土占地</w:t>
            </w:r>
          </w:p>
          <w:p>
            <w:pPr>
              <w:pStyle w:val="2"/>
              <w:tabs>
                <w:tab w:val="left" w:pos="480"/>
              </w:tabs>
              <w:ind w:firstLine="0" w:firstLineChars="0"/>
              <w:rPr>
                <w:rFonts w:hint="default"/>
                <w:sz w:val="21"/>
                <w:szCs w:val="21"/>
                <w:vertAlign w:val="baseline"/>
                <w:lang w:val="en-US" w:eastAsia="zh-CN"/>
              </w:rPr>
            </w:pPr>
            <w:r>
              <w:rPr>
                <w:rFonts w:hint="eastAsia"/>
                <w:sz w:val="21"/>
                <w:szCs w:val="21"/>
                <w:vertAlign w:val="baseline"/>
                <w:lang w:val="en-US" w:eastAsia="zh-CN"/>
              </w:rPr>
              <w:t>（hm</w:t>
            </w:r>
            <w:r>
              <w:rPr>
                <w:rFonts w:hint="eastAsia"/>
                <w:sz w:val="21"/>
                <w:szCs w:val="21"/>
                <w:vertAlign w:val="superscript"/>
                <w:lang w:val="en-US" w:eastAsia="zh-CN"/>
              </w:rPr>
              <w:t>2</w:t>
            </w:r>
            <w:r>
              <w:rPr>
                <w:rFonts w:hint="eastAsia"/>
                <w:sz w:val="21"/>
                <w:szCs w:val="21"/>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73" w:type="pct"/>
            <w:tcBorders>
              <w:top w:val="single" w:color="auto" w:sz="12" w:space="0"/>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码头及前方作业带</w:t>
            </w:r>
          </w:p>
        </w:tc>
        <w:tc>
          <w:tcPr>
            <w:tcW w:w="387" w:type="pct"/>
            <w:tcBorders>
              <w:top w:val="single" w:color="auto" w:sz="12" w:space="0"/>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施工临建区</w:t>
            </w:r>
          </w:p>
        </w:tc>
        <w:tc>
          <w:tcPr>
            <w:tcW w:w="342" w:type="pct"/>
            <w:tcBorders>
              <w:top w:val="single" w:color="auto" w:sz="12" w:space="0"/>
              <w:tl2br w:val="nil"/>
              <w:tr2bl w:val="nil"/>
            </w:tcBorders>
            <w:vAlign w:val="center"/>
          </w:tcPr>
          <w:p>
            <w:pPr>
              <w:pStyle w:val="2"/>
              <w:tabs>
                <w:tab w:val="left" w:pos="480"/>
              </w:tabs>
              <w:ind w:firstLine="0" w:firstLineChars="0"/>
              <w:rPr>
                <w:sz w:val="21"/>
                <w:szCs w:val="21"/>
                <w:vertAlign w:val="baseline"/>
              </w:rPr>
            </w:pPr>
          </w:p>
        </w:tc>
        <w:tc>
          <w:tcPr>
            <w:tcW w:w="287" w:type="pct"/>
            <w:tcBorders>
              <w:top w:val="single" w:color="auto" w:sz="12" w:space="0"/>
              <w:tl2br w:val="nil"/>
              <w:tr2bl w:val="nil"/>
            </w:tcBorders>
            <w:vAlign w:val="center"/>
          </w:tcPr>
          <w:p>
            <w:pPr>
              <w:pStyle w:val="2"/>
              <w:tabs>
                <w:tab w:val="left" w:pos="480"/>
              </w:tabs>
              <w:ind w:firstLine="0" w:firstLineChars="0"/>
              <w:rPr>
                <w:sz w:val="21"/>
                <w:szCs w:val="21"/>
                <w:vertAlign w:val="baseline"/>
              </w:rPr>
            </w:pPr>
          </w:p>
        </w:tc>
        <w:tc>
          <w:tcPr>
            <w:tcW w:w="307" w:type="pct"/>
            <w:tcBorders>
              <w:top w:val="single" w:color="auto" w:sz="12" w:space="0"/>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p>
        </w:tc>
        <w:tc>
          <w:tcPr>
            <w:tcW w:w="305" w:type="pct"/>
            <w:tcBorders>
              <w:top w:val="single" w:color="auto" w:sz="12" w:space="0"/>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0.5</w:t>
            </w:r>
          </w:p>
        </w:tc>
        <w:tc>
          <w:tcPr>
            <w:tcW w:w="305" w:type="pct"/>
            <w:tcBorders>
              <w:top w:val="single" w:color="auto" w:sz="12" w:space="0"/>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1500</w:t>
            </w:r>
          </w:p>
        </w:tc>
        <w:tc>
          <w:tcPr>
            <w:tcW w:w="292" w:type="pct"/>
            <w:tcBorders>
              <w:top w:val="single" w:color="auto" w:sz="12" w:space="0"/>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0.3</w:t>
            </w:r>
          </w:p>
        </w:tc>
        <w:tc>
          <w:tcPr>
            <w:tcW w:w="305" w:type="pct"/>
            <w:tcBorders>
              <w:top w:val="single" w:color="auto" w:sz="12" w:space="0"/>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1500</w:t>
            </w:r>
          </w:p>
        </w:tc>
        <w:tc>
          <w:tcPr>
            <w:tcW w:w="352" w:type="pct"/>
            <w:tcBorders>
              <w:top w:val="single" w:color="auto" w:sz="12" w:space="0"/>
              <w:tl2br w:val="nil"/>
              <w:tr2bl w:val="nil"/>
            </w:tcBorders>
            <w:vAlign w:val="center"/>
          </w:tcPr>
          <w:p>
            <w:pPr>
              <w:pStyle w:val="2"/>
              <w:tabs>
                <w:tab w:val="left" w:pos="480"/>
              </w:tabs>
              <w:ind w:firstLine="0" w:firstLineChars="0"/>
              <w:rPr>
                <w:sz w:val="21"/>
                <w:szCs w:val="21"/>
                <w:vertAlign w:val="baseline"/>
              </w:rPr>
            </w:pPr>
          </w:p>
        </w:tc>
        <w:tc>
          <w:tcPr>
            <w:tcW w:w="274" w:type="pct"/>
            <w:tcBorders>
              <w:top w:val="single" w:color="auto" w:sz="12" w:space="0"/>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p>
        </w:tc>
        <w:tc>
          <w:tcPr>
            <w:tcW w:w="257" w:type="pct"/>
            <w:tcBorders>
              <w:top w:val="single" w:color="auto" w:sz="12" w:space="0"/>
              <w:tl2br w:val="nil"/>
              <w:tr2bl w:val="nil"/>
            </w:tcBorders>
            <w:vAlign w:val="center"/>
          </w:tcPr>
          <w:p>
            <w:pPr>
              <w:pStyle w:val="2"/>
              <w:tabs>
                <w:tab w:val="left" w:pos="480"/>
              </w:tabs>
              <w:ind w:firstLine="0" w:firstLineChars="0"/>
              <w:rPr>
                <w:sz w:val="21"/>
                <w:szCs w:val="21"/>
                <w:vertAlign w:val="baseline"/>
              </w:rPr>
            </w:pPr>
          </w:p>
        </w:tc>
        <w:tc>
          <w:tcPr>
            <w:tcW w:w="288" w:type="pct"/>
            <w:tcBorders>
              <w:top w:val="single" w:color="auto" w:sz="12" w:space="0"/>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p>
        </w:tc>
        <w:tc>
          <w:tcPr>
            <w:tcW w:w="288" w:type="pct"/>
            <w:tcBorders>
              <w:top w:val="single" w:color="auto" w:sz="12" w:space="0"/>
              <w:tl2br w:val="nil"/>
              <w:tr2bl w:val="nil"/>
            </w:tcBorders>
            <w:vAlign w:val="center"/>
          </w:tcPr>
          <w:p>
            <w:pPr>
              <w:pStyle w:val="2"/>
              <w:tabs>
                <w:tab w:val="left" w:pos="480"/>
              </w:tabs>
              <w:ind w:firstLine="0" w:firstLineChars="0"/>
              <w:rPr>
                <w:sz w:val="21"/>
                <w:szCs w:val="21"/>
                <w:vertAlign w:val="baseline"/>
              </w:rPr>
            </w:pPr>
          </w:p>
        </w:tc>
        <w:tc>
          <w:tcPr>
            <w:tcW w:w="288" w:type="pct"/>
            <w:tcBorders>
              <w:top w:val="single" w:color="auto" w:sz="12" w:space="0"/>
              <w:tl2br w:val="nil"/>
              <w:tr2bl w:val="nil"/>
            </w:tcBorders>
            <w:vAlign w:val="center"/>
          </w:tcPr>
          <w:p>
            <w:pPr>
              <w:pStyle w:val="2"/>
              <w:tabs>
                <w:tab w:val="left" w:pos="480"/>
              </w:tabs>
              <w:ind w:firstLine="0" w:firstLineChars="0"/>
              <w:rPr>
                <w:sz w:val="21"/>
                <w:szCs w:val="21"/>
                <w:vertAlign w:val="baseline"/>
              </w:rPr>
            </w:pPr>
          </w:p>
        </w:tc>
        <w:tc>
          <w:tcPr>
            <w:tcW w:w="345" w:type="pct"/>
            <w:tcBorders>
              <w:top w:val="single" w:color="auto" w:sz="12" w:space="0"/>
              <w:tl2br w:val="nil"/>
              <w:tr2bl w:val="nil"/>
            </w:tcBorders>
            <w:vAlign w:val="center"/>
          </w:tcPr>
          <w:p>
            <w:pPr>
              <w:pStyle w:val="2"/>
              <w:tabs>
                <w:tab w:val="left" w:pos="480"/>
              </w:tabs>
              <w:ind w:firstLine="0" w:firstLineChars="0"/>
              <w:rPr>
                <w:sz w:val="21"/>
                <w:szCs w:val="21"/>
                <w:vertAlign w:val="baseli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73" w:type="pct"/>
            <w:vMerge w:val="restar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陆域平台区</w:t>
            </w:r>
          </w:p>
        </w:tc>
        <w:tc>
          <w:tcPr>
            <w:tcW w:w="387"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堆场、辅助设施区</w:t>
            </w:r>
          </w:p>
        </w:tc>
        <w:tc>
          <w:tcPr>
            <w:tcW w:w="342"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3.88</w:t>
            </w:r>
          </w:p>
        </w:tc>
        <w:tc>
          <w:tcPr>
            <w:tcW w:w="287"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0.3</w:t>
            </w:r>
          </w:p>
        </w:tc>
        <w:tc>
          <w:tcPr>
            <w:tcW w:w="307"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11625</w:t>
            </w:r>
          </w:p>
        </w:tc>
        <w:tc>
          <w:tcPr>
            <w:tcW w:w="305" w:type="pct"/>
            <w:tcBorders>
              <w:tl2br w:val="nil"/>
              <w:tr2bl w:val="nil"/>
            </w:tcBorders>
            <w:vAlign w:val="center"/>
          </w:tcPr>
          <w:p>
            <w:pPr>
              <w:pStyle w:val="2"/>
              <w:tabs>
                <w:tab w:val="left" w:pos="480"/>
              </w:tabs>
              <w:ind w:firstLine="0" w:firstLineChars="0"/>
              <w:rPr>
                <w:sz w:val="21"/>
                <w:szCs w:val="21"/>
                <w:vertAlign w:val="baseline"/>
              </w:rPr>
            </w:pPr>
          </w:p>
        </w:tc>
        <w:tc>
          <w:tcPr>
            <w:tcW w:w="305" w:type="pct"/>
            <w:tcBorders>
              <w:tl2br w:val="nil"/>
              <w:tr2bl w:val="nil"/>
            </w:tcBorders>
            <w:vAlign w:val="center"/>
          </w:tcPr>
          <w:p>
            <w:pPr>
              <w:pStyle w:val="2"/>
              <w:tabs>
                <w:tab w:val="left" w:pos="480"/>
              </w:tabs>
              <w:ind w:firstLine="0" w:firstLineChars="0"/>
              <w:rPr>
                <w:sz w:val="21"/>
                <w:szCs w:val="21"/>
                <w:vertAlign w:val="baseline"/>
              </w:rPr>
            </w:pPr>
          </w:p>
        </w:tc>
        <w:tc>
          <w:tcPr>
            <w:tcW w:w="292" w:type="pct"/>
            <w:tcBorders>
              <w:tl2br w:val="nil"/>
              <w:tr2bl w:val="nil"/>
            </w:tcBorders>
            <w:vAlign w:val="center"/>
          </w:tcPr>
          <w:p>
            <w:pPr>
              <w:pStyle w:val="2"/>
              <w:tabs>
                <w:tab w:val="left" w:pos="480"/>
              </w:tabs>
              <w:ind w:firstLine="0" w:firstLineChars="0"/>
              <w:rPr>
                <w:sz w:val="21"/>
                <w:szCs w:val="21"/>
                <w:vertAlign w:val="baseline"/>
              </w:rPr>
            </w:pPr>
          </w:p>
        </w:tc>
        <w:tc>
          <w:tcPr>
            <w:tcW w:w="305" w:type="pct"/>
            <w:tcBorders>
              <w:tl2br w:val="nil"/>
              <w:tr2bl w:val="nil"/>
            </w:tcBorders>
            <w:vAlign w:val="center"/>
          </w:tcPr>
          <w:p>
            <w:pPr>
              <w:pStyle w:val="2"/>
              <w:tabs>
                <w:tab w:val="left" w:pos="480"/>
              </w:tabs>
              <w:ind w:firstLine="0" w:firstLineChars="0"/>
              <w:rPr>
                <w:sz w:val="21"/>
                <w:szCs w:val="21"/>
                <w:vertAlign w:val="baseline"/>
              </w:rPr>
            </w:pPr>
          </w:p>
        </w:tc>
        <w:tc>
          <w:tcPr>
            <w:tcW w:w="352" w:type="pct"/>
            <w:tcBorders>
              <w:tl2br w:val="nil"/>
              <w:tr2bl w:val="nil"/>
            </w:tcBorders>
            <w:vAlign w:val="center"/>
          </w:tcPr>
          <w:p>
            <w:pPr>
              <w:pStyle w:val="2"/>
              <w:tabs>
                <w:tab w:val="left" w:pos="480"/>
              </w:tabs>
              <w:ind w:firstLine="0" w:firstLineChars="0"/>
              <w:rPr>
                <w:sz w:val="21"/>
                <w:szCs w:val="21"/>
                <w:vertAlign w:val="baseline"/>
              </w:rPr>
            </w:pPr>
          </w:p>
        </w:tc>
        <w:tc>
          <w:tcPr>
            <w:tcW w:w="274"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11625</w:t>
            </w:r>
          </w:p>
        </w:tc>
        <w:tc>
          <w:tcPr>
            <w:tcW w:w="257" w:type="pct"/>
            <w:tcBorders>
              <w:tl2br w:val="nil"/>
              <w:tr2bl w:val="nil"/>
            </w:tcBorders>
            <w:vAlign w:val="center"/>
          </w:tcPr>
          <w:p>
            <w:pPr>
              <w:pStyle w:val="2"/>
              <w:tabs>
                <w:tab w:val="left" w:pos="480"/>
              </w:tabs>
              <w:ind w:firstLine="0" w:firstLineChars="0"/>
              <w:rPr>
                <w:rFonts w:hint="eastAsia" w:eastAsia="宋体"/>
                <w:sz w:val="21"/>
                <w:szCs w:val="21"/>
                <w:vertAlign w:val="baseline"/>
                <w:lang w:val="en-US" w:eastAsia="zh-CN"/>
              </w:rPr>
            </w:pPr>
            <w:r>
              <w:rPr>
                <w:rFonts w:hint="eastAsia"/>
                <w:sz w:val="21"/>
                <w:szCs w:val="21"/>
                <w:vertAlign w:val="baseline"/>
                <w:lang w:val="en-US" w:eastAsia="zh-CN"/>
              </w:rPr>
              <w:t>绿化区</w:t>
            </w:r>
          </w:p>
        </w:tc>
        <w:tc>
          <w:tcPr>
            <w:tcW w:w="288"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p>
        </w:tc>
        <w:tc>
          <w:tcPr>
            <w:tcW w:w="288"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p>
        </w:tc>
        <w:tc>
          <w:tcPr>
            <w:tcW w:w="288" w:type="pct"/>
            <w:tcBorders>
              <w:tl2br w:val="nil"/>
              <w:tr2bl w:val="nil"/>
            </w:tcBorders>
            <w:vAlign w:val="center"/>
          </w:tcPr>
          <w:p>
            <w:pPr>
              <w:pStyle w:val="2"/>
              <w:tabs>
                <w:tab w:val="left" w:pos="480"/>
              </w:tabs>
              <w:ind w:firstLine="0" w:firstLineChars="0"/>
              <w:rPr>
                <w:sz w:val="21"/>
                <w:szCs w:val="21"/>
                <w:vertAlign w:val="baseline"/>
              </w:rPr>
            </w:pPr>
          </w:p>
        </w:tc>
        <w:tc>
          <w:tcPr>
            <w:tcW w:w="345" w:type="pct"/>
            <w:tcBorders>
              <w:tl2br w:val="nil"/>
              <w:tr2bl w:val="nil"/>
            </w:tcBorders>
            <w:vAlign w:val="center"/>
          </w:tcPr>
          <w:p>
            <w:pPr>
              <w:pStyle w:val="2"/>
              <w:tabs>
                <w:tab w:val="left" w:pos="480"/>
              </w:tabs>
              <w:ind w:firstLine="0" w:firstLineChars="0"/>
              <w:rPr>
                <w:sz w:val="21"/>
                <w:szCs w:val="21"/>
                <w:vertAlign w:val="baseli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73" w:type="pct"/>
            <w:vMerge w:val="continue"/>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p>
        </w:tc>
        <w:tc>
          <w:tcPr>
            <w:tcW w:w="387"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绿化区</w:t>
            </w:r>
          </w:p>
        </w:tc>
        <w:tc>
          <w:tcPr>
            <w:tcW w:w="342"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1.34</w:t>
            </w:r>
          </w:p>
        </w:tc>
        <w:tc>
          <w:tcPr>
            <w:tcW w:w="287"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0.3</w:t>
            </w:r>
          </w:p>
        </w:tc>
        <w:tc>
          <w:tcPr>
            <w:tcW w:w="307"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4020</w:t>
            </w:r>
          </w:p>
        </w:tc>
        <w:tc>
          <w:tcPr>
            <w:tcW w:w="305"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4.47</w:t>
            </w:r>
          </w:p>
        </w:tc>
        <w:tc>
          <w:tcPr>
            <w:tcW w:w="305"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15645</w:t>
            </w:r>
          </w:p>
        </w:tc>
        <w:tc>
          <w:tcPr>
            <w:tcW w:w="292"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0.3-0.4</w:t>
            </w:r>
          </w:p>
        </w:tc>
        <w:tc>
          <w:tcPr>
            <w:tcW w:w="305"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11625</w:t>
            </w:r>
          </w:p>
        </w:tc>
        <w:tc>
          <w:tcPr>
            <w:tcW w:w="352"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堆场、辅助设施区</w:t>
            </w:r>
          </w:p>
        </w:tc>
        <w:tc>
          <w:tcPr>
            <w:tcW w:w="274"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p>
        </w:tc>
        <w:tc>
          <w:tcPr>
            <w:tcW w:w="257" w:type="pct"/>
            <w:tcBorders>
              <w:tl2br w:val="nil"/>
              <w:tr2bl w:val="nil"/>
            </w:tcBorders>
            <w:vAlign w:val="center"/>
          </w:tcPr>
          <w:p>
            <w:pPr>
              <w:pStyle w:val="2"/>
              <w:tabs>
                <w:tab w:val="left" w:pos="480"/>
              </w:tabs>
              <w:ind w:firstLine="0" w:firstLineChars="0"/>
              <w:rPr>
                <w:sz w:val="21"/>
                <w:szCs w:val="21"/>
                <w:vertAlign w:val="baseline"/>
              </w:rPr>
            </w:pPr>
          </w:p>
        </w:tc>
        <w:tc>
          <w:tcPr>
            <w:tcW w:w="288" w:type="pct"/>
            <w:tcBorders>
              <w:tl2br w:val="nil"/>
              <w:tr2bl w:val="nil"/>
            </w:tcBorders>
            <w:vAlign w:val="center"/>
          </w:tcPr>
          <w:p>
            <w:pPr>
              <w:pStyle w:val="2"/>
              <w:tabs>
                <w:tab w:val="left" w:pos="480"/>
              </w:tabs>
              <w:ind w:firstLine="0" w:firstLineChars="0"/>
              <w:rPr>
                <w:sz w:val="21"/>
                <w:szCs w:val="21"/>
                <w:vertAlign w:val="baseline"/>
              </w:rPr>
            </w:pPr>
          </w:p>
        </w:tc>
        <w:tc>
          <w:tcPr>
            <w:tcW w:w="288" w:type="pct"/>
            <w:tcBorders>
              <w:tl2br w:val="nil"/>
              <w:tr2bl w:val="nil"/>
            </w:tcBorders>
            <w:vAlign w:val="center"/>
          </w:tcPr>
          <w:p>
            <w:pPr>
              <w:pStyle w:val="2"/>
              <w:tabs>
                <w:tab w:val="left" w:pos="480"/>
              </w:tabs>
              <w:ind w:firstLine="0" w:firstLineChars="0"/>
              <w:rPr>
                <w:sz w:val="21"/>
                <w:szCs w:val="21"/>
                <w:vertAlign w:val="baseline"/>
              </w:rPr>
            </w:pPr>
          </w:p>
        </w:tc>
        <w:tc>
          <w:tcPr>
            <w:tcW w:w="288" w:type="pct"/>
            <w:tcBorders>
              <w:tl2br w:val="nil"/>
              <w:tr2bl w:val="nil"/>
            </w:tcBorders>
            <w:vAlign w:val="center"/>
          </w:tcPr>
          <w:p>
            <w:pPr>
              <w:pStyle w:val="2"/>
              <w:tabs>
                <w:tab w:val="left" w:pos="480"/>
              </w:tabs>
              <w:ind w:firstLine="0" w:firstLineChars="0"/>
              <w:rPr>
                <w:sz w:val="21"/>
                <w:szCs w:val="21"/>
                <w:vertAlign w:val="baseline"/>
              </w:rPr>
            </w:pPr>
          </w:p>
        </w:tc>
        <w:tc>
          <w:tcPr>
            <w:tcW w:w="345" w:type="pct"/>
            <w:tcBorders>
              <w:tl2br w:val="nil"/>
              <w:tr2bl w:val="nil"/>
            </w:tcBorders>
            <w:vAlign w:val="center"/>
          </w:tcPr>
          <w:p>
            <w:pPr>
              <w:pStyle w:val="2"/>
              <w:tabs>
                <w:tab w:val="left" w:pos="480"/>
              </w:tabs>
              <w:ind w:firstLine="0" w:firstLineChars="0"/>
              <w:rPr>
                <w:sz w:val="21"/>
                <w:szCs w:val="21"/>
                <w:vertAlign w:val="baseli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60" w:type="pct"/>
            <w:gridSpan w:val="2"/>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合计</w:t>
            </w:r>
          </w:p>
        </w:tc>
        <w:tc>
          <w:tcPr>
            <w:tcW w:w="342"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5.22</w:t>
            </w:r>
          </w:p>
        </w:tc>
        <w:tc>
          <w:tcPr>
            <w:tcW w:w="287"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p>
        </w:tc>
        <w:tc>
          <w:tcPr>
            <w:tcW w:w="307"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15645</w:t>
            </w:r>
          </w:p>
        </w:tc>
        <w:tc>
          <w:tcPr>
            <w:tcW w:w="867"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4.47</w:t>
            </w:r>
          </w:p>
        </w:tc>
        <w:tc>
          <w:tcPr>
            <w:tcW w:w="867"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15645</w:t>
            </w:r>
          </w:p>
        </w:tc>
        <w:tc>
          <w:tcPr>
            <w:tcW w:w="830" w:type="dxa"/>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p>
        </w:tc>
        <w:tc>
          <w:tcPr>
            <w:tcW w:w="305"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11625</w:t>
            </w:r>
          </w:p>
        </w:tc>
        <w:tc>
          <w:tcPr>
            <w:tcW w:w="352"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p>
        </w:tc>
        <w:tc>
          <w:tcPr>
            <w:tcW w:w="274"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r>
              <w:rPr>
                <w:rFonts w:hint="eastAsia"/>
                <w:sz w:val="21"/>
                <w:szCs w:val="21"/>
                <w:vertAlign w:val="baseline"/>
                <w:lang w:val="en-US" w:eastAsia="zh-CN"/>
              </w:rPr>
              <w:t>11625</w:t>
            </w:r>
          </w:p>
        </w:tc>
        <w:tc>
          <w:tcPr>
            <w:tcW w:w="257" w:type="pct"/>
            <w:tcBorders>
              <w:tl2br w:val="nil"/>
              <w:tr2bl w:val="nil"/>
            </w:tcBorders>
            <w:vAlign w:val="center"/>
          </w:tcPr>
          <w:p>
            <w:pPr>
              <w:pStyle w:val="2"/>
              <w:tabs>
                <w:tab w:val="left" w:pos="480"/>
              </w:tabs>
              <w:ind w:firstLine="0" w:firstLineChars="0"/>
              <w:rPr>
                <w:sz w:val="21"/>
                <w:szCs w:val="21"/>
                <w:vertAlign w:val="baseline"/>
              </w:rPr>
            </w:pPr>
          </w:p>
        </w:tc>
        <w:tc>
          <w:tcPr>
            <w:tcW w:w="288"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p>
        </w:tc>
        <w:tc>
          <w:tcPr>
            <w:tcW w:w="288" w:type="pct"/>
            <w:tcBorders>
              <w:tl2br w:val="nil"/>
              <w:tr2bl w:val="nil"/>
            </w:tcBorders>
            <w:vAlign w:val="center"/>
          </w:tcPr>
          <w:p>
            <w:pPr>
              <w:pStyle w:val="2"/>
              <w:tabs>
                <w:tab w:val="left" w:pos="480"/>
              </w:tabs>
              <w:ind w:firstLine="0" w:firstLineChars="0"/>
              <w:rPr>
                <w:sz w:val="21"/>
                <w:szCs w:val="21"/>
                <w:vertAlign w:val="baseline"/>
              </w:rPr>
            </w:pPr>
          </w:p>
        </w:tc>
        <w:tc>
          <w:tcPr>
            <w:tcW w:w="288" w:type="pct"/>
            <w:tcBorders>
              <w:tl2br w:val="nil"/>
              <w:tr2bl w:val="nil"/>
            </w:tcBorders>
            <w:vAlign w:val="center"/>
          </w:tcPr>
          <w:p>
            <w:pPr>
              <w:pStyle w:val="2"/>
              <w:tabs>
                <w:tab w:val="left" w:pos="480"/>
              </w:tabs>
              <w:ind w:firstLine="0" w:firstLineChars="0"/>
              <w:rPr>
                <w:rFonts w:hint="default" w:eastAsia="宋体"/>
                <w:sz w:val="21"/>
                <w:szCs w:val="21"/>
                <w:vertAlign w:val="baseline"/>
                <w:lang w:val="en-US" w:eastAsia="zh-CN"/>
              </w:rPr>
            </w:pPr>
          </w:p>
        </w:tc>
        <w:tc>
          <w:tcPr>
            <w:tcW w:w="345" w:type="pct"/>
            <w:tcBorders>
              <w:tl2br w:val="nil"/>
              <w:tr2bl w:val="nil"/>
            </w:tcBorders>
            <w:vAlign w:val="center"/>
          </w:tcPr>
          <w:p>
            <w:pPr>
              <w:pStyle w:val="2"/>
              <w:tabs>
                <w:tab w:val="left" w:pos="480"/>
              </w:tabs>
              <w:ind w:firstLine="0" w:firstLineChars="0"/>
              <w:rPr>
                <w:rFonts w:hint="eastAsia" w:eastAsia="宋体"/>
                <w:sz w:val="21"/>
                <w:szCs w:val="21"/>
                <w:vertAlign w:val="baseline"/>
                <w:lang w:val="en-US" w:eastAsia="zh-CN"/>
              </w:rPr>
            </w:pPr>
          </w:p>
        </w:tc>
      </w:tr>
    </w:tbl>
    <w:p>
      <w:pPr>
        <w:pStyle w:val="2"/>
        <w:ind w:firstLine="0" w:firstLineChars="0"/>
        <w:sectPr>
          <w:pgSz w:w="16838" w:h="11906" w:orient="landscape"/>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456"/>
        <w:ind w:firstLine="482"/>
      </w:pPr>
      <w:r>
        <w:t>施工进度计划</w:t>
      </w:r>
    </w:p>
    <w:p>
      <w:pPr>
        <w:ind w:firstLine="480"/>
        <w:rPr>
          <w:szCs w:val="28"/>
        </w:rPr>
      </w:pPr>
      <w:r>
        <w:rPr>
          <w:rFonts w:hint="eastAsia"/>
          <w:szCs w:val="28"/>
        </w:rPr>
        <w:t>工程拟于2022年12月开工建设，预计2024年</w:t>
      </w:r>
      <w:r>
        <w:rPr>
          <w:szCs w:val="28"/>
        </w:rPr>
        <w:t>12</w:t>
      </w:r>
      <w:r>
        <w:rPr>
          <w:rFonts w:hint="eastAsia"/>
          <w:szCs w:val="28"/>
        </w:rPr>
        <w:t>月建成</w:t>
      </w:r>
      <w:r>
        <w:rPr>
          <w:szCs w:val="28"/>
        </w:rPr>
        <w:t>，计划施工总工期为24个月</w:t>
      </w:r>
      <w:r>
        <w:rPr>
          <w:rFonts w:hint="eastAsia"/>
          <w:szCs w:val="28"/>
        </w:rPr>
        <w:t>。</w:t>
      </w:r>
    </w:p>
    <w:p>
      <w:pPr>
        <w:ind w:firstLine="480"/>
        <w:rPr>
          <w:szCs w:val="28"/>
        </w:rPr>
      </w:pPr>
      <w:r>
        <w:rPr>
          <w:rFonts w:hint="eastAsia"/>
          <w:szCs w:val="28"/>
        </w:rPr>
        <w:t>本工程所在河段是产漂流性卵鱼类的繁殖场所，亲鱼繁殖、产卵及苗种洄游的时期主要集中于每年的</w:t>
      </w:r>
      <w:r>
        <w:rPr>
          <w:szCs w:val="28"/>
        </w:rPr>
        <w:t>4</w:t>
      </w:r>
      <w:r>
        <w:rPr>
          <w:rFonts w:hint="eastAsia"/>
          <w:szCs w:val="28"/>
        </w:rPr>
        <w:t>至</w:t>
      </w:r>
      <w:r>
        <w:rPr>
          <w:szCs w:val="28"/>
        </w:rPr>
        <w:t>7</w:t>
      </w:r>
      <w:r>
        <w:rPr>
          <w:rFonts w:hint="eastAsia"/>
          <w:szCs w:val="28"/>
        </w:rPr>
        <w:t>月，同时豚类繁殖季节为</w:t>
      </w:r>
      <w:r>
        <w:rPr>
          <w:szCs w:val="28"/>
        </w:rPr>
        <w:t>4</w:t>
      </w:r>
      <w:r>
        <w:rPr>
          <w:rFonts w:hint="eastAsia"/>
          <w:szCs w:val="28"/>
        </w:rPr>
        <w:t>至</w:t>
      </w:r>
      <w:r>
        <w:rPr>
          <w:szCs w:val="28"/>
        </w:rPr>
        <w:t>6</w:t>
      </w:r>
      <w:r>
        <w:rPr>
          <w:rFonts w:hint="eastAsia"/>
          <w:szCs w:val="28"/>
        </w:rPr>
        <w:t>月，中华鲟幼鲟</w:t>
      </w:r>
      <w:r>
        <w:rPr>
          <w:szCs w:val="28"/>
        </w:rPr>
        <w:t>4</w:t>
      </w:r>
      <w:r>
        <w:rPr>
          <w:rFonts w:hint="eastAsia"/>
          <w:szCs w:val="28"/>
        </w:rPr>
        <w:t>至</w:t>
      </w:r>
      <w:r>
        <w:rPr>
          <w:szCs w:val="28"/>
        </w:rPr>
        <w:t>7</w:t>
      </w:r>
      <w:r>
        <w:rPr>
          <w:rFonts w:hint="eastAsia"/>
          <w:szCs w:val="28"/>
        </w:rPr>
        <w:t>月左右经过长江湖南、湖北段，港池疏浚、打桩、抛石护桩等涉水施工对鱼类有一定影响，所以需避免</w:t>
      </w:r>
      <w:r>
        <w:rPr>
          <w:szCs w:val="28"/>
        </w:rPr>
        <w:t>4</w:t>
      </w:r>
      <w:r>
        <w:rPr>
          <w:rFonts w:hint="eastAsia"/>
          <w:szCs w:val="28"/>
        </w:rPr>
        <w:t>至</w:t>
      </w:r>
      <w:r>
        <w:rPr>
          <w:szCs w:val="28"/>
        </w:rPr>
        <w:t>7</w:t>
      </w:r>
      <w:r>
        <w:rPr>
          <w:rFonts w:hint="eastAsia"/>
          <w:szCs w:val="28"/>
        </w:rPr>
        <w:t>月进行水下施工作业，避开鱼类繁殖和洄游的主汛期。</w:t>
      </w:r>
    </w:p>
    <w:p>
      <w:pPr>
        <w:ind w:firstLine="480"/>
        <w:rPr>
          <w:szCs w:val="28"/>
        </w:rPr>
      </w:pPr>
      <w:r>
        <w:rPr>
          <w:szCs w:val="28"/>
        </w:rPr>
        <w:t>本工程主要施工项目有码头工程、港池疏浚以及装卸机械设备的购置及安装、供电照明等配套设施采购及安装。根据工程建设内容</w:t>
      </w:r>
      <w:r>
        <w:t>，</w:t>
      </w:r>
      <w:r>
        <w:rPr>
          <w:szCs w:val="28"/>
        </w:rPr>
        <w:t>施工进度安排详见下表。</w:t>
      </w:r>
    </w:p>
    <w:p>
      <w:pPr>
        <w:pStyle w:val="2285"/>
        <w:ind w:left="0"/>
        <w:rPr>
          <w:rFonts w:cs="Times New Roman"/>
        </w:rPr>
      </w:pPr>
      <w:r>
        <w:rPr>
          <w:rFonts w:cs="Times New Roman"/>
        </w:rPr>
        <w:t>施工</w:t>
      </w:r>
      <w:r>
        <w:rPr>
          <w:rFonts w:hint="eastAsia" w:cs="Times New Roman"/>
        </w:rPr>
        <w:t>进度表</w:t>
      </w:r>
    </w:p>
    <w:p>
      <w:pPr>
        <w:pStyle w:val="2285"/>
        <w:numPr>
          <w:ilvl w:val="0"/>
          <w:numId w:val="0"/>
        </w:numPr>
        <w:rPr>
          <w:rFonts w:cs="Times New Roman"/>
        </w:rPr>
      </w:pPr>
      <w:r>
        <w:drawing>
          <wp:inline distT="0" distB="0" distL="114300" distR="114300">
            <wp:extent cx="5773420" cy="3059430"/>
            <wp:effectExtent l="0" t="0" r="17780" b="7620"/>
            <wp:docPr id="1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7"/>
                    <pic:cNvPicPr>
                      <a:picLocks noChangeAspect="1"/>
                    </pic:cNvPicPr>
                  </pic:nvPicPr>
                  <pic:blipFill>
                    <a:blip r:embed="rId42"/>
                    <a:stretch>
                      <a:fillRect/>
                    </a:stretch>
                  </pic:blipFill>
                  <pic:spPr>
                    <a:xfrm>
                      <a:off x="0" y="0"/>
                      <a:ext cx="5773420" cy="3059430"/>
                    </a:xfrm>
                    <a:prstGeom prst="rect">
                      <a:avLst/>
                    </a:prstGeom>
                    <a:noFill/>
                    <a:ln>
                      <a:noFill/>
                    </a:ln>
                  </pic:spPr>
                </pic:pic>
              </a:graphicData>
            </a:graphic>
          </wp:inline>
        </w:drawing>
      </w:r>
    </w:p>
    <w:p>
      <w:pPr>
        <w:pStyle w:val="454"/>
        <w:ind w:firstLine="602"/>
        <w:rPr>
          <w:color w:val="auto"/>
        </w:rPr>
      </w:pPr>
      <w:r>
        <w:rPr>
          <w:color w:val="auto"/>
        </w:rPr>
        <w:t>施工平面布置</w:t>
      </w:r>
    </w:p>
    <w:p>
      <w:pPr>
        <w:pStyle w:val="456"/>
        <w:ind w:firstLine="482"/>
      </w:pPr>
      <w:r>
        <w:t>取弃土场</w:t>
      </w:r>
    </w:p>
    <w:p>
      <w:pPr>
        <w:ind w:firstLine="480"/>
      </w:pPr>
      <w:r>
        <w:rPr>
          <w:rFonts w:hint="eastAsia"/>
        </w:rPr>
        <w:t>根据土石方平衡结果，本项目不需弃渣，本方案未设置弃渣场。</w:t>
      </w:r>
    </w:p>
    <w:p>
      <w:pPr>
        <w:ind w:firstLine="480"/>
      </w:pPr>
      <w:r>
        <w:rPr>
          <w:rFonts w:hint="eastAsia"/>
        </w:rPr>
        <w:t>本项目需要回填需要外购石方</w:t>
      </w:r>
      <w:r>
        <w:t>6.62</w:t>
      </w:r>
      <w:r>
        <w:rPr>
          <w:rFonts w:hint="eastAsia"/>
        </w:rPr>
        <w:t>万</w:t>
      </w:r>
      <w:r>
        <w:t>m</w:t>
      </w:r>
      <w:r>
        <w:rPr>
          <w:vertAlign w:val="superscript"/>
        </w:rPr>
        <w:t>3</w:t>
      </w:r>
      <w:r>
        <w:rPr>
          <w:rFonts w:hint="eastAsia"/>
        </w:rPr>
        <w:t>，土方</w:t>
      </w:r>
      <w:r>
        <w:t>4.81</w:t>
      </w:r>
      <w:r>
        <w:rPr>
          <w:rFonts w:hint="eastAsia"/>
        </w:rPr>
        <w:t>万</w:t>
      </w:r>
      <w:r>
        <w:t>m</w:t>
      </w:r>
      <w:r>
        <w:rPr>
          <w:vertAlign w:val="superscript"/>
        </w:rPr>
        <w:t>3</w:t>
      </w:r>
      <w:r>
        <w:rPr>
          <w:rFonts w:hint="eastAsia"/>
        </w:rPr>
        <w:t>，不另设设置料场。</w:t>
      </w:r>
    </w:p>
    <w:p>
      <w:pPr>
        <w:pStyle w:val="456"/>
        <w:ind w:firstLine="482"/>
      </w:pPr>
      <w:r>
        <w:t>施工临时场地布置</w:t>
      </w:r>
    </w:p>
    <w:p>
      <w:pPr>
        <w:ind w:firstLine="480"/>
      </w:pPr>
      <w:r>
        <w:t>施工临时场地</w:t>
      </w:r>
      <w:r>
        <w:rPr>
          <w:rFonts w:hint="eastAsia"/>
          <w:lang w:val="en-US" w:eastAsia="zh-CN"/>
        </w:rPr>
        <w:t>均布设在项目用地范围内，不新增用地。</w:t>
      </w:r>
      <w:r>
        <w:t>施工人员租用附近民宅作为办公休息地点，项目不设施工生活区。</w:t>
      </w:r>
    </w:p>
    <w:p>
      <w:pPr>
        <w:ind w:firstLine="480"/>
        <w:rPr>
          <w:rFonts w:hint="eastAsia"/>
          <w:lang w:val="en-US" w:eastAsia="zh-CN"/>
        </w:rPr>
      </w:pPr>
      <w:r>
        <w:rPr>
          <w:rFonts w:hint="eastAsia"/>
          <w:lang w:val="en-US" w:eastAsia="zh-CN"/>
        </w:rPr>
        <w:t>项目临时设施用地建设情况见下表。</w:t>
      </w:r>
    </w:p>
    <w:p>
      <w:pPr>
        <w:pStyle w:val="2"/>
        <w:rPr>
          <w:rFonts w:hint="eastAsia"/>
          <w:lang w:val="en-US" w:eastAsia="zh-CN"/>
        </w:rPr>
      </w:pPr>
    </w:p>
    <w:p>
      <w:pPr>
        <w:pStyle w:val="2285"/>
        <w:ind w:left="0"/>
        <w:rPr>
          <w:rFonts w:cs="Times New Roman"/>
        </w:rPr>
      </w:pPr>
      <w:r>
        <w:rPr>
          <w:rFonts w:cs="Times New Roman"/>
        </w:rPr>
        <w:t>水工建筑物主要工程量表</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45"/>
        <w:gridCol w:w="1906"/>
        <w:gridCol w:w="2023"/>
        <w:gridCol w:w="1534"/>
        <w:gridCol w:w="890"/>
        <w:gridCol w:w="14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1804" w:type="pct"/>
            <w:gridSpan w:val="2"/>
            <w:vMerge w:val="restart"/>
            <w:shd w:val="clear" w:color="auto" w:fill="auto"/>
            <w:vAlign w:val="center"/>
          </w:tcPr>
          <w:p>
            <w:pPr>
              <w:widowControl/>
              <w:tabs>
                <w:tab w:val="clear" w:pos="480"/>
              </w:tabs>
              <w:spacing w:line="240" w:lineRule="auto"/>
              <w:ind w:firstLine="0" w:firstLineChars="0"/>
              <w:jc w:val="center"/>
              <w:rPr>
                <w:rFonts w:hint="eastAsia" w:eastAsia="宋体"/>
                <w:b/>
                <w:bCs/>
                <w:kern w:val="0"/>
                <w:sz w:val="21"/>
                <w:szCs w:val="21"/>
                <w:lang w:val="en-US" w:eastAsia="zh-CN"/>
              </w:rPr>
            </w:pPr>
            <w:r>
              <w:rPr>
                <w:rFonts w:hint="eastAsia"/>
                <w:b/>
                <w:bCs/>
                <w:kern w:val="0"/>
                <w:sz w:val="21"/>
                <w:szCs w:val="21"/>
                <w:lang w:val="en-US" w:eastAsia="zh-CN"/>
              </w:rPr>
              <w:t>作业区</w:t>
            </w:r>
          </w:p>
        </w:tc>
        <w:tc>
          <w:tcPr>
            <w:tcW w:w="1915" w:type="pct"/>
            <w:gridSpan w:val="2"/>
            <w:shd w:val="clear" w:color="auto" w:fill="auto"/>
            <w:noWrap/>
            <w:vAlign w:val="center"/>
          </w:tcPr>
          <w:p>
            <w:pPr>
              <w:widowControl/>
              <w:tabs>
                <w:tab w:val="clear" w:pos="480"/>
              </w:tabs>
              <w:spacing w:line="240" w:lineRule="auto"/>
              <w:ind w:firstLine="0" w:firstLineChars="0"/>
              <w:jc w:val="center"/>
              <w:rPr>
                <w:b/>
                <w:bCs/>
                <w:kern w:val="0"/>
                <w:sz w:val="21"/>
                <w:szCs w:val="21"/>
              </w:rPr>
            </w:pPr>
            <w:r>
              <w:rPr>
                <w:rFonts w:hint="eastAsia"/>
                <w:b/>
                <w:bCs/>
                <w:kern w:val="0"/>
                <w:sz w:val="21"/>
                <w:szCs w:val="21"/>
                <w:lang w:val="en-US" w:eastAsia="zh-CN"/>
              </w:rPr>
              <w:t>占地面积及类型</w:t>
            </w:r>
          </w:p>
        </w:tc>
        <w:tc>
          <w:tcPr>
            <w:tcW w:w="479" w:type="pct"/>
            <w:vMerge w:val="restart"/>
            <w:shd w:val="clear" w:color="auto" w:fill="auto"/>
            <w:noWrap/>
            <w:vAlign w:val="center"/>
          </w:tcPr>
          <w:p>
            <w:pPr>
              <w:widowControl/>
              <w:tabs>
                <w:tab w:val="clear" w:pos="480"/>
              </w:tabs>
              <w:spacing w:line="240" w:lineRule="auto"/>
              <w:ind w:firstLine="0" w:firstLineChars="0"/>
              <w:jc w:val="center"/>
              <w:rPr>
                <w:rFonts w:hint="eastAsia" w:eastAsia="宋体"/>
                <w:b/>
                <w:bCs/>
                <w:kern w:val="0"/>
                <w:sz w:val="21"/>
                <w:szCs w:val="21"/>
                <w:lang w:val="en-US" w:eastAsia="zh-CN"/>
              </w:rPr>
            </w:pPr>
            <w:r>
              <w:rPr>
                <w:rFonts w:hint="eastAsia"/>
                <w:b/>
                <w:bCs/>
                <w:kern w:val="0"/>
                <w:sz w:val="21"/>
                <w:szCs w:val="21"/>
                <w:lang w:val="en-US" w:eastAsia="zh-CN"/>
              </w:rPr>
              <w:t>总计</w:t>
            </w:r>
          </w:p>
        </w:tc>
        <w:tc>
          <w:tcPr>
            <w:tcW w:w="801" w:type="pct"/>
            <w:shd w:val="clear" w:color="auto" w:fill="auto"/>
            <w:noWrap/>
            <w:vAlign w:val="center"/>
          </w:tcPr>
          <w:p>
            <w:pPr>
              <w:widowControl/>
              <w:tabs>
                <w:tab w:val="clear" w:pos="480"/>
              </w:tabs>
              <w:spacing w:line="240" w:lineRule="auto"/>
              <w:ind w:firstLine="0" w:firstLineChars="0"/>
              <w:jc w:val="center"/>
              <w:rPr>
                <w:rFonts w:hint="eastAsia" w:eastAsia="宋体"/>
                <w:b/>
                <w:bCs/>
                <w:kern w:val="0"/>
                <w:sz w:val="21"/>
                <w:szCs w:val="21"/>
                <w:lang w:val="en-US" w:eastAsia="zh-CN"/>
              </w:rPr>
            </w:pPr>
            <w:r>
              <w:rPr>
                <w:rFonts w:hint="eastAsia"/>
                <w:b/>
                <w:bCs/>
                <w:kern w:val="0"/>
                <w:sz w:val="21"/>
                <w:szCs w:val="21"/>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1804" w:type="pct"/>
            <w:gridSpan w:val="2"/>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1089" w:type="pct"/>
            <w:shd w:val="clear" w:color="auto" w:fill="auto"/>
            <w:vAlign w:val="center"/>
          </w:tcPr>
          <w:p>
            <w:pPr>
              <w:widowControl/>
              <w:tabs>
                <w:tab w:val="clear" w:pos="480"/>
              </w:tabs>
              <w:spacing w:line="240" w:lineRule="auto"/>
              <w:ind w:firstLine="0" w:firstLineChars="0"/>
              <w:jc w:val="center"/>
              <w:rPr>
                <w:rFonts w:hint="default" w:eastAsia="宋体"/>
                <w:kern w:val="0"/>
                <w:sz w:val="21"/>
                <w:szCs w:val="21"/>
                <w:lang w:val="en-US" w:eastAsia="zh-CN"/>
              </w:rPr>
            </w:pPr>
            <w:r>
              <w:rPr>
                <w:rFonts w:hint="eastAsia"/>
                <w:kern w:val="0"/>
                <w:sz w:val="21"/>
                <w:szCs w:val="21"/>
                <w:lang w:val="en-US" w:eastAsia="zh-CN"/>
              </w:rPr>
              <w:t>水域及水利设施用地</w:t>
            </w:r>
          </w:p>
        </w:tc>
        <w:tc>
          <w:tcPr>
            <w:tcW w:w="825" w:type="pct"/>
            <w:shd w:val="clear" w:color="auto" w:fill="auto"/>
            <w:vAlign w:val="center"/>
          </w:tcPr>
          <w:p>
            <w:pPr>
              <w:widowControl/>
              <w:tabs>
                <w:tab w:val="clear" w:pos="480"/>
              </w:tabs>
              <w:spacing w:line="240" w:lineRule="auto"/>
              <w:ind w:firstLine="0" w:firstLineChars="0"/>
              <w:jc w:val="center"/>
              <w:rPr>
                <w:rFonts w:hint="default" w:eastAsia="宋体"/>
                <w:kern w:val="0"/>
                <w:sz w:val="21"/>
                <w:szCs w:val="21"/>
                <w:lang w:val="en-US" w:eastAsia="zh-CN"/>
              </w:rPr>
            </w:pPr>
            <w:r>
              <w:rPr>
                <w:rFonts w:hint="eastAsia"/>
                <w:kern w:val="0"/>
                <w:sz w:val="21"/>
                <w:szCs w:val="21"/>
                <w:lang w:val="en-US" w:eastAsia="zh-CN"/>
              </w:rPr>
              <w:t>交通运输用地</w:t>
            </w:r>
          </w:p>
        </w:tc>
        <w:tc>
          <w:tcPr>
            <w:tcW w:w="479"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801" w:type="pct"/>
            <w:shd w:val="clear" w:color="auto" w:fill="auto"/>
            <w:vAlign w:val="center"/>
          </w:tcPr>
          <w:p>
            <w:pPr>
              <w:widowControl/>
              <w:tabs>
                <w:tab w:val="clear" w:pos="480"/>
              </w:tabs>
              <w:spacing w:line="240" w:lineRule="auto"/>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1804" w:type="pct"/>
            <w:gridSpan w:val="2"/>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1089" w:type="pct"/>
            <w:shd w:val="clear" w:color="auto" w:fill="auto"/>
            <w:vAlign w:val="center"/>
          </w:tcPr>
          <w:p>
            <w:pPr>
              <w:widowControl/>
              <w:tabs>
                <w:tab w:val="clear" w:pos="480"/>
              </w:tabs>
              <w:spacing w:line="240" w:lineRule="auto"/>
              <w:ind w:firstLine="0" w:firstLineChars="0"/>
              <w:jc w:val="center"/>
              <w:rPr>
                <w:rFonts w:hint="default" w:eastAsia="宋体"/>
                <w:kern w:val="0"/>
                <w:sz w:val="21"/>
                <w:szCs w:val="21"/>
                <w:lang w:val="en-US" w:eastAsia="zh-CN"/>
              </w:rPr>
            </w:pPr>
            <w:r>
              <w:rPr>
                <w:rFonts w:hint="eastAsia"/>
                <w:kern w:val="0"/>
                <w:sz w:val="21"/>
                <w:szCs w:val="21"/>
                <w:lang w:val="en-US" w:eastAsia="zh-CN"/>
              </w:rPr>
              <w:t>内陆滩地</w:t>
            </w:r>
          </w:p>
        </w:tc>
        <w:tc>
          <w:tcPr>
            <w:tcW w:w="825" w:type="pct"/>
            <w:shd w:val="clear" w:color="auto" w:fill="auto"/>
            <w:vAlign w:val="center"/>
          </w:tcPr>
          <w:p>
            <w:pPr>
              <w:widowControl/>
              <w:tabs>
                <w:tab w:val="clear" w:pos="480"/>
              </w:tabs>
              <w:spacing w:line="240" w:lineRule="auto"/>
              <w:ind w:firstLine="0" w:firstLineChars="0"/>
              <w:jc w:val="center"/>
              <w:rPr>
                <w:rFonts w:hint="default" w:eastAsia="宋体"/>
                <w:kern w:val="0"/>
                <w:sz w:val="21"/>
                <w:szCs w:val="21"/>
                <w:lang w:val="en-US" w:eastAsia="zh-CN"/>
              </w:rPr>
            </w:pPr>
            <w:r>
              <w:rPr>
                <w:rFonts w:hint="eastAsia"/>
                <w:kern w:val="0"/>
                <w:sz w:val="21"/>
                <w:szCs w:val="21"/>
                <w:lang w:val="en-US" w:eastAsia="zh-CN"/>
              </w:rPr>
              <w:t>港口码头用地</w:t>
            </w:r>
          </w:p>
        </w:tc>
        <w:tc>
          <w:tcPr>
            <w:tcW w:w="479"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801" w:type="pct"/>
            <w:shd w:val="clear" w:color="auto" w:fill="auto"/>
            <w:vAlign w:val="center"/>
          </w:tcPr>
          <w:p>
            <w:pPr>
              <w:widowControl/>
              <w:tabs>
                <w:tab w:val="clear" w:pos="480"/>
              </w:tabs>
              <w:spacing w:line="240" w:lineRule="auto"/>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778" w:type="pct"/>
            <w:vMerge w:val="restart"/>
            <w:shd w:val="clear" w:color="auto" w:fill="auto"/>
            <w:vAlign w:val="center"/>
          </w:tcPr>
          <w:p>
            <w:pPr>
              <w:widowControl/>
              <w:tabs>
                <w:tab w:val="clear" w:pos="480"/>
              </w:tabs>
              <w:spacing w:line="240" w:lineRule="auto"/>
              <w:ind w:firstLine="0" w:firstLineChars="0"/>
              <w:jc w:val="center"/>
              <w:rPr>
                <w:rFonts w:hint="default" w:eastAsia="宋体"/>
                <w:kern w:val="0"/>
                <w:sz w:val="21"/>
                <w:szCs w:val="21"/>
                <w:lang w:val="en-US" w:eastAsia="zh-CN"/>
              </w:rPr>
            </w:pPr>
            <w:r>
              <w:rPr>
                <w:rFonts w:hint="eastAsia"/>
                <w:kern w:val="0"/>
                <w:sz w:val="21"/>
                <w:szCs w:val="21"/>
                <w:lang w:val="en-US" w:eastAsia="zh-CN"/>
              </w:rPr>
              <w:t>码头及前方作业带区</w:t>
            </w:r>
          </w:p>
        </w:tc>
        <w:tc>
          <w:tcPr>
            <w:tcW w:w="1026" w:type="pct"/>
            <w:shd w:val="clear" w:color="auto" w:fill="auto"/>
            <w:vAlign w:val="center"/>
          </w:tcPr>
          <w:p>
            <w:pPr>
              <w:widowControl/>
              <w:tabs>
                <w:tab w:val="clear" w:pos="480"/>
              </w:tabs>
              <w:spacing w:line="240" w:lineRule="auto"/>
              <w:ind w:firstLine="0" w:firstLineChars="0"/>
              <w:jc w:val="center"/>
              <w:rPr>
                <w:rFonts w:hint="default" w:eastAsia="宋体"/>
                <w:kern w:val="0"/>
                <w:sz w:val="21"/>
                <w:szCs w:val="21"/>
                <w:lang w:val="en-US" w:eastAsia="zh-CN"/>
              </w:rPr>
            </w:pPr>
            <w:r>
              <w:rPr>
                <w:rFonts w:hint="eastAsia"/>
                <w:kern w:val="0"/>
                <w:sz w:val="21"/>
                <w:szCs w:val="21"/>
                <w:lang w:val="en-US" w:eastAsia="zh-CN"/>
              </w:rPr>
              <w:t>码头及引桥作业区</w:t>
            </w:r>
          </w:p>
        </w:tc>
        <w:tc>
          <w:tcPr>
            <w:tcW w:w="1089" w:type="pct"/>
            <w:shd w:val="clear" w:color="auto" w:fill="auto"/>
            <w:vAlign w:val="center"/>
          </w:tcPr>
          <w:p>
            <w:pPr>
              <w:widowControl/>
              <w:tabs>
                <w:tab w:val="clear" w:pos="480"/>
              </w:tabs>
              <w:spacing w:line="240" w:lineRule="auto"/>
              <w:ind w:firstLine="0" w:firstLineChars="0"/>
              <w:jc w:val="center"/>
              <w:rPr>
                <w:kern w:val="0"/>
                <w:sz w:val="21"/>
                <w:szCs w:val="21"/>
              </w:rPr>
            </w:pPr>
          </w:p>
        </w:tc>
        <w:tc>
          <w:tcPr>
            <w:tcW w:w="825" w:type="pct"/>
            <w:shd w:val="clear" w:color="auto" w:fill="auto"/>
            <w:vAlign w:val="center"/>
          </w:tcPr>
          <w:p>
            <w:pPr>
              <w:widowControl/>
              <w:tabs>
                <w:tab w:val="clear" w:pos="480"/>
              </w:tabs>
              <w:spacing w:line="240" w:lineRule="auto"/>
              <w:ind w:firstLine="0" w:firstLineChars="0"/>
              <w:jc w:val="center"/>
              <w:rPr>
                <w:rFonts w:hint="default" w:eastAsia="宋体"/>
                <w:kern w:val="0"/>
                <w:sz w:val="21"/>
                <w:szCs w:val="21"/>
                <w:lang w:val="en-US" w:eastAsia="zh-CN"/>
              </w:rPr>
            </w:pPr>
            <w:r>
              <w:rPr>
                <w:rFonts w:hint="eastAsia"/>
                <w:kern w:val="0"/>
                <w:sz w:val="21"/>
                <w:szCs w:val="21"/>
                <w:lang w:val="en-US" w:eastAsia="zh-CN"/>
              </w:rPr>
              <w:t>0.01</w:t>
            </w:r>
          </w:p>
        </w:tc>
        <w:tc>
          <w:tcPr>
            <w:tcW w:w="479" w:type="pct"/>
            <w:shd w:val="clear" w:color="auto" w:fill="auto"/>
            <w:vAlign w:val="center"/>
          </w:tcPr>
          <w:p>
            <w:pPr>
              <w:widowControl/>
              <w:tabs>
                <w:tab w:val="clear" w:pos="480"/>
              </w:tabs>
              <w:spacing w:line="240" w:lineRule="auto"/>
              <w:ind w:firstLine="0" w:firstLineChars="0"/>
              <w:jc w:val="center"/>
              <w:rPr>
                <w:rFonts w:hint="default" w:eastAsia="宋体"/>
                <w:kern w:val="0"/>
                <w:sz w:val="21"/>
                <w:szCs w:val="21"/>
                <w:lang w:val="en-US" w:eastAsia="zh-CN"/>
              </w:rPr>
            </w:pPr>
            <w:r>
              <w:rPr>
                <w:rFonts w:hint="eastAsia"/>
                <w:kern w:val="0"/>
                <w:sz w:val="21"/>
                <w:szCs w:val="21"/>
                <w:lang w:val="en-US" w:eastAsia="zh-CN"/>
              </w:rPr>
              <w:t>0.01</w:t>
            </w:r>
          </w:p>
        </w:tc>
        <w:tc>
          <w:tcPr>
            <w:tcW w:w="801" w:type="pct"/>
            <w:shd w:val="clear" w:color="auto" w:fill="auto"/>
            <w:vAlign w:val="center"/>
          </w:tcPr>
          <w:p>
            <w:pPr>
              <w:widowControl/>
              <w:tabs>
                <w:tab w:val="clear" w:pos="480"/>
              </w:tabs>
              <w:spacing w:line="240" w:lineRule="auto"/>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778"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1026" w:type="pct"/>
            <w:shd w:val="clear" w:color="auto" w:fill="auto"/>
            <w:vAlign w:val="center"/>
          </w:tcPr>
          <w:p>
            <w:pPr>
              <w:widowControl/>
              <w:tabs>
                <w:tab w:val="clear" w:pos="480"/>
              </w:tabs>
              <w:spacing w:line="240" w:lineRule="auto"/>
              <w:ind w:firstLine="0" w:firstLineChars="0"/>
              <w:jc w:val="center"/>
              <w:rPr>
                <w:rFonts w:hint="default" w:eastAsia="宋体"/>
                <w:kern w:val="0"/>
                <w:sz w:val="21"/>
                <w:szCs w:val="21"/>
                <w:lang w:val="en-US" w:eastAsia="zh-CN"/>
              </w:rPr>
            </w:pPr>
            <w:r>
              <w:rPr>
                <w:rFonts w:hint="eastAsia"/>
                <w:kern w:val="0"/>
                <w:sz w:val="21"/>
                <w:szCs w:val="21"/>
                <w:lang w:val="en-US" w:eastAsia="zh-CN"/>
              </w:rPr>
              <w:t>施工临建区</w:t>
            </w:r>
          </w:p>
        </w:tc>
        <w:tc>
          <w:tcPr>
            <w:tcW w:w="1089" w:type="pct"/>
            <w:shd w:val="clear" w:color="auto" w:fill="auto"/>
            <w:vAlign w:val="center"/>
          </w:tcPr>
          <w:p>
            <w:pPr>
              <w:widowControl/>
              <w:tabs>
                <w:tab w:val="clear" w:pos="480"/>
              </w:tabs>
              <w:spacing w:line="240" w:lineRule="auto"/>
              <w:ind w:firstLine="0" w:firstLineChars="0"/>
              <w:jc w:val="center"/>
              <w:rPr>
                <w:rFonts w:hint="default" w:eastAsia="宋体"/>
                <w:kern w:val="0"/>
                <w:sz w:val="21"/>
                <w:szCs w:val="21"/>
                <w:lang w:val="en-US" w:eastAsia="zh-CN"/>
              </w:rPr>
            </w:pPr>
            <w:r>
              <w:rPr>
                <w:rFonts w:hint="eastAsia"/>
                <w:kern w:val="0"/>
                <w:sz w:val="21"/>
                <w:szCs w:val="21"/>
                <w:lang w:val="en-US" w:eastAsia="zh-CN"/>
              </w:rPr>
              <w:t>0.5</w:t>
            </w:r>
          </w:p>
        </w:tc>
        <w:tc>
          <w:tcPr>
            <w:tcW w:w="825" w:type="pct"/>
            <w:shd w:val="clear" w:color="auto" w:fill="auto"/>
            <w:vAlign w:val="center"/>
          </w:tcPr>
          <w:p>
            <w:pPr>
              <w:widowControl/>
              <w:tabs>
                <w:tab w:val="clear" w:pos="480"/>
              </w:tabs>
              <w:spacing w:line="240" w:lineRule="auto"/>
              <w:ind w:firstLine="0" w:firstLineChars="0"/>
              <w:jc w:val="center"/>
              <w:rPr>
                <w:kern w:val="0"/>
                <w:sz w:val="21"/>
                <w:szCs w:val="21"/>
              </w:rPr>
            </w:pPr>
          </w:p>
        </w:tc>
        <w:tc>
          <w:tcPr>
            <w:tcW w:w="479" w:type="pct"/>
            <w:shd w:val="clear" w:color="auto" w:fill="auto"/>
            <w:vAlign w:val="center"/>
          </w:tcPr>
          <w:p>
            <w:pPr>
              <w:widowControl/>
              <w:tabs>
                <w:tab w:val="clear" w:pos="480"/>
              </w:tabs>
              <w:spacing w:line="240" w:lineRule="auto"/>
              <w:ind w:firstLine="0" w:firstLineChars="0"/>
              <w:jc w:val="center"/>
              <w:rPr>
                <w:kern w:val="0"/>
                <w:sz w:val="21"/>
                <w:szCs w:val="21"/>
              </w:rPr>
            </w:pPr>
          </w:p>
        </w:tc>
        <w:tc>
          <w:tcPr>
            <w:tcW w:w="801" w:type="pct"/>
            <w:shd w:val="clear" w:color="auto" w:fill="auto"/>
            <w:vAlign w:val="center"/>
          </w:tcPr>
          <w:p>
            <w:pPr>
              <w:widowControl/>
              <w:tabs>
                <w:tab w:val="clear" w:pos="480"/>
              </w:tabs>
              <w:spacing w:line="240" w:lineRule="auto"/>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778" w:type="pct"/>
            <w:vMerge w:val="restart"/>
            <w:shd w:val="clear" w:color="auto" w:fill="auto"/>
            <w:vAlign w:val="center"/>
          </w:tcPr>
          <w:p>
            <w:pPr>
              <w:widowControl/>
              <w:tabs>
                <w:tab w:val="clear" w:pos="480"/>
              </w:tabs>
              <w:spacing w:line="240" w:lineRule="auto"/>
              <w:ind w:firstLine="0" w:firstLineChars="0"/>
              <w:jc w:val="center"/>
              <w:rPr>
                <w:rFonts w:hint="default" w:eastAsia="宋体"/>
                <w:kern w:val="0"/>
                <w:sz w:val="21"/>
                <w:szCs w:val="21"/>
                <w:lang w:val="en-US" w:eastAsia="zh-CN"/>
              </w:rPr>
            </w:pPr>
            <w:r>
              <w:rPr>
                <w:rFonts w:hint="eastAsia"/>
                <w:kern w:val="0"/>
                <w:sz w:val="21"/>
                <w:szCs w:val="21"/>
                <w:lang w:val="en-US" w:eastAsia="zh-CN"/>
              </w:rPr>
              <w:t>陆域平台区</w:t>
            </w:r>
          </w:p>
        </w:tc>
        <w:tc>
          <w:tcPr>
            <w:tcW w:w="1026" w:type="pct"/>
            <w:shd w:val="clear" w:color="auto" w:fill="auto"/>
            <w:vAlign w:val="center"/>
          </w:tcPr>
          <w:p>
            <w:pPr>
              <w:widowControl/>
              <w:tabs>
                <w:tab w:val="clear" w:pos="480"/>
              </w:tabs>
              <w:spacing w:line="240" w:lineRule="auto"/>
              <w:ind w:firstLine="0" w:firstLineChars="0"/>
              <w:jc w:val="center"/>
              <w:rPr>
                <w:rFonts w:hint="default" w:eastAsia="宋体"/>
                <w:kern w:val="0"/>
                <w:sz w:val="21"/>
                <w:szCs w:val="21"/>
                <w:lang w:val="en-US" w:eastAsia="zh-CN"/>
              </w:rPr>
            </w:pPr>
            <w:r>
              <w:rPr>
                <w:rFonts w:hint="eastAsia"/>
                <w:kern w:val="0"/>
                <w:sz w:val="21"/>
                <w:szCs w:val="21"/>
                <w:lang w:val="en-US" w:eastAsia="zh-CN"/>
              </w:rPr>
              <w:t>堆场、辅助设施区</w:t>
            </w:r>
          </w:p>
        </w:tc>
        <w:tc>
          <w:tcPr>
            <w:tcW w:w="1089" w:type="pct"/>
            <w:shd w:val="clear" w:color="auto" w:fill="auto"/>
            <w:vAlign w:val="center"/>
          </w:tcPr>
          <w:p>
            <w:pPr>
              <w:widowControl/>
              <w:tabs>
                <w:tab w:val="clear" w:pos="480"/>
              </w:tabs>
              <w:spacing w:line="240" w:lineRule="auto"/>
              <w:ind w:firstLine="0" w:firstLineChars="0"/>
              <w:jc w:val="center"/>
              <w:rPr>
                <w:kern w:val="0"/>
                <w:sz w:val="21"/>
                <w:szCs w:val="21"/>
              </w:rPr>
            </w:pPr>
          </w:p>
        </w:tc>
        <w:tc>
          <w:tcPr>
            <w:tcW w:w="825" w:type="pct"/>
            <w:shd w:val="clear" w:color="auto" w:fill="auto"/>
            <w:vAlign w:val="center"/>
          </w:tcPr>
          <w:p>
            <w:pPr>
              <w:widowControl/>
              <w:tabs>
                <w:tab w:val="clear" w:pos="480"/>
              </w:tabs>
              <w:spacing w:line="240" w:lineRule="auto"/>
              <w:ind w:firstLine="0" w:firstLineChars="0"/>
              <w:jc w:val="center"/>
              <w:rPr>
                <w:rFonts w:hint="default" w:eastAsia="宋体"/>
                <w:kern w:val="0"/>
                <w:sz w:val="21"/>
                <w:szCs w:val="21"/>
                <w:lang w:val="en-US" w:eastAsia="zh-CN"/>
              </w:rPr>
            </w:pPr>
            <w:r>
              <w:rPr>
                <w:rFonts w:hint="eastAsia"/>
                <w:kern w:val="0"/>
                <w:sz w:val="21"/>
                <w:szCs w:val="21"/>
                <w:lang w:val="en-US" w:eastAsia="zh-CN"/>
              </w:rPr>
              <w:t>14.75</w:t>
            </w:r>
          </w:p>
        </w:tc>
        <w:tc>
          <w:tcPr>
            <w:tcW w:w="890" w:type="dxa"/>
            <w:shd w:val="clear" w:color="auto" w:fill="auto"/>
            <w:vAlign w:val="center"/>
          </w:tcPr>
          <w:p>
            <w:pPr>
              <w:widowControl/>
              <w:tabs>
                <w:tab w:val="clear" w:pos="480"/>
              </w:tabs>
              <w:spacing w:line="240" w:lineRule="auto"/>
              <w:ind w:firstLine="0" w:firstLineChars="0"/>
              <w:jc w:val="center"/>
              <w:rPr>
                <w:kern w:val="0"/>
                <w:sz w:val="21"/>
                <w:szCs w:val="21"/>
              </w:rPr>
            </w:pPr>
            <w:r>
              <w:rPr>
                <w:rFonts w:hint="eastAsia"/>
                <w:kern w:val="0"/>
                <w:sz w:val="21"/>
                <w:szCs w:val="21"/>
                <w:lang w:val="en-US" w:eastAsia="zh-CN"/>
              </w:rPr>
              <w:t>14.75</w:t>
            </w:r>
          </w:p>
        </w:tc>
        <w:tc>
          <w:tcPr>
            <w:tcW w:w="801" w:type="pct"/>
            <w:shd w:val="clear" w:color="auto" w:fill="auto"/>
            <w:vAlign w:val="center"/>
          </w:tcPr>
          <w:p>
            <w:pPr>
              <w:widowControl/>
              <w:tabs>
                <w:tab w:val="clear" w:pos="480"/>
              </w:tabs>
              <w:spacing w:line="240" w:lineRule="auto"/>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778"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1026" w:type="pct"/>
            <w:shd w:val="clear" w:color="auto" w:fill="auto"/>
            <w:vAlign w:val="center"/>
          </w:tcPr>
          <w:p>
            <w:pPr>
              <w:widowControl/>
              <w:tabs>
                <w:tab w:val="clear" w:pos="480"/>
              </w:tabs>
              <w:spacing w:line="240" w:lineRule="auto"/>
              <w:ind w:firstLine="0" w:firstLineChars="0"/>
              <w:jc w:val="center"/>
              <w:rPr>
                <w:rFonts w:hint="eastAsia" w:eastAsia="宋体"/>
                <w:kern w:val="0"/>
                <w:sz w:val="21"/>
                <w:szCs w:val="21"/>
                <w:lang w:val="en-US" w:eastAsia="zh-CN"/>
              </w:rPr>
            </w:pPr>
            <w:r>
              <w:rPr>
                <w:rFonts w:hint="eastAsia"/>
                <w:kern w:val="0"/>
                <w:sz w:val="21"/>
                <w:szCs w:val="21"/>
                <w:lang w:val="en-US" w:eastAsia="zh-CN"/>
              </w:rPr>
              <w:t>绿化区</w:t>
            </w:r>
          </w:p>
        </w:tc>
        <w:tc>
          <w:tcPr>
            <w:tcW w:w="1089" w:type="pct"/>
            <w:shd w:val="clear" w:color="auto" w:fill="auto"/>
            <w:vAlign w:val="center"/>
          </w:tcPr>
          <w:p>
            <w:pPr>
              <w:widowControl/>
              <w:tabs>
                <w:tab w:val="clear" w:pos="480"/>
              </w:tabs>
              <w:spacing w:line="240" w:lineRule="auto"/>
              <w:ind w:firstLine="0" w:firstLineChars="0"/>
              <w:jc w:val="center"/>
              <w:rPr>
                <w:kern w:val="0"/>
                <w:sz w:val="21"/>
                <w:szCs w:val="21"/>
              </w:rPr>
            </w:pPr>
          </w:p>
        </w:tc>
        <w:tc>
          <w:tcPr>
            <w:tcW w:w="825" w:type="pct"/>
            <w:shd w:val="clear" w:color="auto" w:fill="auto"/>
            <w:vAlign w:val="center"/>
          </w:tcPr>
          <w:p>
            <w:pPr>
              <w:widowControl/>
              <w:tabs>
                <w:tab w:val="clear" w:pos="480"/>
              </w:tabs>
              <w:spacing w:line="240" w:lineRule="auto"/>
              <w:ind w:firstLine="0" w:firstLineChars="0"/>
              <w:jc w:val="center"/>
              <w:rPr>
                <w:rFonts w:hint="default" w:eastAsia="宋体"/>
                <w:kern w:val="0"/>
                <w:sz w:val="21"/>
                <w:szCs w:val="21"/>
                <w:lang w:val="en-US" w:eastAsia="zh-CN"/>
              </w:rPr>
            </w:pPr>
            <w:r>
              <w:rPr>
                <w:rFonts w:hint="eastAsia"/>
                <w:kern w:val="0"/>
                <w:sz w:val="21"/>
                <w:szCs w:val="21"/>
                <w:lang w:val="en-US" w:eastAsia="zh-CN"/>
              </w:rPr>
              <w:t>4.47</w:t>
            </w:r>
          </w:p>
        </w:tc>
        <w:tc>
          <w:tcPr>
            <w:tcW w:w="890" w:type="dxa"/>
            <w:shd w:val="clear" w:color="auto" w:fill="auto"/>
            <w:vAlign w:val="center"/>
          </w:tcPr>
          <w:p>
            <w:pPr>
              <w:widowControl/>
              <w:tabs>
                <w:tab w:val="clear" w:pos="480"/>
              </w:tabs>
              <w:spacing w:line="240" w:lineRule="auto"/>
              <w:ind w:firstLine="0" w:firstLineChars="0"/>
              <w:jc w:val="center"/>
              <w:rPr>
                <w:kern w:val="0"/>
                <w:sz w:val="21"/>
                <w:szCs w:val="21"/>
              </w:rPr>
            </w:pPr>
            <w:r>
              <w:rPr>
                <w:rFonts w:hint="eastAsia"/>
                <w:kern w:val="0"/>
                <w:sz w:val="21"/>
                <w:szCs w:val="21"/>
                <w:lang w:val="en-US" w:eastAsia="zh-CN"/>
              </w:rPr>
              <w:t>4.47</w:t>
            </w:r>
          </w:p>
        </w:tc>
        <w:tc>
          <w:tcPr>
            <w:tcW w:w="801" w:type="pct"/>
            <w:shd w:val="clear" w:color="auto" w:fill="auto"/>
            <w:vAlign w:val="center"/>
          </w:tcPr>
          <w:p>
            <w:pPr>
              <w:widowControl/>
              <w:tabs>
                <w:tab w:val="clear" w:pos="480"/>
              </w:tabs>
              <w:spacing w:line="240" w:lineRule="auto"/>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45" w:hRule="exact"/>
          <w:jc w:val="center"/>
        </w:trPr>
        <w:tc>
          <w:tcPr>
            <w:tcW w:w="778" w:type="pct"/>
            <w:vMerge w:val="continue"/>
            <w:shd w:val="clear" w:color="auto" w:fill="auto"/>
            <w:vAlign w:val="center"/>
          </w:tcPr>
          <w:p>
            <w:pPr>
              <w:widowControl/>
              <w:tabs>
                <w:tab w:val="clear" w:pos="480"/>
              </w:tabs>
              <w:spacing w:line="240" w:lineRule="auto"/>
              <w:ind w:firstLine="0" w:firstLineChars="0"/>
              <w:jc w:val="center"/>
              <w:rPr>
                <w:kern w:val="0"/>
                <w:sz w:val="21"/>
                <w:szCs w:val="21"/>
              </w:rPr>
            </w:pPr>
          </w:p>
        </w:tc>
        <w:tc>
          <w:tcPr>
            <w:tcW w:w="1026" w:type="pct"/>
            <w:shd w:val="clear" w:color="auto" w:fill="auto"/>
            <w:vAlign w:val="center"/>
          </w:tcPr>
          <w:p>
            <w:pPr>
              <w:widowControl/>
              <w:tabs>
                <w:tab w:val="clear" w:pos="480"/>
              </w:tabs>
              <w:spacing w:line="240" w:lineRule="auto"/>
              <w:ind w:firstLine="0" w:firstLineChars="0"/>
              <w:jc w:val="center"/>
              <w:rPr>
                <w:rFonts w:hint="default" w:eastAsia="宋体"/>
                <w:kern w:val="0"/>
                <w:sz w:val="21"/>
                <w:szCs w:val="21"/>
                <w:lang w:val="en-US" w:eastAsia="zh-CN"/>
              </w:rPr>
            </w:pPr>
            <w:r>
              <w:rPr>
                <w:rFonts w:hint="eastAsia"/>
                <w:kern w:val="0"/>
                <w:sz w:val="21"/>
                <w:szCs w:val="21"/>
                <w:lang w:val="en-US" w:eastAsia="zh-CN"/>
              </w:rPr>
              <w:t>施工临建区</w:t>
            </w:r>
          </w:p>
        </w:tc>
        <w:tc>
          <w:tcPr>
            <w:tcW w:w="1089" w:type="pct"/>
            <w:shd w:val="clear" w:color="auto" w:fill="auto"/>
            <w:vAlign w:val="center"/>
          </w:tcPr>
          <w:p>
            <w:pPr>
              <w:widowControl/>
              <w:tabs>
                <w:tab w:val="clear" w:pos="480"/>
              </w:tabs>
              <w:spacing w:line="240" w:lineRule="auto"/>
              <w:ind w:firstLine="0" w:firstLineChars="0"/>
              <w:jc w:val="center"/>
              <w:rPr>
                <w:kern w:val="0"/>
                <w:sz w:val="21"/>
                <w:szCs w:val="21"/>
              </w:rPr>
            </w:pPr>
          </w:p>
        </w:tc>
        <w:tc>
          <w:tcPr>
            <w:tcW w:w="825" w:type="pct"/>
            <w:shd w:val="clear" w:color="auto" w:fill="auto"/>
            <w:vAlign w:val="center"/>
          </w:tcPr>
          <w:p>
            <w:pPr>
              <w:widowControl/>
              <w:tabs>
                <w:tab w:val="clear" w:pos="480"/>
              </w:tabs>
              <w:spacing w:line="240" w:lineRule="auto"/>
              <w:ind w:firstLine="0" w:firstLineChars="0"/>
              <w:jc w:val="center"/>
              <w:rPr>
                <w:rFonts w:hint="default" w:eastAsia="宋体"/>
                <w:kern w:val="0"/>
                <w:sz w:val="21"/>
                <w:szCs w:val="21"/>
                <w:lang w:val="en-US" w:eastAsia="zh-CN"/>
              </w:rPr>
            </w:pPr>
            <w:r>
              <w:rPr>
                <w:rFonts w:hint="eastAsia"/>
                <w:kern w:val="0"/>
                <w:sz w:val="21"/>
                <w:szCs w:val="21"/>
                <w:lang w:val="en-US" w:eastAsia="zh-CN"/>
              </w:rPr>
              <w:t>4.0</w:t>
            </w:r>
          </w:p>
        </w:tc>
        <w:tc>
          <w:tcPr>
            <w:tcW w:w="890" w:type="dxa"/>
            <w:shd w:val="clear" w:color="auto" w:fill="auto"/>
            <w:vAlign w:val="center"/>
          </w:tcPr>
          <w:p>
            <w:pPr>
              <w:widowControl/>
              <w:tabs>
                <w:tab w:val="clear" w:pos="480"/>
              </w:tabs>
              <w:spacing w:line="240" w:lineRule="auto"/>
              <w:ind w:firstLine="0" w:firstLineChars="0"/>
              <w:jc w:val="center"/>
              <w:rPr>
                <w:kern w:val="0"/>
                <w:sz w:val="21"/>
                <w:szCs w:val="21"/>
              </w:rPr>
            </w:pPr>
            <w:r>
              <w:rPr>
                <w:rFonts w:hint="eastAsia"/>
                <w:kern w:val="0"/>
                <w:sz w:val="21"/>
                <w:szCs w:val="21"/>
                <w:lang w:val="en-US" w:eastAsia="zh-CN"/>
              </w:rPr>
              <w:t>4.0</w:t>
            </w:r>
          </w:p>
        </w:tc>
        <w:tc>
          <w:tcPr>
            <w:tcW w:w="801" w:type="pct"/>
            <w:shd w:val="clear" w:color="auto" w:fill="auto"/>
            <w:vAlign w:val="center"/>
          </w:tcPr>
          <w:p>
            <w:pPr>
              <w:widowControl/>
              <w:tabs>
                <w:tab w:val="clear" w:pos="480"/>
              </w:tabs>
              <w:spacing w:line="240" w:lineRule="auto"/>
              <w:ind w:firstLine="0" w:firstLineChars="0"/>
              <w:jc w:val="center"/>
              <w:rPr>
                <w:rFonts w:hint="default" w:eastAsia="宋体"/>
                <w:kern w:val="0"/>
                <w:sz w:val="21"/>
                <w:szCs w:val="21"/>
                <w:lang w:val="en-US" w:eastAsia="zh-CN"/>
              </w:rPr>
            </w:pPr>
            <w:r>
              <w:rPr>
                <w:rFonts w:hint="eastAsia"/>
                <w:kern w:val="0"/>
                <w:sz w:val="21"/>
                <w:szCs w:val="21"/>
                <w:lang w:val="en-US" w:eastAsia="zh-CN"/>
              </w:rPr>
              <w:t>与堆场、辅助设施区永久占地重合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32" w:hRule="exact"/>
          <w:jc w:val="center"/>
        </w:trPr>
        <w:tc>
          <w:tcPr>
            <w:tcW w:w="1804" w:type="pct"/>
            <w:gridSpan w:val="2"/>
            <w:shd w:val="clear" w:color="auto" w:fill="auto"/>
            <w:vAlign w:val="center"/>
          </w:tcPr>
          <w:p>
            <w:pPr>
              <w:widowControl/>
              <w:tabs>
                <w:tab w:val="clear" w:pos="480"/>
              </w:tabs>
              <w:spacing w:line="240" w:lineRule="auto"/>
              <w:ind w:firstLine="0" w:firstLineChars="0"/>
              <w:jc w:val="center"/>
              <w:rPr>
                <w:rFonts w:hint="eastAsia" w:eastAsia="宋体"/>
                <w:kern w:val="0"/>
                <w:sz w:val="21"/>
                <w:szCs w:val="21"/>
                <w:lang w:val="en-US" w:eastAsia="zh-CN"/>
              </w:rPr>
            </w:pPr>
            <w:r>
              <w:rPr>
                <w:rFonts w:hint="eastAsia"/>
                <w:kern w:val="0"/>
                <w:sz w:val="21"/>
                <w:szCs w:val="21"/>
                <w:lang w:val="en-US" w:eastAsia="zh-CN"/>
              </w:rPr>
              <w:t>总计</w:t>
            </w:r>
          </w:p>
        </w:tc>
        <w:tc>
          <w:tcPr>
            <w:tcW w:w="1089" w:type="pct"/>
            <w:shd w:val="clear" w:color="auto" w:fill="auto"/>
            <w:vAlign w:val="center"/>
          </w:tcPr>
          <w:p>
            <w:pPr>
              <w:widowControl/>
              <w:tabs>
                <w:tab w:val="clear" w:pos="480"/>
              </w:tabs>
              <w:spacing w:line="240" w:lineRule="auto"/>
              <w:ind w:firstLine="0" w:firstLineChars="0"/>
              <w:jc w:val="center"/>
              <w:rPr>
                <w:rFonts w:hint="default" w:eastAsia="宋体"/>
                <w:kern w:val="0"/>
                <w:sz w:val="21"/>
                <w:szCs w:val="21"/>
                <w:lang w:val="en-US" w:eastAsia="zh-CN"/>
              </w:rPr>
            </w:pPr>
            <w:r>
              <w:rPr>
                <w:rFonts w:hint="eastAsia"/>
                <w:kern w:val="0"/>
                <w:sz w:val="21"/>
                <w:szCs w:val="21"/>
                <w:lang w:val="en-US" w:eastAsia="zh-CN"/>
              </w:rPr>
              <w:t>0.5</w:t>
            </w:r>
          </w:p>
        </w:tc>
        <w:tc>
          <w:tcPr>
            <w:tcW w:w="825" w:type="pct"/>
            <w:shd w:val="clear" w:color="auto" w:fill="auto"/>
            <w:vAlign w:val="center"/>
          </w:tcPr>
          <w:p>
            <w:pPr>
              <w:widowControl/>
              <w:tabs>
                <w:tab w:val="clear" w:pos="480"/>
              </w:tabs>
              <w:spacing w:line="240" w:lineRule="auto"/>
              <w:ind w:firstLine="0" w:firstLineChars="0"/>
              <w:jc w:val="center"/>
              <w:rPr>
                <w:rFonts w:hint="default" w:eastAsia="宋体"/>
                <w:kern w:val="0"/>
                <w:sz w:val="21"/>
                <w:szCs w:val="21"/>
                <w:lang w:val="en-US" w:eastAsia="zh-CN"/>
              </w:rPr>
            </w:pPr>
            <w:r>
              <w:rPr>
                <w:rFonts w:hint="eastAsia"/>
                <w:kern w:val="0"/>
                <w:sz w:val="21"/>
                <w:szCs w:val="21"/>
                <w:lang w:val="en-US" w:eastAsia="zh-CN"/>
              </w:rPr>
              <w:t>19.23</w:t>
            </w:r>
          </w:p>
        </w:tc>
        <w:tc>
          <w:tcPr>
            <w:tcW w:w="890" w:type="dxa"/>
            <w:shd w:val="clear" w:color="auto" w:fill="auto"/>
            <w:vAlign w:val="center"/>
          </w:tcPr>
          <w:p>
            <w:pPr>
              <w:widowControl/>
              <w:tabs>
                <w:tab w:val="clear" w:pos="480"/>
              </w:tabs>
              <w:spacing w:line="240" w:lineRule="auto"/>
              <w:ind w:firstLine="0" w:firstLineChars="0"/>
              <w:jc w:val="center"/>
              <w:rPr>
                <w:kern w:val="0"/>
                <w:sz w:val="21"/>
                <w:szCs w:val="21"/>
              </w:rPr>
            </w:pPr>
            <w:r>
              <w:rPr>
                <w:rFonts w:hint="eastAsia"/>
                <w:kern w:val="0"/>
                <w:sz w:val="21"/>
                <w:szCs w:val="21"/>
                <w:lang w:val="en-US" w:eastAsia="zh-CN"/>
              </w:rPr>
              <w:t>19.23</w:t>
            </w:r>
          </w:p>
        </w:tc>
        <w:tc>
          <w:tcPr>
            <w:tcW w:w="801" w:type="pct"/>
            <w:shd w:val="clear" w:color="auto" w:fill="auto"/>
            <w:vAlign w:val="center"/>
          </w:tcPr>
          <w:p>
            <w:pPr>
              <w:widowControl/>
              <w:tabs>
                <w:tab w:val="clear" w:pos="480"/>
              </w:tabs>
              <w:spacing w:line="240" w:lineRule="auto"/>
              <w:ind w:firstLine="0" w:firstLineChars="0"/>
              <w:jc w:val="center"/>
              <w:rPr>
                <w:kern w:val="0"/>
                <w:sz w:val="21"/>
                <w:szCs w:val="21"/>
              </w:rPr>
            </w:pPr>
          </w:p>
        </w:tc>
      </w:tr>
    </w:tbl>
    <w:p>
      <w:pPr>
        <w:pStyle w:val="456"/>
        <w:ind w:firstLine="482"/>
      </w:pPr>
      <w:r>
        <w:tab/>
      </w:r>
      <w:r>
        <w:t>施工临时道路</w:t>
      </w:r>
    </w:p>
    <w:p>
      <w:pPr>
        <w:ind w:firstLine="480"/>
      </w:pPr>
      <w:r>
        <w:t>本项目陆域可由</w:t>
      </w:r>
      <w:r>
        <w:rPr>
          <w:szCs w:val="28"/>
        </w:rPr>
        <w:t>S208省道和</w:t>
      </w:r>
      <w:r>
        <w:t>防汛大堤堤顶公路进入现场，可满足施工机械进出施工现场要求。</w:t>
      </w:r>
    </w:p>
    <w:p>
      <w:pPr>
        <w:pStyle w:val="454"/>
        <w:ind w:firstLine="602"/>
        <w:rPr>
          <w:color w:val="auto"/>
        </w:rPr>
      </w:pPr>
      <w:r>
        <w:rPr>
          <w:color w:val="auto"/>
        </w:rPr>
        <w:t>建设用地方案</w:t>
      </w:r>
    </w:p>
    <w:p>
      <w:pPr>
        <w:pStyle w:val="456"/>
        <w:ind w:firstLine="482"/>
        <w:rPr>
          <w:snapToGrid w:val="0"/>
        </w:rPr>
      </w:pPr>
      <w:r>
        <w:rPr>
          <w:snapToGrid w:val="0"/>
        </w:rPr>
        <w:t>用地</w:t>
      </w:r>
      <w:r>
        <w:rPr>
          <w:rFonts w:hint="eastAsia"/>
          <w:snapToGrid w:val="0"/>
        </w:rPr>
        <w:t>使用</w:t>
      </w:r>
    </w:p>
    <w:p>
      <w:pPr>
        <w:ind w:firstLine="480"/>
        <w:rPr>
          <w:szCs w:val="28"/>
        </w:rPr>
      </w:pPr>
      <w:r>
        <w:rPr>
          <w:rFonts w:hint="eastAsia"/>
          <w:szCs w:val="28"/>
        </w:rPr>
        <w:t>本项目陆域用地布置在长江大堤内侧，码头前沿线后方，总占地面积</w:t>
      </w:r>
      <w:r>
        <w:rPr>
          <w:szCs w:val="28"/>
        </w:rPr>
        <w:t>288.3</w:t>
      </w:r>
      <w:r>
        <w:rPr>
          <w:rFonts w:hint="eastAsia"/>
          <w:szCs w:val="28"/>
        </w:rPr>
        <w:t>亩（含临时</w:t>
      </w:r>
      <w:r>
        <w:rPr>
          <w:szCs w:val="28"/>
        </w:rPr>
        <w:t>60</w:t>
      </w:r>
      <w:r>
        <w:rPr>
          <w:rFonts w:hint="eastAsia"/>
          <w:szCs w:val="28"/>
        </w:rPr>
        <w:t>亩）。总共分两块地，地块</w:t>
      </w:r>
      <w:r>
        <w:rPr>
          <w:szCs w:val="28"/>
        </w:rPr>
        <w:t>A</w:t>
      </w:r>
      <w:r>
        <w:rPr>
          <w:rFonts w:hint="eastAsia"/>
          <w:szCs w:val="28"/>
        </w:rPr>
        <w:t>位于厂家长江大堤与</w:t>
      </w:r>
      <w:r>
        <w:rPr>
          <w:szCs w:val="28"/>
        </w:rPr>
        <w:t>S208</w:t>
      </w:r>
      <w:r>
        <w:rPr>
          <w:rFonts w:hint="eastAsia"/>
          <w:szCs w:val="28"/>
        </w:rPr>
        <w:t>省道之间，占地面积</w:t>
      </w:r>
      <w:r>
        <w:rPr>
          <w:szCs w:val="28"/>
        </w:rPr>
        <w:t>161.7</w:t>
      </w:r>
      <w:r>
        <w:rPr>
          <w:rFonts w:hint="eastAsia"/>
          <w:szCs w:val="28"/>
        </w:rPr>
        <w:t>亩，其中临时</w:t>
      </w:r>
      <w:r>
        <w:rPr>
          <w:szCs w:val="28"/>
        </w:rPr>
        <w:t>60</w:t>
      </w:r>
      <w:r>
        <w:rPr>
          <w:rFonts w:hint="eastAsia"/>
          <w:szCs w:val="28"/>
        </w:rPr>
        <w:t>亩；地块</w:t>
      </w:r>
      <w:r>
        <w:rPr>
          <w:szCs w:val="28"/>
        </w:rPr>
        <w:t>B</w:t>
      </w:r>
      <w:r>
        <w:rPr>
          <w:rFonts w:hint="eastAsia"/>
          <w:szCs w:val="28"/>
        </w:rPr>
        <w:t>位于省道</w:t>
      </w:r>
      <w:r>
        <w:rPr>
          <w:szCs w:val="28"/>
        </w:rPr>
        <w:t>S208</w:t>
      </w:r>
      <w:r>
        <w:rPr>
          <w:rFonts w:hint="eastAsia"/>
          <w:szCs w:val="28"/>
        </w:rPr>
        <w:t>东侧，现有兴长路南侧，占地面积</w:t>
      </w:r>
      <w:r>
        <w:rPr>
          <w:szCs w:val="28"/>
        </w:rPr>
        <w:t>126.6</w:t>
      </w:r>
      <w:r>
        <w:rPr>
          <w:rFonts w:hint="eastAsia"/>
          <w:szCs w:val="28"/>
        </w:rPr>
        <w:t>亩。</w:t>
      </w:r>
    </w:p>
    <w:p>
      <w:pPr>
        <w:ind w:firstLine="480"/>
        <w:rPr>
          <w:szCs w:val="28"/>
        </w:rPr>
      </w:pPr>
      <w:r>
        <w:rPr>
          <w:rFonts w:hint="eastAsia"/>
          <w:szCs w:val="28"/>
        </w:rPr>
        <w:t>地块</w:t>
      </w:r>
      <w:r>
        <w:rPr>
          <w:szCs w:val="28"/>
        </w:rPr>
        <w:t>A</w:t>
      </w:r>
      <w:r>
        <w:rPr>
          <w:rFonts w:hint="eastAsia"/>
          <w:szCs w:val="28"/>
        </w:rPr>
        <w:t>在</w:t>
      </w:r>
      <w:r>
        <w:rPr>
          <w:szCs w:val="28"/>
        </w:rPr>
        <w:t>S208</w:t>
      </w:r>
      <w:r>
        <w:rPr>
          <w:rFonts w:hint="eastAsia"/>
          <w:szCs w:val="28"/>
        </w:rPr>
        <w:t>省道与长江大堤之间的狭长地带，占地面积</w:t>
      </w:r>
      <w:r>
        <w:rPr>
          <w:szCs w:val="28"/>
        </w:rPr>
        <w:t>161.7</w:t>
      </w:r>
      <w:r>
        <w:rPr>
          <w:rFonts w:hint="eastAsia"/>
          <w:szCs w:val="28"/>
        </w:rPr>
        <w:t>亩，其中永久用地</w:t>
      </w:r>
      <w:r>
        <w:rPr>
          <w:szCs w:val="28"/>
        </w:rPr>
        <w:t>101.7</w:t>
      </w:r>
      <w:r>
        <w:rPr>
          <w:rFonts w:hint="eastAsia"/>
          <w:szCs w:val="28"/>
        </w:rPr>
        <w:t>亩，临时用地</w:t>
      </w:r>
      <w:r>
        <w:rPr>
          <w:szCs w:val="28"/>
        </w:rPr>
        <w:t>60</w:t>
      </w:r>
      <w:r>
        <w:rPr>
          <w:rFonts w:hint="eastAsia"/>
          <w:szCs w:val="28"/>
        </w:rPr>
        <w:t>亩。根据《湖南省实施〈中华人民共和国水法〉办法》（</w:t>
      </w:r>
      <w:r>
        <w:rPr>
          <w:szCs w:val="28"/>
        </w:rPr>
        <w:t>2004</w:t>
      </w:r>
      <w:r>
        <w:rPr>
          <w:rFonts w:hint="eastAsia"/>
          <w:szCs w:val="28"/>
        </w:rPr>
        <w:t>）第十六项第一条</w:t>
      </w:r>
      <w:r>
        <w:rPr>
          <w:szCs w:val="28"/>
        </w:rPr>
        <w:t>“</w:t>
      </w:r>
      <w:r>
        <w:rPr>
          <w:rFonts w:hint="eastAsia"/>
          <w:szCs w:val="28"/>
        </w:rPr>
        <w:t>防洪、防涝的堤防、间堤背水坡脚向外水平延伸</w:t>
      </w:r>
      <w:r>
        <w:rPr>
          <w:szCs w:val="28"/>
        </w:rPr>
        <w:t>30</w:t>
      </w:r>
      <w:r>
        <w:rPr>
          <w:rFonts w:hint="eastAsia"/>
          <w:szCs w:val="28"/>
        </w:rPr>
        <w:t>至</w:t>
      </w:r>
      <w:r>
        <w:rPr>
          <w:szCs w:val="28"/>
        </w:rPr>
        <w:t>50</w:t>
      </w:r>
      <w:r>
        <w:rPr>
          <w:rFonts w:hint="eastAsia"/>
          <w:szCs w:val="28"/>
        </w:rPr>
        <w:t>米（经过城镇的堤段不得少于</w:t>
      </w:r>
      <w:r>
        <w:rPr>
          <w:szCs w:val="28"/>
        </w:rPr>
        <w:t>10</w:t>
      </w:r>
      <w:r>
        <w:rPr>
          <w:rFonts w:hint="eastAsia"/>
          <w:szCs w:val="28"/>
        </w:rPr>
        <w:t>米）为管理范围。保护范围视堤防重要程度、堤基土质条件划定。</w:t>
      </w:r>
      <w:r>
        <w:rPr>
          <w:szCs w:val="28"/>
        </w:rPr>
        <w:t>”</w:t>
      </w:r>
      <w:r>
        <w:rPr>
          <w:rFonts w:hint="eastAsia"/>
          <w:szCs w:val="28"/>
        </w:rPr>
        <w:t>据此，参照邻近工程经验，陆域主体建设永久用地边线距离大堤坡脚暂取</w:t>
      </w:r>
      <w:r>
        <w:rPr>
          <w:szCs w:val="28"/>
        </w:rPr>
        <w:t>60m</w:t>
      </w:r>
      <w:r>
        <w:rPr>
          <w:rFonts w:hint="eastAsia"/>
          <w:szCs w:val="28"/>
        </w:rPr>
        <w:t>，距离</w:t>
      </w:r>
      <w:r>
        <w:rPr>
          <w:szCs w:val="28"/>
        </w:rPr>
        <w:t>60m</w:t>
      </w:r>
      <w:r>
        <w:rPr>
          <w:rFonts w:hint="eastAsia"/>
          <w:szCs w:val="28"/>
        </w:rPr>
        <w:t>范围内拟征用临时用地，作为临时停车使用。用地范围内原兴达码头面积</w:t>
      </w:r>
      <w:r>
        <w:rPr>
          <w:szCs w:val="28"/>
        </w:rPr>
        <w:t xml:space="preserve">3.7254 </w:t>
      </w:r>
      <w:r>
        <w:rPr>
          <w:rFonts w:hint="eastAsia"/>
          <w:szCs w:val="28"/>
        </w:rPr>
        <w:t>hm</w:t>
      </w:r>
      <w:r>
        <w:rPr>
          <w:szCs w:val="28"/>
          <w:vertAlign w:val="superscript"/>
        </w:rPr>
        <w:t>2</w:t>
      </w:r>
      <w:r>
        <w:rPr>
          <w:rFonts w:hint="eastAsia"/>
          <w:szCs w:val="28"/>
        </w:rPr>
        <w:t>，其余隶属长炼农场。兴达码头在湖南省开展的长江岸线港口码头</w:t>
      </w:r>
      <w:r>
        <w:rPr>
          <w:szCs w:val="28"/>
        </w:rPr>
        <w:t>“</w:t>
      </w:r>
      <w:r>
        <w:rPr>
          <w:rFonts w:hint="eastAsia"/>
          <w:szCs w:val="28"/>
        </w:rPr>
        <w:t>关停并转</w:t>
      </w:r>
      <w:r>
        <w:rPr>
          <w:szCs w:val="28"/>
        </w:rPr>
        <w:t>”</w:t>
      </w:r>
      <w:r>
        <w:rPr>
          <w:rFonts w:hint="eastAsia"/>
          <w:szCs w:val="28"/>
        </w:rPr>
        <w:t>专项整治行动中已经关停，其</w:t>
      </w:r>
      <w:r>
        <w:rPr>
          <w:szCs w:val="28"/>
        </w:rPr>
        <w:t>3</w:t>
      </w:r>
      <w:r>
        <w:rPr>
          <w:rFonts w:hint="eastAsia"/>
          <w:szCs w:val="28"/>
        </w:rPr>
        <w:t>个危货、散货泊位及</w:t>
      </w:r>
      <w:r>
        <w:rPr>
          <w:szCs w:val="28"/>
        </w:rPr>
        <w:t>126</w:t>
      </w:r>
      <w:r>
        <w:rPr>
          <w:rFonts w:hint="eastAsia"/>
          <w:szCs w:val="28"/>
        </w:rPr>
        <w:t>m长的栈桥被关闭拆除，转移趸船</w:t>
      </w:r>
      <w:r>
        <w:rPr>
          <w:szCs w:val="28"/>
        </w:rPr>
        <w:t>4</w:t>
      </w:r>
      <w:r>
        <w:rPr>
          <w:rFonts w:hint="eastAsia"/>
          <w:szCs w:val="28"/>
        </w:rPr>
        <w:t>艘，恢复长江岸线</w:t>
      </w:r>
      <w:r>
        <w:rPr>
          <w:szCs w:val="28"/>
        </w:rPr>
        <w:t>374</w:t>
      </w:r>
      <w:r>
        <w:rPr>
          <w:rFonts w:hint="eastAsia"/>
          <w:szCs w:val="28"/>
        </w:rPr>
        <w:t>m，堤外岸坡已进行复绿。陆域堆场原有货物已进行转移，相关堆场设施已经基本拆除，目前陆域用地范围内仅有少许简易建筑，征地拆迁量较小，目前该地块已取得项目用地预审与选址意见书。</w:t>
      </w:r>
    </w:p>
    <w:p>
      <w:pPr>
        <w:ind w:firstLine="480"/>
        <w:rPr>
          <w:szCs w:val="28"/>
        </w:rPr>
      </w:pPr>
      <w:r>
        <w:rPr>
          <w:rFonts w:hint="eastAsia"/>
          <w:szCs w:val="28"/>
        </w:rPr>
        <w:t>地块</w:t>
      </w:r>
      <w:r>
        <w:rPr>
          <w:szCs w:val="28"/>
        </w:rPr>
        <w:t>B</w:t>
      </w:r>
      <w:r>
        <w:rPr>
          <w:rFonts w:hint="eastAsia"/>
          <w:szCs w:val="28"/>
        </w:rPr>
        <w:t>省道</w:t>
      </w:r>
      <w:r>
        <w:rPr>
          <w:szCs w:val="28"/>
        </w:rPr>
        <w:t>S208</w:t>
      </w:r>
      <w:r>
        <w:rPr>
          <w:rFonts w:hint="eastAsia"/>
          <w:szCs w:val="28"/>
        </w:rPr>
        <w:t>东侧，为岳阳港总体规划的港口用地范围，由岳阳城投统一开发建设，目前已初步与岳阳城投达成用地协议，由其同意征地拆迁，转让建设单位。</w:t>
      </w:r>
    </w:p>
    <w:p>
      <w:pPr>
        <w:pStyle w:val="456"/>
        <w:ind w:firstLine="482"/>
        <w:rPr>
          <w:snapToGrid w:val="0"/>
        </w:rPr>
      </w:pPr>
      <w:r>
        <w:rPr>
          <w:snapToGrid w:val="0"/>
        </w:rPr>
        <w:t>水域使用方案</w:t>
      </w:r>
    </w:p>
    <w:p>
      <w:pPr>
        <w:ind w:firstLine="480"/>
        <w:rPr>
          <w:szCs w:val="28"/>
        </w:rPr>
      </w:pPr>
      <w:r>
        <w:rPr>
          <w:szCs w:val="28"/>
        </w:rPr>
        <w:t>码头前沿停泊水域及回旋水域均位于码头正前方。</w:t>
      </w:r>
    </w:p>
    <w:p>
      <w:pPr>
        <w:ind w:firstLine="480"/>
      </w:pPr>
      <w:r>
        <w:rPr>
          <w:szCs w:val="28"/>
        </w:rPr>
        <w:t>本工程码头前沿停泊水域长度为840m，宽度为44m；回旋水域沿水流方向的长度为310m，垂直水流方向的长度为185m，回旋水域水深拟与航道水深匹配，设计水深6.7m。</w:t>
      </w:r>
    </w:p>
    <w:p>
      <w:pPr>
        <w:pStyle w:val="456"/>
        <w:ind w:firstLine="482"/>
        <w:rPr>
          <w:snapToGrid w:val="0"/>
        </w:rPr>
      </w:pPr>
      <w:r>
        <w:rPr>
          <w:snapToGrid w:val="0"/>
        </w:rPr>
        <w:t>港口岸线使用</w:t>
      </w:r>
      <w:r>
        <w:rPr>
          <w:rFonts w:hint="eastAsia"/>
          <w:snapToGrid w:val="0"/>
        </w:rPr>
        <w:t>方案</w:t>
      </w:r>
    </w:p>
    <w:p>
      <w:pPr>
        <w:ind w:firstLine="480"/>
      </w:pPr>
      <w:r>
        <w:rPr>
          <w:rFonts w:hint="eastAsia"/>
        </w:rPr>
        <w:t>根据《岳阳港总体规划》，本工程位于道仁矶作业区散货泊位一区，规划</w:t>
      </w:r>
      <w:r>
        <w:t>840m</w:t>
      </w:r>
      <w:r>
        <w:rPr>
          <w:rFonts w:hint="eastAsia"/>
        </w:rPr>
        <w:t>岸线，规划布置</w:t>
      </w:r>
      <w:r>
        <w:t>6</w:t>
      </w:r>
      <w:r>
        <w:rPr>
          <w:rFonts w:hint="eastAsia"/>
        </w:rPr>
        <w:t>个</w:t>
      </w:r>
      <w:r>
        <w:t>5000-10000</w:t>
      </w:r>
      <w:r>
        <w:rPr>
          <w:rFonts w:hint="eastAsia"/>
        </w:rPr>
        <w:t>吨级散货泊位，其中</w:t>
      </w:r>
      <w:r>
        <w:t>1</w:t>
      </w:r>
      <w:r>
        <w:rPr>
          <w:rFonts w:hint="eastAsia"/>
        </w:rPr>
        <w:t>个具备防汛物资码头功能。</w:t>
      </w:r>
    </w:p>
    <w:p>
      <w:pPr>
        <w:ind w:firstLine="480"/>
      </w:pPr>
      <w:r>
        <w:rPr>
          <w:rFonts w:hint="eastAsia"/>
        </w:rPr>
        <w:t>本工程实际布置</w:t>
      </w:r>
      <w:r>
        <w:t>5</w:t>
      </w:r>
      <w:r>
        <w:rPr>
          <w:rFonts w:hint="eastAsia"/>
        </w:rPr>
        <w:t>个</w:t>
      </w:r>
      <w:r>
        <w:t>10000</w:t>
      </w:r>
      <w:r>
        <w:rPr>
          <w:rFonts w:hint="eastAsia"/>
        </w:rPr>
        <w:t>吨级散货泊位，</w:t>
      </w:r>
      <w:r>
        <w:t>1</w:t>
      </w:r>
      <w:r>
        <w:rPr>
          <w:rFonts w:hint="eastAsia"/>
        </w:rPr>
        <w:t>个</w:t>
      </w:r>
      <w:r>
        <w:t>5000</w:t>
      </w:r>
      <w:r>
        <w:rPr>
          <w:rFonts w:hint="eastAsia"/>
        </w:rPr>
        <w:t>吨级散货泊位（具备装卸防汛物资功能），总共利用</w:t>
      </w:r>
      <w:r>
        <w:t>840m</w:t>
      </w:r>
      <w:r>
        <w:rPr>
          <w:rFonts w:hint="eastAsia"/>
        </w:rPr>
        <w:t>岸线，与规划岸线一致。</w:t>
      </w:r>
    </w:p>
    <w:p>
      <w:pPr>
        <w:ind w:firstLine="480"/>
      </w:pPr>
      <w:r>
        <w:rPr>
          <w:rFonts w:hint="eastAsia"/>
        </w:rPr>
        <w:t>本工程与拟建中央防汛物资储备仓库配套码头工程合并建设，为下游中央防汛物资储备仓库提供防汛物资上岸服务。充分利用规划岸线，符合《岳阳港总体规划》。因此本码头的岸线使用是合理的。</w:t>
      </w:r>
    </w:p>
    <w:p>
      <w:pPr>
        <w:pStyle w:val="454"/>
        <w:ind w:firstLine="602"/>
        <w:rPr>
          <w:color w:val="auto"/>
        </w:rPr>
      </w:pPr>
      <w:r>
        <w:rPr>
          <w:color w:val="auto"/>
        </w:rPr>
        <w:t>劳动定员及工作制度</w:t>
      </w:r>
    </w:p>
    <w:p>
      <w:pPr>
        <w:ind w:firstLine="480"/>
      </w:pPr>
      <w:r>
        <w:t>本项目码头年</w:t>
      </w:r>
      <w:r>
        <w:rPr>
          <w:rFonts w:hint="eastAsia"/>
        </w:rPr>
        <w:t>运营</w:t>
      </w:r>
      <w:r>
        <w:t>时间330天</w:t>
      </w:r>
      <w:r>
        <w:rPr>
          <w:rFonts w:hint="eastAsia"/>
        </w:rPr>
        <w:t>，</w:t>
      </w:r>
      <w:r>
        <w:t>仓库年运营时间</w:t>
      </w:r>
      <w:r>
        <w:rPr>
          <w:rFonts w:hint="eastAsia"/>
        </w:rPr>
        <w:t>3</w:t>
      </w:r>
      <w:r>
        <w:t>50天。</w:t>
      </w:r>
      <w:r>
        <w:rPr>
          <w:szCs w:val="28"/>
        </w:rPr>
        <w:t>装卸工人及司机人数212人，管理人员和辅助生产人员23人，总定员235人，工作人员生活区域位于后方陆域工程区</w:t>
      </w:r>
      <w:r>
        <w:t>。</w:t>
      </w:r>
    </w:p>
    <w:p>
      <w:pPr>
        <w:pStyle w:val="453"/>
        <w:ind w:firstLine="643" w:firstLineChars="0"/>
        <w:rPr>
          <w:rFonts w:ascii="Times New Roman" w:cs="Times New Roman"/>
        </w:rPr>
      </w:pPr>
      <w:bookmarkStart w:id="74" w:name="_Toc59369079"/>
      <w:bookmarkEnd w:id="74"/>
      <w:bookmarkStart w:id="75" w:name="_Toc59368993"/>
      <w:bookmarkEnd w:id="75"/>
      <w:bookmarkStart w:id="76" w:name="_Toc59368988"/>
      <w:bookmarkEnd w:id="76"/>
      <w:bookmarkStart w:id="77" w:name="_Toc59369077"/>
      <w:bookmarkEnd w:id="77"/>
      <w:bookmarkStart w:id="78" w:name="_Toc59369081"/>
      <w:bookmarkEnd w:id="78"/>
      <w:bookmarkStart w:id="79" w:name="_Toc59368991"/>
      <w:bookmarkEnd w:id="79"/>
      <w:bookmarkStart w:id="80" w:name="_Toc59369080"/>
      <w:bookmarkEnd w:id="80"/>
      <w:bookmarkStart w:id="81" w:name="_Toc59368989"/>
      <w:bookmarkEnd w:id="81"/>
      <w:bookmarkStart w:id="82" w:name="_Toc59369078"/>
      <w:bookmarkEnd w:id="82"/>
      <w:bookmarkStart w:id="83" w:name="_Toc59369076"/>
      <w:bookmarkEnd w:id="83"/>
      <w:bookmarkStart w:id="84" w:name="_Toc59368987"/>
      <w:bookmarkEnd w:id="84"/>
      <w:bookmarkStart w:id="85" w:name="_Toc59368992"/>
      <w:bookmarkEnd w:id="85"/>
      <w:bookmarkStart w:id="86" w:name="_Toc59368990"/>
      <w:bookmarkEnd w:id="86"/>
      <w:bookmarkStart w:id="87" w:name="_Toc59369082"/>
      <w:bookmarkEnd w:id="87"/>
      <w:bookmarkStart w:id="88" w:name="_Toc106696998"/>
      <w:bookmarkStart w:id="89" w:name="_Toc32296"/>
      <w:bookmarkStart w:id="90" w:name="_Toc3482"/>
      <w:r>
        <w:rPr>
          <w:rFonts w:ascii="Times New Roman" w:cs="Times New Roman"/>
        </w:rPr>
        <w:t>工程分析</w:t>
      </w:r>
      <w:bookmarkEnd w:id="88"/>
      <w:bookmarkEnd w:id="89"/>
      <w:bookmarkEnd w:id="90"/>
    </w:p>
    <w:p>
      <w:pPr>
        <w:pStyle w:val="454"/>
        <w:ind w:firstLine="602"/>
        <w:rPr>
          <w:color w:val="auto"/>
        </w:rPr>
      </w:pPr>
      <w:r>
        <w:rPr>
          <w:color w:val="auto"/>
        </w:rPr>
        <w:t>施工期工艺流程和产污环节</w:t>
      </w:r>
    </w:p>
    <w:p>
      <w:pPr>
        <w:pStyle w:val="456"/>
        <w:ind w:firstLine="482"/>
      </w:pPr>
      <w:r>
        <w:t>施工</w:t>
      </w:r>
      <w:r>
        <w:rPr>
          <w:rFonts w:hint="eastAsia"/>
        </w:rPr>
        <w:t>工艺</w:t>
      </w:r>
      <w:r>
        <w:t>流程</w:t>
      </w:r>
    </w:p>
    <w:p>
      <w:pPr>
        <w:ind w:firstLine="480"/>
      </w:pPr>
      <w:r>
        <w:t>项目施工工艺流程如下：</w:t>
      </w:r>
    </w:p>
    <w:p>
      <w:pPr>
        <w:ind w:firstLine="0" w:firstLineChars="0"/>
        <w:jc w:val="center"/>
      </w:pPr>
      <w:r>
        <w:drawing>
          <wp:inline distT="0" distB="0" distL="0" distR="0">
            <wp:extent cx="5370195" cy="30861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370195" cy="3086100"/>
                    </a:xfrm>
                    <a:prstGeom prst="rect">
                      <a:avLst/>
                    </a:prstGeom>
                    <a:noFill/>
                    <a:ln>
                      <a:noFill/>
                    </a:ln>
                  </pic:spPr>
                </pic:pic>
              </a:graphicData>
            </a:graphic>
          </wp:inline>
        </w:drawing>
      </w:r>
    </w:p>
    <w:p>
      <w:pPr>
        <w:ind w:firstLine="0" w:firstLineChars="0"/>
        <w:jc w:val="center"/>
        <w:rPr>
          <w:b/>
          <w:sz w:val="21"/>
          <w:szCs w:val="21"/>
        </w:rPr>
      </w:pPr>
      <w:r>
        <w:rPr>
          <w:b/>
          <w:sz w:val="21"/>
          <w:szCs w:val="21"/>
        </w:rPr>
        <w:t>图2-1</w:t>
      </w:r>
      <w:r>
        <w:rPr>
          <w:rFonts w:hint="eastAsia"/>
          <w:b/>
          <w:sz w:val="21"/>
          <w:szCs w:val="21"/>
        </w:rPr>
        <w:t>0</w:t>
      </w:r>
      <w:r>
        <w:rPr>
          <w:b/>
          <w:sz w:val="21"/>
          <w:szCs w:val="21"/>
        </w:rPr>
        <w:t xml:space="preserve"> 项目施工工艺流程图</w:t>
      </w:r>
    </w:p>
    <w:p>
      <w:pPr>
        <w:adjustRightInd w:val="0"/>
        <w:snapToGrid w:val="0"/>
        <w:ind w:firstLine="482"/>
        <w:rPr>
          <w:b/>
        </w:rPr>
      </w:pPr>
      <w:r>
        <w:rPr>
          <w:rFonts w:hint="eastAsia"/>
          <w:b/>
        </w:rPr>
        <w:t>一、</w:t>
      </w:r>
      <w:r>
        <w:rPr>
          <w:b/>
        </w:rPr>
        <w:t>码头平台施工工艺流程</w:t>
      </w:r>
    </w:p>
    <w:p>
      <w:pPr>
        <w:adjustRightInd w:val="0"/>
        <w:snapToGrid w:val="0"/>
        <w:ind w:firstLine="480"/>
      </w:pPr>
      <w:r>
        <w:t>码头平台主要施工工艺流程图如下：</w:t>
      </w:r>
    </w:p>
    <w:p>
      <w:pPr>
        <w:adjustRightInd w:val="0"/>
        <w:snapToGrid w:val="0"/>
        <w:ind w:firstLine="0" w:firstLineChars="0"/>
        <w:jc w:val="center"/>
      </w:pPr>
      <w:r>
        <w:object>
          <v:shape id="_x0000_i1025" o:spt="75" type="#_x0000_t75" style="height:475pt;width:411.45pt;" o:ole="t" filled="f" o:preferrelative="t" stroked="f" coordsize="21600,21600">
            <v:path/>
            <v:fill on="f" focussize="0,0"/>
            <v:stroke on="f" joinstyle="miter"/>
            <v:imagedata r:id="rId45" o:title=""/>
            <o:lock v:ext="edit" aspectratio="t"/>
            <w10:wrap type="none"/>
            <w10:anchorlock/>
          </v:shape>
          <o:OLEObject Type="Embed" ProgID="Visio.Drawing.15" ShapeID="_x0000_i1025" DrawAspect="Content" ObjectID="_1468075725" r:id="rId44">
            <o:LockedField>false</o:LockedField>
          </o:OLEObject>
        </w:object>
      </w:r>
    </w:p>
    <w:p>
      <w:pPr>
        <w:adjustRightInd w:val="0"/>
        <w:snapToGrid w:val="0"/>
        <w:ind w:firstLine="0" w:firstLineChars="0"/>
        <w:jc w:val="center"/>
        <w:rPr>
          <w:b/>
          <w:sz w:val="21"/>
          <w:szCs w:val="21"/>
        </w:rPr>
      </w:pPr>
      <w:r>
        <w:rPr>
          <w:b/>
          <w:sz w:val="21"/>
          <w:szCs w:val="21"/>
        </w:rPr>
        <w:t>图2-</w:t>
      </w:r>
      <w:r>
        <w:rPr>
          <w:rFonts w:hint="eastAsia"/>
          <w:b/>
          <w:sz w:val="21"/>
          <w:szCs w:val="21"/>
        </w:rPr>
        <w:t>11</w:t>
      </w:r>
      <w:r>
        <w:rPr>
          <w:b/>
          <w:sz w:val="21"/>
          <w:szCs w:val="21"/>
        </w:rPr>
        <w:t xml:space="preserve"> 码头平台主要施工工艺流程图</w:t>
      </w:r>
    </w:p>
    <w:p>
      <w:pPr>
        <w:adjustRightInd w:val="0"/>
        <w:snapToGrid w:val="0"/>
        <w:ind w:firstLine="480"/>
      </w:pPr>
      <w:r>
        <w:rPr>
          <w:rStyle w:val="2125"/>
          <w:rFonts w:hint="default" w:ascii="Times New Roman" w:hAnsi="Times New Roman"/>
          <w:color w:val="auto"/>
        </w:rPr>
        <w:t>码头平台施工会造成一定量的施工生产废水、船舶舱底油污水、船舶生活污水、施工扬尘、燃油废气、淤泥恶臭、疏浚淤泥。</w:t>
      </w:r>
    </w:p>
    <w:p>
      <w:pPr>
        <w:adjustRightInd w:val="0"/>
        <w:snapToGrid w:val="0"/>
        <w:ind w:firstLine="482"/>
        <w:rPr>
          <w:b/>
        </w:rPr>
      </w:pPr>
      <w:r>
        <w:rPr>
          <w:rFonts w:hint="eastAsia"/>
          <w:b/>
        </w:rPr>
        <w:t>二、</w:t>
      </w:r>
      <w:r>
        <w:rPr>
          <w:b/>
        </w:rPr>
        <w:t>引桥施工工艺流程</w:t>
      </w:r>
    </w:p>
    <w:p>
      <w:pPr>
        <w:adjustRightInd w:val="0"/>
        <w:snapToGrid w:val="0"/>
        <w:ind w:firstLine="480"/>
      </w:pPr>
      <w:r>
        <w:t>项目引桥与码头平台连接处设喇叭口，均采用高桩排架结构，标准跨排架间距为30m，每榀排架基础均采用2根Φ1200mm钻孔灌注桩。对于自由段较长的排架在一定高度及地面设置横撑，引桥上部结构由现浇钢筋砼横梁、预制预应力砼T梁及现浇面层组成。引桥施工会产生一定量的施工生产废水</w:t>
      </w:r>
      <w:r>
        <w:rPr>
          <w:rFonts w:hint="eastAsia"/>
        </w:rPr>
        <w:t>、</w:t>
      </w:r>
      <w:r>
        <w:t>钻孔废渣</w:t>
      </w:r>
      <w:r>
        <w:rPr>
          <w:rFonts w:hint="eastAsia"/>
        </w:rPr>
        <w:t>、施工扬尘、</w:t>
      </w:r>
      <w:r>
        <w:t>机械燃油废气</w:t>
      </w:r>
      <w:r>
        <w:rPr>
          <w:rFonts w:hint="eastAsia"/>
        </w:rPr>
        <w:t>、</w:t>
      </w:r>
      <w:r>
        <w:t>机械噪声</w:t>
      </w:r>
      <w:r>
        <w:rPr>
          <w:rFonts w:hint="eastAsia"/>
        </w:rPr>
        <w:t>。</w:t>
      </w:r>
    </w:p>
    <w:p>
      <w:pPr>
        <w:adjustRightInd w:val="0"/>
        <w:snapToGrid w:val="0"/>
        <w:ind w:firstLine="480"/>
      </w:pPr>
      <w:r>
        <w:t>引桥主要施工工艺流程图如下：</w:t>
      </w:r>
    </w:p>
    <w:p>
      <w:pPr>
        <w:adjustRightInd w:val="0"/>
        <w:snapToGrid w:val="0"/>
        <w:ind w:firstLine="0" w:firstLineChars="0"/>
        <w:jc w:val="center"/>
      </w:pPr>
      <w:r>
        <w:object>
          <v:shape id="_x0000_i1026" o:spt="75" type="#_x0000_t75" style="height:281.45pt;width:417.95pt;" o:ole="t" filled="f" o:preferrelative="t" stroked="f" coordsize="21600,21600">
            <v:path/>
            <v:fill on="f" focussize="0,0"/>
            <v:stroke on="f" joinstyle="miter"/>
            <v:imagedata r:id="rId47" o:title=""/>
            <o:lock v:ext="edit" aspectratio="t"/>
            <w10:wrap type="none"/>
            <w10:anchorlock/>
          </v:shape>
          <o:OLEObject Type="Embed" ProgID="Visio.Drawing.15" ShapeID="_x0000_i1026" DrawAspect="Content" ObjectID="_1468075726" r:id="rId46">
            <o:LockedField>false</o:LockedField>
          </o:OLEObject>
        </w:object>
      </w:r>
    </w:p>
    <w:p>
      <w:pPr>
        <w:adjustRightInd w:val="0"/>
        <w:snapToGrid w:val="0"/>
        <w:ind w:firstLine="422"/>
        <w:jc w:val="center"/>
      </w:pPr>
      <w:r>
        <w:rPr>
          <w:b/>
          <w:sz w:val="21"/>
          <w:szCs w:val="21"/>
        </w:rPr>
        <w:t>图2-</w:t>
      </w:r>
      <w:r>
        <w:rPr>
          <w:rFonts w:hint="eastAsia"/>
          <w:b/>
          <w:sz w:val="21"/>
          <w:szCs w:val="21"/>
        </w:rPr>
        <w:t>12</w:t>
      </w:r>
      <w:r>
        <w:rPr>
          <w:b/>
          <w:sz w:val="21"/>
          <w:szCs w:val="21"/>
        </w:rPr>
        <w:t xml:space="preserve"> 引桥主要施工工艺流程图</w:t>
      </w:r>
    </w:p>
    <w:p>
      <w:pPr>
        <w:pStyle w:val="456"/>
        <w:ind w:firstLine="482"/>
      </w:pPr>
      <w:r>
        <w:t>施工方案</w:t>
      </w:r>
    </w:p>
    <w:p>
      <w:pPr>
        <w:adjustRightInd w:val="0"/>
        <w:snapToGrid w:val="0"/>
        <w:ind w:firstLine="482"/>
        <w:rPr>
          <w:b/>
        </w:rPr>
      </w:pPr>
      <w:r>
        <w:rPr>
          <w:b/>
        </w:rPr>
        <w:t>一</w:t>
      </w:r>
      <w:r>
        <w:rPr>
          <w:rFonts w:hint="eastAsia"/>
          <w:b/>
        </w:rPr>
        <w:t>、</w:t>
      </w:r>
      <w:r>
        <w:rPr>
          <w:b/>
        </w:rPr>
        <w:t>码头工程</w:t>
      </w:r>
    </w:p>
    <w:p>
      <w:pPr>
        <w:adjustRightInd w:val="0"/>
        <w:snapToGrid w:val="0"/>
        <w:ind w:firstLine="480"/>
        <w:rPr>
          <w:szCs w:val="28"/>
        </w:rPr>
      </w:pPr>
      <w:r>
        <w:rPr>
          <w:szCs w:val="28"/>
        </w:rPr>
        <w:t>码头平台横梁、引桥横梁及码头变电所平台均为现浇构件，在现场进行浇注，砼由泵送至浇注现场。纵梁、轨道梁、前边梁、码头面板、T梁、钢靠船构件等构件在固定预制场或现场预制，达到设计要求后运至现场进行安装。</w:t>
      </w:r>
      <w:r>
        <w:rPr>
          <w:rFonts w:hint="eastAsia"/>
          <w:szCs w:val="28"/>
        </w:rPr>
        <w:t>工程所在地流速较大，表层覆盖层为淤泥质粉质黏土，厚度</w:t>
      </w:r>
      <w:r>
        <w:rPr>
          <w:szCs w:val="28"/>
        </w:rPr>
        <w:t>4m~5m</w:t>
      </w:r>
      <w:r>
        <w:rPr>
          <w:rFonts w:hint="eastAsia"/>
          <w:szCs w:val="28"/>
        </w:rPr>
        <w:t>，因此，施工期要采取抛填袋装砂的措施来稳桩。</w:t>
      </w:r>
    </w:p>
    <w:p>
      <w:pPr>
        <w:adjustRightInd w:val="0"/>
        <w:snapToGrid w:val="0"/>
        <w:ind w:firstLine="482"/>
        <w:rPr>
          <w:b/>
        </w:rPr>
      </w:pPr>
      <w:r>
        <w:rPr>
          <w:b/>
        </w:rPr>
        <w:t>1、桩基</w:t>
      </w:r>
    </w:p>
    <w:p>
      <w:pPr>
        <w:adjustRightInd w:val="0"/>
        <w:snapToGrid w:val="0"/>
        <w:ind w:firstLine="480"/>
        <w:rPr>
          <w:szCs w:val="28"/>
        </w:rPr>
      </w:pPr>
      <w:r>
        <w:rPr>
          <w:rFonts w:hint="eastAsia"/>
          <w:szCs w:val="28"/>
        </w:rPr>
        <w:t>本工程码头区域水深条件好，河床底高程较低，推荐方案采用钢管芯柱嵌岩斜桩结构，钢管桩制作好后运输至现场，打桩船施打稳桩后，再钻孔并灌注成桩。</w:t>
      </w:r>
    </w:p>
    <w:p>
      <w:pPr>
        <w:adjustRightInd w:val="0"/>
        <w:snapToGrid w:val="0"/>
        <w:ind w:firstLine="482"/>
        <w:rPr>
          <w:b/>
        </w:rPr>
      </w:pPr>
      <w:r>
        <w:rPr>
          <w:b/>
        </w:rPr>
        <w:t>（1）码头桩基施工方案</w:t>
      </w:r>
    </w:p>
    <w:p>
      <w:pPr>
        <w:adjustRightInd w:val="0"/>
        <w:snapToGrid w:val="0"/>
        <w:ind w:firstLine="480"/>
      </w:pPr>
      <w:r>
        <w:rPr>
          <w:szCs w:val="28"/>
        </w:rPr>
        <w:t>码头平台采用Φ1100mmδ18mm芯柱嵌岩钢管桩，钢管桩拟在工厂制作，并完成防腐涂层的施工，用船运至施工现场，钢管桩采用打桩船锤击沉桩。</w:t>
      </w:r>
    </w:p>
    <w:p>
      <w:pPr>
        <w:pStyle w:val="3616"/>
        <w:rPr>
          <w:rFonts w:ascii="Times New Roman"/>
        </w:rPr>
      </w:pPr>
      <w:r>
        <w:rPr>
          <w:rFonts w:ascii="Times New Roman"/>
        </w:rPr>
        <w:t>1）打桩船沉入钢管桩</w:t>
      </w:r>
    </w:p>
    <w:p>
      <w:pPr>
        <w:pStyle w:val="3616"/>
        <w:rPr>
          <w:rFonts w:ascii="Times New Roman"/>
        </w:rPr>
      </w:pPr>
      <w:r>
        <w:rPr>
          <w:rFonts w:ascii="Times New Roman"/>
        </w:rPr>
        <w:t>根据本项目的桩基桩身长度和现场施工条件以及设计要求选用性能良好的打桩船配柴油锤沉桩，采用重锤轻打。打桩主要采用GPS定位技术，直接可以计算贯入度和控制标高，陆上设置测量控制基线，全站仪、经纬仪、水准仪进行复测校核。打桩船带缆采用八字锚，以保证打桩船定位准确、方便。为提高工效，确保沉桩质量，心缆和边缆锚碇的布设宜尽可能减少桩船的带缆次数，每次带缆能兼顾到更多的桩数，节省时间，提高工效。</w:t>
      </w:r>
    </w:p>
    <w:p>
      <w:pPr>
        <w:pStyle w:val="3616"/>
        <w:rPr>
          <w:rFonts w:ascii="Times New Roman"/>
          <w:lang w:val="en-US"/>
        </w:rPr>
      </w:pPr>
      <w:r>
        <w:rPr>
          <w:rFonts w:ascii="Times New Roman"/>
          <w:lang w:val="en-US"/>
        </w:rPr>
        <w:t>2）平台搭设</w:t>
      </w:r>
    </w:p>
    <w:p>
      <w:pPr>
        <w:pStyle w:val="3616"/>
        <w:rPr>
          <w:rFonts w:ascii="Times New Roman"/>
        </w:rPr>
      </w:pPr>
      <w:r>
        <w:rPr>
          <w:rFonts w:ascii="Times New Roman"/>
        </w:rPr>
        <w:t>嵌岩桩钻机平台搭设待打桩船沉入钢管桩10个排架后开始，平台应能支撑钻孔机械、钻孔操作、吊放钢筋笼以及灌注混凝土时可能产生的荷载；要有足够的强度与刚度，保持稳定。因此平台采用在先前打入的钢管桩上焊接牛腿，架设I45工字钢作为主承重横梁，然后再在横梁上架设贝雷梁为纵向主梁，上面铺设I16工字钢，间距500mm，顶面铺设钢格网作为平台工作面。平台周围设置护栏，采用Ø48钢管，护栏高1.5m，立杆小于2m设置一道。整个平台待嵌岩桩施工完成后直接铺设底板开始施工码头下横梁，待下横梁强度满足底模拆除时逐步进行平台拆除，材料可周转使用至后续平台搭设。具体平台构造示意图如下：</w:t>
      </w:r>
    </w:p>
    <w:p>
      <w:pPr>
        <w:pStyle w:val="3616"/>
        <w:ind w:firstLine="0" w:firstLineChars="0"/>
        <w:jc w:val="center"/>
        <w:rPr>
          <w:rFonts w:ascii="Times New Roman"/>
          <w:lang w:val="en-US"/>
        </w:rPr>
      </w:pPr>
      <w:r>
        <w:rPr>
          <w:rFonts w:ascii="Times New Roman"/>
          <w:lang w:val="en-US"/>
        </w:rPr>
        <w:drawing>
          <wp:inline distT="0" distB="0" distL="0" distR="0">
            <wp:extent cx="4703445" cy="2771140"/>
            <wp:effectExtent l="0" t="0" r="1905" b="0"/>
            <wp:docPr id="9087" name="图片 9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7" name="图片 908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4728175" cy="2785920"/>
                    </a:xfrm>
                    <a:prstGeom prst="rect">
                      <a:avLst/>
                    </a:prstGeom>
                    <a:noFill/>
                    <a:ln>
                      <a:noFill/>
                    </a:ln>
                  </pic:spPr>
                </pic:pic>
              </a:graphicData>
            </a:graphic>
          </wp:inline>
        </w:drawing>
      </w:r>
    </w:p>
    <w:p>
      <w:pPr>
        <w:adjustRightInd w:val="0"/>
        <w:snapToGrid w:val="0"/>
        <w:ind w:firstLine="422"/>
        <w:jc w:val="center"/>
        <w:rPr>
          <w:b/>
          <w:sz w:val="21"/>
          <w:szCs w:val="21"/>
        </w:rPr>
      </w:pPr>
      <w:r>
        <w:rPr>
          <w:b/>
          <w:sz w:val="21"/>
          <w:szCs w:val="21"/>
        </w:rPr>
        <w:t>图2-</w:t>
      </w:r>
      <w:r>
        <w:rPr>
          <w:rFonts w:hint="eastAsia"/>
          <w:b/>
          <w:sz w:val="21"/>
          <w:szCs w:val="21"/>
        </w:rPr>
        <w:t>13</w:t>
      </w:r>
      <w:r>
        <w:rPr>
          <w:b/>
          <w:sz w:val="21"/>
          <w:szCs w:val="21"/>
        </w:rPr>
        <w:t xml:space="preserve"> 嵌岩桩桩基施工平台搭设示意图</w:t>
      </w:r>
    </w:p>
    <w:p>
      <w:pPr>
        <w:pStyle w:val="3616"/>
        <w:rPr>
          <w:rFonts w:ascii="Times New Roman"/>
          <w:lang w:val="en-US"/>
        </w:rPr>
      </w:pPr>
      <w:r>
        <w:rPr>
          <w:rFonts w:ascii="Times New Roman"/>
          <w:lang w:val="en-US"/>
        </w:rPr>
        <w:t>3）冲锤加工</w:t>
      </w:r>
    </w:p>
    <w:p>
      <w:pPr>
        <w:pStyle w:val="3616"/>
        <w:rPr>
          <w:rFonts w:ascii="Times New Roman"/>
          <w:lang w:val="en-US"/>
        </w:rPr>
      </w:pPr>
      <w:r>
        <w:rPr>
          <w:rFonts w:ascii="Times New Roman"/>
          <w:lang w:val="en-US"/>
        </w:rPr>
        <w:t>码头直桩嵌岩采用梅花锤冲击成孔。</w:t>
      </w:r>
    </w:p>
    <w:p>
      <w:pPr>
        <w:pStyle w:val="3616"/>
        <w:rPr>
          <w:rFonts w:ascii="Times New Roman"/>
          <w:lang w:val="en-US"/>
        </w:rPr>
      </w:pPr>
      <w:r>
        <w:rPr>
          <w:rFonts w:ascii="Times New Roman"/>
          <w:lang w:val="en-US"/>
        </w:rPr>
        <w:t>斜桩冲锤加工采用钢板、钻齿等制作圆筒型冲击锤，以冲锤圆筒为导向系统，为保证冲锤的导向作用。本工程嵌岩铜管桩为内径</w:t>
      </w:r>
      <w:r>
        <w:rPr>
          <w:rFonts w:ascii="Times New Roman"/>
          <w:szCs w:val="28"/>
        </w:rPr>
        <w:t>Φ</w:t>
      </w:r>
      <w:r>
        <w:rPr>
          <w:rFonts w:ascii="Times New Roman"/>
          <w:lang w:val="en-US"/>
        </w:rPr>
        <w:t>1100管径。为保证嵌岩部分成孔直径、圆筒的灵活转动，以及防止因钢管桩桩底变形而造成卡锤，</w:t>
      </w:r>
      <w:r>
        <w:rPr>
          <w:rFonts w:ascii="Times New Roman"/>
          <w:szCs w:val="28"/>
        </w:rPr>
        <w:t>Φ</w:t>
      </w:r>
      <w:r>
        <w:rPr>
          <w:rFonts w:ascii="Times New Roman"/>
          <w:lang w:val="en-US"/>
        </w:rPr>
        <w:t>1100的管桩圆筒型冲击锤直径取</w:t>
      </w:r>
      <w:r>
        <w:rPr>
          <w:rFonts w:ascii="Times New Roman"/>
          <w:szCs w:val="28"/>
        </w:rPr>
        <w:t>Φ</w:t>
      </w:r>
      <w:r>
        <w:rPr>
          <w:rFonts w:ascii="Times New Roman"/>
          <w:lang w:val="en-US"/>
        </w:rPr>
        <w:t>950mm，钢管桩最厚壁厚18mm，冲锤壁厚18mm（外侧呈螺旋状通长焊接</w:t>
      </w:r>
      <w:r>
        <w:rPr>
          <w:rFonts w:ascii="Times New Roman"/>
          <w:szCs w:val="28"/>
        </w:rPr>
        <w:t>Φ</w:t>
      </w:r>
      <w:r>
        <w:rPr>
          <w:rFonts w:ascii="Times New Roman"/>
          <w:lang w:val="en-US"/>
        </w:rPr>
        <w:t>25mm螺纹钢）， 冲锤与管壁之间富余量取35mm。制作好导向筒后，在导向筒锤头一端焊接厚度25mm，高度为150mm的加强钢环，并在钢环里呈放射形中心对称地焊上4条厚度35mm，高250mm的锤齿基座，在每条基座对称焊接4个厚度为100mm的耐磨合金钢制成的冲击锤齿，加上基座中心1个，每个冲锤共设有17个耐磨合金钢锤齿，锤齿可根据使用情况进行更换。导向筒锤尾端焊接上供连接冲孔桩机缆绳的吊环座及吊环。</w:t>
      </w:r>
    </w:p>
    <w:p>
      <w:pPr>
        <w:pStyle w:val="3616"/>
        <w:rPr>
          <w:rFonts w:ascii="Times New Roman"/>
        </w:rPr>
      </w:pPr>
      <w:r>
        <w:rPr>
          <w:rFonts w:ascii="Times New Roman"/>
        </w:rPr>
        <w:t>4）泥浆控制</w:t>
      </w:r>
    </w:p>
    <w:p>
      <w:pPr>
        <w:pStyle w:val="3616"/>
        <w:rPr>
          <w:rFonts w:ascii="Times New Roman"/>
        </w:rPr>
      </w:pPr>
      <w:r>
        <w:rPr>
          <w:rFonts w:ascii="Times New Roman"/>
        </w:rPr>
        <w:t>为保证泥浆的正常循环，需在钢平台加设临时泥浆池，采用钢板加工的泥浆槽与泥浆池连接，通过泥浆泵形成循环，泥浆池采用临时泥浆池。</w:t>
      </w:r>
    </w:p>
    <w:p>
      <w:pPr>
        <w:pStyle w:val="3616"/>
        <w:rPr>
          <w:rFonts w:ascii="Times New Roman"/>
        </w:rPr>
      </w:pPr>
      <w:r>
        <w:rPr>
          <w:rFonts w:ascii="Times New Roman"/>
        </w:rPr>
        <w:t>1) 泥浆的制备、使用、管理、性能测试严格按操作工艺施工，并及时进行记录。</w:t>
      </w:r>
    </w:p>
    <w:p>
      <w:pPr>
        <w:pStyle w:val="3616"/>
        <w:rPr>
          <w:rFonts w:ascii="Times New Roman"/>
        </w:rPr>
      </w:pPr>
      <w:r>
        <w:rPr>
          <w:rFonts w:ascii="Times New Roman"/>
        </w:rPr>
        <w:t>2）保持护筒内水头的高度始终高于水位lm以上，以保持护壁压力，在清孔时保持孔内水头高度，以防塌孔。</w:t>
      </w:r>
    </w:p>
    <w:p>
      <w:pPr>
        <w:ind w:firstLine="480"/>
        <w:rPr>
          <w:b/>
          <w:szCs w:val="28"/>
        </w:rPr>
      </w:pPr>
      <w:r>
        <w:t>3）根据不同的地质情况及时调整泥浆配合比，使泥浆指标满足要求。</w:t>
      </w:r>
    </w:p>
    <w:p>
      <w:pPr>
        <w:ind w:firstLine="482"/>
        <w:rPr>
          <w:rFonts w:eastAsiaTheme="minorEastAsia"/>
          <w:b/>
        </w:rPr>
      </w:pPr>
      <w:r>
        <w:rPr>
          <w:b/>
          <w:szCs w:val="28"/>
        </w:rPr>
        <w:t>（2）</w:t>
      </w:r>
      <w:r>
        <w:rPr>
          <w:b/>
        </w:rPr>
        <w:t>引桥</w:t>
      </w:r>
      <w:r>
        <w:rPr>
          <w:rFonts w:eastAsiaTheme="minorEastAsia"/>
          <w:b/>
        </w:rPr>
        <w:t>桩基施工方案</w:t>
      </w:r>
    </w:p>
    <w:p>
      <w:pPr>
        <w:ind w:firstLine="480"/>
      </w:pPr>
      <w:r>
        <w:t>引桥桩基均为钻孔灌注桩，在现场钻孔、灌注成桩。</w:t>
      </w:r>
    </w:p>
    <w:p>
      <w:pPr>
        <w:ind w:firstLine="480"/>
      </w:pPr>
      <w:r>
        <w:t>1）施工流程</w:t>
      </w:r>
    </w:p>
    <w:p>
      <w:pPr>
        <w:pStyle w:val="458"/>
        <w:tabs>
          <w:tab w:val="right" w:pos="9070"/>
        </w:tabs>
        <w:ind w:firstLine="480"/>
        <w:rPr>
          <w:rFonts w:cs="Times New Roman"/>
          <w:color w:val="auto"/>
          <w:szCs w:val="28"/>
        </w:rPr>
      </w:pPr>
      <w:r>
        <w:rPr>
          <w:rFonts w:cs="Times New Roman"/>
          <w:color w:val="auto"/>
          <w:szCs w:val="28"/>
        </w:rPr>
        <w:t>钻孔灌注桩施工流程如下：</w:t>
      </w:r>
    </w:p>
    <w:p>
      <w:pPr>
        <w:adjustRightInd w:val="0"/>
        <w:snapToGrid w:val="0"/>
        <w:ind w:firstLine="480"/>
        <w:jc w:val="center"/>
      </w:pPr>
      <w:r>
        <w:drawing>
          <wp:inline distT="0" distB="0" distL="0" distR="0">
            <wp:extent cx="4209415" cy="5351780"/>
            <wp:effectExtent l="0" t="0" r="635" b="1270"/>
            <wp:docPr id="9086" name="图片 9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6" name="图片 9086"/>
                    <pic:cNvPicPr>
                      <a:picLocks noChangeAspect="1"/>
                    </pic:cNvPicPr>
                  </pic:nvPicPr>
                  <pic:blipFill>
                    <a:blip r:embed="rId49"/>
                    <a:stretch>
                      <a:fillRect/>
                    </a:stretch>
                  </pic:blipFill>
                  <pic:spPr>
                    <a:xfrm>
                      <a:off x="0" y="0"/>
                      <a:ext cx="4209524" cy="5352381"/>
                    </a:xfrm>
                    <a:prstGeom prst="rect">
                      <a:avLst/>
                    </a:prstGeom>
                  </pic:spPr>
                </pic:pic>
              </a:graphicData>
            </a:graphic>
          </wp:inline>
        </w:drawing>
      </w:r>
    </w:p>
    <w:p>
      <w:pPr>
        <w:adjustRightInd w:val="0"/>
        <w:snapToGrid w:val="0"/>
        <w:ind w:firstLine="422"/>
        <w:jc w:val="center"/>
      </w:pPr>
      <w:r>
        <w:rPr>
          <w:b/>
          <w:sz w:val="21"/>
          <w:szCs w:val="21"/>
        </w:rPr>
        <w:t>图2-</w:t>
      </w:r>
      <w:r>
        <w:rPr>
          <w:rFonts w:hint="eastAsia"/>
          <w:b/>
          <w:sz w:val="21"/>
          <w:szCs w:val="21"/>
        </w:rPr>
        <w:t>14</w:t>
      </w:r>
      <w:r>
        <w:rPr>
          <w:b/>
          <w:sz w:val="21"/>
          <w:szCs w:val="21"/>
        </w:rPr>
        <w:t xml:space="preserve">  钻孔灌注桩施工工艺流程图</w:t>
      </w:r>
    </w:p>
    <w:p>
      <w:pPr>
        <w:adjustRightInd w:val="0"/>
        <w:snapToGrid w:val="0"/>
        <w:ind w:firstLine="480"/>
      </w:pPr>
      <w:r>
        <w:t>2）施工平台</w:t>
      </w:r>
    </w:p>
    <w:p>
      <w:pPr>
        <w:adjustRightInd w:val="0"/>
        <w:snapToGrid w:val="0"/>
        <w:ind w:firstLine="480"/>
      </w:pPr>
      <w:r>
        <w:t>本工程拟选取靠近防洪大堤处滩地作为灌注桩的施工平台。</w:t>
      </w:r>
    </w:p>
    <w:p>
      <w:pPr>
        <w:adjustRightInd w:val="0"/>
        <w:snapToGrid w:val="0"/>
        <w:ind w:firstLine="480"/>
      </w:pPr>
      <w:r>
        <w:t>3）泥浆的制备</w:t>
      </w:r>
    </w:p>
    <w:p>
      <w:pPr>
        <w:adjustRightInd w:val="0"/>
        <w:snapToGrid w:val="0"/>
        <w:ind w:firstLine="480"/>
      </w:pPr>
      <w:r>
        <w:t>泥浆的作用是提高静水压力，通过泥浆的循环把钻渣清出孔外，减少泥渣，而正循环回旋钻进的泥浆性能是既要求有一定的浮悬钻渣能力，又要求能很容易地流动产生上升流速，因此，在配制泥浆时必须满足规范要求。</w:t>
      </w:r>
    </w:p>
    <w:p>
      <w:pPr>
        <w:adjustRightInd w:val="0"/>
        <w:snapToGrid w:val="0"/>
        <w:ind w:firstLine="480"/>
      </w:pPr>
      <w:r>
        <w:t>本项目在现场施工区域设置2座的12-15m</w:t>
      </w:r>
      <w:r>
        <w:rPr>
          <w:vertAlign w:val="superscript"/>
        </w:rPr>
        <w:t>3</w:t>
      </w:r>
      <w:r>
        <w:t>泥浆池，其中1座作为泥浆池使用，另l座作为废浆池使用。泥浆循环系统由泥浆泵、泥浆净过滤网、泥浆筒、泥浆连通槽等组成，泥浆循环通过泥浆泵由管道吸出，进入泥浆滤网，再由泥浆滤网隔离渣土后输入废泥浆池，经过沉淀，由废泥浆池内通过泥浆连通管流入相邻泥浆池内，然后经管道流入钢护筒内，经过周围相连护筒循环回到原护筒内，以此循环自始至终，以满足钻进和灌浆工序对泥浆流向的要求和废浆流向的要求。废浆及钻渣须经过沉淀处理符合环保要求后，运往建筑消纳场处置。</w:t>
      </w:r>
    </w:p>
    <w:p>
      <w:pPr>
        <w:pStyle w:val="458"/>
        <w:ind w:firstLine="482"/>
        <w:rPr>
          <w:rFonts w:cs="Times New Roman"/>
          <w:b/>
          <w:color w:val="auto"/>
          <w:szCs w:val="28"/>
        </w:rPr>
      </w:pPr>
      <w:r>
        <w:rPr>
          <w:rFonts w:cs="Times New Roman"/>
          <w:b/>
          <w:color w:val="auto"/>
          <w:szCs w:val="28"/>
        </w:rPr>
        <w:t>2、现浇横梁、墩台</w:t>
      </w:r>
    </w:p>
    <w:p>
      <w:pPr>
        <w:pStyle w:val="458"/>
        <w:ind w:firstLine="480"/>
        <w:rPr>
          <w:rFonts w:cs="Times New Roman"/>
          <w:color w:val="auto"/>
          <w:szCs w:val="28"/>
        </w:rPr>
      </w:pPr>
      <w:r>
        <w:rPr>
          <w:rFonts w:cs="Times New Roman"/>
          <w:color w:val="auto"/>
          <w:szCs w:val="28"/>
        </w:rPr>
        <w:t>码头平台横梁、综合用房平台</w:t>
      </w:r>
      <w:r>
        <w:rPr>
          <w:rFonts w:hint="eastAsia" w:cs="Times New Roman"/>
          <w:color w:val="auto"/>
          <w:szCs w:val="28"/>
        </w:rPr>
        <w:t>及后方平台、靠船墩</w:t>
      </w:r>
      <w:r>
        <w:rPr>
          <w:rFonts w:cs="Times New Roman"/>
          <w:color w:val="auto"/>
          <w:szCs w:val="28"/>
        </w:rPr>
        <w:t>墩台均为现浇构件，在现场进行浇注，砼由陆上泵送至浇注现场，浇注时应注意砼的震捣密实。</w:t>
      </w:r>
    </w:p>
    <w:p>
      <w:pPr>
        <w:pStyle w:val="458"/>
        <w:ind w:firstLine="482"/>
        <w:rPr>
          <w:rFonts w:cs="Times New Roman"/>
          <w:b/>
          <w:color w:val="auto"/>
          <w:szCs w:val="28"/>
        </w:rPr>
      </w:pPr>
      <w:r>
        <w:rPr>
          <w:rFonts w:cs="Times New Roman"/>
          <w:b/>
          <w:color w:val="auto"/>
          <w:szCs w:val="28"/>
        </w:rPr>
        <w:t>3、上部结构砼施工</w:t>
      </w:r>
    </w:p>
    <w:p>
      <w:pPr>
        <w:pStyle w:val="458"/>
        <w:ind w:firstLine="480"/>
        <w:rPr>
          <w:rFonts w:cs="Times New Roman"/>
          <w:color w:val="auto"/>
          <w:szCs w:val="28"/>
        </w:rPr>
      </w:pPr>
      <w:r>
        <w:rPr>
          <w:rFonts w:cs="Times New Roman"/>
          <w:color w:val="auto"/>
          <w:szCs w:val="28"/>
        </w:rPr>
        <w:t>纵梁、轨道梁、前边梁、码头面板、T梁、钢靠船构件等构件在固定预制场或现场预制，达到设计要求后运至现场进行安装。</w:t>
      </w:r>
    </w:p>
    <w:p>
      <w:pPr>
        <w:ind w:firstLine="482"/>
        <w:rPr>
          <w:b/>
          <w:szCs w:val="28"/>
        </w:rPr>
      </w:pPr>
      <w:r>
        <w:rPr>
          <w:b/>
          <w:szCs w:val="28"/>
        </w:rPr>
        <w:t>4、砼面层</w:t>
      </w:r>
    </w:p>
    <w:p>
      <w:pPr>
        <w:ind w:firstLine="480"/>
        <w:rPr>
          <w:szCs w:val="28"/>
        </w:rPr>
      </w:pPr>
      <w:r>
        <w:rPr>
          <w:szCs w:val="28"/>
        </w:rPr>
        <w:t>安装预制砼面板后现场浇注砼面层。</w:t>
      </w:r>
    </w:p>
    <w:p>
      <w:pPr>
        <w:ind w:firstLine="482"/>
        <w:rPr>
          <w:b/>
          <w:szCs w:val="28"/>
        </w:rPr>
      </w:pPr>
      <w:r>
        <w:rPr>
          <w:b/>
          <w:szCs w:val="28"/>
        </w:rPr>
        <w:t>5</w:t>
      </w:r>
      <w:r>
        <w:rPr>
          <w:rFonts w:hint="eastAsia"/>
          <w:b/>
          <w:szCs w:val="28"/>
        </w:rPr>
        <w:t>、</w:t>
      </w:r>
      <w:r>
        <w:rPr>
          <w:rFonts w:hint="eastAsia"/>
          <w:b/>
        </w:rPr>
        <w:t>抛石护桩</w:t>
      </w:r>
    </w:p>
    <w:p>
      <w:pPr>
        <w:ind w:firstLine="480"/>
      </w:pPr>
      <w:r>
        <w:rPr>
          <w:rStyle w:val="2125"/>
          <w:rFonts w:hint="default" w:ascii="Times New Roman" w:hAnsi="Times New Roman"/>
          <w:color w:val="auto"/>
        </w:rPr>
        <w:t>本项目水下抛石护桩江侧部分采用民船抛填，岸侧部分采用陆上推填法进行抛石及护桩的施工。抛石护桩施工分两步进行：第一步，岸坡疏浚完成，沉桩施工前，抛填沉桩范围以外的块石压脚；第二步，桩基施工完成后，对沉桩范围以内的块石压脚及0.8m厚的抛石护桩进行施工</w:t>
      </w:r>
      <w:r>
        <w:t>。抛石自上游而下游依次排序施工，根据设计要求和实际的抛石船只定位。</w:t>
      </w:r>
    </w:p>
    <w:p>
      <w:pPr>
        <w:ind w:firstLine="480"/>
        <w:rPr>
          <w:szCs w:val="28"/>
        </w:rPr>
      </w:pPr>
      <w:r>
        <w:t>平顺抛石常用</w:t>
      </w:r>
      <w:r>
        <w:rPr>
          <w:rFonts w:asciiTheme="minorEastAsia" w:hAnsiTheme="minorEastAsia" w:eastAsiaTheme="minorEastAsia"/>
        </w:rPr>
        <w:t>“</w:t>
      </w:r>
      <w:r>
        <w:t>划分小区、专船定位、合理挂档、定量投抛、多次抛匀</w:t>
      </w:r>
      <w:r>
        <w:rPr>
          <w:rFonts w:asciiTheme="minorEastAsia" w:hAnsiTheme="minorEastAsia" w:eastAsiaTheme="minorEastAsia"/>
        </w:rPr>
        <w:t>”</w:t>
      </w:r>
      <w:r>
        <w:t>的施工方法，施工中按照</w:t>
      </w:r>
      <w:r>
        <w:rPr>
          <w:rFonts w:asciiTheme="minorEastAsia" w:hAnsiTheme="minorEastAsia" w:eastAsiaTheme="minorEastAsia"/>
        </w:rPr>
        <w:t>“</w:t>
      </w:r>
      <w:r>
        <w:t>先远后近、先深后浅、先上游后下游</w:t>
      </w:r>
      <w:r>
        <w:rPr>
          <w:rFonts w:asciiTheme="minorEastAsia" w:hAnsiTheme="minorEastAsia" w:eastAsiaTheme="minorEastAsia"/>
        </w:rPr>
        <w:t>”</w:t>
      </w:r>
      <w:r>
        <w:t>的原则进行，以便达到</w:t>
      </w:r>
      <w:r>
        <w:rPr>
          <w:rFonts w:asciiTheme="minorEastAsia" w:hAnsiTheme="minorEastAsia" w:eastAsiaTheme="minorEastAsia"/>
        </w:rPr>
        <w:t>“</w:t>
      </w:r>
      <w:r>
        <w:t>先镇脚后稳坡</w:t>
      </w:r>
      <w:r>
        <w:rPr>
          <w:rFonts w:asciiTheme="minorEastAsia" w:hAnsiTheme="minorEastAsia" w:eastAsiaTheme="minorEastAsia"/>
        </w:rPr>
        <w:t>”</w:t>
      </w:r>
      <w:r>
        <w:t>的护岸效果。对各抛区的计划抛石量分多次抛投，达到</w:t>
      </w:r>
      <w:r>
        <w:rPr>
          <w:rFonts w:asciiTheme="minorEastAsia" w:hAnsiTheme="minorEastAsia" w:eastAsiaTheme="minorEastAsia"/>
        </w:rPr>
        <w:t>“</w:t>
      </w:r>
      <w:r>
        <w:t>准，足，匀</w:t>
      </w:r>
      <w:r>
        <w:rPr>
          <w:rFonts w:asciiTheme="minorEastAsia" w:hAnsiTheme="minorEastAsia" w:eastAsiaTheme="minorEastAsia"/>
        </w:rPr>
        <w:t>”</w:t>
      </w:r>
      <w:r>
        <w:t>的抛护标准。</w:t>
      </w:r>
    </w:p>
    <w:p>
      <w:pPr>
        <w:spacing w:line="560" w:lineRule="exact"/>
        <w:ind w:firstLine="482"/>
        <w:rPr>
          <w:b/>
          <w:szCs w:val="28"/>
        </w:rPr>
      </w:pPr>
      <w:r>
        <w:rPr>
          <w:rFonts w:hint="eastAsia"/>
          <w:b/>
          <w:szCs w:val="28"/>
        </w:rPr>
        <w:t>二、疏浚</w:t>
      </w:r>
      <w:r>
        <w:rPr>
          <w:b/>
          <w:szCs w:val="28"/>
        </w:rPr>
        <w:t>工程</w:t>
      </w:r>
    </w:p>
    <w:p>
      <w:pPr>
        <w:spacing w:line="500" w:lineRule="exact"/>
        <w:ind w:firstLine="480"/>
        <w:rPr>
          <w:szCs w:val="28"/>
        </w:rPr>
      </w:pPr>
      <w:r>
        <w:rPr>
          <w:szCs w:val="28"/>
        </w:rPr>
        <w:t>本工程港池挖泥方式拟采用环保型绞吸</w:t>
      </w:r>
      <w:r>
        <w:rPr>
          <w:rFonts w:hint="eastAsia"/>
          <w:szCs w:val="28"/>
        </w:rPr>
        <w:t>式挖泥</w:t>
      </w:r>
      <w:r>
        <w:rPr>
          <w:szCs w:val="28"/>
        </w:rPr>
        <w:t>船开挖，</w:t>
      </w:r>
      <w:r>
        <w:rPr>
          <w:rFonts w:eastAsiaTheme="minorEastAsia"/>
        </w:rPr>
        <w:t>经</w:t>
      </w:r>
      <w:r>
        <w:rPr>
          <w:rFonts w:hint="eastAsia" w:eastAsiaTheme="minorEastAsia"/>
        </w:rPr>
        <w:t>脱水</w:t>
      </w:r>
      <w:r>
        <w:rPr>
          <w:rFonts w:eastAsiaTheme="minorEastAsia"/>
        </w:rPr>
        <w:t>后，</w:t>
      </w:r>
      <w:r>
        <w:t>用于</w:t>
      </w:r>
      <w:r>
        <w:rPr>
          <w:rFonts w:hint="eastAsia"/>
        </w:rPr>
        <w:t>陆域</w:t>
      </w:r>
      <w:r>
        <w:t>回填土</w:t>
      </w:r>
      <w:r>
        <w:rPr>
          <w:szCs w:val="28"/>
        </w:rPr>
        <w:t>。</w:t>
      </w:r>
    </w:p>
    <w:p>
      <w:pPr>
        <w:spacing w:line="240" w:lineRule="auto"/>
        <w:ind w:firstLine="0" w:firstLineChars="0"/>
        <w:jc w:val="center"/>
        <w:rPr>
          <w:szCs w:val="28"/>
        </w:rPr>
      </w:pPr>
      <w:r>
        <w:drawing>
          <wp:inline distT="0" distB="0" distL="0" distR="0">
            <wp:extent cx="3729355" cy="2237105"/>
            <wp:effectExtent l="0" t="0" r="4445"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50"/>
                    <a:stretch>
                      <a:fillRect/>
                    </a:stretch>
                  </pic:blipFill>
                  <pic:spPr>
                    <a:xfrm>
                      <a:off x="0" y="0"/>
                      <a:ext cx="3764657" cy="2258795"/>
                    </a:xfrm>
                    <a:prstGeom prst="rect">
                      <a:avLst/>
                    </a:prstGeom>
                  </pic:spPr>
                </pic:pic>
              </a:graphicData>
            </a:graphic>
          </wp:inline>
        </w:drawing>
      </w:r>
    </w:p>
    <w:p>
      <w:pPr>
        <w:adjustRightInd w:val="0"/>
        <w:snapToGrid w:val="0"/>
        <w:ind w:firstLine="422"/>
        <w:jc w:val="center"/>
        <w:rPr>
          <w:szCs w:val="28"/>
        </w:rPr>
      </w:pPr>
      <w:r>
        <w:rPr>
          <w:b/>
          <w:sz w:val="21"/>
          <w:szCs w:val="21"/>
        </w:rPr>
        <w:t>图2-</w:t>
      </w:r>
      <w:r>
        <w:rPr>
          <w:rFonts w:hint="eastAsia"/>
          <w:b/>
          <w:sz w:val="21"/>
          <w:szCs w:val="21"/>
        </w:rPr>
        <w:t>15</w:t>
      </w:r>
      <w:r>
        <w:rPr>
          <w:b/>
          <w:sz w:val="21"/>
          <w:szCs w:val="21"/>
        </w:rPr>
        <w:t xml:space="preserve"> 环保型绞吸船样图</w:t>
      </w:r>
    </w:p>
    <w:p>
      <w:pPr>
        <w:spacing w:line="500" w:lineRule="exact"/>
        <w:ind w:firstLine="480"/>
        <w:rPr>
          <w:szCs w:val="28"/>
        </w:rPr>
      </w:pPr>
      <w:r>
        <w:t>绞吸式挖泥船工作原理：绞吸式挖泥船作业方式是船上装有强有力的离心泵，船艏装有一个绞刀架，挖泥时将绞刀架放下，头部的绞刀伸放到挖泥区的底部，旋转铰刀把淤泥绞烂，在绞刀口下方利用强有力的离心泵吸口把泥浆通过吸泥管吸上来，通过排泥管排出。</w:t>
      </w:r>
    </w:p>
    <w:p>
      <w:pPr>
        <w:spacing w:line="500" w:lineRule="exact"/>
        <w:ind w:firstLine="480"/>
      </w:pPr>
      <w:r>
        <w:t>绞吸式挖泥船施工特点</w:t>
      </w:r>
      <w:r>
        <w:rPr>
          <w:rFonts w:hint="eastAsia"/>
        </w:rPr>
        <w:t>：</w:t>
      </w:r>
      <w:r>
        <w:t>单船独立施工，管道泥浆输送，挖泥、运泥一次同时完成，</w:t>
      </w:r>
      <w:r>
        <w:rPr>
          <w:szCs w:val="21"/>
        </w:rPr>
        <w:t>绞挖的同时通过管道吸出悬浮泥沙，留存在江段的悬浮泥浓度较低，</w:t>
      </w:r>
      <w:r>
        <w:t>对底质适应性较好，定位控制度较高，</w:t>
      </w:r>
      <w:r>
        <w:rPr>
          <w:szCs w:val="21"/>
        </w:rPr>
        <w:t>对水生生物影响较小，</w:t>
      </w:r>
      <w:r>
        <w:t>施工效率高，在江河湖海均能</w:t>
      </w:r>
      <w:r>
        <w:rPr>
          <w:rFonts w:hint="eastAsia"/>
        </w:rPr>
        <w:t>操作</w:t>
      </w:r>
      <w:r>
        <w:t>，是一种较环保的疏浚方式。</w:t>
      </w:r>
    </w:p>
    <w:p>
      <w:pPr>
        <w:spacing w:line="500" w:lineRule="exact"/>
        <w:ind w:firstLine="480"/>
        <w:rPr>
          <w:kern w:val="0"/>
          <w:lang w:val="zh-CN"/>
        </w:rPr>
      </w:pPr>
      <w:r>
        <w:rPr>
          <w:kern w:val="0"/>
          <w:lang w:val="zh-CN"/>
        </w:rPr>
        <w:t>疏浚底泥性质：根据地质勘察，本工程河床为淤泥和粉质黏土底质，高程为</w:t>
      </w:r>
      <w:r>
        <w:rPr>
          <w:rFonts w:eastAsiaTheme="minorEastAsia"/>
        </w:rPr>
        <w:t>8.69m-13.82m之间</w:t>
      </w:r>
      <w:r>
        <w:rPr>
          <w:kern w:val="0"/>
          <w:lang w:val="zh-CN"/>
        </w:rPr>
        <w:t>，为满足</w:t>
      </w:r>
      <w:r>
        <w:t>10000吨级船舶靠泊，涉及最低河面高程为10.6m。</w:t>
      </w:r>
      <w:r>
        <w:rPr>
          <w:kern w:val="0"/>
          <w:lang w:val="zh-CN"/>
        </w:rPr>
        <w:t>因此，确定</w:t>
      </w:r>
      <w:r>
        <w:rPr>
          <w:rFonts w:eastAsiaTheme="minorEastAsia"/>
        </w:rPr>
        <w:t>疏浚面积为0.687hm</w:t>
      </w:r>
      <w:r>
        <w:rPr>
          <w:rFonts w:eastAsiaTheme="minorEastAsia"/>
          <w:vertAlign w:val="superscript"/>
        </w:rPr>
        <w:t>2</w:t>
      </w:r>
      <w:r>
        <w:rPr>
          <w:rFonts w:eastAsiaTheme="minorEastAsia"/>
        </w:rPr>
        <w:t>，</w:t>
      </w:r>
      <w:r>
        <w:rPr>
          <w:rFonts w:eastAsiaTheme="minorEastAsia"/>
          <w:spacing w:val="-1"/>
        </w:rPr>
        <w:t>疏浚量约</w:t>
      </w:r>
      <w:r>
        <w:rPr>
          <w:rFonts w:hint="eastAsia" w:eastAsiaTheme="minorEastAsia"/>
          <w:spacing w:val="-1"/>
        </w:rPr>
        <w:t>1.55万</w:t>
      </w:r>
      <w:r>
        <w:rPr>
          <w:rFonts w:eastAsiaTheme="minorEastAsia"/>
        </w:rPr>
        <w:t>m</w:t>
      </w:r>
      <w:r>
        <w:rPr>
          <w:rFonts w:eastAsiaTheme="minorEastAsia"/>
          <w:vertAlign w:val="superscript"/>
        </w:rPr>
        <w:t>3</w:t>
      </w:r>
      <w:r>
        <w:rPr>
          <w:rFonts w:eastAsiaTheme="minorEastAsia"/>
          <w:spacing w:val="-1"/>
        </w:rPr>
        <w:t>。</w:t>
      </w:r>
    </w:p>
    <w:p>
      <w:pPr>
        <w:ind w:firstLine="480"/>
        <w:rPr>
          <w:kern w:val="0"/>
          <w:lang w:val="zh-CN"/>
        </w:rPr>
      </w:pPr>
      <w:r>
        <w:rPr>
          <w:kern w:val="0"/>
          <w:lang w:val="zh-CN"/>
        </w:rPr>
        <w:t>底泥去向：港池疏浚弃渣回填至后方陆域。陆域形成需要回填土方352500m</w:t>
      </w:r>
      <w:r>
        <w:rPr>
          <w:kern w:val="0"/>
          <w:vertAlign w:val="superscript"/>
          <w:lang w:val="zh-CN"/>
        </w:rPr>
        <w:t>3</w:t>
      </w:r>
      <w:r>
        <w:rPr>
          <w:kern w:val="0"/>
          <w:lang w:val="zh-CN"/>
        </w:rPr>
        <w:t>，疏浚土上岸</w:t>
      </w:r>
      <w:r>
        <w:rPr>
          <w:rFonts w:hint="eastAsia"/>
          <w:kern w:val="0"/>
          <w:lang w:val="en-US" w:eastAsia="zh-CN"/>
        </w:rPr>
        <w:t>后经过压滤机压滤脱水后堆置在铺设有防渗薄膜的后方临时堆场经过自然干化处理后</w:t>
      </w:r>
      <w:r>
        <w:rPr>
          <w:kern w:val="0"/>
          <w:lang w:val="zh-CN"/>
        </w:rPr>
        <w:t>用于土方回填。</w:t>
      </w:r>
    </w:p>
    <w:p>
      <w:pPr>
        <w:spacing w:line="500" w:lineRule="exact"/>
        <w:ind w:firstLine="480"/>
        <w:rPr>
          <w:kern w:val="0"/>
          <w:lang w:val="zh-CN"/>
        </w:rPr>
      </w:pPr>
      <w:r>
        <w:rPr>
          <w:kern w:val="0"/>
          <w:lang w:val="zh-CN"/>
        </w:rPr>
        <w:t>港池疏浚平面布置图见下图。</w:t>
      </w:r>
    </w:p>
    <w:p>
      <w:pPr>
        <w:ind w:firstLine="480"/>
        <w:rPr>
          <w:kern w:val="0"/>
          <w:lang w:val="zh-CN"/>
        </w:rPr>
      </w:pPr>
      <w:r>
        <w:drawing>
          <wp:inline distT="0" distB="0" distL="0" distR="0">
            <wp:extent cx="5274310" cy="7334250"/>
            <wp:effectExtent l="0" t="0" r="254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51"/>
                    <a:stretch>
                      <a:fillRect/>
                    </a:stretch>
                  </pic:blipFill>
                  <pic:spPr>
                    <a:xfrm>
                      <a:off x="0" y="0"/>
                      <a:ext cx="5274310" cy="7334587"/>
                    </a:xfrm>
                    <a:prstGeom prst="rect">
                      <a:avLst/>
                    </a:prstGeom>
                  </pic:spPr>
                </pic:pic>
              </a:graphicData>
            </a:graphic>
          </wp:inline>
        </w:drawing>
      </w:r>
    </w:p>
    <w:p>
      <w:pPr>
        <w:ind w:firstLine="482"/>
        <w:jc w:val="center"/>
        <w:rPr>
          <w:b/>
          <w:kern w:val="0"/>
          <w:lang w:val="zh-CN"/>
        </w:rPr>
      </w:pPr>
      <w:r>
        <w:rPr>
          <w:b/>
          <w:kern w:val="0"/>
          <w:lang w:val="zh-CN"/>
        </w:rPr>
        <w:t>图2-</w:t>
      </w:r>
      <w:r>
        <w:rPr>
          <w:rFonts w:hint="eastAsia"/>
          <w:b/>
          <w:kern w:val="0"/>
        </w:rPr>
        <w:t>16</w:t>
      </w:r>
      <w:r>
        <w:rPr>
          <w:b/>
          <w:kern w:val="0"/>
          <w:lang w:val="zh-CN"/>
        </w:rPr>
        <w:t xml:space="preserve"> 港池疏浚平面布置图</w:t>
      </w:r>
    </w:p>
    <w:p>
      <w:pPr>
        <w:spacing w:line="500" w:lineRule="exact"/>
        <w:ind w:firstLine="482"/>
        <w:rPr>
          <w:b/>
        </w:rPr>
      </w:pPr>
      <w:r>
        <w:rPr>
          <w:rFonts w:hint="eastAsia"/>
          <w:b/>
          <w:szCs w:val="28"/>
        </w:rPr>
        <w:t>三、港区内部道路</w:t>
      </w:r>
      <w:r>
        <w:rPr>
          <w:b/>
          <w:szCs w:val="28"/>
        </w:rPr>
        <w:t>工程</w:t>
      </w:r>
    </w:p>
    <w:p>
      <w:pPr>
        <w:ind w:firstLine="480"/>
      </w:pPr>
      <w:r>
        <w:rPr>
          <w:rFonts w:hint="eastAsia"/>
        </w:rPr>
        <w:t>施工顺序：场地清理→填筑土方→基础处理→管线埋设→面层浇筑</w:t>
      </w:r>
    </w:p>
    <w:p>
      <w:pPr>
        <w:ind w:firstLine="480"/>
      </w:pPr>
      <w:r>
        <w:rPr>
          <w:rFonts w:hint="eastAsia"/>
        </w:rPr>
        <w:t>主要施工方法：分层回填土并用振动压路机碾压。面层混凝土浇筑采用振动梁和机械切缝工艺。</w:t>
      </w:r>
    </w:p>
    <w:p>
      <w:pPr>
        <w:spacing w:line="500" w:lineRule="exact"/>
        <w:ind w:firstLine="482"/>
        <w:rPr>
          <w:b/>
          <w:szCs w:val="28"/>
        </w:rPr>
      </w:pPr>
      <w:r>
        <w:rPr>
          <w:rFonts w:hint="eastAsia"/>
          <w:b/>
          <w:szCs w:val="28"/>
        </w:rPr>
        <w:t>四、生产及生活辅助建筑</w:t>
      </w:r>
    </w:p>
    <w:p>
      <w:pPr>
        <w:spacing w:line="500" w:lineRule="exact"/>
        <w:ind w:firstLine="480"/>
      </w:pPr>
      <w:r>
        <w:rPr>
          <w:rFonts w:hint="eastAsia"/>
        </w:rPr>
        <w:t>主要包括仓库、综合楼、变电所、门卫房、工具间等建筑均按常规方式施工。</w:t>
      </w:r>
    </w:p>
    <w:p>
      <w:pPr>
        <w:spacing w:line="500" w:lineRule="exact"/>
        <w:ind w:firstLine="480"/>
      </w:pPr>
      <w:r>
        <w:rPr>
          <w:rFonts w:hint="eastAsia"/>
        </w:rPr>
        <w:t>施工顺序：场地清理→填筑土方→基础施工→现浇扩大条形基础→制作和安装梁、柱、屋架、板→安装屋面板→现浇地坪→安装门窗</w:t>
      </w:r>
    </w:p>
    <w:p>
      <w:pPr>
        <w:spacing w:line="500" w:lineRule="exact"/>
        <w:ind w:firstLine="482"/>
        <w:rPr>
          <w:b/>
          <w:szCs w:val="28"/>
        </w:rPr>
      </w:pPr>
      <w:r>
        <w:rPr>
          <w:rFonts w:hint="eastAsia"/>
          <w:b/>
          <w:szCs w:val="28"/>
        </w:rPr>
        <w:t>五、</w:t>
      </w:r>
      <w:r>
        <w:rPr>
          <w:b/>
          <w:szCs w:val="28"/>
        </w:rPr>
        <w:t>设备安装</w:t>
      </w:r>
    </w:p>
    <w:p>
      <w:pPr>
        <w:spacing w:line="500" w:lineRule="exact"/>
        <w:ind w:firstLine="480"/>
      </w:pPr>
      <w:r>
        <w:rPr>
          <w:rFonts w:hint="eastAsia"/>
        </w:rPr>
        <w:t>装卸系统大型设备安装主要包括卸船机、装船机、门座起重机及相应的皮带机系统、供电系统、控制系统、除尘通风系统安装和调试。大型设备制造后均由船舶运至港区码头接卸。地面以上的皮带机，可视皮带机栈桥结构建设情况适时安排施工。全部设备安装完毕并经单机调试后，装卸系统可按照设计要求进行系统调试。</w:t>
      </w:r>
    </w:p>
    <w:p>
      <w:pPr>
        <w:spacing w:line="500" w:lineRule="exact"/>
        <w:ind w:firstLine="482"/>
        <w:rPr>
          <w:b/>
          <w:szCs w:val="28"/>
        </w:rPr>
      </w:pPr>
      <w:r>
        <w:rPr>
          <w:rFonts w:hint="eastAsia"/>
          <w:b/>
          <w:szCs w:val="28"/>
        </w:rPr>
        <w:t>六、</w:t>
      </w:r>
      <w:r>
        <w:rPr>
          <w:b/>
          <w:szCs w:val="28"/>
        </w:rPr>
        <w:t>其他配套工程</w:t>
      </w:r>
    </w:p>
    <w:p>
      <w:pPr>
        <w:spacing w:line="500" w:lineRule="exact"/>
        <w:ind w:firstLine="480"/>
      </w:pPr>
      <w:r>
        <w:t>其他配套工程包括房建、供电照明、控制、给排水、消防、环保、通信工程等，这项工程均为常规项目，可按常规进行施工。</w:t>
      </w:r>
    </w:p>
    <w:p>
      <w:pPr>
        <w:pStyle w:val="456"/>
        <w:ind w:firstLine="482"/>
      </w:pPr>
      <w:r>
        <w:t>施工期产污环节</w:t>
      </w:r>
    </w:p>
    <w:p>
      <w:pPr>
        <w:ind w:firstLine="480"/>
      </w:pPr>
      <w:r>
        <w:t>施工期各主要施工阶段产污环节及污染物类型、污染因子见下表。</w:t>
      </w:r>
    </w:p>
    <w:p>
      <w:pPr>
        <w:pStyle w:val="2285"/>
        <w:ind w:left="0"/>
        <w:rPr>
          <w:rFonts w:cs="Times New Roman"/>
        </w:rPr>
      </w:pPr>
      <w:r>
        <w:rPr>
          <w:rFonts w:cs="Times New Roman"/>
        </w:rPr>
        <w:t>施工期</w:t>
      </w:r>
      <w:r>
        <w:rPr>
          <w:rFonts w:hint="eastAsia" w:cs="Times New Roman"/>
        </w:rPr>
        <w:t>污染因子</w:t>
      </w:r>
      <w:r>
        <w:rPr>
          <w:rFonts w:cs="Times New Roman"/>
        </w:rPr>
        <w:t>一览表</w:t>
      </w:r>
    </w:p>
    <w:tbl>
      <w:tblPr>
        <w:tblStyle w:val="87"/>
        <w:tblW w:w="9041" w:type="dxa"/>
        <w:jc w:val="center"/>
        <w:tblLayout w:type="fixed"/>
        <w:tblCellMar>
          <w:top w:w="0" w:type="dxa"/>
          <w:left w:w="0" w:type="dxa"/>
          <w:bottom w:w="0" w:type="dxa"/>
          <w:right w:w="0" w:type="dxa"/>
        </w:tblCellMar>
      </w:tblPr>
      <w:tblGrid>
        <w:gridCol w:w="1410"/>
        <w:gridCol w:w="3820"/>
        <w:gridCol w:w="3811"/>
      </w:tblGrid>
      <w:tr>
        <w:tblPrEx>
          <w:tblCellMar>
            <w:top w:w="0" w:type="dxa"/>
            <w:left w:w="0" w:type="dxa"/>
            <w:bottom w:w="0" w:type="dxa"/>
            <w:right w:w="0" w:type="dxa"/>
          </w:tblCellMar>
        </w:tblPrEx>
        <w:trPr>
          <w:trHeight w:val="359" w:hRule="exact"/>
          <w:jc w:val="center"/>
        </w:trPr>
        <w:tc>
          <w:tcPr>
            <w:tcW w:w="1410" w:type="dxa"/>
            <w:tcBorders>
              <w:top w:val="single" w:color="000000" w:sz="12" w:space="0"/>
              <w:left w:val="single" w:color="000000" w:sz="12" w:space="0"/>
              <w:bottom w:val="single" w:color="000000" w:sz="4" w:space="0"/>
              <w:right w:val="single" w:color="000000" w:sz="4" w:space="0"/>
            </w:tcBorders>
            <w:vAlign w:val="center"/>
          </w:tcPr>
          <w:p>
            <w:pPr>
              <w:pStyle w:val="2691"/>
            </w:pPr>
            <w:r>
              <w:t>污染类型</w:t>
            </w:r>
          </w:p>
        </w:tc>
        <w:tc>
          <w:tcPr>
            <w:tcW w:w="3820" w:type="dxa"/>
            <w:tcBorders>
              <w:top w:val="single" w:color="000000" w:sz="12" w:space="0"/>
              <w:left w:val="single" w:color="000000" w:sz="4" w:space="0"/>
              <w:bottom w:val="single" w:color="000000" w:sz="4" w:space="0"/>
              <w:right w:val="single" w:color="000000" w:sz="4" w:space="0"/>
            </w:tcBorders>
            <w:vAlign w:val="center"/>
          </w:tcPr>
          <w:p>
            <w:pPr>
              <w:pStyle w:val="2691"/>
            </w:pPr>
            <w:r>
              <w:t>产污环节说明</w:t>
            </w:r>
          </w:p>
        </w:tc>
        <w:tc>
          <w:tcPr>
            <w:tcW w:w="3811" w:type="dxa"/>
            <w:tcBorders>
              <w:top w:val="single" w:color="000000" w:sz="12" w:space="0"/>
              <w:left w:val="single" w:color="000000" w:sz="4" w:space="0"/>
              <w:bottom w:val="single" w:color="000000" w:sz="4" w:space="0"/>
              <w:right w:val="single" w:color="000000" w:sz="12" w:space="0"/>
            </w:tcBorders>
            <w:vAlign w:val="center"/>
          </w:tcPr>
          <w:p>
            <w:pPr>
              <w:pStyle w:val="2691"/>
            </w:pPr>
            <w:r>
              <w:t>主要污染因子</w:t>
            </w:r>
          </w:p>
        </w:tc>
      </w:tr>
      <w:tr>
        <w:tblPrEx>
          <w:tblCellMar>
            <w:top w:w="0" w:type="dxa"/>
            <w:left w:w="0" w:type="dxa"/>
            <w:bottom w:w="0" w:type="dxa"/>
            <w:right w:w="0" w:type="dxa"/>
          </w:tblCellMar>
        </w:tblPrEx>
        <w:trPr>
          <w:trHeight w:val="350" w:hRule="exact"/>
          <w:jc w:val="center"/>
        </w:trPr>
        <w:tc>
          <w:tcPr>
            <w:tcW w:w="1410" w:type="dxa"/>
            <w:vMerge w:val="restart"/>
            <w:tcBorders>
              <w:top w:val="single" w:color="000000" w:sz="4" w:space="0"/>
              <w:left w:val="single" w:color="000000" w:sz="12" w:space="0"/>
              <w:bottom w:val="single" w:color="000000" w:sz="4" w:space="0"/>
              <w:right w:val="single" w:color="000000" w:sz="4" w:space="0"/>
            </w:tcBorders>
            <w:vAlign w:val="center"/>
          </w:tcPr>
          <w:p>
            <w:pPr>
              <w:pStyle w:val="2691"/>
            </w:pPr>
            <w:r>
              <w:t>废水</w:t>
            </w:r>
          </w:p>
        </w:tc>
        <w:tc>
          <w:tcPr>
            <w:tcW w:w="3820" w:type="dxa"/>
            <w:tcBorders>
              <w:top w:val="single" w:color="000000" w:sz="4" w:space="0"/>
              <w:left w:val="single" w:color="000000" w:sz="4" w:space="0"/>
              <w:bottom w:val="single" w:color="000000" w:sz="4" w:space="0"/>
              <w:right w:val="single" w:color="000000" w:sz="4" w:space="0"/>
            </w:tcBorders>
            <w:vAlign w:val="center"/>
          </w:tcPr>
          <w:p>
            <w:pPr>
              <w:pStyle w:val="2691"/>
            </w:pPr>
            <w:r>
              <w:t>生产废水</w:t>
            </w:r>
          </w:p>
        </w:tc>
        <w:tc>
          <w:tcPr>
            <w:tcW w:w="3811" w:type="dxa"/>
            <w:tcBorders>
              <w:top w:val="single" w:color="000000" w:sz="4" w:space="0"/>
              <w:left w:val="single" w:color="000000" w:sz="4" w:space="0"/>
              <w:bottom w:val="single" w:color="000000" w:sz="4" w:space="0"/>
              <w:right w:val="single" w:color="000000" w:sz="12" w:space="0"/>
            </w:tcBorders>
            <w:vAlign w:val="center"/>
          </w:tcPr>
          <w:p>
            <w:pPr>
              <w:pStyle w:val="2691"/>
            </w:pPr>
            <w:r>
              <w:rPr>
                <w:spacing w:val="-1"/>
              </w:rPr>
              <w:t>SS</w:t>
            </w:r>
            <w:r>
              <w:t>、石油类等</w:t>
            </w:r>
          </w:p>
        </w:tc>
      </w:tr>
      <w:tr>
        <w:tblPrEx>
          <w:tblCellMar>
            <w:top w:w="0" w:type="dxa"/>
            <w:left w:w="0" w:type="dxa"/>
            <w:bottom w:w="0" w:type="dxa"/>
            <w:right w:w="0" w:type="dxa"/>
          </w:tblCellMar>
        </w:tblPrEx>
        <w:trPr>
          <w:trHeight w:val="350" w:hRule="exact"/>
          <w:jc w:val="center"/>
        </w:trPr>
        <w:tc>
          <w:tcPr>
            <w:tcW w:w="1410" w:type="dxa"/>
            <w:vMerge w:val="continue"/>
            <w:tcBorders>
              <w:top w:val="single" w:color="000000" w:sz="4" w:space="0"/>
              <w:left w:val="single" w:color="000000" w:sz="12" w:space="0"/>
              <w:bottom w:val="single" w:color="000000" w:sz="4" w:space="0"/>
              <w:right w:val="single" w:color="000000" w:sz="4" w:space="0"/>
            </w:tcBorders>
            <w:vAlign w:val="center"/>
          </w:tcPr>
          <w:p>
            <w:pPr>
              <w:pStyle w:val="2691"/>
            </w:pPr>
          </w:p>
        </w:tc>
        <w:tc>
          <w:tcPr>
            <w:tcW w:w="3820" w:type="dxa"/>
            <w:tcBorders>
              <w:top w:val="single" w:color="000000" w:sz="4" w:space="0"/>
              <w:left w:val="single" w:color="000000" w:sz="4" w:space="0"/>
              <w:bottom w:val="single" w:color="000000" w:sz="4" w:space="0"/>
              <w:right w:val="single" w:color="000000" w:sz="4" w:space="0"/>
            </w:tcBorders>
            <w:vAlign w:val="center"/>
          </w:tcPr>
          <w:p>
            <w:pPr>
              <w:pStyle w:val="2691"/>
            </w:pPr>
            <w:r>
              <w:t>施工船舶污水</w:t>
            </w:r>
          </w:p>
        </w:tc>
        <w:tc>
          <w:tcPr>
            <w:tcW w:w="3811" w:type="dxa"/>
            <w:tcBorders>
              <w:top w:val="single" w:color="000000" w:sz="4" w:space="0"/>
              <w:left w:val="single" w:color="000000" w:sz="4" w:space="0"/>
              <w:bottom w:val="single" w:color="000000" w:sz="4" w:space="0"/>
              <w:right w:val="single" w:color="000000" w:sz="12" w:space="0"/>
            </w:tcBorders>
            <w:vAlign w:val="center"/>
          </w:tcPr>
          <w:p>
            <w:pPr>
              <w:pStyle w:val="2691"/>
            </w:pPr>
            <w:r>
              <w:t>CO</w:t>
            </w:r>
            <w:r>
              <w:rPr>
                <w:spacing w:val="-1"/>
              </w:rPr>
              <w:t>D</w:t>
            </w:r>
            <w:r>
              <w:t>、BOD</w:t>
            </w:r>
            <w:r>
              <w:rPr>
                <w:vertAlign w:val="subscript"/>
              </w:rPr>
              <w:t>5</w:t>
            </w:r>
            <w:r>
              <w:t>、NH</w:t>
            </w:r>
            <w:r>
              <w:rPr>
                <w:vertAlign w:val="subscript"/>
              </w:rPr>
              <w:t>3</w:t>
            </w:r>
            <w:r>
              <w:t>-N、SS、石油类等</w:t>
            </w:r>
          </w:p>
        </w:tc>
      </w:tr>
      <w:tr>
        <w:tblPrEx>
          <w:tblCellMar>
            <w:top w:w="0" w:type="dxa"/>
            <w:left w:w="0" w:type="dxa"/>
            <w:bottom w:w="0" w:type="dxa"/>
            <w:right w:w="0" w:type="dxa"/>
          </w:tblCellMar>
        </w:tblPrEx>
        <w:trPr>
          <w:trHeight w:val="349" w:hRule="exact"/>
          <w:jc w:val="center"/>
        </w:trPr>
        <w:tc>
          <w:tcPr>
            <w:tcW w:w="1410" w:type="dxa"/>
            <w:vMerge w:val="continue"/>
            <w:tcBorders>
              <w:top w:val="single" w:color="000000" w:sz="4" w:space="0"/>
              <w:left w:val="single" w:color="000000" w:sz="12" w:space="0"/>
              <w:bottom w:val="single" w:color="000000" w:sz="4" w:space="0"/>
              <w:right w:val="single" w:color="000000" w:sz="4" w:space="0"/>
            </w:tcBorders>
            <w:vAlign w:val="center"/>
          </w:tcPr>
          <w:p>
            <w:pPr>
              <w:pStyle w:val="2691"/>
            </w:pPr>
          </w:p>
        </w:tc>
        <w:tc>
          <w:tcPr>
            <w:tcW w:w="3820" w:type="dxa"/>
            <w:tcBorders>
              <w:top w:val="single" w:color="000000" w:sz="4" w:space="0"/>
              <w:left w:val="single" w:color="000000" w:sz="4" w:space="0"/>
              <w:bottom w:val="single" w:color="000000" w:sz="4" w:space="0"/>
              <w:right w:val="single" w:color="000000" w:sz="4" w:space="0"/>
            </w:tcBorders>
            <w:vAlign w:val="center"/>
          </w:tcPr>
          <w:p>
            <w:pPr>
              <w:pStyle w:val="2691"/>
            </w:pPr>
            <w:r>
              <w:t>生活污水</w:t>
            </w:r>
          </w:p>
        </w:tc>
        <w:tc>
          <w:tcPr>
            <w:tcW w:w="3811" w:type="dxa"/>
            <w:tcBorders>
              <w:top w:val="single" w:color="000000" w:sz="4" w:space="0"/>
              <w:left w:val="single" w:color="000000" w:sz="4" w:space="0"/>
              <w:bottom w:val="single" w:color="000000" w:sz="4" w:space="0"/>
              <w:right w:val="single" w:color="000000" w:sz="12" w:space="0"/>
            </w:tcBorders>
            <w:vAlign w:val="center"/>
          </w:tcPr>
          <w:p>
            <w:pPr>
              <w:pStyle w:val="2691"/>
            </w:pPr>
            <w:r>
              <w:t>CO</w:t>
            </w:r>
            <w:r>
              <w:rPr>
                <w:spacing w:val="-1"/>
              </w:rPr>
              <w:t>D</w:t>
            </w:r>
            <w:r>
              <w:t>、BOD</w:t>
            </w:r>
            <w:r>
              <w:rPr>
                <w:vertAlign w:val="subscript"/>
              </w:rPr>
              <w:t>5</w:t>
            </w:r>
            <w:r>
              <w:t>、NH</w:t>
            </w:r>
            <w:r>
              <w:rPr>
                <w:vertAlign w:val="subscript"/>
              </w:rPr>
              <w:t>3</w:t>
            </w:r>
            <w:r>
              <w:t>-N、SS等</w:t>
            </w:r>
          </w:p>
        </w:tc>
      </w:tr>
      <w:tr>
        <w:tblPrEx>
          <w:tblCellMar>
            <w:top w:w="0" w:type="dxa"/>
            <w:left w:w="0" w:type="dxa"/>
            <w:bottom w:w="0" w:type="dxa"/>
            <w:right w:w="0" w:type="dxa"/>
          </w:tblCellMar>
        </w:tblPrEx>
        <w:trPr>
          <w:trHeight w:val="350" w:hRule="exact"/>
          <w:jc w:val="center"/>
        </w:trPr>
        <w:tc>
          <w:tcPr>
            <w:tcW w:w="1410" w:type="dxa"/>
            <w:vMerge w:val="restart"/>
            <w:tcBorders>
              <w:top w:val="single" w:color="000000" w:sz="4" w:space="0"/>
              <w:left w:val="single" w:color="000000" w:sz="12" w:space="0"/>
              <w:bottom w:val="single" w:color="000000" w:sz="4" w:space="0"/>
              <w:right w:val="single" w:color="000000" w:sz="4" w:space="0"/>
            </w:tcBorders>
            <w:vAlign w:val="center"/>
          </w:tcPr>
          <w:p>
            <w:pPr>
              <w:pStyle w:val="2691"/>
            </w:pPr>
            <w:r>
              <w:t>废气</w:t>
            </w:r>
          </w:p>
        </w:tc>
        <w:tc>
          <w:tcPr>
            <w:tcW w:w="3820" w:type="dxa"/>
            <w:tcBorders>
              <w:top w:val="single" w:color="000000" w:sz="4" w:space="0"/>
              <w:left w:val="single" w:color="000000" w:sz="4" w:space="0"/>
              <w:bottom w:val="single" w:color="000000" w:sz="4" w:space="0"/>
              <w:right w:val="single" w:color="000000" w:sz="4" w:space="0"/>
            </w:tcBorders>
            <w:vAlign w:val="center"/>
          </w:tcPr>
          <w:p>
            <w:pPr>
              <w:pStyle w:val="2691"/>
            </w:pPr>
            <w:r>
              <w:t>施工扬尘、运输扬尘</w:t>
            </w:r>
          </w:p>
        </w:tc>
        <w:tc>
          <w:tcPr>
            <w:tcW w:w="3811" w:type="dxa"/>
            <w:tcBorders>
              <w:top w:val="single" w:color="000000" w:sz="4" w:space="0"/>
              <w:left w:val="single" w:color="000000" w:sz="4" w:space="0"/>
              <w:bottom w:val="single" w:color="000000" w:sz="4" w:space="0"/>
              <w:right w:val="single" w:color="000000" w:sz="12" w:space="0"/>
            </w:tcBorders>
            <w:vAlign w:val="center"/>
          </w:tcPr>
          <w:p>
            <w:pPr>
              <w:pStyle w:val="2691"/>
            </w:pPr>
            <w:r>
              <w:t>TSP</w:t>
            </w:r>
          </w:p>
        </w:tc>
      </w:tr>
      <w:tr>
        <w:tblPrEx>
          <w:tblCellMar>
            <w:top w:w="0" w:type="dxa"/>
            <w:left w:w="0" w:type="dxa"/>
            <w:bottom w:w="0" w:type="dxa"/>
            <w:right w:w="0" w:type="dxa"/>
          </w:tblCellMar>
        </w:tblPrEx>
        <w:trPr>
          <w:trHeight w:val="350" w:hRule="exact"/>
          <w:jc w:val="center"/>
        </w:trPr>
        <w:tc>
          <w:tcPr>
            <w:tcW w:w="1410" w:type="dxa"/>
            <w:vMerge w:val="continue"/>
            <w:tcBorders>
              <w:top w:val="single" w:color="000000" w:sz="4" w:space="0"/>
              <w:left w:val="single" w:color="000000" w:sz="12" w:space="0"/>
              <w:bottom w:val="single" w:color="000000" w:sz="4" w:space="0"/>
              <w:right w:val="single" w:color="000000" w:sz="4" w:space="0"/>
            </w:tcBorders>
            <w:vAlign w:val="center"/>
          </w:tcPr>
          <w:p>
            <w:pPr>
              <w:pStyle w:val="2691"/>
            </w:pPr>
          </w:p>
        </w:tc>
        <w:tc>
          <w:tcPr>
            <w:tcW w:w="3820" w:type="dxa"/>
            <w:tcBorders>
              <w:top w:val="single" w:color="000000" w:sz="4" w:space="0"/>
              <w:left w:val="single" w:color="000000" w:sz="4" w:space="0"/>
              <w:bottom w:val="single" w:color="000000" w:sz="4" w:space="0"/>
              <w:right w:val="single" w:color="000000" w:sz="4" w:space="0"/>
            </w:tcBorders>
            <w:vAlign w:val="center"/>
          </w:tcPr>
          <w:p>
            <w:pPr>
              <w:pStyle w:val="2691"/>
            </w:pPr>
            <w:r>
              <w:t>施工船舶、车辆和机械燃油废气</w:t>
            </w:r>
          </w:p>
        </w:tc>
        <w:tc>
          <w:tcPr>
            <w:tcW w:w="3811" w:type="dxa"/>
            <w:tcBorders>
              <w:top w:val="single" w:color="000000" w:sz="4" w:space="0"/>
              <w:left w:val="single" w:color="000000" w:sz="4" w:space="0"/>
              <w:bottom w:val="single" w:color="000000" w:sz="4" w:space="0"/>
              <w:right w:val="single" w:color="000000" w:sz="12" w:space="0"/>
            </w:tcBorders>
            <w:vAlign w:val="center"/>
          </w:tcPr>
          <w:p>
            <w:pPr>
              <w:pStyle w:val="2691"/>
            </w:pPr>
            <w:r>
              <w:rPr>
                <w:spacing w:val="-1"/>
              </w:rPr>
              <w:t>SO</w:t>
            </w:r>
            <w:r>
              <w:rPr>
                <w:position w:val="-2"/>
                <w:sz w:val="14"/>
                <w:szCs w:val="14"/>
              </w:rPr>
              <w:t>2</w:t>
            </w:r>
            <w:r>
              <w:t>、C</w:t>
            </w:r>
            <w:r>
              <w:rPr>
                <w:spacing w:val="-1"/>
              </w:rPr>
              <w:t>O</w:t>
            </w:r>
            <w:r>
              <w:t>、</w:t>
            </w:r>
            <w:r>
              <w:rPr>
                <w:spacing w:val="-1"/>
              </w:rPr>
              <w:t>NO</w:t>
            </w:r>
            <w:r>
              <w:t xml:space="preserve">x </w:t>
            </w:r>
          </w:p>
        </w:tc>
      </w:tr>
      <w:tr>
        <w:tblPrEx>
          <w:tblCellMar>
            <w:top w:w="0" w:type="dxa"/>
            <w:left w:w="0" w:type="dxa"/>
            <w:bottom w:w="0" w:type="dxa"/>
            <w:right w:w="0" w:type="dxa"/>
          </w:tblCellMar>
        </w:tblPrEx>
        <w:trPr>
          <w:trHeight w:val="350" w:hRule="exact"/>
          <w:jc w:val="center"/>
        </w:trPr>
        <w:tc>
          <w:tcPr>
            <w:tcW w:w="1410" w:type="dxa"/>
            <w:vMerge w:val="continue"/>
            <w:tcBorders>
              <w:top w:val="single" w:color="000000" w:sz="4" w:space="0"/>
              <w:left w:val="single" w:color="000000" w:sz="12" w:space="0"/>
              <w:bottom w:val="single" w:color="000000" w:sz="4" w:space="0"/>
              <w:right w:val="single" w:color="000000" w:sz="4" w:space="0"/>
            </w:tcBorders>
            <w:vAlign w:val="center"/>
          </w:tcPr>
          <w:p>
            <w:pPr>
              <w:pStyle w:val="2691"/>
            </w:pPr>
          </w:p>
        </w:tc>
        <w:tc>
          <w:tcPr>
            <w:tcW w:w="3820" w:type="dxa"/>
            <w:tcBorders>
              <w:top w:val="single" w:color="000000" w:sz="4" w:space="0"/>
              <w:left w:val="single" w:color="000000" w:sz="4" w:space="0"/>
              <w:bottom w:val="single" w:color="000000" w:sz="4" w:space="0"/>
              <w:right w:val="single" w:color="000000" w:sz="4" w:space="0"/>
            </w:tcBorders>
            <w:vAlign w:val="center"/>
          </w:tcPr>
          <w:p>
            <w:pPr>
              <w:pStyle w:val="2691"/>
            </w:pPr>
            <w:r>
              <w:t>淤泥恶臭</w:t>
            </w:r>
          </w:p>
        </w:tc>
        <w:tc>
          <w:tcPr>
            <w:tcW w:w="3811" w:type="dxa"/>
            <w:tcBorders>
              <w:top w:val="single" w:color="000000" w:sz="4" w:space="0"/>
              <w:left w:val="single" w:color="000000" w:sz="4" w:space="0"/>
              <w:bottom w:val="single" w:color="000000" w:sz="4" w:space="0"/>
              <w:right w:val="single" w:color="000000" w:sz="12" w:space="0"/>
            </w:tcBorders>
            <w:vAlign w:val="center"/>
          </w:tcPr>
          <w:p>
            <w:pPr>
              <w:pStyle w:val="2691"/>
            </w:pPr>
            <w:r>
              <w:t>恶臭</w:t>
            </w:r>
            <w:r>
              <w:rPr>
                <w:rFonts w:hint="eastAsia"/>
              </w:rPr>
              <w:t>、NH</w:t>
            </w:r>
            <w:r>
              <w:rPr>
                <w:rFonts w:hint="eastAsia"/>
                <w:vertAlign w:val="subscript"/>
              </w:rPr>
              <w:t>3</w:t>
            </w:r>
            <w:r>
              <w:rPr>
                <w:rFonts w:hint="eastAsia"/>
              </w:rPr>
              <w:t>、H</w:t>
            </w:r>
            <w:r>
              <w:rPr>
                <w:rFonts w:hint="eastAsia"/>
                <w:vertAlign w:val="subscript"/>
              </w:rPr>
              <w:t>2</w:t>
            </w:r>
            <w:r>
              <w:rPr>
                <w:rFonts w:hint="eastAsia"/>
              </w:rPr>
              <w:t>S</w:t>
            </w:r>
          </w:p>
        </w:tc>
      </w:tr>
      <w:tr>
        <w:tblPrEx>
          <w:tblCellMar>
            <w:top w:w="0" w:type="dxa"/>
            <w:left w:w="0" w:type="dxa"/>
            <w:bottom w:w="0" w:type="dxa"/>
            <w:right w:w="0" w:type="dxa"/>
          </w:tblCellMar>
        </w:tblPrEx>
        <w:trPr>
          <w:trHeight w:val="349" w:hRule="exact"/>
          <w:jc w:val="center"/>
        </w:trPr>
        <w:tc>
          <w:tcPr>
            <w:tcW w:w="1410" w:type="dxa"/>
            <w:tcBorders>
              <w:top w:val="single" w:color="000000" w:sz="4" w:space="0"/>
              <w:left w:val="single" w:color="000000" w:sz="12" w:space="0"/>
              <w:bottom w:val="single" w:color="000000" w:sz="4" w:space="0"/>
              <w:right w:val="single" w:color="000000" w:sz="4" w:space="0"/>
            </w:tcBorders>
            <w:vAlign w:val="center"/>
          </w:tcPr>
          <w:p>
            <w:pPr>
              <w:pStyle w:val="2691"/>
            </w:pPr>
            <w:r>
              <w:t>噪声</w:t>
            </w:r>
          </w:p>
        </w:tc>
        <w:tc>
          <w:tcPr>
            <w:tcW w:w="3820" w:type="dxa"/>
            <w:tcBorders>
              <w:top w:val="single" w:color="000000" w:sz="4" w:space="0"/>
              <w:left w:val="single" w:color="000000" w:sz="4" w:space="0"/>
              <w:bottom w:val="single" w:color="000000" w:sz="4" w:space="0"/>
              <w:right w:val="single" w:color="000000" w:sz="4" w:space="0"/>
            </w:tcBorders>
            <w:vAlign w:val="center"/>
          </w:tcPr>
          <w:p>
            <w:pPr>
              <w:pStyle w:val="2691"/>
            </w:pPr>
            <w:r>
              <w:t>施工机械噪声</w:t>
            </w:r>
          </w:p>
        </w:tc>
        <w:tc>
          <w:tcPr>
            <w:tcW w:w="3811" w:type="dxa"/>
            <w:tcBorders>
              <w:top w:val="single" w:color="000000" w:sz="4" w:space="0"/>
              <w:left w:val="single" w:color="000000" w:sz="4" w:space="0"/>
              <w:bottom w:val="single" w:color="000000" w:sz="4" w:space="0"/>
              <w:right w:val="single" w:color="000000" w:sz="12" w:space="0"/>
            </w:tcBorders>
            <w:vAlign w:val="center"/>
          </w:tcPr>
          <w:p>
            <w:pPr>
              <w:pStyle w:val="2691"/>
            </w:pPr>
            <w:r>
              <w:t>等效连续</w:t>
            </w:r>
            <w:r>
              <w:rPr>
                <w:spacing w:val="-1"/>
              </w:rPr>
              <w:t>A</w:t>
            </w:r>
            <w:r>
              <w:t>声级</w:t>
            </w:r>
          </w:p>
        </w:tc>
      </w:tr>
      <w:tr>
        <w:tblPrEx>
          <w:tblCellMar>
            <w:top w:w="0" w:type="dxa"/>
            <w:left w:w="0" w:type="dxa"/>
            <w:bottom w:w="0" w:type="dxa"/>
            <w:right w:w="0" w:type="dxa"/>
          </w:tblCellMar>
        </w:tblPrEx>
        <w:trPr>
          <w:trHeight w:val="350" w:hRule="exact"/>
          <w:jc w:val="center"/>
        </w:trPr>
        <w:tc>
          <w:tcPr>
            <w:tcW w:w="1410" w:type="dxa"/>
            <w:vMerge w:val="restart"/>
            <w:tcBorders>
              <w:top w:val="single" w:color="000000" w:sz="4" w:space="0"/>
              <w:left w:val="single" w:color="000000" w:sz="12" w:space="0"/>
              <w:bottom w:val="single" w:color="000000" w:sz="12" w:space="0"/>
              <w:right w:val="single" w:color="000000" w:sz="4" w:space="0"/>
            </w:tcBorders>
            <w:vAlign w:val="center"/>
          </w:tcPr>
          <w:p>
            <w:pPr>
              <w:pStyle w:val="2691"/>
            </w:pPr>
            <w:r>
              <w:t>固体废物</w:t>
            </w:r>
          </w:p>
        </w:tc>
        <w:tc>
          <w:tcPr>
            <w:tcW w:w="3820" w:type="dxa"/>
            <w:tcBorders>
              <w:top w:val="single" w:color="000000" w:sz="4" w:space="0"/>
              <w:left w:val="single" w:color="000000" w:sz="4" w:space="0"/>
              <w:bottom w:val="single" w:color="000000" w:sz="4" w:space="0"/>
              <w:right w:val="single" w:color="000000" w:sz="4" w:space="0"/>
            </w:tcBorders>
            <w:vAlign w:val="center"/>
          </w:tcPr>
          <w:p>
            <w:pPr>
              <w:pStyle w:val="2691"/>
            </w:pPr>
            <w:r>
              <w:t>建筑垃圾</w:t>
            </w:r>
          </w:p>
        </w:tc>
        <w:tc>
          <w:tcPr>
            <w:tcW w:w="3811" w:type="dxa"/>
            <w:tcBorders>
              <w:top w:val="single" w:color="000000" w:sz="4" w:space="0"/>
              <w:left w:val="single" w:color="000000" w:sz="4" w:space="0"/>
              <w:bottom w:val="single" w:color="000000" w:sz="4" w:space="0"/>
              <w:right w:val="single" w:color="000000" w:sz="12" w:space="0"/>
            </w:tcBorders>
            <w:vAlign w:val="center"/>
          </w:tcPr>
          <w:p>
            <w:pPr>
              <w:pStyle w:val="2691"/>
            </w:pPr>
            <w:r>
              <w:t>一般固废</w:t>
            </w:r>
          </w:p>
        </w:tc>
      </w:tr>
      <w:tr>
        <w:tblPrEx>
          <w:tblCellMar>
            <w:top w:w="0" w:type="dxa"/>
            <w:left w:w="0" w:type="dxa"/>
            <w:bottom w:w="0" w:type="dxa"/>
            <w:right w:w="0" w:type="dxa"/>
          </w:tblCellMar>
        </w:tblPrEx>
        <w:trPr>
          <w:trHeight w:val="361" w:hRule="exact"/>
          <w:jc w:val="center"/>
        </w:trPr>
        <w:tc>
          <w:tcPr>
            <w:tcW w:w="1410" w:type="dxa"/>
            <w:vMerge w:val="continue"/>
            <w:tcBorders>
              <w:top w:val="single" w:color="000000" w:sz="4" w:space="0"/>
              <w:left w:val="single" w:color="000000" w:sz="12" w:space="0"/>
              <w:bottom w:val="single" w:color="000000" w:sz="4" w:space="0"/>
              <w:right w:val="single" w:color="000000" w:sz="4" w:space="0"/>
            </w:tcBorders>
            <w:vAlign w:val="center"/>
          </w:tcPr>
          <w:p>
            <w:pPr>
              <w:pStyle w:val="2691"/>
            </w:pPr>
          </w:p>
        </w:tc>
        <w:tc>
          <w:tcPr>
            <w:tcW w:w="3820" w:type="dxa"/>
            <w:tcBorders>
              <w:top w:val="single" w:color="000000" w:sz="4" w:space="0"/>
              <w:left w:val="single" w:color="000000" w:sz="4" w:space="0"/>
              <w:bottom w:val="single" w:color="000000" w:sz="4" w:space="0"/>
              <w:right w:val="single" w:color="000000" w:sz="4" w:space="0"/>
            </w:tcBorders>
            <w:vAlign w:val="center"/>
          </w:tcPr>
          <w:p>
            <w:pPr>
              <w:pStyle w:val="2691"/>
            </w:pPr>
            <w:r>
              <w:t>生活垃圾</w:t>
            </w:r>
          </w:p>
        </w:tc>
        <w:tc>
          <w:tcPr>
            <w:tcW w:w="3811" w:type="dxa"/>
            <w:tcBorders>
              <w:top w:val="single" w:color="000000" w:sz="4" w:space="0"/>
              <w:left w:val="single" w:color="000000" w:sz="4" w:space="0"/>
              <w:bottom w:val="single" w:color="000000" w:sz="4" w:space="0"/>
              <w:right w:val="single" w:color="000000" w:sz="12" w:space="0"/>
            </w:tcBorders>
            <w:vAlign w:val="center"/>
          </w:tcPr>
          <w:p>
            <w:pPr>
              <w:pStyle w:val="2691"/>
            </w:pPr>
            <w:r>
              <w:t>生活垃圾</w:t>
            </w:r>
          </w:p>
        </w:tc>
      </w:tr>
      <w:tr>
        <w:tblPrEx>
          <w:tblCellMar>
            <w:top w:w="0" w:type="dxa"/>
            <w:left w:w="0" w:type="dxa"/>
            <w:bottom w:w="0" w:type="dxa"/>
            <w:right w:w="0" w:type="dxa"/>
          </w:tblCellMar>
        </w:tblPrEx>
        <w:trPr>
          <w:trHeight w:val="361" w:hRule="exact"/>
          <w:jc w:val="center"/>
        </w:trPr>
        <w:tc>
          <w:tcPr>
            <w:tcW w:w="1410" w:type="dxa"/>
            <w:tcBorders>
              <w:top w:val="single" w:color="000000" w:sz="4" w:space="0"/>
              <w:left w:val="single" w:color="000000" w:sz="12" w:space="0"/>
              <w:bottom w:val="single" w:color="000000" w:sz="12" w:space="0"/>
              <w:right w:val="single" w:color="000000" w:sz="4" w:space="0"/>
            </w:tcBorders>
            <w:vAlign w:val="center"/>
          </w:tcPr>
          <w:p>
            <w:pPr>
              <w:pStyle w:val="2691"/>
            </w:pPr>
            <w:r>
              <w:t>生态环境</w:t>
            </w:r>
          </w:p>
        </w:tc>
        <w:tc>
          <w:tcPr>
            <w:tcW w:w="7631" w:type="dxa"/>
            <w:gridSpan w:val="2"/>
            <w:tcBorders>
              <w:top w:val="single" w:color="000000" w:sz="4" w:space="0"/>
              <w:left w:val="single" w:color="000000" w:sz="4" w:space="0"/>
              <w:bottom w:val="single" w:color="000000" w:sz="12" w:space="0"/>
              <w:right w:val="single" w:color="000000" w:sz="12" w:space="0"/>
            </w:tcBorders>
            <w:vAlign w:val="center"/>
          </w:tcPr>
          <w:p>
            <w:pPr>
              <w:pStyle w:val="2691"/>
            </w:pPr>
            <w:r>
              <w:t>陆域生态影响和水</w:t>
            </w:r>
            <w:r>
              <w:rPr>
                <w:rFonts w:hint="eastAsia"/>
              </w:rPr>
              <w:t>生</w:t>
            </w:r>
            <w:r>
              <w:t>生态影响</w:t>
            </w:r>
          </w:p>
        </w:tc>
      </w:tr>
    </w:tbl>
    <w:p>
      <w:pPr>
        <w:pStyle w:val="454"/>
        <w:ind w:firstLine="602"/>
        <w:rPr>
          <w:color w:val="auto"/>
        </w:rPr>
      </w:pPr>
      <w:r>
        <w:rPr>
          <w:color w:val="auto"/>
        </w:rPr>
        <w:t>运营期工艺流程和产污环节</w:t>
      </w:r>
    </w:p>
    <w:p>
      <w:pPr>
        <w:pStyle w:val="456"/>
        <w:ind w:firstLine="482"/>
      </w:pPr>
      <w:r>
        <w:rPr>
          <w:rFonts w:hint="eastAsia"/>
        </w:rPr>
        <w:t>运营期</w:t>
      </w:r>
      <w:r>
        <w:t>工艺流程</w:t>
      </w:r>
    </w:p>
    <w:p>
      <w:pPr>
        <w:ind w:firstLine="482"/>
        <w:rPr>
          <w:rFonts w:eastAsiaTheme="minorEastAsia"/>
          <w:b/>
          <w:color w:val="000000" w:themeColor="text1"/>
          <w14:textFill>
            <w14:solidFill>
              <w14:schemeClr w14:val="tx1"/>
            </w14:solidFill>
          </w14:textFill>
        </w:rPr>
      </w:pPr>
      <w:r>
        <w:rPr>
          <w:rFonts w:eastAsiaTheme="minorEastAsia"/>
          <w:b/>
          <w:color w:val="000000" w:themeColor="text1"/>
          <w14:textFill>
            <w14:solidFill>
              <w14:schemeClr w14:val="tx1"/>
            </w14:solidFill>
          </w14:textFill>
        </w:rPr>
        <w:t>1、散货卸船工艺</w:t>
      </w:r>
    </w:p>
    <w:p>
      <w:pPr>
        <w:ind w:firstLine="48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a、</w:t>
      </w:r>
      <w:r>
        <w:rPr>
          <w:rFonts w:hint="eastAsia" w:eastAsiaTheme="minorEastAsia"/>
          <w:color w:val="000000" w:themeColor="text1"/>
          <w14:textFill>
            <w14:solidFill>
              <w14:schemeClr w14:val="tx1"/>
            </w14:solidFill>
          </w14:textFill>
        </w:rPr>
        <w:t>2#、3#</w:t>
      </w:r>
      <w:r>
        <w:rPr>
          <w:rFonts w:eastAsiaTheme="minorEastAsia"/>
          <w:color w:val="000000" w:themeColor="text1"/>
          <w14:textFill>
            <w14:solidFill>
              <w14:schemeClr w14:val="tx1"/>
            </w14:solidFill>
          </w14:textFill>
        </w:rPr>
        <w:t>卸船泊位（砂石骨料、矿石等大宗散货）</w:t>
      </w:r>
    </w:p>
    <w:p>
      <w:pPr>
        <w:ind w:firstLine="48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船→桥式抓斗卸船机UL01+UL02（或UL02+UL03）→带式输送机BC03/BC04→带式输送机BC06/BC07→带式输送机BC08/BC9→带式输送机BC11/BC12→带式输送机BC15/BC16→抛料小车→散货仓库</w:t>
      </w:r>
    </w:p>
    <w:p>
      <w:pPr>
        <w:ind w:firstLine="48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b、4</w:t>
      </w:r>
      <w:r>
        <w:rPr>
          <w:rFonts w:hint="eastAsia" w:eastAsiaTheme="minorEastAsia"/>
          <w:color w:val="000000" w:themeColor="text1"/>
          <w14:textFill>
            <w14:solidFill>
              <w14:schemeClr w14:val="tx1"/>
            </w14:solidFill>
          </w14:textFill>
        </w:rPr>
        <w:t>#</w:t>
      </w:r>
      <w:r>
        <w:rPr>
          <w:rFonts w:eastAsiaTheme="minorEastAsia"/>
          <w:color w:val="000000" w:themeColor="text1"/>
          <w14:textFill>
            <w14:solidFill>
              <w14:schemeClr w14:val="tx1"/>
            </w14:solidFill>
          </w14:textFill>
        </w:rPr>
        <w:t>泊位（水泥）</w:t>
      </w:r>
    </w:p>
    <w:p>
      <w:pPr>
        <w:ind w:firstLine="48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近期：船→螺旋卸船机→水泥罐车→货主</w:t>
      </w:r>
    </w:p>
    <w:p>
      <w:pPr>
        <w:ind w:firstLine="48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预留：船→螺旋卸船机→气力输送管道→后方水泥库</w:t>
      </w:r>
    </w:p>
    <w:p>
      <w:pPr>
        <w:ind w:firstLine="48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c、4</w:t>
      </w:r>
      <w:r>
        <w:rPr>
          <w:rFonts w:hint="eastAsia" w:eastAsiaTheme="minorEastAsia"/>
          <w:color w:val="000000" w:themeColor="text1"/>
          <w14:textFill>
            <w14:solidFill>
              <w14:schemeClr w14:val="tx1"/>
            </w14:solidFill>
          </w14:textFill>
        </w:rPr>
        <w:t>#、</w:t>
      </w:r>
      <w:r>
        <w:rPr>
          <w:rFonts w:eastAsiaTheme="minorEastAsia"/>
          <w:color w:val="000000" w:themeColor="text1"/>
          <w14:textFill>
            <w14:solidFill>
              <w14:schemeClr w14:val="tx1"/>
            </w14:solidFill>
          </w14:textFill>
        </w:rPr>
        <w:t>5</w:t>
      </w:r>
      <w:r>
        <w:rPr>
          <w:rFonts w:hint="eastAsia" w:eastAsiaTheme="minorEastAsia"/>
          <w:color w:val="000000" w:themeColor="text1"/>
          <w14:textFill>
            <w14:solidFill>
              <w14:schemeClr w14:val="tx1"/>
            </w14:solidFill>
          </w14:textFill>
        </w:rPr>
        <w:t>#</w:t>
      </w:r>
      <w:r>
        <w:rPr>
          <w:rFonts w:eastAsiaTheme="minorEastAsia"/>
          <w:color w:val="000000" w:themeColor="text1"/>
          <w14:textFill>
            <w14:solidFill>
              <w14:schemeClr w14:val="tx1"/>
            </w14:solidFill>
          </w14:textFill>
        </w:rPr>
        <w:t>泊位（车船直取砂石及其他散货）</w:t>
      </w:r>
    </w:p>
    <w:p>
      <w:pPr>
        <w:ind w:firstLine="48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船→门座起重机（配抓斗）→集料斗→汽车→货主</w:t>
      </w:r>
    </w:p>
    <w:p>
      <w:pPr>
        <w:ind w:firstLine="48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d、6</w:t>
      </w:r>
      <w:r>
        <w:rPr>
          <w:rFonts w:hint="eastAsia" w:eastAsiaTheme="minorEastAsia"/>
          <w:color w:val="000000" w:themeColor="text1"/>
          <w14:textFill>
            <w14:solidFill>
              <w14:schemeClr w14:val="tx1"/>
            </w14:solidFill>
          </w14:textFill>
        </w:rPr>
        <w:t>#</w:t>
      </w:r>
      <w:r>
        <w:rPr>
          <w:rFonts w:eastAsiaTheme="minorEastAsia"/>
          <w:color w:val="000000" w:themeColor="text1"/>
          <w14:textFill>
            <w14:solidFill>
              <w14:schemeClr w14:val="tx1"/>
            </w14:solidFill>
          </w14:textFill>
        </w:rPr>
        <w:t>泊位（防汛砂石）</w:t>
      </w:r>
    </w:p>
    <w:p>
      <w:pPr>
        <w:ind w:firstLine="48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船→门座起重机（配抓斗）→集料斗→带式输送机BC15→带式输送机BC16→已建防汛物质库场</w:t>
      </w:r>
    </w:p>
    <w:p>
      <w:pPr>
        <w:ind w:firstLine="482"/>
        <w:rPr>
          <w:rFonts w:eastAsiaTheme="minorEastAsia"/>
          <w:b/>
          <w:color w:val="000000" w:themeColor="text1"/>
          <w14:textFill>
            <w14:solidFill>
              <w14:schemeClr w14:val="tx1"/>
            </w14:solidFill>
          </w14:textFill>
        </w:rPr>
      </w:pPr>
      <w:r>
        <w:rPr>
          <w:rFonts w:eastAsiaTheme="minorEastAsia"/>
          <w:b/>
          <w:color w:val="000000" w:themeColor="text1"/>
          <w14:textFill>
            <w14:solidFill>
              <w14:schemeClr w14:val="tx1"/>
            </w14:solidFill>
          </w14:textFill>
        </w:rPr>
        <w:t>2、散货装船工艺</w:t>
      </w:r>
      <w:r>
        <w:rPr>
          <w:rFonts w:hint="eastAsia" w:eastAsiaTheme="minorEastAsia"/>
          <w:b/>
          <w:color w:val="000000" w:themeColor="text1"/>
          <w14:textFill>
            <w14:solidFill>
              <w14:schemeClr w14:val="tx1"/>
            </w14:solidFill>
          </w14:textFill>
        </w:rPr>
        <w:t>（</w:t>
      </w:r>
      <w:r>
        <w:rPr>
          <w:rFonts w:eastAsiaTheme="minorEastAsia"/>
          <w:b/>
          <w:color w:val="000000" w:themeColor="text1"/>
          <w14:textFill>
            <w14:solidFill>
              <w14:schemeClr w14:val="tx1"/>
            </w14:solidFill>
          </w14:textFill>
        </w:rPr>
        <w:t>1</w:t>
      </w:r>
      <w:r>
        <w:rPr>
          <w:rFonts w:hint="eastAsia" w:eastAsiaTheme="minorEastAsia"/>
          <w:b/>
          <w:color w:val="000000" w:themeColor="text1"/>
          <w14:textFill>
            <w14:solidFill>
              <w14:schemeClr w14:val="tx1"/>
            </w14:solidFill>
          </w14:textFill>
        </w:rPr>
        <w:t>#</w:t>
      </w:r>
      <w:r>
        <w:rPr>
          <w:rFonts w:eastAsiaTheme="minorEastAsia"/>
          <w:b/>
          <w:color w:val="000000" w:themeColor="text1"/>
          <w14:textFill>
            <w14:solidFill>
              <w14:schemeClr w14:val="tx1"/>
            </w14:solidFill>
          </w14:textFill>
        </w:rPr>
        <w:t>泊位</w:t>
      </w:r>
      <w:r>
        <w:rPr>
          <w:rFonts w:hint="eastAsia" w:eastAsiaTheme="minorEastAsia"/>
          <w:b/>
          <w:color w:val="000000" w:themeColor="text1"/>
          <w14:textFill>
            <w14:solidFill>
              <w14:schemeClr w14:val="tx1"/>
            </w14:solidFill>
          </w14:textFill>
        </w:rPr>
        <w:t>）</w:t>
      </w:r>
    </w:p>
    <w:p>
      <w:pPr>
        <w:ind w:firstLine="48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自卸车→卸车料棚内地坑料斗→带式输送机BC14→带式输送机BC13→带式输送机BC10→带式输送机BC05→带式输送机BC01→直线移动轨道式装船机SL01→船</w:t>
      </w:r>
    </w:p>
    <w:p>
      <w:pPr>
        <w:ind w:firstLine="482"/>
        <w:rPr>
          <w:rFonts w:eastAsiaTheme="minorEastAsia"/>
          <w:b/>
          <w:color w:val="000000" w:themeColor="text1"/>
          <w14:textFill>
            <w14:solidFill>
              <w14:schemeClr w14:val="tx1"/>
            </w14:solidFill>
          </w14:textFill>
        </w:rPr>
      </w:pPr>
      <w:r>
        <w:rPr>
          <w:rFonts w:eastAsiaTheme="minorEastAsia"/>
          <w:b/>
          <w:color w:val="000000" w:themeColor="text1"/>
          <w14:textFill>
            <w14:solidFill>
              <w14:schemeClr w14:val="tx1"/>
            </w14:solidFill>
          </w14:textFill>
        </w:rPr>
        <w:t>3、水水中转工艺</w:t>
      </w:r>
    </w:p>
    <w:p>
      <w:pPr>
        <w:ind w:firstLine="48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船→桥式抓斗卸船机UL01+UL02（或UL02+UL03）→带式输送机BC02→带式输送机BC01→直线移动轨道式装船机SL01→船</w:t>
      </w:r>
    </w:p>
    <w:p>
      <w:pPr>
        <w:ind w:firstLine="482"/>
        <w:rPr>
          <w:rFonts w:eastAsiaTheme="minorEastAsia"/>
          <w:b/>
          <w:color w:val="000000" w:themeColor="text1"/>
          <w14:textFill>
            <w14:solidFill>
              <w14:schemeClr w14:val="tx1"/>
            </w14:solidFill>
          </w14:textFill>
        </w:rPr>
      </w:pPr>
      <w:r>
        <w:rPr>
          <w:rFonts w:eastAsiaTheme="minorEastAsia"/>
          <w:b/>
          <w:color w:val="000000" w:themeColor="text1"/>
          <w14:textFill>
            <w14:solidFill>
              <w14:schemeClr w14:val="tx1"/>
            </w14:solidFill>
          </w14:textFill>
        </w:rPr>
        <w:t>4、</w:t>
      </w:r>
      <w:r>
        <w:rPr>
          <w:rFonts w:hint="eastAsia" w:eastAsiaTheme="minorEastAsia"/>
          <w:b/>
          <w:color w:val="000000" w:themeColor="text1"/>
          <w14:textFill>
            <w14:solidFill>
              <w14:schemeClr w14:val="tx1"/>
            </w14:solidFill>
          </w14:textFill>
        </w:rPr>
        <w:t>防汛物资（</w:t>
      </w:r>
      <w:r>
        <w:rPr>
          <w:rFonts w:eastAsiaTheme="minorEastAsia"/>
          <w:b/>
          <w:color w:val="000000" w:themeColor="text1"/>
          <w14:textFill>
            <w14:solidFill>
              <w14:schemeClr w14:val="tx1"/>
            </w14:solidFill>
          </w14:textFill>
        </w:rPr>
        <w:t>件杂货</w:t>
      </w:r>
      <w:r>
        <w:rPr>
          <w:rFonts w:hint="eastAsia" w:eastAsiaTheme="minorEastAsia"/>
          <w:b/>
          <w:color w:val="000000" w:themeColor="text1"/>
          <w14:textFill>
            <w14:solidFill>
              <w14:schemeClr w14:val="tx1"/>
            </w14:solidFill>
          </w14:textFill>
        </w:rPr>
        <w:t>）</w:t>
      </w:r>
      <w:r>
        <w:rPr>
          <w:rFonts w:eastAsiaTheme="minorEastAsia"/>
          <w:b/>
          <w:color w:val="000000" w:themeColor="text1"/>
          <w14:textFill>
            <w14:solidFill>
              <w14:schemeClr w14:val="tx1"/>
            </w14:solidFill>
          </w14:textFill>
        </w:rPr>
        <w:t>装卸工艺</w:t>
      </w:r>
    </w:p>
    <w:p>
      <w:pPr>
        <w:ind w:firstLine="48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船↔门座起重机↔牵引平板车/货车↔</w:t>
      </w:r>
      <w:r>
        <w:rPr>
          <w:rFonts w:hint="eastAsia" w:eastAsiaTheme="minorEastAsia"/>
          <w:color w:val="000000" w:themeColor="text1"/>
          <w14:textFill>
            <w14:solidFill>
              <w14:schemeClr w14:val="tx1"/>
            </w14:solidFill>
          </w14:textFill>
        </w:rPr>
        <w:t>轨道式</w:t>
      </w:r>
      <w:r>
        <w:rPr>
          <w:rFonts w:eastAsiaTheme="minorEastAsia"/>
          <w:color w:val="000000" w:themeColor="text1"/>
          <w14:textFill>
            <w14:solidFill>
              <w14:schemeClr w14:val="tx1"/>
            </w14:solidFill>
          </w14:textFill>
        </w:rPr>
        <w:t>龙门起重机↔</w:t>
      </w:r>
      <w:r>
        <w:rPr>
          <w:rFonts w:hint="eastAsia" w:eastAsiaTheme="minorEastAsia"/>
          <w:color w:val="000000" w:themeColor="text1"/>
          <w14:textFill>
            <w14:solidFill>
              <w14:schemeClr w14:val="tx1"/>
            </w14:solidFill>
          </w14:textFill>
        </w:rPr>
        <w:t>防汛物资</w:t>
      </w:r>
      <w:r>
        <w:rPr>
          <w:rFonts w:eastAsiaTheme="minorEastAsia"/>
          <w:color w:val="000000" w:themeColor="text1"/>
          <w14:textFill>
            <w14:solidFill>
              <w14:schemeClr w14:val="tx1"/>
            </w14:solidFill>
          </w14:textFill>
        </w:rPr>
        <w:t>堆场</w:t>
      </w:r>
    </w:p>
    <w:p>
      <w:pPr>
        <w:ind w:firstLine="480"/>
      </w:pPr>
      <w:r>
        <w:rPr>
          <w:rFonts w:hint="eastAsia"/>
        </w:rPr>
        <w:t>项目</w:t>
      </w:r>
      <w:r>
        <w:t>装卸工艺流程见下图：</w:t>
      </w:r>
    </w:p>
    <w:p>
      <w:pPr>
        <w:pStyle w:val="659"/>
        <w:tabs>
          <w:tab w:val="left" w:pos="480"/>
        </w:tabs>
        <w:spacing w:line="240" w:lineRule="auto"/>
        <w:ind w:firstLine="0" w:firstLineChars="0"/>
        <w:rPr>
          <w:rFonts w:ascii="Times New Roman" w:hAnsi="Times New Roman"/>
        </w:rPr>
      </w:pPr>
      <w:r>
        <w:drawing>
          <wp:inline distT="0" distB="0" distL="114300" distR="114300">
            <wp:extent cx="5749925" cy="3086735"/>
            <wp:effectExtent l="0" t="0" r="3175" b="18415"/>
            <wp:docPr id="40" name="图片 41" descr="装卸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1" descr="装卸流程图"/>
                    <pic:cNvPicPr>
                      <a:picLocks noChangeAspect="1"/>
                    </pic:cNvPicPr>
                  </pic:nvPicPr>
                  <pic:blipFill>
                    <a:blip r:embed="rId52"/>
                    <a:stretch>
                      <a:fillRect/>
                    </a:stretch>
                  </pic:blipFill>
                  <pic:spPr>
                    <a:xfrm>
                      <a:off x="0" y="0"/>
                      <a:ext cx="5749925" cy="3086735"/>
                    </a:xfrm>
                    <a:prstGeom prst="rect">
                      <a:avLst/>
                    </a:prstGeom>
                    <a:noFill/>
                    <a:ln>
                      <a:noFill/>
                    </a:ln>
                  </pic:spPr>
                </pic:pic>
              </a:graphicData>
            </a:graphic>
          </wp:inline>
        </w:drawing>
      </w:r>
    </w:p>
    <w:p>
      <w:pPr>
        <w:ind w:firstLine="422"/>
        <w:jc w:val="center"/>
        <w:rPr>
          <w:b/>
          <w:sz w:val="21"/>
          <w:szCs w:val="21"/>
        </w:rPr>
      </w:pPr>
      <w:r>
        <w:rPr>
          <w:b/>
          <w:sz w:val="21"/>
          <w:szCs w:val="21"/>
        </w:rPr>
        <w:t>图2-17 装卸工艺流程图</w:t>
      </w:r>
    </w:p>
    <w:p>
      <w:pPr>
        <w:ind w:firstLine="422"/>
        <w:jc w:val="center"/>
        <w:rPr>
          <w:b/>
          <w:sz w:val="21"/>
          <w:szCs w:val="21"/>
        </w:rPr>
      </w:pPr>
    </w:p>
    <w:p>
      <w:pPr>
        <w:ind w:firstLine="0" w:firstLineChars="0"/>
        <w:rPr>
          <w:b/>
          <w:sz w:val="21"/>
          <w:szCs w:val="21"/>
        </w:rPr>
      </w:pPr>
      <w:r>
        <w:rPr>
          <w:b/>
          <w:sz w:val="21"/>
          <w:szCs w:val="21"/>
        </w:rPr>
        <w:drawing>
          <wp:inline distT="0" distB="0" distL="0" distR="0">
            <wp:extent cx="5753735" cy="1354455"/>
            <wp:effectExtent l="0" t="0" r="18415" b="17145"/>
            <wp:docPr id="39" name="图片 39" descr="C:\Users\mayn\AppData\Local\Microsoft\Windows\INetCache\Content.Word\运营期工艺流程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mayn\AppData\Local\Microsoft\Windows\INetCache\Content.Word\运营期工艺流程图.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753735" cy="1354455"/>
                    </a:xfrm>
                    <a:prstGeom prst="rect">
                      <a:avLst/>
                    </a:prstGeom>
                    <a:noFill/>
                    <a:ln>
                      <a:noFill/>
                    </a:ln>
                  </pic:spPr>
                </pic:pic>
              </a:graphicData>
            </a:graphic>
          </wp:inline>
        </w:drawing>
      </w:r>
    </w:p>
    <w:p>
      <w:pPr>
        <w:ind w:firstLine="422"/>
        <w:jc w:val="center"/>
        <w:rPr>
          <w:b/>
          <w:sz w:val="21"/>
          <w:szCs w:val="21"/>
        </w:rPr>
      </w:pPr>
      <w:r>
        <w:rPr>
          <w:b/>
          <w:sz w:val="21"/>
          <w:szCs w:val="21"/>
        </w:rPr>
        <w:t>图2-18 运营期</w:t>
      </w:r>
      <w:r>
        <w:rPr>
          <w:rFonts w:hint="eastAsia"/>
          <w:b/>
          <w:sz w:val="21"/>
          <w:szCs w:val="21"/>
        </w:rPr>
        <w:t>产污环节示意图</w:t>
      </w:r>
    </w:p>
    <w:p>
      <w:pPr>
        <w:pStyle w:val="456"/>
        <w:ind w:firstLine="482"/>
      </w:pPr>
      <w:r>
        <w:rPr>
          <w:rFonts w:hint="eastAsia"/>
        </w:rPr>
        <w:t>运营期产污</w:t>
      </w:r>
      <w:r>
        <w:t>环节</w:t>
      </w:r>
    </w:p>
    <w:p>
      <w:pPr>
        <w:ind w:firstLine="480"/>
      </w:pPr>
      <w:r>
        <w:t>本项目在正常运营状态下污染物产生环节分析结果见下表。</w:t>
      </w:r>
    </w:p>
    <w:p>
      <w:pPr>
        <w:pStyle w:val="2285"/>
        <w:ind w:left="0"/>
        <w:rPr>
          <w:rFonts w:cs="Times New Roman"/>
        </w:rPr>
      </w:pPr>
      <w:r>
        <w:rPr>
          <w:rFonts w:cs="Times New Roman"/>
          <w:bCs/>
        </w:rPr>
        <w:tab/>
      </w:r>
      <w:r>
        <w:rPr>
          <w:rFonts w:cs="Times New Roman"/>
        </w:rPr>
        <w:t>污染物产生环节分析结果</w:t>
      </w:r>
    </w:p>
    <w:p>
      <w:pPr>
        <w:kinsoku w:val="0"/>
        <w:overflowPunct w:val="0"/>
        <w:spacing w:before="3" w:line="60" w:lineRule="exact"/>
        <w:ind w:firstLine="120"/>
        <w:rPr>
          <w:sz w:val="6"/>
          <w:szCs w:val="6"/>
        </w:rPr>
      </w:pPr>
    </w:p>
    <w:tbl>
      <w:tblPr>
        <w:tblStyle w:val="3596"/>
        <w:tblW w:w="904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19"/>
        <w:gridCol w:w="2955"/>
        <w:gridCol w:w="2749"/>
        <w:gridCol w:w="181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0" w:hRule="exact"/>
          <w:jc w:val="center"/>
        </w:trPr>
        <w:tc>
          <w:tcPr>
            <w:tcW w:w="1519" w:type="dxa"/>
            <w:vAlign w:val="center"/>
          </w:tcPr>
          <w:p>
            <w:pPr>
              <w:pStyle w:val="2691"/>
            </w:pPr>
            <w:r>
              <w:t>类别</w:t>
            </w:r>
          </w:p>
        </w:tc>
        <w:tc>
          <w:tcPr>
            <w:tcW w:w="2955" w:type="dxa"/>
            <w:vAlign w:val="center"/>
          </w:tcPr>
          <w:p>
            <w:pPr>
              <w:pStyle w:val="2691"/>
            </w:pPr>
            <w:r>
              <w:t>产生环节</w:t>
            </w:r>
          </w:p>
        </w:tc>
        <w:tc>
          <w:tcPr>
            <w:tcW w:w="2749" w:type="dxa"/>
            <w:vAlign w:val="center"/>
          </w:tcPr>
          <w:p>
            <w:pPr>
              <w:pStyle w:val="2691"/>
            </w:pPr>
            <w:r>
              <w:t>主要污染物</w:t>
            </w:r>
          </w:p>
        </w:tc>
        <w:tc>
          <w:tcPr>
            <w:tcW w:w="1818" w:type="dxa"/>
            <w:vAlign w:val="center"/>
          </w:tcPr>
          <w:p>
            <w:pPr>
              <w:pStyle w:val="2691"/>
            </w:pPr>
            <w:r>
              <w:t>污染类别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1519" w:type="dxa"/>
            <w:vMerge w:val="restart"/>
            <w:vAlign w:val="center"/>
          </w:tcPr>
          <w:p>
            <w:pPr>
              <w:pStyle w:val="2691"/>
            </w:pPr>
            <w:r>
              <w:t>废水</w:t>
            </w:r>
          </w:p>
        </w:tc>
        <w:tc>
          <w:tcPr>
            <w:tcW w:w="2955" w:type="dxa"/>
            <w:vAlign w:val="center"/>
          </w:tcPr>
          <w:p>
            <w:pPr>
              <w:pStyle w:val="2691"/>
            </w:pPr>
            <w:r>
              <w:t>船舶生活污水</w:t>
            </w:r>
          </w:p>
        </w:tc>
        <w:tc>
          <w:tcPr>
            <w:tcW w:w="2749" w:type="dxa"/>
            <w:vAlign w:val="center"/>
          </w:tcPr>
          <w:p>
            <w:pPr>
              <w:pStyle w:val="2691"/>
            </w:pPr>
            <w:r>
              <w:t>CO</w:t>
            </w:r>
            <w:r>
              <w:rPr>
                <w:spacing w:val="-1"/>
              </w:rPr>
              <w:t>D</w:t>
            </w:r>
            <w:r>
              <w:t>、BOD</w:t>
            </w:r>
            <w:r>
              <w:rPr>
                <w:vertAlign w:val="subscript"/>
              </w:rPr>
              <w:t>5</w:t>
            </w:r>
            <w:r>
              <w:t>、</w:t>
            </w:r>
            <w:r>
              <w:rPr>
                <w:spacing w:val="-1"/>
              </w:rPr>
              <w:t>SS、</w:t>
            </w:r>
            <w:r>
              <w:t>NH</w:t>
            </w:r>
            <w:r>
              <w:rPr>
                <w:vertAlign w:val="subscript"/>
              </w:rPr>
              <w:t>3</w:t>
            </w:r>
            <w:r>
              <w:t>-N等</w:t>
            </w:r>
          </w:p>
        </w:tc>
        <w:tc>
          <w:tcPr>
            <w:tcW w:w="1818" w:type="dxa"/>
            <w:vMerge w:val="restart"/>
            <w:vAlign w:val="center"/>
          </w:tcPr>
          <w:p>
            <w:pPr>
              <w:pStyle w:val="2691"/>
            </w:pPr>
            <w:r>
              <w:t>船舶废水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1519" w:type="dxa"/>
            <w:vMerge w:val="continue"/>
            <w:vAlign w:val="center"/>
          </w:tcPr>
          <w:p>
            <w:pPr>
              <w:pStyle w:val="2691"/>
            </w:pPr>
          </w:p>
        </w:tc>
        <w:tc>
          <w:tcPr>
            <w:tcW w:w="2955" w:type="dxa"/>
            <w:vAlign w:val="center"/>
          </w:tcPr>
          <w:p>
            <w:pPr>
              <w:pStyle w:val="2691"/>
            </w:pPr>
            <w:r>
              <w:t>船舶舱底油污水</w:t>
            </w:r>
          </w:p>
        </w:tc>
        <w:tc>
          <w:tcPr>
            <w:tcW w:w="2749" w:type="dxa"/>
            <w:vAlign w:val="center"/>
          </w:tcPr>
          <w:p>
            <w:pPr>
              <w:pStyle w:val="2691"/>
            </w:pPr>
            <w:r>
              <w:t>石油类</w:t>
            </w:r>
          </w:p>
        </w:tc>
        <w:tc>
          <w:tcPr>
            <w:tcW w:w="1818"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1519" w:type="dxa"/>
            <w:vMerge w:val="continue"/>
            <w:vAlign w:val="center"/>
          </w:tcPr>
          <w:p>
            <w:pPr>
              <w:pStyle w:val="2691"/>
            </w:pPr>
          </w:p>
        </w:tc>
        <w:tc>
          <w:tcPr>
            <w:tcW w:w="2955" w:type="dxa"/>
            <w:vAlign w:val="center"/>
          </w:tcPr>
          <w:p>
            <w:pPr>
              <w:pStyle w:val="2691"/>
            </w:pPr>
            <w:r>
              <w:t>码头及库场冲洗废水</w:t>
            </w:r>
          </w:p>
        </w:tc>
        <w:tc>
          <w:tcPr>
            <w:tcW w:w="2749" w:type="dxa"/>
            <w:vAlign w:val="center"/>
          </w:tcPr>
          <w:p>
            <w:pPr>
              <w:pStyle w:val="2691"/>
            </w:pPr>
            <w:r>
              <w:t>SS</w:t>
            </w:r>
            <w:r>
              <w:rPr>
                <w:rFonts w:hint="eastAsia"/>
              </w:rPr>
              <w:t>、</w:t>
            </w:r>
            <w:r>
              <w:t>石油类</w:t>
            </w:r>
          </w:p>
        </w:tc>
        <w:tc>
          <w:tcPr>
            <w:tcW w:w="1818" w:type="dxa"/>
            <w:vAlign w:val="center"/>
          </w:tcPr>
          <w:p>
            <w:pPr>
              <w:pStyle w:val="2691"/>
            </w:pPr>
            <w:r>
              <w:t>冲洗废水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1519" w:type="dxa"/>
            <w:vMerge w:val="continue"/>
            <w:vAlign w:val="center"/>
          </w:tcPr>
          <w:p>
            <w:pPr>
              <w:pStyle w:val="2691"/>
            </w:pPr>
          </w:p>
        </w:tc>
        <w:tc>
          <w:tcPr>
            <w:tcW w:w="2955" w:type="dxa"/>
            <w:vAlign w:val="center"/>
          </w:tcPr>
          <w:p>
            <w:pPr>
              <w:pStyle w:val="2691"/>
            </w:pPr>
            <w:r>
              <w:t>员工生活污水</w:t>
            </w:r>
          </w:p>
        </w:tc>
        <w:tc>
          <w:tcPr>
            <w:tcW w:w="2749" w:type="dxa"/>
            <w:vAlign w:val="center"/>
          </w:tcPr>
          <w:p>
            <w:pPr>
              <w:pStyle w:val="2691"/>
            </w:pPr>
            <w:r>
              <w:t>CO</w:t>
            </w:r>
            <w:r>
              <w:rPr>
                <w:spacing w:val="-1"/>
              </w:rPr>
              <w:t>D</w:t>
            </w:r>
            <w:r>
              <w:t>、BOD</w:t>
            </w:r>
            <w:r>
              <w:rPr>
                <w:vertAlign w:val="subscript"/>
              </w:rPr>
              <w:t>5</w:t>
            </w:r>
            <w:r>
              <w:t>、</w:t>
            </w:r>
            <w:r>
              <w:rPr>
                <w:spacing w:val="-1"/>
              </w:rPr>
              <w:t>SS、</w:t>
            </w:r>
            <w:r>
              <w:t>NH</w:t>
            </w:r>
            <w:r>
              <w:rPr>
                <w:vertAlign w:val="subscript"/>
              </w:rPr>
              <w:t>3</w:t>
            </w:r>
            <w:r>
              <w:t>-N等</w:t>
            </w:r>
          </w:p>
        </w:tc>
        <w:tc>
          <w:tcPr>
            <w:tcW w:w="1818" w:type="dxa"/>
            <w:vAlign w:val="center"/>
          </w:tcPr>
          <w:p>
            <w:pPr>
              <w:pStyle w:val="2691"/>
            </w:pPr>
            <w:r>
              <w:rPr>
                <w:rFonts w:hint="eastAsia"/>
              </w:rPr>
              <w:t>生活</w:t>
            </w:r>
            <w:r>
              <w:t>污水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1519" w:type="dxa"/>
            <w:vMerge w:val="continue"/>
            <w:vAlign w:val="center"/>
          </w:tcPr>
          <w:p>
            <w:pPr>
              <w:pStyle w:val="2691"/>
            </w:pPr>
          </w:p>
        </w:tc>
        <w:tc>
          <w:tcPr>
            <w:tcW w:w="2955" w:type="dxa"/>
            <w:vAlign w:val="center"/>
          </w:tcPr>
          <w:p>
            <w:pPr>
              <w:pStyle w:val="2691"/>
            </w:pPr>
            <w:r>
              <w:t>初期雨水</w:t>
            </w:r>
          </w:p>
        </w:tc>
        <w:tc>
          <w:tcPr>
            <w:tcW w:w="2749" w:type="dxa"/>
            <w:vAlign w:val="center"/>
          </w:tcPr>
          <w:p>
            <w:pPr>
              <w:pStyle w:val="2691"/>
            </w:pPr>
            <w:r>
              <w:t>SS</w:t>
            </w:r>
          </w:p>
        </w:tc>
        <w:tc>
          <w:tcPr>
            <w:tcW w:w="1818" w:type="dxa"/>
            <w:vAlign w:val="center"/>
          </w:tcPr>
          <w:p>
            <w:pPr>
              <w:pStyle w:val="2691"/>
            </w:pPr>
            <w:r>
              <w:t>初期雨水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1519" w:type="dxa"/>
            <w:vMerge w:val="restart"/>
            <w:vAlign w:val="center"/>
          </w:tcPr>
          <w:p>
            <w:pPr>
              <w:pStyle w:val="2691"/>
            </w:pPr>
            <w:r>
              <w:t>废气</w:t>
            </w:r>
          </w:p>
        </w:tc>
        <w:tc>
          <w:tcPr>
            <w:tcW w:w="2955" w:type="dxa"/>
            <w:vAlign w:val="center"/>
          </w:tcPr>
          <w:p>
            <w:pPr>
              <w:pStyle w:val="2691"/>
            </w:pPr>
            <w:r>
              <w:t>码头及库场货物装卸废气</w:t>
            </w:r>
          </w:p>
        </w:tc>
        <w:tc>
          <w:tcPr>
            <w:tcW w:w="2749" w:type="dxa"/>
            <w:vAlign w:val="center"/>
          </w:tcPr>
          <w:p>
            <w:pPr>
              <w:pStyle w:val="2691"/>
            </w:pPr>
            <w:r>
              <w:t>TSP</w:t>
            </w:r>
            <w:r>
              <w:rPr>
                <w:rFonts w:hint="eastAsia"/>
              </w:rPr>
              <w:t>、</w:t>
            </w:r>
            <w:r>
              <w:t>PM</w:t>
            </w:r>
            <w:r>
              <w:rPr>
                <w:vertAlign w:val="subscript"/>
              </w:rPr>
              <w:t>10</w:t>
            </w:r>
            <w:r>
              <w:rPr>
                <w:rFonts w:hint="eastAsia"/>
              </w:rPr>
              <w:t>、</w:t>
            </w:r>
            <w:r>
              <w:t>PM</w:t>
            </w:r>
            <w:r>
              <w:rPr>
                <w:vertAlign w:val="subscript"/>
              </w:rPr>
              <w:t>2.5</w:t>
            </w:r>
          </w:p>
        </w:tc>
        <w:tc>
          <w:tcPr>
            <w:tcW w:w="1818" w:type="dxa"/>
            <w:vMerge w:val="restart"/>
            <w:vAlign w:val="center"/>
          </w:tcPr>
          <w:p>
            <w:pPr>
              <w:pStyle w:val="2691"/>
            </w:pPr>
            <w:r>
              <w:t>无组织排放废气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1519" w:type="dxa"/>
            <w:vMerge w:val="continue"/>
            <w:vAlign w:val="center"/>
          </w:tcPr>
          <w:p>
            <w:pPr>
              <w:pStyle w:val="2691"/>
            </w:pPr>
          </w:p>
        </w:tc>
        <w:tc>
          <w:tcPr>
            <w:tcW w:w="2955" w:type="dxa"/>
            <w:vAlign w:val="center"/>
          </w:tcPr>
          <w:p>
            <w:pPr>
              <w:pStyle w:val="2691"/>
            </w:pPr>
            <w:r>
              <w:rPr>
                <w:rFonts w:hint="eastAsia"/>
              </w:rPr>
              <w:t>员工食堂油烟</w:t>
            </w:r>
          </w:p>
        </w:tc>
        <w:tc>
          <w:tcPr>
            <w:tcW w:w="2749" w:type="dxa"/>
            <w:vAlign w:val="center"/>
          </w:tcPr>
          <w:p>
            <w:pPr>
              <w:pStyle w:val="2691"/>
            </w:pPr>
            <w:r>
              <w:rPr>
                <w:rFonts w:hint="eastAsia"/>
              </w:rPr>
              <w:t>油烟</w:t>
            </w:r>
          </w:p>
        </w:tc>
        <w:tc>
          <w:tcPr>
            <w:tcW w:w="1818"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1519" w:type="dxa"/>
            <w:vMerge w:val="restart"/>
            <w:vAlign w:val="center"/>
          </w:tcPr>
          <w:p>
            <w:pPr>
              <w:pStyle w:val="2691"/>
            </w:pPr>
            <w:r>
              <w:t>噪声</w:t>
            </w:r>
          </w:p>
        </w:tc>
        <w:tc>
          <w:tcPr>
            <w:tcW w:w="2955" w:type="dxa"/>
            <w:vAlign w:val="center"/>
          </w:tcPr>
          <w:p>
            <w:pPr>
              <w:pStyle w:val="2691"/>
            </w:pPr>
            <w:r>
              <w:t>码头及库场机械作业噪声</w:t>
            </w:r>
          </w:p>
        </w:tc>
        <w:tc>
          <w:tcPr>
            <w:tcW w:w="2749" w:type="dxa"/>
            <w:vMerge w:val="restart"/>
            <w:vAlign w:val="center"/>
          </w:tcPr>
          <w:p>
            <w:pPr>
              <w:pStyle w:val="2691"/>
            </w:pPr>
            <w:r>
              <w:t>噪声</w:t>
            </w:r>
          </w:p>
        </w:tc>
        <w:tc>
          <w:tcPr>
            <w:tcW w:w="1818" w:type="dxa"/>
            <w:vMerge w:val="restart"/>
            <w:vAlign w:val="center"/>
          </w:tcPr>
          <w:p>
            <w:pPr>
              <w:pStyle w:val="2691"/>
            </w:pPr>
            <w:r>
              <w:t>噪声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1519" w:type="dxa"/>
            <w:vMerge w:val="continue"/>
            <w:vAlign w:val="center"/>
          </w:tcPr>
          <w:p>
            <w:pPr>
              <w:pStyle w:val="2691"/>
            </w:pPr>
          </w:p>
        </w:tc>
        <w:tc>
          <w:tcPr>
            <w:tcW w:w="2955" w:type="dxa"/>
            <w:vAlign w:val="center"/>
          </w:tcPr>
          <w:p>
            <w:pPr>
              <w:pStyle w:val="2691"/>
            </w:pPr>
            <w:r>
              <w:t>船舶噪声</w:t>
            </w:r>
          </w:p>
        </w:tc>
        <w:tc>
          <w:tcPr>
            <w:tcW w:w="2749" w:type="dxa"/>
            <w:vMerge w:val="continue"/>
            <w:vAlign w:val="center"/>
          </w:tcPr>
          <w:p>
            <w:pPr>
              <w:pStyle w:val="2691"/>
            </w:pPr>
          </w:p>
        </w:tc>
        <w:tc>
          <w:tcPr>
            <w:tcW w:w="1818"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1519" w:type="dxa"/>
            <w:vMerge w:val="restart"/>
            <w:vAlign w:val="center"/>
          </w:tcPr>
          <w:p>
            <w:pPr>
              <w:pStyle w:val="2691"/>
            </w:pPr>
            <w:r>
              <w:t>固废</w:t>
            </w:r>
          </w:p>
        </w:tc>
        <w:tc>
          <w:tcPr>
            <w:tcW w:w="2955" w:type="dxa"/>
            <w:vAlign w:val="center"/>
          </w:tcPr>
          <w:p>
            <w:pPr>
              <w:pStyle w:val="2691"/>
            </w:pPr>
            <w:r>
              <w:t>船舶生活垃圾</w:t>
            </w:r>
          </w:p>
        </w:tc>
        <w:tc>
          <w:tcPr>
            <w:tcW w:w="2749" w:type="dxa"/>
            <w:vMerge w:val="restart"/>
            <w:vAlign w:val="center"/>
          </w:tcPr>
          <w:p>
            <w:pPr>
              <w:pStyle w:val="2691"/>
            </w:pPr>
            <w:r>
              <w:t>生活垃圾</w:t>
            </w:r>
          </w:p>
        </w:tc>
        <w:tc>
          <w:tcPr>
            <w:tcW w:w="1818" w:type="dxa"/>
            <w:vMerge w:val="restart"/>
            <w:vAlign w:val="center"/>
          </w:tcPr>
          <w:p>
            <w:pPr>
              <w:pStyle w:val="2691"/>
            </w:pPr>
            <w:r>
              <w:t>生活垃圾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1519" w:type="dxa"/>
            <w:vMerge w:val="continue"/>
            <w:vAlign w:val="center"/>
          </w:tcPr>
          <w:p>
            <w:pPr>
              <w:pStyle w:val="2691"/>
            </w:pPr>
          </w:p>
        </w:tc>
        <w:tc>
          <w:tcPr>
            <w:tcW w:w="2955" w:type="dxa"/>
            <w:vAlign w:val="center"/>
          </w:tcPr>
          <w:p>
            <w:pPr>
              <w:pStyle w:val="2691"/>
            </w:pPr>
            <w:r>
              <w:t>员工生活垃圾</w:t>
            </w:r>
          </w:p>
        </w:tc>
        <w:tc>
          <w:tcPr>
            <w:tcW w:w="2749" w:type="dxa"/>
            <w:vMerge w:val="continue"/>
            <w:vAlign w:val="center"/>
          </w:tcPr>
          <w:p>
            <w:pPr>
              <w:pStyle w:val="2691"/>
            </w:pPr>
          </w:p>
        </w:tc>
        <w:tc>
          <w:tcPr>
            <w:tcW w:w="1818"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1519" w:type="dxa"/>
            <w:vMerge w:val="continue"/>
            <w:vAlign w:val="center"/>
          </w:tcPr>
          <w:p>
            <w:pPr>
              <w:pStyle w:val="2691"/>
            </w:pPr>
          </w:p>
        </w:tc>
        <w:tc>
          <w:tcPr>
            <w:tcW w:w="2955" w:type="dxa"/>
            <w:vAlign w:val="center"/>
          </w:tcPr>
          <w:p>
            <w:pPr>
              <w:pStyle w:val="2691"/>
            </w:pPr>
            <w:r>
              <w:t>设备维修含油抹布</w:t>
            </w:r>
          </w:p>
        </w:tc>
        <w:tc>
          <w:tcPr>
            <w:tcW w:w="2749" w:type="dxa"/>
            <w:vAlign w:val="center"/>
          </w:tcPr>
          <w:p>
            <w:pPr>
              <w:pStyle w:val="2691"/>
            </w:pPr>
            <w:r>
              <w:t>含油抹布</w:t>
            </w:r>
          </w:p>
        </w:tc>
        <w:tc>
          <w:tcPr>
            <w:tcW w:w="1818" w:type="dxa"/>
            <w:vAlign w:val="center"/>
          </w:tcPr>
          <w:p>
            <w:pPr>
              <w:pStyle w:val="2691"/>
            </w:pPr>
            <w:r>
              <w:t>危险废物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exact"/>
          <w:jc w:val="center"/>
        </w:trPr>
        <w:tc>
          <w:tcPr>
            <w:tcW w:w="1519" w:type="dxa"/>
            <w:vMerge w:val="continue"/>
            <w:vAlign w:val="center"/>
          </w:tcPr>
          <w:p>
            <w:pPr>
              <w:pStyle w:val="2691"/>
            </w:pPr>
          </w:p>
        </w:tc>
        <w:tc>
          <w:tcPr>
            <w:tcW w:w="2955" w:type="dxa"/>
            <w:vAlign w:val="center"/>
          </w:tcPr>
          <w:p>
            <w:pPr>
              <w:pStyle w:val="2691"/>
            </w:pPr>
            <w:r>
              <w:rPr>
                <w:rFonts w:hint="eastAsia"/>
              </w:rPr>
              <w:t>机械设备</w:t>
            </w:r>
            <w:r>
              <w:t>维护</w:t>
            </w:r>
          </w:p>
        </w:tc>
        <w:tc>
          <w:tcPr>
            <w:tcW w:w="2749" w:type="dxa"/>
            <w:vAlign w:val="center"/>
          </w:tcPr>
          <w:p>
            <w:pPr>
              <w:pStyle w:val="2691"/>
            </w:pPr>
            <w:r>
              <w:t>废机油</w:t>
            </w:r>
          </w:p>
        </w:tc>
        <w:tc>
          <w:tcPr>
            <w:tcW w:w="1818" w:type="dxa"/>
            <w:vAlign w:val="center"/>
          </w:tcPr>
          <w:p>
            <w:pPr>
              <w:pStyle w:val="2691"/>
            </w:pPr>
            <w:r>
              <w:t>危险废物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8" w:hRule="exact"/>
          <w:jc w:val="center"/>
        </w:trPr>
        <w:tc>
          <w:tcPr>
            <w:tcW w:w="1519" w:type="dxa"/>
            <w:vMerge w:val="continue"/>
            <w:vAlign w:val="center"/>
          </w:tcPr>
          <w:p>
            <w:pPr>
              <w:pStyle w:val="2691"/>
            </w:pPr>
          </w:p>
        </w:tc>
        <w:tc>
          <w:tcPr>
            <w:tcW w:w="2955" w:type="dxa"/>
            <w:vAlign w:val="center"/>
          </w:tcPr>
          <w:p>
            <w:pPr>
              <w:pStyle w:val="2691"/>
            </w:pPr>
            <w:r>
              <w:t>污水收集池</w:t>
            </w:r>
          </w:p>
        </w:tc>
        <w:tc>
          <w:tcPr>
            <w:tcW w:w="2749" w:type="dxa"/>
            <w:vAlign w:val="center"/>
          </w:tcPr>
          <w:p>
            <w:pPr>
              <w:pStyle w:val="2691"/>
            </w:pPr>
            <w:r>
              <w:t>污泥</w:t>
            </w:r>
          </w:p>
        </w:tc>
        <w:tc>
          <w:tcPr>
            <w:tcW w:w="1818" w:type="dxa"/>
            <w:vAlign w:val="center"/>
          </w:tcPr>
          <w:p>
            <w:pPr>
              <w:pStyle w:val="2691"/>
            </w:pPr>
            <w:r>
              <w:t>一般固废</w:t>
            </w:r>
          </w:p>
        </w:tc>
      </w:tr>
    </w:tbl>
    <w:p>
      <w:pPr>
        <w:pStyle w:val="454"/>
        <w:ind w:firstLine="602"/>
        <w:rPr>
          <w:color w:val="auto"/>
        </w:rPr>
      </w:pPr>
      <w:r>
        <w:rPr>
          <w:color w:val="auto"/>
        </w:rPr>
        <w:t>施工期环境影响源分析</w:t>
      </w:r>
    </w:p>
    <w:p>
      <w:pPr>
        <w:ind w:firstLine="480"/>
      </w:pPr>
      <w:r>
        <w:t>项目施工期为</w:t>
      </w:r>
      <w:r>
        <w:rPr>
          <w:rFonts w:hint="eastAsia"/>
          <w:lang w:val="en-US" w:eastAsia="zh-CN"/>
        </w:rPr>
        <w:t>24</w:t>
      </w:r>
      <w:r>
        <w:t>个月（按 540 天计），</w:t>
      </w:r>
      <w:r>
        <w:rPr>
          <w:szCs w:val="28"/>
        </w:rPr>
        <w:t>主要施工内容包含港池疏浚、水工建筑物、皮带机廊道、装卸系统设备安装以及配套的房建、供电照明、控制、给排水、消防、环保工程等设施</w:t>
      </w:r>
      <w:r>
        <w:t>，施工人员按50人/d计（不在施工现场食宿）。施工期主要产生废气、废水、噪声、固废等污染，施工期环境污染只是短期影响，随着工程竣工影响基本消除。</w:t>
      </w:r>
    </w:p>
    <w:p>
      <w:pPr>
        <w:ind w:firstLine="480"/>
      </w:pPr>
      <w:r>
        <w:t>项目施工过程中的污染源及污染物</w:t>
      </w:r>
      <w:r>
        <w:rPr>
          <w:spacing w:val="-26"/>
        </w:rPr>
        <w:t>，</w:t>
      </w:r>
      <w:r>
        <w:t>由于面广且大多为无组织排放</w:t>
      </w:r>
      <w:r>
        <w:rPr>
          <w:spacing w:val="-26"/>
        </w:rPr>
        <w:t>，</w:t>
      </w:r>
      <w:r>
        <w:t>加上受施工方式和设备等的制约</w:t>
      </w:r>
      <w:r>
        <w:rPr>
          <w:spacing w:val="-17"/>
        </w:rPr>
        <w:t>，</w:t>
      </w:r>
      <w:r>
        <w:t>污染源及污染的随机性</w:t>
      </w:r>
      <w:r>
        <w:rPr>
          <w:spacing w:val="-17"/>
        </w:rPr>
        <w:t>、</w:t>
      </w:r>
      <w:r>
        <w:t>波动性也较大</w:t>
      </w:r>
      <w:r>
        <w:rPr>
          <w:spacing w:val="-17"/>
        </w:rPr>
        <w:t>，</w:t>
      </w:r>
      <w:r>
        <w:t>目前亦缺乏系统全面反映施工过程排污的统计资料和确定方法</w:t>
      </w:r>
      <w:r>
        <w:rPr>
          <w:spacing w:val="-17"/>
        </w:rPr>
        <w:t>。</w:t>
      </w:r>
      <w:r>
        <w:t>因此</w:t>
      </w:r>
      <w:r>
        <w:rPr>
          <w:spacing w:val="-17"/>
        </w:rPr>
        <w:t>，</w:t>
      </w:r>
      <w:r>
        <w:t>根据工程进展状况</w:t>
      </w:r>
      <w:r>
        <w:rPr>
          <w:spacing w:val="-17"/>
        </w:rPr>
        <w:t>，</w:t>
      </w:r>
      <w:r>
        <w:t>结合国内类似环评中采取的一些方法</w:t>
      </w:r>
      <w:r>
        <w:rPr>
          <w:spacing w:val="-51"/>
        </w:rPr>
        <w:t>，</w:t>
      </w:r>
      <w:r>
        <w:t>本评价对本项目施工过程中的污染源及污染物排放将采用以下原则与方法确定：</w:t>
      </w:r>
    </w:p>
    <w:p>
      <w:pPr>
        <w:ind w:firstLine="480"/>
      </w:pPr>
      <w:r>
        <w:t>（1）有典型施工场的有关监测资料；</w:t>
      </w:r>
    </w:p>
    <w:p>
      <w:pPr>
        <w:ind w:firstLine="480"/>
      </w:pPr>
      <w:r>
        <w:t>（2）结合本项目在施工方式与施工工艺、机械等方面的实际，类比相似工程施工过程排污进行估算。</w:t>
      </w:r>
    </w:p>
    <w:p>
      <w:pPr>
        <w:pStyle w:val="456"/>
        <w:ind w:firstLine="482"/>
        <w:rPr>
          <w:spacing w:val="1"/>
          <w:position w:val="1"/>
        </w:rPr>
      </w:pPr>
      <w:r>
        <w:t>废水</w:t>
      </w:r>
      <w:r>
        <w:rPr>
          <w:spacing w:val="1"/>
          <w:position w:val="1"/>
        </w:rPr>
        <w:t xml:space="preserve"> </w:t>
      </w:r>
    </w:p>
    <w:p>
      <w:pPr>
        <w:pStyle w:val="458"/>
        <w:ind w:firstLine="480"/>
        <w:rPr>
          <w:rFonts w:cs="Times New Roman"/>
          <w:color w:val="auto"/>
          <w:kern w:val="0"/>
        </w:rPr>
      </w:pPr>
      <w:r>
        <w:rPr>
          <w:rFonts w:cs="Times New Roman"/>
          <w:color w:val="auto"/>
          <w:kern w:val="0"/>
        </w:rPr>
        <w:t>施工期水污染源包括施工生产废水、施工船舶污水和施工人员生活污水。</w:t>
      </w:r>
    </w:p>
    <w:p>
      <w:pPr>
        <w:ind w:firstLine="482"/>
        <w:rPr>
          <w:b/>
        </w:rPr>
      </w:pPr>
      <w:r>
        <w:rPr>
          <w:b/>
          <w:bCs/>
        </w:rPr>
        <w:t>1</w:t>
      </w:r>
      <w:r>
        <w:rPr>
          <w:b/>
        </w:rPr>
        <w:t>、施工生产废水</w:t>
      </w:r>
    </w:p>
    <w:p>
      <w:pPr>
        <w:ind w:firstLine="480"/>
      </w:pPr>
      <w:r>
        <w:t>（1）码头主体结构施工生产废水</w:t>
      </w:r>
    </w:p>
    <w:p>
      <w:pPr>
        <w:pStyle w:val="458"/>
        <w:ind w:firstLine="480"/>
        <w:rPr>
          <w:rFonts w:cs="Times New Roman"/>
          <w:color w:val="auto"/>
        </w:rPr>
      </w:pPr>
      <w:r>
        <w:rPr>
          <w:rFonts w:cs="Times New Roman"/>
          <w:color w:val="auto"/>
          <w:szCs w:val="28"/>
        </w:rPr>
        <w:t>码头采用高桩梁板结构，桩基为预制型芯柱嵌岩钢管桩，</w:t>
      </w:r>
      <w:r>
        <w:rPr>
          <w:rFonts w:cs="Times New Roman"/>
          <w:color w:val="auto"/>
        </w:rPr>
        <w:t>钢管桩在</w:t>
      </w:r>
      <w:r>
        <w:rPr>
          <w:rFonts w:cs="Times New Roman"/>
          <w:color w:val="auto"/>
          <w:szCs w:val="28"/>
        </w:rPr>
        <w:t>在工厂制作，并完成防腐涂层的施工，</w:t>
      </w:r>
      <w:r>
        <w:rPr>
          <w:rFonts w:cs="Times New Roman"/>
          <w:color w:val="auto"/>
        </w:rPr>
        <w:t>用船运至施工现场，在枯水期采用打桩船锤击沉桩，</w:t>
      </w:r>
      <w:r>
        <w:rPr>
          <w:rFonts w:cs="Times New Roman"/>
          <w:color w:val="auto"/>
          <w:szCs w:val="28"/>
        </w:rPr>
        <w:t>再在桩内钻孔或冲孔成孔并灌注钢筋砼芯柱</w:t>
      </w:r>
      <w:r>
        <w:rPr>
          <w:rFonts w:cs="Times New Roman"/>
          <w:color w:val="auto"/>
        </w:rPr>
        <w:t>。</w:t>
      </w:r>
      <w:r>
        <w:rPr>
          <w:rFonts w:cs="Times New Roman"/>
          <w:color w:val="auto"/>
          <w:szCs w:val="28"/>
        </w:rPr>
        <w:t>行车引桥采用高桩排架结构，采用</w:t>
      </w:r>
      <w:r>
        <w:rPr>
          <w:rFonts w:cs="Times New Roman" w:eastAsiaTheme="minorEastAsia"/>
          <w:color w:val="auto"/>
        </w:rPr>
        <w:t>钻孔灌注桩</w:t>
      </w:r>
      <w:r>
        <w:rPr>
          <w:rFonts w:cs="Times New Roman"/>
          <w:color w:val="auto"/>
          <w:szCs w:val="28"/>
        </w:rPr>
        <w:t>，在现场钻孔、灌注成桩。</w:t>
      </w:r>
      <w:r>
        <w:rPr>
          <w:rFonts w:cs="Times New Roman"/>
          <w:color w:val="auto"/>
        </w:rPr>
        <w:t>钻孔灌注桩采用泥浆护壁成孔、灌注成桩。钻孔灌注桩桩基钻孔施工作业时，首先是沉入护筒，再在护筒内进行下钻。</w:t>
      </w:r>
    </w:p>
    <w:p>
      <w:pPr>
        <w:pStyle w:val="458"/>
        <w:ind w:firstLine="480"/>
        <w:rPr>
          <w:rFonts w:cs="Times New Roman"/>
          <w:color w:val="auto"/>
          <w:kern w:val="0"/>
        </w:rPr>
      </w:pPr>
      <w:r>
        <w:rPr>
          <w:rFonts w:cs="Times New Roman"/>
          <w:color w:val="auto"/>
        </w:rPr>
        <w:t>根据调查，码头区域打桩施工造成悬浮物浓度增加值超过1</w:t>
      </w:r>
      <w:r>
        <w:rPr>
          <w:rFonts w:cs="Times New Roman"/>
          <w:color w:val="auto"/>
          <w:kern w:val="0"/>
        </w:rPr>
        <w:t>0mg/L的范围为沿水流方向长约100~250m，垂直岸边宽约50~100m</w:t>
      </w:r>
      <w:r>
        <w:rPr>
          <w:rFonts w:hint="eastAsia" w:cs="Times New Roman"/>
          <w:color w:val="auto"/>
          <w:kern w:val="0"/>
        </w:rPr>
        <w:t>，</w:t>
      </w:r>
      <w:r>
        <w:rPr>
          <w:rFonts w:cs="Times New Roman"/>
          <w:color w:val="auto"/>
          <w:kern w:val="0"/>
        </w:rPr>
        <w:t>悬浮的底泥物质在水流扩散等因素的作用下，在一定范围内将导致水质泥沙含量增大，水体浑浊度相应增加</w:t>
      </w:r>
      <w:r>
        <w:rPr>
          <w:rFonts w:hint="eastAsia" w:cs="Times New Roman"/>
          <w:color w:val="auto"/>
          <w:kern w:val="0"/>
        </w:rPr>
        <w:t>。</w:t>
      </w:r>
    </w:p>
    <w:p>
      <w:pPr>
        <w:pStyle w:val="458"/>
        <w:ind w:firstLine="480"/>
        <w:rPr>
          <w:rFonts w:cs="Times New Roman"/>
          <w:color w:val="auto"/>
          <w:kern w:val="0"/>
        </w:rPr>
      </w:pPr>
      <w:r>
        <w:rPr>
          <w:rFonts w:cs="Times New Roman"/>
          <w:color w:val="auto"/>
          <w:kern w:val="0"/>
        </w:rPr>
        <w:t>引桥钻孔灌注桩基础施工时，施工过程中的泥浆一般循环使用，如果直接排放将增加长江悬浮物浓度，本项目通过</w:t>
      </w:r>
      <w:r>
        <w:rPr>
          <w:rFonts w:cs="Times New Roman"/>
          <w:color w:val="auto"/>
        </w:rPr>
        <w:t>设置泥浆池</w:t>
      </w:r>
      <w:r>
        <w:rPr>
          <w:rFonts w:hint="eastAsia" w:cs="Times New Roman"/>
          <w:color w:val="auto"/>
        </w:rPr>
        <w:t>，</w:t>
      </w:r>
      <w:r>
        <w:rPr>
          <w:rFonts w:cs="Times New Roman"/>
          <w:color w:val="auto"/>
        </w:rPr>
        <w:t>将粗沙沉淀后，泥浆循环使用</w:t>
      </w:r>
      <w:r>
        <w:rPr>
          <w:rFonts w:cs="Times New Roman"/>
          <w:color w:val="auto"/>
          <w:kern w:val="0"/>
        </w:rPr>
        <w:t>。</w:t>
      </w:r>
    </w:p>
    <w:p>
      <w:pPr>
        <w:ind w:firstLine="480"/>
      </w:pPr>
      <w:r>
        <w:t>水下抛石护岸将造成码头前沿局部水域悬浮物浓度增加，对局部水环境有一定的影响。抛石护岸造成悬浮物浓度增加值超过</w:t>
      </w:r>
      <w:r>
        <w:rPr>
          <w:rFonts w:hint="eastAsia"/>
        </w:rPr>
        <w:t>本底值</w:t>
      </w:r>
      <w:r>
        <w:rPr>
          <w:kern w:val="0"/>
        </w:rPr>
        <w:t>的范围为沿水流方向长约100m，垂直岸边宽约30~50m</w:t>
      </w:r>
      <w:r>
        <w:rPr>
          <w:rFonts w:hint="eastAsia"/>
          <w:kern w:val="0"/>
        </w:rPr>
        <w:t>。</w:t>
      </w:r>
      <w:r>
        <w:rPr>
          <w:rFonts w:hint="eastAsia"/>
        </w:rPr>
        <w:t>随着涉水施工的结束，水体中悬浮物浓度增高也随之结束。</w:t>
      </w:r>
    </w:p>
    <w:p>
      <w:pPr>
        <w:ind w:firstLine="480"/>
      </w:pPr>
      <w:r>
        <w:t>（2）其他施工生产废水</w:t>
      </w:r>
    </w:p>
    <w:p>
      <w:pPr>
        <w:ind w:firstLine="480"/>
      </w:pPr>
      <w:r>
        <w:t>本工程砂石料外购，不产生砂石料系统冲洗废水；本工程混凝土采用商购，因此场内不设置混凝土生产系统，不在现场进行冲洗，无混凝土拌合系统冲洗废水。施工区不设维修站，车辆、机械维修利用当地修理企业，不产生机修油污水。</w:t>
      </w:r>
      <w:r>
        <w:rPr>
          <w:kern w:val="0"/>
        </w:rPr>
        <w:t>本项目施工过程中其他生产废水主要为混凝土养护废水、施工机械冲洗废水及施工场地地表径流水等。</w:t>
      </w:r>
    </w:p>
    <w:p>
      <w:pPr>
        <w:ind w:firstLine="480"/>
      </w:pPr>
      <w:r>
        <w:t>小部分预制件生产及混凝土构筑物浇筑和养护将产生废水，为间歇式排放。根据同类工程类比分析，污水中主要污染因子为SS、pH，SS浓度约500 mg/L，pH值为8~9。</w:t>
      </w:r>
    </w:p>
    <w:p>
      <w:pPr>
        <w:ind w:firstLine="480"/>
      </w:pPr>
      <w:r>
        <w:t>施工机械跑、冒、滴、漏的污油及露天机械受雨水冲刷后产生的含油污水，污水中成分较为简单，一般为SS和少量的石油类。此外，施工机械冲洗将产生少量冲洗废水，施工机械按5部计，每部冲洗水量按500L/部计，每天冲洗1次，则施工机械冲洗废水发生量为2.5m</w:t>
      </w:r>
      <w:r>
        <w:rPr>
          <w:vertAlign w:val="superscript"/>
        </w:rPr>
        <w:t>3</w:t>
      </w:r>
      <w:r>
        <w:t>/d。参照《公路建设项目环境影响评价规范》（JTGB03-2006）冲洗汽车污水成分参考值，施工机械废水的主要污染物浓度为SS 200mg/L、石油类 30mg/L。经隔油池和沉淀池处理后浓度分别为SS 60mg/L、石油类4mg/L。</w:t>
      </w:r>
    </w:p>
    <w:p>
      <w:pPr>
        <w:ind w:firstLine="480"/>
      </w:pPr>
      <w:r>
        <w:t>此外，雨水对施工场地上物料、机械冲刷形成的径流也含有SS、石油类等污染物。</w:t>
      </w:r>
    </w:p>
    <w:p>
      <w:pPr>
        <w:ind w:firstLine="480"/>
      </w:pPr>
      <w:r>
        <w:t>（3）港池疏浚过程中产生的悬浮物</w:t>
      </w:r>
    </w:p>
    <w:p>
      <w:pPr>
        <w:pStyle w:val="458"/>
        <w:ind w:firstLine="480"/>
        <w:rPr>
          <w:rFonts w:cs="Times New Roman"/>
          <w:color w:val="auto"/>
        </w:rPr>
      </w:pPr>
      <w:r>
        <w:rPr>
          <w:rFonts w:cs="Times New Roman"/>
          <w:color w:val="auto"/>
        </w:rPr>
        <w:t>本项目施工需对码头前沿进行疏浚作业，疏浚工程量为1.55万m</w:t>
      </w:r>
      <w:r>
        <w:rPr>
          <w:rFonts w:cs="Times New Roman"/>
          <w:color w:val="auto"/>
          <w:vertAlign w:val="superscript"/>
        </w:rPr>
        <w:t>3</w:t>
      </w:r>
      <w:r>
        <w:rPr>
          <w:rFonts w:cs="Times New Roman"/>
          <w:color w:val="auto"/>
        </w:rPr>
        <w:t>。港池疏浚采用绞吸式挖泥船进行疏浚。</w:t>
      </w:r>
    </w:p>
    <w:p>
      <w:pPr>
        <w:pStyle w:val="458"/>
        <w:ind w:firstLine="480"/>
        <w:rPr>
          <w:rFonts w:cs="Times New Roman"/>
          <w:color w:val="auto"/>
        </w:rPr>
      </w:pPr>
      <w:r>
        <w:rPr>
          <w:rFonts w:cs="Times New Roman"/>
          <w:color w:val="auto"/>
          <w:kern w:val="10"/>
        </w:rPr>
        <w:t>疏浚本身不会对河水水质产生影响，疏浚所引起的仅是河水中泥沙的悬移，悬移的泥沙经过一定的时间和距离后会逐渐沉积，这个过程不会造成水质污染物总量增加。</w:t>
      </w:r>
      <w:r>
        <w:rPr>
          <w:rFonts w:cs="Times New Roman"/>
          <w:color w:val="auto"/>
        </w:rPr>
        <w:t>疏浚作业悬浮物的发生量按照《水运工程建设项目环境影响评价指南》（JTS/T 105-2021）推荐的经验公式进行计算：</w:t>
      </w:r>
    </w:p>
    <w:p>
      <w:pPr>
        <w:pStyle w:val="1795"/>
        <w:tabs>
          <w:tab w:val="left" w:pos="900"/>
        </w:tabs>
        <w:spacing w:line="360" w:lineRule="auto"/>
        <w:ind w:firstLine="0" w:firstLineChars="0"/>
        <w:jc w:val="center"/>
        <w:rPr>
          <w:rFonts w:ascii="Times New Roman"/>
        </w:rPr>
      </w:pPr>
      <w:r>
        <w:rPr>
          <w:rFonts w:ascii="Times New Roman"/>
        </w:rPr>
        <w:object>
          <v:shape id="_x0000_i1027" o:spt="75" type="#_x0000_t75" style="height:28.05pt;width:77.6pt;" o:ole="t" filled="f" o:preferrelative="t" stroked="f" coordsize="21600,21600">
            <v:path/>
            <v:fill on="f" focussize="0,0"/>
            <v:stroke on="f" joinstyle="miter"/>
            <v:imagedata r:id="rId55" o:title=""/>
            <o:lock v:ext="edit" aspectratio="t"/>
            <w10:wrap type="none"/>
            <w10:anchorlock/>
          </v:shape>
          <o:OLEObject Type="Embed" ProgID="Equations" ShapeID="_x0000_i1027" DrawAspect="Content" ObjectID="_1468075727" r:id="rId54">
            <o:LockedField>false</o:LockedField>
          </o:OLEObject>
        </w:object>
      </w:r>
    </w:p>
    <w:p>
      <w:pPr>
        <w:pStyle w:val="1795"/>
        <w:tabs>
          <w:tab w:val="left" w:pos="900"/>
        </w:tabs>
        <w:spacing w:line="360" w:lineRule="auto"/>
        <w:ind w:firstLine="480"/>
        <w:rPr>
          <w:rFonts w:ascii="Times New Roman"/>
          <w:sz w:val="24"/>
        </w:rPr>
      </w:pPr>
      <w:r>
        <w:rPr>
          <w:rFonts w:ascii="Times New Roman"/>
          <w:sz w:val="24"/>
        </w:rPr>
        <w:t>式中：Q—疏浚时悬浮物发生量，t/h；</w:t>
      </w:r>
    </w:p>
    <w:p>
      <w:pPr>
        <w:pStyle w:val="1795"/>
        <w:tabs>
          <w:tab w:val="left" w:pos="900"/>
        </w:tabs>
        <w:spacing w:line="360" w:lineRule="auto"/>
        <w:ind w:firstLine="1200" w:firstLineChars="500"/>
        <w:rPr>
          <w:rFonts w:ascii="Times New Roman"/>
          <w:sz w:val="24"/>
        </w:rPr>
      </w:pPr>
      <w:r>
        <w:rPr>
          <w:rFonts w:ascii="Times New Roman"/>
          <w:sz w:val="24"/>
        </w:rPr>
        <w:t>R—现场流速悬浮物临界粒子累计百分比，宜现场实测法确定</w:t>
      </w:r>
      <w:r>
        <w:rPr>
          <w:rFonts w:hint="eastAsia" w:ascii="Times New Roman"/>
          <w:sz w:val="24"/>
        </w:rPr>
        <w:t>，</w:t>
      </w:r>
      <w:r>
        <w:rPr>
          <w:rFonts w:ascii="Times New Roman"/>
          <w:sz w:val="24"/>
        </w:rPr>
        <w:t>无实测资料时可取</w:t>
      </w:r>
      <w:r>
        <w:rPr>
          <w:rFonts w:hint="eastAsia" w:ascii="Times New Roman"/>
          <w:sz w:val="24"/>
        </w:rPr>
        <w:t>8</w:t>
      </w:r>
      <w:r>
        <w:rPr>
          <w:rFonts w:ascii="Times New Roman"/>
          <w:sz w:val="24"/>
        </w:rPr>
        <w:t>9.2%；</w:t>
      </w:r>
    </w:p>
    <w:p>
      <w:pPr>
        <w:pStyle w:val="1795"/>
        <w:tabs>
          <w:tab w:val="left" w:pos="900"/>
        </w:tabs>
        <w:spacing w:line="360" w:lineRule="auto"/>
        <w:ind w:firstLine="1200" w:firstLineChars="500"/>
        <w:rPr>
          <w:rFonts w:ascii="Times New Roman"/>
          <w:sz w:val="24"/>
        </w:rPr>
      </w:pPr>
      <w:r>
        <w:rPr>
          <w:rFonts w:ascii="Times New Roman"/>
          <w:sz w:val="24"/>
        </w:rPr>
        <w:t>R</w:t>
      </w:r>
      <w:r>
        <w:rPr>
          <w:rFonts w:ascii="Times New Roman"/>
          <w:sz w:val="24"/>
          <w:vertAlign w:val="subscript"/>
        </w:rPr>
        <w:t>0</w:t>
      </w:r>
      <w:r>
        <w:rPr>
          <w:rFonts w:ascii="Times New Roman"/>
          <w:sz w:val="24"/>
        </w:rPr>
        <w:t>—发生系数W</w:t>
      </w:r>
      <w:r>
        <w:rPr>
          <w:rFonts w:ascii="Times New Roman"/>
          <w:sz w:val="24"/>
          <w:vertAlign w:val="subscript"/>
        </w:rPr>
        <w:t>0</w:t>
      </w:r>
      <w:r>
        <w:rPr>
          <w:rFonts w:ascii="Times New Roman"/>
          <w:sz w:val="24"/>
        </w:rPr>
        <w:t>时的悬浮物粒径累计百分比，宜现场实测法确定</w:t>
      </w:r>
      <w:r>
        <w:rPr>
          <w:rFonts w:hint="eastAsia" w:ascii="Times New Roman"/>
          <w:sz w:val="24"/>
        </w:rPr>
        <w:t>，</w:t>
      </w:r>
      <w:r>
        <w:rPr>
          <w:rFonts w:ascii="Times New Roman"/>
          <w:sz w:val="24"/>
        </w:rPr>
        <w:t>无实测资料时可取</w:t>
      </w:r>
      <w:r>
        <w:rPr>
          <w:rFonts w:hint="eastAsia" w:ascii="Times New Roman"/>
          <w:sz w:val="24"/>
        </w:rPr>
        <w:t>8</w:t>
      </w:r>
      <w:r>
        <w:rPr>
          <w:rFonts w:ascii="Times New Roman"/>
          <w:sz w:val="24"/>
        </w:rPr>
        <w:t>0.2%；</w:t>
      </w:r>
    </w:p>
    <w:p>
      <w:pPr>
        <w:pStyle w:val="1795"/>
        <w:tabs>
          <w:tab w:val="left" w:pos="900"/>
        </w:tabs>
        <w:spacing w:line="360" w:lineRule="auto"/>
        <w:ind w:firstLine="1200" w:firstLineChars="500"/>
        <w:rPr>
          <w:rFonts w:ascii="Times New Roman"/>
          <w:sz w:val="24"/>
        </w:rPr>
      </w:pPr>
      <w:r>
        <w:rPr>
          <w:rFonts w:ascii="Times New Roman"/>
          <w:sz w:val="24"/>
        </w:rPr>
        <w:t>T—挖泥船疏浚效率，m</w:t>
      </w:r>
      <w:r>
        <w:rPr>
          <w:rFonts w:ascii="Times New Roman"/>
          <w:sz w:val="24"/>
          <w:vertAlign w:val="superscript"/>
        </w:rPr>
        <w:t>3</w:t>
      </w:r>
      <w:r>
        <w:rPr>
          <w:rFonts w:ascii="Times New Roman"/>
          <w:sz w:val="24"/>
        </w:rPr>
        <w:t>/h；</w:t>
      </w:r>
    </w:p>
    <w:p>
      <w:pPr>
        <w:pStyle w:val="1795"/>
        <w:tabs>
          <w:tab w:val="left" w:pos="900"/>
        </w:tabs>
        <w:spacing w:line="360" w:lineRule="auto"/>
        <w:ind w:firstLine="1200" w:firstLineChars="500"/>
        <w:rPr>
          <w:rFonts w:ascii="Times New Roman"/>
          <w:sz w:val="24"/>
        </w:rPr>
      </w:pPr>
      <w:r>
        <w:rPr>
          <w:rFonts w:ascii="Times New Roman"/>
          <w:sz w:val="24"/>
        </w:rPr>
        <w:t>W</w:t>
      </w:r>
      <w:r>
        <w:rPr>
          <w:rFonts w:ascii="Times New Roman"/>
          <w:sz w:val="24"/>
          <w:vertAlign w:val="subscript"/>
        </w:rPr>
        <w:t>0</w:t>
      </w:r>
      <w:r>
        <w:rPr>
          <w:rFonts w:ascii="Times New Roman"/>
          <w:sz w:val="24"/>
        </w:rPr>
        <w:t>—悬浮物发生系数，宜现场实测法确定</w:t>
      </w:r>
      <w:r>
        <w:rPr>
          <w:rFonts w:hint="eastAsia" w:ascii="Times New Roman"/>
          <w:sz w:val="24"/>
        </w:rPr>
        <w:t>，</w:t>
      </w:r>
      <w:r>
        <w:rPr>
          <w:rFonts w:ascii="Times New Roman"/>
          <w:sz w:val="24"/>
        </w:rPr>
        <w:t>无实测资料时可取</w:t>
      </w:r>
      <w:r>
        <w:rPr>
          <w:rFonts w:hint="eastAsia" w:ascii="Times New Roman"/>
          <w:sz w:val="24"/>
        </w:rPr>
        <w:t>3</w:t>
      </w:r>
      <w:r>
        <w:rPr>
          <w:rFonts w:ascii="Times New Roman"/>
          <w:sz w:val="24"/>
        </w:rPr>
        <w:t>8.0</w:t>
      </w:r>
      <w:r>
        <w:rPr>
          <w:rFonts w:hint="eastAsia" w:hAnsi="宋体"/>
          <w:sz w:val="24"/>
        </w:rPr>
        <w:t>×</w:t>
      </w:r>
      <w:r>
        <w:rPr>
          <w:rFonts w:ascii="Times New Roman"/>
          <w:sz w:val="24"/>
        </w:rPr>
        <w:t>10</w:t>
      </w:r>
      <w:r>
        <w:rPr>
          <w:rFonts w:ascii="Times New Roman"/>
          <w:sz w:val="24"/>
          <w:vertAlign w:val="superscript"/>
        </w:rPr>
        <w:t>-3</w:t>
      </w:r>
      <w:r>
        <w:rPr>
          <w:rFonts w:ascii="Times New Roman"/>
          <w:sz w:val="24"/>
        </w:rPr>
        <w:t xml:space="preserve"> t/m</w:t>
      </w:r>
      <w:r>
        <w:rPr>
          <w:rFonts w:ascii="Times New Roman"/>
          <w:sz w:val="24"/>
          <w:vertAlign w:val="superscript"/>
        </w:rPr>
        <w:t>3</w:t>
      </w:r>
      <w:r>
        <w:rPr>
          <w:rFonts w:ascii="Times New Roman"/>
          <w:sz w:val="24"/>
        </w:rPr>
        <w:t>；</w:t>
      </w:r>
    </w:p>
    <w:p>
      <w:pPr>
        <w:ind w:firstLine="480"/>
      </w:pPr>
      <w:r>
        <w:t>本工程拟采用2条挖泥效率为80m</w:t>
      </w:r>
      <w:r>
        <w:rPr>
          <w:vertAlign w:val="superscript"/>
        </w:rPr>
        <w:t>3</w:t>
      </w:r>
      <w:r>
        <w:t>/h的挖泥船进行疏浚作业；根据经验公式计算，港池疏浚时悬浮物产生量为6.76t/h。</w:t>
      </w:r>
    </w:p>
    <w:p>
      <w:pPr>
        <w:ind w:firstLine="480"/>
      </w:pPr>
      <w:r>
        <w:rPr>
          <w:rFonts w:hint="eastAsia"/>
        </w:rPr>
        <w:t>（</w:t>
      </w:r>
      <w:r>
        <w:t>4</w:t>
      </w:r>
      <w:r>
        <w:rPr>
          <w:rFonts w:hint="eastAsia"/>
        </w:rPr>
        <w:t>）疏浚淤泥产生的泥浆水</w:t>
      </w:r>
    </w:p>
    <w:p>
      <w:pPr>
        <w:ind w:firstLine="480"/>
      </w:pPr>
      <w:r>
        <w:rPr>
          <w:rFonts w:hint="eastAsia"/>
        </w:rPr>
        <w:t>本项目疏浚工程采用绞吸式挖泥船进行疏浚，疏浚淤泥含水率较高为</w:t>
      </w:r>
      <w:r>
        <w:t>90%</w:t>
      </w:r>
      <w:r>
        <w:rPr>
          <w:rFonts w:hint="eastAsia"/>
        </w:rPr>
        <w:t>以上，可采用板框压滤机压滤脱水，形成含水率低于</w:t>
      </w:r>
      <w:r>
        <w:t>40%</w:t>
      </w:r>
      <w:r>
        <w:rPr>
          <w:rFonts w:hint="eastAsia"/>
        </w:rPr>
        <w:t>的泥饼，泥饼含水率较低，</w:t>
      </w:r>
      <w:r>
        <w:rPr>
          <w:rFonts w:hint="eastAsia"/>
          <w:kern w:val="0"/>
          <w:lang w:val="en-US" w:eastAsia="zh-CN"/>
        </w:rPr>
        <w:t>堆置在铺设有防渗薄膜的后方临时堆场经过自然干化处理后</w:t>
      </w:r>
      <w:r>
        <w:rPr>
          <w:rFonts w:hint="eastAsia"/>
        </w:rPr>
        <w:t>可作为工程回填土，实现资源再利用（参考《河道底泥环保疏浚方式及处理方案研究》余灿）。本项目疏浚淤泥含水率按</w:t>
      </w:r>
      <w:r>
        <w:t>90%</w:t>
      </w:r>
      <w:r>
        <w:rPr>
          <w:rFonts w:hint="eastAsia"/>
        </w:rPr>
        <w:t>计，泥饼含水率按照</w:t>
      </w:r>
      <w:r>
        <w:t>40%</w:t>
      </w:r>
      <w:r>
        <w:rPr>
          <w:rFonts w:hint="eastAsia"/>
        </w:rPr>
        <w:t>计，则疏浚淤泥产生的废水量为</w:t>
      </w:r>
      <w:r>
        <w:t>14.17</w:t>
      </w:r>
      <w:r>
        <w:rPr>
          <w:rFonts w:hint="eastAsia"/>
        </w:rPr>
        <w:t>万</w:t>
      </w:r>
      <w:r>
        <w:t>m</w:t>
      </w:r>
      <w:r>
        <w:rPr>
          <w:vertAlign w:val="superscript"/>
        </w:rPr>
        <w:t>3</w:t>
      </w:r>
      <w:r>
        <w:rPr>
          <w:rFonts w:hint="eastAsia"/>
        </w:rPr>
        <w:t>。</w:t>
      </w:r>
      <w:r>
        <w:rPr>
          <w:rFonts w:hint="eastAsia"/>
          <w:lang w:val="en-US" w:eastAsia="zh-CN"/>
        </w:rPr>
        <w:t>项目堆存过程铺设有防渗薄膜，四周设置排水沟，自然干化过程中产生的废水和</w:t>
      </w:r>
      <w:r>
        <w:rPr>
          <w:rFonts w:hint="eastAsia"/>
        </w:rPr>
        <w:t>疏浚淤泥脱水过程中产生的</w:t>
      </w:r>
      <w:r>
        <w:rPr>
          <w:rFonts w:hint="eastAsia"/>
          <w:lang w:val="en-US" w:eastAsia="zh-CN"/>
        </w:rPr>
        <w:t>废水</w:t>
      </w:r>
      <w:r>
        <w:rPr>
          <w:rFonts w:hint="eastAsia"/>
        </w:rPr>
        <w:t>通过在施工区设置的储存池储存后，</w:t>
      </w:r>
      <w:r>
        <w:rPr>
          <w:rFonts w:hint="eastAsia"/>
          <w:lang w:val="en-US" w:eastAsia="zh-CN"/>
        </w:rPr>
        <w:t>部分可回</w:t>
      </w:r>
      <w:r>
        <w:rPr>
          <w:rFonts w:hint="eastAsia"/>
        </w:rPr>
        <w:t>用</w:t>
      </w:r>
      <w:r>
        <w:rPr>
          <w:rFonts w:hint="eastAsia"/>
          <w:lang w:val="en-US" w:eastAsia="zh-CN"/>
        </w:rPr>
        <w:t>于</w:t>
      </w:r>
      <w:r>
        <w:rPr>
          <w:rFonts w:hint="eastAsia"/>
        </w:rPr>
        <w:t>施工生产用水和施工区域洒水降尘，其余部分</w:t>
      </w:r>
      <w:r>
        <w:rPr>
          <w:rFonts w:hint="eastAsia"/>
          <w:lang w:val="en-US" w:eastAsia="zh-CN"/>
        </w:rPr>
        <w:t>用罐车托运至城陵矶污水处理厂进行处理</w:t>
      </w:r>
      <w:r>
        <w:rPr>
          <w:rFonts w:hint="eastAsia"/>
        </w:rPr>
        <w:t>。</w:t>
      </w:r>
    </w:p>
    <w:p>
      <w:pPr>
        <w:ind w:firstLine="482"/>
        <w:rPr>
          <w:b/>
          <w:bCs/>
        </w:rPr>
      </w:pPr>
      <w:r>
        <w:rPr>
          <w:b/>
          <w:bCs/>
        </w:rPr>
        <w:t>2、施工船舶污水</w:t>
      </w:r>
    </w:p>
    <w:p>
      <w:pPr>
        <w:ind w:firstLine="480"/>
      </w:pPr>
      <w:r>
        <w:t>施工船舶污水包括船舶舱底油污水和船舶生活污水。船舶水上施工按240天计。</w:t>
      </w:r>
    </w:p>
    <w:p>
      <w:pPr>
        <w:ind w:firstLine="480"/>
      </w:pPr>
      <w:r>
        <w:t>（1）根据《水运工程环境保护设计规范》（JTS149-2018），1000~3000 吨级船舶舱底油污水水量为0.27~0.81t/d•艘，本项目施工船舶为1000吨级，按2艘施工船舶同时工作估算，施工船舶舱底油污水产生量约为0.54t/d，施工期共产生舱底油污水129.6t。污水中石油类平均浓度为5000mg/L，石油类产生量为2.7kg/d，根据规定，船舶舱底油污水需经自带的油水分离器处理，石油类的浓度不大于15mg/L</w:t>
      </w:r>
      <w:r>
        <w:rPr>
          <w:rFonts w:hint="eastAsia"/>
        </w:rPr>
        <w:t>，</w:t>
      </w:r>
      <w:r>
        <w:t>不得在码头所在江段排放。</w:t>
      </w:r>
    </w:p>
    <w:p>
      <w:pPr>
        <w:ind w:firstLine="480"/>
      </w:pPr>
      <w:r>
        <w:t>（2）船舶生活污水发生量按120L/d•人，施工船舶工作人员按 35 人计，排污系数取0.8，船舶上工作人员生活污水量为3.36 m</w:t>
      </w:r>
      <w:r>
        <w:rPr>
          <w:vertAlign w:val="superscript"/>
        </w:rPr>
        <w:t>3</w:t>
      </w:r>
      <w:r>
        <w:t>/d，施工期共产生船舶生活污水806.4 m</w:t>
      </w:r>
      <w:r>
        <w:rPr>
          <w:vertAlign w:val="superscript"/>
        </w:rPr>
        <w:t>3</w:t>
      </w:r>
      <w:r>
        <w:t>，污水中主要污染因子为COD、BOD</w:t>
      </w:r>
      <w:r>
        <w:rPr>
          <w:vertAlign w:val="subscript"/>
        </w:rPr>
        <w:t>5</w:t>
      </w:r>
      <w:r>
        <w:t>、NH</w:t>
      </w:r>
      <w:r>
        <w:rPr>
          <w:vertAlign w:val="subscript"/>
        </w:rPr>
        <w:t>3</w:t>
      </w:r>
      <w:r>
        <w:t>-N、SS，根据同类项目有关资料类比分析，其污染物浓度取COD取400mg/L、BOD</w:t>
      </w:r>
      <w:r>
        <w:rPr>
          <w:vertAlign w:val="subscript"/>
        </w:rPr>
        <w:t>5</w:t>
      </w:r>
      <w:r>
        <w:t>取200mg/L、NH</w:t>
      </w:r>
      <w:r>
        <w:rPr>
          <w:vertAlign w:val="subscript"/>
        </w:rPr>
        <w:t>3</w:t>
      </w:r>
      <w:r>
        <w:t>-N取40mg/L、SS取300mg/L，则COD、BOD</w:t>
      </w:r>
      <w:r>
        <w:rPr>
          <w:vertAlign w:val="subscript"/>
        </w:rPr>
        <w:t>5</w:t>
      </w:r>
      <w:r>
        <w:t>、NH</w:t>
      </w:r>
      <w:r>
        <w:rPr>
          <w:vertAlign w:val="subscript"/>
        </w:rPr>
        <w:t>3</w:t>
      </w:r>
      <w:r>
        <w:t>-N、SS产生量分别为322.56kg、161.28 kg、32.256 kg、241.92 kg。</w:t>
      </w:r>
    </w:p>
    <w:p>
      <w:pPr>
        <w:ind w:firstLine="480"/>
      </w:pPr>
      <w:r>
        <w:t>施工船舶废水污染物排放情况具体见下表。</w:t>
      </w:r>
    </w:p>
    <w:p>
      <w:pPr>
        <w:pStyle w:val="2285"/>
        <w:ind w:left="0"/>
        <w:rPr>
          <w:rFonts w:cs="Times New Roman"/>
        </w:rPr>
      </w:pPr>
      <w:r>
        <w:rPr>
          <w:rFonts w:cs="Times New Roman"/>
          <w:bCs/>
        </w:rPr>
        <w:tab/>
      </w:r>
      <w:r>
        <w:rPr>
          <w:rFonts w:cs="Times New Roman"/>
        </w:rPr>
        <w:t>施工期船舶废水污染产生情况表</w:t>
      </w:r>
    </w:p>
    <w:tbl>
      <w:tblPr>
        <w:tblStyle w:val="3596"/>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94"/>
        <w:gridCol w:w="1545"/>
        <w:gridCol w:w="1393"/>
        <w:gridCol w:w="1203"/>
        <w:gridCol w:w="1529"/>
        <w:gridCol w:w="1276"/>
        <w:gridCol w:w="12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39" w:type="dxa"/>
            <w:gridSpan w:val="2"/>
            <w:vAlign w:val="center"/>
          </w:tcPr>
          <w:p>
            <w:pPr>
              <w:pStyle w:val="2691"/>
            </w:pPr>
            <w:r>
              <w:t>来源</w:t>
            </w:r>
          </w:p>
        </w:tc>
        <w:tc>
          <w:tcPr>
            <w:tcW w:w="1393" w:type="dxa"/>
            <w:vAlign w:val="center"/>
          </w:tcPr>
          <w:p>
            <w:pPr>
              <w:pStyle w:val="2691"/>
            </w:pPr>
            <w:r>
              <w:t>污水产生量</w:t>
            </w:r>
          </w:p>
        </w:tc>
        <w:tc>
          <w:tcPr>
            <w:tcW w:w="1203" w:type="dxa"/>
            <w:vAlign w:val="center"/>
          </w:tcPr>
          <w:p>
            <w:pPr>
              <w:pStyle w:val="2691"/>
            </w:pPr>
            <w:r>
              <w:t>污染物</w:t>
            </w:r>
          </w:p>
        </w:tc>
        <w:tc>
          <w:tcPr>
            <w:tcW w:w="1529" w:type="dxa"/>
            <w:vAlign w:val="center"/>
          </w:tcPr>
          <w:p>
            <w:pPr>
              <w:pStyle w:val="2691"/>
            </w:pPr>
            <w:r>
              <w:t>污染物产生浓度（mg/L）</w:t>
            </w:r>
          </w:p>
        </w:tc>
        <w:tc>
          <w:tcPr>
            <w:tcW w:w="1276" w:type="dxa"/>
            <w:vAlign w:val="center"/>
          </w:tcPr>
          <w:p>
            <w:pPr>
              <w:pStyle w:val="2691"/>
            </w:pPr>
            <w:r>
              <w:t>污染物产生量（kg）</w:t>
            </w:r>
          </w:p>
        </w:tc>
        <w:tc>
          <w:tcPr>
            <w:tcW w:w="1276" w:type="dxa"/>
            <w:vAlign w:val="center"/>
          </w:tcPr>
          <w:p>
            <w:pPr>
              <w:pStyle w:val="2691"/>
            </w:pPr>
            <w: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4" w:type="dxa"/>
            <w:vMerge w:val="restart"/>
            <w:vAlign w:val="center"/>
          </w:tcPr>
          <w:p>
            <w:pPr>
              <w:pStyle w:val="2691"/>
            </w:pPr>
            <w:r>
              <w:t>施工船舶</w:t>
            </w:r>
          </w:p>
        </w:tc>
        <w:tc>
          <w:tcPr>
            <w:tcW w:w="1545" w:type="dxa"/>
            <w:vAlign w:val="center"/>
          </w:tcPr>
          <w:p>
            <w:pPr>
              <w:pStyle w:val="2691"/>
            </w:pPr>
            <w:r>
              <w:t>船舶油污水</w:t>
            </w:r>
          </w:p>
        </w:tc>
        <w:tc>
          <w:tcPr>
            <w:tcW w:w="1393" w:type="dxa"/>
            <w:vAlign w:val="center"/>
          </w:tcPr>
          <w:p>
            <w:pPr>
              <w:pStyle w:val="2691"/>
            </w:pPr>
            <w:r>
              <w:t>129.6t</w:t>
            </w:r>
          </w:p>
        </w:tc>
        <w:tc>
          <w:tcPr>
            <w:tcW w:w="1203" w:type="dxa"/>
            <w:vAlign w:val="center"/>
          </w:tcPr>
          <w:p>
            <w:pPr>
              <w:pStyle w:val="2691"/>
            </w:pPr>
            <w:r>
              <w:t>石油类</w:t>
            </w:r>
          </w:p>
        </w:tc>
        <w:tc>
          <w:tcPr>
            <w:tcW w:w="1529" w:type="dxa"/>
            <w:vAlign w:val="center"/>
          </w:tcPr>
          <w:p>
            <w:pPr>
              <w:pStyle w:val="2691"/>
            </w:pPr>
            <w:r>
              <w:t>5000</w:t>
            </w:r>
          </w:p>
        </w:tc>
        <w:tc>
          <w:tcPr>
            <w:tcW w:w="1276" w:type="dxa"/>
            <w:vAlign w:val="center"/>
          </w:tcPr>
          <w:p>
            <w:pPr>
              <w:pStyle w:val="2691"/>
            </w:pPr>
            <w:r>
              <w:t>/</w:t>
            </w:r>
          </w:p>
        </w:tc>
        <w:tc>
          <w:tcPr>
            <w:tcW w:w="1276" w:type="dxa"/>
            <w:vMerge w:val="restart"/>
            <w:vAlign w:val="center"/>
          </w:tcPr>
          <w:p>
            <w:pPr>
              <w:pStyle w:val="2691"/>
            </w:pPr>
            <w:r>
              <w:t>船舶水上施工按240天计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4" w:type="dxa"/>
            <w:vMerge w:val="continue"/>
            <w:vAlign w:val="center"/>
          </w:tcPr>
          <w:p>
            <w:pPr>
              <w:pStyle w:val="2691"/>
            </w:pPr>
          </w:p>
        </w:tc>
        <w:tc>
          <w:tcPr>
            <w:tcW w:w="1545" w:type="dxa"/>
            <w:vMerge w:val="restart"/>
            <w:vAlign w:val="center"/>
          </w:tcPr>
          <w:p>
            <w:pPr>
              <w:pStyle w:val="2691"/>
            </w:pPr>
            <w:r>
              <w:t>船舶生活污水</w:t>
            </w:r>
          </w:p>
        </w:tc>
        <w:tc>
          <w:tcPr>
            <w:tcW w:w="1393" w:type="dxa"/>
            <w:vMerge w:val="restart"/>
            <w:vAlign w:val="center"/>
          </w:tcPr>
          <w:p>
            <w:pPr>
              <w:pStyle w:val="2691"/>
            </w:pPr>
            <w:r>
              <w:t>806.4 m</w:t>
            </w:r>
            <w:r>
              <w:rPr>
                <w:vertAlign w:val="superscript"/>
              </w:rPr>
              <w:t>3</w:t>
            </w:r>
          </w:p>
        </w:tc>
        <w:tc>
          <w:tcPr>
            <w:tcW w:w="1203" w:type="dxa"/>
            <w:vAlign w:val="center"/>
          </w:tcPr>
          <w:p>
            <w:pPr>
              <w:pStyle w:val="2691"/>
            </w:pPr>
            <w:r>
              <w:t>COD</w:t>
            </w:r>
          </w:p>
        </w:tc>
        <w:tc>
          <w:tcPr>
            <w:tcW w:w="1529" w:type="dxa"/>
            <w:vAlign w:val="center"/>
          </w:tcPr>
          <w:p>
            <w:pPr>
              <w:pStyle w:val="2691"/>
            </w:pPr>
            <w:r>
              <w:t>400</w:t>
            </w:r>
          </w:p>
        </w:tc>
        <w:tc>
          <w:tcPr>
            <w:tcW w:w="1276" w:type="dxa"/>
            <w:vAlign w:val="center"/>
          </w:tcPr>
          <w:p>
            <w:pPr>
              <w:pStyle w:val="2691"/>
            </w:pPr>
            <w:r>
              <w:t>322.56</w:t>
            </w:r>
          </w:p>
        </w:tc>
        <w:tc>
          <w:tcPr>
            <w:tcW w:w="1276"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4" w:type="dxa"/>
            <w:vMerge w:val="continue"/>
            <w:vAlign w:val="center"/>
          </w:tcPr>
          <w:p>
            <w:pPr>
              <w:pStyle w:val="2691"/>
            </w:pPr>
          </w:p>
        </w:tc>
        <w:tc>
          <w:tcPr>
            <w:tcW w:w="1545" w:type="dxa"/>
            <w:vMerge w:val="continue"/>
            <w:vAlign w:val="center"/>
          </w:tcPr>
          <w:p>
            <w:pPr>
              <w:pStyle w:val="2691"/>
            </w:pPr>
          </w:p>
        </w:tc>
        <w:tc>
          <w:tcPr>
            <w:tcW w:w="1393" w:type="dxa"/>
            <w:vMerge w:val="continue"/>
            <w:vAlign w:val="center"/>
          </w:tcPr>
          <w:p>
            <w:pPr>
              <w:pStyle w:val="2691"/>
            </w:pPr>
          </w:p>
        </w:tc>
        <w:tc>
          <w:tcPr>
            <w:tcW w:w="1203" w:type="dxa"/>
            <w:vAlign w:val="center"/>
          </w:tcPr>
          <w:p>
            <w:pPr>
              <w:pStyle w:val="2691"/>
            </w:pPr>
            <w:r>
              <w:t>BOD</w:t>
            </w:r>
            <w:r>
              <w:rPr>
                <w:vertAlign w:val="subscript"/>
              </w:rPr>
              <w:t>5</w:t>
            </w:r>
          </w:p>
        </w:tc>
        <w:tc>
          <w:tcPr>
            <w:tcW w:w="1529" w:type="dxa"/>
            <w:vAlign w:val="center"/>
          </w:tcPr>
          <w:p>
            <w:pPr>
              <w:pStyle w:val="2691"/>
            </w:pPr>
            <w:r>
              <w:t>200</w:t>
            </w:r>
          </w:p>
        </w:tc>
        <w:tc>
          <w:tcPr>
            <w:tcW w:w="1276" w:type="dxa"/>
            <w:vAlign w:val="center"/>
          </w:tcPr>
          <w:p>
            <w:pPr>
              <w:pStyle w:val="2691"/>
            </w:pPr>
            <w:r>
              <w:t>161.28</w:t>
            </w:r>
          </w:p>
        </w:tc>
        <w:tc>
          <w:tcPr>
            <w:tcW w:w="1276"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4" w:type="dxa"/>
            <w:vMerge w:val="continue"/>
            <w:vAlign w:val="center"/>
          </w:tcPr>
          <w:p>
            <w:pPr>
              <w:pStyle w:val="2691"/>
            </w:pPr>
          </w:p>
        </w:tc>
        <w:tc>
          <w:tcPr>
            <w:tcW w:w="1545" w:type="dxa"/>
            <w:vMerge w:val="continue"/>
            <w:vAlign w:val="center"/>
          </w:tcPr>
          <w:p>
            <w:pPr>
              <w:pStyle w:val="2691"/>
            </w:pPr>
          </w:p>
        </w:tc>
        <w:tc>
          <w:tcPr>
            <w:tcW w:w="1393" w:type="dxa"/>
            <w:vMerge w:val="continue"/>
            <w:vAlign w:val="center"/>
          </w:tcPr>
          <w:p>
            <w:pPr>
              <w:pStyle w:val="2691"/>
            </w:pPr>
          </w:p>
        </w:tc>
        <w:tc>
          <w:tcPr>
            <w:tcW w:w="1203" w:type="dxa"/>
            <w:vAlign w:val="center"/>
          </w:tcPr>
          <w:p>
            <w:pPr>
              <w:pStyle w:val="2691"/>
            </w:pPr>
            <w:r>
              <w:t>NH</w:t>
            </w:r>
            <w:r>
              <w:rPr>
                <w:vertAlign w:val="subscript"/>
              </w:rPr>
              <w:t>3</w:t>
            </w:r>
            <w:r>
              <w:t>-N</w:t>
            </w:r>
          </w:p>
        </w:tc>
        <w:tc>
          <w:tcPr>
            <w:tcW w:w="1529" w:type="dxa"/>
            <w:vAlign w:val="center"/>
          </w:tcPr>
          <w:p>
            <w:pPr>
              <w:pStyle w:val="2691"/>
            </w:pPr>
            <w:r>
              <w:t>40</w:t>
            </w:r>
          </w:p>
        </w:tc>
        <w:tc>
          <w:tcPr>
            <w:tcW w:w="1276" w:type="dxa"/>
            <w:vAlign w:val="center"/>
          </w:tcPr>
          <w:p>
            <w:pPr>
              <w:pStyle w:val="2691"/>
            </w:pPr>
            <w:r>
              <w:t>32.256</w:t>
            </w:r>
          </w:p>
        </w:tc>
        <w:tc>
          <w:tcPr>
            <w:tcW w:w="1276"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4" w:type="dxa"/>
            <w:vMerge w:val="continue"/>
            <w:vAlign w:val="center"/>
          </w:tcPr>
          <w:p>
            <w:pPr>
              <w:pStyle w:val="2691"/>
            </w:pPr>
          </w:p>
        </w:tc>
        <w:tc>
          <w:tcPr>
            <w:tcW w:w="1545" w:type="dxa"/>
            <w:vMerge w:val="continue"/>
            <w:vAlign w:val="center"/>
          </w:tcPr>
          <w:p>
            <w:pPr>
              <w:pStyle w:val="2691"/>
            </w:pPr>
          </w:p>
        </w:tc>
        <w:tc>
          <w:tcPr>
            <w:tcW w:w="1393" w:type="dxa"/>
            <w:vMerge w:val="continue"/>
            <w:vAlign w:val="center"/>
          </w:tcPr>
          <w:p>
            <w:pPr>
              <w:pStyle w:val="2691"/>
            </w:pPr>
          </w:p>
        </w:tc>
        <w:tc>
          <w:tcPr>
            <w:tcW w:w="1203" w:type="dxa"/>
            <w:vAlign w:val="center"/>
          </w:tcPr>
          <w:p>
            <w:pPr>
              <w:pStyle w:val="2691"/>
            </w:pPr>
            <w:r>
              <w:t>SS</w:t>
            </w:r>
          </w:p>
        </w:tc>
        <w:tc>
          <w:tcPr>
            <w:tcW w:w="1529" w:type="dxa"/>
            <w:vAlign w:val="center"/>
          </w:tcPr>
          <w:p>
            <w:pPr>
              <w:pStyle w:val="2691"/>
            </w:pPr>
            <w:r>
              <w:t>300</w:t>
            </w:r>
          </w:p>
        </w:tc>
        <w:tc>
          <w:tcPr>
            <w:tcW w:w="1276" w:type="dxa"/>
            <w:vAlign w:val="center"/>
          </w:tcPr>
          <w:p>
            <w:pPr>
              <w:pStyle w:val="2691"/>
            </w:pPr>
            <w:r>
              <w:t>241.92</w:t>
            </w:r>
          </w:p>
        </w:tc>
        <w:tc>
          <w:tcPr>
            <w:tcW w:w="1276" w:type="dxa"/>
            <w:vMerge w:val="continue"/>
            <w:vAlign w:val="center"/>
          </w:tcPr>
          <w:p>
            <w:pPr>
              <w:pStyle w:val="2691"/>
            </w:pPr>
          </w:p>
        </w:tc>
      </w:tr>
    </w:tbl>
    <w:p>
      <w:pPr>
        <w:ind w:firstLine="482"/>
        <w:rPr>
          <w:b/>
          <w:bCs/>
        </w:rPr>
      </w:pPr>
      <w:r>
        <w:rPr>
          <w:b/>
          <w:bCs/>
        </w:rPr>
        <w:t>3、陆域施工人员生活污水</w:t>
      </w:r>
    </w:p>
    <w:p>
      <w:pPr>
        <w:ind w:firstLine="480"/>
      </w:pPr>
      <w:r>
        <w:t>由于施工人员租用附近民宅作为办公休息地点，故陆域施工人员生活用水量取 50L/人•d，污水排放系数取0.8，污染物浓度取COD取400mg/L、BOD</w:t>
      </w:r>
      <w:r>
        <w:rPr>
          <w:vertAlign w:val="subscript"/>
        </w:rPr>
        <w:t>5</w:t>
      </w:r>
      <w:r>
        <w:t>取200mg/L、NH</w:t>
      </w:r>
      <w:r>
        <w:rPr>
          <w:vertAlign w:val="subscript"/>
        </w:rPr>
        <w:t>3</w:t>
      </w:r>
      <w:r>
        <w:t>-N取40mg/L、SS取300mg/L。施工人数约50人</w:t>
      </w:r>
      <w:r>
        <w:rPr>
          <w:rFonts w:hint="eastAsia"/>
          <w:lang w:eastAsia="zh-CN"/>
        </w:rPr>
        <w:t>，</w:t>
      </w:r>
      <w:r>
        <w:rPr>
          <w:rFonts w:hint="eastAsia"/>
          <w:lang w:val="en-US" w:eastAsia="zh-CN"/>
        </w:rPr>
        <w:t>施工人员生活废水依托租用民宅的污水处理系统进行处理，不外排</w:t>
      </w:r>
      <w:r>
        <w:t>。</w:t>
      </w:r>
    </w:p>
    <w:p>
      <w:pPr>
        <w:pStyle w:val="2285"/>
        <w:ind w:left="0"/>
        <w:rPr>
          <w:rFonts w:cs="Times New Roman"/>
          <w:bCs/>
        </w:rPr>
      </w:pPr>
      <w:r>
        <w:rPr>
          <w:rFonts w:cs="Times New Roman"/>
          <w:bCs/>
        </w:rPr>
        <w:t>施工期生活污水污染产生情况表</w:t>
      </w:r>
    </w:p>
    <w:tbl>
      <w:tblPr>
        <w:tblStyle w:val="3596"/>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239"/>
        <w:gridCol w:w="1393"/>
        <w:gridCol w:w="1031"/>
        <w:gridCol w:w="1545"/>
        <w:gridCol w:w="1276"/>
        <w:gridCol w:w="129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39" w:type="dxa"/>
            <w:vAlign w:val="center"/>
          </w:tcPr>
          <w:p>
            <w:pPr>
              <w:pStyle w:val="2691"/>
            </w:pPr>
            <w:r>
              <w:t>来源</w:t>
            </w:r>
          </w:p>
        </w:tc>
        <w:tc>
          <w:tcPr>
            <w:tcW w:w="1393" w:type="dxa"/>
            <w:vAlign w:val="center"/>
          </w:tcPr>
          <w:p>
            <w:pPr>
              <w:pStyle w:val="2691"/>
            </w:pPr>
            <w:r>
              <w:t>污水产生量</w:t>
            </w:r>
          </w:p>
          <w:p>
            <w:pPr>
              <w:pStyle w:val="2691"/>
            </w:pPr>
            <w:r>
              <w:t>（m</w:t>
            </w:r>
            <w:r>
              <w:rPr>
                <w:spacing w:val="-1"/>
                <w:position w:val="7"/>
                <w:sz w:val="14"/>
                <w:szCs w:val="14"/>
              </w:rPr>
              <w:t>3</w:t>
            </w:r>
            <w:r>
              <w:rPr>
                <w:spacing w:val="-1"/>
              </w:rPr>
              <w:t>/d</w:t>
            </w:r>
            <w:r>
              <w:t>）</w:t>
            </w:r>
          </w:p>
        </w:tc>
        <w:tc>
          <w:tcPr>
            <w:tcW w:w="1031" w:type="dxa"/>
            <w:vAlign w:val="center"/>
          </w:tcPr>
          <w:p>
            <w:pPr>
              <w:pStyle w:val="2691"/>
            </w:pPr>
            <w:r>
              <w:t>污染物</w:t>
            </w:r>
          </w:p>
        </w:tc>
        <w:tc>
          <w:tcPr>
            <w:tcW w:w="1545" w:type="dxa"/>
            <w:vAlign w:val="center"/>
          </w:tcPr>
          <w:p>
            <w:pPr>
              <w:pStyle w:val="2691"/>
            </w:pPr>
            <w:r>
              <w:t>污染物产生浓度（mg/L）</w:t>
            </w:r>
          </w:p>
        </w:tc>
        <w:tc>
          <w:tcPr>
            <w:tcW w:w="1276" w:type="dxa"/>
            <w:vAlign w:val="center"/>
          </w:tcPr>
          <w:p>
            <w:pPr>
              <w:pStyle w:val="2691"/>
            </w:pPr>
            <w:r>
              <w:t>污染物产生量（</w:t>
            </w:r>
            <w:r>
              <w:rPr>
                <w:b/>
                <w:bCs/>
              </w:rPr>
              <w:t>kg/d</w:t>
            </w:r>
            <w:r>
              <w:t>）</w:t>
            </w:r>
          </w:p>
        </w:tc>
        <w:tc>
          <w:tcPr>
            <w:tcW w:w="1290" w:type="dxa"/>
            <w:vAlign w:val="center"/>
          </w:tcPr>
          <w:p>
            <w:pPr>
              <w:pStyle w:val="2691"/>
            </w:pPr>
            <w: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39" w:type="dxa"/>
            <w:vMerge w:val="restart"/>
            <w:vAlign w:val="center"/>
          </w:tcPr>
          <w:p>
            <w:pPr>
              <w:pStyle w:val="2691"/>
            </w:pPr>
            <w:r>
              <w:t>施工人员生活污水</w:t>
            </w:r>
          </w:p>
        </w:tc>
        <w:tc>
          <w:tcPr>
            <w:tcW w:w="1393" w:type="dxa"/>
            <w:vMerge w:val="restart"/>
            <w:vAlign w:val="center"/>
          </w:tcPr>
          <w:p>
            <w:pPr>
              <w:pStyle w:val="2691"/>
            </w:pPr>
            <w:r>
              <w:t>2</w:t>
            </w:r>
          </w:p>
        </w:tc>
        <w:tc>
          <w:tcPr>
            <w:tcW w:w="1031" w:type="dxa"/>
            <w:vAlign w:val="center"/>
          </w:tcPr>
          <w:p>
            <w:pPr>
              <w:pStyle w:val="2691"/>
            </w:pPr>
            <w:r>
              <w:t>COD</w:t>
            </w:r>
          </w:p>
        </w:tc>
        <w:tc>
          <w:tcPr>
            <w:tcW w:w="1545" w:type="dxa"/>
            <w:vAlign w:val="center"/>
          </w:tcPr>
          <w:p>
            <w:pPr>
              <w:pStyle w:val="2691"/>
            </w:pPr>
            <w:r>
              <w:t>400</w:t>
            </w:r>
          </w:p>
        </w:tc>
        <w:tc>
          <w:tcPr>
            <w:tcW w:w="1276" w:type="dxa"/>
            <w:vAlign w:val="center"/>
          </w:tcPr>
          <w:p>
            <w:pPr>
              <w:pStyle w:val="2691"/>
            </w:pPr>
            <w:r>
              <w:t>0.8</w:t>
            </w:r>
          </w:p>
        </w:tc>
        <w:tc>
          <w:tcPr>
            <w:tcW w:w="1290" w:type="dxa"/>
            <w:vMerge w:val="restart"/>
            <w:vAlign w:val="center"/>
          </w:tcPr>
          <w:p>
            <w:pPr>
              <w:pStyle w:val="2691"/>
            </w:pPr>
            <w:r>
              <w:t>施工期24个月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39" w:type="dxa"/>
            <w:vMerge w:val="continue"/>
            <w:vAlign w:val="center"/>
          </w:tcPr>
          <w:p>
            <w:pPr>
              <w:pStyle w:val="2691"/>
            </w:pPr>
          </w:p>
        </w:tc>
        <w:tc>
          <w:tcPr>
            <w:tcW w:w="1393" w:type="dxa"/>
            <w:vMerge w:val="continue"/>
            <w:vAlign w:val="center"/>
          </w:tcPr>
          <w:p>
            <w:pPr>
              <w:pStyle w:val="2691"/>
            </w:pPr>
          </w:p>
        </w:tc>
        <w:tc>
          <w:tcPr>
            <w:tcW w:w="1031" w:type="dxa"/>
            <w:vAlign w:val="center"/>
          </w:tcPr>
          <w:p>
            <w:pPr>
              <w:pStyle w:val="2691"/>
            </w:pPr>
            <w:r>
              <w:t>BOD</w:t>
            </w:r>
            <w:r>
              <w:rPr>
                <w:vertAlign w:val="subscript"/>
              </w:rPr>
              <w:t>5</w:t>
            </w:r>
          </w:p>
        </w:tc>
        <w:tc>
          <w:tcPr>
            <w:tcW w:w="1545" w:type="dxa"/>
            <w:vAlign w:val="center"/>
          </w:tcPr>
          <w:p>
            <w:pPr>
              <w:pStyle w:val="2691"/>
            </w:pPr>
            <w:r>
              <w:t>200</w:t>
            </w:r>
          </w:p>
        </w:tc>
        <w:tc>
          <w:tcPr>
            <w:tcW w:w="1276" w:type="dxa"/>
            <w:vAlign w:val="center"/>
          </w:tcPr>
          <w:p>
            <w:pPr>
              <w:pStyle w:val="2691"/>
            </w:pPr>
            <w:r>
              <w:t>0.4</w:t>
            </w:r>
          </w:p>
        </w:tc>
        <w:tc>
          <w:tcPr>
            <w:tcW w:w="1290"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39" w:type="dxa"/>
            <w:vMerge w:val="continue"/>
            <w:vAlign w:val="center"/>
          </w:tcPr>
          <w:p>
            <w:pPr>
              <w:pStyle w:val="2691"/>
            </w:pPr>
          </w:p>
        </w:tc>
        <w:tc>
          <w:tcPr>
            <w:tcW w:w="1393" w:type="dxa"/>
            <w:vMerge w:val="continue"/>
            <w:vAlign w:val="center"/>
          </w:tcPr>
          <w:p>
            <w:pPr>
              <w:pStyle w:val="2691"/>
            </w:pPr>
          </w:p>
        </w:tc>
        <w:tc>
          <w:tcPr>
            <w:tcW w:w="1031" w:type="dxa"/>
            <w:vAlign w:val="center"/>
          </w:tcPr>
          <w:p>
            <w:pPr>
              <w:pStyle w:val="2691"/>
            </w:pPr>
            <w:r>
              <w:t>NH</w:t>
            </w:r>
            <w:r>
              <w:rPr>
                <w:vertAlign w:val="subscript"/>
              </w:rPr>
              <w:t>3</w:t>
            </w:r>
            <w:r>
              <w:t>-N</w:t>
            </w:r>
          </w:p>
        </w:tc>
        <w:tc>
          <w:tcPr>
            <w:tcW w:w="1545" w:type="dxa"/>
            <w:vAlign w:val="center"/>
          </w:tcPr>
          <w:p>
            <w:pPr>
              <w:pStyle w:val="2691"/>
            </w:pPr>
            <w:r>
              <w:t>40</w:t>
            </w:r>
          </w:p>
        </w:tc>
        <w:tc>
          <w:tcPr>
            <w:tcW w:w="1276" w:type="dxa"/>
            <w:vAlign w:val="center"/>
          </w:tcPr>
          <w:p>
            <w:pPr>
              <w:pStyle w:val="2691"/>
            </w:pPr>
            <w:r>
              <w:t>0.08</w:t>
            </w:r>
          </w:p>
        </w:tc>
        <w:tc>
          <w:tcPr>
            <w:tcW w:w="1290"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39" w:type="dxa"/>
            <w:vMerge w:val="continue"/>
            <w:vAlign w:val="center"/>
          </w:tcPr>
          <w:p>
            <w:pPr>
              <w:pStyle w:val="2691"/>
            </w:pPr>
          </w:p>
        </w:tc>
        <w:tc>
          <w:tcPr>
            <w:tcW w:w="1393" w:type="dxa"/>
            <w:vMerge w:val="continue"/>
            <w:vAlign w:val="center"/>
          </w:tcPr>
          <w:p>
            <w:pPr>
              <w:pStyle w:val="2691"/>
            </w:pPr>
          </w:p>
        </w:tc>
        <w:tc>
          <w:tcPr>
            <w:tcW w:w="1031" w:type="dxa"/>
            <w:vAlign w:val="center"/>
          </w:tcPr>
          <w:p>
            <w:pPr>
              <w:pStyle w:val="2691"/>
            </w:pPr>
            <w:r>
              <w:t>SS</w:t>
            </w:r>
          </w:p>
        </w:tc>
        <w:tc>
          <w:tcPr>
            <w:tcW w:w="1545" w:type="dxa"/>
            <w:vAlign w:val="center"/>
          </w:tcPr>
          <w:p>
            <w:pPr>
              <w:pStyle w:val="2691"/>
            </w:pPr>
            <w:r>
              <w:t>300</w:t>
            </w:r>
          </w:p>
        </w:tc>
        <w:tc>
          <w:tcPr>
            <w:tcW w:w="1276" w:type="dxa"/>
            <w:vAlign w:val="center"/>
          </w:tcPr>
          <w:p>
            <w:pPr>
              <w:pStyle w:val="2691"/>
            </w:pPr>
            <w:r>
              <w:t>0.6</w:t>
            </w:r>
          </w:p>
        </w:tc>
        <w:tc>
          <w:tcPr>
            <w:tcW w:w="1290" w:type="dxa"/>
            <w:vMerge w:val="continue"/>
            <w:vAlign w:val="center"/>
          </w:tcPr>
          <w:p>
            <w:pPr>
              <w:pStyle w:val="2691"/>
            </w:pPr>
          </w:p>
        </w:tc>
      </w:tr>
    </w:tbl>
    <w:p>
      <w:pPr>
        <w:pStyle w:val="456"/>
        <w:ind w:firstLine="482"/>
      </w:pPr>
      <w:r>
        <w:t>废气</w:t>
      </w:r>
    </w:p>
    <w:p>
      <w:pPr>
        <w:ind w:firstLine="480"/>
      </w:pPr>
      <w:r>
        <w:t>本项目施工期使用外购商品混凝土，现场不设拌合站。施工期废气主要是施工扬尘、运输扬尘、临时建筑材料堆场在空气作用下的起尘，此外，还有施工船舶、车辆和机械燃油废气、</w:t>
      </w:r>
      <w:r>
        <w:rPr>
          <w:spacing w:val="-2"/>
        </w:rPr>
        <w:t>淤</w:t>
      </w:r>
      <w:r>
        <w:rPr>
          <w:spacing w:val="-3"/>
        </w:rPr>
        <w:t>泥恶臭</w:t>
      </w:r>
      <w:r>
        <w:t>等。</w:t>
      </w:r>
    </w:p>
    <w:p>
      <w:pPr>
        <w:ind w:firstLine="482"/>
        <w:rPr>
          <w:b/>
          <w:bCs/>
        </w:rPr>
      </w:pPr>
      <w:r>
        <w:rPr>
          <w:b/>
          <w:bCs/>
        </w:rPr>
        <w:t>1、施工扬尘</w:t>
      </w:r>
    </w:p>
    <w:p>
      <w:pPr>
        <w:ind w:firstLine="480"/>
      </w:pPr>
      <w:r>
        <w:t>码头施工期间原料运输、堆放产生的扬尘是施工期大气污染的主要污染源主要污染物为TSP。根据同类工地现场监测，施工作业场地附近地面粉尘浓度可达 1.5mg/m</w:t>
      </w:r>
      <w:r>
        <w:rPr>
          <w:vertAlign w:val="superscript"/>
        </w:rPr>
        <w:t>3</w:t>
      </w:r>
      <w:r>
        <w:t>~30mg/m</w:t>
      </w:r>
      <w:r>
        <w:rPr>
          <w:vertAlign w:val="superscript"/>
        </w:rPr>
        <w:t>3</w:t>
      </w:r>
      <w:r>
        <w:t>，距离施工现场约 200m 外的 TSP 浓度一般低于 0.5mg/m</w:t>
      </w:r>
      <w:r>
        <w:rPr>
          <w:vertAlign w:val="superscript"/>
        </w:rPr>
        <w:t>3</w:t>
      </w:r>
      <w:r>
        <w:t>。</w:t>
      </w:r>
    </w:p>
    <w:p>
      <w:pPr>
        <w:ind w:firstLine="482"/>
        <w:rPr>
          <w:b/>
          <w:bCs/>
        </w:rPr>
      </w:pPr>
      <w:r>
        <w:rPr>
          <w:b/>
          <w:bCs/>
        </w:rPr>
        <w:t>2、运输扬尘</w:t>
      </w:r>
    </w:p>
    <w:p>
      <w:pPr>
        <w:ind w:firstLine="480"/>
      </w:pPr>
      <w:r>
        <w:t>据有关文献资料介绍，施工车辆行驶产生的施工道路扬尘占总扬尘量的60%以上。车辆行驶产生的扬尘，在完全干燥情况下，可按下列经验公式计算。</w:t>
      </w:r>
    </w:p>
    <w:p>
      <w:pPr>
        <w:kinsoku w:val="0"/>
        <w:overflowPunct w:val="0"/>
        <w:ind w:left="2775" w:right="10607" w:firstLine="480"/>
        <w:rPr>
          <w:sz w:val="20"/>
          <w:szCs w:val="20"/>
        </w:rPr>
      </w:pPr>
      <w:r>
        <w:drawing>
          <wp:inline distT="0" distB="0" distL="0" distR="0">
            <wp:extent cx="2388235" cy="23876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2388235" cy="238760"/>
                    </a:xfrm>
                    <a:prstGeom prst="rect">
                      <a:avLst/>
                    </a:prstGeom>
                    <a:noFill/>
                    <a:ln>
                      <a:noFill/>
                    </a:ln>
                  </pic:spPr>
                </pic:pic>
              </a:graphicData>
            </a:graphic>
          </wp:inline>
        </w:drawing>
      </w:r>
    </w:p>
    <w:p>
      <w:pPr>
        <w:ind w:firstLine="480"/>
      </w:pPr>
      <w:r>
        <w:t>式中：</w:t>
      </w:r>
      <w:r>
        <w:rPr>
          <w:spacing w:val="-1"/>
        </w:rPr>
        <w:t>Q</w:t>
      </w:r>
      <w:r>
        <w:t>——车辆行驶产生的扬尘，kg/k</w:t>
      </w:r>
      <w:r>
        <w:rPr>
          <w:spacing w:val="-2"/>
        </w:rPr>
        <w:t>m</w:t>
      </w:r>
      <w:r>
        <w:t>；</w:t>
      </w:r>
    </w:p>
    <w:p>
      <w:pPr>
        <w:ind w:firstLine="1190" w:firstLineChars="500"/>
      </w:pPr>
      <w:r>
        <w:rPr>
          <w:spacing w:val="-1"/>
        </w:rPr>
        <w:t>V</w:t>
      </w:r>
      <w:r>
        <w:t>——车辆行驶速度，k</w:t>
      </w:r>
      <w:r>
        <w:rPr>
          <w:spacing w:val="-2"/>
        </w:rPr>
        <w:t>m</w:t>
      </w:r>
      <w:r>
        <w:t>/h；</w:t>
      </w:r>
    </w:p>
    <w:p>
      <w:pPr>
        <w:ind w:firstLine="1190" w:firstLineChars="500"/>
        <w:rPr>
          <w:spacing w:val="-1"/>
        </w:rPr>
      </w:pPr>
      <w:r>
        <w:rPr>
          <w:spacing w:val="-1"/>
        </w:rPr>
        <w:t>W——车辆载重量，t；</w:t>
      </w:r>
    </w:p>
    <w:p>
      <w:pPr>
        <w:ind w:firstLine="1190" w:firstLineChars="500"/>
        <w:rPr>
          <w:spacing w:val="-1"/>
        </w:rPr>
      </w:pPr>
      <w:r>
        <w:rPr>
          <w:spacing w:val="-1"/>
        </w:rPr>
        <w:t>P——道路表面粉尘量，kg/m</w:t>
      </w:r>
      <w:r>
        <w:rPr>
          <w:spacing w:val="-1"/>
          <w:vertAlign w:val="superscript"/>
        </w:rPr>
        <w:t>2</w:t>
      </w:r>
      <w:r>
        <w:rPr>
          <w:spacing w:val="-1"/>
        </w:rPr>
        <w:t>。</w:t>
      </w:r>
    </w:p>
    <w:p>
      <w:pPr>
        <w:ind w:firstLine="480"/>
      </w:pPr>
      <w:r>
        <w:t xml:space="preserve">本项目施工现场以单辆车行驶产生的扬尘量计算源强，结果见下表。 </w:t>
      </w:r>
    </w:p>
    <w:p>
      <w:pPr>
        <w:pStyle w:val="2285"/>
        <w:ind w:left="0"/>
        <w:rPr>
          <w:rFonts w:cs="Times New Roman"/>
        </w:rPr>
      </w:pPr>
      <w:r>
        <w:rPr>
          <w:rFonts w:cs="Times New Roman"/>
          <w:bCs/>
        </w:rPr>
        <w:tab/>
      </w:r>
      <w:r>
        <w:rPr>
          <w:rFonts w:cs="Times New Roman"/>
        </w:rPr>
        <w:t>单辆运输</w:t>
      </w:r>
      <w:r>
        <w:rPr>
          <w:rFonts w:hint="eastAsia" w:cs="Times New Roman"/>
        </w:rPr>
        <w:t>车辆</w:t>
      </w:r>
      <w:r>
        <w:rPr>
          <w:rFonts w:cs="Times New Roman"/>
        </w:rPr>
        <w:t>产生的扬尘计算结果表</w:t>
      </w:r>
    </w:p>
    <w:tbl>
      <w:tblPr>
        <w:tblStyle w:val="87"/>
        <w:tblW w:w="0" w:type="auto"/>
        <w:tblInd w:w="152" w:type="dxa"/>
        <w:tblLayout w:type="fixed"/>
        <w:tblCellMar>
          <w:top w:w="0" w:type="dxa"/>
          <w:left w:w="0" w:type="dxa"/>
          <w:bottom w:w="0" w:type="dxa"/>
          <w:right w:w="0" w:type="dxa"/>
        </w:tblCellMar>
      </w:tblPr>
      <w:tblGrid>
        <w:gridCol w:w="1749"/>
        <w:gridCol w:w="1847"/>
        <w:gridCol w:w="1827"/>
        <w:gridCol w:w="1779"/>
        <w:gridCol w:w="1839"/>
      </w:tblGrid>
      <w:tr>
        <w:tblPrEx>
          <w:tblCellMar>
            <w:top w:w="0" w:type="dxa"/>
            <w:left w:w="0" w:type="dxa"/>
            <w:bottom w:w="0" w:type="dxa"/>
            <w:right w:w="0" w:type="dxa"/>
          </w:tblCellMar>
        </w:tblPrEx>
        <w:trPr>
          <w:trHeight w:val="358" w:hRule="exact"/>
        </w:trPr>
        <w:tc>
          <w:tcPr>
            <w:tcW w:w="1749" w:type="dxa"/>
            <w:tcBorders>
              <w:top w:val="single" w:color="000000" w:sz="12" w:space="0"/>
              <w:left w:val="single" w:color="000000" w:sz="12" w:space="0"/>
              <w:bottom w:val="single" w:color="000000" w:sz="4" w:space="0"/>
              <w:right w:val="single" w:color="000000" w:sz="4" w:space="0"/>
            </w:tcBorders>
          </w:tcPr>
          <w:p>
            <w:pPr>
              <w:pStyle w:val="2691"/>
            </w:pPr>
            <w:r>
              <w:t>参数</w:t>
            </w:r>
          </w:p>
        </w:tc>
        <w:tc>
          <w:tcPr>
            <w:tcW w:w="1847" w:type="dxa"/>
            <w:tcBorders>
              <w:top w:val="single" w:color="000000" w:sz="12" w:space="0"/>
              <w:left w:val="single" w:color="000000" w:sz="4" w:space="0"/>
              <w:bottom w:val="single" w:color="000000" w:sz="4" w:space="0"/>
              <w:right w:val="single" w:color="000000" w:sz="4" w:space="0"/>
            </w:tcBorders>
          </w:tcPr>
          <w:p>
            <w:pPr>
              <w:pStyle w:val="2691"/>
            </w:pPr>
            <w:r>
              <w:rPr>
                <w:spacing w:val="-1"/>
              </w:rPr>
              <w:t>Q</w:t>
            </w:r>
            <w:r>
              <w:t>（kg/km）</w:t>
            </w:r>
          </w:p>
        </w:tc>
        <w:tc>
          <w:tcPr>
            <w:tcW w:w="1827" w:type="dxa"/>
            <w:tcBorders>
              <w:top w:val="single" w:color="000000" w:sz="12" w:space="0"/>
              <w:left w:val="single" w:color="000000" w:sz="4" w:space="0"/>
              <w:bottom w:val="single" w:color="000000" w:sz="4" w:space="0"/>
              <w:right w:val="single" w:color="000000" w:sz="4" w:space="0"/>
            </w:tcBorders>
          </w:tcPr>
          <w:p>
            <w:pPr>
              <w:pStyle w:val="2691"/>
            </w:pPr>
            <w:r>
              <w:rPr>
                <w:spacing w:val="-1"/>
              </w:rPr>
              <w:t>V</w:t>
            </w:r>
            <w:r>
              <w:t>（km/</w:t>
            </w:r>
            <w:r>
              <w:rPr>
                <w:spacing w:val="-1"/>
              </w:rPr>
              <w:t>h</w:t>
            </w:r>
            <w:r>
              <w:t>）</w:t>
            </w:r>
          </w:p>
        </w:tc>
        <w:tc>
          <w:tcPr>
            <w:tcW w:w="1779" w:type="dxa"/>
            <w:tcBorders>
              <w:top w:val="single" w:color="000000" w:sz="12" w:space="0"/>
              <w:left w:val="single" w:color="000000" w:sz="4" w:space="0"/>
              <w:bottom w:val="single" w:color="000000" w:sz="4" w:space="0"/>
              <w:right w:val="single" w:color="000000" w:sz="4" w:space="0"/>
            </w:tcBorders>
          </w:tcPr>
          <w:p>
            <w:pPr>
              <w:pStyle w:val="2691"/>
            </w:pPr>
            <w:r>
              <w:rPr>
                <w:b/>
                <w:bCs/>
              </w:rPr>
              <w:t>W</w:t>
            </w:r>
            <w:r>
              <w:t>（</w:t>
            </w:r>
            <w:r>
              <w:rPr>
                <w:b/>
                <w:bCs/>
                <w:spacing w:val="-1"/>
              </w:rPr>
              <w:t>t</w:t>
            </w:r>
            <w:r>
              <w:t>）</w:t>
            </w:r>
          </w:p>
        </w:tc>
        <w:tc>
          <w:tcPr>
            <w:tcW w:w="1839" w:type="dxa"/>
            <w:tcBorders>
              <w:top w:val="single" w:color="000000" w:sz="12" w:space="0"/>
              <w:left w:val="single" w:color="000000" w:sz="4" w:space="0"/>
              <w:bottom w:val="single" w:color="000000" w:sz="4" w:space="0"/>
              <w:right w:val="single" w:color="000000" w:sz="12" w:space="0"/>
            </w:tcBorders>
          </w:tcPr>
          <w:p>
            <w:pPr>
              <w:pStyle w:val="2691"/>
            </w:pPr>
            <w:r>
              <w:t>P（kg/</w:t>
            </w:r>
            <w:r>
              <w:rPr>
                <w:spacing w:val="-1"/>
              </w:rPr>
              <w:t>m</w:t>
            </w:r>
            <w:r>
              <w:rPr>
                <w:position w:val="7"/>
                <w:sz w:val="14"/>
                <w:szCs w:val="14"/>
              </w:rPr>
              <w:t>2</w:t>
            </w:r>
            <w:r>
              <w:t>）</w:t>
            </w:r>
          </w:p>
        </w:tc>
      </w:tr>
      <w:tr>
        <w:tblPrEx>
          <w:tblCellMar>
            <w:top w:w="0" w:type="dxa"/>
            <w:left w:w="0" w:type="dxa"/>
            <w:bottom w:w="0" w:type="dxa"/>
            <w:right w:w="0" w:type="dxa"/>
          </w:tblCellMar>
        </w:tblPrEx>
        <w:trPr>
          <w:trHeight w:val="358" w:hRule="exact"/>
        </w:trPr>
        <w:tc>
          <w:tcPr>
            <w:tcW w:w="1749" w:type="dxa"/>
            <w:tcBorders>
              <w:top w:val="single" w:color="000000" w:sz="4" w:space="0"/>
              <w:left w:val="single" w:color="000000" w:sz="12" w:space="0"/>
              <w:bottom w:val="single" w:color="000000" w:sz="12" w:space="0"/>
              <w:right w:val="single" w:color="000000" w:sz="4" w:space="0"/>
            </w:tcBorders>
          </w:tcPr>
          <w:p>
            <w:pPr>
              <w:pStyle w:val="2691"/>
            </w:pPr>
            <w:r>
              <w:t>计算结果</w:t>
            </w:r>
          </w:p>
        </w:tc>
        <w:tc>
          <w:tcPr>
            <w:tcW w:w="1847" w:type="dxa"/>
            <w:tcBorders>
              <w:top w:val="single" w:color="000000" w:sz="4" w:space="0"/>
              <w:left w:val="single" w:color="000000" w:sz="4" w:space="0"/>
              <w:bottom w:val="single" w:color="000000" w:sz="12" w:space="0"/>
              <w:right w:val="single" w:color="000000" w:sz="4" w:space="0"/>
            </w:tcBorders>
          </w:tcPr>
          <w:p>
            <w:pPr>
              <w:pStyle w:val="2691"/>
            </w:pPr>
            <w:r>
              <w:t>0.287</w:t>
            </w:r>
          </w:p>
        </w:tc>
        <w:tc>
          <w:tcPr>
            <w:tcW w:w="1827" w:type="dxa"/>
            <w:tcBorders>
              <w:top w:val="single" w:color="000000" w:sz="4" w:space="0"/>
              <w:left w:val="single" w:color="000000" w:sz="4" w:space="0"/>
              <w:bottom w:val="single" w:color="000000" w:sz="12" w:space="0"/>
              <w:right w:val="single" w:color="000000" w:sz="4" w:space="0"/>
            </w:tcBorders>
          </w:tcPr>
          <w:p>
            <w:pPr>
              <w:pStyle w:val="2691"/>
            </w:pPr>
            <w:r>
              <w:t>5</w:t>
            </w:r>
          </w:p>
        </w:tc>
        <w:tc>
          <w:tcPr>
            <w:tcW w:w="1779" w:type="dxa"/>
            <w:tcBorders>
              <w:top w:val="single" w:color="000000" w:sz="4" w:space="0"/>
              <w:left w:val="single" w:color="000000" w:sz="4" w:space="0"/>
              <w:bottom w:val="single" w:color="000000" w:sz="12" w:space="0"/>
              <w:right w:val="single" w:color="000000" w:sz="4" w:space="0"/>
            </w:tcBorders>
          </w:tcPr>
          <w:p>
            <w:pPr>
              <w:pStyle w:val="2691"/>
            </w:pPr>
            <w:r>
              <w:t>10</w:t>
            </w:r>
          </w:p>
        </w:tc>
        <w:tc>
          <w:tcPr>
            <w:tcW w:w="1839" w:type="dxa"/>
            <w:tcBorders>
              <w:top w:val="single" w:color="000000" w:sz="4" w:space="0"/>
              <w:left w:val="single" w:color="000000" w:sz="4" w:space="0"/>
              <w:bottom w:val="single" w:color="000000" w:sz="12" w:space="0"/>
              <w:right w:val="single" w:color="000000" w:sz="12" w:space="0"/>
            </w:tcBorders>
          </w:tcPr>
          <w:p>
            <w:pPr>
              <w:pStyle w:val="2691"/>
            </w:pPr>
            <w:r>
              <w:t>1.0</w:t>
            </w:r>
          </w:p>
        </w:tc>
      </w:tr>
    </w:tbl>
    <w:p>
      <w:pPr>
        <w:kinsoku w:val="0"/>
        <w:overflowPunct w:val="0"/>
        <w:spacing w:before="4" w:line="140" w:lineRule="exact"/>
        <w:ind w:firstLine="280"/>
        <w:rPr>
          <w:sz w:val="14"/>
          <w:szCs w:val="14"/>
        </w:rPr>
      </w:pPr>
    </w:p>
    <w:p>
      <w:pPr>
        <w:ind w:firstLine="480"/>
      </w:pPr>
      <w:r>
        <w:t>根据有关资料，一辆 10 吨卡车，通过一段长度为 1km 的路面时，在不同路面清洁程度，不同行驶速度情况下，产生的扬尘量见下表。</w:t>
      </w:r>
    </w:p>
    <w:p>
      <w:pPr>
        <w:pStyle w:val="2285"/>
        <w:ind w:left="0"/>
        <w:rPr>
          <w:rFonts w:cs="Times New Roman"/>
        </w:rPr>
      </w:pPr>
      <w:r>
        <w:rPr>
          <w:rFonts w:cs="Times New Roman"/>
          <w:bCs/>
        </w:rPr>
        <w:tab/>
      </w:r>
      <w:r>
        <w:rPr>
          <w:rFonts w:cs="Times New Roman"/>
        </w:rPr>
        <w:t>不同车速和地面清洁度</w:t>
      </w:r>
      <w:r>
        <w:rPr>
          <w:rFonts w:hint="eastAsia" w:cs="Times New Roman"/>
        </w:rPr>
        <w:t>程度</w:t>
      </w:r>
      <w:r>
        <w:rPr>
          <w:rFonts w:cs="Times New Roman"/>
        </w:rPr>
        <w:t>的车辆扬尘表  单位：kg/辆</w:t>
      </w:r>
      <w:r>
        <w:rPr>
          <w:rFonts w:cs="Times New Roman"/>
          <w:spacing w:val="-2"/>
        </w:rPr>
        <w:t>•</w:t>
      </w:r>
      <w:r>
        <w:rPr>
          <w:rFonts w:cs="Times New Roman"/>
        </w:rPr>
        <w:t>km</w:t>
      </w:r>
    </w:p>
    <w:tbl>
      <w:tblPr>
        <w:tblStyle w:val="87"/>
        <w:tblW w:w="0" w:type="auto"/>
        <w:tblInd w:w="137" w:type="dxa"/>
        <w:tblLayout w:type="fixed"/>
        <w:tblCellMar>
          <w:top w:w="0" w:type="dxa"/>
          <w:left w:w="0" w:type="dxa"/>
          <w:bottom w:w="0" w:type="dxa"/>
          <w:right w:w="0" w:type="dxa"/>
        </w:tblCellMar>
      </w:tblPr>
      <w:tblGrid>
        <w:gridCol w:w="1969"/>
        <w:gridCol w:w="1183"/>
        <w:gridCol w:w="1186"/>
        <w:gridCol w:w="1184"/>
        <w:gridCol w:w="1184"/>
        <w:gridCol w:w="1186"/>
        <w:gridCol w:w="1179"/>
      </w:tblGrid>
      <w:tr>
        <w:tblPrEx>
          <w:tblCellMar>
            <w:top w:w="0" w:type="dxa"/>
            <w:left w:w="0" w:type="dxa"/>
            <w:bottom w:w="0" w:type="dxa"/>
            <w:right w:w="0" w:type="dxa"/>
          </w:tblCellMar>
        </w:tblPrEx>
        <w:trPr>
          <w:trHeight w:val="565" w:hRule="exact"/>
        </w:trPr>
        <w:tc>
          <w:tcPr>
            <w:tcW w:w="1969" w:type="dxa"/>
            <w:tcBorders>
              <w:top w:val="single" w:color="000000" w:sz="12" w:space="0"/>
              <w:left w:val="single" w:color="000000" w:sz="12" w:space="0"/>
              <w:bottom w:val="single" w:color="000000" w:sz="4" w:space="0"/>
              <w:right w:val="single" w:color="000000" w:sz="4" w:space="0"/>
            </w:tcBorders>
          </w:tcPr>
          <w:p>
            <w:pPr>
              <w:tabs>
                <w:tab w:val="clear" w:pos="480"/>
              </w:tabs>
              <w:kinsoku w:val="0"/>
              <w:overflowPunct w:val="0"/>
              <w:autoSpaceDE w:val="0"/>
              <w:autoSpaceDN w:val="0"/>
              <w:adjustRightInd w:val="0"/>
              <w:spacing w:line="254" w:lineRule="exact"/>
              <w:ind w:left="771" w:firstLine="0" w:firstLineChars="0"/>
              <w:jc w:val="right"/>
              <w:rPr>
                <w:kern w:val="0"/>
                <w:sz w:val="21"/>
                <w:szCs w:val="21"/>
              </w:rPr>
            </w:pPr>
            <w:r>
              <w:rPr>
                <w:b/>
                <w:bCs/>
                <w:kern w:val="0"/>
                <w:sz w:val="21"/>
                <w:szCs w:val="21"/>
              </w:rPr>
              <w:t>P</w:t>
            </w:r>
            <w:r>
              <w:rPr>
                <w:spacing w:val="1"/>
                <w:kern w:val="0"/>
                <w:sz w:val="21"/>
                <w:szCs w:val="21"/>
              </w:rPr>
              <w:t>（</w:t>
            </w:r>
            <w:r>
              <w:rPr>
                <w:b/>
                <w:bCs/>
                <w:kern w:val="0"/>
                <w:sz w:val="21"/>
                <w:szCs w:val="21"/>
              </w:rPr>
              <w:t>kg/</w:t>
            </w:r>
            <w:r>
              <w:rPr>
                <w:b/>
                <w:bCs/>
                <w:spacing w:val="-1"/>
                <w:kern w:val="0"/>
                <w:sz w:val="21"/>
                <w:szCs w:val="21"/>
              </w:rPr>
              <w:t>m</w:t>
            </w:r>
            <w:r>
              <w:rPr>
                <w:b/>
                <w:bCs/>
                <w:kern w:val="0"/>
                <w:position w:val="7"/>
                <w:sz w:val="14"/>
                <w:szCs w:val="14"/>
              </w:rPr>
              <w:t>2</w:t>
            </w:r>
            <w:r>
              <w:rPr>
                <w:kern w:val="0"/>
                <w:sz w:val="21"/>
                <w:szCs w:val="21"/>
              </w:rPr>
              <w:t>）</w:t>
            </w:r>
          </w:p>
          <w:p>
            <w:pPr>
              <w:tabs>
                <w:tab w:val="clear" w:pos="480"/>
              </w:tabs>
              <w:kinsoku w:val="0"/>
              <w:overflowPunct w:val="0"/>
              <w:autoSpaceDE w:val="0"/>
              <w:autoSpaceDN w:val="0"/>
              <w:adjustRightInd w:val="0"/>
              <w:spacing w:line="272" w:lineRule="exact"/>
              <w:ind w:firstLine="0" w:firstLineChars="0"/>
              <w:rPr>
                <w:kern w:val="0"/>
              </w:rPr>
            </w:pPr>
            <w:r>
              <w:rPr>
                <w:spacing w:val="1"/>
                <w:kern w:val="0"/>
                <w:sz w:val="21"/>
                <w:szCs w:val="21"/>
              </w:rPr>
              <w:t>车速</w:t>
            </w:r>
            <w:r>
              <w:rPr>
                <w:b/>
                <w:bCs/>
                <w:kern w:val="0"/>
                <w:sz w:val="21"/>
                <w:szCs w:val="21"/>
              </w:rPr>
              <w:t>km/h</w:t>
            </w:r>
          </w:p>
        </w:tc>
        <w:tc>
          <w:tcPr>
            <w:tcW w:w="1183" w:type="dxa"/>
            <w:tcBorders>
              <w:top w:val="single" w:color="000000" w:sz="12"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10" w:line="140" w:lineRule="exact"/>
              <w:ind w:firstLine="0" w:firstLineChars="0"/>
              <w:jc w:val="left"/>
              <w:rPr>
                <w:kern w:val="0"/>
                <w:sz w:val="14"/>
                <w:szCs w:val="14"/>
              </w:rPr>
            </w:pPr>
          </w:p>
          <w:p>
            <w:pPr>
              <w:tabs>
                <w:tab w:val="clear" w:pos="480"/>
              </w:tabs>
              <w:kinsoku w:val="0"/>
              <w:overflowPunct w:val="0"/>
              <w:autoSpaceDE w:val="0"/>
              <w:autoSpaceDN w:val="0"/>
              <w:adjustRightInd w:val="0"/>
              <w:spacing w:line="240" w:lineRule="auto"/>
              <w:ind w:firstLine="0" w:firstLineChars="0"/>
              <w:jc w:val="center"/>
              <w:rPr>
                <w:kern w:val="0"/>
              </w:rPr>
            </w:pPr>
            <w:r>
              <w:rPr>
                <w:b/>
                <w:bCs/>
                <w:kern w:val="0"/>
                <w:sz w:val="21"/>
                <w:szCs w:val="21"/>
              </w:rPr>
              <w:t>0.1</w:t>
            </w:r>
          </w:p>
        </w:tc>
        <w:tc>
          <w:tcPr>
            <w:tcW w:w="1186" w:type="dxa"/>
            <w:tcBorders>
              <w:top w:val="single" w:color="000000" w:sz="12"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10" w:line="140" w:lineRule="exact"/>
              <w:ind w:firstLine="0" w:firstLineChars="0"/>
              <w:jc w:val="left"/>
              <w:rPr>
                <w:kern w:val="0"/>
                <w:sz w:val="14"/>
                <w:szCs w:val="14"/>
              </w:rPr>
            </w:pPr>
          </w:p>
          <w:p>
            <w:pPr>
              <w:tabs>
                <w:tab w:val="clear" w:pos="480"/>
              </w:tabs>
              <w:kinsoku w:val="0"/>
              <w:overflowPunct w:val="0"/>
              <w:autoSpaceDE w:val="0"/>
              <w:autoSpaceDN w:val="0"/>
              <w:adjustRightInd w:val="0"/>
              <w:spacing w:line="240" w:lineRule="auto"/>
              <w:ind w:firstLine="0" w:firstLineChars="0"/>
              <w:jc w:val="center"/>
              <w:rPr>
                <w:kern w:val="0"/>
              </w:rPr>
            </w:pPr>
            <w:r>
              <w:rPr>
                <w:b/>
                <w:bCs/>
                <w:kern w:val="0"/>
                <w:sz w:val="21"/>
                <w:szCs w:val="21"/>
              </w:rPr>
              <w:t>0.2</w:t>
            </w:r>
          </w:p>
        </w:tc>
        <w:tc>
          <w:tcPr>
            <w:tcW w:w="1184" w:type="dxa"/>
            <w:tcBorders>
              <w:top w:val="single" w:color="000000" w:sz="12"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10" w:line="140" w:lineRule="exact"/>
              <w:ind w:firstLine="0" w:firstLineChars="0"/>
              <w:jc w:val="left"/>
              <w:rPr>
                <w:kern w:val="0"/>
                <w:sz w:val="14"/>
                <w:szCs w:val="14"/>
              </w:rPr>
            </w:pPr>
          </w:p>
          <w:p>
            <w:pPr>
              <w:tabs>
                <w:tab w:val="clear" w:pos="480"/>
              </w:tabs>
              <w:kinsoku w:val="0"/>
              <w:overflowPunct w:val="0"/>
              <w:autoSpaceDE w:val="0"/>
              <w:autoSpaceDN w:val="0"/>
              <w:adjustRightInd w:val="0"/>
              <w:spacing w:line="240" w:lineRule="auto"/>
              <w:ind w:firstLine="0" w:firstLineChars="0"/>
              <w:jc w:val="center"/>
              <w:rPr>
                <w:kern w:val="0"/>
              </w:rPr>
            </w:pPr>
            <w:r>
              <w:rPr>
                <w:b/>
                <w:bCs/>
                <w:kern w:val="0"/>
                <w:sz w:val="21"/>
                <w:szCs w:val="21"/>
              </w:rPr>
              <w:t>0.3</w:t>
            </w:r>
          </w:p>
        </w:tc>
        <w:tc>
          <w:tcPr>
            <w:tcW w:w="1184" w:type="dxa"/>
            <w:tcBorders>
              <w:top w:val="single" w:color="000000" w:sz="12"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10" w:line="140" w:lineRule="exact"/>
              <w:ind w:firstLine="0" w:firstLineChars="0"/>
              <w:jc w:val="left"/>
              <w:rPr>
                <w:kern w:val="0"/>
                <w:sz w:val="14"/>
                <w:szCs w:val="14"/>
              </w:rPr>
            </w:pPr>
          </w:p>
          <w:p>
            <w:pPr>
              <w:tabs>
                <w:tab w:val="clear" w:pos="480"/>
              </w:tabs>
              <w:kinsoku w:val="0"/>
              <w:overflowPunct w:val="0"/>
              <w:autoSpaceDE w:val="0"/>
              <w:autoSpaceDN w:val="0"/>
              <w:adjustRightInd w:val="0"/>
              <w:spacing w:line="240" w:lineRule="auto"/>
              <w:ind w:firstLine="0" w:firstLineChars="0"/>
              <w:jc w:val="center"/>
              <w:rPr>
                <w:kern w:val="0"/>
              </w:rPr>
            </w:pPr>
            <w:r>
              <w:rPr>
                <w:b/>
                <w:bCs/>
                <w:kern w:val="0"/>
                <w:sz w:val="21"/>
                <w:szCs w:val="21"/>
              </w:rPr>
              <w:t>0.4</w:t>
            </w:r>
          </w:p>
        </w:tc>
        <w:tc>
          <w:tcPr>
            <w:tcW w:w="1186" w:type="dxa"/>
            <w:tcBorders>
              <w:top w:val="single" w:color="000000" w:sz="12"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10" w:line="140" w:lineRule="exact"/>
              <w:ind w:firstLine="0" w:firstLineChars="0"/>
              <w:jc w:val="left"/>
              <w:rPr>
                <w:kern w:val="0"/>
                <w:sz w:val="14"/>
                <w:szCs w:val="14"/>
              </w:rPr>
            </w:pPr>
          </w:p>
          <w:p>
            <w:pPr>
              <w:tabs>
                <w:tab w:val="clear" w:pos="480"/>
              </w:tabs>
              <w:kinsoku w:val="0"/>
              <w:overflowPunct w:val="0"/>
              <w:autoSpaceDE w:val="0"/>
              <w:autoSpaceDN w:val="0"/>
              <w:adjustRightInd w:val="0"/>
              <w:spacing w:line="240" w:lineRule="auto"/>
              <w:ind w:firstLine="0" w:firstLineChars="0"/>
              <w:jc w:val="center"/>
              <w:rPr>
                <w:kern w:val="0"/>
              </w:rPr>
            </w:pPr>
            <w:r>
              <w:rPr>
                <w:b/>
                <w:bCs/>
                <w:kern w:val="0"/>
                <w:sz w:val="21"/>
                <w:szCs w:val="21"/>
              </w:rPr>
              <w:t>0.5</w:t>
            </w:r>
          </w:p>
        </w:tc>
        <w:tc>
          <w:tcPr>
            <w:tcW w:w="1179" w:type="dxa"/>
            <w:tcBorders>
              <w:top w:val="single" w:color="000000" w:sz="12" w:space="0"/>
              <w:left w:val="single" w:color="000000" w:sz="4" w:space="0"/>
              <w:bottom w:val="single" w:color="000000" w:sz="4" w:space="0"/>
              <w:right w:val="single" w:color="000000" w:sz="12" w:space="0"/>
            </w:tcBorders>
          </w:tcPr>
          <w:p>
            <w:pPr>
              <w:tabs>
                <w:tab w:val="clear" w:pos="480"/>
              </w:tabs>
              <w:kinsoku w:val="0"/>
              <w:overflowPunct w:val="0"/>
              <w:autoSpaceDE w:val="0"/>
              <w:autoSpaceDN w:val="0"/>
              <w:adjustRightInd w:val="0"/>
              <w:spacing w:before="10" w:line="140" w:lineRule="exact"/>
              <w:ind w:firstLine="0" w:firstLineChars="0"/>
              <w:jc w:val="left"/>
              <w:rPr>
                <w:kern w:val="0"/>
                <w:sz w:val="14"/>
                <w:szCs w:val="14"/>
              </w:rPr>
            </w:pPr>
          </w:p>
          <w:p>
            <w:pPr>
              <w:tabs>
                <w:tab w:val="clear" w:pos="480"/>
              </w:tabs>
              <w:kinsoku w:val="0"/>
              <w:overflowPunct w:val="0"/>
              <w:autoSpaceDE w:val="0"/>
              <w:autoSpaceDN w:val="0"/>
              <w:adjustRightInd w:val="0"/>
              <w:spacing w:line="240" w:lineRule="auto"/>
              <w:ind w:left="11" w:firstLine="0" w:firstLineChars="0"/>
              <w:jc w:val="center"/>
              <w:rPr>
                <w:kern w:val="0"/>
              </w:rPr>
            </w:pPr>
            <w:r>
              <w:rPr>
                <w:b/>
                <w:bCs/>
                <w:kern w:val="0"/>
                <w:sz w:val="21"/>
                <w:szCs w:val="21"/>
              </w:rPr>
              <w:t>1.0</w:t>
            </w:r>
          </w:p>
        </w:tc>
      </w:tr>
      <w:tr>
        <w:tblPrEx>
          <w:tblCellMar>
            <w:top w:w="0" w:type="dxa"/>
            <w:left w:w="0" w:type="dxa"/>
            <w:bottom w:w="0" w:type="dxa"/>
            <w:right w:w="0" w:type="dxa"/>
          </w:tblCellMar>
        </w:tblPrEx>
        <w:trPr>
          <w:trHeight w:val="351" w:hRule="exact"/>
        </w:trPr>
        <w:tc>
          <w:tcPr>
            <w:tcW w:w="1969" w:type="dxa"/>
            <w:tcBorders>
              <w:top w:val="single" w:color="000000" w:sz="4" w:space="0"/>
              <w:left w:val="single" w:color="000000" w:sz="12" w:space="0"/>
              <w:bottom w:val="single" w:color="000000" w:sz="4" w:space="0"/>
              <w:right w:val="single" w:color="000000" w:sz="4" w:space="0"/>
            </w:tcBorders>
          </w:tcPr>
          <w:p>
            <w:pPr>
              <w:tabs>
                <w:tab w:val="clear" w:pos="480"/>
              </w:tabs>
              <w:kinsoku w:val="0"/>
              <w:overflowPunct w:val="0"/>
              <w:autoSpaceDE w:val="0"/>
              <w:autoSpaceDN w:val="0"/>
              <w:adjustRightInd w:val="0"/>
              <w:spacing w:before="46" w:line="240" w:lineRule="auto"/>
              <w:ind w:right="7" w:firstLine="0" w:firstLineChars="0"/>
              <w:jc w:val="center"/>
              <w:rPr>
                <w:kern w:val="0"/>
              </w:rPr>
            </w:pPr>
            <w:r>
              <w:rPr>
                <w:kern w:val="0"/>
                <w:sz w:val="21"/>
                <w:szCs w:val="21"/>
              </w:rPr>
              <w:t>5</w:t>
            </w:r>
          </w:p>
        </w:tc>
        <w:tc>
          <w:tcPr>
            <w:tcW w:w="1183" w:type="dxa"/>
            <w:tcBorders>
              <w:top w:val="single" w:color="000000" w:sz="4"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46" w:line="240" w:lineRule="auto"/>
              <w:ind w:left="296" w:firstLine="0" w:firstLineChars="0"/>
              <w:jc w:val="left"/>
              <w:rPr>
                <w:kern w:val="0"/>
              </w:rPr>
            </w:pPr>
            <w:r>
              <w:rPr>
                <w:kern w:val="0"/>
                <w:sz w:val="21"/>
                <w:szCs w:val="21"/>
              </w:rPr>
              <w:t>0.0510</w:t>
            </w:r>
          </w:p>
        </w:tc>
        <w:tc>
          <w:tcPr>
            <w:tcW w:w="1186" w:type="dxa"/>
            <w:tcBorders>
              <w:top w:val="single" w:color="000000" w:sz="4"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46" w:line="240" w:lineRule="auto"/>
              <w:ind w:left="298" w:firstLine="0" w:firstLineChars="0"/>
              <w:jc w:val="left"/>
              <w:rPr>
                <w:kern w:val="0"/>
              </w:rPr>
            </w:pPr>
            <w:r>
              <w:rPr>
                <w:kern w:val="0"/>
                <w:sz w:val="21"/>
                <w:szCs w:val="21"/>
              </w:rPr>
              <w:t>0.0859</w:t>
            </w:r>
          </w:p>
        </w:tc>
        <w:tc>
          <w:tcPr>
            <w:tcW w:w="1184" w:type="dxa"/>
            <w:tcBorders>
              <w:top w:val="single" w:color="000000" w:sz="4"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46" w:line="240" w:lineRule="auto"/>
              <w:ind w:left="297" w:firstLine="0" w:firstLineChars="0"/>
              <w:jc w:val="left"/>
              <w:rPr>
                <w:kern w:val="0"/>
              </w:rPr>
            </w:pPr>
            <w:r>
              <w:rPr>
                <w:kern w:val="0"/>
                <w:sz w:val="21"/>
                <w:szCs w:val="21"/>
              </w:rPr>
              <w:t>0.1164</w:t>
            </w:r>
          </w:p>
        </w:tc>
        <w:tc>
          <w:tcPr>
            <w:tcW w:w="1184" w:type="dxa"/>
            <w:tcBorders>
              <w:top w:val="single" w:color="000000" w:sz="4"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46" w:line="240" w:lineRule="auto"/>
              <w:ind w:left="296" w:firstLine="0" w:firstLineChars="0"/>
              <w:jc w:val="left"/>
              <w:rPr>
                <w:kern w:val="0"/>
              </w:rPr>
            </w:pPr>
            <w:r>
              <w:rPr>
                <w:kern w:val="0"/>
                <w:sz w:val="21"/>
                <w:szCs w:val="21"/>
              </w:rPr>
              <w:t>0.1444</w:t>
            </w:r>
          </w:p>
        </w:tc>
        <w:tc>
          <w:tcPr>
            <w:tcW w:w="1186" w:type="dxa"/>
            <w:tcBorders>
              <w:top w:val="single" w:color="000000" w:sz="4"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46" w:line="240" w:lineRule="auto"/>
              <w:ind w:left="297" w:firstLine="0" w:firstLineChars="0"/>
              <w:jc w:val="left"/>
              <w:rPr>
                <w:kern w:val="0"/>
              </w:rPr>
            </w:pPr>
            <w:r>
              <w:rPr>
                <w:kern w:val="0"/>
                <w:sz w:val="21"/>
                <w:szCs w:val="21"/>
              </w:rPr>
              <w:t>0.1707</w:t>
            </w:r>
          </w:p>
        </w:tc>
        <w:tc>
          <w:tcPr>
            <w:tcW w:w="1179" w:type="dxa"/>
            <w:tcBorders>
              <w:top w:val="single" w:color="000000" w:sz="4" w:space="0"/>
              <w:left w:val="single" w:color="000000" w:sz="4" w:space="0"/>
              <w:bottom w:val="single" w:color="000000" w:sz="4" w:space="0"/>
              <w:right w:val="single" w:color="000000" w:sz="12" w:space="0"/>
            </w:tcBorders>
          </w:tcPr>
          <w:p>
            <w:pPr>
              <w:tabs>
                <w:tab w:val="clear" w:pos="480"/>
              </w:tabs>
              <w:kinsoku w:val="0"/>
              <w:overflowPunct w:val="0"/>
              <w:autoSpaceDE w:val="0"/>
              <w:autoSpaceDN w:val="0"/>
              <w:adjustRightInd w:val="0"/>
              <w:spacing w:before="46" w:line="240" w:lineRule="auto"/>
              <w:ind w:left="295" w:firstLine="0" w:firstLineChars="0"/>
              <w:jc w:val="left"/>
              <w:rPr>
                <w:kern w:val="0"/>
              </w:rPr>
            </w:pPr>
            <w:r>
              <w:rPr>
                <w:kern w:val="0"/>
                <w:sz w:val="21"/>
                <w:szCs w:val="21"/>
              </w:rPr>
              <w:t>0.2871</w:t>
            </w:r>
          </w:p>
        </w:tc>
      </w:tr>
      <w:tr>
        <w:tblPrEx>
          <w:tblCellMar>
            <w:top w:w="0" w:type="dxa"/>
            <w:left w:w="0" w:type="dxa"/>
            <w:bottom w:w="0" w:type="dxa"/>
            <w:right w:w="0" w:type="dxa"/>
          </w:tblCellMar>
        </w:tblPrEx>
        <w:trPr>
          <w:trHeight w:val="349" w:hRule="exact"/>
        </w:trPr>
        <w:tc>
          <w:tcPr>
            <w:tcW w:w="1969" w:type="dxa"/>
            <w:tcBorders>
              <w:top w:val="single" w:color="000000" w:sz="4" w:space="0"/>
              <w:left w:val="single" w:color="000000" w:sz="12" w:space="0"/>
              <w:bottom w:val="single" w:color="000000" w:sz="4" w:space="0"/>
              <w:right w:val="single" w:color="000000" w:sz="4" w:space="0"/>
            </w:tcBorders>
          </w:tcPr>
          <w:p>
            <w:pPr>
              <w:tabs>
                <w:tab w:val="clear" w:pos="480"/>
              </w:tabs>
              <w:kinsoku w:val="0"/>
              <w:overflowPunct w:val="0"/>
              <w:autoSpaceDE w:val="0"/>
              <w:autoSpaceDN w:val="0"/>
              <w:adjustRightInd w:val="0"/>
              <w:spacing w:before="46" w:line="240" w:lineRule="auto"/>
              <w:ind w:left="846" w:right="852" w:firstLine="0" w:firstLineChars="0"/>
              <w:jc w:val="center"/>
              <w:rPr>
                <w:kern w:val="0"/>
              </w:rPr>
            </w:pPr>
            <w:r>
              <w:rPr>
                <w:kern w:val="0"/>
                <w:sz w:val="21"/>
                <w:szCs w:val="21"/>
              </w:rPr>
              <w:t>10</w:t>
            </w:r>
          </w:p>
        </w:tc>
        <w:tc>
          <w:tcPr>
            <w:tcW w:w="1183" w:type="dxa"/>
            <w:tcBorders>
              <w:top w:val="single" w:color="000000" w:sz="4"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46" w:line="240" w:lineRule="auto"/>
              <w:ind w:left="296" w:firstLine="0" w:firstLineChars="0"/>
              <w:jc w:val="left"/>
              <w:rPr>
                <w:kern w:val="0"/>
              </w:rPr>
            </w:pPr>
            <w:r>
              <w:rPr>
                <w:kern w:val="0"/>
                <w:sz w:val="21"/>
                <w:szCs w:val="21"/>
              </w:rPr>
              <w:t>0.1021</w:t>
            </w:r>
          </w:p>
        </w:tc>
        <w:tc>
          <w:tcPr>
            <w:tcW w:w="1186" w:type="dxa"/>
            <w:tcBorders>
              <w:top w:val="single" w:color="000000" w:sz="4"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46" w:line="240" w:lineRule="auto"/>
              <w:ind w:left="298" w:firstLine="0" w:firstLineChars="0"/>
              <w:jc w:val="left"/>
              <w:rPr>
                <w:kern w:val="0"/>
              </w:rPr>
            </w:pPr>
            <w:r>
              <w:rPr>
                <w:kern w:val="0"/>
                <w:sz w:val="21"/>
                <w:szCs w:val="21"/>
              </w:rPr>
              <w:t>0.1717</w:t>
            </w:r>
          </w:p>
        </w:tc>
        <w:tc>
          <w:tcPr>
            <w:tcW w:w="1184" w:type="dxa"/>
            <w:tcBorders>
              <w:top w:val="single" w:color="000000" w:sz="4"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46" w:line="240" w:lineRule="auto"/>
              <w:ind w:left="297" w:firstLine="0" w:firstLineChars="0"/>
              <w:jc w:val="left"/>
              <w:rPr>
                <w:kern w:val="0"/>
              </w:rPr>
            </w:pPr>
            <w:r>
              <w:rPr>
                <w:kern w:val="0"/>
                <w:sz w:val="21"/>
                <w:szCs w:val="21"/>
              </w:rPr>
              <w:t>0.2328</w:t>
            </w:r>
          </w:p>
        </w:tc>
        <w:tc>
          <w:tcPr>
            <w:tcW w:w="1184" w:type="dxa"/>
            <w:tcBorders>
              <w:top w:val="single" w:color="000000" w:sz="4"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46" w:line="240" w:lineRule="auto"/>
              <w:ind w:left="296" w:firstLine="0" w:firstLineChars="0"/>
              <w:jc w:val="left"/>
              <w:rPr>
                <w:kern w:val="0"/>
              </w:rPr>
            </w:pPr>
            <w:r>
              <w:rPr>
                <w:kern w:val="0"/>
                <w:sz w:val="21"/>
                <w:szCs w:val="21"/>
              </w:rPr>
              <w:t>0.2888</w:t>
            </w:r>
          </w:p>
        </w:tc>
        <w:tc>
          <w:tcPr>
            <w:tcW w:w="1186" w:type="dxa"/>
            <w:tcBorders>
              <w:top w:val="single" w:color="000000" w:sz="4"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46" w:line="240" w:lineRule="auto"/>
              <w:ind w:left="297" w:firstLine="0" w:firstLineChars="0"/>
              <w:jc w:val="left"/>
              <w:rPr>
                <w:kern w:val="0"/>
              </w:rPr>
            </w:pPr>
            <w:r>
              <w:rPr>
                <w:kern w:val="0"/>
                <w:sz w:val="21"/>
                <w:szCs w:val="21"/>
              </w:rPr>
              <w:t>0.3414</w:t>
            </w:r>
          </w:p>
        </w:tc>
        <w:tc>
          <w:tcPr>
            <w:tcW w:w="1179" w:type="dxa"/>
            <w:tcBorders>
              <w:top w:val="single" w:color="000000" w:sz="4" w:space="0"/>
              <w:left w:val="single" w:color="000000" w:sz="4" w:space="0"/>
              <w:bottom w:val="single" w:color="000000" w:sz="4" w:space="0"/>
              <w:right w:val="single" w:color="000000" w:sz="12" w:space="0"/>
            </w:tcBorders>
          </w:tcPr>
          <w:p>
            <w:pPr>
              <w:tabs>
                <w:tab w:val="clear" w:pos="480"/>
              </w:tabs>
              <w:kinsoku w:val="0"/>
              <w:overflowPunct w:val="0"/>
              <w:autoSpaceDE w:val="0"/>
              <w:autoSpaceDN w:val="0"/>
              <w:adjustRightInd w:val="0"/>
              <w:spacing w:before="46" w:line="240" w:lineRule="auto"/>
              <w:ind w:left="295" w:firstLine="0" w:firstLineChars="0"/>
              <w:jc w:val="left"/>
              <w:rPr>
                <w:kern w:val="0"/>
              </w:rPr>
            </w:pPr>
            <w:r>
              <w:rPr>
                <w:kern w:val="0"/>
                <w:sz w:val="21"/>
                <w:szCs w:val="21"/>
              </w:rPr>
              <w:t>0.5742</w:t>
            </w:r>
          </w:p>
        </w:tc>
      </w:tr>
      <w:tr>
        <w:tblPrEx>
          <w:tblCellMar>
            <w:top w:w="0" w:type="dxa"/>
            <w:left w:w="0" w:type="dxa"/>
            <w:bottom w:w="0" w:type="dxa"/>
            <w:right w:w="0" w:type="dxa"/>
          </w:tblCellMar>
        </w:tblPrEx>
        <w:trPr>
          <w:trHeight w:val="350" w:hRule="exact"/>
        </w:trPr>
        <w:tc>
          <w:tcPr>
            <w:tcW w:w="1969" w:type="dxa"/>
            <w:tcBorders>
              <w:top w:val="single" w:color="000000" w:sz="4" w:space="0"/>
              <w:left w:val="single" w:color="000000" w:sz="12" w:space="0"/>
              <w:bottom w:val="single" w:color="000000" w:sz="4" w:space="0"/>
              <w:right w:val="single" w:color="000000" w:sz="4" w:space="0"/>
            </w:tcBorders>
          </w:tcPr>
          <w:p>
            <w:pPr>
              <w:tabs>
                <w:tab w:val="clear" w:pos="480"/>
              </w:tabs>
              <w:kinsoku w:val="0"/>
              <w:overflowPunct w:val="0"/>
              <w:autoSpaceDE w:val="0"/>
              <w:autoSpaceDN w:val="0"/>
              <w:adjustRightInd w:val="0"/>
              <w:spacing w:before="47" w:line="240" w:lineRule="auto"/>
              <w:ind w:left="846" w:right="852" w:firstLine="0" w:firstLineChars="0"/>
              <w:jc w:val="center"/>
              <w:rPr>
                <w:kern w:val="0"/>
              </w:rPr>
            </w:pPr>
            <w:r>
              <w:rPr>
                <w:kern w:val="0"/>
                <w:sz w:val="21"/>
                <w:szCs w:val="21"/>
              </w:rPr>
              <w:t>15</w:t>
            </w:r>
          </w:p>
        </w:tc>
        <w:tc>
          <w:tcPr>
            <w:tcW w:w="1183" w:type="dxa"/>
            <w:tcBorders>
              <w:top w:val="single" w:color="000000" w:sz="4"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47" w:line="240" w:lineRule="auto"/>
              <w:ind w:left="296" w:firstLine="0" w:firstLineChars="0"/>
              <w:jc w:val="left"/>
              <w:rPr>
                <w:kern w:val="0"/>
              </w:rPr>
            </w:pPr>
            <w:r>
              <w:rPr>
                <w:kern w:val="0"/>
                <w:sz w:val="21"/>
                <w:szCs w:val="21"/>
              </w:rPr>
              <w:t>0.1532</w:t>
            </w:r>
          </w:p>
        </w:tc>
        <w:tc>
          <w:tcPr>
            <w:tcW w:w="1186" w:type="dxa"/>
            <w:tcBorders>
              <w:top w:val="single" w:color="000000" w:sz="4"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47" w:line="240" w:lineRule="auto"/>
              <w:ind w:left="298" w:firstLine="0" w:firstLineChars="0"/>
              <w:jc w:val="left"/>
              <w:rPr>
                <w:kern w:val="0"/>
              </w:rPr>
            </w:pPr>
            <w:r>
              <w:rPr>
                <w:kern w:val="0"/>
                <w:sz w:val="21"/>
                <w:szCs w:val="21"/>
              </w:rPr>
              <w:t>0.2576</w:t>
            </w:r>
          </w:p>
        </w:tc>
        <w:tc>
          <w:tcPr>
            <w:tcW w:w="1184" w:type="dxa"/>
            <w:tcBorders>
              <w:top w:val="single" w:color="000000" w:sz="4"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47" w:line="240" w:lineRule="auto"/>
              <w:ind w:left="297" w:firstLine="0" w:firstLineChars="0"/>
              <w:jc w:val="left"/>
              <w:rPr>
                <w:kern w:val="0"/>
              </w:rPr>
            </w:pPr>
            <w:r>
              <w:rPr>
                <w:kern w:val="0"/>
                <w:sz w:val="21"/>
                <w:szCs w:val="21"/>
              </w:rPr>
              <w:t>0.3491</w:t>
            </w:r>
          </w:p>
        </w:tc>
        <w:tc>
          <w:tcPr>
            <w:tcW w:w="1184" w:type="dxa"/>
            <w:tcBorders>
              <w:top w:val="single" w:color="000000" w:sz="4"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47" w:line="240" w:lineRule="auto"/>
              <w:ind w:left="296" w:firstLine="0" w:firstLineChars="0"/>
              <w:jc w:val="left"/>
              <w:rPr>
                <w:kern w:val="0"/>
              </w:rPr>
            </w:pPr>
            <w:r>
              <w:rPr>
                <w:kern w:val="0"/>
                <w:sz w:val="21"/>
                <w:szCs w:val="21"/>
              </w:rPr>
              <w:t>0.4332</w:t>
            </w:r>
          </w:p>
        </w:tc>
        <w:tc>
          <w:tcPr>
            <w:tcW w:w="1186" w:type="dxa"/>
            <w:tcBorders>
              <w:top w:val="single" w:color="000000" w:sz="4"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47" w:line="240" w:lineRule="auto"/>
              <w:ind w:left="297" w:firstLine="0" w:firstLineChars="0"/>
              <w:jc w:val="left"/>
              <w:rPr>
                <w:kern w:val="0"/>
              </w:rPr>
            </w:pPr>
            <w:r>
              <w:rPr>
                <w:kern w:val="0"/>
                <w:sz w:val="21"/>
                <w:szCs w:val="21"/>
              </w:rPr>
              <w:t>0.5121</w:t>
            </w:r>
          </w:p>
        </w:tc>
        <w:tc>
          <w:tcPr>
            <w:tcW w:w="1179" w:type="dxa"/>
            <w:tcBorders>
              <w:top w:val="single" w:color="000000" w:sz="4" w:space="0"/>
              <w:left w:val="single" w:color="000000" w:sz="4" w:space="0"/>
              <w:bottom w:val="single" w:color="000000" w:sz="4" w:space="0"/>
              <w:right w:val="single" w:color="000000" w:sz="12" w:space="0"/>
            </w:tcBorders>
          </w:tcPr>
          <w:p>
            <w:pPr>
              <w:tabs>
                <w:tab w:val="clear" w:pos="480"/>
              </w:tabs>
              <w:kinsoku w:val="0"/>
              <w:overflowPunct w:val="0"/>
              <w:autoSpaceDE w:val="0"/>
              <w:autoSpaceDN w:val="0"/>
              <w:adjustRightInd w:val="0"/>
              <w:spacing w:before="47" w:line="240" w:lineRule="auto"/>
              <w:ind w:left="295" w:firstLine="0" w:firstLineChars="0"/>
              <w:jc w:val="left"/>
              <w:rPr>
                <w:kern w:val="0"/>
              </w:rPr>
            </w:pPr>
            <w:r>
              <w:rPr>
                <w:kern w:val="0"/>
                <w:sz w:val="21"/>
                <w:szCs w:val="21"/>
              </w:rPr>
              <w:t>0.8613</w:t>
            </w:r>
          </w:p>
        </w:tc>
      </w:tr>
      <w:tr>
        <w:tblPrEx>
          <w:tblCellMar>
            <w:top w:w="0" w:type="dxa"/>
            <w:left w:w="0" w:type="dxa"/>
            <w:bottom w:w="0" w:type="dxa"/>
            <w:right w:w="0" w:type="dxa"/>
          </w:tblCellMar>
        </w:tblPrEx>
        <w:trPr>
          <w:trHeight w:val="361" w:hRule="exact"/>
        </w:trPr>
        <w:tc>
          <w:tcPr>
            <w:tcW w:w="1969" w:type="dxa"/>
            <w:tcBorders>
              <w:top w:val="single" w:color="000000" w:sz="4" w:space="0"/>
              <w:left w:val="single" w:color="000000" w:sz="12" w:space="0"/>
              <w:bottom w:val="single" w:color="000000" w:sz="12" w:space="0"/>
              <w:right w:val="single" w:color="000000" w:sz="4" w:space="0"/>
            </w:tcBorders>
          </w:tcPr>
          <w:p>
            <w:pPr>
              <w:tabs>
                <w:tab w:val="clear" w:pos="480"/>
              </w:tabs>
              <w:kinsoku w:val="0"/>
              <w:overflowPunct w:val="0"/>
              <w:autoSpaceDE w:val="0"/>
              <w:autoSpaceDN w:val="0"/>
              <w:adjustRightInd w:val="0"/>
              <w:spacing w:before="46" w:line="240" w:lineRule="auto"/>
              <w:ind w:left="846" w:right="852" w:firstLine="0" w:firstLineChars="0"/>
              <w:jc w:val="center"/>
              <w:rPr>
                <w:kern w:val="0"/>
              </w:rPr>
            </w:pPr>
            <w:r>
              <w:rPr>
                <w:kern w:val="0"/>
                <w:sz w:val="21"/>
                <w:szCs w:val="21"/>
              </w:rPr>
              <w:t>25</w:t>
            </w:r>
          </w:p>
        </w:tc>
        <w:tc>
          <w:tcPr>
            <w:tcW w:w="1183" w:type="dxa"/>
            <w:tcBorders>
              <w:top w:val="single" w:color="000000" w:sz="4" w:space="0"/>
              <w:left w:val="single" w:color="000000" w:sz="4" w:space="0"/>
              <w:bottom w:val="single" w:color="000000" w:sz="12" w:space="0"/>
              <w:right w:val="single" w:color="000000" w:sz="4" w:space="0"/>
            </w:tcBorders>
          </w:tcPr>
          <w:p>
            <w:pPr>
              <w:tabs>
                <w:tab w:val="clear" w:pos="480"/>
              </w:tabs>
              <w:kinsoku w:val="0"/>
              <w:overflowPunct w:val="0"/>
              <w:autoSpaceDE w:val="0"/>
              <w:autoSpaceDN w:val="0"/>
              <w:adjustRightInd w:val="0"/>
              <w:spacing w:before="46" w:line="240" w:lineRule="auto"/>
              <w:ind w:left="296" w:firstLine="0" w:firstLineChars="0"/>
              <w:jc w:val="left"/>
              <w:rPr>
                <w:kern w:val="0"/>
              </w:rPr>
            </w:pPr>
            <w:r>
              <w:rPr>
                <w:kern w:val="0"/>
                <w:sz w:val="21"/>
                <w:szCs w:val="21"/>
              </w:rPr>
              <w:t>0.2553</w:t>
            </w:r>
          </w:p>
        </w:tc>
        <w:tc>
          <w:tcPr>
            <w:tcW w:w="1186" w:type="dxa"/>
            <w:tcBorders>
              <w:top w:val="single" w:color="000000" w:sz="4" w:space="0"/>
              <w:left w:val="single" w:color="000000" w:sz="4" w:space="0"/>
              <w:bottom w:val="single" w:color="000000" w:sz="12" w:space="0"/>
              <w:right w:val="single" w:color="000000" w:sz="4" w:space="0"/>
            </w:tcBorders>
          </w:tcPr>
          <w:p>
            <w:pPr>
              <w:tabs>
                <w:tab w:val="clear" w:pos="480"/>
              </w:tabs>
              <w:kinsoku w:val="0"/>
              <w:overflowPunct w:val="0"/>
              <w:autoSpaceDE w:val="0"/>
              <w:autoSpaceDN w:val="0"/>
              <w:adjustRightInd w:val="0"/>
              <w:spacing w:before="46" w:line="240" w:lineRule="auto"/>
              <w:ind w:left="298" w:firstLine="0" w:firstLineChars="0"/>
              <w:jc w:val="left"/>
              <w:rPr>
                <w:kern w:val="0"/>
              </w:rPr>
            </w:pPr>
            <w:r>
              <w:rPr>
                <w:kern w:val="0"/>
                <w:sz w:val="21"/>
                <w:szCs w:val="21"/>
              </w:rPr>
              <w:t>0.4293</w:t>
            </w:r>
          </w:p>
        </w:tc>
        <w:tc>
          <w:tcPr>
            <w:tcW w:w="1184" w:type="dxa"/>
            <w:tcBorders>
              <w:top w:val="single" w:color="000000" w:sz="4" w:space="0"/>
              <w:left w:val="single" w:color="000000" w:sz="4" w:space="0"/>
              <w:bottom w:val="single" w:color="000000" w:sz="12" w:space="0"/>
              <w:right w:val="single" w:color="000000" w:sz="4" w:space="0"/>
            </w:tcBorders>
          </w:tcPr>
          <w:p>
            <w:pPr>
              <w:tabs>
                <w:tab w:val="clear" w:pos="480"/>
              </w:tabs>
              <w:kinsoku w:val="0"/>
              <w:overflowPunct w:val="0"/>
              <w:autoSpaceDE w:val="0"/>
              <w:autoSpaceDN w:val="0"/>
              <w:adjustRightInd w:val="0"/>
              <w:spacing w:before="46" w:line="240" w:lineRule="auto"/>
              <w:ind w:left="297" w:firstLine="0" w:firstLineChars="0"/>
              <w:jc w:val="left"/>
              <w:rPr>
                <w:kern w:val="0"/>
              </w:rPr>
            </w:pPr>
            <w:r>
              <w:rPr>
                <w:kern w:val="0"/>
                <w:sz w:val="21"/>
                <w:szCs w:val="21"/>
              </w:rPr>
              <w:t>0.5819</w:t>
            </w:r>
          </w:p>
        </w:tc>
        <w:tc>
          <w:tcPr>
            <w:tcW w:w="1184" w:type="dxa"/>
            <w:tcBorders>
              <w:top w:val="single" w:color="000000" w:sz="4" w:space="0"/>
              <w:left w:val="single" w:color="000000" w:sz="4" w:space="0"/>
              <w:bottom w:val="single" w:color="000000" w:sz="12" w:space="0"/>
              <w:right w:val="single" w:color="000000" w:sz="4" w:space="0"/>
            </w:tcBorders>
          </w:tcPr>
          <w:p>
            <w:pPr>
              <w:tabs>
                <w:tab w:val="clear" w:pos="480"/>
              </w:tabs>
              <w:kinsoku w:val="0"/>
              <w:overflowPunct w:val="0"/>
              <w:autoSpaceDE w:val="0"/>
              <w:autoSpaceDN w:val="0"/>
              <w:adjustRightInd w:val="0"/>
              <w:spacing w:before="46" w:line="240" w:lineRule="auto"/>
              <w:ind w:left="296" w:firstLine="0" w:firstLineChars="0"/>
              <w:jc w:val="left"/>
              <w:rPr>
                <w:kern w:val="0"/>
              </w:rPr>
            </w:pPr>
            <w:r>
              <w:rPr>
                <w:kern w:val="0"/>
                <w:sz w:val="21"/>
                <w:szCs w:val="21"/>
              </w:rPr>
              <w:t>0.7220</w:t>
            </w:r>
          </w:p>
        </w:tc>
        <w:tc>
          <w:tcPr>
            <w:tcW w:w="1186" w:type="dxa"/>
            <w:tcBorders>
              <w:top w:val="single" w:color="000000" w:sz="4" w:space="0"/>
              <w:left w:val="single" w:color="000000" w:sz="4" w:space="0"/>
              <w:bottom w:val="single" w:color="000000" w:sz="12" w:space="0"/>
              <w:right w:val="single" w:color="000000" w:sz="4" w:space="0"/>
            </w:tcBorders>
          </w:tcPr>
          <w:p>
            <w:pPr>
              <w:tabs>
                <w:tab w:val="clear" w:pos="480"/>
              </w:tabs>
              <w:kinsoku w:val="0"/>
              <w:overflowPunct w:val="0"/>
              <w:autoSpaceDE w:val="0"/>
              <w:autoSpaceDN w:val="0"/>
              <w:adjustRightInd w:val="0"/>
              <w:spacing w:before="46" w:line="240" w:lineRule="auto"/>
              <w:ind w:left="297" w:firstLine="0" w:firstLineChars="0"/>
              <w:jc w:val="left"/>
              <w:rPr>
                <w:kern w:val="0"/>
              </w:rPr>
            </w:pPr>
            <w:r>
              <w:rPr>
                <w:kern w:val="0"/>
                <w:sz w:val="21"/>
                <w:szCs w:val="21"/>
              </w:rPr>
              <w:t>0.8536</w:t>
            </w:r>
          </w:p>
        </w:tc>
        <w:tc>
          <w:tcPr>
            <w:tcW w:w="1179" w:type="dxa"/>
            <w:tcBorders>
              <w:top w:val="single" w:color="000000" w:sz="4" w:space="0"/>
              <w:left w:val="single" w:color="000000" w:sz="4" w:space="0"/>
              <w:bottom w:val="single" w:color="000000" w:sz="12" w:space="0"/>
              <w:right w:val="single" w:color="000000" w:sz="12" w:space="0"/>
            </w:tcBorders>
          </w:tcPr>
          <w:p>
            <w:pPr>
              <w:tabs>
                <w:tab w:val="clear" w:pos="480"/>
              </w:tabs>
              <w:kinsoku w:val="0"/>
              <w:overflowPunct w:val="0"/>
              <w:autoSpaceDE w:val="0"/>
              <w:autoSpaceDN w:val="0"/>
              <w:adjustRightInd w:val="0"/>
              <w:spacing w:before="46" w:line="240" w:lineRule="auto"/>
              <w:ind w:left="295" w:firstLine="0" w:firstLineChars="0"/>
              <w:jc w:val="left"/>
              <w:rPr>
                <w:kern w:val="0"/>
              </w:rPr>
            </w:pPr>
            <w:r>
              <w:rPr>
                <w:kern w:val="0"/>
                <w:sz w:val="21"/>
                <w:szCs w:val="21"/>
              </w:rPr>
              <w:t>1.4355</w:t>
            </w:r>
          </w:p>
        </w:tc>
      </w:tr>
    </w:tbl>
    <w:p>
      <w:pPr>
        <w:ind w:firstLine="480"/>
      </w:pPr>
      <w:r>
        <w:t>从上表可见，在同样路面清洁程度的条件下，车速越快，扬尘量越大；在同样车</w:t>
      </w:r>
      <w:r>
        <w:rPr>
          <w:rFonts w:hint="eastAsia"/>
        </w:rPr>
        <w:t>速</w:t>
      </w:r>
      <w:r>
        <w:t>条件下</w:t>
      </w:r>
      <w:r>
        <w:rPr>
          <w:spacing w:val="-12"/>
        </w:rPr>
        <w:t>，</w:t>
      </w:r>
      <w:r>
        <w:t>路面越脏</w:t>
      </w:r>
      <w:r>
        <w:rPr>
          <w:spacing w:val="-12"/>
        </w:rPr>
        <w:t>，</w:t>
      </w:r>
      <w:r>
        <w:t>则扬尘量越大</w:t>
      </w:r>
      <w:r>
        <w:rPr>
          <w:spacing w:val="-12"/>
        </w:rPr>
        <w:t>。</w:t>
      </w:r>
      <w:r>
        <w:t>因此</w:t>
      </w:r>
      <w:r>
        <w:rPr>
          <w:spacing w:val="-12"/>
        </w:rPr>
        <w:t>，</w:t>
      </w:r>
      <w:r>
        <w:t>限速行驶和保持路面的清洁是减少</w:t>
      </w:r>
      <w:r>
        <w:rPr>
          <w:spacing w:val="-2"/>
        </w:rPr>
        <w:t>车</w:t>
      </w:r>
      <w:r>
        <w:t>辆行驶扬尘源强的有效措施。</w:t>
      </w:r>
    </w:p>
    <w:p>
      <w:pPr>
        <w:ind w:firstLine="482"/>
        <w:rPr>
          <w:b/>
          <w:bCs/>
        </w:rPr>
      </w:pPr>
      <w:r>
        <w:rPr>
          <w:b/>
          <w:bCs/>
        </w:rPr>
        <w:t>3、施工船舶、车辆和机械燃油废气</w:t>
      </w:r>
    </w:p>
    <w:p>
      <w:pPr>
        <w:ind w:firstLine="480"/>
      </w:pPr>
      <w:r>
        <w:t>施工船舶运行过程中排放少量燃油废气，主要污染因子为</w:t>
      </w:r>
      <w:r>
        <w:rPr>
          <w:spacing w:val="-62"/>
        </w:rPr>
        <w:t xml:space="preserve"> </w:t>
      </w:r>
      <w:r>
        <w:rPr>
          <w:spacing w:val="-1"/>
        </w:rPr>
        <w:t>SO</w:t>
      </w:r>
      <w:r>
        <w:rPr>
          <w:sz w:val="16"/>
          <w:szCs w:val="16"/>
        </w:rPr>
        <w:t>2</w:t>
      </w:r>
      <w:r>
        <w:t>、N</w:t>
      </w:r>
      <w:r>
        <w:rPr>
          <w:spacing w:val="-1"/>
        </w:rPr>
        <w:t>O</w:t>
      </w:r>
      <w:r>
        <w:rPr>
          <w:sz w:val="16"/>
          <w:szCs w:val="16"/>
        </w:rPr>
        <w:t>2</w:t>
      </w:r>
      <w:r>
        <w:t>和NMHC等。根据《大气废气估算手册》，柴油中污染物排放情况见下表。</w:t>
      </w:r>
    </w:p>
    <w:p>
      <w:pPr>
        <w:pStyle w:val="2285"/>
        <w:ind w:left="0"/>
        <w:rPr>
          <w:rFonts w:cs="Times New Roman"/>
        </w:rPr>
      </w:pPr>
      <w:r>
        <w:rPr>
          <w:rFonts w:cs="Times New Roman"/>
        </w:rPr>
        <w:t>施工船舶废气排放</w:t>
      </w:r>
      <w:r>
        <w:rPr>
          <w:rFonts w:cs="Times New Roman"/>
          <w:bCs/>
        </w:rPr>
        <w:t>情况</w:t>
      </w:r>
    </w:p>
    <w:tbl>
      <w:tblPr>
        <w:tblStyle w:val="359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21"/>
        <w:gridCol w:w="2321"/>
        <w:gridCol w:w="2322"/>
        <w:gridCol w:w="232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65" w:type="dxa"/>
            <w:vAlign w:val="center"/>
          </w:tcPr>
          <w:p>
            <w:pPr>
              <w:pStyle w:val="2691"/>
            </w:pPr>
            <w:r>
              <w:t>污染源</w:t>
            </w:r>
          </w:p>
        </w:tc>
        <w:tc>
          <w:tcPr>
            <w:tcW w:w="2265" w:type="dxa"/>
            <w:vAlign w:val="center"/>
          </w:tcPr>
          <w:p>
            <w:pPr>
              <w:pStyle w:val="2691"/>
            </w:pPr>
            <w:r>
              <w:t>SO</w:t>
            </w:r>
            <w:r>
              <w:rPr>
                <w:vertAlign w:val="subscript"/>
              </w:rPr>
              <w:t>2</w:t>
            </w:r>
          </w:p>
        </w:tc>
        <w:tc>
          <w:tcPr>
            <w:tcW w:w="2265" w:type="dxa"/>
            <w:vAlign w:val="center"/>
          </w:tcPr>
          <w:p>
            <w:pPr>
              <w:pStyle w:val="2691"/>
            </w:pPr>
            <w:r>
              <w:t>N</w:t>
            </w:r>
            <w:r>
              <w:rPr>
                <w:spacing w:val="-1"/>
              </w:rPr>
              <w:t>O</w:t>
            </w:r>
            <w:r>
              <w:rPr>
                <w:vertAlign w:val="subscript"/>
              </w:rPr>
              <w:t>2</w:t>
            </w:r>
          </w:p>
        </w:tc>
        <w:tc>
          <w:tcPr>
            <w:tcW w:w="2265" w:type="dxa"/>
            <w:vAlign w:val="center"/>
          </w:tcPr>
          <w:p>
            <w:pPr>
              <w:pStyle w:val="2691"/>
            </w:pPr>
            <w:r>
              <w:t>NMHC</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65" w:type="dxa"/>
            <w:vAlign w:val="center"/>
          </w:tcPr>
          <w:p>
            <w:pPr>
              <w:pStyle w:val="2691"/>
            </w:pPr>
            <w:r>
              <w:t>排放量（g/kg油）</w:t>
            </w:r>
          </w:p>
        </w:tc>
        <w:tc>
          <w:tcPr>
            <w:tcW w:w="2265" w:type="dxa"/>
            <w:vAlign w:val="center"/>
          </w:tcPr>
          <w:p>
            <w:pPr>
              <w:pStyle w:val="2691"/>
            </w:pPr>
            <w:r>
              <w:t>7.5</w:t>
            </w:r>
          </w:p>
        </w:tc>
        <w:tc>
          <w:tcPr>
            <w:tcW w:w="2265" w:type="dxa"/>
            <w:vAlign w:val="center"/>
          </w:tcPr>
          <w:p>
            <w:pPr>
              <w:pStyle w:val="2691"/>
            </w:pPr>
            <w:r>
              <w:t>16.5</w:t>
            </w:r>
          </w:p>
        </w:tc>
        <w:tc>
          <w:tcPr>
            <w:tcW w:w="2265" w:type="dxa"/>
            <w:vAlign w:val="center"/>
          </w:tcPr>
          <w:p>
            <w:pPr>
              <w:pStyle w:val="2691"/>
            </w:pPr>
            <w: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265" w:type="dxa"/>
            <w:vAlign w:val="center"/>
          </w:tcPr>
          <w:p>
            <w:pPr>
              <w:pStyle w:val="2691"/>
            </w:pPr>
            <w:r>
              <w:t>排放源强（kg/h）</w:t>
            </w:r>
          </w:p>
        </w:tc>
        <w:tc>
          <w:tcPr>
            <w:tcW w:w="2265" w:type="dxa"/>
            <w:vAlign w:val="center"/>
          </w:tcPr>
          <w:p>
            <w:pPr>
              <w:pStyle w:val="2691"/>
            </w:pPr>
            <w:r>
              <w:t>2.25</w:t>
            </w:r>
          </w:p>
        </w:tc>
        <w:tc>
          <w:tcPr>
            <w:tcW w:w="2265" w:type="dxa"/>
            <w:vAlign w:val="center"/>
          </w:tcPr>
          <w:p>
            <w:pPr>
              <w:pStyle w:val="2691"/>
            </w:pPr>
            <w:r>
              <w:t>4.95</w:t>
            </w:r>
          </w:p>
        </w:tc>
        <w:tc>
          <w:tcPr>
            <w:tcW w:w="2265" w:type="dxa"/>
            <w:vAlign w:val="center"/>
          </w:tcPr>
          <w:p>
            <w:pPr>
              <w:pStyle w:val="2691"/>
            </w:pPr>
            <w:r>
              <w:t>9.00</w:t>
            </w:r>
          </w:p>
        </w:tc>
      </w:tr>
    </w:tbl>
    <w:p>
      <w:pPr>
        <w:ind w:firstLine="480"/>
      </w:pPr>
      <w:r>
        <w:t>施工过程中施工机械主要为项目建设中采用的挖掘机、推土机、装载机等，机械燃油废气和汽车尾气所含的污染物相似，主要有</w:t>
      </w:r>
      <w:r>
        <w:rPr>
          <w:spacing w:val="-46"/>
        </w:rPr>
        <w:t xml:space="preserve"> </w:t>
      </w:r>
      <w:r>
        <w:rPr>
          <w:spacing w:val="-1"/>
        </w:rPr>
        <w:t>SO</w:t>
      </w:r>
      <w:r>
        <w:rPr>
          <w:spacing w:val="1"/>
          <w:sz w:val="16"/>
          <w:szCs w:val="16"/>
        </w:rPr>
        <w:t>2</w:t>
      </w:r>
      <w:r>
        <w:t>、</w:t>
      </w:r>
      <w:r>
        <w:rPr>
          <w:spacing w:val="-1"/>
        </w:rPr>
        <w:t>C</w:t>
      </w:r>
      <w:r>
        <w:t>O、</w:t>
      </w:r>
      <w:r>
        <w:rPr>
          <w:spacing w:val="-1"/>
        </w:rPr>
        <w:t>NO</w:t>
      </w:r>
      <w:r>
        <w:t>x和烃NMHC等</w:t>
      </w:r>
      <w:r>
        <w:rPr>
          <w:spacing w:val="-62"/>
        </w:rPr>
        <w:t>。</w:t>
      </w:r>
      <w:r>
        <w:t>一般施工采用柴油汽车</w:t>
      </w:r>
      <w:r>
        <w:rPr>
          <w:spacing w:val="-62"/>
        </w:rPr>
        <w:t>，</w:t>
      </w:r>
      <w:r>
        <w:t>按</w:t>
      </w:r>
      <w:r>
        <w:rPr>
          <w:spacing w:val="-60"/>
        </w:rPr>
        <w:t xml:space="preserve"> </w:t>
      </w:r>
      <w:r>
        <w:t>8t载重车型为例</w:t>
      </w:r>
      <w:r>
        <w:rPr>
          <w:spacing w:val="-62"/>
        </w:rPr>
        <w:t>，</w:t>
      </w:r>
      <w:r>
        <w:t>其污染物排放情况具体见下表。</w:t>
      </w:r>
    </w:p>
    <w:p>
      <w:pPr>
        <w:pStyle w:val="2285"/>
        <w:ind w:left="0"/>
        <w:rPr>
          <w:rFonts w:cs="Times New Roman"/>
        </w:rPr>
      </w:pPr>
      <w:r>
        <w:rPr>
          <w:rFonts w:cs="Times New Roman"/>
        </w:rPr>
        <w:t>机动车</w:t>
      </w:r>
      <w:r>
        <w:rPr>
          <w:rFonts w:cs="Times New Roman"/>
          <w:bCs/>
        </w:rPr>
        <w:t>污染物</w:t>
      </w:r>
      <w:r>
        <w:rPr>
          <w:rFonts w:cs="Times New Roman"/>
        </w:rPr>
        <w:t>排放情况</w:t>
      </w:r>
    </w:p>
    <w:tbl>
      <w:tblPr>
        <w:tblStyle w:val="87"/>
        <w:tblW w:w="5000" w:type="pct"/>
        <w:jc w:val="center"/>
        <w:tblLayout w:type="fixed"/>
        <w:tblCellMar>
          <w:top w:w="0" w:type="dxa"/>
          <w:left w:w="0" w:type="dxa"/>
          <w:bottom w:w="0" w:type="dxa"/>
          <w:right w:w="0" w:type="dxa"/>
        </w:tblCellMar>
      </w:tblPr>
      <w:tblGrid>
        <w:gridCol w:w="1772"/>
        <w:gridCol w:w="2332"/>
        <w:gridCol w:w="2124"/>
        <w:gridCol w:w="2872"/>
      </w:tblGrid>
      <w:tr>
        <w:tblPrEx>
          <w:tblCellMar>
            <w:top w:w="0" w:type="dxa"/>
            <w:left w:w="0" w:type="dxa"/>
            <w:bottom w:w="0" w:type="dxa"/>
            <w:right w:w="0" w:type="dxa"/>
          </w:tblCellMar>
        </w:tblPrEx>
        <w:trPr>
          <w:trHeight w:val="617" w:hRule="exact"/>
          <w:jc w:val="center"/>
        </w:trPr>
        <w:tc>
          <w:tcPr>
            <w:tcW w:w="1760" w:type="dxa"/>
            <w:tcBorders>
              <w:top w:val="single" w:color="000000" w:sz="12" w:space="0"/>
              <w:left w:val="single" w:color="000000" w:sz="12" w:space="0"/>
              <w:bottom w:val="single" w:color="000000" w:sz="4" w:space="0"/>
              <w:right w:val="single" w:color="000000" w:sz="4" w:space="0"/>
            </w:tcBorders>
          </w:tcPr>
          <w:p>
            <w:pPr>
              <w:tabs>
                <w:tab w:val="clear" w:pos="480"/>
              </w:tabs>
              <w:kinsoku w:val="0"/>
              <w:overflowPunct w:val="0"/>
              <w:autoSpaceDE w:val="0"/>
              <w:autoSpaceDN w:val="0"/>
              <w:adjustRightInd w:val="0"/>
              <w:spacing w:line="235" w:lineRule="exact"/>
              <w:ind w:right="99" w:firstLine="424" w:firstLineChars="0"/>
              <w:jc w:val="right"/>
              <w:rPr>
                <w:kern w:val="0"/>
                <w:sz w:val="21"/>
                <w:szCs w:val="21"/>
              </w:rPr>
            </w:pPr>
            <w:r>
              <w:rPr>
                <w:spacing w:val="1"/>
                <w:kern w:val="0"/>
                <w:sz w:val="21"/>
                <w:szCs w:val="21"/>
              </w:rPr>
              <w:t>类别</w:t>
            </w:r>
          </w:p>
          <w:p>
            <w:pPr>
              <w:tabs>
                <w:tab w:val="clear" w:pos="480"/>
              </w:tabs>
              <w:kinsoku w:val="0"/>
              <w:overflowPunct w:val="0"/>
              <w:autoSpaceDE w:val="0"/>
              <w:autoSpaceDN w:val="0"/>
              <w:adjustRightInd w:val="0"/>
              <w:spacing w:line="272" w:lineRule="exact"/>
              <w:ind w:firstLine="0" w:firstLineChars="0"/>
              <w:jc w:val="left"/>
              <w:rPr>
                <w:kern w:val="0"/>
              </w:rPr>
            </w:pPr>
            <w:r>
              <w:rPr>
                <w:spacing w:val="1"/>
                <w:kern w:val="0"/>
                <w:sz w:val="21"/>
                <w:szCs w:val="21"/>
              </w:rPr>
              <w:t>污染物</w:t>
            </w:r>
          </w:p>
        </w:tc>
        <w:tc>
          <w:tcPr>
            <w:tcW w:w="2317" w:type="dxa"/>
            <w:tcBorders>
              <w:top w:val="single" w:color="000000" w:sz="12"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line="261" w:lineRule="exact"/>
              <w:ind w:left="523" w:firstLine="0" w:firstLineChars="0"/>
              <w:jc w:val="left"/>
              <w:rPr>
                <w:kern w:val="0"/>
                <w:sz w:val="21"/>
                <w:szCs w:val="21"/>
              </w:rPr>
            </w:pPr>
            <w:r>
              <w:rPr>
                <w:spacing w:val="1"/>
                <w:kern w:val="0"/>
                <w:sz w:val="21"/>
                <w:szCs w:val="21"/>
              </w:rPr>
              <w:t>污染物</w:t>
            </w:r>
            <w:r>
              <w:rPr>
                <w:kern w:val="0"/>
                <w:sz w:val="21"/>
                <w:szCs w:val="21"/>
              </w:rPr>
              <w:t>排放量</w:t>
            </w:r>
          </w:p>
          <w:p>
            <w:pPr>
              <w:tabs>
                <w:tab w:val="clear" w:pos="480"/>
              </w:tabs>
              <w:kinsoku w:val="0"/>
              <w:overflowPunct w:val="0"/>
              <w:autoSpaceDE w:val="0"/>
              <w:autoSpaceDN w:val="0"/>
              <w:adjustRightInd w:val="0"/>
              <w:spacing w:line="288" w:lineRule="exact"/>
              <w:ind w:left="582" w:firstLine="0" w:firstLineChars="0"/>
              <w:jc w:val="left"/>
              <w:rPr>
                <w:kern w:val="0"/>
              </w:rPr>
            </w:pPr>
            <w:r>
              <w:rPr>
                <w:spacing w:val="1"/>
                <w:kern w:val="0"/>
                <w:sz w:val="21"/>
                <w:szCs w:val="21"/>
              </w:rPr>
              <w:t>（</w:t>
            </w:r>
            <w:r>
              <w:rPr>
                <w:b/>
                <w:bCs/>
                <w:kern w:val="0"/>
                <w:sz w:val="21"/>
                <w:szCs w:val="21"/>
              </w:rPr>
              <w:t>g/</w:t>
            </w:r>
            <w:r>
              <w:rPr>
                <w:b/>
                <w:bCs/>
                <w:spacing w:val="-2"/>
                <w:kern w:val="0"/>
                <w:sz w:val="21"/>
                <w:szCs w:val="21"/>
              </w:rPr>
              <w:t>L</w:t>
            </w:r>
            <w:r>
              <w:rPr>
                <w:spacing w:val="1"/>
                <w:kern w:val="0"/>
                <w:sz w:val="21"/>
                <w:szCs w:val="21"/>
              </w:rPr>
              <w:t>汽油）</w:t>
            </w:r>
          </w:p>
        </w:tc>
        <w:tc>
          <w:tcPr>
            <w:tcW w:w="2110" w:type="dxa"/>
            <w:tcBorders>
              <w:top w:val="single" w:color="000000" w:sz="12"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line="261" w:lineRule="exact"/>
              <w:ind w:left="420" w:firstLine="0" w:firstLineChars="0"/>
              <w:jc w:val="left"/>
              <w:rPr>
                <w:kern w:val="0"/>
                <w:sz w:val="21"/>
                <w:szCs w:val="21"/>
              </w:rPr>
            </w:pPr>
            <w:r>
              <w:rPr>
                <w:spacing w:val="1"/>
                <w:kern w:val="0"/>
                <w:sz w:val="21"/>
                <w:szCs w:val="21"/>
              </w:rPr>
              <w:t>污染物</w:t>
            </w:r>
            <w:r>
              <w:rPr>
                <w:kern w:val="0"/>
                <w:sz w:val="21"/>
                <w:szCs w:val="21"/>
              </w:rPr>
              <w:t>排放量</w:t>
            </w:r>
          </w:p>
          <w:p>
            <w:pPr>
              <w:tabs>
                <w:tab w:val="clear" w:pos="480"/>
              </w:tabs>
              <w:kinsoku w:val="0"/>
              <w:overflowPunct w:val="0"/>
              <w:autoSpaceDE w:val="0"/>
              <w:autoSpaceDN w:val="0"/>
              <w:adjustRightInd w:val="0"/>
              <w:spacing w:line="288" w:lineRule="exact"/>
              <w:ind w:left="479" w:firstLine="0" w:firstLineChars="0"/>
              <w:jc w:val="left"/>
              <w:rPr>
                <w:kern w:val="0"/>
              </w:rPr>
            </w:pPr>
            <w:r>
              <w:rPr>
                <w:spacing w:val="1"/>
                <w:kern w:val="0"/>
                <w:sz w:val="21"/>
                <w:szCs w:val="21"/>
              </w:rPr>
              <w:t>（</w:t>
            </w:r>
            <w:r>
              <w:rPr>
                <w:b/>
                <w:bCs/>
                <w:kern w:val="0"/>
                <w:sz w:val="21"/>
                <w:szCs w:val="21"/>
              </w:rPr>
              <w:t>g/</w:t>
            </w:r>
            <w:r>
              <w:rPr>
                <w:b/>
                <w:bCs/>
                <w:spacing w:val="-2"/>
                <w:kern w:val="0"/>
                <w:sz w:val="21"/>
                <w:szCs w:val="21"/>
              </w:rPr>
              <w:t>L</w:t>
            </w:r>
            <w:r>
              <w:rPr>
                <w:spacing w:val="1"/>
                <w:kern w:val="0"/>
                <w:sz w:val="21"/>
                <w:szCs w:val="21"/>
              </w:rPr>
              <w:t>柴油）</w:t>
            </w:r>
          </w:p>
        </w:tc>
        <w:tc>
          <w:tcPr>
            <w:tcW w:w="2853" w:type="dxa"/>
            <w:tcBorders>
              <w:top w:val="single" w:color="000000" w:sz="12" w:space="0"/>
              <w:left w:val="single" w:color="000000" w:sz="4" w:space="0"/>
              <w:bottom w:val="single" w:color="000000" w:sz="4" w:space="0"/>
              <w:right w:val="single" w:color="000000" w:sz="12" w:space="0"/>
            </w:tcBorders>
          </w:tcPr>
          <w:p>
            <w:pPr>
              <w:tabs>
                <w:tab w:val="clear" w:pos="480"/>
              </w:tabs>
              <w:kinsoku w:val="0"/>
              <w:overflowPunct w:val="0"/>
              <w:autoSpaceDE w:val="0"/>
              <w:autoSpaceDN w:val="0"/>
              <w:adjustRightInd w:val="0"/>
              <w:spacing w:line="277" w:lineRule="exact"/>
              <w:ind w:left="9" w:firstLine="0" w:firstLineChars="0"/>
              <w:jc w:val="center"/>
              <w:rPr>
                <w:kern w:val="0"/>
                <w:sz w:val="21"/>
                <w:szCs w:val="21"/>
              </w:rPr>
            </w:pPr>
            <w:r>
              <w:rPr>
                <w:b/>
                <w:bCs/>
                <w:spacing w:val="1"/>
                <w:kern w:val="0"/>
                <w:sz w:val="21"/>
                <w:szCs w:val="21"/>
              </w:rPr>
              <w:t>8</w:t>
            </w:r>
            <w:r>
              <w:rPr>
                <w:spacing w:val="1"/>
                <w:kern w:val="0"/>
                <w:sz w:val="21"/>
                <w:szCs w:val="21"/>
              </w:rPr>
              <w:t>吨柴</w:t>
            </w:r>
            <w:r>
              <w:rPr>
                <w:kern w:val="0"/>
                <w:sz w:val="21"/>
                <w:szCs w:val="21"/>
              </w:rPr>
              <w:t>油</w:t>
            </w:r>
            <w:r>
              <w:rPr>
                <w:spacing w:val="1"/>
                <w:kern w:val="0"/>
                <w:sz w:val="21"/>
                <w:szCs w:val="21"/>
              </w:rPr>
              <w:t>载</w:t>
            </w:r>
            <w:r>
              <w:rPr>
                <w:kern w:val="0"/>
                <w:sz w:val="21"/>
                <w:szCs w:val="21"/>
              </w:rPr>
              <w:t>重</w:t>
            </w:r>
            <w:r>
              <w:rPr>
                <w:spacing w:val="1"/>
                <w:kern w:val="0"/>
                <w:sz w:val="21"/>
                <w:szCs w:val="21"/>
              </w:rPr>
              <w:t>车排放</w:t>
            </w:r>
            <w:r>
              <w:rPr>
                <w:kern w:val="0"/>
                <w:sz w:val="21"/>
                <w:szCs w:val="21"/>
              </w:rPr>
              <w:t>量</w:t>
            </w:r>
          </w:p>
          <w:p>
            <w:pPr>
              <w:tabs>
                <w:tab w:val="clear" w:pos="480"/>
              </w:tabs>
              <w:kinsoku w:val="0"/>
              <w:overflowPunct w:val="0"/>
              <w:autoSpaceDE w:val="0"/>
              <w:autoSpaceDN w:val="0"/>
              <w:adjustRightInd w:val="0"/>
              <w:spacing w:line="272" w:lineRule="exact"/>
              <w:ind w:left="11" w:firstLine="0" w:firstLineChars="0"/>
              <w:jc w:val="center"/>
              <w:rPr>
                <w:kern w:val="0"/>
              </w:rPr>
            </w:pPr>
            <w:r>
              <w:rPr>
                <w:spacing w:val="1"/>
                <w:kern w:val="0"/>
                <w:sz w:val="21"/>
                <w:szCs w:val="21"/>
              </w:rPr>
              <w:t>（</w:t>
            </w:r>
            <w:r>
              <w:rPr>
                <w:b/>
                <w:bCs/>
                <w:kern w:val="0"/>
                <w:sz w:val="21"/>
                <w:szCs w:val="21"/>
              </w:rPr>
              <w:t>g/100km</w:t>
            </w:r>
            <w:r>
              <w:rPr>
                <w:kern w:val="0"/>
                <w:sz w:val="21"/>
                <w:szCs w:val="21"/>
              </w:rPr>
              <w:t>）</w:t>
            </w:r>
          </w:p>
        </w:tc>
      </w:tr>
      <w:tr>
        <w:tblPrEx>
          <w:tblCellMar>
            <w:top w:w="0" w:type="dxa"/>
            <w:left w:w="0" w:type="dxa"/>
            <w:bottom w:w="0" w:type="dxa"/>
            <w:right w:w="0" w:type="dxa"/>
          </w:tblCellMar>
        </w:tblPrEx>
        <w:trPr>
          <w:trHeight w:val="358" w:hRule="exact"/>
          <w:jc w:val="center"/>
        </w:trPr>
        <w:tc>
          <w:tcPr>
            <w:tcW w:w="1760" w:type="dxa"/>
            <w:tcBorders>
              <w:top w:val="single" w:color="000000" w:sz="4" w:space="0"/>
              <w:left w:val="single" w:color="000000" w:sz="12" w:space="0"/>
              <w:bottom w:val="single" w:color="000000" w:sz="4" w:space="0"/>
              <w:right w:val="single" w:color="000000" w:sz="4" w:space="0"/>
            </w:tcBorders>
          </w:tcPr>
          <w:p>
            <w:pPr>
              <w:tabs>
                <w:tab w:val="clear" w:pos="480"/>
              </w:tabs>
              <w:kinsoku w:val="0"/>
              <w:overflowPunct w:val="0"/>
              <w:autoSpaceDE w:val="0"/>
              <w:autoSpaceDN w:val="0"/>
              <w:adjustRightInd w:val="0"/>
              <w:spacing w:before="47" w:line="240" w:lineRule="auto"/>
              <w:ind w:right="9" w:firstLine="0" w:firstLineChars="0"/>
              <w:jc w:val="center"/>
              <w:rPr>
                <w:kern w:val="0"/>
              </w:rPr>
            </w:pPr>
            <w:r>
              <w:rPr>
                <w:spacing w:val="-1"/>
                <w:kern w:val="0"/>
                <w:sz w:val="21"/>
                <w:szCs w:val="21"/>
              </w:rPr>
              <w:t>SO</w:t>
            </w:r>
            <w:r>
              <w:rPr>
                <w:kern w:val="0"/>
                <w:position w:val="-2"/>
                <w:sz w:val="14"/>
                <w:szCs w:val="14"/>
              </w:rPr>
              <w:t>2</w:t>
            </w:r>
          </w:p>
        </w:tc>
        <w:tc>
          <w:tcPr>
            <w:tcW w:w="2317" w:type="dxa"/>
            <w:tcBorders>
              <w:top w:val="single" w:color="000000" w:sz="4"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47" w:line="240" w:lineRule="auto"/>
              <w:ind w:left="900" w:right="902" w:firstLine="0" w:firstLineChars="0"/>
              <w:jc w:val="center"/>
              <w:rPr>
                <w:kern w:val="0"/>
              </w:rPr>
            </w:pPr>
            <w:r>
              <w:rPr>
                <w:kern w:val="0"/>
                <w:sz w:val="21"/>
                <w:szCs w:val="21"/>
              </w:rPr>
              <w:t>0.295</w:t>
            </w:r>
          </w:p>
        </w:tc>
        <w:tc>
          <w:tcPr>
            <w:tcW w:w="2110" w:type="dxa"/>
            <w:tcBorders>
              <w:top w:val="single" w:color="000000" w:sz="4"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47" w:line="240" w:lineRule="auto"/>
              <w:ind w:left="849" w:right="850" w:firstLine="0" w:firstLineChars="0"/>
              <w:jc w:val="center"/>
              <w:rPr>
                <w:kern w:val="0"/>
              </w:rPr>
            </w:pPr>
            <w:r>
              <w:rPr>
                <w:kern w:val="0"/>
                <w:sz w:val="21"/>
                <w:szCs w:val="21"/>
              </w:rPr>
              <w:t>3.24</w:t>
            </w:r>
          </w:p>
        </w:tc>
        <w:tc>
          <w:tcPr>
            <w:tcW w:w="2853" w:type="dxa"/>
            <w:tcBorders>
              <w:top w:val="single" w:color="000000" w:sz="4" w:space="0"/>
              <w:left w:val="single" w:color="000000" w:sz="4" w:space="0"/>
              <w:bottom w:val="single" w:color="000000" w:sz="4" w:space="0"/>
              <w:right w:val="single" w:color="000000" w:sz="12" w:space="0"/>
            </w:tcBorders>
          </w:tcPr>
          <w:p>
            <w:pPr>
              <w:tabs>
                <w:tab w:val="clear" w:pos="480"/>
              </w:tabs>
              <w:kinsoku w:val="0"/>
              <w:overflowPunct w:val="0"/>
              <w:autoSpaceDE w:val="0"/>
              <w:autoSpaceDN w:val="0"/>
              <w:adjustRightInd w:val="0"/>
              <w:spacing w:before="47" w:line="240" w:lineRule="auto"/>
              <w:ind w:left="9" w:firstLine="0" w:firstLineChars="0"/>
              <w:jc w:val="center"/>
              <w:rPr>
                <w:kern w:val="0"/>
              </w:rPr>
            </w:pPr>
            <w:r>
              <w:rPr>
                <w:kern w:val="0"/>
                <w:sz w:val="21"/>
                <w:szCs w:val="21"/>
              </w:rPr>
              <w:t>9</w:t>
            </w:r>
            <w:r>
              <w:rPr>
                <w:spacing w:val="1"/>
                <w:kern w:val="0"/>
                <w:sz w:val="21"/>
                <w:szCs w:val="21"/>
              </w:rPr>
              <w:t>7</w:t>
            </w:r>
            <w:r>
              <w:rPr>
                <w:spacing w:val="-1"/>
                <w:kern w:val="0"/>
                <w:sz w:val="21"/>
                <w:szCs w:val="21"/>
              </w:rPr>
              <w:t>.</w:t>
            </w:r>
            <w:r>
              <w:rPr>
                <w:kern w:val="0"/>
                <w:sz w:val="21"/>
                <w:szCs w:val="21"/>
              </w:rPr>
              <w:t>82</w:t>
            </w:r>
          </w:p>
        </w:tc>
      </w:tr>
      <w:tr>
        <w:tblPrEx>
          <w:tblCellMar>
            <w:top w:w="0" w:type="dxa"/>
            <w:left w:w="0" w:type="dxa"/>
            <w:bottom w:w="0" w:type="dxa"/>
            <w:right w:w="0" w:type="dxa"/>
          </w:tblCellMar>
        </w:tblPrEx>
        <w:trPr>
          <w:trHeight w:val="360" w:hRule="exact"/>
          <w:jc w:val="center"/>
        </w:trPr>
        <w:tc>
          <w:tcPr>
            <w:tcW w:w="1760" w:type="dxa"/>
            <w:tcBorders>
              <w:top w:val="single" w:color="000000" w:sz="4" w:space="0"/>
              <w:left w:val="single" w:color="000000" w:sz="12" w:space="0"/>
              <w:bottom w:val="single" w:color="000000" w:sz="4" w:space="0"/>
              <w:right w:val="single" w:color="000000" w:sz="4" w:space="0"/>
            </w:tcBorders>
          </w:tcPr>
          <w:p>
            <w:pPr>
              <w:tabs>
                <w:tab w:val="clear" w:pos="480"/>
              </w:tabs>
              <w:kinsoku w:val="0"/>
              <w:overflowPunct w:val="0"/>
              <w:autoSpaceDE w:val="0"/>
              <w:autoSpaceDN w:val="0"/>
              <w:adjustRightInd w:val="0"/>
              <w:spacing w:before="48" w:line="240" w:lineRule="auto"/>
              <w:ind w:right="7" w:firstLine="0" w:firstLineChars="0"/>
              <w:jc w:val="center"/>
              <w:rPr>
                <w:kern w:val="0"/>
              </w:rPr>
            </w:pPr>
            <w:r>
              <w:rPr>
                <w:kern w:val="0"/>
                <w:sz w:val="21"/>
                <w:szCs w:val="21"/>
              </w:rPr>
              <w:t>CO</w:t>
            </w:r>
          </w:p>
        </w:tc>
        <w:tc>
          <w:tcPr>
            <w:tcW w:w="2317" w:type="dxa"/>
            <w:tcBorders>
              <w:top w:val="single" w:color="000000" w:sz="4"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48" w:line="240" w:lineRule="auto"/>
              <w:ind w:left="900" w:right="902" w:firstLine="0" w:firstLineChars="0"/>
              <w:jc w:val="center"/>
              <w:rPr>
                <w:kern w:val="0"/>
              </w:rPr>
            </w:pPr>
            <w:r>
              <w:rPr>
                <w:kern w:val="0"/>
                <w:sz w:val="21"/>
                <w:szCs w:val="21"/>
              </w:rPr>
              <w:t>169.0</w:t>
            </w:r>
          </w:p>
        </w:tc>
        <w:tc>
          <w:tcPr>
            <w:tcW w:w="2110" w:type="dxa"/>
            <w:tcBorders>
              <w:top w:val="single" w:color="000000" w:sz="4"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48" w:line="240" w:lineRule="auto"/>
              <w:ind w:left="849" w:right="850" w:firstLine="0" w:firstLineChars="0"/>
              <w:jc w:val="center"/>
              <w:rPr>
                <w:kern w:val="0"/>
              </w:rPr>
            </w:pPr>
            <w:r>
              <w:rPr>
                <w:kern w:val="0"/>
                <w:sz w:val="21"/>
                <w:szCs w:val="21"/>
              </w:rPr>
              <w:t>2</w:t>
            </w:r>
            <w:r>
              <w:rPr>
                <w:spacing w:val="1"/>
                <w:kern w:val="0"/>
                <w:sz w:val="21"/>
                <w:szCs w:val="21"/>
              </w:rPr>
              <w:t>7</w:t>
            </w:r>
            <w:r>
              <w:rPr>
                <w:spacing w:val="-1"/>
                <w:kern w:val="0"/>
                <w:sz w:val="21"/>
                <w:szCs w:val="21"/>
              </w:rPr>
              <w:t>.</w:t>
            </w:r>
            <w:r>
              <w:rPr>
                <w:kern w:val="0"/>
                <w:sz w:val="21"/>
                <w:szCs w:val="21"/>
              </w:rPr>
              <w:t>0</w:t>
            </w:r>
          </w:p>
        </w:tc>
        <w:tc>
          <w:tcPr>
            <w:tcW w:w="2853" w:type="dxa"/>
            <w:tcBorders>
              <w:top w:val="single" w:color="000000" w:sz="4" w:space="0"/>
              <w:left w:val="single" w:color="000000" w:sz="4" w:space="0"/>
              <w:bottom w:val="single" w:color="000000" w:sz="4" w:space="0"/>
              <w:right w:val="single" w:color="000000" w:sz="12" w:space="0"/>
            </w:tcBorders>
          </w:tcPr>
          <w:p>
            <w:pPr>
              <w:tabs>
                <w:tab w:val="clear" w:pos="480"/>
              </w:tabs>
              <w:kinsoku w:val="0"/>
              <w:overflowPunct w:val="0"/>
              <w:autoSpaceDE w:val="0"/>
              <w:autoSpaceDN w:val="0"/>
              <w:adjustRightInd w:val="0"/>
              <w:spacing w:before="48" w:line="240" w:lineRule="auto"/>
              <w:ind w:left="1118" w:right="1106" w:firstLine="0" w:firstLineChars="0"/>
              <w:jc w:val="center"/>
              <w:rPr>
                <w:kern w:val="0"/>
              </w:rPr>
            </w:pPr>
            <w:r>
              <w:rPr>
                <w:kern w:val="0"/>
                <w:sz w:val="21"/>
                <w:szCs w:val="21"/>
              </w:rPr>
              <w:t>815.13</w:t>
            </w:r>
          </w:p>
        </w:tc>
      </w:tr>
      <w:tr>
        <w:tblPrEx>
          <w:tblCellMar>
            <w:top w:w="0" w:type="dxa"/>
            <w:left w:w="0" w:type="dxa"/>
            <w:bottom w:w="0" w:type="dxa"/>
            <w:right w:w="0" w:type="dxa"/>
          </w:tblCellMar>
        </w:tblPrEx>
        <w:trPr>
          <w:trHeight w:val="360" w:hRule="exact"/>
          <w:jc w:val="center"/>
        </w:trPr>
        <w:tc>
          <w:tcPr>
            <w:tcW w:w="1760" w:type="dxa"/>
            <w:tcBorders>
              <w:top w:val="single" w:color="000000" w:sz="4" w:space="0"/>
              <w:left w:val="single" w:color="000000" w:sz="12" w:space="0"/>
              <w:bottom w:val="single" w:color="000000" w:sz="4" w:space="0"/>
              <w:right w:val="single" w:color="000000" w:sz="4" w:space="0"/>
            </w:tcBorders>
          </w:tcPr>
          <w:p>
            <w:pPr>
              <w:tabs>
                <w:tab w:val="clear" w:pos="480"/>
              </w:tabs>
              <w:kinsoku w:val="0"/>
              <w:overflowPunct w:val="0"/>
              <w:autoSpaceDE w:val="0"/>
              <w:autoSpaceDN w:val="0"/>
              <w:adjustRightInd w:val="0"/>
              <w:spacing w:before="48" w:line="240" w:lineRule="auto"/>
              <w:ind w:right="8" w:firstLine="0" w:firstLineChars="0"/>
              <w:jc w:val="center"/>
              <w:rPr>
                <w:kern w:val="0"/>
              </w:rPr>
            </w:pPr>
            <w:r>
              <w:rPr>
                <w:spacing w:val="-1"/>
                <w:kern w:val="0"/>
                <w:sz w:val="21"/>
                <w:szCs w:val="21"/>
              </w:rPr>
              <w:t>NO</w:t>
            </w:r>
            <w:r>
              <w:rPr>
                <w:kern w:val="0"/>
                <w:position w:val="-2"/>
                <w:sz w:val="14"/>
                <w:szCs w:val="14"/>
              </w:rPr>
              <w:t>X</w:t>
            </w:r>
          </w:p>
        </w:tc>
        <w:tc>
          <w:tcPr>
            <w:tcW w:w="2317" w:type="dxa"/>
            <w:tcBorders>
              <w:top w:val="single" w:color="000000" w:sz="4"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48" w:line="240" w:lineRule="auto"/>
              <w:ind w:left="952" w:right="955" w:firstLine="0" w:firstLineChars="0"/>
              <w:jc w:val="center"/>
              <w:rPr>
                <w:kern w:val="0"/>
              </w:rPr>
            </w:pPr>
            <w:r>
              <w:rPr>
                <w:kern w:val="0"/>
                <w:sz w:val="21"/>
                <w:szCs w:val="21"/>
              </w:rPr>
              <w:t>2</w:t>
            </w:r>
            <w:r>
              <w:rPr>
                <w:spacing w:val="1"/>
                <w:kern w:val="0"/>
                <w:sz w:val="21"/>
                <w:szCs w:val="21"/>
              </w:rPr>
              <w:t>1</w:t>
            </w:r>
            <w:r>
              <w:rPr>
                <w:spacing w:val="-1"/>
                <w:kern w:val="0"/>
                <w:sz w:val="21"/>
                <w:szCs w:val="21"/>
              </w:rPr>
              <w:t>.</w:t>
            </w:r>
            <w:r>
              <w:rPr>
                <w:kern w:val="0"/>
                <w:sz w:val="21"/>
                <w:szCs w:val="21"/>
              </w:rPr>
              <w:t>1</w:t>
            </w:r>
          </w:p>
        </w:tc>
        <w:tc>
          <w:tcPr>
            <w:tcW w:w="2110" w:type="dxa"/>
            <w:tcBorders>
              <w:top w:val="single" w:color="000000" w:sz="4"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before="48" w:line="240" w:lineRule="auto"/>
              <w:ind w:left="849" w:right="850" w:firstLine="0" w:firstLineChars="0"/>
              <w:jc w:val="center"/>
              <w:rPr>
                <w:kern w:val="0"/>
              </w:rPr>
            </w:pPr>
            <w:r>
              <w:rPr>
                <w:kern w:val="0"/>
                <w:sz w:val="21"/>
                <w:szCs w:val="21"/>
              </w:rPr>
              <w:t>4</w:t>
            </w:r>
            <w:r>
              <w:rPr>
                <w:spacing w:val="1"/>
                <w:kern w:val="0"/>
                <w:sz w:val="21"/>
                <w:szCs w:val="21"/>
              </w:rPr>
              <w:t>4</w:t>
            </w:r>
            <w:r>
              <w:rPr>
                <w:spacing w:val="-1"/>
                <w:kern w:val="0"/>
                <w:sz w:val="21"/>
                <w:szCs w:val="21"/>
              </w:rPr>
              <w:t>.</w:t>
            </w:r>
            <w:r>
              <w:rPr>
                <w:kern w:val="0"/>
                <w:sz w:val="21"/>
                <w:szCs w:val="21"/>
              </w:rPr>
              <w:t>4</w:t>
            </w:r>
          </w:p>
        </w:tc>
        <w:tc>
          <w:tcPr>
            <w:tcW w:w="2853" w:type="dxa"/>
            <w:tcBorders>
              <w:top w:val="single" w:color="000000" w:sz="4" w:space="0"/>
              <w:left w:val="single" w:color="000000" w:sz="4" w:space="0"/>
              <w:bottom w:val="single" w:color="000000" w:sz="4" w:space="0"/>
              <w:right w:val="single" w:color="000000" w:sz="12" w:space="0"/>
            </w:tcBorders>
          </w:tcPr>
          <w:p>
            <w:pPr>
              <w:tabs>
                <w:tab w:val="clear" w:pos="480"/>
              </w:tabs>
              <w:kinsoku w:val="0"/>
              <w:overflowPunct w:val="0"/>
              <w:autoSpaceDE w:val="0"/>
              <w:autoSpaceDN w:val="0"/>
              <w:adjustRightInd w:val="0"/>
              <w:spacing w:before="48" w:line="240" w:lineRule="auto"/>
              <w:ind w:left="11" w:firstLine="0" w:firstLineChars="0"/>
              <w:jc w:val="center"/>
              <w:rPr>
                <w:kern w:val="0"/>
              </w:rPr>
            </w:pPr>
            <w:r>
              <w:rPr>
                <w:kern w:val="0"/>
                <w:sz w:val="21"/>
                <w:szCs w:val="21"/>
              </w:rPr>
              <w:t>134</w:t>
            </w:r>
            <w:r>
              <w:rPr>
                <w:spacing w:val="1"/>
                <w:kern w:val="0"/>
                <w:sz w:val="21"/>
                <w:szCs w:val="21"/>
              </w:rPr>
              <w:t>0</w:t>
            </w:r>
            <w:r>
              <w:rPr>
                <w:spacing w:val="-1"/>
                <w:kern w:val="0"/>
                <w:sz w:val="21"/>
                <w:szCs w:val="21"/>
              </w:rPr>
              <w:t>.</w:t>
            </w:r>
            <w:r>
              <w:rPr>
                <w:kern w:val="0"/>
                <w:sz w:val="21"/>
                <w:szCs w:val="21"/>
              </w:rPr>
              <w:t>44</w:t>
            </w:r>
          </w:p>
        </w:tc>
      </w:tr>
      <w:tr>
        <w:tblPrEx>
          <w:tblCellMar>
            <w:top w:w="0" w:type="dxa"/>
            <w:left w:w="0" w:type="dxa"/>
            <w:bottom w:w="0" w:type="dxa"/>
            <w:right w:w="0" w:type="dxa"/>
          </w:tblCellMar>
        </w:tblPrEx>
        <w:trPr>
          <w:trHeight w:val="358" w:hRule="exact"/>
          <w:jc w:val="center"/>
        </w:trPr>
        <w:tc>
          <w:tcPr>
            <w:tcW w:w="1760" w:type="dxa"/>
            <w:tcBorders>
              <w:top w:val="single" w:color="000000" w:sz="4" w:space="0"/>
              <w:left w:val="single" w:color="000000" w:sz="12" w:space="0"/>
              <w:bottom w:val="single" w:color="000000" w:sz="12" w:space="0"/>
              <w:right w:val="single" w:color="000000" w:sz="4" w:space="0"/>
            </w:tcBorders>
          </w:tcPr>
          <w:p>
            <w:pPr>
              <w:tabs>
                <w:tab w:val="clear" w:pos="480"/>
              </w:tabs>
              <w:kinsoku w:val="0"/>
              <w:overflowPunct w:val="0"/>
              <w:autoSpaceDE w:val="0"/>
              <w:autoSpaceDN w:val="0"/>
              <w:adjustRightInd w:val="0"/>
              <w:spacing w:before="48" w:line="240" w:lineRule="auto"/>
              <w:ind w:right="7" w:firstLine="0" w:firstLineChars="0"/>
              <w:jc w:val="center"/>
              <w:rPr>
                <w:kern w:val="0"/>
              </w:rPr>
            </w:pPr>
            <w:r>
              <w:t>NMHC</w:t>
            </w:r>
          </w:p>
        </w:tc>
        <w:tc>
          <w:tcPr>
            <w:tcW w:w="2317" w:type="dxa"/>
            <w:tcBorders>
              <w:top w:val="single" w:color="000000" w:sz="4" w:space="0"/>
              <w:left w:val="single" w:color="000000" w:sz="4" w:space="0"/>
              <w:bottom w:val="single" w:color="000000" w:sz="12" w:space="0"/>
              <w:right w:val="single" w:color="000000" w:sz="4" w:space="0"/>
            </w:tcBorders>
          </w:tcPr>
          <w:p>
            <w:pPr>
              <w:tabs>
                <w:tab w:val="clear" w:pos="480"/>
              </w:tabs>
              <w:kinsoku w:val="0"/>
              <w:overflowPunct w:val="0"/>
              <w:autoSpaceDE w:val="0"/>
              <w:autoSpaceDN w:val="0"/>
              <w:adjustRightInd w:val="0"/>
              <w:spacing w:before="42" w:line="240" w:lineRule="auto"/>
              <w:ind w:left="952" w:right="955" w:firstLine="0" w:firstLineChars="0"/>
              <w:jc w:val="center"/>
              <w:rPr>
                <w:kern w:val="0"/>
              </w:rPr>
            </w:pPr>
            <w:r>
              <w:rPr>
                <w:kern w:val="0"/>
                <w:sz w:val="21"/>
                <w:szCs w:val="21"/>
              </w:rPr>
              <w:t>3</w:t>
            </w:r>
            <w:r>
              <w:rPr>
                <w:spacing w:val="1"/>
                <w:kern w:val="0"/>
                <w:sz w:val="21"/>
                <w:szCs w:val="21"/>
              </w:rPr>
              <w:t>3</w:t>
            </w:r>
            <w:r>
              <w:rPr>
                <w:spacing w:val="-1"/>
                <w:kern w:val="0"/>
                <w:sz w:val="21"/>
                <w:szCs w:val="21"/>
              </w:rPr>
              <w:t>.</w:t>
            </w:r>
            <w:r>
              <w:rPr>
                <w:kern w:val="0"/>
                <w:sz w:val="21"/>
                <w:szCs w:val="21"/>
              </w:rPr>
              <w:t>3</w:t>
            </w:r>
          </w:p>
        </w:tc>
        <w:tc>
          <w:tcPr>
            <w:tcW w:w="2110" w:type="dxa"/>
            <w:tcBorders>
              <w:top w:val="single" w:color="000000" w:sz="4" w:space="0"/>
              <w:left w:val="single" w:color="000000" w:sz="4" w:space="0"/>
              <w:bottom w:val="single" w:color="000000" w:sz="12" w:space="0"/>
              <w:right w:val="single" w:color="000000" w:sz="4" w:space="0"/>
            </w:tcBorders>
          </w:tcPr>
          <w:p>
            <w:pPr>
              <w:tabs>
                <w:tab w:val="clear" w:pos="480"/>
              </w:tabs>
              <w:kinsoku w:val="0"/>
              <w:overflowPunct w:val="0"/>
              <w:autoSpaceDE w:val="0"/>
              <w:autoSpaceDN w:val="0"/>
              <w:adjustRightInd w:val="0"/>
              <w:spacing w:before="42" w:line="240" w:lineRule="auto"/>
              <w:ind w:left="849" w:right="850" w:firstLine="0" w:firstLineChars="0"/>
              <w:jc w:val="center"/>
              <w:rPr>
                <w:kern w:val="0"/>
              </w:rPr>
            </w:pPr>
            <w:r>
              <w:rPr>
                <w:kern w:val="0"/>
                <w:sz w:val="21"/>
                <w:szCs w:val="21"/>
              </w:rPr>
              <w:t>4.44</w:t>
            </w:r>
          </w:p>
        </w:tc>
        <w:tc>
          <w:tcPr>
            <w:tcW w:w="2853" w:type="dxa"/>
            <w:tcBorders>
              <w:top w:val="single" w:color="000000" w:sz="4" w:space="0"/>
              <w:left w:val="single" w:color="000000" w:sz="4" w:space="0"/>
              <w:bottom w:val="single" w:color="000000" w:sz="12" w:space="0"/>
              <w:right w:val="single" w:color="000000" w:sz="12" w:space="0"/>
            </w:tcBorders>
          </w:tcPr>
          <w:p>
            <w:pPr>
              <w:tabs>
                <w:tab w:val="clear" w:pos="480"/>
              </w:tabs>
              <w:kinsoku w:val="0"/>
              <w:overflowPunct w:val="0"/>
              <w:autoSpaceDE w:val="0"/>
              <w:autoSpaceDN w:val="0"/>
              <w:adjustRightInd w:val="0"/>
              <w:spacing w:before="42" w:line="240" w:lineRule="auto"/>
              <w:ind w:left="1118" w:right="1106" w:firstLine="0" w:firstLineChars="0"/>
              <w:jc w:val="center"/>
              <w:rPr>
                <w:kern w:val="0"/>
              </w:rPr>
            </w:pPr>
            <w:r>
              <w:rPr>
                <w:kern w:val="0"/>
                <w:sz w:val="21"/>
                <w:szCs w:val="21"/>
              </w:rPr>
              <w:t>134.04</w:t>
            </w:r>
          </w:p>
        </w:tc>
      </w:tr>
    </w:tbl>
    <w:p>
      <w:pPr>
        <w:ind w:firstLine="480"/>
        <w:rPr>
          <w:b/>
          <w:bCs/>
        </w:rPr>
      </w:pPr>
      <w:r>
        <w:t>根据与同类工程进行类比分析，在最不利气象条件下，燃油废气排放下风向15m至18m处SO</w:t>
      </w:r>
      <w:r>
        <w:rPr>
          <w:vertAlign w:val="subscript"/>
        </w:rPr>
        <w:t>2</w:t>
      </w:r>
      <w:r>
        <w:t>、NOx的浓度值达0.016mg/m</w:t>
      </w:r>
      <w:r>
        <w:rPr>
          <w:vertAlign w:val="superscript"/>
        </w:rPr>
        <w:t>3</w:t>
      </w:r>
      <w:r>
        <w:t>至0.18mg/m</w:t>
      </w:r>
      <w:r>
        <w:rPr>
          <w:vertAlign w:val="superscript"/>
        </w:rPr>
        <w:t>3</w:t>
      </w:r>
      <w:r>
        <w:t>。</w:t>
      </w:r>
    </w:p>
    <w:p>
      <w:pPr>
        <w:ind w:firstLine="482"/>
        <w:rPr>
          <w:b/>
          <w:bCs/>
        </w:rPr>
      </w:pPr>
      <w:r>
        <w:rPr>
          <w:b/>
          <w:bCs/>
        </w:rPr>
        <w:t xml:space="preserve">4、淤泥恶臭 </w:t>
      </w:r>
    </w:p>
    <w:p>
      <w:pPr>
        <w:ind w:firstLine="480"/>
      </w:pPr>
      <w:r>
        <w:t>河道底泥富含腐殖质，在受到扰动和堆置地面时，会引起恶臭物质（主要是氨、硫化氢）呈无组织状态释放，从而影响周围环境空气质量。本项目的恶臭影响主要来自疏浚淤泥。恶臭气体是多组分</w:t>
      </w:r>
      <w:r>
        <w:rPr>
          <w:spacing w:val="-17"/>
        </w:rPr>
        <w:t>、</w:t>
      </w:r>
      <w:r>
        <w:t>低浓度化学物质形成的混合物</w:t>
      </w:r>
      <w:r>
        <w:rPr>
          <w:spacing w:val="-17"/>
        </w:rPr>
        <w:t>，</w:t>
      </w:r>
      <w:r>
        <w:t>成份和含量均难以确定</w:t>
      </w:r>
      <w:r>
        <w:rPr>
          <w:spacing w:val="-17"/>
        </w:rPr>
        <w:t>，</w:t>
      </w:r>
      <w:r>
        <w:rPr>
          <w:spacing w:val="-2"/>
        </w:rPr>
        <w:t>是</w:t>
      </w:r>
      <w:r>
        <w:t>一种感官性指标。根据同类工程底泥堆场的类比调查结果，距离底泥堆场</w:t>
      </w:r>
      <w:r>
        <w:rPr>
          <w:spacing w:val="-38"/>
        </w:rPr>
        <w:t xml:space="preserve"> </w:t>
      </w:r>
      <w:r>
        <w:t>30-50m处有轻微臭味</w:t>
      </w:r>
      <w:r>
        <w:rPr>
          <w:spacing w:val="-64"/>
        </w:rPr>
        <w:t>，</w:t>
      </w:r>
      <w:r>
        <w:t>距离</w:t>
      </w:r>
      <w:r>
        <w:rPr>
          <w:spacing w:val="-60"/>
        </w:rPr>
        <w:t xml:space="preserve"> </w:t>
      </w:r>
      <w:r>
        <w:t>80~100m处基本无臭味</w:t>
      </w:r>
      <w:r>
        <w:rPr>
          <w:spacing w:val="-64"/>
        </w:rPr>
        <w:t>。</w:t>
      </w:r>
    </w:p>
    <w:p>
      <w:pPr>
        <w:pStyle w:val="456"/>
        <w:ind w:firstLine="482"/>
      </w:pPr>
      <w:r>
        <w:t>噪声</w:t>
      </w:r>
    </w:p>
    <w:p>
      <w:pPr>
        <w:ind w:firstLine="480"/>
      </w:pPr>
      <w:r>
        <w:t>施工过程中噪声主要来源于施工设备和汽车运输</w:t>
      </w:r>
      <w:r>
        <w:rPr>
          <w:spacing w:val="-12"/>
        </w:rPr>
        <w:t>，</w:t>
      </w:r>
      <w:r>
        <w:t>噪声源强见下表。</w:t>
      </w:r>
    </w:p>
    <w:p>
      <w:pPr>
        <w:pStyle w:val="2285"/>
        <w:ind w:left="0"/>
        <w:rPr>
          <w:rFonts w:cs="Times New Roman"/>
        </w:rPr>
      </w:pPr>
      <w:r>
        <w:rPr>
          <w:rFonts w:cs="Times New Roman"/>
        </w:rPr>
        <w:t>各施工阶段使用设备及噪声源强一览表</w:t>
      </w:r>
    </w:p>
    <w:tbl>
      <w:tblPr>
        <w:tblStyle w:val="3596"/>
        <w:tblW w:w="471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78"/>
        <w:gridCol w:w="4241"/>
        <w:gridCol w:w="26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828" w:type="dxa"/>
            <w:vAlign w:val="center"/>
          </w:tcPr>
          <w:p>
            <w:pPr>
              <w:pStyle w:val="2691"/>
            </w:pPr>
            <w:r>
              <w:t>序号</w:t>
            </w:r>
          </w:p>
        </w:tc>
        <w:tc>
          <w:tcPr>
            <w:tcW w:w="4129" w:type="dxa"/>
            <w:vAlign w:val="center"/>
          </w:tcPr>
          <w:p>
            <w:pPr>
              <w:pStyle w:val="2691"/>
            </w:pPr>
            <w:r>
              <w:t>噪声源</w:t>
            </w:r>
          </w:p>
        </w:tc>
        <w:tc>
          <w:tcPr>
            <w:tcW w:w="2573" w:type="dxa"/>
            <w:vAlign w:val="center"/>
          </w:tcPr>
          <w:p>
            <w:pPr>
              <w:pStyle w:val="2691"/>
            </w:pPr>
            <w:r>
              <w:rPr>
                <w:rFonts w:hint="eastAsia"/>
              </w:rPr>
              <w:t>1</w:t>
            </w:r>
            <w:r>
              <w:t>m处噪声源强</w:t>
            </w:r>
            <w:r>
              <w:rPr>
                <w:kern w:val="0"/>
              </w:rPr>
              <w:t>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1828" w:type="dxa"/>
            <w:vAlign w:val="center"/>
          </w:tcPr>
          <w:p>
            <w:pPr>
              <w:pStyle w:val="2691"/>
            </w:pPr>
            <w:r>
              <w:rPr>
                <w:rFonts w:hint="eastAsia"/>
              </w:rPr>
              <w:t>1</w:t>
            </w:r>
          </w:p>
        </w:tc>
        <w:tc>
          <w:tcPr>
            <w:tcW w:w="4129" w:type="dxa"/>
            <w:vAlign w:val="center"/>
          </w:tcPr>
          <w:p>
            <w:pPr>
              <w:pStyle w:val="2691"/>
            </w:pPr>
            <w:r>
              <w:t>打桩船</w:t>
            </w:r>
          </w:p>
        </w:tc>
        <w:tc>
          <w:tcPr>
            <w:tcW w:w="2573" w:type="dxa"/>
            <w:vAlign w:val="center"/>
          </w:tcPr>
          <w:p>
            <w:pPr>
              <w:pStyle w:val="2691"/>
            </w:pPr>
            <w:r>
              <w:t>120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828" w:type="dxa"/>
            <w:vAlign w:val="center"/>
          </w:tcPr>
          <w:p>
            <w:pPr>
              <w:pStyle w:val="2691"/>
            </w:pPr>
            <w:r>
              <w:rPr>
                <w:rFonts w:hint="eastAsia"/>
              </w:rPr>
              <w:t>2</w:t>
            </w:r>
          </w:p>
        </w:tc>
        <w:tc>
          <w:tcPr>
            <w:tcW w:w="4129" w:type="dxa"/>
            <w:vAlign w:val="center"/>
          </w:tcPr>
          <w:p>
            <w:pPr>
              <w:pStyle w:val="2691"/>
            </w:pPr>
            <w:r>
              <w:t>混凝土振捣器</w:t>
            </w:r>
          </w:p>
        </w:tc>
        <w:tc>
          <w:tcPr>
            <w:tcW w:w="2573" w:type="dxa"/>
            <w:vAlign w:val="center"/>
          </w:tcPr>
          <w:p>
            <w:pPr>
              <w:pStyle w:val="2691"/>
            </w:pPr>
            <w:r>
              <w:t>105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828" w:type="dxa"/>
            <w:vAlign w:val="center"/>
          </w:tcPr>
          <w:p>
            <w:pPr>
              <w:pStyle w:val="2691"/>
            </w:pPr>
            <w:r>
              <w:rPr>
                <w:rFonts w:hint="eastAsia"/>
              </w:rPr>
              <w:t>3</w:t>
            </w:r>
          </w:p>
        </w:tc>
        <w:tc>
          <w:tcPr>
            <w:tcW w:w="4129" w:type="dxa"/>
            <w:vAlign w:val="center"/>
          </w:tcPr>
          <w:p>
            <w:pPr>
              <w:pStyle w:val="2691"/>
            </w:pPr>
            <w:r>
              <w:rPr>
                <w:rFonts w:hint="eastAsia"/>
              </w:rPr>
              <w:t>载重车</w:t>
            </w:r>
          </w:p>
        </w:tc>
        <w:tc>
          <w:tcPr>
            <w:tcW w:w="2573" w:type="dxa"/>
            <w:vAlign w:val="center"/>
          </w:tcPr>
          <w:p>
            <w:pPr>
              <w:pStyle w:val="2691"/>
            </w:pPr>
            <w:r>
              <w:t>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828" w:type="dxa"/>
            <w:vAlign w:val="center"/>
          </w:tcPr>
          <w:p>
            <w:pPr>
              <w:pStyle w:val="2691"/>
            </w:pPr>
            <w:r>
              <w:rPr>
                <w:rFonts w:hint="eastAsia"/>
              </w:rPr>
              <w:t>4</w:t>
            </w:r>
          </w:p>
        </w:tc>
        <w:tc>
          <w:tcPr>
            <w:tcW w:w="4129" w:type="dxa"/>
            <w:vAlign w:val="center"/>
          </w:tcPr>
          <w:p>
            <w:pPr>
              <w:pStyle w:val="2691"/>
            </w:pPr>
            <w:r>
              <w:t>压路机</w:t>
            </w:r>
          </w:p>
        </w:tc>
        <w:tc>
          <w:tcPr>
            <w:tcW w:w="2573" w:type="dxa"/>
            <w:vAlign w:val="center"/>
          </w:tcPr>
          <w:p>
            <w:pPr>
              <w:pStyle w:val="2691"/>
            </w:pPr>
            <w:r>
              <w:t>75</w:t>
            </w:r>
            <w:r>
              <w:rPr>
                <w:rFonts w:hint="eastAsia"/>
              </w:rPr>
              <w:t>~</w:t>
            </w:r>
            <w:r>
              <w:t>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828" w:type="dxa"/>
            <w:vAlign w:val="center"/>
          </w:tcPr>
          <w:p>
            <w:pPr>
              <w:pStyle w:val="2691"/>
            </w:pPr>
            <w:r>
              <w:rPr>
                <w:rFonts w:hint="eastAsia"/>
              </w:rPr>
              <w:t>5</w:t>
            </w:r>
          </w:p>
        </w:tc>
        <w:tc>
          <w:tcPr>
            <w:tcW w:w="4129" w:type="dxa"/>
            <w:vAlign w:val="center"/>
          </w:tcPr>
          <w:p>
            <w:pPr>
              <w:pStyle w:val="2691"/>
            </w:pPr>
            <w:r>
              <w:rPr>
                <w:rFonts w:hint="eastAsia"/>
              </w:rPr>
              <w:t>起重机</w:t>
            </w:r>
          </w:p>
        </w:tc>
        <w:tc>
          <w:tcPr>
            <w:tcW w:w="2573" w:type="dxa"/>
            <w:vAlign w:val="center"/>
          </w:tcPr>
          <w:p>
            <w:pPr>
              <w:pStyle w:val="2691"/>
            </w:pPr>
            <w:r>
              <w:t>76</w:t>
            </w:r>
            <w:r>
              <w:rPr>
                <w:rFonts w:hint="eastAsia"/>
              </w:rPr>
              <w:t>~</w:t>
            </w:r>
            <w: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828" w:type="dxa"/>
            <w:vAlign w:val="center"/>
          </w:tcPr>
          <w:p>
            <w:pPr>
              <w:pStyle w:val="2691"/>
            </w:pPr>
            <w:r>
              <w:rPr>
                <w:rFonts w:hint="eastAsia"/>
              </w:rPr>
              <w:t>6</w:t>
            </w:r>
          </w:p>
        </w:tc>
        <w:tc>
          <w:tcPr>
            <w:tcW w:w="4129" w:type="dxa"/>
            <w:vAlign w:val="center"/>
          </w:tcPr>
          <w:p>
            <w:pPr>
              <w:pStyle w:val="2691"/>
            </w:pPr>
            <w:r>
              <w:t>直流电焊机</w:t>
            </w:r>
          </w:p>
        </w:tc>
        <w:tc>
          <w:tcPr>
            <w:tcW w:w="2573" w:type="dxa"/>
            <w:vAlign w:val="center"/>
          </w:tcPr>
          <w:p>
            <w:pPr>
              <w:pStyle w:val="2691"/>
            </w:pPr>
            <w:r>
              <w:t>90</w:t>
            </w:r>
          </w:p>
        </w:tc>
      </w:tr>
    </w:tbl>
    <w:p>
      <w:pPr>
        <w:pStyle w:val="456"/>
        <w:ind w:firstLine="482"/>
      </w:pPr>
      <w:r>
        <w:t>固体废物</w:t>
      </w:r>
    </w:p>
    <w:p>
      <w:pPr>
        <w:kinsoku w:val="0"/>
        <w:overflowPunct w:val="0"/>
        <w:spacing w:before="7" w:line="110" w:lineRule="exact"/>
        <w:ind w:firstLine="220"/>
        <w:rPr>
          <w:sz w:val="11"/>
          <w:szCs w:val="11"/>
        </w:rPr>
      </w:pPr>
    </w:p>
    <w:p>
      <w:pPr>
        <w:ind w:firstLine="480"/>
      </w:pPr>
      <w:r>
        <w:t>本项目产生的固体废物主要为施工建筑垃圾</w:t>
      </w:r>
      <w:r>
        <w:rPr>
          <w:spacing w:val="1"/>
        </w:rPr>
        <w:t>及</w:t>
      </w:r>
      <w:r>
        <w:t>施工人员生活垃圾。</w:t>
      </w:r>
    </w:p>
    <w:p>
      <w:pPr>
        <w:ind w:firstLine="482"/>
        <w:rPr>
          <w:b/>
          <w:bCs/>
        </w:rPr>
      </w:pPr>
      <w:r>
        <w:rPr>
          <w:b/>
          <w:bCs/>
        </w:rPr>
        <w:t>1、施工建筑垃圾</w:t>
      </w:r>
    </w:p>
    <w:p>
      <w:pPr>
        <w:ind w:firstLine="480"/>
      </w:pPr>
      <w:r>
        <w:rPr>
          <w:rFonts w:hint="eastAsia"/>
          <w:szCs w:val="28"/>
        </w:rPr>
        <w:t>项目施工共需总挖方</w:t>
      </w:r>
      <w:r>
        <w:rPr>
          <w:szCs w:val="28"/>
        </w:rPr>
        <w:t>22.40</w:t>
      </w:r>
      <w:r>
        <w:rPr>
          <w:rFonts w:hint="eastAsia"/>
          <w:szCs w:val="28"/>
        </w:rPr>
        <w:t>万</w:t>
      </w:r>
      <w:r>
        <w:rPr>
          <w:szCs w:val="28"/>
        </w:rPr>
        <w:t>m</w:t>
      </w:r>
      <w:r>
        <w:rPr>
          <w:szCs w:val="28"/>
          <w:vertAlign w:val="superscript"/>
        </w:rPr>
        <w:t>3</w:t>
      </w:r>
      <w:r>
        <w:rPr>
          <w:rFonts w:hint="eastAsia"/>
          <w:szCs w:val="28"/>
        </w:rPr>
        <w:t>，填方</w:t>
      </w:r>
      <w:r>
        <w:rPr>
          <w:szCs w:val="28"/>
        </w:rPr>
        <w:t>33.83</w:t>
      </w:r>
      <w:r>
        <w:rPr>
          <w:rFonts w:hint="eastAsia"/>
          <w:szCs w:val="28"/>
        </w:rPr>
        <w:t>万</w:t>
      </w:r>
      <w:r>
        <w:rPr>
          <w:szCs w:val="28"/>
        </w:rPr>
        <w:t>m</w:t>
      </w:r>
      <w:r>
        <w:rPr>
          <w:szCs w:val="28"/>
          <w:vertAlign w:val="superscript"/>
        </w:rPr>
        <w:t>3</w:t>
      </w:r>
      <w:r>
        <w:rPr>
          <w:rFonts w:hint="eastAsia"/>
          <w:szCs w:val="28"/>
        </w:rPr>
        <w:t>，借方</w:t>
      </w:r>
      <w:r>
        <w:rPr>
          <w:szCs w:val="28"/>
        </w:rPr>
        <w:t>11.43m</w:t>
      </w:r>
      <w:r>
        <w:rPr>
          <w:szCs w:val="28"/>
          <w:vertAlign w:val="superscript"/>
        </w:rPr>
        <w:t>3</w:t>
      </w:r>
      <w:r>
        <w:rPr>
          <w:rFonts w:hint="eastAsia"/>
          <w:szCs w:val="28"/>
        </w:rPr>
        <w:t>，弃方为0，工程开挖的土石方利用率达到</w:t>
      </w:r>
      <w:r>
        <w:rPr>
          <w:szCs w:val="28"/>
        </w:rPr>
        <w:t>100</w:t>
      </w:r>
      <w:r>
        <w:rPr>
          <w:rFonts w:hint="eastAsia"/>
          <w:szCs w:val="28"/>
        </w:rPr>
        <w:t>％</w:t>
      </w:r>
      <w:r>
        <w:rPr>
          <w:rFonts w:hint="eastAsia"/>
        </w:rPr>
        <w:t>。</w:t>
      </w:r>
    </w:p>
    <w:p>
      <w:pPr>
        <w:ind w:firstLine="480"/>
      </w:pPr>
      <w:r>
        <w:t>引桥钻孔渣、建筑施工材料及</w:t>
      </w:r>
      <w:r>
        <w:rPr>
          <w:rFonts w:hint="eastAsia"/>
        </w:rPr>
        <w:t>废弃</w:t>
      </w:r>
      <w:r>
        <w:t>混凝土等建筑垃圾约为</w:t>
      </w:r>
      <w:r>
        <w:rPr>
          <w:rFonts w:hint="eastAsia"/>
        </w:rPr>
        <w:t>1</w:t>
      </w:r>
      <w:r>
        <w:t>00</w:t>
      </w:r>
      <w:r>
        <w:rPr>
          <w:rFonts w:hint="eastAsia"/>
        </w:rPr>
        <w:t>~</w:t>
      </w:r>
      <w:r>
        <w:t>150t。施工建筑垃圾中可利用的物料较多，应根据情况尽量回收利用，以降低成本并减少其发生量。</w:t>
      </w:r>
    </w:p>
    <w:p>
      <w:pPr>
        <w:ind w:firstLine="482"/>
        <w:rPr>
          <w:b/>
          <w:bCs/>
        </w:rPr>
      </w:pPr>
      <w:r>
        <w:rPr>
          <w:b/>
          <w:bCs/>
        </w:rPr>
        <w:t>2、施工人员生活垃圾</w:t>
      </w:r>
    </w:p>
    <w:p>
      <w:pPr>
        <w:pStyle w:val="458"/>
        <w:ind w:firstLine="480"/>
        <w:rPr>
          <w:rFonts w:cs="Times New Roman"/>
          <w:color w:val="auto"/>
          <w:kern w:val="0"/>
        </w:rPr>
      </w:pPr>
      <w:r>
        <w:rPr>
          <w:rFonts w:cs="Times New Roman"/>
          <w:color w:val="auto"/>
          <w:kern w:val="0"/>
        </w:rPr>
        <w:t>施工期施工人员按50人/天计算，人均生活垃圾发生量按1.0 kg/天估算，施工期生活垃圾发生量为0.05 t/d，工程施工期为24个月（按720d计），则整个施工期生活垃圾发生量为36 t。</w:t>
      </w:r>
    </w:p>
    <w:p>
      <w:pPr>
        <w:pStyle w:val="456"/>
        <w:ind w:firstLine="482"/>
      </w:pPr>
      <w:r>
        <w:t>生态环境</w:t>
      </w:r>
    </w:p>
    <w:p>
      <w:pPr>
        <w:pStyle w:val="458"/>
        <w:ind w:firstLine="480"/>
        <w:rPr>
          <w:rFonts w:cs="Times New Roman"/>
          <w:color w:val="auto"/>
        </w:rPr>
      </w:pPr>
      <w:r>
        <w:rPr>
          <w:rFonts w:cs="Times New Roman"/>
          <w:color w:val="auto"/>
        </w:rPr>
        <w:t>（1）由于涉水工程施工导致的水质破坏，浮游生物、底栖动物等饵料生物量的减少，改变了施工范围内原有鱼类的生存、生长和繁衍条件，鱼类将择水而栖迁到其它地方，施工区域浮游生物、底栖动物、鱼类数量有所降低。</w:t>
      </w:r>
    </w:p>
    <w:p>
      <w:pPr>
        <w:pStyle w:val="458"/>
        <w:ind w:firstLine="480"/>
        <w:rPr>
          <w:rFonts w:cs="Times New Roman"/>
          <w:color w:val="auto"/>
        </w:rPr>
      </w:pPr>
      <w:r>
        <w:rPr>
          <w:rFonts w:cs="Times New Roman"/>
          <w:color w:val="auto"/>
          <w:kern w:val="0"/>
        </w:rPr>
        <w:t>（2）</w:t>
      </w:r>
      <w:r>
        <w:rPr>
          <w:rFonts w:cs="Times New Roman"/>
          <w:color w:val="auto"/>
        </w:rPr>
        <w:t>施工船舶生活污水、舱底油污水如果处置不当，可能引起局部水域污染，损害浮游生物、底栖生物群落结构和鱼类的生存、繁殖，影响水产生物的使用价值。</w:t>
      </w:r>
    </w:p>
    <w:p>
      <w:pPr>
        <w:pStyle w:val="458"/>
        <w:ind w:firstLine="480"/>
        <w:rPr>
          <w:rFonts w:cs="Times New Roman"/>
          <w:color w:val="auto"/>
        </w:rPr>
      </w:pPr>
      <w:r>
        <w:rPr>
          <w:rFonts w:cs="Times New Roman"/>
          <w:color w:val="auto"/>
        </w:rPr>
        <w:t>（3）本工程桩基直接占用河床，施工会直接导致该区域底栖生物永久损失。</w:t>
      </w:r>
    </w:p>
    <w:p>
      <w:pPr>
        <w:pStyle w:val="458"/>
        <w:ind w:firstLine="480"/>
        <w:rPr>
          <w:rFonts w:cs="Times New Roman"/>
          <w:color w:val="auto"/>
        </w:rPr>
      </w:pPr>
      <w:r>
        <w:rPr>
          <w:rFonts w:cs="Times New Roman"/>
          <w:color w:val="auto"/>
        </w:rPr>
        <w:t>（4）引桥施工时，将对河滩地的植被造成破坏，施工活动会造成一定生物量损失。</w:t>
      </w:r>
    </w:p>
    <w:p>
      <w:pPr>
        <w:ind w:firstLine="480"/>
        <w:rPr>
          <w:kern w:val="0"/>
        </w:rPr>
      </w:pPr>
      <w:r>
        <w:rPr>
          <w:rFonts w:hint="eastAsia"/>
        </w:rPr>
        <w:t>（5）陆域</w:t>
      </w:r>
      <w:r>
        <w:t>区域为工业用地，工程范围内有少量人工绿化植物，评价区域内没有珍稀和需要保护的植物。码头陆域工程建设施工将造成局部陆域少量植被破坏，造成水土流失，景观受到影响以致与现有的生态环境不协调，但其影响很有限，工程建设对陆域生态环境的影响很小。随着工程建设的完工，港区绿化工程的实施，以及土地硬化，港区陆域生态环境的破坏将逐步恢复。</w:t>
      </w:r>
    </w:p>
    <w:p>
      <w:pPr>
        <w:pStyle w:val="454"/>
        <w:ind w:firstLine="602"/>
        <w:rPr>
          <w:color w:val="auto"/>
        </w:rPr>
      </w:pPr>
      <w:r>
        <w:rPr>
          <w:color w:val="auto"/>
        </w:rPr>
        <w:t>运营期环境影响源分析</w:t>
      </w:r>
    </w:p>
    <w:p>
      <w:pPr>
        <w:pStyle w:val="456"/>
        <w:ind w:firstLine="482"/>
      </w:pPr>
      <w:r>
        <w:t>废水</w:t>
      </w:r>
    </w:p>
    <w:p>
      <w:pPr>
        <w:pStyle w:val="458"/>
        <w:ind w:firstLine="480"/>
        <w:rPr>
          <w:rFonts w:cs="Times New Roman"/>
          <w:bCs/>
          <w:color w:val="auto"/>
        </w:rPr>
      </w:pPr>
      <w:r>
        <w:rPr>
          <w:color w:val="auto"/>
        </w:rPr>
        <w:t>本项目用水项目包括生产用水、生活用水和绿化用水。生产用水包括地面冲洗用水</w:t>
      </w:r>
      <w:r>
        <w:rPr>
          <w:rFonts w:hint="eastAsia"/>
          <w:color w:val="auto"/>
        </w:rPr>
        <w:t>、</w:t>
      </w:r>
      <w:r>
        <w:rPr>
          <w:color w:val="auto"/>
        </w:rPr>
        <w:t>流动机械冲洗用水</w:t>
      </w:r>
      <w:r>
        <w:rPr>
          <w:rFonts w:hint="eastAsia"/>
          <w:color w:val="auto"/>
        </w:rPr>
        <w:t>和散货抑尘</w:t>
      </w:r>
      <w:r>
        <w:rPr>
          <w:color w:val="auto"/>
        </w:rPr>
        <w:t>用水。</w:t>
      </w:r>
    </w:p>
    <w:p>
      <w:pPr>
        <w:pStyle w:val="458"/>
        <w:ind w:firstLine="480"/>
        <w:rPr>
          <w:rFonts w:cs="Times New Roman"/>
          <w:bCs/>
          <w:color w:val="auto"/>
        </w:rPr>
      </w:pPr>
      <w:r>
        <w:rPr>
          <w:rFonts w:cs="Times New Roman"/>
          <w:bCs/>
          <w:color w:val="auto"/>
        </w:rPr>
        <w:t>本项目</w:t>
      </w:r>
      <w:r>
        <w:rPr>
          <w:rFonts w:cs="Times New Roman"/>
          <w:color w:val="auto"/>
          <w:szCs w:val="28"/>
        </w:rPr>
        <w:t>采用先进环保的装卸船设备，抓斗、漏斗等装卸料点均采用高压自动微雾抑尘系统湿式除尘方式，</w:t>
      </w:r>
      <w:r>
        <w:rPr>
          <w:rFonts w:cs="Times New Roman"/>
          <w:color w:val="auto"/>
          <w:kern w:val="0"/>
        </w:rPr>
        <w:t>粉尘与水雾一起沉降，无抑尘废水产生。</w:t>
      </w:r>
      <w:r>
        <w:rPr>
          <w:rFonts w:cs="Times New Roman"/>
          <w:bCs/>
          <w:color w:val="auto"/>
        </w:rPr>
        <w:t>因此，本项目产生的废水主要为船舶废水（船舶舱底油污水、船舶生活污水）</w:t>
      </w:r>
      <w:r>
        <w:rPr>
          <w:rFonts w:hint="eastAsia" w:cs="Times New Roman"/>
          <w:bCs/>
          <w:color w:val="auto"/>
        </w:rPr>
        <w:t>、生产废水（地面</w:t>
      </w:r>
      <w:r>
        <w:rPr>
          <w:rFonts w:cs="Times New Roman"/>
          <w:bCs/>
          <w:color w:val="auto"/>
        </w:rPr>
        <w:t>冲洗废水、流动机械冲洗废水</w:t>
      </w:r>
      <w:r>
        <w:rPr>
          <w:rFonts w:hint="eastAsia" w:cs="Times New Roman"/>
          <w:bCs/>
          <w:color w:val="auto"/>
        </w:rPr>
        <w:t>、</w:t>
      </w:r>
      <w:r>
        <w:rPr>
          <w:rFonts w:cs="Times New Roman"/>
          <w:bCs/>
          <w:color w:val="auto"/>
        </w:rPr>
        <w:t>初期雨水</w:t>
      </w:r>
      <w:r>
        <w:rPr>
          <w:rFonts w:hint="eastAsia" w:cs="Times New Roman"/>
          <w:bCs/>
          <w:color w:val="auto"/>
        </w:rPr>
        <w:t>）</w:t>
      </w:r>
      <w:r>
        <w:rPr>
          <w:rFonts w:cs="Times New Roman"/>
          <w:bCs/>
          <w:color w:val="auto"/>
        </w:rPr>
        <w:t>和生活污水。</w:t>
      </w:r>
    </w:p>
    <w:p>
      <w:pPr>
        <w:widowControl/>
        <w:ind w:firstLine="470"/>
        <w:rPr>
          <w:b/>
          <w:spacing w:val="-3"/>
          <w:szCs w:val="22"/>
        </w:rPr>
      </w:pPr>
      <w:r>
        <w:rPr>
          <w:b/>
          <w:spacing w:val="-3"/>
          <w:szCs w:val="22"/>
        </w:rPr>
        <w:t>（1）船舶废水</w:t>
      </w:r>
    </w:p>
    <w:p>
      <w:pPr>
        <w:widowControl/>
        <w:ind w:firstLine="468"/>
        <w:rPr>
          <w:spacing w:val="-3"/>
          <w:szCs w:val="22"/>
        </w:rPr>
      </w:pPr>
      <w:r>
        <w:rPr>
          <w:rFonts w:hint="eastAsia" w:ascii="宋体" w:hAnsi="宋体" w:cs="宋体"/>
          <w:spacing w:val="-3"/>
          <w:szCs w:val="22"/>
        </w:rPr>
        <w:t>①</w:t>
      </w:r>
      <w:r>
        <w:rPr>
          <w:spacing w:val="-3"/>
          <w:szCs w:val="22"/>
        </w:rPr>
        <w:t>船舶舱底油污水</w:t>
      </w:r>
    </w:p>
    <w:p>
      <w:pPr>
        <w:widowControl/>
        <w:ind w:firstLine="468"/>
        <w:rPr>
          <w:spacing w:val="-3"/>
          <w:szCs w:val="22"/>
        </w:rPr>
      </w:pPr>
      <w:r>
        <w:rPr>
          <w:spacing w:val="-3"/>
          <w:szCs w:val="22"/>
        </w:rPr>
        <w:t>来港船舶机舱底由于机械运转等会产生一定量的油污水。根据可研，本项目设计代表船型为10000、5000DWT级船舶，码头营运天数为330天。根据</w:t>
      </w:r>
      <w:r>
        <w:t>《水运工程环境保护设计规范》（</w:t>
      </w:r>
      <w:r>
        <w:rPr>
          <w:spacing w:val="-3"/>
          <w:szCs w:val="22"/>
        </w:rPr>
        <w:t>JTS 149-2018</w:t>
      </w:r>
      <w:r>
        <w:t>），</w:t>
      </w:r>
      <w:r>
        <w:rPr>
          <w:spacing w:val="-3"/>
        </w:rPr>
        <w:t>10000 DWT级船舶舱底油污水产生量为2.8</w:t>
      </w:r>
      <w:r>
        <w:rPr>
          <w:kern w:val="0"/>
        </w:rPr>
        <w:t xml:space="preserve"> t/d</w:t>
      </w:r>
      <w:r>
        <w:rPr>
          <w:spacing w:val="-1"/>
          <w:kern w:val="0"/>
        </w:rPr>
        <w:t>·</w:t>
      </w:r>
      <w:r>
        <w:rPr>
          <w:spacing w:val="1"/>
          <w:kern w:val="0"/>
        </w:rPr>
        <w:t>艘，</w:t>
      </w:r>
      <w:r>
        <w:rPr>
          <w:spacing w:val="-3"/>
        </w:rPr>
        <w:t>5000 DWT 级船舶舱底油污水产生量为1.39</w:t>
      </w:r>
      <w:r>
        <w:rPr>
          <w:kern w:val="0"/>
        </w:rPr>
        <w:t xml:space="preserve"> t/d</w:t>
      </w:r>
      <w:r>
        <w:rPr>
          <w:spacing w:val="-1"/>
          <w:kern w:val="0"/>
        </w:rPr>
        <w:t>·</w:t>
      </w:r>
      <w:r>
        <w:rPr>
          <w:spacing w:val="1"/>
          <w:kern w:val="0"/>
        </w:rPr>
        <w:t>艘，根据本工程设计吞吐量及设计代表船型</w:t>
      </w:r>
      <w:r>
        <w:t>，港区进口船舶为1793</w:t>
      </w:r>
      <w:r>
        <w:rPr>
          <w:spacing w:val="1"/>
          <w:kern w:val="0"/>
        </w:rPr>
        <w:t>艘</w:t>
      </w:r>
      <w:r>
        <w:t>/a，出口船舶为917</w:t>
      </w:r>
      <w:r>
        <w:rPr>
          <w:spacing w:val="1"/>
          <w:kern w:val="0"/>
        </w:rPr>
        <w:t>艘</w:t>
      </w:r>
      <w:r>
        <w:t>/a，</w:t>
      </w:r>
      <w:r>
        <w:rPr>
          <w:spacing w:val="-3"/>
        </w:rPr>
        <w:t>估算本项目到港船舶滞港期间舱底油污水全年产生总量约</w:t>
      </w:r>
      <w:r>
        <w:rPr>
          <w:kern w:val="0"/>
        </w:rPr>
        <w:t xml:space="preserve">10040.8 </w:t>
      </w:r>
      <w:r>
        <w:t>t/a</w:t>
      </w:r>
      <w:r>
        <w:rPr>
          <w:spacing w:val="-3"/>
        </w:rPr>
        <w:t>。舱底含油污</w:t>
      </w:r>
      <w:r>
        <w:rPr>
          <w:spacing w:val="-3"/>
          <w:szCs w:val="22"/>
        </w:rPr>
        <w:t>水的平均含油浓度为5000mg/L，则石油类产生量为50.204 t/a。</w:t>
      </w:r>
    </w:p>
    <w:p>
      <w:pPr>
        <w:widowControl/>
        <w:ind w:firstLine="468"/>
        <w:rPr>
          <w:spacing w:val="-3"/>
          <w:szCs w:val="22"/>
        </w:rPr>
      </w:pPr>
      <w:r>
        <w:rPr>
          <w:spacing w:val="-3"/>
          <w:szCs w:val="22"/>
        </w:rPr>
        <w:t>根据《1973 年国际防止船舶造成污染公约及其 1978 议定》、《中华人民共和国防治船舶污染内河水域环境管理规定》（交通运输部令2015年第25号）</w:t>
      </w:r>
      <w:r>
        <w:rPr>
          <w:rFonts w:hint="eastAsia"/>
          <w:spacing w:val="-3"/>
          <w:szCs w:val="22"/>
        </w:rPr>
        <w:t>等</w:t>
      </w:r>
      <w:r>
        <w:rPr>
          <w:spacing w:val="-3"/>
          <w:szCs w:val="22"/>
        </w:rPr>
        <w:t>相关规定，到港船舶本身应配有处理机舱油污水的船用油水分离器，经处理后含油量应小于15mg/L，不得在码头所在江段排放。船舶因故不能自行处理时，应申请海事部门的环保工作船进行专业收集处理，码头水域不得排放舱底油污水。</w:t>
      </w:r>
    </w:p>
    <w:p>
      <w:pPr>
        <w:widowControl/>
        <w:ind w:firstLine="480"/>
        <w:rPr>
          <w:spacing w:val="-3"/>
          <w:szCs w:val="22"/>
        </w:rPr>
      </w:pPr>
      <w:r>
        <w:t>本项目</w:t>
      </w:r>
      <w:r>
        <w:rPr>
          <w:spacing w:val="-3"/>
          <w:szCs w:val="22"/>
        </w:rPr>
        <w:t>到港船舶油污水</w:t>
      </w:r>
      <w:r>
        <w:rPr>
          <w:rFonts w:hint="eastAsia" w:ascii="Times New Roman" w:hAnsi="Times New Roman" w:cs="Times New Roman" w:eastAsiaTheme="minorEastAsia"/>
          <w:kern w:val="2"/>
          <w:sz w:val="24"/>
          <w:szCs w:val="24"/>
          <w:lang w:val="en-US" w:eastAsia="zh-CN" w:bidi="ar"/>
        </w:rPr>
        <w:t>上岸进入港区专用</w:t>
      </w:r>
      <w:r>
        <w:rPr>
          <w:rFonts w:hint="eastAsia" w:cs="Times New Roman" w:eastAsiaTheme="minorEastAsia"/>
          <w:kern w:val="2"/>
          <w:sz w:val="24"/>
          <w:szCs w:val="24"/>
          <w:lang w:val="en-US" w:eastAsia="zh-CN" w:bidi="ar"/>
        </w:rPr>
        <w:t>接收装置</w:t>
      </w:r>
      <w:r>
        <w:rPr>
          <w:rFonts w:hint="eastAsia" w:ascii="Times New Roman" w:hAnsi="Times New Roman" w:cs="Times New Roman" w:eastAsiaTheme="minorEastAsia"/>
          <w:kern w:val="2"/>
          <w:sz w:val="24"/>
          <w:szCs w:val="24"/>
          <w:lang w:val="en-US" w:eastAsia="zh-CN" w:bidi="ar"/>
        </w:rPr>
        <w:t>，</w:t>
      </w:r>
      <w:r>
        <w:rPr>
          <w:spacing w:val="-3"/>
          <w:szCs w:val="22"/>
        </w:rPr>
        <w:t>申请海事部门的环保工作船进行专业收集处理。</w:t>
      </w:r>
      <w:r>
        <w:t>经</w:t>
      </w:r>
      <w:r>
        <w:rPr>
          <w:spacing w:val="5"/>
        </w:rPr>
        <w:t>油水</w:t>
      </w:r>
      <w:r>
        <w:rPr>
          <w:spacing w:val="4"/>
        </w:rPr>
        <w:t>分离</w:t>
      </w:r>
      <w:r>
        <w:rPr>
          <w:spacing w:val="5"/>
        </w:rPr>
        <w:t>器处理后</w:t>
      </w:r>
      <w:r>
        <w:rPr>
          <w:rFonts w:hint="eastAsia"/>
          <w:spacing w:val="5"/>
        </w:rPr>
        <w:t>，</w:t>
      </w:r>
      <w:r>
        <w:rPr>
          <w:spacing w:val="-3"/>
          <w:szCs w:val="22"/>
        </w:rPr>
        <w:t>含油量</w:t>
      </w:r>
      <w:r>
        <w:rPr>
          <w:rFonts w:hint="eastAsia"/>
          <w:spacing w:val="-3"/>
          <w:szCs w:val="22"/>
        </w:rPr>
        <w:t>按照</w:t>
      </w:r>
      <w:r>
        <w:rPr>
          <w:spacing w:val="-3"/>
          <w:szCs w:val="22"/>
        </w:rPr>
        <w:t>15mg/L计算</w:t>
      </w:r>
      <w:r>
        <w:rPr>
          <w:rFonts w:hint="eastAsia"/>
          <w:spacing w:val="-3"/>
          <w:szCs w:val="22"/>
        </w:rPr>
        <w:t>，</w:t>
      </w:r>
      <w:r>
        <w:rPr>
          <w:spacing w:val="-3"/>
          <w:szCs w:val="22"/>
        </w:rPr>
        <w:t>则</w:t>
      </w:r>
      <w:r>
        <w:rPr>
          <w:spacing w:val="-10"/>
        </w:rPr>
        <w:t>处理后石油类产生量为</w:t>
      </w:r>
      <w:r>
        <w:rPr>
          <w:spacing w:val="-1"/>
        </w:rPr>
        <w:t>0.15t/</w:t>
      </w:r>
      <w:r>
        <w:t>a。</w:t>
      </w:r>
    </w:p>
    <w:p>
      <w:pPr>
        <w:widowControl/>
        <w:ind w:firstLine="468"/>
        <w:rPr>
          <w:spacing w:val="-3"/>
          <w:szCs w:val="22"/>
        </w:rPr>
      </w:pPr>
      <w:r>
        <w:rPr>
          <w:rFonts w:hint="eastAsia" w:ascii="宋体" w:hAnsi="宋体" w:cs="宋体"/>
          <w:spacing w:val="-3"/>
          <w:szCs w:val="22"/>
        </w:rPr>
        <w:t>②</w:t>
      </w:r>
      <w:r>
        <w:rPr>
          <w:spacing w:val="-3"/>
          <w:szCs w:val="22"/>
        </w:rPr>
        <w:t>船舶生活污水</w:t>
      </w:r>
    </w:p>
    <w:p>
      <w:pPr>
        <w:widowControl/>
        <w:ind w:firstLine="468"/>
        <w:rPr>
          <w:spacing w:val="-3"/>
          <w:szCs w:val="22"/>
        </w:rPr>
      </w:pPr>
      <w:r>
        <w:rPr>
          <w:spacing w:val="-3"/>
          <w:szCs w:val="22"/>
        </w:rPr>
        <w:t>根据73/78国际海事组织公约附则Ⅳ，船舶上必须备有经主管机关认可的生活污水处理装置，且需保证生活污水处理设施的正常运转，达到标准后方可在航行中并且在12海里以外排放，但是到港后执行铅封规定，因此，本项目运营期船舶生活污水主要为船舶在港期间所产生的生活污水。</w:t>
      </w:r>
    </w:p>
    <w:p>
      <w:pPr>
        <w:widowControl/>
        <w:ind w:firstLine="468"/>
      </w:pPr>
      <w:r>
        <w:rPr>
          <w:spacing w:val="-3"/>
          <w:szCs w:val="22"/>
        </w:rPr>
        <w:t>根据设计船型船员数（平均以6人/艘估算），按每人日平均用水量150L计，</w:t>
      </w:r>
      <w:r>
        <w:t>根据本工程设计吞吐量及设计代表船型数量</w:t>
      </w:r>
      <w:r>
        <w:rPr>
          <w:rFonts w:hint="eastAsia"/>
        </w:rPr>
        <w:t>、在港</w:t>
      </w:r>
      <w:r>
        <w:t>时间</w:t>
      </w:r>
      <w:r>
        <w:rPr>
          <w:rFonts w:hint="eastAsia"/>
        </w:rPr>
        <w:t>，</w:t>
      </w:r>
      <w:r>
        <w:t>计算可知</w:t>
      </w:r>
      <w:r>
        <w:rPr>
          <w:spacing w:val="-3"/>
          <w:szCs w:val="22"/>
        </w:rPr>
        <w:t>船舶生活用水量为 1018.05m</w:t>
      </w:r>
      <w:r>
        <w:rPr>
          <w:spacing w:val="-3"/>
          <w:szCs w:val="22"/>
          <w:vertAlign w:val="superscript"/>
        </w:rPr>
        <w:t>3</w:t>
      </w:r>
      <w:r>
        <w:rPr>
          <w:spacing w:val="-3"/>
          <w:szCs w:val="22"/>
        </w:rPr>
        <w:t>/a（合3.08 m</w:t>
      </w:r>
      <w:r>
        <w:rPr>
          <w:spacing w:val="-3"/>
          <w:szCs w:val="22"/>
          <w:vertAlign w:val="superscript"/>
        </w:rPr>
        <w:t>3</w:t>
      </w:r>
      <w:r>
        <w:rPr>
          <w:spacing w:val="-3"/>
          <w:szCs w:val="22"/>
        </w:rPr>
        <w:t>/d）。生活污水排放量按用水量的80%计，则船舶生活污水的产生量为814.44 m</w:t>
      </w:r>
      <w:r>
        <w:rPr>
          <w:spacing w:val="-3"/>
          <w:szCs w:val="22"/>
          <w:vertAlign w:val="superscript"/>
        </w:rPr>
        <w:t>3</w:t>
      </w:r>
      <w:r>
        <w:rPr>
          <w:spacing w:val="-3"/>
          <w:szCs w:val="22"/>
        </w:rPr>
        <w:t>/a（合2.47 m</w:t>
      </w:r>
      <w:r>
        <w:rPr>
          <w:spacing w:val="-3"/>
          <w:szCs w:val="22"/>
          <w:vertAlign w:val="superscript"/>
        </w:rPr>
        <w:t>3</w:t>
      </w:r>
      <w:r>
        <w:rPr>
          <w:spacing w:val="-3"/>
          <w:szCs w:val="22"/>
        </w:rPr>
        <w:t>/d）。污水中主要污染因子为COD、BOD</w:t>
      </w:r>
      <w:r>
        <w:rPr>
          <w:spacing w:val="-3"/>
          <w:szCs w:val="22"/>
          <w:vertAlign w:val="subscript"/>
        </w:rPr>
        <w:t>5</w:t>
      </w:r>
      <w:r>
        <w:rPr>
          <w:spacing w:val="-3"/>
          <w:szCs w:val="22"/>
        </w:rPr>
        <w:t>、SS、NH</w:t>
      </w:r>
      <w:r>
        <w:rPr>
          <w:spacing w:val="-3"/>
          <w:szCs w:val="22"/>
          <w:vertAlign w:val="subscript"/>
        </w:rPr>
        <w:t>3</w:t>
      </w:r>
      <w:r>
        <w:rPr>
          <w:spacing w:val="-3"/>
          <w:szCs w:val="22"/>
        </w:rPr>
        <w:t>-N，其浓度分别为350mg/L、250mg/L、400mg/L、40mg/L，则COD、BOD</w:t>
      </w:r>
      <w:r>
        <w:rPr>
          <w:spacing w:val="-3"/>
          <w:szCs w:val="22"/>
          <w:vertAlign w:val="subscript"/>
        </w:rPr>
        <w:t>5</w:t>
      </w:r>
      <w:r>
        <w:rPr>
          <w:spacing w:val="-3"/>
          <w:szCs w:val="22"/>
        </w:rPr>
        <w:t>、SS、NH</w:t>
      </w:r>
      <w:r>
        <w:rPr>
          <w:spacing w:val="-3"/>
          <w:szCs w:val="22"/>
          <w:vertAlign w:val="subscript"/>
        </w:rPr>
        <w:t>3</w:t>
      </w:r>
      <w:r>
        <w:rPr>
          <w:spacing w:val="-3"/>
          <w:szCs w:val="22"/>
        </w:rPr>
        <w:t>-N的产生量分别为0.12 t/a、0.08 t/a、0.10 t/a、0.01 t/a。船舶生活</w:t>
      </w:r>
      <w:r>
        <w:t>污水污染源强见下表。</w:t>
      </w:r>
    </w:p>
    <w:p>
      <w:pPr>
        <w:pStyle w:val="2285"/>
        <w:ind w:left="0"/>
        <w:rPr>
          <w:rFonts w:cs="Times New Roman"/>
          <w:spacing w:val="-3"/>
          <w:szCs w:val="22"/>
        </w:rPr>
      </w:pPr>
      <w:r>
        <w:rPr>
          <w:rFonts w:cs="Times New Roman"/>
        </w:rPr>
        <w:t>船舶生活污水产生源强</w:t>
      </w:r>
    </w:p>
    <w:tbl>
      <w:tblPr>
        <w:tblStyle w:val="3596"/>
        <w:tblW w:w="928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35"/>
        <w:gridCol w:w="992"/>
        <w:gridCol w:w="709"/>
        <w:gridCol w:w="722"/>
        <w:gridCol w:w="766"/>
        <w:gridCol w:w="709"/>
        <w:gridCol w:w="709"/>
        <w:gridCol w:w="709"/>
        <w:gridCol w:w="708"/>
        <w:gridCol w:w="709"/>
        <w:gridCol w:w="141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35" w:type="dxa"/>
            <w:vMerge w:val="restart"/>
            <w:vAlign w:val="center"/>
          </w:tcPr>
          <w:p>
            <w:pPr>
              <w:pStyle w:val="2691"/>
            </w:pPr>
            <w:r>
              <w:t>项目</w:t>
            </w:r>
          </w:p>
        </w:tc>
        <w:tc>
          <w:tcPr>
            <w:tcW w:w="992" w:type="dxa"/>
            <w:vMerge w:val="restart"/>
            <w:vAlign w:val="center"/>
          </w:tcPr>
          <w:p>
            <w:pPr>
              <w:pStyle w:val="2691"/>
            </w:pPr>
            <w:r>
              <w:t>废水量</w:t>
            </w:r>
          </w:p>
          <w:p>
            <w:pPr>
              <w:pStyle w:val="2691"/>
            </w:pPr>
            <w:r>
              <w:rPr>
                <w:spacing w:val="-3"/>
                <w:szCs w:val="22"/>
              </w:rPr>
              <w:t>m</w:t>
            </w:r>
            <w:r>
              <w:rPr>
                <w:spacing w:val="-3"/>
                <w:szCs w:val="22"/>
                <w:vertAlign w:val="superscript"/>
              </w:rPr>
              <w:t>3</w:t>
            </w:r>
            <w:r>
              <w:t>/a</w:t>
            </w:r>
          </w:p>
        </w:tc>
        <w:tc>
          <w:tcPr>
            <w:tcW w:w="1431" w:type="dxa"/>
            <w:gridSpan w:val="2"/>
            <w:vAlign w:val="center"/>
          </w:tcPr>
          <w:p>
            <w:pPr>
              <w:pStyle w:val="2691"/>
            </w:pPr>
            <w:r>
              <w:t>COD</w:t>
            </w:r>
          </w:p>
        </w:tc>
        <w:tc>
          <w:tcPr>
            <w:tcW w:w="1475" w:type="dxa"/>
            <w:gridSpan w:val="2"/>
            <w:vAlign w:val="center"/>
          </w:tcPr>
          <w:p>
            <w:pPr>
              <w:pStyle w:val="2691"/>
            </w:pPr>
            <w:r>
              <w:t>BOD</w:t>
            </w:r>
            <w:r>
              <w:rPr>
                <w:vertAlign w:val="subscript"/>
              </w:rPr>
              <w:t>5</w:t>
            </w:r>
          </w:p>
        </w:tc>
        <w:tc>
          <w:tcPr>
            <w:tcW w:w="1418" w:type="dxa"/>
            <w:gridSpan w:val="2"/>
            <w:vAlign w:val="center"/>
          </w:tcPr>
          <w:p>
            <w:pPr>
              <w:pStyle w:val="2691"/>
            </w:pPr>
            <w:r>
              <w:t>SS</w:t>
            </w:r>
          </w:p>
        </w:tc>
        <w:tc>
          <w:tcPr>
            <w:tcW w:w="1417" w:type="dxa"/>
            <w:gridSpan w:val="2"/>
            <w:vAlign w:val="center"/>
          </w:tcPr>
          <w:p>
            <w:pPr>
              <w:pStyle w:val="2691"/>
            </w:pPr>
            <w:r>
              <w:t>NH</w:t>
            </w:r>
            <w:r>
              <w:rPr>
                <w:vertAlign w:val="subscript"/>
              </w:rPr>
              <w:t>3</w:t>
            </w:r>
            <w:r>
              <w:t>-N</w:t>
            </w:r>
          </w:p>
        </w:tc>
        <w:tc>
          <w:tcPr>
            <w:tcW w:w="1418" w:type="dxa"/>
            <w:vMerge w:val="restart"/>
            <w:vAlign w:val="center"/>
          </w:tcPr>
          <w:p>
            <w:pPr>
              <w:pStyle w:val="2691"/>
            </w:pPr>
            <w:r>
              <w:t>处理方式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35" w:type="dxa"/>
            <w:vMerge w:val="continue"/>
            <w:vAlign w:val="center"/>
          </w:tcPr>
          <w:p>
            <w:pPr>
              <w:pStyle w:val="2691"/>
            </w:pPr>
          </w:p>
        </w:tc>
        <w:tc>
          <w:tcPr>
            <w:tcW w:w="992" w:type="dxa"/>
            <w:vMerge w:val="continue"/>
            <w:vAlign w:val="center"/>
          </w:tcPr>
          <w:p>
            <w:pPr>
              <w:pStyle w:val="2691"/>
            </w:pPr>
          </w:p>
        </w:tc>
        <w:tc>
          <w:tcPr>
            <w:tcW w:w="709" w:type="dxa"/>
            <w:vAlign w:val="center"/>
          </w:tcPr>
          <w:p>
            <w:pPr>
              <w:pStyle w:val="2691"/>
            </w:pPr>
            <w:r>
              <w:t>mg/L</w:t>
            </w:r>
          </w:p>
        </w:tc>
        <w:tc>
          <w:tcPr>
            <w:tcW w:w="722" w:type="dxa"/>
            <w:vAlign w:val="center"/>
          </w:tcPr>
          <w:p>
            <w:pPr>
              <w:pStyle w:val="2691"/>
            </w:pPr>
            <w:r>
              <w:t>t/a</w:t>
            </w:r>
          </w:p>
        </w:tc>
        <w:tc>
          <w:tcPr>
            <w:tcW w:w="766" w:type="dxa"/>
            <w:vAlign w:val="center"/>
          </w:tcPr>
          <w:p>
            <w:pPr>
              <w:pStyle w:val="2691"/>
            </w:pPr>
            <w:r>
              <w:t>mg/L</w:t>
            </w:r>
          </w:p>
        </w:tc>
        <w:tc>
          <w:tcPr>
            <w:tcW w:w="709" w:type="dxa"/>
            <w:vAlign w:val="center"/>
          </w:tcPr>
          <w:p>
            <w:pPr>
              <w:pStyle w:val="2691"/>
            </w:pPr>
            <w:r>
              <w:t>t/a</w:t>
            </w:r>
          </w:p>
        </w:tc>
        <w:tc>
          <w:tcPr>
            <w:tcW w:w="709" w:type="dxa"/>
            <w:vAlign w:val="center"/>
          </w:tcPr>
          <w:p>
            <w:pPr>
              <w:pStyle w:val="2691"/>
            </w:pPr>
            <w:r>
              <w:t>mg/L</w:t>
            </w:r>
          </w:p>
        </w:tc>
        <w:tc>
          <w:tcPr>
            <w:tcW w:w="709" w:type="dxa"/>
            <w:vAlign w:val="center"/>
          </w:tcPr>
          <w:p>
            <w:pPr>
              <w:pStyle w:val="2691"/>
            </w:pPr>
            <w:r>
              <w:t>t/a</w:t>
            </w:r>
          </w:p>
        </w:tc>
        <w:tc>
          <w:tcPr>
            <w:tcW w:w="708" w:type="dxa"/>
            <w:vAlign w:val="center"/>
          </w:tcPr>
          <w:p>
            <w:pPr>
              <w:pStyle w:val="2691"/>
            </w:pPr>
            <w:r>
              <w:t>mg/L</w:t>
            </w:r>
          </w:p>
        </w:tc>
        <w:tc>
          <w:tcPr>
            <w:tcW w:w="709" w:type="dxa"/>
            <w:vAlign w:val="center"/>
          </w:tcPr>
          <w:p>
            <w:pPr>
              <w:pStyle w:val="2691"/>
            </w:pPr>
            <w:r>
              <w:t>t/a</w:t>
            </w:r>
          </w:p>
        </w:tc>
        <w:tc>
          <w:tcPr>
            <w:tcW w:w="1418"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35" w:type="dxa"/>
            <w:vAlign w:val="center"/>
          </w:tcPr>
          <w:p>
            <w:pPr>
              <w:pStyle w:val="2691"/>
            </w:pPr>
            <w:r>
              <w:t>船舶生活</w:t>
            </w:r>
          </w:p>
          <w:p>
            <w:pPr>
              <w:pStyle w:val="2691"/>
            </w:pPr>
            <w:r>
              <w:t>污水</w:t>
            </w:r>
          </w:p>
        </w:tc>
        <w:tc>
          <w:tcPr>
            <w:tcW w:w="992" w:type="dxa"/>
            <w:vAlign w:val="center"/>
          </w:tcPr>
          <w:p>
            <w:pPr>
              <w:pStyle w:val="2691"/>
            </w:pPr>
            <w:r>
              <w:t>814.44</w:t>
            </w:r>
          </w:p>
        </w:tc>
        <w:tc>
          <w:tcPr>
            <w:tcW w:w="709" w:type="dxa"/>
            <w:vAlign w:val="center"/>
          </w:tcPr>
          <w:p>
            <w:pPr>
              <w:pStyle w:val="2691"/>
            </w:pPr>
            <w:r>
              <w:t>350</w:t>
            </w:r>
          </w:p>
        </w:tc>
        <w:tc>
          <w:tcPr>
            <w:tcW w:w="722" w:type="dxa"/>
            <w:vAlign w:val="center"/>
          </w:tcPr>
          <w:p>
            <w:pPr>
              <w:pStyle w:val="2691"/>
            </w:pPr>
            <w:r>
              <w:t>0.29</w:t>
            </w:r>
          </w:p>
        </w:tc>
        <w:tc>
          <w:tcPr>
            <w:tcW w:w="766" w:type="dxa"/>
            <w:vAlign w:val="center"/>
          </w:tcPr>
          <w:p>
            <w:pPr>
              <w:pStyle w:val="2691"/>
            </w:pPr>
            <w:r>
              <w:t>250</w:t>
            </w:r>
          </w:p>
        </w:tc>
        <w:tc>
          <w:tcPr>
            <w:tcW w:w="709" w:type="dxa"/>
            <w:vAlign w:val="center"/>
          </w:tcPr>
          <w:p>
            <w:pPr>
              <w:pStyle w:val="2691"/>
            </w:pPr>
            <w:r>
              <w:t>0.20</w:t>
            </w:r>
          </w:p>
        </w:tc>
        <w:tc>
          <w:tcPr>
            <w:tcW w:w="709" w:type="dxa"/>
            <w:vAlign w:val="center"/>
          </w:tcPr>
          <w:p>
            <w:pPr>
              <w:pStyle w:val="2691"/>
            </w:pPr>
            <w:r>
              <w:t>400</w:t>
            </w:r>
          </w:p>
        </w:tc>
        <w:tc>
          <w:tcPr>
            <w:tcW w:w="709" w:type="dxa"/>
            <w:vAlign w:val="center"/>
          </w:tcPr>
          <w:p>
            <w:pPr>
              <w:pStyle w:val="2691"/>
            </w:pPr>
            <w:r>
              <w:t>0.33</w:t>
            </w:r>
          </w:p>
        </w:tc>
        <w:tc>
          <w:tcPr>
            <w:tcW w:w="708" w:type="dxa"/>
            <w:vAlign w:val="center"/>
          </w:tcPr>
          <w:p>
            <w:pPr>
              <w:pStyle w:val="2691"/>
            </w:pPr>
            <w:r>
              <w:t>40</w:t>
            </w:r>
          </w:p>
        </w:tc>
        <w:tc>
          <w:tcPr>
            <w:tcW w:w="709" w:type="dxa"/>
            <w:vAlign w:val="center"/>
          </w:tcPr>
          <w:p>
            <w:pPr>
              <w:pStyle w:val="2691"/>
            </w:pPr>
            <w:r>
              <w:t>0.03</w:t>
            </w:r>
          </w:p>
        </w:tc>
        <w:tc>
          <w:tcPr>
            <w:tcW w:w="1418" w:type="dxa"/>
            <w:vAlign w:val="center"/>
          </w:tcPr>
          <w:p>
            <w:pPr>
              <w:pStyle w:val="2691"/>
            </w:pPr>
            <w:r>
              <w:t>海事部门环</w:t>
            </w:r>
          </w:p>
          <w:p>
            <w:pPr>
              <w:pStyle w:val="2691"/>
            </w:pPr>
            <w:r>
              <w:t>保船舶带走</w:t>
            </w:r>
          </w:p>
        </w:tc>
      </w:tr>
    </w:tbl>
    <w:p>
      <w:pPr>
        <w:widowControl/>
        <w:ind w:firstLine="468"/>
        <w:rPr>
          <w:spacing w:val="-3"/>
          <w:szCs w:val="22"/>
        </w:rPr>
      </w:pPr>
      <w:r>
        <w:rPr>
          <w:spacing w:val="-3"/>
          <w:szCs w:val="22"/>
        </w:rPr>
        <w:t>根据《1973 年国际防止船舶造成污染公约及其 1978 议定》、《中华人民共和国防治船舶污染内河水域环境管理规定》（交通运输部令2015年第25号）的规定船舶生活污水不得在码头水域随意排放，</w:t>
      </w:r>
      <w:r>
        <w:t>本项目</w:t>
      </w:r>
      <w:r>
        <w:rPr>
          <w:spacing w:val="-3"/>
          <w:szCs w:val="22"/>
        </w:rPr>
        <w:t>生活污水</w:t>
      </w:r>
      <w:r>
        <w:rPr>
          <w:rFonts w:hint="eastAsia" w:ascii="Times New Roman" w:hAnsi="Times New Roman" w:cs="Times New Roman" w:eastAsiaTheme="minorEastAsia"/>
          <w:kern w:val="2"/>
          <w:sz w:val="24"/>
          <w:szCs w:val="24"/>
          <w:lang w:val="en-US" w:eastAsia="zh-CN" w:bidi="ar"/>
        </w:rPr>
        <w:t>上岸进入港区专用</w:t>
      </w:r>
      <w:r>
        <w:rPr>
          <w:rFonts w:hint="eastAsia" w:cs="Times New Roman" w:eastAsiaTheme="minorEastAsia"/>
          <w:kern w:val="2"/>
          <w:sz w:val="24"/>
          <w:szCs w:val="24"/>
          <w:lang w:val="en-US" w:eastAsia="zh-CN" w:bidi="ar"/>
        </w:rPr>
        <w:t>接收装置</w:t>
      </w:r>
      <w:r>
        <w:rPr>
          <w:rFonts w:hint="eastAsia" w:ascii="Times New Roman" w:hAnsi="Times New Roman" w:cs="Times New Roman" w:eastAsiaTheme="minorEastAsia"/>
          <w:kern w:val="2"/>
          <w:sz w:val="24"/>
          <w:szCs w:val="24"/>
          <w:lang w:val="en-US" w:eastAsia="zh-CN" w:bidi="ar"/>
        </w:rPr>
        <w:t>，</w:t>
      </w:r>
      <w:r>
        <w:rPr>
          <w:spacing w:val="-3"/>
          <w:szCs w:val="22"/>
        </w:rPr>
        <w:t>申请海事部门的环保工作船进行专业收集处理。</w:t>
      </w:r>
    </w:p>
    <w:p>
      <w:pPr>
        <w:widowControl/>
        <w:ind w:firstLine="468"/>
        <w:rPr>
          <w:spacing w:val="-3"/>
          <w:szCs w:val="22"/>
        </w:rPr>
      </w:pPr>
      <w:r>
        <w:rPr>
          <w:rFonts w:hint="eastAsia" w:ascii="宋体" w:hAnsi="宋体" w:cs="宋体"/>
          <w:spacing w:val="-3"/>
          <w:szCs w:val="22"/>
        </w:rPr>
        <w:t>③</w:t>
      </w:r>
      <w:r>
        <w:rPr>
          <w:spacing w:val="-3"/>
          <w:szCs w:val="22"/>
        </w:rPr>
        <w:t>船舶压舱水</w:t>
      </w:r>
    </w:p>
    <w:p>
      <w:pPr>
        <w:widowControl/>
        <w:ind w:firstLine="480"/>
      </w:pPr>
      <w:r>
        <w:t>压舱水是为了保持船舶平衡，而专门注入的水。压舱水是船舶安全航行的重要保证，特别是对没有装载适量货物的船舶。适量压舱水可保证船舶的螺旋桨吃水充分，将船舶尾波引发的船体震动降低到最低限度，并维持推进效率。船舶卸载货物后，为确保空载航行安全，必须装压舱水以保持船舶稳定，根据航区和气候条件决定压载水的产生量。压舱水中的污染物质主要取决于所装货物的种类，压舱水储存于船内独立的密闭系统内，不与货物直接接触，一般煤炭、矿石等散货污染较小，影响最大的是油船。</w:t>
      </w:r>
    </w:p>
    <w:p>
      <w:pPr>
        <w:widowControl/>
        <w:ind w:firstLine="480"/>
        <w:rPr>
          <w:spacing w:val="-3"/>
          <w:szCs w:val="22"/>
        </w:rPr>
      </w:pPr>
      <w:r>
        <w:t>本项目船舶吨位相对较小（5000</w:t>
      </w:r>
      <w:r>
        <w:rPr>
          <w:szCs w:val="28"/>
        </w:rPr>
        <w:t>t</w:t>
      </w:r>
      <w:r>
        <w:t>级～10000</w:t>
      </w:r>
      <w:r>
        <w:rPr>
          <w:szCs w:val="28"/>
        </w:rPr>
        <w:t>t</w:t>
      </w:r>
      <w:r>
        <w:t>级），</w:t>
      </w:r>
      <w:r>
        <w:rPr>
          <w:rFonts w:hint="eastAsia"/>
        </w:rPr>
        <w:t>接卸的船舶均为来自国内长江内河，</w:t>
      </w:r>
      <w:r>
        <w:t>且船舶一般进出不空载，不产生船舶压舱水，不存在</w:t>
      </w:r>
      <w:r>
        <w:rPr>
          <w:rFonts w:hint="eastAsia"/>
        </w:rPr>
        <w:t>压舱</w:t>
      </w:r>
      <w:r>
        <w:t>水排放引出的生物入侵问题。</w:t>
      </w:r>
    </w:p>
    <w:p>
      <w:pPr>
        <w:widowControl/>
        <w:ind w:firstLine="470"/>
        <w:rPr>
          <w:b/>
          <w:spacing w:val="-3"/>
          <w:szCs w:val="22"/>
        </w:rPr>
      </w:pPr>
      <w:r>
        <w:rPr>
          <w:b/>
          <w:spacing w:val="-3"/>
          <w:szCs w:val="22"/>
        </w:rPr>
        <w:t>（2）</w:t>
      </w:r>
      <w:r>
        <w:rPr>
          <w:rFonts w:hint="eastAsia"/>
          <w:b/>
          <w:spacing w:val="-3"/>
          <w:szCs w:val="22"/>
        </w:rPr>
        <w:t>生产</w:t>
      </w:r>
      <w:r>
        <w:rPr>
          <w:b/>
          <w:spacing w:val="-3"/>
          <w:szCs w:val="22"/>
        </w:rPr>
        <w:t>废水</w:t>
      </w:r>
    </w:p>
    <w:p>
      <w:pPr>
        <w:widowControl/>
        <w:ind w:firstLine="468"/>
        <w:rPr>
          <w:spacing w:val="-3"/>
          <w:szCs w:val="22"/>
        </w:rPr>
      </w:pPr>
      <w:r>
        <w:rPr>
          <w:rFonts w:hint="eastAsia"/>
          <w:spacing w:val="-3"/>
          <w:szCs w:val="22"/>
        </w:rPr>
        <w:t>①地面冲洗废水</w:t>
      </w:r>
    </w:p>
    <w:p>
      <w:pPr>
        <w:widowControl/>
        <w:ind w:firstLine="468"/>
      </w:pPr>
      <w:r>
        <w:rPr>
          <w:spacing w:val="-3"/>
          <w:szCs w:val="22"/>
        </w:rPr>
        <w:t>本项目</w:t>
      </w:r>
      <w:r>
        <w:t>散货进口泊位通过桥式抓斗卸船机卸料上岸后经过码头面皮带机系统输送到散货出口泊位出口和陆域堆场转运</w:t>
      </w:r>
      <w:r>
        <w:rPr>
          <w:spacing w:val="-3"/>
          <w:szCs w:val="22"/>
        </w:rPr>
        <w:t>；相对现有的汽车运输而言，带式输送带的运输方式货物的洒落量将大大降低，相应的地面干净程度将大大改善，从而导致冲洗频率也将降低。</w:t>
      </w:r>
      <w:r>
        <w:t>本评价按一年冲洗12次，根据《水运工程环境保护设计规范》（JTS149–2018）码头面、带式输送机廊道和转运站等处地面冲洗水</w:t>
      </w:r>
      <w:r>
        <w:rPr>
          <w:rFonts w:hint="eastAsia"/>
        </w:rPr>
        <w:t>量指标取</w:t>
      </w:r>
      <w:r>
        <w:t>5L/m</w:t>
      </w:r>
      <w:r>
        <w:rPr>
          <w:vertAlign w:val="superscript"/>
        </w:rPr>
        <w:t>2</w:t>
      </w:r>
      <w:r>
        <w:rPr>
          <w:rFonts w:hint="eastAsia"/>
        </w:rPr>
        <w:t>，码头面、廊道和转运站面积约</w:t>
      </w:r>
      <w:r>
        <w:t>25804m</w:t>
      </w:r>
      <w:r>
        <w:rPr>
          <w:vertAlign w:val="superscript"/>
        </w:rPr>
        <w:t>2</w:t>
      </w:r>
      <w:r>
        <w:rPr>
          <w:rFonts w:hint="eastAsia"/>
        </w:rPr>
        <w:t>，则冲洗用水量单次</w:t>
      </w:r>
      <w:r>
        <w:t>129.02 m</w:t>
      </w:r>
      <w:r>
        <w:rPr>
          <w:vertAlign w:val="superscript"/>
        </w:rPr>
        <w:t>3</w:t>
      </w:r>
      <w:r>
        <w:t>/</w:t>
      </w:r>
      <w:r>
        <w:rPr>
          <w:rFonts w:hint="eastAsia"/>
        </w:rPr>
        <w:t>次，</w:t>
      </w:r>
      <w:r>
        <w:t>1548.24m</w:t>
      </w:r>
      <w:r>
        <w:rPr>
          <w:vertAlign w:val="superscript"/>
        </w:rPr>
        <w:t>3</w:t>
      </w:r>
      <w:r>
        <w:t>/a</w:t>
      </w:r>
      <w:r>
        <w:rPr>
          <w:rFonts w:hint="eastAsia"/>
        </w:rPr>
        <w:t>，</w:t>
      </w:r>
      <w:r>
        <w:t>污水产生系数按90%计，</w:t>
      </w:r>
      <w:r>
        <w:rPr>
          <w:rFonts w:hint="eastAsia"/>
        </w:rPr>
        <w:t>则</w:t>
      </w:r>
      <w:r>
        <w:t>污水产生量约为116.12 m</w:t>
      </w:r>
      <w:r>
        <w:rPr>
          <w:vertAlign w:val="superscript"/>
        </w:rPr>
        <w:t>3</w:t>
      </w:r>
      <w:r>
        <w:t>/</w:t>
      </w:r>
      <w:r>
        <w:rPr>
          <w:rFonts w:hint="eastAsia"/>
        </w:rPr>
        <w:t>次，</w:t>
      </w:r>
      <w:r>
        <w:t>1393.42m</w:t>
      </w:r>
      <w:r>
        <w:rPr>
          <w:vertAlign w:val="superscript"/>
        </w:rPr>
        <w:t>3</w:t>
      </w:r>
      <w:r>
        <w:t>/a。根据同类港口类比分析，其主要污染物SS浓度为1000mg/L，则SS产生量为1.39t/a</w:t>
      </w:r>
      <w:r>
        <w:rPr>
          <w:rFonts w:hint="eastAsia"/>
        </w:rPr>
        <w:t>。</w:t>
      </w:r>
    </w:p>
    <w:p>
      <w:pPr>
        <w:widowControl/>
        <w:ind w:firstLine="468"/>
        <w:rPr>
          <w:spacing w:val="-3"/>
          <w:szCs w:val="22"/>
        </w:rPr>
      </w:pPr>
      <w:r>
        <w:rPr>
          <w:rFonts w:hint="eastAsia"/>
          <w:spacing w:val="-3"/>
          <w:szCs w:val="22"/>
        </w:rPr>
        <w:t>②流动机械冲洗废水</w:t>
      </w:r>
    </w:p>
    <w:p>
      <w:pPr>
        <w:widowControl/>
        <w:ind w:firstLine="480"/>
        <w:rPr>
          <w:spacing w:val="-3"/>
          <w:szCs w:val="22"/>
        </w:rPr>
      </w:pPr>
      <w:r>
        <w:rPr>
          <w:bCs/>
        </w:rPr>
        <w:t>根据《水运工程环境保护设计规范》（JTS 149-2018），流动机械冲洗水量按800L/台·次计，本项目配备流动机械25台，按每天30%的机械需要冲洗，年工作时间330天，则流机设备冲洗日用水为6m</w:t>
      </w:r>
      <w:r>
        <w:rPr>
          <w:bCs/>
          <w:vertAlign w:val="superscript"/>
        </w:rPr>
        <w:t>3</w:t>
      </w:r>
      <w:r>
        <w:rPr>
          <w:bCs/>
        </w:rPr>
        <w:t>/d，年用水量为1980m</w:t>
      </w:r>
      <w:r>
        <w:rPr>
          <w:bCs/>
          <w:vertAlign w:val="superscript"/>
        </w:rPr>
        <w:t>3</w:t>
      </w:r>
      <w:r>
        <w:rPr>
          <w:bCs/>
        </w:rPr>
        <w:t>/a，排水量按用水量90%计，流机设备冲洗日排水量为5.4m</w:t>
      </w:r>
      <w:r>
        <w:rPr>
          <w:bCs/>
          <w:vertAlign w:val="superscript"/>
        </w:rPr>
        <w:t>3</w:t>
      </w:r>
      <w:r>
        <w:rPr>
          <w:bCs/>
        </w:rPr>
        <w:t>/d，年排水量为1782m</w:t>
      </w:r>
      <w:r>
        <w:rPr>
          <w:bCs/>
          <w:vertAlign w:val="superscript"/>
        </w:rPr>
        <w:t>3</w:t>
      </w:r>
      <w:r>
        <w:rPr>
          <w:bCs/>
        </w:rPr>
        <w:t>/a。</w:t>
      </w:r>
      <w:r>
        <w:t>主要污染</w:t>
      </w:r>
      <w:r>
        <w:rPr>
          <w:bCs/>
        </w:rPr>
        <w:t>因子为SS和石油类，浓度分别为50mg/L和200mg/L</w:t>
      </w:r>
      <w:r>
        <w:rPr>
          <w:rFonts w:hint="eastAsia"/>
          <w:bCs/>
        </w:rPr>
        <w:t>，</w:t>
      </w:r>
      <w:r>
        <w:rPr>
          <w:bCs/>
        </w:rPr>
        <w:t>产生量</w:t>
      </w:r>
      <w:r>
        <w:rPr>
          <w:rFonts w:hint="eastAsia"/>
          <w:bCs/>
          <w:lang w:val="en-US" w:eastAsia="zh-CN"/>
        </w:rPr>
        <w:t>分别</w:t>
      </w:r>
      <w:r>
        <w:rPr>
          <w:bCs/>
        </w:rPr>
        <w:t>为</w:t>
      </w:r>
      <w:r>
        <w:t>0.09t/a和0.36t/a</w:t>
      </w:r>
      <w:r>
        <w:rPr>
          <w:rFonts w:hint="eastAsia"/>
        </w:rPr>
        <w:t>。</w:t>
      </w:r>
    </w:p>
    <w:p>
      <w:pPr>
        <w:widowControl/>
        <w:ind w:firstLine="468"/>
      </w:pPr>
      <w:r>
        <w:rPr>
          <w:rFonts w:hint="eastAsia"/>
          <w:spacing w:val="-3"/>
          <w:szCs w:val="22"/>
        </w:rPr>
        <w:t>③</w:t>
      </w:r>
      <w:r>
        <w:rPr>
          <w:rFonts w:hint="eastAsia"/>
        </w:rPr>
        <w:t>微雾抑尘用水</w:t>
      </w:r>
    </w:p>
    <w:p>
      <w:pPr>
        <w:pStyle w:val="458"/>
        <w:ind w:firstLine="480"/>
        <w:rPr>
          <w:rFonts w:cs="Times New Roman"/>
          <w:color w:val="auto"/>
        </w:rPr>
      </w:pPr>
      <w:r>
        <w:rPr>
          <w:rFonts w:cs="Times New Roman"/>
          <w:color w:val="auto"/>
        </w:rPr>
        <w:t>在码头装卸平台</w:t>
      </w:r>
      <w:r>
        <w:rPr>
          <w:rFonts w:cs="Times New Roman"/>
          <w:color w:val="auto"/>
          <w:szCs w:val="28"/>
        </w:rPr>
        <w:t>抓斗、漏斗</w:t>
      </w:r>
      <w:r>
        <w:rPr>
          <w:rFonts w:hint="eastAsia" w:cs="Times New Roman"/>
          <w:color w:val="auto"/>
          <w:szCs w:val="28"/>
        </w:rPr>
        <w:t>、</w:t>
      </w:r>
      <w:r>
        <w:rPr>
          <w:rFonts w:cs="Times New Roman"/>
          <w:color w:val="auto"/>
          <w:szCs w:val="28"/>
        </w:rPr>
        <w:t>转运至等装卸料点以及散货库场采用高压自动微雾抑尘系统湿式除尘方式</w:t>
      </w:r>
      <w:r>
        <w:rPr>
          <w:rFonts w:cs="Times New Roman"/>
          <w:color w:val="auto"/>
        </w:rPr>
        <w:t>，类比同类型项目每天用水约 90 m</w:t>
      </w:r>
      <w:r>
        <w:rPr>
          <w:rFonts w:cs="Times New Roman"/>
          <w:color w:val="auto"/>
          <w:vertAlign w:val="superscript"/>
        </w:rPr>
        <w:t>3</w:t>
      </w:r>
      <w:r>
        <w:rPr>
          <w:rFonts w:cs="Times New Roman"/>
          <w:color w:val="auto"/>
        </w:rPr>
        <w:t>，故年用水量为29700 m</w:t>
      </w:r>
      <w:r>
        <w:rPr>
          <w:rFonts w:cs="Times New Roman"/>
          <w:color w:val="auto"/>
          <w:vertAlign w:val="superscript"/>
        </w:rPr>
        <w:t>3</w:t>
      </w:r>
      <w:r>
        <w:rPr>
          <w:rFonts w:cs="Times New Roman"/>
          <w:color w:val="auto"/>
        </w:rPr>
        <w:t>，</w:t>
      </w:r>
      <w:r>
        <w:rPr>
          <w:rFonts w:cs="Times New Roman"/>
          <w:bCs/>
          <w:color w:val="auto"/>
        </w:rPr>
        <w:t>该类废水基本由</w:t>
      </w:r>
      <w:r>
        <w:rPr>
          <w:rFonts w:hint="eastAsia" w:cs="Times New Roman"/>
          <w:bCs/>
          <w:color w:val="auto"/>
        </w:rPr>
        <w:t>散货</w:t>
      </w:r>
      <w:r>
        <w:rPr>
          <w:rFonts w:cs="Times New Roman"/>
          <w:bCs/>
          <w:color w:val="auto"/>
        </w:rPr>
        <w:t>吸收和挥发</w:t>
      </w:r>
      <w:r>
        <w:rPr>
          <w:rFonts w:cs="Times New Roman"/>
          <w:color w:val="auto"/>
        </w:rPr>
        <w:t>，无废水产生。</w:t>
      </w:r>
    </w:p>
    <w:p>
      <w:pPr>
        <w:widowControl/>
        <w:ind w:firstLine="468"/>
        <w:rPr>
          <w:spacing w:val="-3"/>
          <w:szCs w:val="22"/>
        </w:rPr>
      </w:pPr>
      <w:r>
        <w:rPr>
          <w:rFonts w:hint="eastAsia"/>
          <w:spacing w:val="-3"/>
          <w:szCs w:val="22"/>
        </w:rPr>
        <w:t>④初期雨水</w:t>
      </w:r>
    </w:p>
    <w:p>
      <w:pPr>
        <w:pStyle w:val="458"/>
        <w:ind w:firstLine="480"/>
        <w:rPr>
          <w:rFonts w:cs="Times New Roman"/>
          <w:color w:val="auto"/>
        </w:rPr>
      </w:pPr>
      <w:r>
        <w:rPr>
          <w:rFonts w:cs="Times New Roman"/>
          <w:color w:val="auto"/>
        </w:rPr>
        <w:t>本项目码头</w:t>
      </w:r>
      <w:r>
        <w:rPr>
          <w:rFonts w:hint="eastAsia" w:cs="Times New Roman"/>
          <w:color w:val="auto"/>
        </w:rPr>
        <w:t>面</w:t>
      </w:r>
      <w:r>
        <w:rPr>
          <w:rFonts w:cs="Times New Roman"/>
          <w:color w:val="auto"/>
        </w:rPr>
        <w:t>、</w:t>
      </w:r>
      <w:r>
        <w:rPr>
          <w:rFonts w:hint="eastAsia" w:cs="Times New Roman"/>
          <w:color w:val="auto"/>
        </w:rPr>
        <w:t>堆场</w:t>
      </w:r>
      <w:r>
        <w:rPr>
          <w:rFonts w:cs="Times New Roman"/>
          <w:color w:val="auto"/>
        </w:rPr>
        <w:t>在降雨时将产生初期雨水，初期雨水量可按下式计算：</w:t>
      </w:r>
    </w:p>
    <w:p>
      <w:pPr>
        <w:ind w:firstLine="480"/>
        <w:jc w:val="center"/>
      </w:pPr>
      <w:r>
        <w:rPr>
          <w:i/>
        </w:rPr>
        <w:t>V</w:t>
      </w:r>
      <w:r>
        <w:t>＝</w:t>
      </w:r>
      <w:r>
        <w:rPr>
          <w:i/>
        </w:rPr>
        <w:t>φHF</w:t>
      </w:r>
    </w:p>
    <w:p>
      <w:pPr>
        <w:ind w:firstLine="480"/>
      </w:pPr>
      <w:r>
        <w:t>式中：V――径流雨水量，m</w:t>
      </w:r>
      <w:r>
        <w:rPr>
          <w:vertAlign w:val="superscript"/>
        </w:rPr>
        <w:t>3</w:t>
      </w:r>
      <w:r>
        <w:t>；</w:t>
      </w:r>
    </w:p>
    <w:p>
      <w:pPr>
        <w:ind w:firstLine="1200" w:firstLineChars="500"/>
      </w:pPr>
      <w:r>
        <w:t>φ――径流系数，取0.1</w:t>
      </w:r>
      <w:r>
        <w:rPr>
          <w:rFonts w:hint="eastAsia"/>
        </w:rPr>
        <w:t>~</w:t>
      </w:r>
      <w:r>
        <w:t>0.4</w:t>
      </w:r>
      <w:r>
        <w:rPr>
          <w:rFonts w:hint="eastAsia"/>
        </w:rPr>
        <w:t>，</w:t>
      </w:r>
      <w:r>
        <w:t>依据堆场场地铺砌类型确定；</w:t>
      </w:r>
    </w:p>
    <w:p>
      <w:pPr>
        <w:ind w:firstLine="1200" w:firstLineChars="500"/>
      </w:pPr>
      <w:r>
        <w:t>H――多年最大日降雨深的最小值，m</w:t>
      </w:r>
      <w:r>
        <w:rPr>
          <w:rFonts w:hint="eastAsia"/>
        </w:rPr>
        <w:t>，取</w:t>
      </w:r>
      <w:r>
        <w:t>0.01</w:t>
      </w:r>
      <w:r>
        <w:rPr>
          <w:rFonts w:hint="eastAsia"/>
        </w:rPr>
        <w:t>；</w:t>
      </w:r>
    </w:p>
    <w:p>
      <w:pPr>
        <w:ind w:firstLine="1200" w:firstLineChars="500"/>
      </w:pPr>
      <w:r>
        <w:t>F――汇水面积，m</w:t>
      </w:r>
      <w:r>
        <w:rPr>
          <w:vertAlign w:val="superscript"/>
        </w:rPr>
        <w:t>2</w:t>
      </w:r>
      <w:r>
        <w:rPr>
          <w:rFonts w:hint="eastAsia"/>
        </w:rPr>
        <w:t>。</w:t>
      </w:r>
    </w:p>
    <w:p>
      <w:pPr>
        <w:ind w:firstLine="480"/>
      </w:pPr>
      <w:r>
        <w:t>本项目码头面面积约19840m</w:t>
      </w:r>
      <w:r>
        <w:rPr>
          <w:vertAlign w:val="superscript"/>
        </w:rPr>
        <w:t>2</w:t>
      </w:r>
      <w:r>
        <w:rPr>
          <w:rFonts w:hint="eastAsia"/>
        </w:rPr>
        <w:t>，堆场面积1</w:t>
      </w:r>
      <w:r>
        <w:t>5382 m</w:t>
      </w:r>
      <w:r>
        <w:rPr>
          <w:vertAlign w:val="superscript"/>
        </w:rPr>
        <w:t>2</w:t>
      </w:r>
      <w:r>
        <w:rPr>
          <w:rFonts w:hint="eastAsia"/>
        </w:rPr>
        <w:t>，</w:t>
      </w:r>
      <w:r>
        <w:t>经计算，本项目计算初期雨水量V =35.22 m</w:t>
      </w:r>
      <w:r>
        <w:rPr>
          <w:vertAlign w:val="superscript"/>
        </w:rPr>
        <w:t>3</w:t>
      </w:r>
      <w:r>
        <w:t xml:space="preserve"> /次。年暴雨次数按20次计，则项目运行期初期雨水总量为704.44 m</w:t>
      </w:r>
      <w:r>
        <w:rPr>
          <w:vertAlign w:val="superscript"/>
        </w:rPr>
        <w:t>3</w:t>
      </w:r>
      <w:r>
        <w:t>/a。</w:t>
      </w:r>
    </w:p>
    <w:p>
      <w:pPr>
        <w:widowControl/>
        <w:ind w:firstLine="468"/>
      </w:pPr>
      <w:r>
        <w:rPr>
          <w:spacing w:val="-3"/>
          <w:szCs w:val="22"/>
        </w:rPr>
        <w:t>本项目码头主要运输散货为砂石</w:t>
      </w:r>
      <w:r>
        <w:rPr>
          <w:rFonts w:hint="eastAsia"/>
          <w:spacing w:val="-3"/>
          <w:szCs w:val="22"/>
        </w:rPr>
        <w:t>、</w:t>
      </w:r>
      <w:r>
        <w:rPr>
          <w:spacing w:val="-3"/>
          <w:szCs w:val="22"/>
        </w:rPr>
        <w:t>铁矿石</w:t>
      </w:r>
      <w:r>
        <w:rPr>
          <w:rFonts w:hint="eastAsia"/>
          <w:spacing w:val="-3"/>
          <w:szCs w:val="22"/>
        </w:rPr>
        <w:t>、非金属</w:t>
      </w:r>
      <w:r>
        <w:rPr>
          <w:spacing w:val="-3"/>
          <w:szCs w:val="22"/>
        </w:rPr>
        <w:t>矿石等，初期雨水中不含危险化学品、重金属离子等，主要污染物为SS，浓度约为1000 mg/L，则SS产生量约0.7 t/a</w:t>
      </w:r>
      <w:r>
        <w:t>。</w:t>
      </w:r>
    </w:p>
    <w:p>
      <w:pPr>
        <w:widowControl/>
        <w:ind w:firstLine="468"/>
        <w:rPr>
          <w:rFonts w:ascii="宋体" w:hAnsi="宋体" w:cs="宋体"/>
          <w:spacing w:val="-3"/>
          <w:szCs w:val="22"/>
        </w:rPr>
      </w:pPr>
      <w:r>
        <w:rPr>
          <w:rFonts w:hint="eastAsia" w:ascii="宋体" w:hAnsi="宋体" w:cs="宋体"/>
          <w:spacing w:val="-3"/>
          <w:szCs w:val="22"/>
        </w:rPr>
        <w:t>⑤</w:t>
      </w:r>
      <w:r>
        <w:rPr>
          <w:rFonts w:ascii="宋体" w:hAnsi="宋体" w:cs="宋体"/>
          <w:spacing w:val="-3"/>
          <w:szCs w:val="22"/>
        </w:rPr>
        <w:t>绿化用水</w:t>
      </w:r>
    </w:p>
    <w:p>
      <w:pPr>
        <w:pStyle w:val="458"/>
        <w:ind w:firstLine="480"/>
        <w:rPr>
          <w:rFonts w:cs="Times New Roman"/>
          <w:color w:val="auto"/>
        </w:rPr>
      </w:pPr>
      <w:r>
        <w:rPr>
          <w:bCs/>
          <w:color w:val="auto"/>
        </w:rPr>
        <w:t>根据《煤炭矿石码头粉尘控制设计规范》（JTS156-2015），绿化用水按2.0L/m</w:t>
      </w:r>
      <w:r>
        <w:rPr>
          <w:bCs/>
          <w:color w:val="auto"/>
          <w:vertAlign w:val="superscript"/>
        </w:rPr>
        <w:t>2</w:t>
      </w:r>
      <w:r>
        <w:rPr>
          <w:bCs/>
          <w:color w:val="auto"/>
        </w:rPr>
        <w:t>·d计，本项目绿化面积约为44663m</w:t>
      </w:r>
      <w:r>
        <w:rPr>
          <w:bCs/>
          <w:color w:val="auto"/>
          <w:vertAlign w:val="superscript"/>
        </w:rPr>
        <w:t>2</w:t>
      </w:r>
      <w:r>
        <w:rPr>
          <w:bCs/>
          <w:color w:val="auto"/>
        </w:rPr>
        <w:t>，全年绿化按照100天计，则日绿化用水量为89.326m</w:t>
      </w:r>
      <w:r>
        <w:rPr>
          <w:bCs/>
          <w:color w:val="auto"/>
          <w:vertAlign w:val="superscript"/>
        </w:rPr>
        <w:t>3</w:t>
      </w:r>
      <w:r>
        <w:rPr>
          <w:bCs/>
          <w:color w:val="auto"/>
        </w:rPr>
        <w:t>/d，年用水量8932.6m</w:t>
      </w:r>
      <w:r>
        <w:rPr>
          <w:bCs/>
          <w:color w:val="auto"/>
          <w:vertAlign w:val="superscript"/>
        </w:rPr>
        <w:t>3</w:t>
      </w:r>
      <w:r>
        <w:rPr>
          <w:bCs/>
          <w:color w:val="auto"/>
        </w:rPr>
        <w:t>/a</w:t>
      </w:r>
      <w:r>
        <w:rPr>
          <w:rFonts w:hint="eastAsia"/>
          <w:bCs/>
          <w:color w:val="auto"/>
        </w:rPr>
        <w:t>。</w:t>
      </w:r>
    </w:p>
    <w:p>
      <w:pPr>
        <w:widowControl/>
        <w:ind w:firstLine="482"/>
        <w:rPr>
          <w:b/>
        </w:rPr>
      </w:pPr>
      <w:r>
        <w:rPr>
          <w:rFonts w:hint="eastAsia"/>
          <w:b/>
        </w:rPr>
        <w:t>（</w:t>
      </w:r>
      <w:r>
        <w:rPr>
          <w:b/>
        </w:rPr>
        <w:t>3</w:t>
      </w:r>
      <w:r>
        <w:rPr>
          <w:rFonts w:hint="eastAsia"/>
          <w:b/>
        </w:rPr>
        <w:t>）生活污水</w:t>
      </w:r>
    </w:p>
    <w:p>
      <w:pPr>
        <w:pStyle w:val="2133"/>
        <w:spacing w:line="360" w:lineRule="auto"/>
        <w:rPr>
          <w:rFonts w:cs="Times New Roman"/>
        </w:rPr>
      </w:pPr>
      <w:r>
        <w:rPr>
          <w:rFonts w:hint="eastAsia" w:cs="Times New Roman"/>
        </w:rPr>
        <w:t>本项目劳动定员</w:t>
      </w:r>
      <w:r>
        <w:rPr>
          <w:rFonts w:cs="Times New Roman"/>
        </w:rPr>
        <w:t>235</w:t>
      </w:r>
      <w:r>
        <w:rPr>
          <w:rFonts w:hint="eastAsia" w:cs="Times New Roman"/>
        </w:rPr>
        <w:t>人，年工作330天，其中装卸工人</w:t>
      </w:r>
      <w:r>
        <w:rPr>
          <w:rFonts w:cs="Times New Roman"/>
        </w:rPr>
        <w:t>212</w:t>
      </w:r>
      <w:r>
        <w:rPr>
          <w:rFonts w:hint="eastAsia" w:cs="Times New Roman"/>
        </w:rPr>
        <w:t>人，生活用水量取1</w:t>
      </w:r>
      <w:r>
        <w:rPr>
          <w:rFonts w:cs="Times New Roman"/>
        </w:rPr>
        <w:t>50L/d•</w:t>
      </w:r>
      <w:r>
        <w:rPr>
          <w:rFonts w:hint="eastAsia" w:cs="Times New Roman"/>
        </w:rPr>
        <w:t>人；管理人员和辅助生产人员2</w:t>
      </w:r>
      <w:r>
        <w:rPr>
          <w:rFonts w:cs="Times New Roman"/>
        </w:rPr>
        <w:t>3</w:t>
      </w:r>
      <w:r>
        <w:rPr>
          <w:rFonts w:hint="eastAsia" w:cs="Times New Roman"/>
        </w:rPr>
        <w:t>人，生活用水量取10</w:t>
      </w:r>
      <w:r>
        <w:rPr>
          <w:rFonts w:cs="Times New Roman"/>
        </w:rPr>
        <w:t>0L/d•</w:t>
      </w:r>
      <w:r>
        <w:rPr>
          <w:rFonts w:hint="eastAsia" w:cs="Times New Roman"/>
        </w:rPr>
        <w:t>人。计算可知本项目生活用水量为</w:t>
      </w:r>
      <w:r>
        <w:rPr>
          <w:rFonts w:cs="Times New Roman"/>
        </w:rPr>
        <w:t>34.1m</w:t>
      </w:r>
      <w:r>
        <w:rPr>
          <w:rFonts w:cs="Times New Roman"/>
          <w:vertAlign w:val="superscript"/>
        </w:rPr>
        <w:t>3</w:t>
      </w:r>
      <w:r>
        <w:rPr>
          <w:rFonts w:cs="Times New Roman"/>
        </w:rPr>
        <w:t>/</w:t>
      </w:r>
      <w:r>
        <w:rPr>
          <w:rFonts w:hint="eastAsia" w:cs="Times New Roman"/>
        </w:rPr>
        <w:t>d，</w:t>
      </w:r>
      <w:r>
        <w:rPr>
          <w:rFonts w:cs="Times New Roman"/>
        </w:rPr>
        <w:t>11253m</w:t>
      </w:r>
      <w:r>
        <w:rPr>
          <w:rFonts w:cs="Times New Roman"/>
          <w:vertAlign w:val="superscript"/>
        </w:rPr>
        <w:t>3</w:t>
      </w:r>
      <w:r>
        <w:rPr>
          <w:rFonts w:cs="Times New Roman"/>
        </w:rPr>
        <w:t>/a</w:t>
      </w:r>
      <w:r>
        <w:rPr>
          <w:rFonts w:hint="eastAsia" w:cs="Times New Roman"/>
        </w:rPr>
        <w:t>，排污系数取</w:t>
      </w:r>
      <w:r>
        <w:rPr>
          <w:rFonts w:cs="Times New Roman"/>
        </w:rPr>
        <w:t>0.8</w:t>
      </w:r>
      <w:r>
        <w:rPr>
          <w:rFonts w:hint="eastAsia" w:cs="Times New Roman"/>
        </w:rPr>
        <w:t>，生活污水排放量为</w:t>
      </w:r>
      <w:r>
        <w:rPr>
          <w:rFonts w:cs="Times New Roman"/>
        </w:rPr>
        <w:t>27.28m</w:t>
      </w:r>
      <w:r>
        <w:rPr>
          <w:rFonts w:cs="Times New Roman"/>
          <w:vertAlign w:val="superscript"/>
        </w:rPr>
        <w:t>3</w:t>
      </w:r>
      <w:r>
        <w:rPr>
          <w:rFonts w:cs="Times New Roman"/>
        </w:rPr>
        <w:t>/</w:t>
      </w:r>
      <w:r>
        <w:rPr>
          <w:rFonts w:hint="eastAsia" w:cs="Times New Roman"/>
        </w:rPr>
        <w:t>d，</w:t>
      </w:r>
      <w:r>
        <w:rPr>
          <w:rFonts w:cs="Times New Roman"/>
        </w:rPr>
        <w:t>9002.4m</w:t>
      </w:r>
      <w:r>
        <w:rPr>
          <w:rFonts w:cs="Times New Roman"/>
          <w:vertAlign w:val="superscript"/>
        </w:rPr>
        <w:t>3</w:t>
      </w:r>
      <w:r>
        <w:rPr>
          <w:rFonts w:cs="Times New Roman"/>
        </w:rPr>
        <w:t>/a</w:t>
      </w:r>
      <w:r>
        <w:rPr>
          <w:rFonts w:hint="eastAsia" w:cs="Times New Roman"/>
        </w:rPr>
        <w:t>。</w:t>
      </w:r>
    </w:p>
    <w:p>
      <w:pPr>
        <w:pStyle w:val="2285"/>
        <w:ind w:left="0"/>
        <w:rPr>
          <w:rFonts w:cs="Times New Roman"/>
        </w:rPr>
      </w:pPr>
      <w:r>
        <w:rPr>
          <w:rFonts w:hint="eastAsia" w:cs="Times New Roman"/>
        </w:rPr>
        <w:t xml:space="preserve"> 员工生活污水产生源强</w:t>
      </w:r>
    </w:p>
    <w:tbl>
      <w:tblPr>
        <w:tblStyle w:val="3597"/>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57"/>
        <w:gridCol w:w="860"/>
        <w:gridCol w:w="779"/>
        <w:gridCol w:w="871"/>
        <w:gridCol w:w="869"/>
        <w:gridCol w:w="869"/>
        <w:gridCol w:w="868"/>
        <w:gridCol w:w="868"/>
        <w:gridCol w:w="868"/>
        <w:gridCol w:w="8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8" w:type="pct"/>
            <w:vMerge w:val="restart"/>
            <w:vAlign w:val="center"/>
          </w:tcPr>
          <w:p>
            <w:pPr>
              <w:pStyle w:val="2133"/>
              <w:adjustRightInd w:val="0"/>
              <w:snapToGrid w:val="0"/>
              <w:spacing w:line="240" w:lineRule="auto"/>
              <w:ind w:firstLine="0" w:firstLineChars="0"/>
              <w:jc w:val="center"/>
              <w:rPr>
                <w:rFonts w:cs="Times New Roman"/>
                <w:sz w:val="21"/>
                <w:szCs w:val="21"/>
              </w:rPr>
            </w:pPr>
            <w:r>
              <w:rPr>
                <w:rFonts w:hint="eastAsia" w:cs="Times New Roman"/>
                <w:sz w:val="21"/>
                <w:szCs w:val="21"/>
              </w:rPr>
              <w:t>项目</w:t>
            </w:r>
          </w:p>
        </w:tc>
        <w:tc>
          <w:tcPr>
            <w:tcW w:w="463" w:type="pct"/>
            <w:vMerge w:val="restar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废水量</w:t>
            </w:r>
          </w:p>
          <w:p>
            <w:pPr>
              <w:pStyle w:val="2133"/>
              <w:adjustRightInd w:val="0"/>
              <w:snapToGrid w:val="0"/>
              <w:spacing w:line="240" w:lineRule="auto"/>
              <w:ind w:firstLine="0" w:firstLineChars="0"/>
              <w:jc w:val="center"/>
              <w:rPr>
                <w:rFonts w:cs="Times New Roman"/>
                <w:sz w:val="21"/>
                <w:szCs w:val="21"/>
              </w:rPr>
            </w:pPr>
            <w:r>
              <w:rPr>
                <w:rFonts w:cs="Times New Roman"/>
              </w:rPr>
              <w:t>m</w:t>
            </w:r>
            <w:r>
              <w:rPr>
                <w:rFonts w:cs="Times New Roman"/>
                <w:vertAlign w:val="superscript"/>
              </w:rPr>
              <w:t>3</w:t>
            </w:r>
            <w:r>
              <w:rPr>
                <w:rFonts w:cs="Times New Roman"/>
                <w:sz w:val="21"/>
                <w:szCs w:val="21"/>
              </w:rPr>
              <w:t>/a</w:t>
            </w:r>
          </w:p>
        </w:tc>
        <w:tc>
          <w:tcPr>
            <w:tcW w:w="888" w:type="pct"/>
            <w:gridSpan w:val="2"/>
            <w:vAlign w:val="center"/>
          </w:tcPr>
          <w:p>
            <w:pPr>
              <w:pStyle w:val="2133"/>
              <w:adjustRightInd w:val="0"/>
              <w:snapToGrid w:val="0"/>
              <w:spacing w:line="240" w:lineRule="auto"/>
              <w:ind w:firstLine="0" w:firstLineChars="0"/>
              <w:jc w:val="center"/>
              <w:rPr>
                <w:rFonts w:cs="Times New Roman"/>
                <w:sz w:val="21"/>
                <w:szCs w:val="21"/>
              </w:rPr>
            </w:pPr>
            <w:r>
              <w:rPr>
                <w:rFonts w:cs="Times New Roman"/>
                <w:sz w:val="21"/>
                <w:szCs w:val="21"/>
              </w:rPr>
              <w:t>COD</w:t>
            </w:r>
          </w:p>
        </w:tc>
        <w:tc>
          <w:tcPr>
            <w:tcW w:w="936" w:type="pct"/>
            <w:gridSpan w:val="2"/>
            <w:vAlign w:val="center"/>
          </w:tcPr>
          <w:p>
            <w:pPr>
              <w:pStyle w:val="2133"/>
              <w:adjustRightInd w:val="0"/>
              <w:snapToGrid w:val="0"/>
              <w:spacing w:line="240" w:lineRule="auto"/>
              <w:ind w:firstLine="0" w:firstLineChars="0"/>
              <w:jc w:val="center"/>
              <w:rPr>
                <w:rFonts w:cs="Times New Roman"/>
                <w:sz w:val="21"/>
                <w:szCs w:val="21"/>
              </w:rPr>
            </w:pPr>
            <w:r>
              <w:rPr>
                <w:rFonts w:cs="Times New Roman"/>
                <w:sz w:val="21"/>
                <w:szCs w:val="21"/>
              </w:rPr>
              <w:t>BOD</w:t>
            </w:r>
            <w:r>
              <w:rPr>
                <w:rFonts w:cs="Times New Roman"/>
                <w:sz w:val="21"/>
                <w:szCs w:val="21"/>
                <w:vertAlign w:val="subscript"/>
              </w:rPr>
              <w:t>5</w:t>
            </w:r>
          </w:p>
        </w:tc>
        <w:tc>
          <w:tcPr>
            <w:tcW w:w="936" w:type="pct"/>
            <w:gridSpan w:val="2"/>
            <w:vAlign w:val="center"/>
          </w:tcPr>
          <w:p>
            <w:pPr>
              <w:pStyle w:val="2133"/>
              <w:adjustRightInd w:val="0"/>
              <w:snapToGrid w:val="0"/>
              <w:spacing w:line="240" w:lineRule="auto"/>
              <w:ind w:firstLine="0" w:firstLineChars="0"/>
              <w:jc w:val="center"/>
              <w:rPr>
                <w:rFonts w:cs="Times New Roman"/>
                <w:sz w:val="21"/>
                <w:szCs w:val="21"/>
              </w:rPr>
            </w:pPr>
            <w:r>
              <w:rPr>
                <w:rFonts w:cs="Times New Roman"/>
                <w:sz w:val="21"/>
                <w:szCs w:val="21"/>
              </w:rPr>
              <w:t>SS</w:t>
            </w:r>
          </w:p>
        </w:tc>
        <w:tc>
          <w:tcPr>
            <w:tcW w:w="936" w:type="pct"/>
            <w:gridSpan w:val="2"/>
            <w:vAlign w:val="center"/>
          </w:tcPr>
          <w:p>
            <w:pPr>
              <w:pStyle w:val="2133"/>
              <w:adjustRightInd w:val="0"/>
              <w:snapToGrid w:val="0"/>
              <w:spacing w:line="240" w:lineRule="auto"/>
              <w:ind w:firstLine="0" w:firstLineChars="0"/>
              <w:jc w:val="center"/>
              <w:rPr>
                <w:rFonts w:cs="Times New Roman"/>
                <w:sz w:val="21"/>
                <w:szCs w:val="21"/>
              </w:rPr>
            </w:pPr>
            <w:r>
              <w:rPr>
                <w:rFonts w:cs="Times New Roman"/>
                <w:kern w:val="0"/>
                <w:sz w:val="21"/>
                <w:szCs w:val="21"/>
              </w:rPr>
              <w:t>NH</w:t>
            </w:r>
            <w:r>
              <w:rPr>
                <w:rFonts w:cs="Times New Roman"/>
                <w:kern w:val="0"/>
                <w:sz w:val="21"/>
                <w:szCs w:val="21"/>
                <w:vertAlign w:val="subscript"/>
              </w:rPr>
              <w:t>3</w:t>
            </w:r>
            <w:r>
              <w:rPr>
                <w:rFonts w:cs="Times New Roman"/>
                <w:kern w:val="0"/>
                <w:sz w:val="21"/>
                <w:szCs w:val="21"/>
              </w:rPr>
              <w:t>-N</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8" w:type="pct"/>
            <w:vMerge w:val="continue"/>
            <w:vAlign w:val="center"/>
          </w:tcPr>
          <w:p>
            <w:pPr>
              <w:pStyle w:val="2133"/>
              <w:adjustRightInd w:val="0"/>
              <w:snapToGrid w:val="0"/>
              <w:spacing w:line="240" w:lineRule="auto"/>
              <w:ind w:firstLine="0" w:firstLineChars="0"/>
              <w:jc w:val="center"/>
              <w:rPr>
                <w:rFonts w:cs="Times New Roman"/>
                <w:sz w:val="21"/>
                <w:szCs w:val="21"/>
              </w:rPr>
            </w:pPr>
          </w:p>
        </w:tc>
        <w:tc>
          <w:tcPr>
            <w:tcW w:w="463" w:type="pct"/>
            <w:vMerge w:val="continue"/>
            <w:vAlign w:val="center"/>
          </w:tcPr>
          <w:p>
            <w:pPr>
              <w:pStyle w:val="2133"/>
              <w:adjustRightInd w:val="0"/>
              <w:snapToGrid w:val="0"/>
              <w:spacing w:line="240" w:lineRule="auto"/>
              <w:ind w:firstLine="0" w:firstLineChars="0"/>
              <w:jc w:val="center"/>
              <w:rPr>
                <w:rFonts w:cs="Times New Roman"/>
                <w:sz w:val="21"/>
                <w:szCs w:val="21"/>
              </w:rPr>
            </w:pPr>
          </w:p>
        </w:tc>
        <w:tc>
          <w:tcPr>
            <w:tcW w:w="419" w:type="pct"/>
            <w:vAlign w:val="center"/>
          </w:tcPr>
          <w:p>
            <w:pPr>
              <w:pStyle w:val="2133"/>
              <w:adjustRightInd w:val="0"/>
              <w:snapToGrid w:val="0"/>
              <w:spacing w:line="240" w:lineRule="auto"/>
              <w:ind w:firstLine="0" w:firstLineChars="0"/>
              <w:jc w:val="center"/>
              <w:rPr>
                <w:rFonts w:cs="Times New Roman"/>
                <w:sz w:val="21"/>
                <w:szCs w:val="21"/>
              </w:rPr>
            </w:pPr>
            <w:r>
              <w:rPr>
                <w:rFonts w:cs="Times New Roman"/>
                <w:sz w:val="21"/>
                <w:szCs w:val="21"/>
              </w:rPr>
              <w:t>mg/L</w:t>
            </w:r>
          </w:p>
        </w:tc>
        <w:tc>
          <w:tcPr>
            <w:tcW w:w="468" w:type="pct"/>
            <w:vAlign w:val="center"/>
          </w:tcPr>
          <w:p>
            <w:pPr>
              <w:pStyle w:val="2133"/>
              <w:adjustRightInd w:val="0"/>
              <w:snapToGrid w:val="0"/>
              <w:spacing w:line="240" w:lineRule="auto"/>
              <w:ind w:firstLine="0" w:firstLineChars="0"/>
              <w:jc w:val="center"/>
              <w:rPr>
                <w:rFonts w:cs="Times New Roman"/>
                <w:sz w:val="21"/>
                <w:szCs w:val="21"/>
              </w:rPr>
            </w:pPr>
            <w:r>
              <w:rPr>
                <w:rFonts w:cs="Times New Roman"/>
                <w:sz w:val="21"/>
                <w:szCs w:val="21"/>
              </w:rPr>
              <w:t>t/a</w:t>
            </w:r>
          </w:p>
        </w:tc>
        <w:tc>
          <w:tcPr>
            <w:tcW w:w="468" w:type="pct"/>
            <w:vAlign w:val="center"/>
          </w:tcPr>
          <w:p>
            <w:pPr>
              <w:pStyle w:val="2133"/>
              <w:adjustRightInd w:val="0"/>
              <w:snapToGrid w:val="0"/>
              <w:spacing w:line="240" w:lineRule="auto"/>
              <w:ind w:firstLine="0" w:firstLineChars="0"/>
              <w:jc w:val="center"/>
              <w:rPr>
                <w:rFonts w:cs="Times New Roman"/>
                <w:sz w:val="21"/>
                <w:szCs w:val="21"/>
              </w:rPr>
            </w:pPr>
            <w:r>
              <w:rPr>
                <w:rFonts w:cs="Times New Roman"/>
                <w:sz w:val="21"/>
                <w:szCs w:val="21"/>
              </w:rPr>
              <w:t>mg/L</w:t>
            </w:r>
          </w:p>
        </w:tc>
        <w:tc>
          <w:tcPr>
            <w:tcW w:w="468" w:type="pct"/>
            <w:vAlign w:val="center"/>
          </w:tcPr>
          <w:p>
            <w:pPr>
              <w:pStyle w:val="2133"/>
              <w:adjustRightInd w:val="0"/>
              <w:snapToGrid w:val="0"/>
              <w:spacing w:line="240" w:lineRule="auto"/>
              <w:ind w:firstLine="0" w:firstLineChars="0"/>
              <w:jc w:val="center"/>
              <w:rPr>
                <w:rFonts w:cs="Times New Roman"/>
                <w:sz w:val="21"/>
                <w:szCs w:val="21"/>
              </w:rPr>
            </w:pPr>
            <w:r>
              <w:rPr>
                <w:rFonts w:cs="Times New Roman"/>
                <w:sz w:val="21"/>
                <w:szCs w:val="21"/>
              </w:rPr>
              <w:t>t/a</w:t>
            </w:r>
          </w:p>
        </w:tc>
        <w:tc>
          <w:tcPr>
            <w:tcW w:w="468" w:type="pct"/>
            <w:vAlign w:val="center"/>
          </w:tcPr>
          <w:p>
            <w:pPr>
              <w:pStyle w:val="2133"/>
              <w:adjustRightInd w:val="0"/>
              <w:snapToGrid w:val="0"/>
              <w:spacing w:line="240" w:lineRule="auto"/>
              <w:ind w:firstLine="0" w:firstLineChars="0"/>
              <w:jc w:val="center"/>
              <w:rPr>
                <w:rFonts w:cs="Times New Roman"/>
                <w:sz w:val="21"/>
                <w:szCs w:val="21"/>
              </w:rPr>
            </w:pPr>
            <w:r>
              <w:rPr>
                <w:rFonts w:cs="Times New Roman"/>
                <w:sz w:val="21"/>
                <w:szCs w:val="21"/>
              </w:rPr>
              <w:t>mg/L</w:t>
            </w:r>
          </w:p>
        </w:tc>
        <w:tc>
          <w:tcPr>
            <w:tcW w:w="468" w:type="pct"/>
            <w:vAlign w:val="center"/>
          </w:tcPr>
          <w:p>
            <w:pPr>
              <w:pStyle w:val="2133"/>
              <w:adjustRightInd w:val="0"/>
              <w:snapToGrid w:val="0"/>
              <w:spacing w:line="240" w:lineRule="auto"/>
              <w:ind w:firstLine="0" w:firstLineChars="0"/>
              <w:jc w:val="center"/>
              <w:rPr>
                <w:rFonts w:cs="Times New Roman"/>
                <w:sz w:val="21"/>
                <w:szCs w:val="21"/>
              </w:rPr>
            </w:pPr>
            <w:r>
              <w:rPr>
                <w:rFonts w:cs="Times New Roman"/>
                <w:sz w:val="21"/>
                <w:szCs w:val="21"/>
              </w:rPr>
              <w:t>t/a</w:t>
            </w:r>
          </w:p>
        </w:tc>
        <w:tc>
          <w:tcPr>
            <w:tcW w:w="468" w:type="pct"/>
            <w:vAlign w:val="center"/>
          </w:tcPr>
          <w:p>
            <w:pPr>
              <w:pStyle w:val="2133"/>
              <w:adjustRightInd w:val="0"/>
              <w:snapToGrid w:val="0"/>
              <w:spacing w:line="240" w:lineRule="auto"/>
              <w:ind w:firstLine="0" w:firstLineChars="0"/>
              <w:jc w:val="center"/>
              <w:rPr>
                <w:rFonts w:cs="Times New Roman"/>
                <w:sz w:val="21"/>
                <w:szCs w:val="21"/>
              </w:rPr>
            </w:pPr>
            <w:r>
              <w:rPr>
                <w:rFonts w:cs="Times New Roman"/>
                <w:sz w:val="21"/>
                <w:szCs w:val="21"/>
              </w:rPr>
              <w:t>mg/L</w:t>
            </w:r>
          </w:p>
        </w:tc>
        <w:tc>
          <w:tcPr>
            <w:tcW w:w="468" w:type="pct"/>
            <w:vAlign w:val="center"/>
          </w:tcPr>
          <w:p>
            <w:pPr>
              <w:pStyle w:val="2133"/>
              <w:adjustRightInd w:val="0"/>
              <w:snapToGrid w:val="0"/>
              <w:spacing w:line="240" w:lineRule="auto"/>
              <w:ind w:firstLine="0" w:firstLineChars="0"/>
              <w:jc w:val="center"/>
              <w:rPr>
                <w:rFonts w:cs="Times New Roman"/>
                <w:sz w:val="21"/>
                <w:szCs w:val="21"/>
              </w:rPr>
            </w:pPr>
            <w:r>
              <w:rPr>
                <w:rFonts w:cs="Times New Roman"/>
                <w:sz w:val="21"/>
                <w:szCs w:val="21"/>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838" w:type="pct"/>
            <w:vAlign w:val="center"/>
          </w:tcPr>
          <w:p>
            <w:pPr>
              <w:pStyle w:val="2133"/>
              <w:adjustRightInd w:val="0"/>
              <w:snapToGrid w:val="0"/>
              <w:spacing w:line="240" w:lineRule="auto"/>
              <w:ind w:firstLine="0" w:firstLineChars="0"/>
              <w:jc w:val="center"/>
              <w:rPr>
                <w:rFonts w:cs="Times New Roman"/>
                <w:sz w:val="21"/>
                <w:szCs w:val="21"/>
              </w:rPr>
            </w:pPr>
            <w:r>
              <w:rPr>
                <w:rFonts w:hint="eastAsia" w:cs="Times New Roman"/>
                <w:sz w:val="21"/>
                <w:szCs w:val="21"/>
              </w:rPr>
              <w:t>员工生活污水</w:t>
            </w:r>
          </w:p>
        </w:tc>
        <w:tc>
          <w:tcPr>
            <w:tcW w:w="463" w:type="pct"/>
            <w:vAlign w:val="center"/>
          </w:tcPr>
          <w:p>
            <w:pPr>
              <w:pStyle w:val="2133"/>
              <w:adjustRightInd w:val="0"/>
              <w:snapToGrid w:val="0"/>
              <w:spacing w:line="240" w:lineRule="auto"/>
              <w:ind w:firstLine="0" w:firstLineChars="0"/>
              <w:jc w:val="center"/>
              <w:rPr>
                <w:rFonts w:cs="Times New Roman"/>
                <w:sz w:val="21"/>
                <w:szCs w:val="21"/>
              </w:rPr>
            </w:pPr>
            <w:r>
              <w:rPr>
                <w:rFonts w:cs="Times New Roman"/>
                <w:sz w:val="21"/>
                <w:szCs w:val="21"/>
              </w:rPr>
              <w:t>9002.4</w:t>
            </w:r>
          </w:p>
        </w:tc>
        <w:tc>
          <w:tcPr>
            <w:tcW w:w="419" w:type="pct"/>
            <w:vAlign w:val="center"/>
          </w:tcPr>
          <w:p>
            <w:pPr>
              <w:pStyle w:val="2133"/>
              <w:adjustRightInd w:val="0"/>
              <w:snapToGrid w:val="0"/>
              <w:spacing w:line="240" w:lineRule="auto"/>
              <w:ind w:firstLine="0" w:firstLineChars="0"/>
              <w:jc w:val="center"/>
              <w:rPr>
                <w:rFonts w:cs="Times New Roman"/>
                <w:sz w:val="21"/>
                <w:szCs w:val="21"/>
              </w:rPr>
            </w:pPr>
            <w:r>
              <w:rPr>
                <w:rFonts w:cs="Times New Roman"/>
                <w:sz w:val="21"/>
                <w:szCs w:val="21"/>
              </w:rPr>
              <w:t>350</w:t>
            </w:r>
          </w:p>
        </w:tc>
        <w:tc>
          <w:tcPr>
            <w:tcW w:w="468" w:type="pct"/>
            <w:vAlign w:val="center"/>
          </w:tcPr>
          <w:p>
            <w:pPr>
              <w:pStyle w:val="2133"/>
              <w:adjustRightInd w:val="0"/>
              <w:snapToGrid w:val="0"/>
              <w:spacing w:line="240" w:lineRule="auto"/>
              <w:ind w:firstLine="0" w:firstLineChars="0"/>
              <w:jc w:val="center"/>
              <w:rPr>
                <w:rFonts w:cs="Times New Roman"/>
                <w:sz w:val="21"/>
                <w:szCs w:val="21"/>
              </w:rPr>
            </w:pPr>
            <w:r>
              <w:rPr>
                <w:rFonts w:cs="Times New Roman"/>
                <w:sz w:val="21"/>
                <w:szCs w:val="21"/>
              </w:rPr>
              <w:t>3.15</w:t>
            </w:r>
          </w:p>
        </w:tc>
        <w:tc>
          <w:tcPr>
            <w:tcW w:w="468" w:type="pct"/>
            <w:vAlign w:val="center"/>
          </w:tcPr>
          <w:p>
            <w:pPr>
              <w:pStyle w:val="2133"/>
              <w:adjustRightInd w:val="0"/>
              <w:snapToGrid w:val="0"/>
              <w:spacing w:line="240" w:lineRule="auto"/>
              <w:ind w:firstLine="0" w:firstLineChars="0"/>
              <w:jc w:val="center"/>
              <w:rPr>
                <w:rFonts w:cs="Times New Roman"/>
                <w:sz w:val="21"/>
                <w:szCs w:val="21"/>
              </w:rPr>
            </w:pPr>
            <w:r>
              <w:rPr>
                <w:rFonts w:cs="Times New Roman"/>
                <w:sz w:val="21"/>
                <w:szCs w:val="21"/>
              </w:rPr>
              <w:t>250</w:t>
            </w:r>
          </w:p>
        </w:tc>
        <w:tc>
          <w:tcPr>
            <w:tcW w:w="468" w:type="pct"/>
            <w:vAlign w:val="center"/>
          </w:tcPr>
          <w:p>
            <w:pPr>
              <w:pStyle w:val="2133"/>
              <w:adjustRightInd w:val="0"/>
              <w:snapToGrid w:val="0"/>
              <w:spacing w:line="240" w:lineRule="auto"/>
              <w:ind w:firstLine="0" w:firstLineChars="0"/>
              <w:jc w:val="center"/>
              <w:rPr>
                <w:rFonts w:cs="Times New Roman"/>
                <w:sz w:val="21"/>
                <w:szCs w:val="21"/>
              </w:rPr>
            </w:pPr>
            <w:r>
              <w:rPr>
                <w:rFonts w:cs="Times New Roman"/>
                <w:sz w:val="21"/>
                <w:szCs w:val="21"/>
              </w:rPr>
              <w:t>2.25</w:t>
            </w:r>
          </w:p>
        </w:tc>
        <w:tc>
          <w:tcPr>
            <w:tcW w:w="468" w:type="pct"/>
            <w:vAlign w:val="center"/>
          </w:tcPr>
          <w:p>
            <w:pPr>
              <w:pStyle w:val="2133"/>
              <w:adjustRightInd w:val="0"/>
              <w:snapToGrid w:val="0"/>
              <w:spacing w:line="240" w:lineRule="auto"/>
              <w:ind w:firstLine="0" w:firstLineChars="0"/>
              <w:jc w:val="center"/>
              <w:rPr>
                <w:rFonts w:cs="Times New Roman"/>
                <w:sz w:val="21"/>
                <w:szCs w:val="21"/>
              </w:rPr>
            </w:pPr>
            <w:r>
              <w:rPr>
                <w:rFonts w:cs="Times New Roman"/>
                <w:sz w:val="21"/>
                <w:szCs w:val="21"/>
              </w:rPr>
              <w:t>400</w:t>
            </w:r>
          </w:p>
        </w:tc>
        <w:tc>
          <w:tcPr>
            <w:tcW w:w="468" w:type="pct"/>
            <w:vAlign w:val="center"/>
          </w:tcPr>
          <w:p>
            <w:pPr>
              <w:pStyle w:val="2133"/>
              <w:adjustRightInd w:val="0"/>
              <w:snapToGrid w:val="0"/>
              <w:spacing w:line="240" w:lineRule="auto"/>
              <w:ind w:firstLine="0" w:firstLineChars="0"/>
              <w:jc w:val="center"/>
              <w:rPr>
                <w:rFonts w:cs="Times New Roman"/>
                <w:sz w:val="21"/>
                <w:szCs w:val="21"/>
              </w:rPr>
            </w:pPr>
            <w:r>
              <w:rPr>
                <w:rFonts w:cs="Times New Roman"/>
                <w:sz w:val="21"/>
                <w:szCs w:val="21"/>
              </w:rPr>
              <w:t>3.60</w:t>
            </w:r>
          </w:p>
        </w:tc>
        <w:tc>
          <w:tcPr>
            <w:tcW w:w="468" w:type="pct"/>
            <w:vAlign w:val="center"/>
          </w:tcPr>
          <w:p>
            <w:pPr>
              <w:pStyle w:val="2133"/>
              <w:adjustRightInd w:val="0"/>
              <w:snapToGrid w:val="0"/>
              <w:spacing w:line="240" w:lineRule="auto"/>
              <w:ind w:firstLine="0" w:firstLineChars="0"/>
              <w:jc w:val="center"/>
              <w:rPr>
                <w:rFonts w:cs="Times New Roman"/>
                <w:sz w:val="21"/>
                <w:szCs w:val="21"/>
              </w:rPr>
            </w:pPr>
            <w:r>
              <w:rPr>
                <w:rFonts w:cs="Times New Roman"/>
                <w:sz w:val="21"/>
                <w:szCs w:val="21"/>
              </w:rPr>
              <w:t>40</w:t>
            </w:r>
          </w:p>
        </w:tc>
        <w:tc>
          <w:tcPr>
            <w:tcW w:w="468" w:type="pct"/>
            <w:vAlign w:val="center"/>
          </w:tcPr>
          <w:p>
            <w:pPr>
              <w:pStyle w:val="2133"/>
              <w:adjustRightInd w:val="0"/>
              <w:snapToGrid w:val="0"/>
              <w:spacing w:line="240" w:lineRule="auto"/>
              <w:ind w:firstLine="0" w:firstLineChars="0"/>
              <w:jc w:val="center"/>
              <w:rPr>
                <w:rFonts w:cs="Times New Roman"/>
                <w:sz w:val="21"/>
                <w:szCs w:val="21"/>
              </w:rPr>
            </w:pPr>
            <w:r>
              <w:rPr>
                <w:rFonts w:cs="Times New Roman"/>
                <w:sz w:val="21"/>
                <w:szCs w:val="21"/>
              </w:rPr>
              <w:t>0.36</w:t>
            </w:r>
          </w:p>
        </w:tc>
      </w:tr>
    </w:tbl>
    <w:p>
      <w:pPr>
        <w:pStyle w:val="458"/>
        <w:ind w:firstLine="480"/>
        <w:rPr>
          <w:rFonts w:cs="Times New Roman"/>
          <w:color w:val="auto"/>
        </w:rPr>
      </w:pPr>
      <w:r>
        <w:rPr>
          <w:rFonts w:cs="Times New Roman"/>
          <w:color w:val="auto"/>
        </w:rPr>
        <w:t>本项目运营期污水产生量及污染物产生量详见下表。</w:t>
      </w:r>
    </w:p>
    <w:p>
      <w:pPr>
        <w:pStyle w:val="2285"/>
        <w:ind w:left="0"/>
        <w:rPr>
          <w:rFonts w:cs="Times New Roman"/>
        </w:rPr>
      </w:pPr>
      <w:r>
        <w:rPr>
          <w:rFonts w:cs="Times New Roman"/>
        </w:rPr>
        <w:t>项目运营期污水产生量及污染物产生量一览表</w:t>
      </w:r>
    </w:p>
    <w:tbl>
      <w:tblPr>
        <w:tblStyle w:val="359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49"/>
        <w:gridCol w:w="1979"/>
        <w:gridCol w:w="1651"/>
        <w:gridCol w:w="1462"/>
        <w:gridCol w:w="1596"/>
        <w:gridCol w:w="14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046" w:type="dxa"/>
            <w:gridSpan w:val="2"/>
            <w:vAlign w:val="center"/>
          </w:tcPr>
          <w:p>
            <w:pPr>
              <w:pStyle w:val="2691"/>
            </w:pPr>
            <w:r>
              <w:t>来源</w:t>
            </w:r>
          </w:p>
        </w:tc>
        <w:tc>
          <w:tcPr>
            <w:tcW w:w="1607" w:type="dxa"/>
            <w:vAlign w:val="center"/>
          </w:tcPr>
          <w:p>
            <w:pPr>
              <w:pStyle w:val="2691"/>
            </w:pPr>
            <w:r>
              <w:t>污水产生量</w:t>
            </w:r>
          </w:p>
          <w:p>
            <w:pPr>
              <w:pStyle w:val="2691"/>
            </w:pPr>
            <w:r>
              <w:t>（</w:t>
            </w:r>
            <w:r>
              <w:rPr>
                <w:spacing w:val="-3"/>
              </w:rPr>
              <w:t>m</w:t>
            </w:r>
            <w:r>
              <w:rPr>
                <w:spacing w:val="-3"/>
                <w:vertAlign w:val="superscript"/>
              </w:rPr>
              <w:t>3</w:t>
            </w:r>
            <w:r>
              <w:t>/a）</w:t>
            </w:r>
          </w:p>
        </w:tc>
        <w:tc>
          <w:tcPr>
            <w:tcW w:w="1423" w:type="dxa"/>
            <w:vAlign w:val="center"/>
          </w:tcPr>
          <w:p>
            <w:pPr>
              <w:pStyle w:val="2691"/>
            </w:pPr>
            <w:r>
              <w:t>污染物类别</w:t>
            </w:r>
          </w:p>
        </w:tc>
        <w:tc>
          <w:tcPr>
            <w:tcW w:w="1554" w:type="dxa"/>
            <w:vAlign w:val="center"/>
          </w:tcPr>
          <w:p>
            <w:pPr>
              <w:pStyle w:val="2691"/>
            </w:pPr>
            <w:r>
              <w:t>污染物</w:t>
            </w:r>
          </w:p>
          <w:p>
            <w:pPr>
              <w:pStyle w:val="2691"/>
            </w:pPr>
            <w:r>
              <w:t>产生浓度</w:t>
            </w:r>
          </w:p>
          <w:p>
            <w:pPr>
              <w:pStyle w:val="2691"/>
            </w:pPr>
            <w:r>
              <w:t>（mg/L）</w:t>
            </w:r>
          </w:p>
        </w:tc>
        <w:tc>
          <w:tcPr>
            <w:tcW w:w="1410" w:type="dxa"/>
            <w:vAlign w:val="center"/>
          </w:tcPr>
          <w:p>
            <w:pPr>
              <w:pStyle w:val="2691"/>
            </w:pPr>
            <w:r>
              <w:t>污染物</w:t>
            </w:r>
          </w:p>
          <w:p>
            <w:pPr>
              <w:pStyle w:val="2691"/>
            </w:pPr>
            <w:r>
              <w:t>产生量</w:t>
            </w:r>
          </w:p>
          <w:p>
            <w:pPr>
              <w:pStyle w:val="2691"/>
            </w:pPr>
            <w: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19" w:type="dxa"/>
            <w:vMerge w:val="restart"/>
            <w:vAlign w:val="center"/>
          </w:tcPr>
          <w:p>
            <w:pPr>
              <w:pStyle w:val="2691"/>
            </w:pPr>
            <w:r>
              <w:t>船舶废水</w:t>
            </w:r>
          </w:p>
        </w:tc>
        <w:tc>
          <w:tcPr>
            <w:tcW w:w="1927" w:type="dxa"/>
            <w:vAlign w:val="center"/>
          </w:tcPr>
          <w:p>
            <w:pPr>
              <w:pStyle w:val="2691"/>
            </w:pPr>
            <w:r>
              <w:rPr>
                <w:spacing w:val="-3"/>
                <w:szCs w:val="22"/>
              </w:rPr>
              <w:t>船舶舱底油污水</w:t>
            </w:r>
          </w:p>
        </w:tc>
        <w:tc>
          <w:tcPr>
            <w:tcW w:w="1607" w:type="dxa"/>
            <w:vAlign w:val="center"/>
          </w:tcPr>
          <w:p>
            <w:pPr>
              <w:pStyle w:val="2691"/>
            </w:pPr>
            <w:r>
              <w:rPr>
                <w:kern w:val="0"/>
              </w:rPr>
              <w:t>10040.8</w:t>
            </w:r>
          </w:p>
        </w:tc>
        <w:tc>
          <w:tcPr>
            <w:tcW w:w="1423" w:type="dxa"/>
            <w:vAlign w:val="center"/>
          </w:tcPr>
          <w:p>
            <w:pPr>
              <w:pStyle w:val="2691"/>
            </w:pPr>
            <w:r>
              <w:t>石油类</w:t>
            </w:r>
          </w:p>
        </w:tc>
        <w:tc>
          <w:tcPr>
            <w:tcW w:w="1554" w:type="dxa"/>
            <w:vAlign w:val="center"/>
          </w:tcPr>
          <w:p>
            <w:pPr>
              <w:pStyle w:val="2691"/>
            </w:pPr>
            <w:r>
              <w:t>5000</w:t>
            </w:r>
          </w:p>
        </w:tc>
        <w:tc>
          <w:tcPr>
            <w:tcW w:w="1410" w:type="dxa"/>
            <w:vAlign w:val="center"/>
          </w:tcPr>
          <w:p>
            <w:pPr>
              <w:pStyle w:val="2691"/>
            </w:pPr>
            <w:r>
              <w:t>50.20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19" w:type="dxa"/>
            <w:vMerge w:val="continue"/>
            <w:vAlign w:val="center"/>
          </w:tcPr>
          <w:p>
            <w:pPr>
              <w:pStyle w:val="2691"/>
            </w:pPr>
          </w:p>
        </w:tc>
        <w:tc>
          <w:tcPr>
            <w:tcW w:w="1927" w:type="dxa"/>
            <w:vMerge w:val="restart"/>
            <w:vAlign w:val="center"/>
          </w:tcPr>
          <w:p>
            <w:pPr>
              <w:pStyle w:val="2691"/>
            </w:pPr>
            <w:r>
              <w:t>船舶生活污水</w:t>
            </w:r>
          </w:p>
        </w:tc>
        <w:tc>
          <w:tcPr>
            <w:tcW w:w="1607" w:type="dxa"/>
            <w:vMerge w:val="restart"/>
            <w:vAlign w:val="center"/>
          </w:tcPr>
          <w:p>
            <w:pPr>
              <w:pStyle w:val="2691"/>
            </w:pPr>
            <w:r>
              <w:t>814.44</w:t>
            </w:r>
          </w:p>
        </w:tc>
        <w:tc>
          <w:tcPr>
            <w:tcW w:w="1423" w:type="dxa"/>
            <w:vAlign w:val="center"/>
          </w:tcPr>
          <w:p>
            <w:pPr>
              <w:pStyle w:val="2691"/>
            </w:pPr>
            <w:r>
              <w:t>COD</w:t>
            </w:r>
          </w:p>
        </w:tc>
        <w:tc>
          <w:tcPr>
            <w:tcW w:w="1554" w:type="dxa"/>
            <w:vAlign w:val="center"/>
          </w:tcPr>
          <w:p>
            <w:pPr>
              <w:pStyle w:val="2691"/>
            </w:pPr>
            <w:r>
              <w:t>350</w:t>
            </w:r>
          </w:p>
        </w:tc>
        <w:tc>
          <w:tcPr>
            <w:tcW w:w="1410" w:type="dxa"/>
            <w:vAlign w:val="center"/>
          </w:tcPr>
          <w:p>
            <w:pPr>
              <w:pStyle w:val="2691"/>
            </w:pPr>
            <w:r>
              <w:t>0.29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19" w:type="dxa"/>
            <w:vMerge w:val="continue"/>
            <w:vAlign w:val="center"/>
          </w:tcPr>
          <w:p>
            <w:pPr>
              <w:pStyle w:val="2691"/>
            </w:pPr>
          </w:p>
        </w:tc>
        <w:tc>
          <w:tcPr>
            <w:tcW w:w="1927" w:type="dxa"/>
            <w:vMerge w:val="continue"/>
            <w:vAlign w:val="center"/>
          </w:tcPr>
          <w:p>
            <w:pPr>
              <w:pStyle w:val="2691"/>
            </w:pPr>
          </w:p>
        </w:tc>
        <w:tc>
          <w:tcPr>
            <w:tcW w:w="1607" w:type="dxa"/>
            <w:vMerge w:val="continue"/>
            <w:vAlign w:val="center"/>
          </w:tcPr>
          <w:p>
            <w:pPr>
              <w:pStyle w:val="2691"/>
            </w:pPr>
          </w:p>
        </w:tc>
        <w:tc>
          <w:tcPr>
            <w:tcW w:w="1423" w:type="dxa"/>
            <w:vAlign w:val="center"/>
          </w:tcPr>
          <w:p>
            <w:pPr>
              <w:pStyle w:val="2691"/>
            </w:pPr>
            <w:r>
              <w:t>BOD</w:t>
            </w:r>
            <w:r>
              <w:rPr>
                <w:vertAlign w:val="subscript"/>
              </w:rPr>
              <w:t>5</w:t>
            </w:r>
          </w:p>
        </w:tc>
        <w:tc>
          <w:tcPr>
            <w:tcW w:w="1554" w:type="dxa"/>
            <w:vAlign w:val="center"/>
          </w:tcPr>
          <w:p>
            <w:pPr>
              <w:pStyle w:val="2691"/>
            </w:pPr>
            <w:r>
              <w:t>250</w:t>
            </w:r>
          </w:p>
        </w:tc>
        <w:tc>
          <w:tcPr>
            <w:tcW w:w="1410" w:type="dxa"/>
            <w:vAlign w:val="center"/>
          </w:tcPr>
          <w:p>
            <w:pPr>
              <w:pStyle w:val="2691"/>
            </w:pPr>
            <w:r>
              <w:t>0.20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19" w:type="dxa"/>
            <w:vMerge w:val="continue"/>
            <w:vAlign w:val="center"/>
          </w:tcPr>
          <w:p>
            <w:pPr>
              <w:pStyle w:val="2691"/>
            </w:pPr>
          </w:p>
        </w:tc>
        <w:tc>
          <w:tcPr>
            <w:tcW w:w="1927" w:type="dxa"/>
            <w:vMerge w:val="continue"/>
            <w:vAlign w:val="center"/>
          </w:tcPr>
          <w:p>
            <w:pPr>
              <w:pStyle w:val="2691"/>
            </w:pPr>
          </w:p>
        </w:tc>
        <w:tc>
          <w:tcPr>
            <w:tcW w:w="1607" w:type="dxa"/>
            <w:vMerge w:val="continue"/>
            <w:vAlign w:val="center"/>
          </w:tcPr>
          <w:p>
            <w:pPr>
              <w:pStyle w:val="2691"/>
            </w:pPr>
          </w:p>
        </w:tc>
        <w:tc>
          <w:tcPr>
            <w:tcW w:w="1423" w:type="dxa"/>
            <w:vAlign w:val="center"/>
          </w:tcPr>
          <w:p>
            <w:pPr>
              <w:pStyle w:val="2691"/>
            </w:pPr>
            <w:r>
              <w:t>SS</w:t>
            </w:r>
          </w:p>
        </w:tc>
        <w:tc>
          <w:tcPr>
            <w:tcW w:w="1554" w:type="dxa"/>
            <w:vAlign w:val="center"/>
          </w:tcPr>
          <w:p>
            <w:pPr>
              <w:pStyle w:val="2691"/>
            </w:pPr>
            <w:r>
              <w:t>400</w:t>
            </w:r>
          </w:p>
        </w:tc>
        <w:tc>
          <w:tcPr>
            <w:tcW w:w="1410" w:type="dxa"/>
            <w:vAlign w:val="center"/>
          </w:tcPr>
          <w:p>
            <w:pPr>
              <w:pStyle w:val="2691"/>
            </w:pPr>
            <w:r>
              <w:t>0.33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19" w:type="dxa"/>
            <w:vMerge w:val="continue"/>
            <w:vAlign w:val="center"/>
          </w:tcPr>
          <w:p>
            <w:pPr>
              <w:pStyle w:val="2691"/>
            </w:pPr>
          </w:p>
        </w:tc>
        <w:tc>
          <w:tcPr>
            <w:tcW w:w="1927" w:type="dxa"/>
            <w:vMerge w:val="continue"/>
            <w:vAlign w:val="center"/>
          </w:tcPr>
          <w:p>
            <w:pPr>
              <w:pStyle w:val="2691"/>
            </w:pPr>
          </w:p>
        </w:tc>
        <w:tc>
          <w:tcPr>
            <w:tcW w:w="1607" w:type="dxa"/>
            <w:vMerge w:val="continue"/>
            <w:vAlign w:val="center"/>
          </w:tcPr>
          <w:p>
            <w:pPr>
              <w:pStyle w:val="2691"/>
            </w:pPr>
          </w:p>
        </w:tc>
        <w:tc>
          <w:tcPr>
            <w:tcW w:w="1423" w:type="dxa"/>
            <w:vAlign w:val="center"/>
          </w:tcPr>
          <w:p>
            <w:pPr>
              <w:pStyle w:val="2691"/>
            </w:pPr>
            <w:r>
              <w:t>NH</w:t>
            </w:r>
            <w:r>
              <w:rPr>
                <w:vertAlign w:val="subscript"/>
              </w:rPr>
              <w:t>3</w:t>
            </w:r>
            <w:r>
              <w:t>-N</w:t>
            </w:r>
          </w:p>
        </w:tc>
        <w:tc>
          <w:tcPr>
            <w:tcW w:w="1554" w:type="dxa"/>
            <w:vAlign w:val="center"/>
          </w:tcPr>
          <w:p>
            <w:pPr>
              <w:pStyle w:val="2691"/>
            </w:pPr>
            <w:r>
              <w:t>40</w:t>
            </w:r>
          </w:p>
        </w:tc>
        <w:tc>
          <w:tcPr>
            <w:tcW w:w="1410" w:type="dxa"/>
            <w:vAlign w:val="center"/>
          </w:tcPr>
          <w:p>
            <w:pPr>
              <w:pStyle w:val="2691"/>
            </w:pPr>
            <w:r>
              <w:t>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19" w:type="dxa"/>
            <w:vMerge w:val="restart"/>
            <w:vAlign w:val="center"/>
          </w:tcPr>
          <w:p>
            <w:pPr>
              <w:pStyle w:val="2691"/>
            </w:pPr>
            <w:r>
              <w:rPr>
                <w:rFonts w:hint="eastAsia"/>
              </w:rPr>
              <w:t>生产</w:t>
            </w:r>
            <w:r>
              <w:t>废水</w:t>
            </w:r>
          </w:p>
        </w:tc>
        <w:tc>
          <w:tcPr>
            <w:tcW w:w="1927" w:type="dxa"/>
            <w:vAlign w:val="center"/>
          </w:tcPr>
          <w:p>
            <w:pPr>
              <w:pStyle w:val="2691"/>
            </w:pPr>
            <w:r>
              <w:t>地面冲洗废水</w:t>
            </w:r>
          </w:p>
        </w:tc>
        <w:tc>
          <w:tcPr>
            <w:tcW w:w="1607" w:type="dxa"/>
            <w:vAlign w:val="center"/>
          </w:tcPr>
          <w:p>
            <w:pPr>
              <w:pStyle w:val="2691"/>
            </w:pPr>
            <w:r>
              <w:t>1393.42</w:t>
            </w:r>
          </w:p>
        </w:tc>
        <w:tc>
          <w:tcPr>
            <w:tcW w:w="1423" w:type="dxa"/>
            <w:vAlign w:val="center"/>
          </w:tcPr>
          <w:p>
            <w:pPr>
              <w:pStyle w:val="2691"/>
            </w:pPr>
            <w:r>
              <w:t>SS</w:t>
            </w:r>
          </w:p>
        </w:tc>
        <w:tc>
          <w:tcPr>
            <w:tcW w:w="1554" w:type="dxa"/>
            <w:vAlign w:val="center"/>
          </w:tcPr>
          <w:p>
            <w:pPr>
              <w:pStyle w:val="2691"/>
            </w:pPr>
            <w:r>
              <w:t>1000</w:t>
            </w:r>
          </w:p>
        </w:tc>
        <w:tc>
          <w:tcPr>
            <w:tcW w:w="1410" w:type="dxa"/>
            <w:vAlign w:val="center"/>
          </w:tcPr>
          <w:p>
            <w:pPr>
              <w:pStyle w:val="2691"/>
            </w:pPr>
            <w:r>
              <w:t>1.39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19" w:type="dxa"/>
            <w:vMerge w:val="continue"/>
            <w:vAlign w:val="center"/>
          </w:tcPr>
          <w:p>
            <w:pPr>
              <w:pStyle w:val="2691"/>
            </w:pPr>
          </w:p>
        </w:tc>
        <w:tc>
          <w:tcPr>
            <w:tcW w:w="1927" w:type="dxa"/>
            <w:vMerge w:val="restart"/>
            <w:vAlign w:val="center"/>
          </w:tcPr>
          <w:p>
            <w:pPr>
              <w:pStyle w:val="2691"/>
            </w:pPr>
            <w:r>
              <w:t>流动机械冲洗废水</w:t>
            </w:r>
          </w:p>
        </w:tc>
        <w:tc>
          <w:tcPr>
            <w:tcW w:w="1607" w:type="dxa"/>
            <w:vMerge w:val="restart"/>
            <w:vAlign w:val="center"/>
          </w:tcPr>
          <w:p>
            <w:pPr>
              <w:pStyle w:val="2691"/>
            </w:pPr>
            <w:r>
              <w:rPr>
                <w:bCs/>
              </w:rPr>
              <w:t>1782</w:t>
            </w:r>
          </w:p>
        </w:tc>
        <w:tc>
          <w:tcPr>
            <w:tcW w:w="1423" w:type="dxa"/>
            <w:vAlign w:val="center"/>
          </w:tcPr>
          <w:p>
            <w:pPr>
              <w:pStyle w:val="2691"/>
            </w:pPr>
            <w:r>
              <w:t>SS</w:t>
            </w:r>
          </w:p>
        </w:tc>
        <w:tc>
          <w:tcPr>
            <w:tcW w:w="1554" w:type="dxa"/>
            <w:vAlign w:val="center"/>
          </w:tcPr>
          <w:p>
            <w:pPr>
              <w:pStyle w:val="2691"/>
            </w:pPr>
            <w:r>
              <w:rPr>
                <w:rFonts w:hint="eastAsia"/>
              </w:rPr>
              <w:t>5</w:t>
            </w:r>
            <w:r>
              <w:t>0</w:t>
            </w:r>
          </w:p>
        </w:tc>
        <w:tc>
          <w:tcPr>
            <w:tcW w:w="1410" w:type="dxa"/>
            <w:vAlign w:val="center"/>
          </w:tcPr>
          <w:p>
            <w:pPr>
              <w:pStyle w:val="2691"/>
            </w:pPr>
            <w:r>
              <w:rPr>
                <w:rFonts w:hint="eastAsia"/>
              </w:rPr>
              <w:t>0</w:t>
            </w:r>
            <w:r>
              <w:t>.09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19" w:type="dxa"/>
            <w:vMerge w:val="continue"/>
            <w:vAlign w:val="center"/>
          </w:tcPr>
          <w:p>
            <w:pPr>
              <w:pStyle w:val="2691"/>
            </w:pPr>
          </w:p>
        </w:tc>
        <w:tc>
          <w:tcPr>
            <w:tcW w:w="1927" w:type="dxa"/>
            <w:vMerge w:val="continue"/>
            <w:vAlign w:val="center"/>
          </w:tcPr>
          <w:p>
            <w:pPr>
              <w:pStyle w:val="2691"/>
            </w:pPr>
          </w:p>
        </w:tc>
        <w:tc>
          <w:tcPr>
            <w:tcW w:w="1607" w:type="dxa"/>
            <w:vMerge w:val="continue"/>
            <w:vAlign w:val="center"/>
          </w:tcPr>
          <w:p>
            <w:pPr>
              <w:pStyle w:val="2691"/>
              <w:rPr>
                <w:bCs/>
              </w:rPr>
            </w:pPr>
          </w:p>
        </w:tc>
        <w:tc>
          <w:tcPr>
            <w:tcW w:w="1423" w:type="dxa"/>
            <w:vAlign w:val="center"/>
          </w:tcPr>
          <w:p>
            <w:pPr>
              <w:pStyle w:val="2691"/>
            </w:pPr>
            <w:r>
              <w:t>石油类</w:t>
            </w:r>
          </w:p>
        </w:tc>
        <w:tc>
          <w:tcPr>
            <w:tcW w:w="1554" w:type="dxa"/>
            <w:vAlign w:val="center"/>
          </w:tcPr>
          <w:p>
            <w:pPr>
              <w:pStyle w:val="2691"/>
            </w:pPr>
            <w:r>
              <w:rPr>
                <w:rFonts w:hint="eastAsia"/>
              </w:rPr>
              <w:t>2</w:t>
            </w:r>
            <w:r>
              <w:t>00</w:t>
            </w:r>
          </w:p>
        </w:tc>
        <w:tc>
          <w:tcPr>
            <w:tcW w:w="1410" w:type="dxa"/>
            <w:vAlign w:val="center"/>
          </w:tcPr>
          <w:p>
            <w:pPr>
              <w:pStyle w:val="2691"/>
            </w:pPr>
            <w:r>
              <w:rPr>
                <w:rFonts w:hint="eastAsia"/>
              </w:rPr>
              <w:t>0</w:t>
            </w:r>
            <w:r>
              <w:t>.36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19" w:type="dxa"/>
            <w:vMerge w:val="continue"/>
            <w:vAlign w:val="center"/>
          </w:tcPr>
          <w:p>
            <w:pPr>
              <w:pStyle w:val="2691"/>
            </w:pPr>
          </w:p>
        </w:tc>
        <w:tc>
          <w:tcPr>
            <w:tcW w:w="1927" w:type="dxa"/>
            <w:vAlign w:val="center"/>
          </w:tcPr>
          <w:p>
            <w:pPr>
              <w:pStyle w:val="2691"/>
            </w:pPr>
            <w:r>
              <w:t>初期雨水</w:t>
            </w:r>
          </w:p>
        </w:tc>
        <w:tc>
          <w:tcPr>
            <w:tcW w:w="1607" w:type="dxa"/>
            <w:vAlign w:val="center"/>
          </w:tcPr>
          <w:p>
            <w:pPr>
              <w:pStyle w:val="2691"/>
            </w:pPr>
            <w:r>
              <w:t>704.44</w:t>
            </w:r>
          </w:p>
        </w:tc>
        <w:tc>
          <w:tcPr>
            <w:tcW w:w="1423" w:type="dxa"/>
            <w:vAlign w:val="center"/>
          </w:tcPr>
          <w:p>
            <w:pPr>
              <w:pStyle w:val="2691"/>
            </w:pPr>
            <w:r>
              <w:t>SS</w:t>
            </w:r>
          </w:p>
        </w:tc>
        <w:tc>
          <w:tcPr>
            <w:tcW w:w="1554" w:type="dxa"/>
            <w:vAlign w:val="center"/>
          </w:tcPr>
          <w:p>
            <w:pPr>
              <w:pStyle w:val="2691"/>
            </w:pPr>
            <w:r>
              <w:t>1000</w:t>
            </w:r>
          </w:p>
        </w:tc>
        <w:tc>
          <w:tcPr>
            <w:tcW w:w="1410" w:type="dxa"/>
            <w:vAlign w:val="center"/>
          </w:tcPr>
          <w:p>
            <w:pPr>
              <w:pStyle w:val="2691"/>
            </w:pPr>
            <w:r>
              <w:t>0.70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19" w:type="dxa"/>
            <w:vMerge w:val="restart"/>
            <w:vAlign w:val="center"/>
          </w:tcPr>
          <w:p>
            <w:pPr>
              <w:pStyle w:val="2691"/>
            </w:pPr>
            <w:r>
              <w:rPr>
                <w:rFonts w:hint="eastAsia"/>
              </w:rPr>
              <w:t>生活</w:t>
            </w:r>
            <w:r>
              <w:t>污水</w:t>
            </w:r>
          </w:p>
        </w:tc>
        <w:tc>
          <w:tcPr>
            <w:tcW w:w="1927" w:type="dxa"/>
            <w:vMerge w:val="restart"/>
            <w:vAlign w:val="center"/>
          </w:tcPr>
          <w:p>
            <w:pPr>
              <w:pStyle w:val="2691"/>
            </w:pPr>
            <w:r>
              <w:t>员工生活污水</w:t>
            </w:r>
          </w:p>
        </w:tc>
        <w:tc>
          <w:tcPr>
            <w:tcW w:w="1607" w:type="dxa"/>
            <w:vMerge w:val="restart"/>
            <w:vAlign w:val="center"/>
          </w:tcPr>
          <w:p>
            <w:pPr>
              <w:pStyle w:val="2691"/>
            </w:pPr>
            <w:r>
              <w:t>9002.4</w:t>
            </w:r>
          </w:p>
        </w:tc>
        <w:tc>
          <w:tcPr>
            <w:tcW w:w="1423" w:type="dxa"/>
            <w:vAlign w:val="center"/>
          </w:tcPr>
          <w:p>
            <w:pPr>
              <w:pStyle w:val="2691"/>
            </w:pPr>
            <w:r>
              <w:t>COD</w:t>
            </w:r>
          </w:p>
        </w:tc>
        <w:tc>
          <w:tcPr>
            <w:tcW w:w="1554" w:type="dxa"/>
            <w:vAlign w:val="center"/>
          </w:tcPr>
          <w:p>
            <w:pPr>
              <w:pStyle w:val="2691"/>
            </w:pPr>
            <w:r>
              <w:rPr>
                <w:rFonts w:hint="eastAsia"/>
              </w:rPr>
              <w:t>350</w:t>
            </w:r>
          </w:p>
        </w:tc>
        <w:tc>
          <w:tcPr>
            <w:tcW w:w="1410" w:type="dxa"/>
            <w:vAlign w:val="center"/>
          </w:tcPr>
          <w:p>
            <w:pPr>
              <w:pStyle w:val="2691"/>
            </w:pPr>
            <w:r>
              <w:t>3.15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19" w:type="dxa"/>
            <w:vMerge w:val="continue"/>
            <w:vAlign w:val="center"/>
          </w:tcPr>
          <w:p>
            <w:pPr>
              <w:pStyle w:val="2691"/>
            </w:pPr>
          </w:p>
        </w:tc>
        <w:tc>
          <w:tcPr>
            <w:tcW w:w="1927" w:type="dxa"/>
            <w:vMerge w:val="continue"/>
            <w:vAlign w:val="center"/>
          </w:tcPr>
          <w:p>
            <w:pPr>
              <w:pStyle w:val="2691"/>
            </w:pPr>
          </w:p>
        </w:tc>
        <w:tc>
          <w:tcPr>
            <w:tcW w:w="1607" w:type="dxa"/>
            <w:vMerge w:val="continue"/>
            <w:vAlign w:val="center"/>
          </w:tcPr>
          <w:p>
            <w:pPr>
              <w:pStyle w:val="2691"/>
            </w:pPr>
          </w:p>
        </w:tc>
        <w:tc>
          <w:tcPr>
            <w:tcW w:w="1423" w:type="dxa"/>
            <w:vAlign w:val="center"/>
          </w:tcPr>
          <w:p>
            <w:pPr>
              <w:pStyle w:val="2691"/>
            </w:pPr>
            <w:r>
              <w:t>BOD</w:t>
            </w:r>
            <w:r>
              <w:rPr>
                <w:vertAlign w:val="subscript"/>
              </w:rPr>
              <w:t>5</w:t>
            </w:r>
          </w:p>
        </w:tc>
        <w:tc>
          <w:tcPr>
            <w:tcW w:w="1554" w:type="dxa"/>
            <w:vAlign w:val="center"/>
          </w:tcPr>
          <w:p>
            <w:pPr>
              <w:pStyle w:val="2691"/>
            </w:pPr>
            <w:r>
              <w:rPr>
                <w:rFonts w:hint="eastAsia"/>
              </w:rPr>
              <w:t>250</w:t>
            </w:r>
          </w:p>
        </w:tc>
        <w:tc>
          <w:tcPr>
            <w:tcW w:w="1410" w:type="dxa"/>
            <w:vAlign w:val="center"/>
          </w:tcPr>
          <w:p>
            <w:pPr>
              <w:pStyle w:val="2691"/>
            </w:pPr>
            <w:r>
              <w:t>2.25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19" w:type="dxa"/>
            <w:vMerge w:val="continue"/>
            <w:vAlign w:val="center"/>
          </w:tcPr>
          <w:p>
            <w:pPr>
              <w:pStyle w:val="2691"/>
            </w:pPr>
          </w:p>
        </w:tc>
        <w:tc>
          <w:tcPr>
            <w:tcW w:w="1927" w:type="dxa"/>
            <w:vMerge w:val="continue"/>
            <w:vAlign w:val="center"/>
          </w:tcPr>
          <w:p>
            <w:pPr>
              <w:pStyle w:val="2691"/>
            </w:pPr>
          </w:p>
        </w:tc>
        <w:tc>
          <w:tcPr>
            <w:tcW w:w="1607" w:type="dxa"/>
            <w:vMerge w:val="continue"/>
            <w:vAlign w:val="center"/>
          </w:tcPr>
          <w:p>
            <w:pPr>
              <w:pStyle w:val="2691"/>
            </w:pPr>
          </w:p>
        </w:tc>
        <w:tc>
          <w:tcPr>
            <w:tcW w:w="1423" w:type="dxa"/>
            <w:vAlign w:val="center"/>
          </w:tcPr>
          <w:p>
            <w:pPr>
              <w:pStyle w:val="2691"/>
            </w:pPr>
            <w:r>
              <w:t>SS</w:t>
            </w:r>
          </w:p>
        </w:tc>
        <w:tc>
          <w:tcPr>
            <w:tcW w:w="1554" w:type="dxa"/>
            <w:vAlign w:val="center"/>
          </w:tcPr>
          <w:p>
            <w:pPr>
              <w:pStyle w:val="2691"/>
            </w:pPr>
            <w:r>
              <w:t>4</w:t>
            </w:r>
            <w:r>
              <w:rPr>
                <w:rFonts w:hint="eastAsia"/>
              </w:rPr>
              <w:t>00</w:t>
            </w:r>
          </w:p>
        </w:tc>
        <w:tc>
          <w:tcPr>
            <w:tcW w:w="1410" w:type="dxa"/>
            <w:vAlign w:val="center"/>
          </w:tcPr>
          <w:p>
            <w:pPr>
              <w:pStyle w:val="2691"/>
            </w:pPr>
            <w:r>
              <w:t>3.60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19" w:type="dxa"/>
            <w:vMerge w:val="continue"/>
            <w:vAlign w:val="center"/>
          </w:tcPr>
          <w:p>
            <w:pPr>
              <w:pStyle w:val="2691"/>
            </w:pPr>
          </w:p>
        </w:tc>
        <w:tc>
          <w:tcPr>
            <w:tcW w:w="1927" w:type="dxa"/>
            <w:vMerge w:val="continue"/>
            <w:vAlign w:val="center"/>
          </w:tcPr>
          <w:p>
            <w:pPr>
              <w:pStyle w:val="2691"/>
            </w:pPr>
          </w:p>
        </w:tc>
        <w:tc>
          <w:tcPr>
            <w:tcW w:w="1607" w:type="dxa"/>
            <w:vMerge w:val="continue"/>
            <w:vAlign w:val="center"/>
          </w:tcPr>
          <w:p>
            <w:pPr>
              <w:pStyle w:val="2691"/>
            </w:pPr>
          </w:p>
        </w:tc>
        <w:tc>
          <w:tcPr>
            <w:tcW w:w="1423" w:type="dxa"/>
            <w:vAlign w:val="center"/>
          </w:tcPr>
          <w:p>
            <w:pPr>
              <w:pStyle w:val="2691"/>
            </w:pPr>
            <w:r>
              <w:t>NH</w:t>
            </w:r>
            <w:r>
              <w:rPr>
                <w:vertAlign w:val="subscript"/>
              </w:rPr>
              <w:t>3</w:t>
            </w:r>
            <w:r>
              <w:t>-N</w:t>
            </w:r>
          </w:p>
        </w:tc>
        <w:tc>
          <w:tcPr>
            <w:tcW w:w="1554" w:type="dxa"/>
            <w:vAlign w:val="center"/>
          </w:tcPr>
          <w:p>
            <w:pPr>
              <w:pStyle w:val="2691"/>
            </w:pPr>
            <w:r>
              <w:rPr>
                <w:rFonts w:hint="eastAsia"/>
              </w:rPr>
              <w:t>4</w:t>
            </w:r>
            <w:r>
              <w:t>0</w:t>
            </w:r>
          </w:p>
        </w:tc>
        <w:tc>
          <w:tcPr>
            <w:tcW w:w="1410" w:type="dxa"/>
            <w:vAlign w:val="center"/>
          </w:tcPr>
          <w:p>
            <w:pPr>
              <w:pStyle w:val="2691"/>
            </w:pPr>
            <w:r>
              <w:rPr>
                <w:rFonts w:hint="eastAsia"/>
              </w:rPr>
              <w:t>0.</w:t>
            </w:r>
            <w:r>
              <w:t>36</w:t>
            </w:r>
          </w:p>
        </w:tc>
      </w:tr>
    </w:tbl>
    <w:p>
      <w:pPr>
        <w:pStyle w:val="458"/>
        <w:ind w:firstLine="480"/>
        <w:rPr>
          <w:rFonts w:cs="Times New Roman"/>
          <w:color w:val="auto"/>
        </w:rPr>
      </w:pPr>
      <w:r>
        <w:rPr>
          <w:rFonts w:cs="Times New Roman"/>
          <w:color w:val="auto"/>
        </w:rPr>
        <w:t>项目用水平衡表见下表，用水平衡图见下图。</w:t>
      </w:r>
    </w:p>
    <w:p>
      <w:pPr>
        <w:pStyle w:val="2285"/>
        <w:ind w:left="0"/>
        <w:rPr>
          <w:rFonts w:cs="Times New Roman"/>
        </w:rPr>
      </w:pPr>
      <w:r>
        <w:rPr>
          <w:rFonts w:cs="Times New Roman"/>
        </w:rPr>
        <w:t>本项目工程水</w:t>
      </w:r>
      <w:r>
        <w:rPr>
          <w:rFonts w:cs="Times New Roman"/>
          <w:bCs/>
        </w:rPr>
        <w:t>平衡表</w:t>
      </w:r>
      <w:r>
        <w:rPr>
          <w:rFonts w:cs="Times New Roman"/>
        </w:rPr>
        <w:t xml:space="preserve">  单位：m</w:t>
      </w:r>
      <w:r>
        <w:rPr>
          <w:rFonts w:cs="Times New Roman"/>
          <w:vertAlign w:val="superscript"/>
        </w:rPr>
        <w:t>3</w:t>
      </w:r>
      <w:r>
        <w:rPr>
          <w:rFonts w:cs="Times New Roman"/>
        </w:rPr>
        <w:t>/a</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73"/>
        <w:gridCol w:w="1746"/>
        <w:gridCol w:w="1612"/>
        <w:gridCol w:w="1298"/>
        <w:gridCol w:w="1310"/>
        <w:gridCol w:w="11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70" w:type="pct"/>
            <w:shd w:val="clear" w:color="auto" w:fill="auto"/>
            <w:noWrap/>
            <w:vAlign w:val="center"/>
          </w:tcPr>
          <w:p>
            <w:pPr>
              <w:pStyle w:val="2691"/>
            </w:pPr>
            <w:r>
              <w:t>分类</w:t>
            </w:r>
          </w:p>
        </w:tc>
        <w:tc>
          <w:tcPr>
            <w:tcW w:w="940" w:type="pct"/>
            <w:shd w:val="clear" w:color="auto" w:fill="auto"/>
            <w:noWrap/>
            <w:vAlign w:val="center"/>
          </w:tcPr>
          <w:p>
            <w:pPr>
              <w:pStyle w:val="2691"/>
            </w:pPr>
            <w:r>
              <w:t>总用水量</w:t>
            </w:r>
          </w:p>
        </w:tc>
        <w:tc>
          <w:tcPr>
            <w:tcW w:w="868" w:type="pct"/>
            <w:shd w:val="clear" w:color="auto" w:fill="auto"/>
            <w:noWrap/>
            <w:vAlign w:val="center"/>
          </w:tcPr>
          <w:p>
            <w:pPr>
              <w:pStyle w:val="2691"/>
            </w:pPr>
            <w:r>
              <w:rPr>
                <w:rFonts w:hint="eastAsia"/>
              </w:rPr>
              <w:t>新鲜给水</w:t>
            </w:r>
          </w:p>
        </w:tc>
        <w:tc>
          <w:tcPr>
            <w:tcW w:w="699" w:type="pct"/>
            <w:shd w:val="clear" w:color="auto" w:fill="auto"/>
            <w:noWrap/>
            <w:vAlign w:val="center"/>
          </w:tcPr>
          <w:p>
            <w:pPr>
              <w:pStyle w:val="2691"/>
            </w:pPr>
            <w:r>
              <w:t>损耗</w:t>
            </w:r>
          </w:p>
        </w:tc>
        <w:tc>
          <w:tcPr>
            <w:tcW w:w="705" w:type="pct"/>
            <w:shd w:val="clear" w:color="auto" w:fill="auto"/>
            <w:noWrap/>
            <w:vAlign w:val="center"/>
          </w:tcPr>
          <w:p>
            <w:pPr>
              <w:pStyle w:val="2691"/>
            </w:pPr>
            <w:r>
              <w:rPr>
                <w:rFonts w:hint="eastAsia"/>
              </w:rPr>
              <w:t>回水量</w:t>
            </w:r>
          </w:p>
        </w:tc>
        <w:tc>
          <w:tcPr>
            <w:tcW w:w="618" w:type="pct"/>
            <w:shd w:val="clear" w:color="auto" w:fill="auto"/>
            <w:noWrap/>
            <w:vAlign w:val="center"/>
          </w:tcPr>
          <w:p>
            <w:pPr>
              <w:pStyle w:val="2691"/>
            </w:pPr>
            <w:r>
              <w:t>废水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70" w:type="pct"/>
            <w:shd w:val="clear" w:color="auto" w:fill="auto"/>
            <w:noWrap/>
            <w:vAlign w:val="center"/>
          </w:tcPr>
          <w:p>
            <w:pPr>
              <w:pStyle w:val="2691"/>
            </w:pPr>
            <w:r>
              <w:t>船舶生活污水</w:t>
            </w:r>
          </w:p>
        </w:tc>
        <w:tc>
          <w:tcPr>
            <w:tcW w:w="940" w:type="pct"/>
            <w:shd w:val="clear" w:color="auto" w:fill="auto"/>
            <w:noWrap/>
            <w:vAlign w:val="center"/>
          </w:tcPr>
          <w:p>
            <w:pPr>
              <w:pStyle w:val="2691"/>
            </w:pPr>
            <w:r>
              <w:rPr>
                <w:spacing w:val="-3"/>
                <w:szCs w:val="22"/>
              </w:rPr>
              <w:t>1018.05</w:t>
            </w:r>
          </w:p>
        </w:tc>
        <w:tc>
          <w:tcPr>
            <w:tcW w:w="868" w:type="pct"/>
            <w:shd w:val="clear" w:color="auto" w:fill="auto"/>
            <w:noWrap/>
            <w:vAlign w:val="center"/>
          </w:tcPr>
          <w:p>
            <w:pPr>
              <w:pStyle w:val="2691"/>
            </w:pPr>
            <w:r>
              <w:rPr>
                <w:spacing w:val="-3"/>
                <w:szCs w:val="22"/>
              </w:rPr>
              <w:t>1018.05</w:t>
            </w:r>
          </w:p>
        </w:tc>
        <w:tc>
          <w:tcPr>
            <w:tcW w:w="699" w:type="pct"/>
            <w:shd w:val="clear" w:color="auto" w:fill="auto"/>
            <w:noWrap/>
            <w:vAlign w:val="center"/>
          </w:tcPr>
          <w:p>
            <w:pPr>
              <w:pStyle w:val="2691"/>
            </w:pPr>
            <w:r>
              <w:t>203.61</w:t>
            </w:r>
          </w:p>
        </w:tc>
        <w:tc>
          <w:tcPr>
            <w:tcW w:w="705" w:type="pct"/>
            <w:shd w:val="clear" w:color="auto" w:fill="auto"/>
            <w:noWrap/>
            <w:vAlign w:val="center"/>
          </w:tcPr>
          <w:p>
            <w:pPr>
              <w:pStyle w:val="2691"/>
            </w:pPr>
            <w:r>
              <w:t>0</w:t>
            </w:r>
          </w:p>
        </w:tc>
        <w:tc>
          <w:tcPr>
            <w:tcW w:w="618" w:type="pct"/>
            <w:shd w:val="clear" w:color="auto" w:fill="auto"/>
            <w:noWrap/>
            <w:vAlign w:val="center"/>
          </w:tcPr>
          <w:p>
            <w:pPr>
              <w:pStyle w:val="2691"/>
            </w:pPr>
            <w:r>
              <w:t>814.44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70" w:type="pct"/>
            <w:shd w:val="clear" w:color="auto" w:fill="auto"/>
            <w:noWrap/>
            <w:vAlign w:val="center"/>
          </w:tcPr>
          <w:p>
            <w:pPr>
              <w:pStyle w:val="2691"/>
            </w:pPr>
            <w:r>
              <w:rPr>
                <w:rFonts w:hint="eastAsia"/>
              </w:rPr>
              <w:t>地面</w:t>
            </w:r>
            <w:r>
              <w:t>冲洗废水</w:t>
            </w:r>
          </w:p>
        </w:tc>
        <w:tc>
          <w:tcPr>
            <w:tcW w:w="940" w:type="pct"/>
            <w:shd w:val="clear" w:color="auto" w:fill="auto"/>
            <w:noWrap/>
            <w:vAlign w:val="center"/>
          </w:tcPr>
          <w:p>
            <w:pPr>
              <w:pStyle w:val="2691"/>
            </w:pPr>
            <w:r>
              <w:t>1548.24</w:t>
            </w:r>
          </w:p>
        </w:tc>
        <w:tc>
          <w:tcPr>
            <w:tcW w:w="868" w:type="pct"/>
            <w:shd w:val="clear" w:color="auto" w:fill="auto"/>
            <w:noWrap/>
            <w:vAlign w:val="center"/>
          </w:tcPr>
          <w:p>
            <w:pPr>
              <w:pStyle w:val="2691"/>
            </w:pPr>
            <w:r>
              <w:t>1548.24</w:t>
            </w:r>
          </w:p>
        </w:tc>
        <w:tc>
          <w:tcPr>
            <w:tcW w:w="699" w:type="pct"/>
            <w:shd w:val="clear" w:color="auto" w:fill="auto"/>
            <w:noWrap/>
            <w:vAlign w:val="center"/>
          </w:tcPr>
          <w:p>
            <w:pPr>
              <w:pStyle w:val="2691"/>
            </w:pPr>
            <w:r>
              <w:t>164.82</w:t>
            </w:r>
          </w:p>
        </w:tc>
        <w:tc>
          <w:tcPr>
            <w:tcW w:w="705" w:type="pct"/>
            <w:shd w:val="clear" w:color="auto" w:fill="auto"/>
            <w:noWrap/>
            <w:vAlign w:val="center"/>
          </w:tcPr>
          <w:p>
            <w:pPr>
              <w:pStyle w:val="2691"/>
            </w:pPr>
            <w:r>
              <w:t>1383.42</w:t>
            </w:r>
          </w:p>
        </w:tc>
        <w:tc>
          <w:tcPr>
            <w:tcW w:w="618" w:type="pct"/>
            <w:shd w:val="clear" w:color="auto" w:fill="auto"/>
            <w:noWrap/>
            <w:vAlign w:val="center"/>
          </w:tcPr>
          <w:p>
            <w:pPr>
              <w:pStyle w:val="2691"/>
            </w:pPr>
            <w:r>
              <w:rPr>
                <w:rFonts w:hint="eastAsi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70" w:type="pct"/>
            <w:shd w:val="clear" w:color="auto" w:fill="auto"/>
            <w:noWrap/>
            <w:vAlign w:val="center"/>
          </w:tcPr>
          <w:p>
            <w:pPr>
              <w:pStyle w:val="2691"/>
            </w:pPr>
            <w:r>
              <w:rPr>
                <w:rFonts w:hint="eastAsia"/>
              </w:rPr>
              <w:t>流动机械冲洗废水</w:t>
            </w:r>
          </w:p>
        </w:tc>
        <w:tc>
          <w:tcPr>
            <w:tcW w:w="940" w:type="pct"/>
            <w:shd w:val="clear" w:color="auto" w:fill="auto"/>
            <w:noWrap/>
            <w:vAlign w:val="center"/>
          </w:tcPr>
          <w:p>
            <w:pPr>
              <w:pStyle w:val="2691"/>
            </w:pPr>
            <w:r>
              <w:rPr>
                <w:bCs/>
              </w:rPr>
              <w:t>1980</w:t>
            </w:r>
          </w:p>
        </w:tc>
        <w:tc>
          <w:tcPr>
            <w:tcW w:w="868" w:type="pct"/>
            <w:shd w:val="clear" w:color="auto" w:fill="auto"/>
            <w:noWrap/>
            <w:vAlign w:val="center"/>
          </w:tcPr>
          <w:p>
            <w:pPr>
              <w:pStyle w:val="2691"/>
            </w:pPr>
            <w:r>
              <w:rPr>
                <w:bCs/>
              </w:rPr>
              <w:t>1980</w:t>
            </w:r>
          </w:p>
        </w:tc>
        <w:tc>
          <w:tcPr>
            <w:tcW w:w="699" w:type="pct"/>
            <w:shd w:val="clear" w:color="auto" w:fill="auto"/>
            <w:noWrap/>
            <w:vAlign w:val="center"/>
          </w:tcPr>
          <w:p>
            <w:pPr>
              <w:pStyle w:val="2691"/>
            </w:pPr>
            <w:r>
              <w:rPr>
                <w:rFonts w:hint="eastAsia"/>
              </w:rPr>
              <w:t>1</w:t>
            </w:r>
            <w:r>
              <w:t>98</w:t>
            </w:r>
          </w:p>
        </w:tc>
        <w:tc>
          <w:tcPr>
            <w:tcW w:w="705" w:type="pct"/>
            <w:shd w:val="clear" w:color="auto" w:fill="auto"/>
            <w:noWrap/>
            <w:vAlign w:val="center"/>
          </w:tcPr>
          <w:p>
            <w:pPr>
              <w:pStyle w:val="2691"/>
            </w:pPr>
            <w:r>
              <w:rPr>
                <w:bCs/>
              </w:rPr>
              <w:t>1782</w:t>
            </w:r>
          </w:p>
        </w:tc>
        <w:tc>
          <w:tcPr>
            <w:tcW w:w="618" w:type="pct"/>
            <w:shd w:val="clear" w:color="auto" w:fill="auto"/>
            <w:noWrap/>
            <w:vAlign w:val="center"/>
          </w:tcPr>
          <w:p>
            <w:pPr>
              <w:pStyle w:val="2691"/>
            </w:pPr>
            <w:r>
              <w:rPr>
                <w:bCs/>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70" w:type="pct"/>
            <w:shd w:val="clear" w:color="auto" w:fill="auto"/>
            <w:noWrap/>
            <w:vAlign w:val="center"/>
          </w:tcPr>
          <w:p>
            <w:pPr>
              <w:pStyle w:val="2691"/>
            </w:pPr>
            <w:r>
              <w:t>初期雨水</w:t>
            </w:r>
          </w:p>
        </w:tc>
        <w:tc>
          <w:tcPr>
            <w:tcW w:w="940" w:type="pct"/>
            <w:shd w:val="clear" w:color="auto" w:fill="auto"/>
            <w:noWrap/>
            <w:vAlign w:val="center"/>
          </w:tcPr>
          <w:p>
            <w:pPr>
              <w:pStyle w:val="2691"/>
            </w:pPr>
            <w:r>
              <w:t>704.44</w:t>
            </w:r>
          </w:p>
        </w:tc>
        <w:tc>
          <w:tcPr>
            <w:tcW w:w="868" w:type="pct"/>
            <w:shd w:val="clear" w:color="auto" w:fill="auto"/>
            <w:noWrap/>
            <w:vAlign w:val="center"/>
          </w:tcPr>
          <w:p>
            <w:pPr>
              <w:pStyle w:val="2691"/>
            </w:pPr>
            <w:r>
              <w:t>/</w:t>
            </w:r>
          </w:p>
        </w:tc>
        <w:tc>
          <w:tcPr>
            <w:tcW w:w="699" w:type="pct"/>
            <w:shd w:val="clear" w:color="auto" w:fill="auto"/>
            <w:noWrap/>
            <w:vAlign w:val="center"/>
          </w:tcPr>
          <w:p>
            <w:pPr>
              <w:pStyle w:val="2691"/>
            </w:pPr>
            <w:r>
              <w:t>/</w:t>
            </w:r>
          </w:p>
        </w:tc>
        <w:tc>
          <w:tcPr>
            <w:tcW w:w="705" w:type="pct"/>
            <w:shd w:val="clear" w:color="auto" w:fill="auto"/>
            <w:noWrap/>
            <w:vAlign w:val="center"/>
          </w:tcPr>
          <w:p>
            <w:pPr>
              <w:pStyle w:val="2691"/>
            </w:pPr>
            <w:r>
              <w:t>704.44</w:t>
            </w:r>
          </w:p>
        </w:tc>
        <w:tc>
          <w:tcPr>
            <w:tcW w:w="618" w:type="pct"/>
            <w:shd w:val="clear" w:color="auto" w:fill="auto"/>
            <w:noWrap/>
            <w:vAlign w:val="center"/>
          </w:tcPr>
          <w:p>
            <w:pPr>
              <w:pStyle w:val="2691"/>
            </w:pPr>
            <w: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70" w:type="pct"/>
            <w:shd w:val="clear" w:color="auto" w:fill="auto"/>
            <w:noWrap/>
            <w:vAlign w:val="center"/>
          </w:tcPr>
          <w:p>
            <w:pPr>
              <w:pStyle w:val="2691"/>
            </w:pPr>
            <w:r>
              <w:rPr>
                <w:rFonts w:hint="eastAsia"/>
              </w:rPr>
              <w:t>散货</w:t>
            </w:r>
            <w:r>
              <w:t>抑尘用水</w:t>
            </w:r>
          </w:p>
        </w:tc>
        <w:tc>
          <w:tcPr>
            <w:tcW w:w="940" w:type="pct"/>
            <w:shd w:val="clear" w:color="auto" w:fill="auto"/>
            <w:noWrap/>
            <w:vAlign w:val="center"/>
          </w:tcPr>
          <w:p>
            <w:pPr>
              <w:pStyle w:val="2691"/>
            </w:pPr>
            <w:r>
              <w:t>29700</w:t>
            </w:r>
          </w:p>
        </w:tc>
        <w:tc>
          <w:tcPr>
            <w:tcW w:w="868" w:type="pct"/>
            <w:shd w:val="clear" w:color="auto" w:fill="auto"/>
            <w:noWrap/>
            <w:vAlign w:val="center"/>
          </w:tcPr>
          <w:p>
            <w:pPr>
              <w:pStyle w:val="2691"/>
            </w:pPr>
            <w:r>
              <w:t>25830.14</w:t>
            </w:r>
          </w:p>
        </w:tc>
        <w:tc>
          <w:tcPr>
            <w:tcW w:w="699" w:type="pct"/>
            <w:shd w:val="clear" w:color="auto" w:fill="auto"/>
            <w:noWrap/>
            <w:vAlign w:val="center"/>
          </w:tcPr>
          <w:p>
            <w:pPr>
              <w:pStyle w:val="2691"/>
            </w:pPr>
            <w:r>
              <w:t>29700</w:t>
            </w:r>
          </w:p>
        </w:tc>
        <w:tc>
          <w:tcPr>
            <w:tcW w:w="705" w:type="pct"/>
            <w:shd w:val="clear" w:color="auto" w:fill="auto"/>
            <w:noWrap/>
            <w:vAlign w:val="center"/>
          </w:tcPr>
          <w:p>
            <w:pPr>
              <w:pStyle w:val="2691"/>
            </w:pPr>
            <w:r>
              <w:t>0</w:t>
            </w:r>
          </w:p>
        </w:tc>
        <w:tc>
          <w:tcPr>
            <w:tcW w:w="618" w:type="pct"/>
            <w:shd w:val="clear" w:color="auto" w:fill="auto"/>
            <w:noWrap/>
            <w:vAlign w:val="center"/>
          </w:tcPr>
          <w:p>
            <w:pPr>
              <w:pStyle w:val="2691"/>
            </w:pPr>
            <w: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70" w:type="pct"/>
            <w:shd w:val="clear" w:color="auto" w:fill="auto"/>
            <w:noWrap/>
            <w:vAlign w:val="center"/>
          </w:tcPr>
          <w:p>
            <w:pPr>
              <w:pStyle w:val="2691"/>
            </w:pPr>
            <w:r>
              <w:t>员工生活污水</w:t>
            </w:r>
          </w:p>
        </w:tc>
        <w:tc>
          <w:tcPr>
            <w:tcW w:w="940" w:type="pct"/>
            <w:shd w:val="clear" w:color="auto" w:fill="auto"/>
            <w:noWrap/>
            <w:vAlign w:val="center"/>
          </w:tcPr>
          <w:p>
            <w:pPr>
              <w:pStyle w:val="2691"/>
            </w:pPr>
            <w:r>
              <w:t>11253</w:t>
            </w:r>
          </w:p>
        </w:tc>
        <w:tc>
          <w:tcPr>
            <w:tcW w:w="868" w:type="pct"/>
            <w:shd w:val="clear" w:color="auto" w:fill="auto"/>
            <w:noWrap/>
            <w:vAlign w:val="center"/>
          </w:tcPr>
          <w:p>
            <w:pPr>
              <w:pStyle w:val="2691"/>
            </w:pPr>
            <w:r>
              <w:t>11253</w:t>
            </w:r>
          </w:p>
        </w:tc>
        <w:tc>
          <w:tcPr>
            <w:tcW w:w="699" w:type="pct"/>
            <w:shd w:val="clear" w:color="auto" w:fill="auto"/>
            <w:noWrap/>
            <w:vAlign w:val="center"/>
          </w:tcPr>
          <w:p>
            <w:pPr>
              <w:pStyle w:val="2691"/>
            </w:pPr>
            <w:r>
              <w:rPr>
                <w:rFonts w:hint="eastAsia"/>
              </w:rPr>
              <w:t>2</w:t>
            </w:r>
            <w:r>
              <w:t>250.6</w:t>
            </w:r>
          </w:p>
        </w:tc>
        <w:tc>
          <w:tcPr>
            <w:tcW w:w="705" w:type="pct"/>
            <w:shd w:val="clear" w:color="auto" w:fill="auto"/>
            <w:noWrap/>
            <w:vAlign w:val="center"/>
          </w:tcPr>
          <w:p>
            <w:pPr>
              <w:pStyle w:val="2691"/>
            </w:pPr>
            <w:r>
              <w:rPr>
                <w:rFonts w:hint="eastAsia"/>
              </w:rPr>
              <w:t>0</w:t>
            </w:r>
          </w:p>
        </w:tc>
        <w:tc>
          <w:tcPr>
            <w:tcW w:w="618" w:type="pct"/>
            <w:shd w:val="clear" w:color="auto" w:fill="auto"/>
            <w:noWrap/>
            <w:vAlign w:val="center"/>
          </w:tcPr>
          <w:p>
            <w:pPr>
              <w:pStyle w:val="2691"/>
            </w:pPr>
            <w:r>
              <w:t>9002.4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70" w:type="pct"/>
            <w:shd w:val="clear" w:color="auto" w:fill="auto"/>
            <w:noWrap/>
            <w:vAlign w:val="center"/>
          </w:tcPr>
          <w:p>
            <w:pPr>
              <w:pStyle w:val="2691"/>
            </w:pPr>
            <w:r>
              <w:t>绿化用水</w:t>
            </w:r>
          </w:p>
        </w:tc>
        <w:tc>
          <w:tcPr>
            <w:tcW w:w="940" w:type="pct"/>
            <w:shd w:val="clear" w:color="auto" w:fill="auto"/>
            <w:noWrap/>
            <w:vAlign w:val="center"/>
          </w:tcPr>
          <w:p>
            <w:pPr>
              <w:pStyle w:val="2691"/>
            </w:pPr>
            <w:r>
              <w:rPr>
                <w:bCs/>
              </w:rPr>
              <w:t>8932.6</w:t>
            </w:r>
          </w:p>
        </w:tc>
        <w:tc>
          <w:tcPr>
            <w:tcW w:w="868" w:type="pct"/>
            <w:shd w:val="clear" w:color="auto" w:fill="auto"/>
            <w:noWrap/>
            <w:vAlign w:val="center"/>
          </w:tcPr>
          <w:p>
            <w:pPr>
              <w:pStyle w:val="2691"/>
            </w:pPr>
            <w:r>
              <w:rPr>
                <w:bCs/>
              </w:rPr>
              <w:t>8932.6</w:t>
            </w:r>
          </w:p>
        </w:tc>
        <w:tc>
          <w:tcPr>
            <w:tcW w:w="699" w:type="pct"/>
            <w:shd w:val="clear" w:color="auto" w:fill="auto"/>
            <w:noWrap/>
            <w:vAlign w:val="center"/>
          </w:tcPr>
          <w:p>
            <w:pPr>
              <w:pStyle w:val="2691"/>
            </w:pPr>
            <w:r>
              <w:rPr>
                <w:bCs/>
              </w:rPr>
              <w:t>8932.6</w:t>
            </w:r>
          </w:p>
        </w:tc>
        <w:tc>
          <w:tcPr>
            <w:tcW w:w="705" w:type="pct"/>
            <w:shd w:val="clear" w:color="auto" w:fill="auto"/>
            <w:noWrap/>
            <w:vAlign w:val="center"/>
          </w:tcPr>
          <w:p>
            <w:pPr>
              <w:pStyle w:val="2691"/>
            </w:pPr>
            <w:r>
              <w:rPr>
                <w:rFonts w:hint="eastAsia"/>
              </w:rPr>
              <w:t>0</w:t>
            </w:r>
          </w:p>
        </w:tc>
        <w:tc>
          <w:tcPr>
            <w:tcW w:w="618" w:type="pct"/>
            <w:shd w:val="clear" w:color="auto" w:fill="auto"/>
            <w:noWrap/>
            <w:vAlign w:val="center"/>
          </w:tcPr>
          <w:p>
            <w:pPr>
              <w:pStyle w:val="2691"/>
            </w:pPr>
            <w:r>
              <w:rPr>
                <w:rFonts w:hint="eastAsi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70" w:type="pct"/>
            <w:shd w:val="clear" w:color="auto" w:fill="auto"/>
            <w:noWrap/>
            <w:vAlign w:val="center"/>
          </w:tcPr>
          <w:p>
            <w:pPr>
              <w:pStyle w:val="2691"/>
            </w:pPr>
            <w:r>
              <w:t>合计</w:t>
            </w:r>
          </w:p>
        </w:tc>
        <w:tc>
          <w:tcPr>
            <w:tcW w:w="940" w:type="pct"/>
            <w:shd w:val="clear" w:color="auto" w:fill="auto"/>
            <w:noWrap/>
            <w:vAlign w:val="center"/>
          </w:tcPr>
          <w:p>
            <w:pPr>
              <w:pStyle w:val="2691"/>
            </w:pPr>
            <w:r>
              <w:t>55136.33</w:t>
            </w:r>
          </w:p>
        </w:tc>
        <w:tc>
          <w:tcPr>
            <w:tcW w:w="868" w:type="pct"/>
            <w:shd w:val="clear" w:color="auto" w:fill="auto"/>
            <w:noWrap/>
            <w:vAlign w:val="center"/>
          </w:tcPr>
          <w:p>
            <w:pPr>
              <w:pStyle w:val="2691"/>
            </w:pPr>
            <w:r>
              <w:t>50562.03</w:t>
            </w:r>
          </w:p>
        </w:tc>
        <w:tc>
          <w:tcPr>
            <w:tcW w:w="699" w:type="pct"/>
            <w:shd w:val="clear" w:color="auto" w:fill="auto"/>
            <w:noWrap/>
            <w:vAlign w:val="center"/>
          </w:tcPr>
          <w:p>
            <w:pPr>
              <w:widowControl/>
              <w:tabs>
                <w:tab w:val="clear" w:pos="480"/>
              </w:tabs>
              <w:spacing w:line="240" w:lineRule="auto"/>
              <w:ind w:firstLine="0" w:firstLineChars="0"/>
              <w:jc w:val="center"/>
            </w:pPr>
            <w:r>
              <w:rPr>
                <w:sz w:val="22"/>
                <w:szCs w:val="22"/>
              </w:rPr>
              <w:t>41449.63</w:t>
            </w:r>
          </w:p>
        </w:tc>
        <w:tc>
          <w:tcPr>
            <w:tcW w:w="705" w:type="pct"/>
            <w:shd w:val="clear" w:color="auto" w:fill="auto"/>
            <w:noWrap/>
            <w:vAlign w:val="center"/>
          </w:tcPr>
          <w:p>
            <w:pPr>
              <w:pStyle w:val="2691"/>
            </w:pPr>
            <w:r>
              <w:t>3869.86</w:t>
            </w:r>
          </w:p>
        </w:tc>
        <w:tc>
          <w:tcPr>
            <w:tcW w:w="618" w:type="pct"/>
            <w:shd w:val="clear" w:color="auto" w:fill="auto"/>
            <w:noWrap/>
            <w:vAlign w:val="center"/>
          </w:tcPr>
          <w:p>
            <w:pPr>
              <w:widowControl/>
              <w:tabs>
                <w:tab w:val="clear" w:pos="480"/>
              </w:tabs>
              <w:spacing w:line="240" w:lineRule="auto"/>
              <w:ind w:firstLine="0" w:firstLineChars="0"/>
              <w:jc w:val="center"/>
              <w:rPr>
                <w:kern w:val="0"/>
                <w:sz w:val="22"/>
                <w:szCs w:val="22"/>
              </w:rPr>
            </w:pPr>
            <w:r>
              <w:rPr>
                <w:sz w:val="22"/>
                <w:szCs w:val="22"/>
              </w:rPr>
              <w:t>9816.84</w:t>
            </w:r>
          </w:p>
          <w:p>
            <w:pPr>
              <w:pStyle w:val="2691"/>
            </w:pPr>
          </w:p>
        </w:tc>
      </w:tr>
    </w:tbl>
    <w:p>
      <w:pPr>
        <w:pStyle w:val="466"/>
        <w:ind w:firstLine="0" w:firstLineChars="0"/>
      </w:pPr>
      <w:r>
        <w:drawing>
          <wp:inline distT="0" distB="0" distL="114300" distR="114300">
            <wp:extent cx="5756910" cy="4966970"/>
            <wp:effectExtent l="0" t="0" r="15240" b="5080"/>
            <wp:docPr id="41" name="图片 43" descr="工艺流程图、水平衡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3" descr="工艺流程图、水平衡图"/>
                    <pic:cNvPicPr>
                      <a:picLocks noChangeAspect="1"/>
                    </pic:cNvPicPr>
                  </pic:nvPicPr>
                  <pic:blipFill>
                    <a:blip r:embed="rId57"/>
                    <a:stretch>
                      <a:fillRect/>
                    </a:stretch>
                  </pic:blipFill>
                  <pic:spPr>
                    <a:xfrm>
                      <a:off x="0" y="0"/>
                      <a:ext cx="5756910" cy="4966970"/>
                    </a:xfrm>
                    <a:prstGeom prst="rect">
                      <a:avLst/>
                    </a:prstGeom>
                    <a:noFill/>
                    <a:ln>
                      <a:noFill/>
                    </a:ln>
                  </pic:spPr>
                </pic:pic>
              </a:graphicData>
            </a:graphic>
          </wp:inline>
        </w:drawing>
      </w:r>
    </w:p>
    <w:p>
      <w:pPr>
        <w:ind w:firstLine="422"/>
        <w:jc w:val="center"/>
        <w:rPr>
          <w:b/>
          <w:sz w:val="21"/>
          <w:szCs w:val="21"/>
        </w:rPr>
      </w:pPr>
      <w:r>
        <w:rPr>
          <w:b/>
          <w:sz w:val="21"/>
          <w:szCs w:val="21"/>
        </w:rPr>
        <w:t xml:space="preserve">图2-19  </w:t>
      </w:r>
      <w:r>
        <w:rPr>
          <w:rFonts w:hint="eastAsia"/>
          <w:b/>
          <w:sz w:val="21"/>
          <w:szCs w:val="21"/>
        </w:rPr>
        <w:t>水平衡</w:t>
      </w:r>
      <w:r>
        <w:rPr>
          <w:b/>
          <w:sz w:val="21"/>
          <w:szCs w:val="21"/>
        </w:rPr>
        <w:t>图</w:t>
      </w:r>
      <w:r>
        <w:rPr>
          <w:rFonts w:hint="eastAsia"/>
          <w:b/>
          <w:sz w:val="21"/>
          <w:szCs w:val="21"/>
        </w:rPr>
        <w:t>（</w:t>
      </w:r>
      <w:r>
        <w:rPr>
          <w:b/>
          <w:sz w:val="21"/>
          <w:szCs w:val="21"/>
        </w:rPr>
        <w:t>单位：m</w:t>
      </w:r>
      <w:r>
        <w:rPr>
          <w:b/>
          <w:sz w:val="21"/>
          <w:szCs w:val="21"/>
          <w:vertAlign w:val="superscript"/>
        </w:rPr>
        <w:t>3</w:t>
      </w:r>
      <w:r>
        <w:rPr>
          <w:b/>
          <w:sz w:val="21"/>
          <w:szCs w:val="21"/>
        </w:rPr>
        <w:t>/a</w:t>
      </w:r>
      <w:r>
        <w:rPr>
          <w:rFonts w:hint="eastAsia"/>
          <w:b/>
          <w:sz w:val="21"/>
          <w:szCs w:val="21"/>
        </w:rPr>
        <w:t>）</w:t>
      </w:r>
    </w:p>
    <w:p>
      <w:pPr>
        <w:pStyle w:val="456"/>
        <w:ind w:firstLine="482"/>
      </w:pPr>
      <w:r>
        <w:t>废气</w:t>
      </w:r>
    </w:p>
    <w:p>
      <w:pPr>
        <w:pStyle w:val="466"/>
        <w:ind w:firstLine="500"/>
        <w:rPr>
          <w:rFonts w:cs="Times New Roman"/>
          <w:spacing w:val="5"/>
        </w:rPr>
      </w:pPr>
      <w:r>
        <w:rPr>
          <w:rFonts w:cs="Times New Roman"/>
          <w:spacing w:val="5"/>
        </w:rPr>
        <w:t>本工程</w:t>
      </w:r>
      <w:r>
        <w:rPr>
          <w:rFonts w:cs="Times New Roman"/>
        </w:rPr>
        <w:t>港区装卸机械（如带式运输机、清仓机等）均采用电作为能源，无废气产生；且本项目码头平台按照《内河码头船舶岸电设施建设技术指南》相关规定，在码头实施岸基供电设施，</w:t>
      </w:r>
      <w:r>
        <w:rPr>
          <w:rFonts w:cs="Times New Roman"/>
          <w:szCs w:val="24"/>
        </w:rPr>
        <w:t>船舶靠泊配置岸电设施的泊位后，关闭发动机，使用岸电作为能源</w:t>
      </w:r>
      <w:r>
        <w:rPr>
          <w:rFonts w:cs="Times New Roman"/>
        </w:rPr>
        <w:t>，无船舶废气产生。</w:t>
      </w:r>
      <w:r>
        <w:rPr>
          <w:rFonts w:cs="Times New Roman"/>
          <w:spacing w:val="5"/>
        </w:rPr>
        <w:t>项目</w:t>
      </w:r>
      <w:r>
        <w:rPr>
          <w:rFonts w:cs="Times New Roman"/>
          <w:spacing w:val="4"/>
        </w:rPr>
        <w:t>营运</w:t>
      </w:r>
      <w:r>
        <w:rPr>
          <w:rFonts w:cs="Times New Roman"/>
          <w:spacing w:val="5"/>
        </w:rPr>
        <w:t>期影响</w:t>
      </w:r>
      <w:r>
        <w:rPr>
          <w:rFonts w:cs="Times New Roman"/>
          <w:spacing w:val="4"/>
        </w:rPr>
        <w:t>大气</w:t>
      </w:r>
      <w:r>
        <w:rPr>
          <w:rFonts w:cs="Times New Roman"/>
          <w:spacing w:val="5"/>
        </w:rPr>
        <w:t>质量的</w:t>
      </w:r>
      <w:r>
        <w:rPr>
          <w:rFonts w:cs="Times New Roman"/>
          <w:spacing w:val="4"/>
        </w:rPr>
        <w:t>主要</w:t>
      </w:r>
      <w:r>
        <w:rPr>
          <w:rFonts w:cs="Times New Roman"/>
          <w:spacing w:val="5"/>
        </w:rPr>
        <w:t>污染物</w:t>
      </w:r>
      <w:r>
        <w:rPr>
          <w:rFonts w:cs="Times New Roman"/>
          <w:spacing w:val="11"/>
        </w:rPr>
        <w:t>为</w:t>
      </w:r>
      <w:r>
        <w:rPr>
          <w:rFonts w:hint="eastAsia" w:cs="Times New Roman"/>
          <w:szCs w:val="24"/>
        </w:rPr>
        <w:t>散货装卸、转运及储存过程产生的扬尘和员工食堂产生的食堂油烟</w:t>
      </w:r>
      <w:r>
        <w:rPr>
          <w:rFonts w:cs="Times New Roman"/>
        </w:rPr>
        <w:t>。</w:t>
      </w:r>
    </w:p>
    <w:p>
      <w:pPr>
        <w:autoSpaceDE w:val="0"/>
        <w:autoSpaceDN w:val="0"/>
        <w:adjustRightInd w:val="0"/>
        <w:ind w:firstLine="480"/>
        <w:rPr>
          <w:rFonts w:ascii="宋体" w:hAnsi="宋体"/>
          <w:kern w:val="0"/>
        </w:rPr>
      </w:pPr>
      <w:r>
        <w:rPr>
          <w:rFonts w:hint="eastAsia"/>
        </w:rPr>
        <w:t>根据《水运工程建设项目环境影响评价指南》（JTS/T105-1-2021)，煤炭、矿石等干散货码头应进行粉尘污染物分析，按《水运工程建设项目环境影响评价指南》（JTS/T105-1-2021)推荐方法计算道路扬尘、装卸扬尘、堆场风蚀起尘量和汽车自卸车起尘量；装卸机械及汽车尾气按《港口工程大气污染物排放清单编制技术指南（征求意见稿）》来计算二氧化硫和氮氧化物排放量。</w:t>
      </w:r>
    </w:p>
    <w:p>
      <w:pPr>
        <w:pStyle w:val="466"/>
        <w:ind w:firstLine="482"/>
        <w:rPr>
          <w:rFonts w:cs="Times New Roman"/>
          <w:b/>
        </w:rPr>
      </w:pPr>
      <w:r>
        <w:rPr>
          <w:rFonts w:hint="eastAsia" w:cs="Times New Roman"/>
          <w:b/>
        </w:rPr>
        <w:t>（1）道路</w:t>
      </w:r>
      <w:r>
        <w:rPr>
          <w:rFonts w:cs="Times New Roman"/>
          <w:b/>
        </w:rPr>
        <w:t>扬尘</w:t>
      </w:r>
    </w:p>
    <w:p>
      <w:pPr>
        <w:autoSpaceDE w:val="0"/>
        <w:autoSpaceDN w:val="0"/>
        <w:adjustRightInd w:val="0"/>
        <w:ind w:firstLine="480"/>
        <w:rPr>
          <w:rFonts w:ascii="宋体" w:hAnsi="宋体"/>
          <w:kern w:val="0"/>
        </w:rPr>
      </w:pPr>
      <w:r>
        <w:rPr>
          <w:rFonts w:hint="eastAsia" w:ascii="宋体" w:hAnsi="宋体"/>
          <w:kern w:val="0"/>
        </w:rPr>
        <w:t>根据《岳阳港道仁矶码头工程可行性研究报告》及前文工程分析章节可知，矿石、砂石等散货采用固定带式输送机输送；水泥</w:t>
      </w:r>
      <w:r>
        <w:t>配置 1 台 500t/h 螺旋卸船进行卸船作业</w:t>
      </w:r>
      <w:r>
        <w:rPr>
          <w:rFonts w:hint="eastAsia"/>
        </w:rPr>
        <w:t>，然后用水泥罐车进行转运；</w:t>
      </w:r>
      <w:r>
        <w:t>其他散货</w:t>
      </w:r>
      <w:r>
        <w:rPr>
          <w:rFonts w:hint="eastAsia"/>
        </w:rPr>
        <w:t>矿粉、</w:t>
      </w:r>
      <w:r>
        <w:t>土壤修复剂、复合肥等量少</w:t>
      </w:r>
      <w:r>
        <w:rPr>
          <w:rFonts w:hint="eastAsia"/>
        </w:rPr>
        <w:t>用门坐起重机（配抓斗）进行卸船作业，然后用汽车运输；</w:t>
      </w:r>
      <w:r>
        <w:rPr>
          <w:rFonts w:hint="eastAsia" w:ascii="宋体" w:hAnsi="宋体"/>
          <w:kern w:val="0"/>
        </w:rPr>
        <w:t>件杂货</w:t>
      </w:r>
      <w:r>
        <w:rPr>
          <w:rFonts w:hint="eastAsia"/>
        </w:rPr>
        <w:t>门坐起重机进行卸货，后用</w:t>
      </w:r>
      <w:r>
        <w:rPr>
          <w:rFonts w:hint="eastAsia" w:ascii="宋体" w:hAnsi="宋体"/>
          <w:kern w:val="0"/>
        </w:rPr>
        <w:t>水平运输采用牵引平板车或拖挂货车</w:t>
      </w:r>
      <w:r>
        <w:rPr>
          <w:rFonts w:ascii="宋体" w:hAnsi="宋体"/>
          <w:kern w:val="0"/>
        </w:rPr>
        <w:t>。</w:t>
      </w:r>
      <w:r>
        <w:rPr>
          <w:rFonts w:hint="eastAsia"/>
          <w:kern w:val="0"/>
        </w:rPr>
        <w:t xml:space="preserve">港区配置 </w:t>
      </w:r>
      <w:r>
        <w:rPr>
          <w:kern w:val="0"/>
        </w:rPr>
        <w:t xml:space="preserve">16 </w:t>
      </w:r>
      <w:r>
        <w:rPr>
          <w:rFonts w:hint="eastAsia"/>
          <w:kern w:val="0"/>
        </w:rPr>
        <w:t>台载重</w:t>
      </w:r>
      <w:r>
        <w:rPr>
          <w:kern w:val="0"/>
        </w:rPr>
        <w:t>30t</w:t>
      </w:r>
      <w:r>
        <w:rPr>
          <w:rFonts w:hint="eastAsia"/>
          <w:kern w:val="0"/>
        </w:rPr>
        <w:t>自卸汽车用于散货运输</w:t>
      </w:r>
      <w:r>
        <w:rPr>
          <w:rFonts w:ascii="宋体" w:hAnsi="宋体"/>
          <w:kern w:val="0"/>
        </w:rPr>
        <w:t>，其运输过程产生的主要污染物为道路扬尘</w:t>
      </w:r>
      <w:r>
        <w:rPr>
          <w:rFonts w:hint="eastAsia"/>
          <w:kern w:val="0"/>
        </w:rPr>
        <w:t xml:space="preserve">。 </w:t>
      </w:r>
      <w:r>
        <w:rPr>
          <w:rFonts w:hint="eastAsia" w:ascii="宋体" w:hAnsi="宋体"/>
          <w:kern w:val="0"/>
        </w:rPr>
        <w:t>项目用自卸车、罐车运输货物种类及数量如下：</w:t>
      </w:r>
    </w:p>
    <w:p>
      <w:pPr>
        <w:autoSpaceDE w:val="0"/>
        <w:autoSpaceDN w:val="0"/>
        <w:adjustRightInd w:val="0"/>
        <w:ind w:firstLine="480"/>
        <w:rPr>
          <w:kern w:val="0"/>
        </w:rPr>
      </w:pPr>
      <w:r>
        <w:rPr>
          <w:kern w:val="0"/>
        </w:rPr>
        <w:t>1）4#泊位</w:t>
      </w:r>
      <w:r>
        <w:rPr>
          <w:rFonts w:hint="eastAsia"/>
          <w:kern w:val="0"/>
        </w:rPr>
        <w:t>（水泥罐车清运）</w:t>
      </w:r>
    </w:p>
    <w:p>
      <w:pPr>
        <w:autoSpaceDE w:val="0"/>
        <w:autoSpaceDN w:val="0"/>
        <w:adjustRightInd w:val="0"/>
        <w:ind w:firstLine="480"/>
        <w:rPr>
          <w:kern w:val="0"/>
        </w:rPr>
      </w:pPr>
      <w:r>
        <w:rPr>
          <w:kern w:val="0"/>
        </w:rPr>
        <w:t>水泥</w:t>
      </w:r>
      <w:r>
        <w:rPr>
          <w:rFonts w:hint="eastAsia"/>
          <w:kern w:val="0"/>
        </w:rPr>
        <w:t>罐车</w:t>
      </w:r>
      <w:r>
        <w:rPr>
          <w:kern w:val="0"/>
        </w:rPr>
        <w:t>年进口水泥80万吨；</w:t>
      </w:r>
    </w:p>
    <w:p>
      <w:pPr>
        <w:autoSpaceDE w:val="0"/>
        <w:autoSpaceDN w:val="0"/>
        <w:adjustRightInd w:val="0"/>
        <w:ind w:firstLine="480"/>
      </w:pPr>
      <w:r>
        <w:rPr>
          <w:rFonts w:hint="eastAsia"/>
        </w:rPr>
        <w:t>2）4</w:t>
      </w:r>
      <w:r>
        <w:rPr>
          <w:kern w:val="0"/>
        </w:rPr>
        <w:t>#</w:t>
      </w:r>
      <w:r>
        <w:rPr>
          <w:rFonts w:hint="eastAsia"/>
          <w:kern w:val="0"/>
        </w:rPr>
        <w:t>、</w:t>
      </w:r>
      <w:r>
        <w:rPr>
          <w:rFonts w:hint="eastAsia"/>
        </w:rPr>
        <w:t>5</w:t>
      </w:r>
      <w:r>
        <w:rPr>
          <w:kern w:val="0"/>
        </w:rPr>
        <w:t>#泊位</w:t>
      </w:r>
      <w:r>
        <w:rPr>
          <w:rFonts w:hint="eastAsia"/>
          <w:kern w:val="0"/>
        </w:rPr>
        <w:t>（直取砂石（1</w:t>
      </w:r>
      <w:r>
        <w:rPr>
          <w:rFonts w:hint="eastAsia"/>
          <w:kern w:val="0"/>
          <w:lang w:val="en-US" w:eastAsia="zh-CN"/>
        </w:rPr>
        <w:t>6</w:t>
      </w:r>
      <w:r>
        <w:rPr>
          <w:rFonts w:hint="eastAsia"/>
          <w:kern w:val="0"/>
        </w:rPr>
        <w:t>0万吨）和进口其他散货（含矿粉、复合肥、土壤修复剂20万吨））</w:t>
      </w:r>
    </w:p>
    <w:p>
      <w:pPr>
        <w:autoSpaceDE w:val="0"/>
        <w:autoSpaceDN w:val="0"/>
        <w:adjustRightInd w:val="0"/>
        <w:ind w:firstLine="480"/>
      </w:pPr>
      <w:r>
        <w:rPr>
          <w:rFonts w:hint="eastAsia"/>
        </w:rPr>
        <w:t>3）件杂货</w:t>
      </w:r>
      <w:r>
        <w:rPr>
          <w:rFonts w:hint="eastAsia"/>
          <w:kern w:val="0"/>
        </w:rPr>
        <w:t>10万吨</w:t>
      </w:r>
    </w:p>
    <w:p>
      <w:pPr>
        <w:autoSpaceDE w:val="0"/>
        <w:autoSpaceDN w:val="0"/>
        <w:adjustRightInd w:val="0"/>
        <w:ind w:firstLine="480"/>
        <w:rPr>
          <w:kern w:val="0"/>
        </w:rPr>
      </w:pPr>
      <w:r>
        <w:rPr>
          <w:rFonts w:hint="eastAsia"/>
          <w:kern w:val="0"/>
        </w:rPr>
        <w:t>运输量</w:t>
      </w:r>
      <w:r>
        <w:rPr>
          <w:kern w:val="0"/>
        </w:rPr>
        <w:t>共计2</w:t>
      </w:r>
      <w:r>
        <w:rPr>
          <w:rFonts w:hint="eastAsia"/>
          <w:kern w:val="0"/>
        </w:rPr>
        <w:t>7</w:t>
      </w:r>
      <w:r>
        <w:rPr>
          <w:kern w:val="0"/>
        </w:rPr>
        <w:t>0万吨，经测算码头日均车流量重卡货车、牵引平衡车</w:t>
      </w:r>
      <w:r>
        <w:rPr>
          <w:rFonts w:hint="eastAsia"/>
          <w:kern w:val="0"/>
        </w:rPr>
        <w:t>273</w:t>
      </w:r>
      <w:r>
        <w:rPr>
          <w:kern w:val="0"/>
        </w:rPr>
        <w:t>辆/d（工作时间330日，按每车运输</w:t>
      </w:r>
      <w:r>
        <w:rPr>
          <w:rFonts w:hint="eastAsia"/>
          <w:kern w:val="0"/>
        </w:rPr>
        <w:t>3</w:t>
      </w:r>
      <w:r>
        <w:rPr>
          <w:kern w:val="0"/>
        </w:rPr>
        <w:t>0吨计算，则日均车流</w:t>
      </w:r>
      <w:r>
        <w:rPr>
          <w:rFonts w:hint="eastAsia"/>
          <w:kern w:val="0"/>
        </w:rPr>
        <w:t>273</w:t>
      </w:r>
      <w:r>
        <w:rPr>
          <w:kern w:val="0"/>
        </w:rPr>
        <w:t>辆）。道路扬尘与汽车速度、汽车载重量、道路表面积尘量有直接关系，按下式估算：</w:t>
      </w:r>
    </w:p>
    <w:p>
      <w:pPr>
        <w:autoSpaceDE w:val="0"/>
        <w:autoSpaceDN w:val="0"/>
        <w:adjustRightInd w:val="0"/>
        <w:spacing w:after="60"/>
        <w:ind w:firstLine="480"/>
        <w:jc w:val="center"/>
        <w:rPr>
          <w:rFonts w:ascii="宋体" w:hAnsi="宋体"/>
          <w:kern w:val="0"/>
        </w:rPr>
      </w:pPr>
      <w:r>
        <w:drawing>
          <wp:inline distT="0" distB="0" distL="0" distR="0">
            <wp:extent cx="2924175" cy="549275"/>
            <wp:effectExtent l="0" t="0" r="9525" b="3175"/>
            <wp:docPr id="27" name="图片 27" descr="C:\Users\amdin\AppData\Local\Temp\16285144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amdin\AppData\Local\Temp\1628514421(1).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2948667" cy="554207"/>
                    </a:xfrm>
                    <a:prstGeom prst="rect">
                      <a:avLst/>
                    </a:prstGeom>
                    <a:noFill/>
                    <a:ln>
                      <a:noFill/>
                    </a:ln>
                  </pic:spPr>
                </pic:pic>
              </a:graphicData>
            </a:graphic>
          </wp:inline>
        </w:drawing>
      </w:r>
    </w:p>
    <w:p>
      <w:pPr>
        <w:adjustRightInd w:val="0"/>
        <w:snapToGrid w:val="0"/>
        <w:spacing w:line="348" w:lineRule="auto"/>
        <w:ind w:firstLine="0" w:firstLineChars="0"/>
      </w:pPr>
      <w:r>
        <w:rPr>
          <w:rFonts w:hint="eastAsia"/>
        </w:rPr>
        <w:t>式中：</w:t>
      </w:r>
    </w:p>
    <w:p>
      <w:pPr>
        <w:adjustRightInd w:val="0"/>
        <w:snapToGrid w:val="0"/>
        <w:spacing w:line="348" w:lineRule="auto"/>
        <w:ind w:firstLine="480"/>
      </w:pPr>
      <w:r>
        <w:rPr>
          <w:i/>
        </w:rPr>
        <w:t>W</w:t>
      </w:r>
      <w:r>
        <w:rPr>
          <w:i/>
          <w:vertAlign w:val="subscript"/>
        </w:rPr>
        <w:t>Ri</w:t>
      </w:r>
      <w:r>
        <w:rPr>
          <w:i/>
        </w:rPr>
        <w:t xml:space="preserve"> </w:t>
      </w:r>
      <w:r>
        <w:t>——</w:t>
      </w:r>
      <w:r>
        <w:rPr>
          <w:rFonts w:hint="eastAsia"/>
        </w:rPr>
        <w:t>道路扬尘源中颗粒物</w:t>
      </w:r>
      <w:r>
        <w:rPr>
          <w:i/>
        </w:rPr>
        <w:t>P</w:t>
      </w:r>
      <w:r>
        <w:rPr>
          <w:i/>
          <w:vertAlign w:val="subscript"/>
        </w:rPr>
        <w:t>Mi</w:t>
      </w:r>
      <w:r>
        <w:t xml:space="preserve"> </w:t>
      </w:r>
      <w:r>
        <w:rPr>
          <w:rFonts w:hint="eastAsia"/>
        </w:rPr>
        <w:t>的总排放量，</w:t>
      </w:r>
      <w:r>
        <w:t>t/a</w:t>
      </w:r>
      <w:r>
        <w:rPr>
          <w:rFonts w:hint="eastAsia"/>
        </w:rPr>
        <w:t>。</w:t>
      </w:r>
    </w:p>
    <w:p>
      <w:pPr>
        <w:adjustRightInd w:val="0"/>
        <w:snapToGrid w:val="0"/>
        <w:spacing w:line="348" w:lineRule="auto"/>
        <w:ind w:firstLine="480"/>
      </w:pPr>
      <w:r>
        <w:rPr>
          <w:i/>
        </w:rPr>
        <w:t>E</w:t>
      </w:r>
      <w:r>
        <w:rPr>
          <w:i/>
          <w:vertAlign w:val="subscript"/>
        </w:rPr>
        <w:t xml:space="preserve">Ri </w:t>
      </w:r>
      <w:r>
        <w:t>——</w:t>
      </w:r>
      <w:r>
        <w:rPr>
          <w:rFonts w:hint="eastAsia"/>
        </w:rPr>
        <w:t>道路扬尘源中</w:t>
      </w:r>
      <w:r>
        <w:rPr>
          <w:i/>
        </w:rPr>
        <w:t>P</w:t>
      </w:r>
      <w:r>
        <w:rPr>
          <w:i/>
          <w:vertAlign w:val="subscript"/>
        </w:rPr>
        <w:t>Mi</w:t>
      </w:r>
      <w:r>
        <w:t xml:space="preserve"> </w:t>
      </w:r>
      <w:r>
        <w:rPr>
          <w:rFonts w:hint="eastAsia"/>
        </w:rPr>
        <w:t>平均排放系数，</w:t>
      </w:r>
      <w:r>
        <w:t>g/(km</w:t>
      </w:r>
      <w:r>
        <w:rPr>
          <w:rFonts w:hint="eastAsia" w:ascii="微软雅黑" w:hAnsi="微软雅黑" w:eastAsia="微软雅黑" w:cs="微软雅黑"/>
        </w:rPr>
        <w:t>•</w:t>
      </w:r>
      <w:r>
        <w:rPr>
          <w:rFonts w:hint="eastAsia" w:ascii="仿宋_GB2312" w:hAnsi="仿宋_GB2312" w:cs="仿宋_GB2312"/>
        </w:rPr>
        <w:t>辆</w:t>
      </w:r>
      <w:r>
        <w:t>)</w:t>
      </w:r>
      <w:r>
        <w:rPr>
          <w:rFonts w:hint="eastAsia"/>
        </w:rPr>
        <w:t>。</w:t>
      </w:r>
    </w:p>
    <w:p>
      <w:pPr>
        <w:adjustRightInd w:val="0"/>
        <w:snapToGrid w:val="0"/>
        <w:spacing w:line="348" w:lineRule="auto"/>
        <w:ind w:firstLine="480"/>
      </w:pPr>
      <w:r>
        <w:rPr>
          <w:i/>
        </w:rPr>
        <w:t>L</w:t>
      </w:r>
      <w:r>
        <w:rPr>
          <w:i/>
          <w:vertAlign w:val="subscript"/>
        </w:rPr>
        <w:t>R</w:t>
      </w:r>
      <w:r>
        <w:t xml:space="preserve"> ——</w:t>
      </w:r>
      <w:r>
        <w:rPr>
          <w:rFonts w:hint="eastAsia"/>
        </w:rPr>
        <w:t>道路长度，</w:t>
      </w:r>
      <w:r>
        <w:t>km</w:t>
      </w:r>
      <w:r>
        <w:rPr>
          <w:rFonts w:hint="eastAsia"/>
        </w:rPr>
        <w:t>，本项目取2.4km。</w:t>
      </w:r>
    </w:p>
    <w:p>
      <w:pPr>
        <w:adjustRightInd w:val="0"/>
        <w:snapToGrid w:val="0"/>
        <w:spacing w:line="348" w:lineRule="auto"/>
        <w:ind w:firstLine="480"/>
      </w:pPr>
      <w:r>
        <w:rPr>
          <w:i/>
        </w:rPr>
        <w:t>N</w:t>
      </w:r>
      <w:r>
        <w:rPr>
          <w:i/>
          <w:vertAlign w:val="subscript"/>
        </w:rPr>
        <w:t>R</w:t>
      </w:r>
      <w:r>
        <w:t xml:space="preserve"> ——</w:t>
      </w:r>
      <w:r>
        <w:rPr>
          <w:rFonts w:hint="eastAsia"/>
        </w:rPr>
        <w:t>一定时期内车辆在该段道路上的平均车流量，辆</w:t>
      </w:r>
      <w:r>
        <w:t>/a。</w:t>
      </w:r>
    </w:p>
    <w:p>
      <w:pPr>
        <w:adjustRightInd w:val="0"/>
        <w:snapToGrid w:val="0"/>
        <w:spacing w:line="348" w:lineRule="auto"/>
        <w:ind w:firstLine="480"/>
      </w:pPr>
      <w:r>
        <w:rPr>
          <w:i/>
        </w:rPr>
        <w:t>n</w:t>
      </w:r>
      <w:r>
        <w:rPr>
          <w:i/>
          <w:vertAlign w:val="subscript"/>
        </w:rPr>
        <w:t>r</w:t>
      </w:r>
      <w:r>
        <w:t xml:space="preserve"> ——</w:t>
      </w:r>
      <w:r>
        <w:rPr>
          <w:rFonts w:hint="eastAsia"/>
        </w:rPr>
        <w:t>不起尘天数，通过实测（统计降水造成的路面潮湿的天数）得到；在实测过程中存在困难的，可使用一年中降水量大于</w:t>
      </w:r>
      <w:r>
        <w:t xml:space="preserve">0.25mm/d </w:t>
      </w:r>
      <w:r>
        <w:rPr>
          <w:rFonts w:hint="eastAsia"/>
        </w:rPr>
        <w:t>的天数表示，取</w:t>
      </w:r>
      <w:r>
        <w:t>265</w:t>
      </w:r>
      <w:r>
        <w:rPr>
          <w:rFonts w:hint="eastAsia"/>
        </w:rPr>
        <w:t>天。</w:t>
      </w:r>
    </w:p>
    <w:p>
      <w:pPr>
        <w:autoSpaceDE w:val="0"/>
        <w:autoSpaceDN w:val="0"/>
        <w:adjustRightInd w:val="0"/>
        <w:spacing w:after="60"/>
        <w:ind w:firstLine="480"/>
        <w:jc w:val="center"/>
        <w:rPr>
          <w:rFonts w:ascii="宋体" w:hAnsi="宋体"/>
          <w:kern w:val="0"/>
        </w:rPr>
      </w:pPr>
      <w:r>
        <w:drawing>
          <wp:inline distT="0" distB="0" distL="0" distR="0">
            <wp:extent cx="2986405" cy="447675"/>
            <wp:effectExtent l="0" t="0" r="4445" b="9525"/>
            <wp:docPr id="21" name="图片 21" descr="C:\Users\amdin\AppData\Local\Temp\16285137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mdin\AppData\Local\Temp\1628513739(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3002698" cy="450035"/>
                    </a:xfrm>
                    <a:prstGeom prst="rect">
                      <a:avLst/>
                    </a:prstGeom>
                    <a:noFill/>
                    <a:ln>
                      <a:noFill/>
                    </a:ln>
                  </pic:spPr>
                </pic:pic>
              </a:graphicData>
            </a:graphic>
          </wp:inline>
        </w:drawing>
      </w:r>
    </w:p>
    <w:p>
      <w:pPr>
        <w:adjustRightInd w:val="0"/>
        <w:snapToGrid w:val="0"/>
        <w:spacing w:line="348" w:lineRule="auto"/>
        <w:ind w:firstLine="0" w:firstLineChars="0"/>
      </w:pPr>
      <w:r>
        <w:t>式中：</w:t>
      </w:r>
    </w:p>
    <w:p>
      <w:pPr>
        <w:adjustRightInd w:val="0"/>
        <w:snapToGrid w:val="0"/>
        <w:spacing w:line="348" w:lineRule="auto"/>
        <w:ind w:firstLine="480"/>
      </w:pPr>
      <w:r>
        <w:rPr>
          <w:i/>
          <w:iCs/>
        </w:rPr>
        <w:t>E</w:t>
      </w:r>
      <w:r>
        <w:rPr>
          <w:i/>
          <w:iCs/>
          <w:vertAlign w:val="subscript"/>
        </w:rPr>
        <w:t>Pi</w:t>
      </w:r>
      <w:r>
        <w:t>——为铺装道路的扬尘中</w:t>
      </w:r>
      <w:r>
        <w:rPr>
          <w:i/>
        </w:rPr>
        <w:t>P</w:t>
      </w:r>
      <w:r>
        <w:rPr>
          <w:i/>
          <w:vertAlign w:val="subscript"/>
        </w:rPr>
        <w:t>Mi</w:t>
      </w:r>
      <w:r>
        <w:t xml:space="preserve"> 排放系数，g/km（机动车行驶1千米产生的道路扬尘质量）。</w:t>
      </w:r>
    </w:p>
    <w:p>
      <w:pPr>
        <w:ind w:firstLine="480"/>
      </w:pPr>
      <w:r>
        <w:rPr>
          <w:i/>
          <w:iCs/>
        </w:rPr>
        <w:t>ki</w:t>
      </w:r>
      <w:r>
        <w:t>——为产生的扬尘中</w:t>
      </w:r>
      <w:r>
        <w:rPr>
          <w:i/>
        </w:rPr>
        <w:t>PMi</w:t>
      </w:r>
      <w:r>
        <w:t xml:space="preserve"> 的粒度乘数，</w:t>
      </w:r>
      <w:r>
        <w:rPr>
          <w:rFonts w:hint="eastAsia"/>
        </w:rPr>
        <w:t>取值</w:t>
      </w:r>
      <w:r>
        <w:t>见</w:t>
      </w:r>
      <w:r>
        <w:rPr>
          <w:rFonts w:hint="eastAsia"/>
        </w:rPr>
        <w:t>表2</w:t>
      </w:r>
      <w:r>
        <w:t>-23。</w:t>
      </w:r>
    </w:p>
    <w:p>
      <w:pPr>
        <w:adjustRightInd w:val="0"/>
        <w:snapToGrid w:val="0"/>
        <w:spacing w:line="348" w:lineRule="auto"/>
        <w:ind w:firstLine="480"/>
      </w:pPr>
      <w:r>
        <w:rPr>
          <w:i/>
          <w:iCs/>
        </w:rPr>
        <w:t>sL</w:t>
      </w:r>
      <w:r>
        <w:t>——为道路积尘负荷，g/m</w:t>
      </w:r>
      <w:r>
        <w:rPr>
          <w:vertAlign w:val="superscript"/>
        </w:rPr>
        <w:t>2</w:t>
      </w:r>
      <w:r>
        <w:t>。</w:t>
      </w:r>
      <w:r>
        <w:rPr>
          <w:snapToGrid w:val="0"/>
          <w:kern w:val="0"/>
        </w:rPr>
        <w:t>取</w:t>
      </w:r>
      <w:r>
        <w:rPr>
          <w:rFonts w:hint="eastAsia"/>
          <w:snapToGrid w:val="0"/>
          <w:kern w:val="0"/>
        </w:rPr>
        <w:t>5</w:t>
      </w:r>
      <w:r>
        <w:rPr>
          <w:snapToGrid w:val="0"/>
          <w:kern w:val="0"/>
        </w:rPr>
        <w:t>g/m</w:t>
      </w:r>
      <w:r>
        <w:rPr>
          <w:snapToGrid w:val="0"/>
          <w:kern w:val="0"/>
          <w:vertAlign w:val="superscript"/>
        </w:rPr>
        <w:t>2</w:t>
      </w:r>
      <w:r>
        <w:t>。</w:t>
      </w:r>
    </w:p>
    <w:p>
      <w:pPr>
        <w:adjustRightInd w:val="0"/>
        <w:snapToGrid w:val="0"/>
        <w:spacing w:line="348" w:lineRule="auto"/>
        <w:ind w:firstLine="480"/>
      </w:pPr>
      <w:r>
        <w:rPr>
          <w:i/>
          <w:iCs/>
        </w:rPr>
        <w:t xml:space="preserve">W </w:t>
      </w:r>
      <w:r>
        <w:rPr>
          <w:rFonts w:hint="eastAsia"/>
        </w:rPr>
        <w:t>为平均车重，</w:t>
      </w:r>
      <w:r>
        <w:t>t</w:t>
      </w:r>
      <w:r>
        <w:rPr>
          <w:rFonts w:hint="eastAsia"/>
        </w:rPr>
        <w:t>，本项目取30t。</w:t>
      </w:r>
    </w:p>
    <w:p>
      <w:pPr>
        <w:adjustRightInd w:val="0"/>
        <w:snapToGrid w:val="0"/>
        <w:spacing w:line="348" w:lineRule="auto"/>
        <w:ind w:firstLine="480"/>
      </w:pPr>
      <w:r>
        <w:rPr>
          <w:i/>
          <w:iCs/>
        </w:rPr>
        <w:t>η</w:t>
      </w:r>
      <w:r>
        <w:t>——污染控制技术对扬尘的去除效率，%。</w:t>
      </w:r>
      <w:r>
        <w:rPr>
          <w:rFonts w:hint="eastAsia"/>
        </w:rPr>
        <w:t>见</w:t>
      </w:r>
      <w:r>
        <w:fldChar w:fldCharType="begin"/>
      </w:r>
      <w:r>
        <w:instrText xml:space="preserve"> </w:instrText>
      </w:r>
      <w:r>
        <w:rPr>
          <w:rFonts w:hint="eastAsia"/>
        </w:rPr>
        <w:instrText xml:space="preserve">REF _Ref80646529 \h</w:instrText>
      </w:r>
      <w:r>
        <w:instrText xml:space="preserve"> </w:instrText>
      </w:r>
      <w:r>
        <w:fldChar w:fldCharType="separate"/>
      </w:r>
      <w:r>
        <w:rPr>
          <w:rFonts w:hint="eastAsia"/>
        </w:rPr>
        <w:t>表2</w:t>
      </w:r>
      <w:r>
        <w:t>-24</w:t>
      </w:r>
      <w:r>
        <w:fldChar w:fldCharType="end"/>
      </w:r>
      <w:r>
        <w:rPr>
          <w:rFonts w:hint="eastAsia"/>
        </w:rPr>
        <w:t>。</w:t>
      </w:r>
    </w:p>
    <w:p>
      <w:pPr>
        <w:pStyle w:val="2285"/>
        <w:ind w:left="0"/>
      </w:pPr>
      <w:r>
        <w:t xml:space="preserve">  </w:t>
      </w:r>
      <w:r>
        <w:rPr>
          <w:rFonts w:hint="eastAsia"/>
        </w:rPr>
        <w:t>铺装道路产生</w:t>
      </w:r>
      <w:r>
        <w:rPr>
          <w:rFonts w:hint="eastAsia" w:cs="Times New Roman"/>
          <w:bCs/>
        </w:rPr>
        <w:t>颗粒物</w:t>
      </w:r>
      <w:r>
        <w:rPr>
          <w:rFonts w:hint="eastAsia"/>
        </w:rPr>
        <w:t>的粒度乘数</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035"/>
        <w:gridCol w:w="2060"/>
        <w:gridCol w:w="2596"/>
        <w:gridCol w:w="259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096" w:type="pct"/>
            <w:shd w:val="clear" w:color="000000" w:fill="FFFFFF"/>
            <w:vAlign w:val="center"/>
          </w:tcPr>
          <w:p>
            <w:pPr>
              <w:pStyle w:val="2057"/>
              <w:spacing w:afterLines="0" w:line="240" w:lineRule="atLeast"/>
              <w:ind w:firstLine="0" w:firstLineChars="0"/>
              <w:rPr>
                <w:sz w:val="21"/>
                <w:szCs w:val="21"/>
              </w:rPr>
            </w:pPr>
            <w:r>
              <w:rPr>
                <w:rFonts w:hint="eastAsia"/>
                <w:sz w:val="21"/>
                <w:szCs w:val="21"/>
              </w:rPr>
              <w:t>粒径</w:t>
            </w:r>
          </w:p>
        </w:tc>
        <w:tc>
          <w:tcPr>
            <w:tcW w:w="1109" w:type="pct"/>
            <w:shd w:val="clear" w:color="000000" w:fill="FFFFFF"/>
            <w:vAlign w:val="center"/>
          </w:tcPr>
          <w:p>
            <w:pPr>
              <w:pStyle w:val="2057"/>
              <w:spacing w:afterLines="0" w:line="240" w:lineRule="atLeast"/>
              <w:ind w:firstLine="0" w:firstLineChars="0"/>
              <w:rPr>
                <w:sz w:val="21"/>
                <w:szCs w:val="21"/>
              </w:rPr>
            </w:pPr>
            <w:r>
              <w:rPr>
                <w:sz w:val="21"/>
                <w:szCs w:val="21"/>
              </w:rPr>
              <w:t>TSP</w:t>
            </w:r>
          </w:p>
        </w:tc>
        <w:tc>
          <w:tcPr>
            <w:tcW w:w="1398" w:type="pct"/>
            <w:shd w:val="clear" w:color="000000" w:fill="FFFFFF"/>
            <w:vAlign w:val="center"/>
          </w:tcPr>
          <w:p>
            <w:pPr>
              <w:pStyle w:val="2057"/>
              <w:spacing w:afterLines="0" w:line="240" w:lineRule="atLeast"/>
              <w:ind w:firstLine="0" w:firstLineChars="0"/>
              <w:rPr>
                <w:sz w:val="21"/>
                <w:szCs w:val="21"/>
              </w:rPr>
            </w:pPr>
            <w:r>
              <w:rPr>
                <w:sz w:val="21"/>
                <w:szCs w:val="21"/>
              </w:rPr>
              <w:t>PM</w:t>
            </w:r>
            <w:r>
              <w:rPr>
                <w:sz w:val="21"/>
                <w:szCs w:val="21"/>
                <w:vertAlign w:val="subscript"/>
              </w:rPr>
              <w:t>10</w:t>
            </w:r>
          </w:p>
        </w:tc>
        <w:tc>
          <w:tcPr>
            <w:tcW w:w="1398" w:type="pct"/>
            <w:shd w:val="clear" w:color="000000" w:fill="FFFFFF"/>
            <w:vAlign w:val="center"/>
          </w:tcPr>
          <w:p>
            <w:pPr>
              <w:pStyle w:val="2057"/>
              <w:spacing w:afterLines="0" w:line="240" w:lineRule="atLeast"/>
              <w:ind w:firstLine="0" w:firstLineChars="0"/>
              <w:rPr>
                <w:sz w:val="21"/>
                <w:szCs w:val="21"/>
              </w:rPr>
            </w:pPr>
            <w:r>
              <w:rPr>
                <w:sz w:val="21"/>
                <w:szCs w:val="21"/>
              </w:rPr>
              <w:t>PM</w:t>
            </w:r>
            <w:r>
              <w:rPr>
                <w:sz w:val="21"/>
                <w:szCs w:val="21"/>
                <w:vertAlign w:val="subscript"/>
              </w:rPr>
              <w:t>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5" w:hRule="atLeast"/>
        </w:trPr>
        <w:tc>
          <w:tcPr>
            <w:tcW w:w="1096" w:type="pct"/>
            <w:shd w:val="clear" w:color="000000" w:fill="FFFFFF"/>
            <w:vAlign w:val="center"/>
          </w:tcPr>
          <w:p>
            <w:pPr>
              <w:pStyle w:val="2057"/>
              <w:spacing w:afterLines="0" w:line="240" w:lineRule="atLeast"/>
              <w:ind w:firstLine="0" w:firstLineChars="0"/>
              <w:rPr>
                <w:sz w:val="21"/>
                <w:szCs w:val="21"/>
              </w:rPr>
            </w:pPr>
            <w:r>
              <w:rPr>
                <w:rFonts w:hint="eastAsia"/>
                <w:sz w:val="21"/>
                <w:szCs w:val="21"/>
              </w:rPr>
              <w:t>粒度乘数（g/km）</w:t>
            </w:r>
          </w:p>
        </w:tc>
        <w:tc>
          <w:tcPr>
            <w:tcW w:w="1109" w:type="pct"/>
            <w:shd w:val="clear" w:color="000000" w:fill="FFFFFF"/>
            <w:vAlign w:val="center"/>
          </w:tcPr>
          <w:p>
            <w:pPr>
              <w:pStyle w:val="2057"/>
              <w:spacing w:afterLines="0" w:line="240" w:lineRule="atLeast"/>
              <w:ind w:firstLine="0" w:firstLineChars="0"/>
              <w:rPr>
                <w:sz w:val="21"/>
                <w:szCs w:val="21"/>
              </w:rPr>
            </w:pPr>
            <w:r>
              <w:rPr>
                <w:rFonts w:hint="eastAsia"/>
                <w:sz w:val="21"/>
                <w:szCs w:val="21"/>
              </w:rPr>
              <w:t>3.23</w:t>
            </w:r>
          </w:p>
        </w:tc>
        <w:tc>
          <w:tcPr>
            <w:tcW w:w="1398" w:type="pct"/>
            <w:shd w:val="clear" w:color="000000" w:fill="FFFFFF"/>
            <w:vAlign w:val="center"/>
          </w:tcPr>
          <w:p>
            <w:pPr>
              <w:pStyle w:val="2057"/>
              <w:spacing w:afterLines="0" w:line="240" w:lineRule="atLeast"/>
              <w:ind w:firstLine="0" w:firstLineChars="0"/>
              <w:rPr>
                <w:sz w:val="21"/>
                <w:szCs w:val="21"/>
              </w:rPr>
            </w:pPr>
            <w:r>
              <w:rPr>
                <w:rFonts w:hint="eastAsia"/>
                <w:sz w:val="21"/>
                <w:szCs w:val="21"/>
              </w:rPr>
              <w:t>0.62</w:t>
            </w:r>
          </w:p>
        </w:tc>
        <w:tc>
          <w:tcPr>
            <w:tcW w:w="1398" w:type="pct"/>
            <w:shd w:val="clear" w:color="000000" w:fill="FFFFFF"/>
            <w:vAlign w:val="center"/>
          </w:tcPr>
          <w:p>
            <w:pPr>
              <w:pStyle w:val="2057"/>
              <w:spacing w:afterLines="0" w:line="240" w:lineRule="atLeast"/>
              <w:ind w:firstLine="0" w:firstLineChars="0"/>
              <w:rPr>
                <w:sz w:val="21"/>
                <w:szCs w:val="21"/>
              </w:rPr>
            </w:pPr>
            <w:r>
              <w:rPr>
                <w:rFonts w:hint="eastAsia"/>
                <w:sz w:val="21"/>
                <w:szCs w:val="21"/>
              </w:rPr>
              <w:t>0.15</w:t>
            </w:r>
          </w:p>
        </w:tc>
      </w:tr>
    </w:tbl>
    <w:p>
      <w:pPr>
        <w:ind w:firstLine="480"/>
      </w:pPr>
      <w:r>
        <w:t>根据上文公式</w:t>
      </w:r>
      <w:r>
        <w:rPr>
          <w:rFonts w:hint="eastAsia"/>
        </w:rPr>
        <w:t>和</w:t>
      </w:r>
      <w:r>
        <w:fldChar w:fldCharType="begin"/>
      </w:r>
      <w:r>
        <w:instrText xml:space="preserve"> </w:instrText>
      </w:r>
      <w:r>
        <w:rPr>
          <w:rFonts w:hint="eastAsia"/>
        </w:rPr>
        <w:instrText xml:space="preserve">REF _Ref80646448 \h</w:instrText>
      </w:r>
      <w:r>
        <w:instrText xml:space="preserve"> </w:instrText>
      </w:r>
      <w:r>
        <w:fldChar w:fldCharType="separate"/>
      </w:r>
      <w:r>
        <w:rPr>
          <w:rFonts w:hint="eastAsia"/>
        </w:rPr>
        <w:t>表</w:t>
      </w:r>
      <w:r>
        <w:t xml:space="preserve"> 2-</w:t>
      </w:r>
      <w:r>
        <w:rPr>
          <w:rFonts w:hint="eastAsia"/>
        </w:rPr>
        <w:t>2</w:t>
      </w:r>
      <w:r>
        <w:fldChar w:fldCharType="end"/>
      </w:r>
      <w:r>
        <w:rPr>
          <w:rFonts w:hint="eastAsia"/>
        </w:rPr>
        <w:t>6</w:t>
      </w:r>
      <w:r>
        <w:t>，计得</w:t>
      </w:r>
      <w:r>
        <w:rPr>
          <w:rFonts w:hint="eastAsia"/>
        </w:rPr>
        <w:t>港区牵引车、水泥罐车和货车产生的道路</w:t>
      </w:r>
      <w:r>
        <w:t>扬尘产生</w:t>
      </w:r>
      <w:r>
        <w:rPr>
          <w:rFonts w:hint="eastAsia"/>
        </w:rPr>
        <w:t>及排放</w:t>
      </w:r>
      <w:r>
        <w:t>量</w:t>
      </w:r>
      <w:r>
        <w:rPr>
          <w:rFonts w:hint="eastAsia"/>
        </w:rPr>
        <w:t>见下表2-27</w:t>
      </w:r>
      <w:r>
        <w:t>。</w:t>
      </w:r>
    </w:p>
    <w:p>
      <w:pPr>
        <w:pStyle w:val="2285"/>
        <w:ind w:left="0"/>
      </w:pPr>
      <w:r>
        <w:t>项目</w:t>
      </w:r>
      <w:r>
        <w:rPr>
          <w:rFonts w:hint="eastAsia"/>
        </w:rPr>
        <w:t>道路</w:t>
      </w:r>
      <w:r>
        <w:t>扬尘</w:t>
      </w:r>
      <w:r>
        <w:rPr>
          <w:rFonts w:cs="Times New Roman"/>
          <w:bCs/>
        </w:rPr>
        <w:t>产生</w:t>
      </w:r>
      <w:r>
        <w:t>和</w:t>
      </w:r>
      <w:r>
        <w:rPr>
          <w:rFonts w:cs="Times New Roman"/>
          <w:bCs/>
        </w:rPr>
        <w:t>排放</w:t>
      </w:r>
      <w:r>
        <w:t>情况一览表</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02"/>
        <w:gridCol w:w="994"/>
        <w:gridCol w:w="1332"/>
        <w:gridCol w:w="2474"/>
        <w:gridCol w:w="1033"/>
        <w:gridCol w:w="1168"/>
        <w:gridCol w:w="118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593" w:type="pct"/>
            <w:shd w:val="clear" w:color="000000" w:fill="FFFFFF"/>
            <w:vAlign w:val="center"/>
          </w:tcPr>
          <w:p>
            <w:pPr>
              <w:pStyle w:val="2057"/>
              <w:spacing w:afterLines="0" w:line="240" w:lineRule="atLeast"/>
              <w:ind w:firstLine="0" w:firstLineChars="0"/>
              <w:rPr>
                <w:sz w:val="21"/>
                <w:szCs w:val="21"/>
              </w:rPr>
            </w:pPr>
            <w:r>
              <w:rPr>
                <w:sz w:val="21"/>
                <w:szCs w:val="21"/>
              </w:rPr>
              <w:t>污染源</w:t>
            </w:r>
          </w:p>
        </w:tc>
        <w:tc>
          <w:tcPr>
            <w:tcW w:w="535" w:type="pct"/>
            <w:shd w:val="clear" w:color="000000" w:fill="FFFFFF"/>
            <w:vAlign w:val="center"/>
          </w:tcPr>
          <w:p>
            <w:pPr>
              <w:pStyle w:val="2057"/>
              <w:spacing w:afterLines="0" w:line="240" w:lineRule="atLeast"/>
              <w:ind w:firstLine="0" w:firstLineChars="0"/>
              <w:rPr>
                <w:sz w:val="21"/>
                <w:szCs w:val="21"/>
              </w:rPr>
            </w:pPr>
            <w:r>
              <w:rPr>
                <w:sz w:val="21"/>
                <w:szCs w:val="21"/>
              </w:rPr>
              <w:t>污染物</w:t>
            </w:r>
          </w:p>
        </w:tc>
        <w:tc>
          <w:tcPr>
            <w:tcW w:w="717" w:type="pct"/>
            <w:shd w:val="clear" w:color="000000" w:fill="FFFFFF"/>
            <w:vAlign w:val="center"/>
          </w:tcPr>
          <w:p>
            <w:pPr>
              <w:pStyle w:val="2057"/>
              <w:spacing w:afterLines="0" w:line="240" w:lineRule="atLeast"/>
              <w:ind w:firstLine="0" w:firstLineChars="0"/>
              <w:rPr>
                <w:sz w:val="21"/>
                <w:szCs w:val="21"/>
              </w:rPr>
            </w:pPr>
            <w:r>
              <w:rPr>
                <w:sz w:val="21"/>
                <w:szCs w:val="21"/>
              </w:rPr>
              <w:t>产生量(t/a)</w:t>
            </w:r>
          </w:p>
        </w:tc>
        <w:tc>
          <w:tcPr>
            <w:tcW w:w="1332" w:type="pct"/>
            <w:shd w:val="clear" w:color="000000" w:fill="FFFFFF"/>
            <w:vAlign w:val="center"/>
          </w:tcPr>
          <w:p>
            <w:pPr>
              <w:pStyle w:val="2057"/>
              <w:spacing w:afterLines="0" w:line="240" w:lineRule="atLeast"/>
              <w:ind w:firstLine="0" w:firstLineChars="0"/>
              <w:rPr>
                <w:sz w:val="21"/>
                <w:szCs w:val="21"/>
              </w:rPr>
            </w:pPr>
            <w:r>
              <w:rPr>
                <w:sz w:val="21"/>
                <w:szCs w:val="21"/>
              </w:rPr>
              <w:t>治理措施</w:t>
            </w:r>
          </w:p>
        </w:tc>
        <w:tc>
          <w:tcPr>
            <w:tcW w:w="556" w:type="pct"/>
            <w:shd w:val="clear" w:color="000000" w:fill="FFFFFF"/>
            <w:vAlign w:val="center"/>
          </w:tcPr>
          <w:p>
            <w:pPr>
              <w:pStyle w:val="2057"/>
              <w:spacing w:afterLines="0" w:line="240" w:lineRule="atLeast"/>
              <w:ind w:firstLine="0" w:firstLineChars="0"/>
              <w:rPr>
                <w:sz w:val="21"/>
                <w:szCs w:val="21"/>
              </w:rPr>
            </w:pPr>
            <w:r>
              <w:rPr>
                <w:sz w:val="21"/>
                <w:szCs w:val="21"/>
              </w:rPr>
              <w:t>降尘效率</w:t>
            </w:r>
          </w:p>
        </w:tc>
        <w:tc>
          <w:tcPr>
            <w:tcW w:w="629" w:type="pct"/>
            <w:shd w:val="clear" w:color="000000" w:fill="FFFFFF"/>
            <w:vAlign w:val="center"/>
          </w:tcPr>
          <w:p>
            <w:pPr>
              <w:pStyle w:val="2057"/>
              <w:spacing w:afterLines="0" w:line="240" w:lineRule="atLeast"/>
              <w:ind w:firstLine="0" w:firstLineChars="0"/>
              <w:rPr>
                <w:sz w:val="21"/>
                <w:szCs w:val="21"/>
              </w:rPr>
            </w:pPr>
            <w:r>
              <w:rPr>
                <w:rFonts w:hint="eastAsia"/>
                <w:sz w:val="21"/>
                <w:szCs w:val="21"/>
              </w:rPr>
              <w:t>排放速率（k</w:t>
            </w:r>
            <w:r>
              <w:rPr>
                <w:sz w:val="21"/>
                <w:szCs w:val="21"/>
              </w:rPr>
              <w:t>g/h</w:t>
            </w:r>
            <w:r>
              <w:rPr>
                <w:rFonts w:hint="eastAsia"/>
                <w:sz w:val="21"/>
                <w:szCs w:val="21"/>
              </w:rPr>
              <w:t>）</w:t>
            </w:r>
          </w:p>
        </w:tc>
        <w:tc>
          <w:tcPr>
            <w:tcW w:w="637" w:type="pct"/>
            <w:shd w:val="clear" w:color="000000" w:fill="FFFFFF"/>
            <w:vAlign w:val="center"/>
          </w:tcPr>
          <w:p>
            <w:pPr>
              <w:pStyle w:val="2057"/>
              <w:spacing w:afterLines="0" w:line="240" w:lineRule="atLeast"/>
              <w:ind w:firstLine="0" w:firstLineChars="0"/>
              <w:rPr>
                <w:sz w:val="21"/>
                <w:szCs w:val="21"/>
              </w:rPr>
            </w:pPr>
            <w:r>
              <w:rPr>
                <w:sz w:val="21"/>
                <w:szCs w:val="21"/>
              </w:rPr>
              <w:t>排放量(t/a)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0" w:hRule="atLeast"/>
        </w:trPr>
        <w:tc>
          <w:tcPr>
            <w:tcW w:w="593" w:type="pct"/>
            <w:vMerge w:val="restart"/>
            <w:shd w:val="clear" w:color="000000" w:fill="FFFFFF"/>
            <w:vAlign w:val="center"/>
          </w:tcPr>
          <w:p>
            <w:pPr>
              <w:pStyle w:val="2057"/>
              <w:spacing w:afterLines="0" w:line="240" w:lineRule="atLeast"/>
              <w:ind w:firstLine="0" w:firstLineChars="0"/>
              <w:rPr>
                <w:sz w:val="21"/>
                <w:szCs w:val="21"/>
              </w:rPr>
            </w:pPr>
            <w:r>
              <w:rPr>
                <w:rFonts w:hint="eastAsia"/>
                <w:sz w:val="21"/>
                <w:szCs w:val="21"/>
              </w:rPr>
              <w:t>道路</w:t>
            </w:r>
          </w:p>
        </w:tc>
        <w:tc>
          <w:tcPr>
            <w:tcW w:w="535" w:type="pct"/>
            <w:shd w:val="clear" w:color="000000" w:fill="FFFFFF"/>
            <w:vAlign w:val="center"/>
          </w:tcPr>
          <w:p>
            <w:pPr>
              <w:pStyle w:val="2057"/>
              <w:spacing w:afterLines="0" w:line="240" w:lineRule="atLeast"/>
              <w:ind w:firstLine="0" w:firstLineChars="0"/>
              <w:rPr>
                <w:sz w:val="21"/>
                <w:szCs w:val="21"/>
              </w:rPr>
            </w:pPr>
            <w:r>
              <w:rPr>
                <w:sz w:val="21"/>
                <w:szCs w:val="21"/>
              </w:rPr>
              <w:t>TSP</w:t>
            </w:r>
          </w:p>
        </w:tc>
        <w:tc>
          <w:tcPr>
            <w:tcW w:w="717" w:type="pct"/>
            <w:shd w:val="clear" w:color="000000" w:fill="FFFFFF"/>
            <w:vAlign w:val="center"/>
          </w:tcPr>
          <w:p>
            <w:pPr>
              <w:pStyle w:val="2057"/>
              <w:spacing w:afterLines="0" w:line="240" w:lineRule="atLeast"/>
              <w:ind w:firstLine="0" w:firstLineChars="0"/>
              <w:rPr>
                <w:sz w:val="21"/>
                <w:szCs w:val="21"/>
              </w:rPr>
            </w:pPr>
            <w:r>
              <w:rPr>
                <w:rFonts w:hint="eastAsia"/>
                <w:sz w:val="21"/>
                <w:szCs w:val="21"/>
              </w:rPr>
              <w:t>0.822</w:t>
            </w:r>
          </w:p>
        </w:tc>
        <w:tc>
          <w:tcPr>
            <w:tcW w:w="1332" w:type="pct"/>
            <w:vMerge w:val="restart"/>
            <w:shd w:val="clear" w:color="000000" w:fill="FFFFFF"/>
            <w:vAlign w:val="center"/>
          </w:tcPr>
          <w:p>
            <w:pPr>
              <w:pStyle w:val="2057"/>
              <w:spacing w:afterLines="0" w:line="240" w:lineRule="atLeast"/>
              <w:ind w:firstLine="0" w:firstLineChars="0"/>
              <w:rPr>
                <w:sz w:val="21"/>
                <w:szCs w:val="21"/>
              </w:rPr>
            </w:pPr>
            <w:r>
              <w:rPr>
                <w:rFonts w:hint="eastAsia"/>
                <w:sz w:val="21"/>
                <w:szCs w:val="21"/>
              </w:rPr>
              <w:t>洒水</w:t>
            </w:r>
            <w:r>
              <w:rPr>
                <w:sz w:val="21"/>
                <w:szCs w:val="21"/>
              </w:rPr>
              <w:t>降尘</w:t>
            </w:r>
          </w:p>
        </w:tc>
        <w:tc>
          <w:tcPr>
            <w:tcW w:w="556" w:type="pct"/>
            <w:shd w:val="clear" w:color="000000" w:fill="FFFFFF"/>
            <w:vAlign w:val="center"/>
          </w:tcPr>
          <w:p>
            <w:pPr>
              <w:pStyle w:val="2057"/>
              <w:spacing w:afterLines="0" w:line="240" w:lineRule="atLeast"/>
              <w:ind w:firstLine="0" w:firstLineChars="0"/>
              <w:rPr>
                <w:sz w:val="21"/>
                <w:szCs w:val="21"/>
              </w:rPr>
            </w:pPr>
            <w:r>
              <w:rPr>
                <w:rFonts w:hint="eastAsia"/>
                <w:sz w:val="21"/>
                <w:szCs w:val="21"/>
              </w:rPr>
              <w:t>66</w:t>
            </w:r>
            <w:r>
              <w:rPr>
                <w:sz w:val="21"/>
                <w:szCs w:val="21"/>
              </w:rPr>
              <w:t>%</w:t>
            </w:r>
          </w:p>
        </w:tc>
        <w:tc>
          <w:tcPr>
            <w:tcW w:w="629" w:type="pct"/>
            <w:shd w:val="clear" w:color="000000" w:fill="FFFFFF"/>
            <w:vAlign w:val="center"/>
          </w:tcPr>
          <w:p>
            <w:pPr>
              <w:pStyle w:val="2057"/>
              <w:spacing w:afterLines="0" w:line="240" w:lineRule="atLeast"/>
              <w:ind w:firstLine="0" w:firstLineChars="0"/>
              <w:rPr>
                <w:sz w:val="21"/>
                <w:szCs w:val="21"/>
              </w:rPr>
            </w:pPr>
            <w:r>
              <w:rPr>
                <w:rFonts w:hint="eastAsia"/>
                <w:sz w:val="21"/>
                <w:szCs w:val="21"/>
              </w:rPr>
              <w:t>0.035</w:t>
            </w:r>
          </w:p>
        </w:tc>
        <w:tc>
          <w:tcPr>
            <w:tcW w:w="637" w:type="pct"/>
            <w:shd w:val="clear" w:color="000000" w:fill="FFFFFF"/>
            <w:vAlign w:val="center"/>
          </w:tcPr>
          <w:p>
            <w:pPr>
              <w:pStyle w:val="2057"/>
              <w:spacing w:afterLines="0" w:line="240" w:lineRule="atLeast"/>
              <w:ind w:firstLine="0" w:firstLineChars="0"/>
              <w:rPr>
                <w:sz w:val="21"/>
                <w:szCs w:val="21"/>
              </w:rPr>
            </w:pPr>
            <w:r>
              <w:rPr>
                <w:rFonts w:hint="eastAsia"/>
                <w:sz w:val="21"/>
                <w:szCs w:val="21"/>
              </w:rPr>
              <w:t>0.279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593" w:type="pct"/>
            <w:vMerge w:val="continue"/>
            <w:vAlign w:val="center"/>
          </w:tcPr>
          <w:p>
            <w:pPr>
              <w:pStyle w:val="2057"/>
              <w:spacing w:afterLines="0" w:line="240" w:lineRule="atLeast"/>
              <w:ind w:firstLine="0" w:firstLineChars="0"/>
              <w:rPr>
                <w:sz w:val="21"/>
                <w:szCs w:val="21"/>
              </w:rPr>
            </w:pPr>
          </w:p>
        </w:tc>
        <w:tc>
          <w:tcPr>
            <w:tcW w:w="535" w:type="pct"/>
            <w:shd w:val="clear" w:color="000000" w:fill="FFFFFF"/>
            <w:vAlign w:val="center"/>
          </w:tcPr>
          <w:p>
            <w:pPr>
              <w:pStyle w:val="2057"/>
              <w:spacing w:afterLines="0" w:line="240" w:lineRule="atLeast"/>
              <w:ind w:firstLine="0" w:firstLineChars="0"/>
              <w:rPr>
                <w:sz w:val="21"/>
                <w:szCs w:val="21"/>
              </w:rPr>
            </w:pPr>
            <w:r>
              <w:rPr>
                <w:sz w:val="21"/>
                <w:szCs w:val="21"/>
              </w:rPr>
              <w:t>PM</w:t>
            </w:r>
            <w:r>
              <w:rPr>
                <w:sz w:val="21"/>
                <w:szCs w:val="21"/>
                <w:vertAlign w:val="subscript"/>
              </w:rPr>
              <w:t>10</w:t>
            </w:r>
          </w:p>
        </w:tc>
        <w:tc>
          <w:tcPr>
            <w:tcW w:w="717" w:type="pct"/>
            <w:shd w:val="clear" w:color="000000" w:fill="FFFFFF"/>
            <w:vAlign w:val="center"/>
          </w:tcPr>
          <w:p>
            <w:pPr>
              <w:pStyle w:val="2057"/>
              <w:spacing w:afterLines="0" w:line="240" w:lineRule="atLeast"/>
              <w:ind w:firstLine="0" w:firstLineChars="0"/>
              <w:rPr>
                <w:sz w:val="21"/>
                <w:szCs w:val="21"/>
              </w:rPr>
            </w:pPr>
            <w:r>
              <w:rPr>
                <w:rFonts w:hint="eastAsia"/>
                <w:sz w:val="21"/>
                <w:szCs w:val="21"/>
              </w:rPr>
              <w:t>0.209</w:t>
            </w:r>
          </w:p>
        </w:tc>
        <w:tc>
          <w:tcPr>
            <w:tcW w:w="1332" w:type="pct"/>
            <w:vMerge w:val="continue"/>
            <w:shd w:val="clear" w:color="000000" w:fill="FFFFFF"/>
            <w:vAlign w:val="center"/>
          </w:tcPr>
          <w:p>
            <w:pPr>
              <w:pStyle w:val="2057"/>
              <w:spacing w:afterLines="0" w:line="240" w:lineRule="atLeast"/>
              <w:ind w:firstLine="0" w:firstLineChars="0"/>
              <w:rPr>
                <w:sz w:val="21"/>
                <w:szCs w:val="21"/>
              </w:rPr>
            </w:pPr>
          </w:p>
        </w:tc>
        <w:tc>
          <w:tcPr>
            <w:tcW w:w="556" w:type="pct"/>
            <w:shd w:val="clear" w:color="000000" w:fill="FFFFFF"/>
            <w:vAlign w:val="center"/>
          </w:tcPr>
          <w:p>
            <w:pPr>
              <w:pStyle w:val="2057"/>
              <w:spacing w:afterLines="0" w:line="240" w:lineRule="atLeast"/>
              <w:ind w:firstLine="0" w:firstLineChars="0"/>
              <w:rPr>
                <w:sz w:val="21"/>
                <w:szCs w:val="21"/>
              </w:rPr>
            </w:pPr>
            <w:r>
              <w:rPr>
                <w:rFonts w:hint="eastAsia"/>
                <w:sz w:val="21"/>
                <w:szCs w:val="21"/>
              </w:rPr>
              <w:t>55</w:t>
            </w:r>
            <w:r>
              <w:rPr>
                <w:sz w:val="21"/>
                <w:szCs w:val="21"/>
              </w:rPr>
              <w:t>%</w:t>
            </w:r>
          </w:p>
        </w:tc>
        <w:tc>
          <w:tcPr>
            <w:tcW w:w="629" w:type="pct"/>
            <w:shd w:val="clear" w:color="000000" w:fill="FFFFFF"/>
            <w:vAlign w:val="center"/>
          </w:tcPr>
          <w:p>
            <w:pPr>
              <w:pStyle w:val="2057"/>
              <w:spacing w:afterLines="0" w:line="240" w:lineRule="atLeast"/>
              <w:ind w:firstLine="0" w:firstLineChars="0"/>
              <w:rPr>
                <w:sz w:val="21"/>
                <w:szCs w:val="21"/>
              </w:rPr>
            </w:pPr>
            <w:r>
              <w:rPr>
                <w:rFonts w:hint="eastAsia"/>
                <w:sz w:val="21"/>
                <w:szCs w:val="21"/>
              </w:rPr>
              <w:t>0.012</w:t>
            </w:r>
          </w:p>
        </w:tc>
        <w:tc>
          <w:tcPr>
            <w:tcW w:w="637" w:type="pct"/>
            <w:shd w:val="clear" w:color="000000" w:fill="FFFFFF"/>
            <w:vAlign w:val="center"/>
          </w:tcPr>
          <w:p>
            <w:pPr>
              <w:pStyle w:val="2057"/>
              <w:spacing w:afterLines="0" w:line="240" w:lineRule="atLeast"/>
              <w:ind w:firstLine="0" w:firstLineChars="0"/>
              <w:rPr>
                <w:sz w:val="21"/>
                <w:szCs w:val="21"/>
              </w:rPr>
            </w:pPr>
            <w:r>
              <w:rPr>
                <w:rFonts w:hint="eastAsia"/>
                <w:sz w:val="21"/>
                <w:szCs w:val="21"/>
              </w:rPr>
              <w:t>0.094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593" w:type="pct"/>
            <w:vMerge w:val="continue"/>
            <w:vAlign w:val="center"/>
          </w:tcPr>
          <w:p>
            <w:pPr>
              <w:pStyle w:val="2057"/>
              <w:spacing w:afterLines="0" w:line="240" w:lineRule="atLeast"/>
              <w:ind w:firstLine="0" w:firstLineChars="0"/>
              <w:rPr>
                <w:sz w:val="21"/>
                <w:szCs w:val="21"/>
              </w:rPr>
            </w:pPr>
          </w:p>
        </w:tc>
        <w:tc>
          <w:tcPr>
            <w:tcW w:w="535" w:type="pct"/>
            <w:shd w:val="clear" w:color="000000" w:fill="FFFFFF"/>
            <w:vAlign w:val="center"/>
          </w:tcPr>
          <w:p>
            <w:pPr>
              <w:pStyle w:val="2057"/>
              <w:spacing w:afterLines="0" w:line="240" w:lineRule="atLeast"/>
              <w:ind w:firstLine="0" w:firstLineChars="0"/>
              <w:rPr>
                <w:sz w:val="21"/>
                <w:szCs w:val="21"/>
              </w:rPr>
            </w:pPr>
            <w:r>
              <w:rPr>
                <w:sz w:val="21"/>
                <w:szCs w:val="21"/>
              </w:rPr>
              <w:t>PM</w:t>
            </w:r>
            <w:r>
              <w:rPr>
                <w:sz w:val="21"/>
                <w:szCs w:val="21"/>
                <w:vertAlign w:val="subscript"/>
              </w:rPr>
              <w:t>2.5</w:t>
            </w:r>
          </w:p>
        </w:tc>
        <w:tc>
          <w:tcPr>
            <w:tcW w:w="717" w:type="pct"/>
            <w:shd w:val="clear" w:color="000000" w:fill="FFFFFF"/>
            <w:vAlign w:val="center"/>
          </w:tcPr>
          <w:p>
            <w:pPr>
              <w:pStyle w:val="2057"/>
              <w:spacing w:afterLines="0" w:line="240" w:lineRule="atLeast"/>
              <w:ind w:firstLine="0" w:firstLineChars="0"/>
              <w:rPr>
                <w:sz w:val="21"/>
                <w:szCs w:val="21"/>
              </w:rPr>
            </w:pPr>
            <w:r>
              <w:rPr>
                <w:rFonts w:hint="eastAsia"/>
                <w:sz w:val="21"/>
                <w:szCs w:val="21"/>
              </w:rPr>
              <w:t>0.061</w:t>
            </w:r>
          </w:p>
        </w:tc>
        <w:tc>
          <w:tcPr>
            <w:tcW w:w="1332" w:type="pct"/>
            <w:vMerge w:val="continue"/>
            <w:vAlign w:val="center"/>
          </w:tcPr>
          <w:p>
            <w:pPr>
              <w:pStyle w:val="2057"/>
              <w:spacing w:afterLines="0" w:line="240" w:lineRule="atLeast"/>
              <w:ind w:firstLine="0" w:firstLineChars="0"/>
              <w:rPr>
                <w:sz w:val="21"/>
                <w:szCs w:val="21"/>
              </w:rPr>
            </w:pPr>
          </w:p>
        </w:tc>
        <w:tc>
          <w:tcPr>
            <w:tcW w:w="556" w:type="pct"/>
            <w:shd w:val="clear" w:color="000000" w:fill="FFFFFF"/>
            <w:vAlign w:val="center"/>
          </w:tcPr>
          <w:p>
            <w:pPr>
              <w:pStyle w:val="2057"/>
              <w:spacing w:afterLines="0" w:line="240" w:lineRule="atLeast"/>
              <w:ind w:firstLine="0" w:firstLineChars="0"/>
              <w:rPr>
                <w:sz w:val="21"/>
                <w:szCs w:val="21"/>
              </w:rPr>
            </w:pPr>
            <w:r>
              <w:rPr>
                <w:rFonts w:hint="eastAsia"/>
                <w:sz w:val="21"/>
                <w:szCs w:val="21"/>
              </w:rPr>
              <w:t>46</w:t>
            </w:r>
            <w:r>
              <w:rPr>
                <w:sz w:val="21"/>
                <w:szCs w:val="21"/>
              </w:rPr>
              <w:t>%</w:t>
            </w:r>
          </w:p>
        </w:tc>
        <w:tc>
          <w:tcPr>
            <w:tcW w:w="629" w:type="pct"/>
            <w:shd w:val="clear" w:color="000000" w:fill="FFFFFF"/>
            <w:vAlign w:val="center"/>
          </w:tcPr>
          <w:p>
            <w:pPr>
              <w:pStyle w:val="2057"/>
              <w:spacing w:afterLines="0" w:line="240" w:lineRule="atLeast"/>
              <w:ind w:firstLine="0" w:firstLineChars="0"/>
              <w:rPr>
                <w:sz w:val="21"/>
                <w:szCs w:val="21"/>
              </w:rPr>
            </w:pPr>
            <w:r>
              <w:rPr>
                <w:rFonts w:hint="eastAsia"/>
                <w:sz w:val="21"/>
                <w:szCs w:val="21"/>
              </w:rPr>
              <w:t xml:space="preserve">0.004 </w:t>
            </w:r>
          </w:p>
        </w:tc>
        <w:tc>
          <w:tcPr>
            <w:tcW w:w="637" w:type="pct"/>
            <w:shd w:val="clear" w:color="000000" w:fill="FFFFFF"/>
            <w:vAlign w:val="center"/>
          </w:tcPr>
          <w:p>
            <w:pPr>
              <w:pStyle w:val="2057"/>
              <w:spacing w:afterLines="0" w:line="240" w:lineRule="atLeast"/>
              <w:ind w:firstLine="0" w:firstLineChars="0"/>
              <w:rPr>
                <w:sz w:val="21"/>
                <w:szCs w:val="21"/>
              </w:rPr>
            </w:pPr>
            <w:r>
              <w:rPr>
                <w:rFonts w:hint="eastAsia"/>
                <w:sz w:val="21"/>
                <w:szCs w:val="21"/>
              </w:rPr>
              <w:t>0.033</w:t>
            </w:r>
          </w:p>
        </w:tc>
      </w:tr>
    </w:tbl>
    <w:p>
      <w:pPr>
        <w:pStyle w:val="466"/>
        <w:ind w:firstLine="482"/>
        <w:rPr>
          <w:rFonts w:cs="Times New Roman"/>
          <w:b/>
        </w:rPr>
      </w:pPr>
      <w:r>
        <w:rPr>
          <w:rFonts w:hint="eastAsia" w:cs="Times New Roman"/>
          <w:b/>
        </w:rPr>
        <w:t>（2）装卸机械及汽车尾气</w:t>
      </w:r>
    </w:p>
    <w:p>
      <w:pPr>
        <w:tabs>
          <w:tab w:val="left" w:pos="2640"/>
        </w:tabs>
        <w:ind w:firstLine="480"/>
        <w:rPr>
          <w:kern w:val="0"/>
        </w:rPr>
      </w:pPr>
      <w:r>
        <w:rPr>
          <w:rFonts w:hint="eastAsia" w:ascii="宋体" w:hAnsi="宋体"/>
          <w:kern w:val="0"/>
        </w:rPr>
        <w:t>根据《岳阳港道仁矶码头工程可行性研究报告》及前文工程分析章节可知，</w:t>
      </w:r>
      <w:r>
        <w:rPr>
          <w:rFonts w:hint="eastAsia"/>
          <w:kern w:val="0"/>
        </w:rPr>
        <w:t>本项目</w:t>
      </w:r>
      <w:r>
        <w:rPr>
          <w:kern w:val="0"/>
        </w:rPr>
        <w:t>设置6个泊位，</w:t>
      </w:r>
      <w:r>
        <w:rPr>
          <w:rFonts w:hint="eastAsia"/>
          <w:kern w:val="0"/>
        </w:rPr>
        <w:t>项目1#泊位用于散货装船，采用直线轨道式移动装船机作业，共配置1台2000t/h直线轨道式移动装船机；后方卸车物料通过固定带式输送机输送至码头装船机进行装船，2#、3#泊位采用桥式抓斗卸船机进行散货卸船作业，2个泊位共配置3台1000t/h桥抓斗卸船机，卸船机轨内布置三路带式输送机，卸船机卸船后，通过固定带式输送机输送至上游泊位进行水水中转装船或输送至后方的散货仓库堆存；水泥采用1台500t/h螺旋卸船进行卸船作业，螺旋卸船机卸船后通过门架下方4个装车位进行装车疏港；其他散货如土壤修复剂、复合肥等量少、品种多的散货采用通用性好、灵活的门机配抓斗进行卸船作业，门机卸船后通过集料斗装车运输至后方；下游端部泊位以防汛物资及防汛砂石为主，拟采用门机配抓斗作业。下游3个通用泊位共配置4台25t-35m门机、1台40t-35m门机，门机配抓斗可兼顾散货、件杂货的装卸作业；件杂货水平运输采用牵引平板车或拖挂货车；散货均在全封闭散货仓库内堆存，散货仓库内采用抛料小车进行堆料，抛料小车行走于仓库内的高架带式输送机上。仓库内取料采用单斗装载机进行装车作业。件杂货临时堆存采用轮胎吊或叉车进行装卸车作业。砂石料卸车采用自卸形式，卸车在全封闭情况下进行，设置卸车棚。卸车棚内设置临时堆料场地，采用单斗装载机配合作业。</w:t>
      </w:r>
    </w:p>
    <w:p>
      <w:pPr>
        <w:tabs>
          <w:tab w:val="left" w:pos="2640"/>
        </w:tabs>
        <w:ind w:firstLine="480"/>
      </w:pPr>
      <w:r>
        <w:rPr>
          <w:rFonts w:hint="eastAsia"/>
        </w:rPr>
        <w:t>项目码头作业平台起重、装卸设备使用能源多为电能。项目主要的装卸机械及汽车尾气有：水泥疏港运输车辆、</w:t>
      </w:r>
      <w:r>
        <w:rPr>
          <w:rFonts w:hint="eastAsia"/>
          <w:kern w:val="0"/>
        </w:rPr>
        <w:t>土壤修复剂、复合肥</w:t>
      </w:r>
      <w:r>
        <w:rPr>
          <w:rFonts w:hint="eastAsia"/>
        </w:rPr>
        <w:t>件运输车辆、杂货件水平运输牵引平衡车、砂石卸料自卸车疏港卡车排放的汽车尾气；叉车、轮胎吊等装卸设备排放的燃油废气。</w:t>
      </w:r>
      <w:r>
        <w:rPr>
          <w:rFonts w:hint="eastAsia"/>
          <w:kern w:val="0"/>
        </w:rPr>
        <w:t xml:space="preserve">根据《岳阳港道仁矶码头工程可行性研究报告》，港区配置 </w:t>
      </w:r>
      <w:r>
        <w:rPr>
          <w:kern w:val="0"/>
        </w:rPr>
        <w:t xml:space="preserve">16 </w:t>
      </w:r>
      <w:r>
        <w:rPr>
          <w:rFonts w:hint="eastAsia"/>
          <w:kern w:val="0"/>
        </w:rPr>
        <w:t>台载重</w:t>
      </w:r>
      <w:r>
        <w:rPr>
          <w:kern w:val="0"/>
        </w:rPr>
        <w:t>30t</w:t>
      </w:r>
      <w:r>
        <w:rPr>
          <w:rFonts w:hint="eastAsia"/>
          <w:kern w:val="0"/>
        </w:rPr>
        <w:t>自卸汽车用于散货运输</w:t>
      </w:r>
      <w:r>
        <w:rPr>
          <w:rFonts w:hint="eastAsia" w:ascii="宋体" w:hAnsi="宋体"/>
          <w:kern w:val="0"/>
        </w:rPr>
        <w:t>。</w:t>
      </w:r>
      <w:r>
        <w:rPr>
          <w:rFonts w:hint="eastAsia"/>
          <w:kern w:val="0"/>
        </w:rPr>
        <w:t>港内运输量为270万吨/年，一个工作循环（码头至库场运距约2.4km），每台车年运行公里数=总运量/单台运量/台数×一个循环运距，年运行公里数为13500km；</w:t>
      </w:r>
      <w:r>
        <w:rPr>
          <w:rFonts w:hint="eastAsia"/>
        </w:rPr>
        <w:t>车辆在码头消耗柴油按0.42L/km，柴油的密度可取0.84kg/L，计算得燃油消耗量为4.763t/a。</w:t>
      </w:r>
    </w:p>
    <w:p>
      <w:pPr>
        <w:pStyle w:val="600"/>
        <w:numPr>
          <w:ilvl w:val="0"/>
          <w:numId w:val="61"/>
        </w:numPr>
        <w:ind w:firstLineChars="0"/>
        <w:rPr>
          <w:b/>
          <w:sz w:val="24"/>
          <w:szCs w:val="24"/>
        </w:rPr>
      </w:pPr>
      <w:r>
        <w:rPr>
          <w:rFonts w:hint="eastAsia"/>
          <w:b/>
          <w:sz w:val="24"/>
          <w:szCs w:val="24"/>
        </w:rPr>
        <w:t>水平运输车辆和进入港区的集疏</w:t>
      </w:r>
      <w:r>
        <w:rPr>
          <w:b/>
          <w:sz w:val="24"/>
          <w:szCs w:val="24"/>
        </w:rPr>
        <w:t>运卡车</w:t>
      </w:r>
      <w:r>
        <w:rPr>
          <w:rFonts w:hint="eastAsia"/>
          <w:b/>
          <w:sz w:val="24"/>
          <w:szCs w:val="24"/>
        </w:rPr>
        <w:t>废气</w:t>
      </w:r>
    </w:p>
    <w:p>
      <w:pPr>
        <w:ind w:firstLine="480"/>
      </w:pPr>
      <w:r>
        <w:rPr>
          <w:rFonts w:hint="eastAsia"/>
        </w:rPr>
        <w:t>根据</w:t>
      </w:r>
      <w:r>
        <w:rPr>
          <w:rFonts w:hint="eastAsia" w:ascii="宋体" w:hAnsi="宋体"/>
          <w:kern w:val="0"/>
        </w:rPr>
        <w:t>《港口工程大气污染物排放清单编制技术指南  第1部分：集装箱码头》</w:t>
      </w:r>
      <w:r>
        <w:rPr>
          <w:rFonts w:hint="eastAsia"/>
        </w:rPr>
        <w:t>，水平运输车辆和进入港区的集疏运卡车大气污染物</w:t>
      </w:r>
      <w:r>
        <w:t>SO</w:t>
      </w:r>
      <w:r>
        <w:rPr>
          <w:vertAlign w:val="subscript"/>
        </w:rPr>
        <w:t>2</w:t>
      </w:r>
      <w:r>
        <w:rPr>
          <w:rFonts w:hint="eastAsia"/>
        </w:rPr>
        <w:t>排放量按照燃料消耗法计算时，可采用以下公式：</w:t>
      </w:r>
    </w:p>
    <w:p>
      <w:pPr>
        <w:pStyle w:val="2"/>
        <w:ind w:left="1440" w:firstLine="480"/>
      </w:pPr>
      <m:oMathPara>
        <m:oMath>
          <m:r>
            <m:rPr>
              <m:sty m:val="p"/>
            </m:rPr>
            <w:rPr>
              <w:rFonts w:ascii="Cambria Math" w:hAnsi="Cambria Math"/>
            </w:rPr>
            <m:t>E</m:t>
          </m:r>
          <m:r>
            <m:rPr>
              <m:sty m:val="p"/>
            </m:rPr>
            <w:rPr>
              <w:rFonts w:hint="eastAsia" w:ascii="Cambria Math" w:hAnsi="Cambria Math"/>
            </w:rPr>
            <m:t>=</m:t>
          </m:r>
          <m:r>
            <m:rPr>
              <m:sty m:val="p"/>
            </m:rPr>
            <w:rPr>
              <w:rFonts w:ascii="Cambria Math" w:hAnsi="Cambria Math"/>
            </w:rPr>
            <m:t>2</m:t>
          </m:r>
          <m:r>
            <m:rPr>
              <m:sty m:val="p"/>
            </m:rPr>
            <w:rPr>
              <w:rFonts w:hint="eastAsia" w:ascii="Cambria Math" w:hAnsi="Cambria Math" w:eastAsia="MS Gothic" w:cs="MS Gothic"/>
            </w:rPr>
            <m:t>∗</m:t>
          </m:r>
          <m:r>
            <m:rPr>
              <m:sty m:val="p"/>
            </m:rPr>
            <w:rPr>
              <w:rFonts w:ascii="Cambria Math" w:hAnsi="Cambria Math"/>
            </w:rPr>
            <m:t>Y</m:t>
          </m:r>
          <m:r>
            <m:rPr>
              <m:sty m:val="p"/>
            </m:rPr>
            <w:rPr>
              <w:rFonts w:hint="eastAsia" w:ascii="Cambria Math" w:hAnsi="Cambria Math" w:eastAsia="MS Gothic" w:cs="MS Gothic"/>
            </w:rPr>
            <m:t>∗</m:t>
          </m:r>
          <m:r>
            <m:rPr>
              <m:sty m:val="p"/>
            </m:rPr>
            <w:rPr>
              <w:rFonts w:ascii="Cambria Math" w:hAnsi="Cambria Math"/>
            </w:rPr>
            <m:t>S</m:t>
          </m:r>
          <m:r>
            <m:rPr>
              <m:sty m:val="p"/>
            </m:rPr>
            <w:rPr>
              <w:rFonts w:hint="eastAsia" w:ascii="Cambria Math" w:hAnsi="Cambria Math" w:eastAsia="MS Gothic" w:cs="MS Gothic"/>
            </w:rPr>
            <m:t>∗</m:t>
          </m:r>
          <m:sSup>
            <m:sSupPr>
              <m:ctrlPr>
                <w:rPr>
                  <w:rFonts w:ascii="Cambria Math" w:hAnsi="Cambria Math"/>
                </w:rPr>
              </m:ctrlPr>
            </m:sSupPr>
            <m:e>
              <m:r>
                <m:rPr/>
                <w:rPr>
                  <w:rFonts w:ascii="Cambria Math" w:hAnsi="Cambria Math"/>
                </w:rPr>
                <m:t>10</m:t>
              </m:r>
              <m:ctrlPr>
                <w:rPr>
                  <w:rFonts w:ascii="Cambria Math" w:hAnsi="Cambria Math"/>
                </w:rPr>
              </m:ctrlPr>
            </m:e>
            <m:sup>
              <m:r>
                <m:rPr/>
                <w:rPr>
                  <w:rFonts w:hint="eastAsia" w:ascii="Cambria Math" w:hAnsi="Cambria Math" w:eastAsia="微软雅黑" w:cs="微软雅黑"/>
                </w:rPr>
                <m:t>−</m:t>
              </m:r>
              <m:r>
                <m:rPr/>
                <w:rPr>
                  <w:rFonts w:ascii="Cambria Math" w:hAnsi="Cambria Math"/>
                </w:rPr>
                <m:t>9</m:t>
              </m:r>
              <m:ctrlPr>
                <w:rPr>
                  <w:rFonts w:ascii="Cambria Math" w:hAnsi="Cambria Math"/>
                </w:rPr>
              </m:ctrlPr>
            </m:sup>
          </m:sSup>
        </m:oMath>
      </m:oMathPara>
    </w:p>
    <w:p>
      <w:pPr>
        <w:ind w:firstLine="480"/>
      </w:pPr>
      <w:r>
        <w:rPr>
          <w:rFonts w:hint="eastAsia"/>
        </w:rPr>
        <w:t>式中，E——SO</w:t>
      </w:r>
      <w:r>
        <w:rPr>
          <w:rFonts w:hint="eastAsia"/>
          <w:vertAlign w:val="subscript"/>
        </w:rPr>
        <w:t>2</w:t>
      </w:r>
      <w:r>
        <w:rPr>
          <w:rFonts w:hint="eastAsia"/>
        </w:rPr>
        <w:t>排放总量，t；</w:t>
      </w:r>
    </w:p>
    <w:p>
      <w:pPr>
        <w:ind w:firstLine="480"/>
      </w:pPr>
      <w:r>
        <w:rPr>
          <w:rFonts w:hint="eastAsia"/>
        </w:rPr>
        <w:t>Y——燃油消耗量，kg；</w:t>
      </w:r>
    </w:p>
    <w:p>
      <w:pPr>
        <w:ind w:firstLine="480"/>
        <w:rPr>
          <w:kern w:val="0"/>
        </w:rPr>
      </w:pPr>
      <w:r>
        <w:rPr>
          <w:kern w:val="0"/>
        </w:rPr>
        <w:t>S</w:t>
      </w:r>
      <w:r>
        <w:rPr>
          <w:rFonts w:hint="eastAsia" w:ascii="宋体" w:hAnsi="宋体"/>
          <w:kern w:val="0"/>
        </w:rPr>
        <w:t>——燃油硫含量，</w:t>
      </w:r>
      <w:r>
        <w:rPr>
          <w:kern w:val="0"/>
        </w:rPr>
        <w:t>mg/kg</w:t>
      </w:r>
      <w:r>
        <w:rPr>
          <w:rFonts w:hint="eastAsia" w:ascii="宋体" w:hAnsi="宋体"/>
          <w:kern w:val="0"/>
        </w:rPr>
        <w:t>，柴油含量宜采用实测值，如无实测值，可采取</w:t>
      </w:r>
      <w:r>
        <w:rPr>
          <w:kern w:val="0"/>
        </w:rPr>
        <w:t>10mg/kg。</w:t>
      </w:r>
    </w:p>
    <w:p>
      <w:pPr>
        <w:ind w:firstLine="480"/>
        <w:rPr>
          <w:kern w:val="0"/>
        </w:rPr>
      </w:pPr>
      <w:r>
        <w:rPr>
          <w:rFonts w:hint="eastAsia"/>
          <w:kern w:val="0"/>
        </w:rPr>
        <w:t>则</w:t>
      </w:r>
      <w:r>
        <w:rPr>
          <w:kern w:val="0"/>
        </w:rPr>
        <w:t>SO</w:t>
      </w:r>
      <w:r>
        <w:rPr>
          <w:kern w:val="0"/>
          <w:vertAlign w:val="subscript"/>
        </w:rPr>
        <w:t>2</w:t>
      </w:r>
      <w:r>
        <w:rPr>
          <w:kern w:val="0"/>
        </w:rPr>
        <w:t>排放量=2×</w:t>
      </w:r>
      <w:r>
        <w:rPr>
          <w:rFonts w:hint="eastAsia"/>
          <w:kern w:val="0"/>
        </w:rPr>
        <w:t>4.763</w:t>
      </w:r>
      <w:r>
        <w:rPr>
          <w:kern w:val="0"/>
        </w:rPr>
        <w:t>×10</w:t>
      </w:r>
      <w:r>
        <w:rPr>
          <w:kern w:val="0"/>
          <w:vertAlign w:val="superscript"/>
        </w:rPr>
        <w:t>3</w:t>
      </w:r>
      <w:r>
        <w:rPr>
          <w:kern w:val="0"/>
        </w:rPr>
        <w:t>×10×10</w:t>
      </w:r>
      <w:r>
        <w:rPr>
          <w:kern w:val="0"/>
          <w:vertAlign w:val="superscript"/>
        </w:rPr>
        <w:t>-9</w:t>
      </w:r>
      <w:r>
        <w:rPr>
          <w:kern w:val="0"/>
        </w:rPr>
        <w:t>×10</w:t>
      </w:r>
      <w:r>
        <w:rPr>
          <w:kern w:val="0"/>
          <w:vertAlign w:val="superscript"/>
        </w:rPr>
        <w:t>3</w:t>
      </w:r>
      <w:r>
        <w:rPr>
          <w:kern w:val="0"/>
        </w:rPr>
        <w:t>＝</w:t>
      </w:r>
      <w:r>
        <w:rPr>
          <w:rFonts w:hint="eastAsia"/>
          <w:kern w:val="0"/>
        </w:rPr>
        <w:t>0.095</w:t>
      </w:r>
      <w:r>
        <w:rPr>
          <w:kern w:val="0"/>
        </w:rPr>
        <w:t>kg/a。</w:t>
      </w:r>
    </w:p>
    <w:p>
      <w:pPr>
        <w:ind w:firstLine="480"/>
        <w:rPr>
          <w:kern w:val="0"/>
        </w:rPr>
      </w:pPr>
      <w:r>
        <w:rPr>
          <w:rFonts w:hint="eastAsia" w:ascii="宋体" w:hAnsi="宋体"/>
          <w:kern w:val="0"/>
        </w:rPr>
        <w:t>根据《港口工程大气污染物排放清单编制技术指南  第1部分：集装箱码头》，</w:t>
      </w:r>
      <w:r>
        <w:rPr>
          <w:rFonts w:hint="eastAsia"/>
        </w:rPr>
        <w:t>水平运输车辆和进入港区的集疏运卡车大气污染物</w:t>
      </w:r>
      <w:r>
        <w:rPr>
          <w:rFonts w:hint="eastAsia"/>
          <w:kern w:val="0"/>
        </w:rPr>
        <w:t>CO、HC、</w:t>
      </w:r>
      <w:r>
        <w:rPr>
          <w:kern w:val="0"/>
        </w:rPr>
        <w:t>NOx</w:t>
      </w:r>
      <w:r>
        <w:rPr>
          <w:rFonts w:hint="eastAsia"/>
          <w:kern w:val="0"/>
        </w:rPr>
        <w:t>、PM</w:t>
      </w:r>
      <w:r>
        <w:rPr>
          <w:rFonts w:hint="eastAsia"/>
          <w:kern w:val="0"/>
          <w:vertAlign w:val="subscript"/>
        </w:rPr>
        <w:t>10</w:t>
      </w:r>
      <w:r>
        <w:rPr>
          <w:rFonts w:hint="eastAsia"/>
          <w:kern w:val="0"/>
        </w:rPr>
        <w:t>、PM</w:t>
      </w:r>
      <w:r>
        <w:rPr>
          <w:rFonts w:hint="eastAsia"/>
          <w:kern w:val="0"/>
          <w:vertAlign w:val="subscript"/>
        </w:rPr>
        <w:t>2.5</w:t>
      </w:r>
      <w:r>
        <w:rPr>
          <w:kern w:val="0"/>
        </w:rPr>
        <w:t>的排放量按照燃料消耗法计算时，可采用以下公式：</w:t>
      </w:r>
    </w:p>
    <w:p>
      <w:pPr>
        <w:ind w:firstLine="480"/>
        <w:rPr>
          <w:rFonts w:ascii="宋体" w:hAnsi="宋体"/>
          <w:kern w:val="0"/>
        </w:rPr>
      </w:pPr>
      <m:oMathPara>
        <m:oMath>
          <m:sSub>
            <m:sSubPr>
              <m:ctrlPr>
                <w:rPr>
                  <w:rFonts w:ascii="Cambria Math" w:hAnsi="Cambria Math"/>
                  <w:kern w:val="0"/>
                </w:rPr>
              </m:ctrlPr>
            </m:sSubPr>
            <m:e>
              <m:r>
                <m:rPr/>
                <w:rPr>
                  <w:rFonts w:ascii="Cambria Math" w:hAnsi="Cambria Math"/>
                  <w:kern w:val="0"/>
                </w:rPr>
                <m:t>E</m:t>
              </m:r>
              <m:ctrlPr>
                <w:rPr>
                  <w:rFonts w:ascii="Cambria Math" w:hAnsi="Cambria Math"/>
                  <w:kern w:val="0"/>
                </w:rPr>
              </m:ctrlPr>
            </m:e>
            <m:sub>
              <m:r>
                <m:rPr/>
                <w:rPr>
                  <w:rFonts w:ascii="Cambria Math" w:hAnsi="Cambria Math"/>
                  <w:kern w:val="0"/>
                </w:rPr>
                <m:t>i</m:t>
              </m:r>
              <m:ctrlPr>
                <w:rPr>
                  <w:rFonts w:ascii="Cambria Math" w:hAnsi="Cambria Math"/>
                  <w:kern w:val="0"/>
                </w:rPr>
              </m:ctrlPr>
            </m:sub>
          </m:sSub>
          <m:r>
            <m:rPr/>
            <w:rPr>
              <w:rFonts w:hint="eastAsia" w:ascii="Cambria Math" w:hAnsi="Cambria Math"/>
              <w:kern w:val="0"/>
            </w:rPr>
            <m:t>=</m:t>
          </m:r>
          <m:nary>
            <m:naryPr>
              <m:chr m:val="∑"/>
              <m:limLoc m:val="subSup"/>
              <m:supHide m:val="1"/>
              <m:ctrlPr>
                <w:rPr>
                  <w:rFonts w:ascii="Cambria Math" w:hAnsi="Cambria Math"/>
                  <w:i/>
                  <w:kern w:val="0"/>
                </w:rPr>
              </m:ctrlPr>
            </m:naryPr>
            <m:sub>
              <m:r>
                <m:rPr/>
                <w:rPr>
                  <w:rFonts w:ascii="Cambria Math" w:hAnsi="Cambria Math"/>
                  <w:kern w:val="0"/>
                </w:rPr>
                <m:t>j</m:t>
              </m:r>
              <m:ctrlPr>
                <w:rPr>
                  <w:rFonts w:ascii="Cambria Math" w:hAnsi="Cambria Math"/>
                  <w:i/>
                  <w:kern w:val="0"/>
                </w:rPr>
              </m:ctrlPr>
            </m:sub>
            <m:sup>
              <m:ctrlPr>
                <w:rPr>
                  <w:rFonts w:ascii="Cambria Math" w:hAnsi="Cambria Math"/>
                  <w:i/>
                  <w:kern w:val="0"/>
                </w:rPr>
              </m:ctrlPr>
            </m:sup>
            <m:e>
              <m:nary>
                <m:naryPr>
                  <m:chr m:val="∑"/>
                  <m:limLoc m:val="subSup"/>
                  <m:supHide m:val="1"/>
                  <m:ctrlPr>
                    <w:rPr>
                      <w:rFonts w:ascii="Cambria Math" w:hAnsi="Cambria Math"/>
                      <w:i/>
                      <w:kern w:val="0"/>
                    </w:rPr>
                  </m:ctrlPr>
                </m:naryPr>
                <m:sub>
                  <m:r>
                    <m:rPr/>
                    <w:rPr>
                      <w:rFonts w:ascii="Cambria Math" w:hAnsi="Cambria Math"/>
                      <w:kern w:val="0"/>
                    </w:rPr>
                    <m:t>k</m:t>
                  </m:r>
                  <m:ctrlPr>
                    <w:rPr>
                      <w:rFonts w:ascii="Cambria Math" w:hAnsi="Cambria Math"/>
                      <w:i/>
                      <w:kern w:val="0"/>
                    </w:rPr>
                  </m:ctrlPr>
                </m:sub>
                <m:sup>
                  <m:ctrlPr>
                    <w:rPr>
                      <w:rFonts w:ascii="Cambria Math" w:hAnsi="Cambria Math"/>
                      <w:i/>
                      <w:kern w:val="0"/>
                    </w:rPr>
                  </m:ctrlPr>
                </m:sup>
                <m:e>
                  <m:r>
                    <m:rPr/>
                    <w:rPr>
                      <w:rFonts w:ascii="Cambria Math" w:hAnsi="Cambria Math"/>
                      <w:kern w:val="0"/>
                    </w:rPr>
                    <m:t>Po</m:t>
                  </m:r>
                  <m:sSub>
                    <m:sSubPr>
                      <m:ctrlPr>
                        <w:rPr>
                          <w:rFonts w:ascii="Cambria Math" w:hAnsi="Cambria Math"/>
                          <w:i/>
                          <w:kern w:val="0"/>
                        </w:rPr>
                      </m:ctrlPr>
                    </m:sSubPr>
                    <m:e>
                      <m:r>
                        <m:rPr>
                          <m:scr m:val="fraktur"/>
                        </m:rPr>
                        <w:rPr>
                          <w:rFonts w:ascii="Cambria Math" w:hAnsi="Cambria Math"/>
                          <w:kern w:val="0"/>
                        </w:rPr>
                        <m:t>p</m:t>
                      </m:r>
                      <m:ctrlPr>
                        <w:rPr>
                          <w:rFonts w:ascii="Cambria Math" w:hAnsi="Cambria Math"/>
                          <w:i/>
                          <w:kern w:val="0"/>
                        </w:rPr>
                      </m:ctrlPr>
                    </m:e>
                    <m:sub>
                      <m:r>
                        <m:rPr/>
                        <w:rPr>
                          <w:rFonts w:ascii="Cambria Math" w:hAnsi="Cambria Math"/>
                          <w:kern w:val="0"/>
                        </w:rPr>
                        <m:t>j,k</m:t>
                      </m:r>
                      <m:ctrlPr>
                        <w:rPr>
                          <w:rFonts w:ascii="Cambria Math" w:hAnsi="Cambria Math"/>
                          <w:i/>
                          <w:kern w:val="0"/>
                        </w:rPr>
                      </m:ctrlPr>
                    </m:sub>
                  </m:sSub>
                  <m:ctrlPr>
                    <w:rPr>
                      <w:rFonts w:ascii="Cambria Math" w:hAnsi="Cambria Math"/>
                      <w:i/>
                      <w:kern w:val="0"/>
                    </w:rPr>
                  </m:ctrlPr>
                </m:e>
              </m:nary>
              <m:ctrlPr>
                <w:rPr>
                  <w:rFonts w:ascii="Cambria Math" w:hAnsi="Cambria Math"/>
                  <w:i/>
                  <w:kern w:val="0"/>
                </w:rPr>
              </m:ctrlPr>
            </m:e>
          </m:nary>
          <m:r>
            <m:rPr/>
            <w:rPr>
              <w:rFonts w:ascii="Cambria Math" w:hAnsi="Cambria Math"/>
              <w:kern w:val="0"/>
            </w:rPr>
            <m:t>×</m:t>
          </m:r>
          <m:sSub>
            <m:sSubPr>
              <m:ctrlPr>
                <w:rPr>
                  <w:rFonts w:ascii="Cambria Math" w:hAnsi="Cambria Math"/>
                  <w:i/>
                  <w:kern w:val="0"/>
                </w:rPr>
              </m:ctrlPr>
            </m:sSubPr>
            <m:e>
              <m:r>
                <m:rPr/>
                <w:rPr>
                  <w:rFonts w:ascii="Cambria Math" w:hAnsi="Cambria Math"/>
                  <w:kern w:val="0"/>
                </w:rPr>
                <m:t>FC</m:t>
              </m:r>
              <m:ctrlPr>
                <w:rPr>
                  <w:rFonts w:ascii="Cambria Math" w:hAnsi="Cambria Math"/>
                  <w:i/>
                  <w:kern w:val="0"/>
                </w:rPr>
              </m:ctrlPr>
            </m:e>
            <m:sub>
              <m:r>
                <m:rPr/>
                <w:rPr>
                  <w:rFonts w:ascii="Cambria Math" w:hAnsi="Cambria Math"/>
                  <w:kern w:val="0"/>
                </w:rPr>
                <m:t>j,k</m:t>
              </m:r>
              <m:ctrlPr>
                <w:rPr>
                  <w:rFonts w:ascii="Cambria Math" w:hAnsi="Cambria Math"/>
                  <w:i/>
                  <w:kern w:val="0"/>
                </w:rPr>
              </m:ctrlPr>
            </m:sub>
          </m:sSub>
          <m:r>
            <m:rPr/>
            <w:rPr>
              <w:rFonts w:ascii="Cambria Math" w:hAnsi="Cambria Math"/>
              <w:kern w:val="0"/>
            </w:rPr>
            <m:t>×</m:t>
          </m:r>
          <m:sSub>
            <m:sSubPr>
              <m:ctrlPr>
                <w:rPr>
                  <w:rFonts w:ascii="Cambria Math" w:hAnsi="Cambria Math"/>
                  <w:i/>
                  <w:kern w:val="0"/>
                </w:rPr>
              </m:ctrlPr>
            </m:sSubPr>
            <m:e>
              <m:r>
                <m:rPr/>
                <w:rPr>
                  <w:rFonts w:ascii="Cambria Math" w:hAnsi="Cambria Math"/>
                  <w:kern w:val="0"/>
                </w:rPr>
                <m:t>ρ</m:t>
              </m:r>
              <m:ctrlPr>
                <w:rPr>
                  <w:rFonts w:ascii="Cambria Math" w:hAnsi="Cambria Math"/>
                  <w:i/>
                  <w:kern w:val="0"/>
                </w:rPr>
              </m:ctrlPr>
            </m:e>
            <m:sub>
              <m:r>
                <m:rPr/>
                <w:rPr>
                  <w:rFonts w:ascii="Cambria Math" w:hAnsi="Cambria Math"/>
                  <w:kern w:val="0"/>
                </w:rPr>
                <m:t>j</m:t>
              </m:r>
              <m:ctrlPr>
                <w:rPr>
                  <w:rFonts w:ascii="Cambria Math" w:hAnsi="Cambria Math"/>
                  <w:i/>
                  <w:kern w:val="0"/>
                </w:rPr>
              </m:ctrlPr>
            </m:sub>
          </m:sSub>
          <m:r>
            <m:rPr/>
            <w:rPr>
              <w:rFonts w:ascii="Cambria Math" w:hAnsi="Cambria Math"/>
              <w:kern w:val="0"/>
            </w:rPr>
            <m:t>×</m:t>
          </m:r>
          <m:sSub>
            <m:sSubPr>
              <m:ctrlPr>
                <w:rPr>
                  <w:rFonts w:ascii="Cambria Math" w:hAnsi="Cambria Math"/>
                  <w:i/>
                  <w:kern w:val="0"/>
                </w:rPr>
              </m:ctrlPr>
            </m:sSubPr>
            <m:e>
              <m:r>
                <m:rPr/>
                <w:rPr>
                  <w:rFonts w:ascii="Cambria Math" w:hAnsi="Cambria Math"/>
                  <w:kern w:val="0"/>
                </w:rPr>
                <m:t>FEF</m:t>
              </m:r>
              <m:ctrlPr>
                <w:rPr>
                  <w:rFonts w:ascii="Cambria Math" w:hAnsi="Cambria Math"/>
                  <w:i/>
                  <w:kern w:val="0"/>
                </w:rPr>
              </m:ctrlPr>
            </m:e>
            <m:sub>
              <m:r>
                <m:rPr/>
                <w:rPr>
                  <w:rFonts w:ascii="Cambria Math" w:hAnsi="Cambria Math"/>
                  <w:kern w:val="0"/>
                </w:rPr>
                <m:t>i,j,k</m:t>
              </m:r>
              <m:ctrlPr>
                <w:rPr>
                  <w:rFonts w:ascii="Cambria Math" w:hAnsi="Cambria Math"/>
                  <w:i/>
                  <w:kern w:val="0"/>
                </w:rPr>
              </m:ctrlPr>
            </m:sub>
          </m:sSub>
          <m:r>
            <m:rPr/>
            <w:rPr>
              <w:rFonts w:ascii="Cambria Math" w:hAnsi="Cambria Math"/>
              <w:kern w:val="0"/>
            </w:rPr>
            <m:t>×</m:t>
          </m:r>
          <m:sSup>
            <m:sSupPr>
              <m:ctrlPr>
                <w:rPr>
                  <w:rFonts w:ascii="Cambria Math" w:hAnsi="Cambria Math"/>
                  <w:i/>
                  <w:kern w:val="0"/>
                </w:rPr>
              </m:ctrlPr>
            </m:sSupPr>
            <m:e>
              <m:r>
                <m:rPr/>
                <w:rPr>
                  <w:rFonts w:ascii="Cambria Math" w:hAnsi="Cambria Math"/>
                  <w:kern w:val="0"/>
                </w:rPr>
                <m:t>10</m:t>
              </m:r>
              <m:ctrlPr>
                <w:rPr>
                  <w:rFonts w:ascii="Cambria Math" w:hAnsi="Cambria Math"/>
                  <w:i/>
                  <w:kern w:val="0"/>
                </w:rPr>
              </m:ctrlPr>
            </m:e>
            <m:sup>
              <m:r>
                <m:rPr/>
                <w:rPr>
                  <w:rFonts w:hint="eastAsia" w:ascii="Cambria Math" w:hAnsi="Cambria Math" w:eastAsia="微软雅黑" w:cs="微软雅黑"/>
                  <w:kern w:val="0"/>
                </w:rPr>
                <m:t>−</m:t>
              </m:r>
              <m:r>
                <m:rPr/>
                <w:rPr>
                  <w:rFonts w:ascii="Cambria Math" w:hAnsi="Cambria Math"/>
                  <w:kern w:val="0"/>
                </w:rPr>
                <m:t>6</m:t>
              </m:r>
              <m:ctrlPr>
                <w:rPr>
                  <w:rFonts w:ascii="Cambria Math" w:hAnsi="Cambria Math"/>
                  <w:i/>
                  <w:kern w:val="0"/>
                </w:rPr>
              </m:ctrlPr>
            </m:sup>
          </m:sSup>
        </m:oMath>
      </m:oMathPara>
    </w:p>
    <w:p>
      <w:pPr>
        <w:ind w:firstLine="480"/>
        <w:rPr>
          <w:kern w:val="0"/>
        </w:rPr>
      </w:pPr>
      <w:r>
        <w:rPr>
          <w:rFonts w:hint="eastAsia"/>
        </w:rPr>
        <w:t>式中：</w:t>
      </w:r>
      <m:oMath>
        <m:sSub>
          <m:sSubPr>
            <m:ctrlPr>
              <w:rPr>
                <w:rFonts w:ascii="Cambria Math" w:hAnsi="Cambria Math"/>
                <w:kern w:val="0"/>
              </w:rPr>
            </m:ctrlPr>
          </m:sSubPr>
          <m:e>
            <m:r>
              <m:rPr/>
              <w:rPr>
                <w:rFonts w:ascii="Cambria Math" w:hAnsi="Cambria Math"/>
                <w:kern w:val="0"/>
              </w:rPr>
              <m:t>E</m:t>
            </m:r>
            <m:ctrlPr>
              <w:rPr>
                <w:rFonts w:ascii="Cambria Math" w:hAnsi="Cambria Math"/>
                <w:kern w:val="0"/>
              </w:rPr>
            </m:ctrlPr>
          </m:e>
          <m:sub>
            <m:r>
              <m:rPr/>
              <w:rPr>
                <w:rFonts w:ascii="Cambria Math" w:hAnsi="Cambria Math"/>
                <w:kern w:val="0"/>
              </w:rPr>
              <m:t>i</m:t>
            </m:r>
            <m:ctrlPr>
              <w:rPr>
                <w:rFonts w:ascii="Cambria Math" w:hAnsi="Cambria Math"/>
                <w:kern w:val="0"/>
              </w:rPr>
            </m:ctrlPr>
          </m:sub>
        </m:sSub>
      </m:oMath>
      <w:r>
        <w:rPr>
          <w:rFonts w:hint="eastAsia"/>
          <w:kern w:val="0"/>
        </w:rPr>
        <w:t>——水平运输车辆和进入港区的集疏运卡车第i种污染物的排放总量，（t）；</w:t>
      </w:r>
    </w:p>
    <w:p>
      <w:pPr>
        <w:ind w:firstLine="480"/>
        <w:rPr>
          <w:kern w:val="0"/>
        </w:rPr>
      </w:pPr>
      <m:oMath>
        <m:r>
          <m:rPr/>
          <w:rPr>
            <w:rFonts w:ascii="Cambria Math" w:hAnsi="Cambria Math"/>
            <w:kern w:val="0"/>
          </w:rPr>
          <m:t>Po</m:t>
        </m:r>
        <m:r>
          <m:rPr>
            <m:scr m:val="fraktur"/>
          </m:rPr>
          <w:rPr>
            <w:rFonts w:ascii="Cambria Math" w:hAnsi="Cambria Math"/>
            <w:kern w:val="0"/>
          </w:rPr>
          <m:t>p</m:t>
        </m:r>
      </m:oMath>
      <w:r>
        <w:rPr>
          <w:rFonts w:hint="eastAsia"/>
          <w:kern w:val="0"/>
        </w:rPr>
        <w:t>——</w:t>
      </w:r>
      <w:r>
        <w:rPr>
          <w:rFonts w:hint="eastAsia"/>
        </w:rPr>
        <w:t>某种水平运输车辆或集疏运卡车的</w:t>
      </w:r>
      <w:r>
        <w:rPr>
          <w:rFonts w:hint="eastAsia"/>
          <w:kern w:val="0"/>
        </w:rPr>
        <w:t>数量，（辆）；</w:t>
      </w:r>
    </w:p>
    <w:p>
      <w:pPr>
        <w:ind w:firstLine="480"/>
      </w:pPr>
      <w:r>
        <w:rPr>
          <w:rFonts w:hint="eastAsia"/>
        </w:rPr>
        <w:t>FC——某种水平运输车辆或集疏运卡车燃料消耗量，（L）；</w:t>
      </w:r>
    </w:p>
    <w:p>
      <w:pPr>
        <w:ind w:firstLine="480"/>
        <w:rPr>
          <w:rFonts w:ascii="宋体" w:hAnsi="宋体"/>
          <w:kern w:val="0"/>
        </w:rPr>
      </w:pPr>
      <w:r>
        <w:rPr>
          <w:kern w:val="0"/>
        </w:rPr>
        <w:t>ρ</w:t>
      </w:r>
      <w:r>
        <w:rPr>
          <w:rFonts w:hint="eastAsia" w:ascii="宋体" w:hAnsi="宋体"/>
          <w:kern w:val="0"/>
        </w:rPr>
        <w:t>——燃料密度（</w:t>
      </w:r>
      <w:r>
        <w:rPr>
          <w:kern w:val="0"/>
        </w:rPr>
        <w:t>kg/L</w:t>
      </w:r>
      <w:r>
        <w:rPr>
          <w:rFonts w:hint="eastAsia" w:ascii="宋体" w:hAnsi="宋体"/>
          <w:kern w:val="0"/>
        </w:rPr>
        <w:t>），其中柴油的密度可取</w:t>
      </w:r>
      <w:r>
        <w:rPr>
          <w:kern w:val="0"/>
        </w:rPr>
        <w:t>0.84kg/L</w:t>
      </w:r>
      <w:r>
        <w:rPr>
          <w:rFonts w:hint="eastAsia"/>
          <w:kern w:val="0"/>
        </w:rPr>
        <w:t>，液化天然气的密度可取0.44</w:t>
      </w:r>
      <w:r>
        <w:rPr>
          <w:kern w:val="0"/>
        </w:rPr>
        <w:t>kg/L</w:t>
      </w:r>
      <w:r>
        <w:rPr>
          <w:rFonts w:hint="eastAsia" w:ascii="宋体" w:hAnsi="宋体"/>
          <w:kern w:val="0"/>
        </w:rPr>
        <w:t>；</w:t>
      </w:r>
    </w:p>
    <w:p>
      <w:pPr>
        <w:ind w:firstLine="480"/>
        <w:rPr>
          <w:kern w:val="0"/>
        </w:rPr>
      </w:pPr>
      <w:r>
        <w:rPr>
          <w:rFonts w:hint="eastAsia"/>
          <w:kern w:val="0"/>
        </w:rPr>
        <w:t>F</w:t>
      </w:r>
      <w:r>
        <w:rPr>
          <w:kern w:val="0"/>
        </w:rPr>
        <w:t>EF——</w:t>
      </w:r>
      <w:r>
        <w:rPr>
          <w:rFonts w:hint="eastAsia"/>
        </w:rPr>
        <w:t>某种水平运输车辆或集疏运卡车</w:t>
      </w:r>
      <w:r>
        <w:rPr>
          <w:kern w:val="0"/>
        </w:rPr>
        <w:t>燃料消</w:t>
      </w:r>
      <w:r>
        <w:rPr>
          <w:rFonts w:hint="eastAsia"/>
          <w:kern w:val="0"/>
        </w:rPr>
        <w:t>法</w:t>
      </w:r>
      <w:r>
        <w:rPr>
          <w:kern w:val="0"/>
        </w:rPr>
        <w:t>的排放因子，（g/kg）；</w:t>
      </w:r>
    </w:p>
    <w:p>
      <w:pPr>
        <w:ind w:firstLine="480"/>
      </w:pPr>
      <w:r>
        <w:rPr>
          <w:rFonts w:hint="eastAsia"/>
        </w:rPr>
        <w:t>i——污染物种类，分别CO、HC、NOx、PM</w:t>
      </w:r>
      <w:r>
        <w:rPr>
          <w:rFonts w:hint="eastAsia"/>
          <w:vertAlign w:val="subscript"/>
        </w:rPr>
        <w:t>10</w:t>
      </w:r>
      <w:r>
        <w:rPr>
          <w:rFonts w:hint="eastAsia"/>
        </w:rPr>
        <w:t>、PM</w:t>
      </w:r>
      <w:r>
        <w:rPr>
          <w:rFonts w:hint="eastAsia"/>
          <w:vertAlign w:val="subscript"/>
        </w:rPr>
        <w:t>2.5</w:t>
      </w:r>
      <w:r>
        <w:rPr>
          <w:rFonts w:hint="eastAsia"/>
        </w:rPr>
        <w:t>；</w:t>
      </w:r>
    </w:p>
    <w:p>
      <w:pPr>
        <w:ind w:firstLine="480"/>
      </w:pPr>
      <w:r>
        <w:rPr>
          <w:rFonts w:hint="eastAsia"/>
        </w:rPr>
        <w:t>j——水平运输车辆和进入港区的集疏运卡车的燃料种类；</w:t>
      </w:r>
    </w:p>
    <w:p>
      <w:pPr>
        <w:ind w:firstLine="480"/>
      </w:pPr>
      <w:r>
        <w:rPr>
          <w:rFonts w:hint="eastAsia"/>
        </w:rPr>
        <w:t>k——水平运输车辆和进入港区的集疏运卡车的排放标准，分别指国三、国四、国五、国六。</w:t>
      </w:r>
    </w:p>
    <w:p>
      <w:pPr>
        <w:ind w:firstLine="480"/>
      </w:pPr>
      <w:r>
        <w:t>本项目为</w:t>
      </w:r>
      <w:r>
        <w:rPr>
          <w:rFonts w:hint="eastAsia"/>
        </w:rPr>
        <w:t>水泥运输水泥罐车和牵引车为</w:t>
      </w:r>
      <w:r>
        <w:t>重型货车，排放标准为国五，</w:t>
      </w:r>
      <w:r>
        <w:rPr>
          <w:rFonts w:hint="eastAsia"/>
        </w:rPr>
        <w:t>F</w:t>
      </w:r>
      <w:r>
        <w:t>EF</w:t>
      </w:r>
      <w:r>
        <w:rPr>
          <w:rFonts w:hint="eastAsia"/>
        </w:rPr>
        <w:t>参照</w:t>
      </w:r>
      <w:r>
        <w:rPr>
          <w:rFonts w:hint="eastAsia" w:ascii="宋体" w:hAnsi="宋体"/>
          <w:kern w:val="0"/>
        </w:rPr>
        <w:t>《港口工程大气污染物排放清单编制技术指南  第1部分：集装箱码头》</w:t>
      </w:r>
      <w:r>
        <w:rPr>
          <w:kern w:val="0"/>
        </w:rPr>
        <w:t>表B.0.3</w:t>
      </w:r>
      <w:r>
        <w:t xml:space="preserve"> </w:t>
      </w:r>
      <w:r>
        <w:rPr>
          <w:rFonts w:hint="eastAsia"/>
        </w:rPr>
        <w:t>柴油货车燃料消耗法排放因子推荐值</w:t>
      </w:r>
      <w:r>
        <w:t>。</w:t>
      </w:r>
      <w:r>
        <w:rPr>
          <w:rFonts w:hint="eastAsia"/>
        </w:rPr>
        <w:t>则按照燃料消耗法计算各污染物量分别为：</w:t>
      </w:r>
    </w:p>
    <w:p>
      <w:pPr>
        <w:pStyle w:val="2285"/>
        <w:ind w:left="0"/>
      </w:pPr>
      <w:r>
        <w:rPr>
          <w:rFonts w:hint="eastAsia"/>
        </w:rPr>
        <w:t xml:space="preserve"> </w:t>
      </w:r>
      <w:r>
        <w:t xml:space="preserve"> </w:t>
      </w:r>
      <w:r>
        <w:rPr>
          <w:rFonts w:hint="eastAsia"/>
        </w:rPr>
        <w:t>装卸机械及运输车辆尾气各</w:t>
      </w:r>
      <w:r>
        <w:rPr>
          <w:rFonts w:hint="eastAsia" w:cs="Times New Roman"/>
          <w:bCs/>
        </w:rPr>
        <w:t>污染物</w:t>
      </w:r>
      <w:r>
        <w:rPr>
          <w:rFonts w:hint="eastAsia"/>
        </w:rPr>
        <w:t>排放量一览表</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21"/>
        <w:gridCol w:w="2901"/>
        <w:gridCol w:w="2500"/>
        <w:gridCol w:w="226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73" w:type="pct"/>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1562"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排放因子（g/kg）</w:t>
            </w:r>
          </w:p>
        </w:tc>
        <w:tc>
          <w:tcPr>
            <w:tcW w:w="1346"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耗油量（kg）</w:t>
            </w:r>
          </w:p>
        </w:tc>
        <w:tc>
          <w:tcPr>
            <w:tcW w:w="1219"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年排放量（t/a）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73"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CO</w:t>
            </w:r>
          </w:p>
        </w:tc>
        <w:tc>
          <w:tcPr>
            <w:tcW w:w="1562" w:type="pct"/>
            <w:tcBorders>
              <w:tl2br w:val="nil"/>
              <w:tr2bl w:val="nil"/>
            </w:tcBorders>
            <w:shd w:val="clear" w:color="auto" w:fill="auto"/>
            <w:vAlign w:val="center"/>
          </w:tcPr>
          <w:p>
            <w:pPr>
              <w:pStyle w:val="2057"/>
              <w:tabs>
                <w:tab w:val="left" w:pos="480"/>
              </w:tabs>
              <w:spacing w:afterLines="0" w:line="240" w:lineRule="atLeast"/>
              <w:ind w:firstLine="0" w:firstLineChars="0"/>
              <w:rPr>
                <w:sz w:val="21"/>
                <w:szCs w:val="21"/>
              </w:rPr>
            </w:pPr>
            <w:r>
              <w:rPr>
                <w:rFonts w:hint="eastAsia"/>
                <w:sz w:val="21"/>
                <w:szCs w:val="21"/>
              </w:rPr>
              <w:t>5.238</w:t>
            </w:r>
          </w:p>
        </w:tc>
        <w:tc>
          <w:tcPr>
            <w:tcW w:w="1346" w:type="pct"/>
            <w:tcBorders>
              <w:tl2br w:val="nil"/>
              <w:tr2bl w:val="nil"/>
            </w:tcBorders>
            <w:shd w:val="clear" w:color="auto" w:fill="auto"/>
            <w:vAlign w:val="center"/>
          </w:tcPr>
          <w:p>
            <w:pPr>
              <w:pStyle w:val="2057"/>
              <w:tabs>
                <w:tab w:val="left" w:pos="480"/>
              </w:tabs>
              <w:spacing w:afterLines="0" w:line="240" w:lineRule="atLeast"/>
              <w:ind w:firstLine="0" w:firstLineChars="0"/>
              <w:rPr>
                <w:sz w:val="21"/>
                <w:szCs w:val="21"/>
              </w:rPr>
            </w:pPr>
            <w:r>
              <w:rPr>
                <w:rFonts w:hint="eastAsia"/>
                <w:sz w:val="21"/>
                <w:szCs w:val="21"/>
              </w:rPr>
              <w:t>4763</w:t>
            </w:r>
          </w:p>
        </w:tc>
        <w:tc>
          <w:tcPr>
            <w:tcW w:w="2264" w:type="dxa"/>
            <w:tcBorders>
              <w:tl2br w:val="nil"/>
              <w:tr2bl w:val="nil"/>
            </w:tcBorders>
            <w:shd w:val="clear" w:color="auto" w:fill="auto"/>
            <w:vAlign w:val="center"/>
          </w:tcPr>
          <w:p>
            <w:pPr>
              <w:pStyle w:val="2057"/>
              <w:tabs>
                <w:tab w:val="left" w:pos="480"/>
              </w:tabs>
              <w:spacing w:afterLines="0" w:line="240" w:lineRule="atLeast"/>
              <w:ind w:firstLine="0" w:firstLineChars="0"/>
              <w:rPr>
                <w:sz w:val="21"/>
                <w:szCs w:val="21"/>
              </w:rPr>
            </w:pPr>
            <w:r>
              <w:rPr>
                <w:sz w:val="21"/>
                <w:szCs w:val="21"/>
              </w:rPr>
              <w:t>0.03923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73"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NOx</w:t>
            </w:r>
          </w:p>
        </w:tc>
        <w:tc>
          <w:tcPr>
            <w:tcW w:w="1562" w:type="pct"/>
            <w:tcBorders>
              <w:tl2br w:val="nil"/>
              <w:tr2bl w:val="nil"/>
            </w:tcBorders>
            <w:shd w:val="clear" w:color="auto" w:fill="auto"/>
            <w:vAlign w:val="center"/>
          </w:tcPr>
          <w:p>
            <w:pPr>
              <w:pStyle w:val="2057"/>
              <w:tabs>
                <w:tab w:val="left" w:pos="480"/>
              </w:tabs>
              <w:spacing w:afterLines="0" w:line="240" w:lineRule="atLeast"/>
              <w:ind w:firstLine="0" w:firstLineChars="0"/>
              <w:rPr>
                <w:sz w:val="21"/>
                <w:szCs w:val="21"/>
              </w:rPr>
            </w:pPr>
            <w:r>
              <w:rPr>
                <w:rFonts w:hint="eastAsia"/>
                <w:sz w:val="21"/>
                <w:szCs w:val="21"/>
              </w:rPr>
              <w:t>11.240</w:t>
            </w:r>
          </w:p>
        </w:tc>
        <w:tc>
          <w:tcPr>
            <w:tcW w:w="1346" w:type="pct"/>
            <w:tcBorders>
              <w:tl2br w:val="nil"/>
              <w:tr2bl w:val="nil"/>
            </w:tcBorders>
            <w:shd w:val="clear" w:color="auto" w:fill="auto"/>
            <w:vAlign w:val="center"/>
          </w:tcPr>
          <w:p>
            <w:pPr>
              <w:pStyle w:val="2057"/>
              <w:tabs>
                <w:tab w:val="left" w:pos="480"/>
              </w:tabs>
              <w:spacing w:afterLines="0" w:line="240" w:lineRule="atLeast"/>
              <w:ind w:firstLine="0" w:firstLineChars="0"/>
              <w:rPr>
                <w:sz w:val="21"/>
                <w:szCs w:val="21"/>
              </w:rPr>
            </w:pPr>
            <w:r>
              <w:rPr>
                <w:rFonts w:hint="eastAsia"/>
                <w:sz w:val="21"/>
                <w:szCs w:val="21"/>
              </w:rPr>
              <w:t>4763</w:t>
            </w:r>
          </w:p>
        </w:tc>
        <w:tc>
          <w:tcPr>
            <w:tcW w:w="2264" w:type="dxa"/>
            <w:tcBorders>
              <w:tl2br w:val="nil"/>
              <w:tr2bl w:val="nil"/>
            </w:tcBorders>
            <w:shd w:val="clear" w:color="auto" w:fill="auto"/>
            <w:vAlign w:val="center"/>
          </w:tcPr>
          <w:p>
            <w:pPr>
              <w:pStyle w:val="2057"/>
              <w:tabs>
                <w:tab w:val="left" w:pos="480"/>
              </w:tabs>
              <w:spacing w:afterLines="0" w:line="240" w:lineRule="atLeast"/>
              <w:ind w:firstLine="0" w:firstLineChars="0"/>
              <w:rPr>
                <w:sz w:val="21"/>
                <w:szCs w:val="21"/>
              </w:rPr>
            </w:pPr>
            <w:r>
              <w:rPr>
                <w:sz w:val="21"/>
                <w:szCs w:val="21"/>
              </w:rPr>
              <w:t>0.08418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73"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HC</w:t>
            </w:r>
          </w:p>
        </w:tc>
        <w:tc>
          <w:tcPr>
            <w:tcW w:w="1562" w:type="pct"/>
            <w:tcBorders>
              <w:tl2br w:val="nil"/>
              <w:tr2bl w:val="nil"/>
            </w:tcBorders>
            <w:shd w:val="clear" w:color="auto" w:fill="auto"/>
            <w:vAlign w:val="center"/>
          </w:tcPr>
          <w:p>
            <w:pPr>
              <w:pStyle w:val="2057"/>
              <w:tabs>
                <w:tab w:val="left" w:pos="480"/>
              </w:tabs>
              <w:spacing w:afterLines="0" w:line="240" w:lineRule="atLeast"/>
              <w:ind w:firstLine="0" w:firstLineChars="0"/>
              <w:rPr>
                <w:sz w:val="21"/>
                <w:szCs w:val="21"/>
              </w:rPr>
            </w:pPr>
            <w:r>
              <w:rPr>
                <w:rFonts w:hint="eastAsia"/>
                <w:sz w:val="21"/>
                <w:szCs w:val="21"/>
              </w:rPr>
              <w:t>0.307</w:t>
            </w:r>
          </w:p>
        </w:tc>
        <w:tc>
          <w:tcPr>
            <w:tcW w:w="1346" w:type="pct"/>
            <w:tcBorders>
              <w:tl2br w:val="nil"/>
              <w:tr2bl w:val="nil"/>
            </w:tcBorders>
            <w:shd w:val="clear" w:color="auto" w:fill="auto"/>
            <w:vAlign w:val="center"/>
          </w:tcPr>
          <w:p>
            <w:pPr>
              <w:pStyle w:val="2057"/>
              <w:tabs>
                <w:tab w:val="left" w:pos="480"/>
              </w:tabs>
              <w:spacing w:afterLines="0" w:line="240" w:lineRule="atLeast"/>
              <w:ind w:firstLine="0" w:firstLineChars="0"/>
              <w:rPr>
                <w:sz w:val="21"/>
                <w:szCs w:val="21"/>
              </w:rPr>
            </w:pPr>
            <w:r>
              <w:rPr>
                <w:rFonts w:hint="eastAsia"/>
                <w:sz w:val="21"/>
                <w:szCs w:val="21"/>
              </w:rPr>
              <w:t>4763</w:t>
            </w:r>
          </w:p>
        </w:tc>
        <w:tc>
          <w:tcPr>
            <w:tcW w:w="2264" w:type="dxa"/>
            <w:tcBorders>
              <w:tl2br w:val="nil"/>
              <w:tr2bl w:val="nil"/>
            </w:tcBorders>
            <w:shd w:val="clear" w:color="auto" w:fill="auto"/>
            <w:vAlign w:val="center"/>
          </w:tcPr>
          <w:p>
            <w:pPr>
              <w:pStyle w:val="2057"/>
              <w:tabs>
                <w:tab w:val="left" w:pos="480"/>
              </w:tabs>
              <w:spacing w:afterLines="0" w:line="240" w:lineRule="atLeast"/>
              <w:ind w:firstLine="0" w:firstLineChars="0"/>
              <w:rPr>
                <w:sz w:val="21"/>
                <w:szCs w:val="21"/>
              </w:rPr>
            </w:pPr>
            <w:r>
              <w:rPr>
                <w:sz w:val="21"/>
                <w:szCs w:val="21"/>
              </w:rPr>
              <w:t>0.0023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73"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PM</w:t>
            </w:r>
            <w:r>
              <w:rPr>
                <w:rFonts w:hint="eastAsia"/>
                <w:sz w:val="21"/>
                <w:szCs w:val="21"/>
                <w:vertAlign w:val="subscript"/>
              </w:rPr>
              <w:t>10</w:t>
            </w:r>
          </w:p>
        </w:tc>
        <w:tc>
          <w:tcPr>
            <w:tcW w:w="1562" w:type="pct"/>
            <w:tcBorders>
              <w:tl2br w:val="nil"/>
              <w:tr2bl w:val="nil"/>
            </w:tcBorders>
            <w:shd w:val="clear" w:color="auto" w:fill="auto"/>
            <w:vAlign w:val="center"/>
          </w:tcPr>
          <w:p>
            <w:pPr>
              <w:pStyle w:val="2057"/>
              <w:tabs>
                <w:tab w:val="left" w:pos="480"/>
              </w:tabs>
              <w:spacing w:afterLines="0" w:line="240" w:lineRule="atLeast"/>
              <w:ind w:firstLine="0" w:firstLineChars="0"/>
              <w:rPr>
                <w:sz w:val="21"/>
                <w:szCs w:val="21"/>
              </w:rPr>
            </w:pPr>
            <w:r>
              <w:rPr>
                <w:rFonts w:hint="eastAsia"/>
                <w:sz w:val="21"/>
                <w:szCs w:val="21"/>
              </w:rPr>
              <w:t>0.071</w:t>
            </w:r>
          </w:p>
        </w:tc>
        <w:tc>
          <w:tcPr>
            <w:tcW w:w="1346" w:type="pct"/>
            <w:tcBorders>
              <w:tl2br w:val="nil"/>
              <w:tr2bl w:val="nil"/>
            </w:tcBorders>
            <w:shd w:val="clear" w:color="auto" w:fill="auto"/>
            <w:vAlign w:val="center"/>
          </w:tcPr>
          <w:p>
            <w:pPr>
              <w:pStyle w:val="2057"/>
              <w:tabs>
                <w:tab w:val="left" w:pos="480"/>
              </w:tabs>
              <w:spacing w:afterLines="0" w:line="240" w:lineRule="atLeast"/>
              <w:ind w:firstLine="0" w:firstLineChars="0"/>
              <w:rPr>
                <w:sz w:val="21"/>
                <w:szCs w:val="21"/>
              </w:rPr>
            </w:pPr>
            <w:r>
              <w:rPr>
                <w:rFonts w:hint="eastAsia"/>
                <w:sz w:val="21"/>
                <w:szCs w:val="21"/>
              </w:rPr>
              <w:t>4763</w:t>
            </w:r>
          </w:p>
        </w:tc>
        <w:tc>
          <w:tcPr>
            <w:tcW w:w="2264" w:type="dxa"/>
            <w:tcBorders>
              <w:tl2br w:val="nil"/>
              <w:tr2bl w:val="nil"/>
            </w:tcBorders>
            <w:shd w:val="clear" w:color="auto" w:fill="auto"/>
            <w:vAlign w:val="center"/>
          </w:tcPr>
          <w:p>
            <w:pPr>
              <w:pStyle w:val="2057"/>
              <w:tabs>
                <w:tab w:val="left" w:pos="480"/>
              </w:tabs>
              <w:spacing w:afterLines="0" w:line="240" w:lineRule="atLeast"/>
              <w:ind w:firstLine="0" w:firstLineChars="0"/>
              <w:rPr>
                <w:sz w:val="21"/>
                <w:szCs w:val="21"/>
              </w:rPr>
            </w:pPr>
            <w:r>
              <w:rPr>
                <w:sz w:val="21"/>
                <w:szCs w:val="21"/>
              </w:rPr>
              <w:t>0.00053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73"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PM</w:t>
            </w:r>
            <w:r>
              <w:rPr>
                <w:rFonts w:hint="eastAsia"/>
                <w:sz w:val="21"/>
                <w:szCs w:val="21"/>
                <w:vertAlign w:val="subscript"/>
              </w:rPr>
              <w:t>2.5</w:t>
            </w:r>
          </w:p>
        </w:tc>
        <w:tc>
          <w:tcPr>
            <w:tcW w:w="1562" w:type="pct"/>
            <w:tcBorders>
              <w:tl2br w:val="nil"/>
              <w:tr2bl w:val="nil"/>
            </w:tcBorders>
            <w:shd w:val="clear" w:color="auto" w:fill="auto"/>
            <w:vAlign w:val="center"/>
          </w:tcPr>
          <w:p>
            <w:pPr>
              <w:pStyle w:val="2057"/>
              <w:tabs>
                <w:tab w:val="left" w:pos="480"/>
              </w:tabs>
              <w:spacing w:afterLines="0" w:line="240" w:lineRule="atLeast"/>
              <w:ind w:firstLine="0" w:firstLineChars="0"/>
              <w:rPr>
                <w:sz w:val="21"/>
                <w:szCs w:val="21"/>
              </w:rPr>
            </w:pPr>
            <w:r>
              <w:rPr>
                <w:rFonts w:hint="eastAsia"/>
                <w:sz w:val="21"/>
                <w:szCs w:val="21"/>
              </w:rPr>
              <w:t>0.0</w:t>
            </w:r>
            <w:r>
              <w:rPr>
                <w:sz w:val="21"/>
                <w:szCs w:val="21"/>
              </w:rPr>
              <w:t>64</w:t>
            </w:r>
          </w:p>
        </w:tc>
        <w:tc>
          <w:tcPr>
            <w:tcW w:w="1346" w:type="pct"/>
            <w:tcBorders>
              <w:tl2br w:val="nil"/>
              <w:tr2bl w:val="nil"/>
            </w:tcBorders>
            <w:shd w:val="clear" w:color="auto" w:fill="auto"/>
            <w:vAlign w:val="center"/>
          </w:tcPr>
          <w:p>
            <w:pPr>
              <w:pStyle w:val="2057"/>
              <w:tabs>
                <w:tab w:val="left" w:pos="480"/>
              </w:tabs>
              <w:spacing w:afterLines="0" w:line="240" w:lineRule="atLeast"/>
              <w:ind w:firstLine="0" w:firstLineChars="0"/>
              <w:rPr>
                <w:sz w:val="21"/>
                <w:szCs w:val="21"/>
              </w:rPr>
            </w:pPr>
            <w:r>
              <w:rPr>
                <w:rFonts w:hint="eastAsia"/>
                <w:sz w:val="21"/>
                <w:szCs w:val="21"/>
              </w:rPr>
              <w:t>4763</w:t>
            </w:r>
          </w:p>
        </w:tc>
        <w:tc>
          <w:tcPr>
            <w:tcW w:w="2264" w:type="dxa"/>
            <w:tcBorders>
              <w:tl2br w:val="nil"/>
              <w:tr2bl w:val="nil"/>
            </w:tcBorders>
            <w:shd w:val="clear" w:color="auto" w:fill="auto"/>
            <w:vAlign w:val="center"/>
          </w:tcPr>
          <w:p>
            <w:pPr>
              <w:pStyle w:val="2057"/>
              <w:tabs>
                <w:tab w:val="left" w:pos="480"/>
              </w:tabs>
              <w:spacing w:afterLines="0" w:line="240" w:lineRule="atLeast"/>
              <w:ind w:firstLine="0" w:firstLineChars="0"/>
              <w:rPr>
                <w:sz w:val="21"/>
                <w:szCs w:val="21"/>
              </w:rPr>
            </w:pPr>
            <w:r>
              <w:rPr>
                <w:sz w:val="21"/>
                <w:szCs w:val="21"/>
              </w:rPr>
              <w:t>0.00016</w:t>
            </w:r>
          </w:p>
        </w:tc>
      </w:tr>
    </w:tbl>
    <w:p>
      <w:pPr>
        <w:pStyle w:val="466"/>
        <w:ind w:firstLine="502"/>
        <w:rPr>
          <w:rFonts w:cs="Times New Roman"/>
          <w:b/>
          <w:spacing w:val="5"/>
        </w:rPr>
      </w:pPr>
      <w:r>
        <w:rPr>
          <w:rFonts w:hint="eastAsia" w:cs="Times New Roman"/>
          <w:b/>
          <w:spacing w:val="5"/>
        </w:rPr>
        <w:t>（3）装卸起尘</w:t>
      </w:r>
    </w:p>
    <w:p>
      <w:pPr>
        <w:pStyle w:val="466"/>
        <w:ind w:firstLine="500"/>
        <w:rPr>
          <w:rFonts w:cs="Times New Roman"/>
          <w:spacing w:val="5"/>
        </w:rPr>
      </w:pPr>
      <w:r>
        <w:rPr>
          <w:rFonts w:hint="eastAsia" w:cs="Times New Roman"/>
          <w:spacing w:val="5"/>
        </w:rPr>
        <w:t>根据设计单位提供的资料，每个泊位详细的装卸货物类型、装卸方式、装卸量见下表：</w:t>
      </w:r>
    </w:p>
    <w:p>
      <w:pPr>
        <w:pStyle w:val="2285"/>
        <w:ind w:left="0"/>
      </w:pPr>
      <w:r>
        <w:rPr>
          <w:rFonts w:hint="eastAsia"/>
        </w:rPr>
        <w:t xml:space="preserve"> </w:t>
      </w:r>
      <w:r>
        <w:t xml:space="preserve"> </w:t>
      </w:r>
      <w:r>
        <w:rPr>
          <w:rFonts w:hint="eastAsia"/>
        </w:rPr>
        <w:t>泊位</w:t>
      </w:r>
      <w:r>
        <w:rPr>
          <w:rFonts w:hint="eastAsia" w:cs="Times New Roman"/>
          <w:bCs/>
        </w:rPr>
        <w:t>装卸</w:t>
      </w:r>
      <w:r>
        <w:rPr>
          <w:rFonts w:hint="eastAsia"/>
        </w:rPr>
        <w:t>货物一览表</w:t>
      </w:r>
    </w:p>
    <w:tbl>
      <w:tblPr>
        <w:tblStyle w:val="87"/>
        <w:tblW w:w="505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329"/>
        <w:gridCol w:w="687"/>
        <w:gridCol w:w="2873"/>
        <w:gridCol w:w="736"/>
        <w:gridCol w:w="1284"/>
        <w:gridCol w:w="12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34" w:hRule="atLeast"/>
        </w:trPr>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装卸泊位</w:t>
            </w:r>
          </w:p>
        </w:tc>
        <w:tc>
          <w:tcPr>
            <w:tcW w:w="374"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货物形式</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货种</w:t>
            </w:r>
          </w:p>
        </w:tc>
        <w:tc>
          <w:tcPr>
            <w:tcW w:w="4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单位</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进口</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出口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57" w:hRule="atLeast"/>
        </w:trPr>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1#散货出口泊位</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非金属矿石</w:t>
            </w:r>
          </w:p>
        </w:tc>
        <w:tc>
          <w:tcPr>
            <w:tcW w:w="4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150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7" w:hRule="atLeast"/>
        </w:trPr>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1#散货出口泊位</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砂石（全省机制砂水水中转）</w:t>
            </w:r>
          </w:p>
        </w:tc>
        <w:tc>
          <w:tcPr>
            <w:tcW w:w="4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1#散货出口泊位</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砂石（少量河沙水水中转）</w:t>
            </w:r>
          </w:p>
        </w:tc>
        <w:tc>
          <w:tcPr>
            <w:tcW w:w="4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1#散货出口泊位</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铁矿石（水水中转）</w:t>
            </w:r>
          </w:p>
        </w:tc>
        <w:tc>
          <w:tcPr>
            <w:tcW w:w="4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2#、3#散货进口泊位合计</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铁矿石（水水中转）</w:t>
            </w:r>
          </w:p>
        </w:tc>
        <w:tc>
          <w:tcPr>
            <w:tcW w:w="4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50</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2#、3#散货进口泊位合计</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砂石（全省机制砂水水中转）</w:t>
            </w:r>
          </w:p>
        </w:tc>
        <w:tc>
          <w:tcPr>
            <w:tcW w:w="400" w:type="pct"/>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200</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2#、3#散货进口泊位合计</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砂石（少量河沙水水中转）</w:t>
            </w:r>
          </w:p>
        </w:tc>
        <w:tc>
          <w:tcPr>
            <w:tcW w:w="400" w:type="pct"/>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50</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2#、3#散货进口泊位合计</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本地砼加工用骨料</w:t>
            </w:r>
          </w:p>
        </w:tc>
        <w:tc>
          <w:tcPr>
            <w:tcW w:w="400" w:type="pct"/>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450</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4#泊位</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水泥</w:t>
            </w:r>
          </w:p>
        </w:tc>
        <w:tc>
          <w:tcPr>
            <w:tcW w:w="400" w:type="pct"/>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80</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4#、5#泊位合计</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土壤修复剂、复合肥等</w:t>
            </w:r>
          </w:p>
        </w:tc>
        <w:tc>
          <w:tcPr>
            <w:tcW w:w="400" w:type="pct"/>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20</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67"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4#、5#泊位合计</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本地砼加工用骨料</w:t>
            </w:r>
          </w:p>
        </w:tc>
        <w:tc>
          <w:tcPr>
            <w:tcW w:w="400" w:type="pct"/>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250</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1267" w:type="pct"/>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rPr>
              <w:t>6#泊位</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散货</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防汛用砂石料</w:t>
            </w:r>
          </w:p>
        </w:tc>
        <w:tc>
          <w:tcPr>
            <w:tcW w:w="400" w:type="pct"/>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100</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5" w:hRule="atLeast"/>
        </w:trPr>
        <w:tc>
          <w:tcPr>
            <w:tcW w:w="1267" w:type="pct"/>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rPr>
              <w:t>6#泊位</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件杂</w:t>
            </w: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防汛物资</w:t>
            </w:r>
          </w:p>
        </w:tc>
        <w:tc>
          <w:tcPr>
            <w:tcW w:w="400" w:type="pct"/>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rPr>
              <w:t>万吨</w:t>
            </w: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10</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5" w:hRule="atLeast"/>
        </w:trPr>
        <w:tc>
          <w:tcPr>
            <w:tcW w:w="1267" w:type="pct"/>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rPr>
              <w:t>合计</w:t>
            </w:r>
          </w:p>
        </w:tc>
        <w:tc>
          <w:tcPr>
            <w:tcW w:w="374" w:type="pct"/>
            <w:tcBorders>
              <w:tl2br w:val="nil"/>
              <w:tr2bl w:val="nil"/>
            </w:tcBorders>
            <w:noWrap/>
            <w:vAlign w:val="center"/>
          </w:tcPr>
          <w:p>
            <w:pPr>
              <w:pStyle w:val="2057"/>
              <w:tabs>
                <w:tab w:val="left" w:pos="480"/>
              </w:tabs>
              <w:spacing w:afterLines="0" w:line="240" w:lineRule="atLeast"/>
              <w:ind w:firstLine="0" w:firstLineChars="0"/>
              <w:rPr>
                <w:sz w:val="21"/>
                <w:szCs w:val="21"/>
              </w:rPr>
            </w:pPr>
          </w:p>
        </w:tc>
        <w:tc>
          <w:tcPr>
            <w:tcW w:w="1562" w:type="pct"/>
            <w:tcBorders>
              <w:tl2br w:val="nil"/>
              <w:tr2bl w:val="nil"/>
            </w:tcBorders>
            <w:noWrap/>
            <w:vAlign w:val="center"/>
          </w:tcPr>
          <w:p>
            <w:pPr>
              <w:pStyle w:val="2057"/>
              <w:tabs>
                <w:tab w:val="left" w:pos="480"/>
              </w:tabs>
              <w:spacing w:afterLines="0" w:line="240" w:lineRule="atLeast"/>
              <w:ind w:firstLine="0" w:firstLineChars="0"/>
              <w:rPr>
                <w:sz w:val="21"/>
                <w:szCs w:val="21"/>
              </w:rPr>
            </w:pPr>
          </w:p>
        </w:tc>
        <w:tc>
          <w:tcPr>
            <w:tcW w:w="400" w:type="pct"/>
            <w:tcBorders>
              <w:tl2br w:val="nil"/>
              <w:tr2bl w:val="nil"/>
            </w:tcBorders>
          </w:tcPr>
          <w:p>
            <w:pPr>
              <w:pStyle w:val="2057"/>
              <w:tabs>
                <w:tab w:val="left" w:pos="480"/>
              </w:tabs>
              <w:spacing w:afterLines="0" w:line="240" w:lineRule="atLeast"/>
              <w:ind w:firstLine="0" w:firstLineChars="0"/>
              <w:rPr>
                <w:sz w:val="21"/>
                <w:szCs w:val="21"/>
              </w:rPr>
            </w:pPr>
          </w:p>
        </w:tc>
        <w:tc>
          <w:tcPr>
            <w:tcW w:w="69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1210</w:t>
            </w:r>
          </w:p>
        </w:tc>
        <w:tc>
          <w:tcPr>
            <w:tcW w:w="697" w:type="pct"/>
            <w:tcBorders>
              <w:tl2br w:val="nil"/>
              <w:tr2bl w:val="nil"/>
            </w:tcBorders>
            <w:noWrap/>
            <w:vAlign w:val="center"/>
          </w:tcPr>
          <w:p>
            <w:pPr>
              <w:pStyle w:val="2057"/>
              <w:tabs>
                <w:tab w:val="left" w:pos="480"/>
              </w:tabs>
              <w:spacing w:afterLines="0" w:line="240" w:lineRule="atLeast"/>
              <w:ind w:firstLine="0" w:firstLineChars="0"/>
              <w:rPr>
                <w:sz w:val="21"/>
                <w:szCs w:val="21"/>
              </w:rPr>
            </w:pPr>
            <w:r>
              <w:rPr>
                <w:rFonts w:hint="eastAsia"/>
                <w:sz w:val="21"/>
                <w:szCs w:val="21"/>
              </w:rPr>
              <w:t>450</w:t>
            </w:r>
          </w:p>
        </w:tc>
      </w:tr>
    </w:tbl>
    <w:p>
      <w:pPr>
        <w:pStyle w:val="466"/>
        <w:ind w:firstLine="500"/>
        <w:rPr>
          <w:rFonts w:cs="Times New Roman"/>
          <w:spacing w:val="5"/>
        </w:rPr>
      </w:pPr>
      <w:r>
        <w:rPr>
          <w:rFonts w:cs="Times New Roman"/>
          <w:spacing w:val="5"/>
        </w:rPr>
        <w:t>码头散货装卸时，将会产生一部分粉尘，此部分粉尘主要发生在由运货船到抓斗、由卸料料斗到输送机、由装船机到出口运货船的过程。</w:t>
      </w:r>
    </w:p>
    <w:p>
      <w:pPr>
        <w:pStyle w:val="466"/>
        <w:ind w:firstLine="480"/>
        <w:rPr>
          <w:rFonts w:cs="Times New Roman"/>
          <w:szCs w:val="24"/>
        </w:rPr>
      </w:pPr>
      <w:r>
        <w:rPr>
          <w:rFonts w:cs="Times New Roman"/>
          <w:szCs w:val="24"/>
        </w:rPr>
        <w:t>根据</w:t>
      </w:r>
      <w:r>
        <w:rPr>
          <w:rFonts w:hint="eastAsia"/>
        </w:rPr>
        <w:t>《水运工程建设项目环境影响评价指南》（JTS/T105-2021）</w:t>
      </w:r>
      <w:r>
        <w:rPr>
          <w:rFonts w:cs="Times New Roman"/>
          <w:szCs w:val="24"/>
        </w:rPr>
        <w:t>，散货装卸起尘量可按下列公式计算：</w:t>
      </w:r>
    </w:p>
    <w:p>
      <w:pPr>
        <w:pStyle w:val="466"/>
        <w:ind w:firstLine="480"/>
        <w:jc w:val="center"/>
        <w:rPr>
          <w:rFonts w:cs="Times New Roman"/>
          <w:szCs w:val="24"/>
        </w:rPr>
      </w:pPr>
      <w:r>
        <w:rPr>
          <w:rFonts w:cs="Times New Roman"/>
        </w:rPr>
        <w:drawing>
          <wp:inline distT="0" distB="0" distL="0" distR="0">
            <wp:extent cx="2620645" cy="259080"/>
            <wp:effectExtent l="0" t="0" r="8255" b="7620"/>
            <wp:docPr id="2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2620645" cy="259080"/>
                    </a:xfrm>
                    <a:prstGeom prst="rect">
                      <a:avLst/>
                    </a:prstGeom>
                    <a:noFill/>
                    <a:ln>
                      <a:noFill/>
                    </a:ln>
                  </pic:spPr>
                </pic:pic>
              </a:graphicData>
            </a:graphic>
          </wp:inline>
        </w:drawing>
      </w:r>
    </w:p>
    <w:p>
      <w:pPr>
        <w:pStyle w:val="466"/>
        <w:ind w:firstLine="0" w:firstLineChars="0"/>
        <w:rPr>
          <w:rFonts w:cs="Times New Roman"/>
          <w:szCs w:val="24"/>
        </w:rPr>
      </w:pPr>
      <w:r>
        <w:rPr>
          <w:rFonts w:cs="Times New Roman"/>
          <w:szCs w:val="24"/>
        </w:rPr>
        <w:t>式中：Q</w:t>
      </w:r>
      <w:r>
        <w:rPr>
          <w:rFonts w:cs="Times New Roman"/>
          <w:szCs w:val="24"/>
          <w:vertAlign w:val="subscript"/>
        </w:rPr>
        <w:t>2</w:t>
      </w:r>
      <w:r>
        <w:rPr>
          <w:rFonts w:cs="Times New Roman"/>
          <w:szCs w:val="24"/>
        </w:rPr>
        <w:t>——作业起尘量（kg）；</w:t>
      </w:r>
    </w:p>
    <w:p>
      <w:pPr>
        <w:pStyle w:val="466"/>
        <w:ind w:firstLine="840" w:firstLineChars="350"/>
        <w:rPr>
          <w:rFonts w:cs="Times New Roman"/>
          <w:szCs w:val="24"/>
        </w:rPr>
      </w:pPr>
      <w:r>
        <w:rPr>
          <w:rFonts w:cs="Times New Roman"/>
          <w:szCs w:val="24"/>
        </w:rPr>
        <w:t>α——货物类型起尘调节系数，根据（</w:t>
      </w:r>
      <w:r>
        <w:rPr>
          <w:rFonts w:cs="Times New Roman"/>
          <w:bCs/>
          <w:szCs w:val="24"/>
        </w:rPr>
        <w:t>JTS105-2021</w:t>
      </w:r>
      <w:r>
        <w:rPr>
          <w:rFonts w:cs="Times New Roman"/>
          <w:szCs w:val="24"/>
        </w:rPr>
        <w:t>）</w:t>
      </w:r>
      <w:r>
        <w:rPr>
          <w:rFonts w:hint="eastAsia" w:cs="Times New Roman"/>
          <w:szCs w:val="24"/>
        </w:rPr>
        <w:t>表3</w:t>
      </w:r>
      <w:r>
        <w:rPr>
          <w:rFonts w:cs="Times New Roman"/>
          <w:szCs w:val="24"/>
        </w:rPr>
        <w:t>.3.4</w:t>
      </w:r>
      <w:r>
        <w:rPr>
          <w:rFonts w:hint="eastAsia" w:cs="Times New Roman"/>
          <w:szCs w:val="24"/>
        </w:rPr>
        <w:t>-</w:t>
      </w:r>
      <w:r>
        <w:rPr>
          <w:rFonts w:cs="Times New Roman"/>
          <w:szCs w:val="24"/>
        </w:rPr>
        <w:t>1，</w:t>
      </w:r>
      <w:r>
        <w:rPr>
          <w:rFonts w:hint="eastAsia" w:cs="Times New Roman"/>
          <w:szCs w:val="24"/>
        </w:rPr>
        <w:t>矿石、砂石类取0</w:t>
      </w:r>
      <w:r>
        <w:rPr>
          <w:rFonts w:cs="Times New Roman"/>
          <w:szCs w:val="24"/>
        </w:rPr>
        <w:t>.6</w:t>
      </w:r>
      <w:r>
        <w:rPr>
          <w:rFonts w:hint="eastAsia" w:cs="Times New Roman"/>
          <w:szCs w:val="24"/>
        </w:rPr>
        <w:t>，</w:t>
      </w:r>
      <w:r>
        <w:rPr>
          <w:rFonts w:cs="Times New Roman"/>
        </w:rPr>
        <w:t>原煤类一般取</w:t>
      </w:r>
      <w:r>
        <w:rPr>
          <w:rFonts w:cs="Times New Roman"/>
          <w:spacing w:val="-60"/>
        </w:rPr>
        <w:t xml:space="preserve"> </w:t>
      </w:r>
      <w:r>
        <w:rPr>
          <w:rFonts w:cs="Times New Roman"/>
        </w:rPr>
        <w:t>0.8</w:t>
      </w:r>
      <w:r>
        <w:rPr>
          <w:rFonts w:cs="Times New Roman"/>
          <w:szCs w:val="24"/>
        </w:rPr>
        <w:t>；</w:t>
      </w:r>
    </w:p>
    <w:p>
      <w:pPr>
        <w:pStyle w:val="466"/>
        <w:ind w:firstLine="840" w:firstLineChars="350"/>
        <w:rPr>
          <w:rFonts w:cs="Times New Roman"/>
          <w:szCs w:val="24"/>
        </w:rPr>
      </w:pPr>
      <w:r>
        <w:rPr>
          <w:rFonts w:cs="Times New Roman"/>
          <w:szCs w:val="24"/>
        </w:rPr>
        <w:t>β——作业方式系数，装船时β=1</w:t>
      </w:r>
      <w:r>
        <w:rPr>
          <w:rFonts w:hint="eastAsia" w:cs="Times New Roman"/>
          <w:szCs w:val="24"/>
        </w:rPr>
        <w:t>，取料时，</w:t>
      </w:r>
      <w:r>
        <w:rPr>
          <w:rFonts w:cs="Times New Roman"/>
          <w:szCs w:val="24"/>
        </w:rPr>
        <w:t>β=2；</w:t>
      </w:r>
    </w:p>
    <w:p>
      <w:pPr>
        <w:pStyle w:val="466"/>
        <w:ind w:firstLine="840" w:firstLineChars="350"/>
        <w:rPr>
          <w:rFonts w:cs="Times New Roman"/>
          <w:szCs w:val="24"/>
        </w:rPr>
      </w:pPr>
      <w:r>
        <w:rPr>
          <w:rFonts w:cs="Times New Roman"/>
          <w:szCs w:val="24"/>
        </w:rPr>
        <w:t>H——作业落差（m）；</w:t>
      </w:r>
    </w:p>
    <w:p>
      <w:pPr>
        <w:pStyle w:val="466"/>
        <w:ind w:firstLine="840" w:firstLineChars="350"/>
        <w:rPr>
          <w:rFonts w:cs="Times New Roman"/>
          <w:szCs w:val="24"/>
        </w:rPr>
      </w:pPr>
      <w:r>
        <w:rPr>
          <w:rFonts w:cs="Times New Roman"/>
          <w:szCs w:val="24"/>
        </w:rPr>
        <w:t>ω</w:t>
      </w:r>
      <w:r>
        <w:rPr>
          <w:rFonts w:cs="Times New Roman"/>
          <w:szCs w:val="24"/>
          <w:vertAlign w:val="subscript"/>
        </w:rPr>
        <w:t>2</w:t>
      </w:r>
      <w:r>
        <w:rPr>
          <w:rFonts w:cs="Times New Roman"/>
          <w:szCs w:val="24"/>
        </w:rPr>
        <w:t>——水分作用系数，与散货性质有关，取0.40~0.45，本报告取0.45；</w:t>
      </w:r>
    </w:p>
    <w:p>
      <w:pPr>
        <w:pStyle w:val="466"/>
        <w:ind w:firstLine="840" w:firstLineChars="350"/>
        <w:rPr>
          <w:rFonts w:cs="Times New Roman"/>
        </w:rPr>
      </w:pPr>
      <w:r>
        <w:rPr>
          <w:rFonts w:cs="Times New Roman"/>
          <w:szCs w:val="24"/>
        </w:rPr>
        <w:t>ω</w:t>
      </w:r>
      <w:r>
        <w:rPr>
          <w:rFonts w:cs="Times New Roman"/>
          <w:vertAlign w:val="subscript"/>
        </w:rPr>
        <w:t>0</w:t>
      </w:r>
      <w:r>
        <w:rPr>
          <w:rFonts w:cs="Times New Roman"/>
        </w:rPr>
        <w:t>——水分作用效果的临界值；</w:t>
      </w:r>
      <w:r>
        <w:rPr>
          <w:rFonts w:hint="eastAsia" w:cs="Times New Roman"/>
        </w:rPr>
        <w:t>即含水率高于此值时水分作用效果增加不明显，与散货性质有关，煤炭取值6%，矿石取值5</w:t>
      </w:r>
      <w:r>
        <w:rPr>
          <w:rFonts w:cs="Times New Roman"/>
        </w:rPr>
        <w:t>%</w:t>
      </w:r>
      <w:r>
        <w:rPr>
          <w:rFonts w:hint="eastAsia" w:cs="Times New Roman"/>
        </w:rPr>
        <w:t>。</w:t>
      </w:r>
    </w:p>
    <w:p>
      <w:pPr>
        <w:pStyle w:val="466"/>
        <w:ind w:firstLine="840" w:firstLineChars="350"/>
        <w:rPr>
          <w:rFonts w:cs="Times New Roman"/>
          <w:szCs w:val="24"/>
        </w:rPr>
      </w:pPr>
      <w:r>
        <w:rPr>
          <w:rFonts w:cs="Times New Roman"/>
          <w:szCs w:val="24"/>
        </w:rPr>
        <w:t>ω</w:t>
      </w:r>
      <w:r>
        <w:rPr>
          <w:rFonts w:cs="Times New Roman"/>
        </w:rPr>
        <w:t>——</w:t>
      </w:r>
      <w:r>
        <w:rPr>
          <w:rFonts w:cs="Times New Roman"/>
          <w:szCs w:val="24"/>
        </w:rPr>
        <w:t>含水率（%）；</w:t>
      </w:r>
    </w:p>
    <w:p>
      <w:pPr>
        <w:pStyle w:val="466"/>
        <w:ind w:firstLine="840" w:firstLineChars="350"/>
        <w:rPr>
          <w:rFonts w:cs="Times New Roman"/>
          <w:szCs w:val="24"/>
        </w:rPr>
      </w:pPr>
      <w:r>
        <w:rPr>
          <w:rFonts w:cs="Times New Roman"/>
          <w:szCs w:val="24"/>
        </w:rPr>
        <w:t>Y——作业量（t）；</w:t>
      </w:r>
    </w:p>
    <w:p>
      <w:pPr>
        <w:pStyle w:val="466"/>
        <w:ind w:firstLine="840" w:firstLineChars="350"/>
        <w:rPr>
          <w:rFonts w:cs="Times New Roman"/>
        </w:rPr>
      </w:pPr>
      <w:r>
        <w:rPr>
          <w:rFonts w:cs="Times New Roman"/>
          <w:szCs w:val="24"/>
        </w:rPr>
        <w:t>ν</w:t>
      </w:r>
      <w:r>
        <w:rPr>
          <w:rFonts w:cs="Times New Roman"/>
          <w:szCs w:val="24"/>
          <w:vertAlign w:val="subscript"/>
        </w:rPr>
        <w:t>2</w:t>
      </w:r>
      <w:r>
        <w:rPr>
          <w:rFonts w:cs="Times New Roman"/>
          <w:szCs w:val="24"/>
        </w:rPr>
        <w:t>——作业起尘量达到最大起尘量50%时的风速（m/s），一般散货取16m/s</w:t>
      </w:r>
      <w:r>
        <w:rPr>
          <w:rFonts w:cs="Times New Roman"/>
        </w:rPr>
        <w:t>；</w:t>
      </w:r>
    </w:p>
    <w:p>
      <w:pPr>
        <w:pStyle w:val="466"/>
        <w:ind w:firstLine="840" w:firstLineChars="350"/>
        <w:rPr>
          <w:rFonts w:cs="Times New Roman"/>
          <w:szCs w:val="24"/>
        </w:rPr>
      </w:pPr>
      <w:r>
        <w:rPr>
          <w:rFonts w:cs="Times New Roman"/>
        </w:rPr>
        <w:t>U——风速，m/s</w:t>
      </w:r>
      <w:r>
        <w:rPr>
          <w:rFonts w:cs="Times New Roman"/>
          <w:szCs w:val="24"/>
        </w:rPr>
        <w:t>。</w:t>
      </w:r>
    </w:p>
    <w:p>
      <w:pPr>
        <w:pStyle w:val="466"/>
        <w:ind w:firstLine="840" w:firstLineChars="350"/>
        <w:rPr>
          <w:rFonts w:cs="Times New Roman"/>
          <w:szCs w:val="24"/>
        </w:rPr>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285"/>
        <w:ind w:left="0"/>
      </w:pPr>
      <w:r>
        <w:rPr>
          <w:rFonts w:hint="eastAsia"/>
        </w:rPr>
        <w:t>码头装船装卸</w:t>
      </w:r>
      <w:r>
        <w:t>作业起尘量</w:t>
      </w:r>
    </w:p>
    <w:tbl>
      <w:tblPr>
        <w:tblStyle w:val="87"/>
        <w:tblW w:w="5047"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884"/>
        <w:gridCol w:w="884"/>
        <w:gridCol w:w="884"/>
        <w:gridCol w:w="884"/>
        <w:gridCol w:w="885"/>
        <w:gridCol w:w="885"/>
        <w:gridCol w:w="885"/>
        <w:gridCol w:w="885"/>
        <w:gridCol w:w="885"/>
        <w:gridCol w:w="885"/>
        <w:gridCol w:w="885"/>
        <w:gridCol w:w="885"/>
        <w:gridCol w:w="885"/>
        <w:gridCol w:w="885"/>
        <w:gridCol w:w="885"/>
        <w:gridCol w:w="89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44" w:hRule="atLeast"/>
        </w:trPr>
        <w:tc>
          <w:tcPr>
            <w:tcW w:w="312" w:type="pct"/>
            <w:vMerge w:val="restart"/>
            <w:vAlign w:val="center"/>
          </w:tcPr>
          <w:p>
            <w:pPr>
              <w:pStyle w:val="2057"/>
              <w:spacing w:afterLines="0"/>
              <w:ind w:firstLine="0" w:firstLineChars="0"/>
              <w:rPr>
                <w:sz w:val="21"/>
                <w:szCs w:val="21"/>
              </w:rPr>
            </w:pPr>
            <w:r>
              <w:rPr>
                <w:rFonts w:hint="eastAsia"/>
                <w:sz w:val="21"/>
                <w:szCs w:val="21"/>
              </w:rPr>
              <w:t>污染源</w:t>
            </w:r>
          </w:p>
        </w:tc>
        <w:tc>
          <w:tcPr>
            <w:tcW w:w="312" w:type="pct"/>
            <w:vMerge w:val="restart"/>
            <w:vAlign w:val="center"/>
          </w:tcPr>
          <w:p>
            <w:pPr>
              <w:pStyle w:val="2057"/>
              <w:spacing w:afterLines="0"/>
              <w:ind w:firstLine="0" w:firstLineChars="0"/>
              <w:rPr>
                <w:sz w:val="21"/>
                <w:szCs w:val="21"/>
              </w:rPr>
            </w:pPr>
            <w:r>
              <w:rPr>
                <w:sz w:val="21"/>
                <w:szCs w:val="21"/>
              </w:rPr>
              <w:t>主要货物</w:t>
            </w:r>
          </w:p>
        </w:tc>
        <w:tc>
          <w:tcPr>
            <w:tcW w:w="312" w:type="pct"/>
            <w:vMerge w:val="restart"/>
            <w:vAlign w:val="center"/>
          </w:tcPr>
          <w:p>
            <w:pPr>
              <w:pStyle w:val="2057"/>
              <w:spacing w:afterLines="0"/>
              <w:ind w:firstLine="0" w:firstLineChars="0"/>
              <w:rPr>
                <w:sz w:val="21"/>
                <w:szCs w:val="21"/>
              </w:rPr>
            </w:pPr>
            <w:r>
              <w:rPr>
                <w:sz w:val="21"/>
                <w:szCs w:val="21"/>
              </w:rPr>
              <w:t>α</w:t>
            </w:r>
          </w:p>
        </w:tc>
        <w:tc>
          <w:tcPr>
            <w:tcW w:w="312" w:type="pct"/>
            <w:vMerge w:val="restart"/>
            <w:vAlign w:val="center"/>
          </w:tcPr>
          <w:p>
            <w:pPr>
              <w:pStyle w:val="2057"/>
              <w:spacing w:afterLines="0"/>
              <w:ind w:firstLine="0" w:firstLineChars="0"/>
              <w:rPr>
                <w:sz w:val="21"/>
                <w:szCs w:val="21"/>
              </w:rPr>
            </w:pPr>
            <w:r>
              <w:rPr>
                <w:sz w:val="21"/>
                <w:szCs w:val="21"/>
              </w:rPr>
              <w:t>β</w:t>
            </w:r>
          </w:p>
        </w:tc>
        <w:tc>
          <w:tcPr>
            <w:tcW w:w="312" w:type="pct"/>
            <w:vAlign w:val="center"/>
          </w:tcPr>
          <w:p>
            <w:pPr>
              <w:pStyle w:val="2057"/>
              <w:spacing w:afterLines="0"/>
              <w:ind w:firstLine="0" w:firstLineChars="0"/>
              <w:rPr>
                <w:sz w:val="21"/>
                <w:szCs w:val="21"/>
              </w:rPr>
            </w:pPr>
            <w:r>
              <w:rPr>
                <w:sz w:val="21"/>
                <w:szCs w:val="21"/>
              </w:rPr>
              <w:t>H</w:t>
            </w:r>
          </w:p>
        </w:tc>
        <w:tc>
          <w:tcPr>
            <w:tcW w:w="312" w:type="pct"/>
            <w:vMerge w:val="restart"/>
            <w:vAlign w:val="center"/>
          </w:tcPr>
          <w:p>
            <w:pPr>
              <w:pStyle w:val="2057"/>
              <w:spacing w:afterLines="0"/>
              <w:ind w:firstLine="0" w:firstLineChars="0"/>
              <w:rPr>
                <w:position w:val="-2"/>
                <w:sz w:val="21"/>
                <w:szCs w:val="21"/>
              </w:rPr>
            </w:pPr>
            <w:r>
              <w:rPr>
                <w:sz w:val="21"/>
                <w:szCs w:val="21"/>
              </w:rPr>
              <w:t>ω</w:t>
            </w:r>
            <w:r>
              <w:rPr>
                <w:position w:val="-2"/>
                <w:sz w:val="21"/>
                <w:szCs w:val="21"/>
                <w:vertAlign w:val="subscript"/>
              </w:rPr>
              <w:t>2</w:t>
            </w:r>
          </w:p>
        </w:tc>
        <w:tc>
          <w:tcPr>
            <w:tcW w:w="312" w:type="pct"/>
            <w:vAlign w:val="center"/>
          </w:tcPr>
          <w:p>
            <w:pPr>
              <w:pStyle w:val="2057"/>
              <w:spacing w:afterLines="0"/>
              <w:ind w:firstLine="0" w:firstLineChars="0"/>
              <w:rPr>
                <w:position w:val="-2"/>
                <w:sz w:val="21"/>
                <w:szCs w:val="21"/>
              </w:rPr>
            </w:pPr>
            <w:r>
              <w:rPr>
                <w:sz w:val="21"/>
                <w:szCs w:val="21"/>
              </w:rPr>
              <w:t>ω</w:t>
            </w:r>
            <w:r>
              <w:rPr>
                <w:position w:val="-2"/>
                <w:sz w:val="21"/>
                <w:szCs w:val="21"/>
              </w:rPr>
              <w:t>0</w:t>
            </w:r>
          </w:p>
        </w:tc>
        <w:tc>
          <w:tcPr>
            <w:tcW w:w="312" w:type="pct"/>
            <w:vAlign w:val="center"/>
          </w:tcPr>
          <w:p>
            <w:pPr>
              <w:pStyle w:val="2057"/>
              <w:spacing w:afterLines="0"/>
              <w:ind w:firstLine="0" w:firstLineChars="0"/>
              <w:rPr>
                <w:sz w:val="21"/>
                <w:szCs w:val="21"/>
              </w:rPr>
            </w:pPr>
            <w:r>
              <w:rPr>
                <w:sz w:val="21"/>
                <w:szCs w:val="21"/>
              </w:rPr>
              <w:t>ω</w:t>
            </w:r>
          </w:p>
        </w:tc>
        <w:tc>
          <w:tcPr>
            <w:tcW w:w="312" w:type="pct"/>
            <w:vAlign w:val="center"/>
          </w:tcPr>
          <w:p>
            <w:pPr>
              <w:pStyle w:val="2057"/>
              <w:spacing w:afterLines="0"/>
              <w:ind w:firstLine="0" w:firstLineChars="0"/>
              <w:rPr>
                <w:sz w:val="21"/>
                <w:szCs w:val="21"/>
              </w:rPr>
            </w:pPr>
            <w:r>
              <w:rPr>
                <w:sz w:val="21"/>
                <w:szCs w:val="21"/>
              </w:rPr>
              <w:t>Y</w:t>
            </w:r>
          </w:p>
        </w:tc>
        <w:tc>
          <w:tcPr>
            <w:tcW w:w="312" w:type="pct"/>
            <w:vAlign w:val="center"/>
          </w:tcPr>
          <w:p>
            <w:pPr>
              <w:pStyle w:val="2057"/>
              <w:spacing w:afterLines="0"/>
              <w:ind w:firstLine="0" w:firstLineChars="0"/>
              <w:rPr>
                <w:sz w:val="21"/>
                <w:szCs w:val="21"/>
                <w:vertAlign w:val="subscript"/>
              </w:rPr>
            </w:pPr>
            <w:r>
              <w:rPr>
                <w:sz w:val="21"/>
                <w:szCs w:val="21"/>
              </w:rPr>
              <w:t>v</w:t>
            </w:r>
            <w:r>
              <w:rPr>
                <w:sz w:val="21"/>
                <w:szCs w:val="21"/>
                <w:vertAlign w:val="subscript"/>
              </w:rPr>
              <w:t>2</w:t>
            </w:r>
          </w:p>
        </w:tc>
        <w:tc>
          <w:tcPr>
            <w:tcW w:w="312" w:type="pct"/>
            <w:vAlign w:val="center"/>
          </w:tcPr>
          <w:p>
            <w:pPr>
              <w:pStyle w:val="2057"/>
              <w:spacing w:afterLines="0"/>
              <w:ind w:firstLine="0" w:firstLineChars="0"/>
              <w:rPr>
                <w:sz w:val="21"/>
                <w:szCs w:val="21"/>
              </w:rPr>
            </w:pPr>
            <w:r>
              <w:rPr>
                <w:sz w:val="21"/>
                <w:szCs w:val="21"/>
              </w:rPr>
              <w:t>U</w:t>
            </w:r>
          </w:p>
        </w:tc>
        <w:tc>
          <w:tcPr>
            <w:tcW w:w="312" w:type="pct"/>
            <w:vAlign w:val="center"/>
          </w:tcPr>
          <w:p>
            <w:pPr>
              <w:pStyle w:val="2057"/>
              <w:spacing w:afterLines="0"/>
              <w:ind w:firstLine="0" w:firstLineChars="0"/>
              <w:rPr>
                <w:sz w:val="21"/>
                <w:szCs w:val="21"/>
              </w:rPr>
            </w:pPr>
            <w:r>
              <w:rPr>
                <w:sz w:val="21"/>
                <w:szCs w:val="21"/>
              </w:rPr>
              <w:t>起尘</w:t>
            </w:r>
          </w:p>
          <w:p>
            <w:pPr>
              <w:pStyle w:val="2057"/>
              <w:spacing w:afterLines="0"/>
              <w:ind w:firstLine="0" w:firstLineChars="0"/>
              <w:rPr>
                <w:sz w:val="21"/>
                <w:szCs w:val="21"/>
              </w:rPr>
            </w:pPr>
            <w:r>
              <w:rPr>
                <w:rFonts w:hint="eastAsia"/>
                <w:sz w:val="21"/>
                <w:szCs w:val="21"/>
              </w:rPr>
              <w:t>速率</w:t>
            </w:r>
          </w:p>
        </w:tc>
        <w:tc>
          <w:tcPr>
            <w:tcW w:w="312" w:type="pct"/>
            <w:vAlign w:val="center"/>
          </w:tcPr>
          <w:p>
            <w:pPr>
              <w:pStyle w:val="2057"/>
              <w:spacing w:afterLines="0"/>
              <w:ind w:firstLine="0" w:firstLineChars="0"/>
              <w:rPr>
                <w:sz w:val="21"/>
                <w:szCs w:val="21"/>
              </w:rPr>
            </w:pPr>
            <w:r>
              <w:rPr>
                <w:rFonts w:hint="eastAsia"/>
                <w:sz w:val="21"/>
                <w:szCs w:val="21"/>
              </w:rPr>
              <w:t>产生量</w:t>
            </w:r>
          </w:p>
        </w:tc>
        <w:tc>
          <w:tcPr>
            <w:tcW w:w="312" w:type="pct"/>
            <w:vAlign w:val="center"/>
          </w:tcPr>
          <w:p>
            <w:pPr>
              <w:pStyle w:val="2057"/>
              <w:spacing w:afterLines="0"/>
              <w:ind w:firstLine="0" w:firstLineChars="0"/>
              <w:rPr>
                <w:sz w:val="21"/>
                <w:szCs w:val="21"/>
              </w:rPr>
            </w:pPr>
            <w:r>
              <w:rPr>
                <w:rFonts w:hint="eastAsia"/>
                <w:sz w:val="21"/>
                <w:szCs w:val="21"/>
              </w:rPr>
              <w:t>除尘效率</w:t>
            </w:r>
          </w:p>
        </w:tc>
        <w:tc>
          <w:tcPr>
            <w:tcW w:w="312" w:type="pct"/>
            <w:vAlign w:val="center"/>
          </w:tcPr>
          <w:p>
            <w:pPr>
              <w:pStyle w:val="2057"/>
              <w:spacing w:afterLines="0"/>
              <w:ind w:firstLine="0" w:firstLineChars="0"/>
              <w:rPr>
                <w:sz w:val="21"/>
                <w:szCs w:val="21"/>
              </w:rPr>
            </w:pPr>
            <w:r>
              <w:rPr>
                <w:rFonts w:hint="eastAsia"/>
                <w:sz w:val="21"/>
                <w:szCs w:val="21"/>
              </w:rPr>
              <w:t>排放量</w:t>
            </w:r>
          </w:p>
        </w:tc>
        <w:tc>
          <w:tcPr>
            <w:tcW w:w="315" w:type="pct"/>
            <w:vAlign w:val="center"/>
          </w:tcPr>
          <w:p>
            <w:pPr>
              <w:pStyle w:val="2057"/>
              <w:spacing w:afterLines="0"/>
              <w:ind w:firstLine="0" w:firstLineChars="0"/>
              <w:rPr>
                <w:sz w:val="21"/>
                <w:szCs w:val="21"/>
              </w:rPr>
            </w:pPr>
            <w:r>
              <w:rPr>
                <w:rFonts w:hint="eastAsia"/>
                <w:sz w:val="21"/>
                <w:szCs w:val="21"/>
              </w:rPr>
              <w:t>排放速率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41" w:hRule="atLeast"/>
        </w:trPr>
        <w:tc>
          <w:tcPr>
            <w:tcW w:w="312" w:type="pct"/>
            <w:vMerge w:val="continue"/>
            <w:vAlign w:val="center"/>
          </w:tcPr>
          <w:p>
            <w:pPr>
              <w:pStyle w:val="2057"/>
              <w:spacing w:afterLines="0"/>
              <w:ind w:firstLine="0" w:firstLineChars="0"/>
              <w:rPr>
                <w:rFonts w:ascii="宋体" w:hAnsi="宋体" w:cs="宋体"/>
                <w:kern w:val="0"/>
                <w:sz w:val="21"/>
                <w:szCs w:val="21"/>
              </w:rPr>
            </w:pPr>
          </w:p>
        </w:tc>
        <w:tc>
          <w:tcPr>
            <w:tcW w:w="312" w:type="pct"/>
            <w:vMerge w:val="continue"/>
            <w:vAlign w:val="center"/>
          </w:tcPr>
          <w:p>
            <w:pPr>
              <w:pStyle w:val="2057"/>
              <w:spacing w:afterLines="0"/>
              <w:ind w:firstLine="0" w:firstLineChars="0"/>
              <w:rPr>
                <w:kern w:val="0"/>
                <w:sz w:val="21"/>
                <w:szCs w:val="21"/>
              </w:rPr>
            </w:pPr>
          </w:p>
        </w:tc>
        <w:tc>
          <w:tcPr>
            <w:tcW w:w="312" w:type="pct"/>
            <w:vMerge w:val="continue"/>
            <w:vAlign w:val="center"/>
          </w:tcPr>
          <w:p>
            <w:pPr>
              <w:pStyle w:val="2057"/>
              <w:spacing w:afterLines="0"/>
              <w:ind w:firstLine="0" w:firstLineChars="0"/>
              <w:rPr>
                <w:kern w:val="0"/>
                <w:sz w:val="21"/>
                <w:szCs w:val="21"/>
              </w:rPr>
            </w:pPr>
          </w:p>
        </w:tc>
        <w:tc>
          <w:tcPr>
            <w:tcW w:w="312" w:type="pct"/>
            <w:vMerge w:val="continue"/>
            <w:vAlign w:val="center"/>
          </w:tcPr>
          <w:p>
            <w:pPr>
              <w:pStyle w:val="2057"/>
              <w:spacing w:afterLines="0"/>
              <w:ind w:firstLine="0" w:firstLineChars="0"/>
              <w:rPr>
                <w:kern w:val="0"/>
                <w:sz w:val="21"/>
                <w:szCs w:val="21"/>
              </w:rPr>
            </w:pPr>
          </w:p>
        </w:tc>
        <w:tc>
          <w:tcPr>
            <w:tcW w:w="312" w:type="pct"/>
            <w:vAlign w:val="center"/>
          </w:tcPr>
          <w:p>
            <w:pPr>
              <w:pStyle w:val="2057"/>
              <w:spacing w:afterLines="0"/>
              <w:ind w:firstLine="0" w:firstLineChars="0"/>
              <w:rPr>
                <w:sz w:val="21"/>
                <w:szCs w:val="21"/>
              </w:rPr>
            </w:pPr>
            <w:r>
              <w:rPr>
                <w:sz w:val="21"/>
                <w:szCs w:val="21"/>
              </w:rPr>
              <w:t>m</w:t>
            </w:r>
          </w:p>
        </w:tc>
        <w:tc>
          <w:tcPr>
            <w:tcW w:w="312" w:type="pct"/>
            <w:vMerge w:val="continue"/>
            <w:vAlign w:val="center"/>
          </w:tcPr>
          <w:p>
            <w:pPr>
              <w:pStyle w:val="2057"/>
              <w:spacing w:afterLines="0"/>
              <w:ind w:firstLine="0" w:firstLineChars="0"/>
              <w:rPr>
                <w:kern w:val="0"/>
                <w:position w:val="-2"/>
                <w:sz w:val="21"/>
                <w:szCs w:val="21"/>
              </w:rPr>
            </w:pPr>
          </w:p>
        </w:tc>
        <w:tc>
          <w:tcPr>
            <w:tcW w:w="312" w:type="pct"/>
            <w:vAlign w:val="center"/>
          </w:tcPr>
          <w:p>
            <w:pPr>
              <w:pStyle w:val="2057"/>
              <w:spacing w:afterLines="0"/>
              <w:ind w:firstLine="0" w:firstLineChars="0"/>
              <w:rPr>
                <w:sz w:val="21"/>
                <w:szCs w:val="21"/>
              </w:rPr>
            </w:pPr>
            <w:r>
              <w:rPr>
                <w:sz w:val="21"/>
                <w:szCs w:val="21"/>
              </w:rPr>
              <w:t>%</w:t>
            </w:r>
          </w:p>
        </w:tc>
        <w:tc>
          <w:tcPr>
            <w:tcW w:w="312" w:type="pct"/>
            <w:vAlign w:val="center"/>
          </w:tcPr>
          <w:p>
            <w:pPr>
              <w:pStyle w:val="2057"/>
              <w:spacing w:afterLines="0"/>
              <w:ind w:firstLine="0" w:firstLineChars="0"/>
              <w:rPr>
                <w:sz w:val="21"/>
                <w:szCs w:val="21"/>
              </w:rPr>
            </w:pPr>
            <w:r>
              <w:rPr>
                <w:sz w:val="21"/>
                <w:szCs w:val="21"/>
              </w:rPr>
              <w:t>%</w:t>
            </w:r>
          </w:p>
        </w:tc>
        <w:tc>
          <w:tcPr>
            <w:tcW w:w="312" w:type="pct"/>
            <w:vAlign w:val="center"/>
          </w:tcPr>
          <w:p>
            <w:pPr>
              <w:pStyle w:val="2057"/>
              <w:spacing w:afterLines="0"/>
              <w:ind w:firstLine="0" w:firstLineChars="0"/>
              <w:rPr>
                <w:sz w:val="21"/>
                <w:szCs w:val="21"/>
              </w:rPr>
            </w:pPr>
            <w:r>
              <w:rPr>
                <w:sz w:val="21"/>
                <w:szCs w:val="21"/>
              </w:rPr>
              <w:t>t/h</w:t>
            </w:r>
          </w:p>
        </w:tc>
        <w:tc>
          <w:tcPr>
            <w:tcW w:w="312" w:type="pct"/>
            <w:vAlign w:val="center"/>
          </w:tcPr>
          <w:p>
            <w:pPr>
              <w:pStyle w:val="2057"/>
              <w:spacing w:afterLines="0"/>
              <w:ind w:firstLine="0" w:firstLineChars="0"/>
              <w:rPr>
                <w:sz w:val="21"/>
                <w:szCs w:val="21"/>
              </w:rPr>
            </w:pPr>
            <w:r>
              <w:rPr>
                <w:sz w:val="21"/>
                <w:szCs w:val="21"/>
              </w:rPr>
              <w:t>m/s</w:t>
            </w:r>
          </w:p>
        </w:tc>
        <w:tc>
          <w:tcPr>
            <w:tcW w:w="312" w:type="pct"/>
            <w:vAlign w:val="center"/>
          </w:tcPr>
          <w:p>
            <w:pPr>
              <w:pStyle w:val="2057"/>
              <w:spacing w:afterLines="0"/>
              <w:ind w:firstLine="0" w:firstLineChars="0"/>
              <w:rPr>
                <w:sz w:val="21"/>
                <w:szCs w:val="21"/>
              </w:rPr>
            </w:pPr>
            <w:r>
              <w:rPr>
                <w:sz w:val="21"/>
                <w:szCs w:val="21"/>
              </w:rPr>
              <w:t>m/s</w:t>
            </w:r>
          </w:p>
        </w:tc>
        <w:tc>
          <w:tcPr>
            <w:tcW w:w="312" w:type="pct"/>
            <w:vAlign w:val="center"/>
          </w:tcPr>
          <w:p>
            <w:pPr>
              <w:pStyle w:val="2057"/>
              <w:spacing w:afterLines="0"/>
              <w:ind w:firstLine="0" w:firstLineChars="0"/>
              <w:rPr>
                <w:sz w:val="21"/>
                <w:szCs w:val="21"/>
              </w:rPr>
            </w:pPr>
            <w:r>
              <w:rPr>
                <w:sz w:val="21"/>
                <w:szCs w:val="21"/>
              </w:rPr>
              <w:t>kg/h</w:t>
            </w:r>
          </w:p>
        </w:tc>
        <w:tc>
          <w:tcPr>
            <w:tcW w:w="312" w:type="pct"/>
            <w:vAlign w:val="center"/>
          </w:tcPr>
          <w:p>
            <w:pPr>
              <w:pStyle w:val="2057"/>
              <w:spacing w:afterLines="0"/>
              <w:ind w:firstLine="0" w:firstLineChars="0"/>
              <w:rPr>
                <w:sz w:val="21"/>
                <w:szCs w:val="21"/>
              </w:rPr>
            </w:pPr>
            <w:r>
              <w:rPr>
                <w:sz w:val="21"/>
                <w:szCs w:val="21"/>
              </w:rPr>
              <w:t>t/</w:t>
            </w:r>
            <w:r>
              <w:rPr>
                <w:rFonts w:hint="eastAsia"/>
                <w:sz w:val="21"/>
                <w:szCs w:val="21"/>
              </w:rPr>
              <w:t>a</w:t>
            </w:r>
          </w:p>
        </w:tc>
        <w:tc>
          <w:tcPr>
            <w:tcW w:w="312" w:type="pct"/>
            <w:vAlign w:val="center"/>
          </w:tcPr>
          <w:p>
            <w:pPr>
              <w:pStyle w:val="2057"/>
              <w:spacing w:afterLines="0"/>
              <w:ind w:firstLine="0" w:firstLineChars="0"/>
              <w:rPr>
                <w:sz w:val="21"/>
                <w:szCs w:val="21"/>
              </w:rPr>
            </w:pPr>
            <w:r>
              <w:rPr>
                <w:rFonts w:hint="eastAsia"/>
                <w:sz w:val="21"/>
                <w:szCs w:val="21"/>
              </w:rPr>
              <w:t>/</w:t>
            </w:r>
          </w:p>
        </w:tc>
        <w:tc>
          <w:tcPr>
            <w:tcW w:w="312" w:type="pct"/>
            <w:vAlign w:val="center"/>
          </w:tcPr>
          <w:p>
            <w:pPr>
              <w:pStyle w:val="2057"/>
              <w:spacing w:afterLines="0"/>
              <w:ind w:firstLine="0" w:firstLineChars="0"/>
              <w:rPr>
                <w:sz w:val="21"/>
                <w:szCs w:val="21"/>
              </w:rPr>
            </w:pPr>
            <w:r>
              <w:rPr>
                <w:sz w:val="21"/>
                <w:szCs w:val="21"/>
              </w:rPr>
              <w:t>t/</w:t>
            </w:r>
            <w:r>
              <w:rPr>
                <w:rFonts w:hint="eastAsia"/>
                <w:sz w:val="21"/>
                <w:szCs w:val="21"/>
              </w:rPr>
              <w:t>a</w:t>
            </w:r>
          </w:p>
        </w:tc>
        <w:tc>
          <w:tcPr>
            <w:tcW w:w="315" w:type="pct"/>
            <w:vAlign w:val="center"/>
          </w:tcPr>
          <w:p>
            <w:pPr>
              <w:pStyle w:val="2057"/>
              <w:spacing w:afterLines="0"/>
              <w:ind w:firstLine="0" w:firstLineChars="0"/>
              <w:rPr>
                <w:sz w:val="21"/>
                <w:szCs w:val="21"/>
              </w:rPr>
            </w:pPr>
            <w:r>
              <w:rPr>
                <w:sz w:val="21"/>
                <w:szCs w:val="21"/>
              </w:rPr>
              <w:t>kg/h</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44" w:hRule="atLeast"/>
        </w:trPr>
        <w:tc>
          <w:tcPr>
            <w:tcW w:w="312" w:type="pct"/>
            <w:vMerge w:val="restart"/>
            <w:vAlign w:val="center"/>
          </w:tcPr>
          <w:p>
            <w:pPr>
              <w:pStyle w:val="2057"/>
              <w:spacing w:afterLines="0"/>
              <w:ind w:firstLine="0" w:firstLineChars="0"/>
              <w:rPr>
                <w:sz w:val="21"/>
                <w:szCs w:val="21"/>
              </w:rPr>
            </w:pPr>
            <w:r>
              <w:rPr>
                <w:rFonts w:hint="eastAsia"/>
                <w:sz w:val="21"/>
                <w:szCs w:val="21"/>
              </w:rPr>
              <w:t>1</w:t>
            </w:r>
            <w:r>
              <w:rPr>
                <w:sz w:val="21"/>
                <w:szCs w:val="21"/>
              </w:rPr>
              <w:t>#</w:t>
            </w:r>
            <w:r>
              <w:rPr>
                <w:rFonts w:hint="eastAsia"/>
                <w:sz w:val="21"/>
                <w:szCs w:val="21"/>
              </w:rPr>
              <w:t>散货出口泊位</w:t>
            </w:r>
          </w:p>
        </w:tc>
        <w:tc>
          <w:tcPr>
            <w:tcW w:w="312" w:type="pct"/>
            <w:vAlign w:val="center"/>
          </w:tcPr>
          <w:p>
            <w:pPr>
              <w:pStyle w:val="2057"/>
              <w:spacing w:afterLines="0"/>
              <w:ind w:firstLine="0" w:firstLineChars="0"/>
              <w:rPr>
                <w:sz w:val="21"/>
                <w:szCs w:val="21"/>
              </w:rPr>
            </w:pPr>
            <w:r>
              <w:rPr>
                <w:rFonts w:hint="eastAsia"/>
                <w:sz w:val="21"/>
                <w:szCs w:val="21"/>
              </w:rPr>
              <w:t>非金属矿石</w:t>
            </w:r>
          </w:p>
        </w:tc>
        <w:tc>
          <w:tcPr>
            <w:tcW w:w="312" w:type="pct"/>
            <w:vAlign w:val="center"/>
          </w:tcPr>
          <w:p>
            <w:pPr>
              <w:pStyle w:val="2057"/>
              <w:spacing w:afterLines="0"/>
              <w:ind w:firstLine="0" w:firstLineChars="0"/>
              <w:rPr>
                <w:sz w:val="21"/>
                <w:szCs w:val="21"/>
              </w:rPr>
            </w:pPr>
            <w:r>
              <w:rPr>
                <w:rFonts w:hint="eastAsia"/>
                <w:sz w:val="21"/>
                <w:szCs w:val="21"/>
              </w:rPr>
              <w:t>0.6</w:t>
            </w:r>
          </w:p>
        </w:tc>
        <w:tc>
          <w:tcPr>
            <w:tcW w:w="312" w:type="pct"/>
            <w:vAlign w:val="center"/>
          </w:tcPr>
          <w:p>
            <w:pPr>
              <w:pStyle w:val="2057"/>
              <w:spacing w:afterLines="0"/>
              <w:ind w:firstLine="0" w:firstLineChars="0"/>
              <w:rPr>
                <w:sz w:val="21"/>
                <w:szCs w:val="21"/>
              </w:rPr>
            </w:pPr>
            <w:r>
              <w:rPr>
                <w:rFonts w:hint="eastAsia"/>
                <w:sz w:val="21"/>
                <w:szCs w:val="21"/>
              </w:rPr>
              <w:t>1</w:t>
            </w:r>
          </w:p>
        </w:tc>
        <w:tc>
          <w:tcPr>
            <w:tcW w:w="312" w:type="pct"/>
            <w:vAlign w:val="center"/>
          </w:tcPr>
          <w:p>
            <w:pPr>
              <w:pStyle w:val="2057"/>
              <w:spacing w:afterLines="0"/>
              <w:ind w:firstLine="0" w:firstLineChars="0"/>
              <w:rPr>
                <w:sz w:val="21"/>
                <w:szCs w:val="21"/>
              </w:rPr>
            </w:pPr>
            <w:r>
              <w:rPr>
                <w:rFonts w:hint="eastAsia"/>
                <w:sz w:val="21"/>
                <w:szCs w:val="21"/>
              </w:rPr>
              <w:t>0.2</w:t>
            </w:r>
          </w:p>
        </w:tc>
        <w:tc>
          <w:tcPr>
            <w:tcW w:w="312" w:type="pct"/>
            <w:vAlign w:val="center"/>
          </w:tcPr>
          <w:p>
            <w:pPr>
              <w:pStyle w:val="2057"/>
              <w:spacing w:afterLines="0"/>
              <w:ind w:firstLine="0" w:firstLineChars="0"/>
              <w:rPr>
                <w:sz w:val="21"/>
                <w:szCs w:val="21"/>
              </w:rPr>
            </w:pPr>
            <w:r>
              <w:rPr>
                <w:rFonts w:hint="eastAsia"/>
                <w:sz w:val="21"/>
                <w:szCs w:val="21"/>
              </w:rPr>
              <w:t>0.45</w:t>
            </w:r>
          </w:p>
        </w:tc>
        <w:tc>
          <w:tcPr>
            <w:tcW w:w="312" w:type="pct"/>
            <w:vAlign w:val="center"/>
          </w:tcPr>
          <w:p>
            <w:pPr>
              <w:pStyle w:val="2057"/>
              <w:spacing w:afterLines="0"/>
              <w:ind w:firstLine="0" w:firstLineChars="0"/>
              <w:rPr>
                <w:sz w:val="21"/>
                <w:szCs w:val="21"/>
              </w:rPr>
            </w:pPr>
            <w:r>
              <w:rPr>
                <w:rFonts w:hint="eastAsia"/>
                <w:sz w:val="21"/>
                <w:szCs w:val="21"/>
              </w:rPr>
              <w:t>5</w:t>
            </w:r>
          </w:p>
        </w:tc>
        <w:tc>
          <w:tcPr>
            <w:tcW w:w="312" w:type="pct"/>
            <w:vAlign w:val="center"/>
          </w:tcPr>
          <w:p>
            <w:pPr>
              <w:pStyle w:val="2057"/>
              <w:spacing w:afterLines="0"/>
              <w:ind w:firstLine="0" w:firstLineChars="0"/>
              <w:rPr>
                <w:sz w:val="21"/>
                <w:szCs w:val="21"/>
              </w:rPr>
            </w:pPr>
            <w:r>
              <w:rPr>
                <w:rFonts w:hint="eastAsia"/>
                <w:sz w:val="21"/>
                <w:szCs w:val="21"/>
              </w:rPr>
              <w:t>8</w:t>
            </w:r>
          </w:p>
        </w:tc>
        <w:tc>
          <w:tcPr>
            <w:tcW w:w="312" w:type="pct"/>
            <w:vAlign w:val="center"/>
          </w:tcPr>
          <w:p>
            <w:pPr>
              <w:pStyle w:val="2057"/>
              <w:spacing w:afterLines="0"/>
              <w:ind w:firstLine="0" w:firstLineChars="0"/>
              <w:rPr>
                <w:sz w:val="21"/>
                <w:szCs w:val="21"/>
              </w:rPr>
            </w:pPr>
            <w:r>
              <w:rPr>
                <w:rFonts w:hint="eastAsia"/>
                <w:sz w:val="21"/>
                <w:szCs w:val="21"/>
              </w:rPr>
              <w:t xml:space="preserve">189.394 </w:t>
            </w:r>
          </w:p>
        </w:tc>
        <w:tc>
          <w:tcPr>
            <w:tcW w:w="312" w:type="pct"/>
            <w:vAlign w:val="center"/>
          </w:tcPr>
          <w:p>
            <w:pPr>
              <w:pStyle w:val="2057"/>
              <w:spacing w:afterLines="0"/>
              <w:ind w:firstLine="0" w:firstLineChars="0"/>
              <w:rPr>
                <w:sz w:val="21"/>
                <w:szCs w:val="21"/>
              </w:rPr>
            </w:pPr>
            <w:r>
              <w:rPr>
                <w:rFonts w:hint="eastAsia"/>
                <w:sz w:val="21"/>
                <w:szCs w:val="21"/>
              </w:rPr>
              <w:t>16</w:t>
            </w:r>
          </w:p>
        </w:tc>
        <w:tc>
          <w:tcPr>
            <w:tcW w:w="312" w:type="pct"/>
            <w:vAlign w:val="center"/>
          </w:tcPr>
          <w:p>
            <w:pPr>
              <w:pStyle w:val="2057"/>
              <w:spacing w:afterLines="0"/>
              <w:ind w:firstLine="0" w:firstLineChars="0"/>
              <w:rPr>
                <w:sz w:val="21"/>
                <w:szCs w:val="21"/>
              </w:rPr>
            </w:pPr>
            <w:r>
              <w:rPr>
                <w:rFonts w:hint="eastAsia"/>
                <w:sz w:val="21"/>
                <w:szCs w:val="21"/>
              </w:rPr>
              <w:t>2.5</w:t>
            </w:r>
          </w:p>
        </w:tc>
        <w:tc>
          <w:tcPr>
            <w:tcW w:w="312" w:type="pct"/>
            <w:vAlign w:val="center"/>
          </w:tcPr>
          <w:p>
            <w:pPr>
              <w:pStyle w:val="2057"/>
              <w:spacing w:afterLines="0"/>
              <w:ind w:firstLine="0" w:firstLineChars="0"/>
              <w:rPr>
                <w:sz w:val="21"/>
                <w:szCs w:val="21"/>
              </w:rPr>
            </w:pPr>
            <w:r>
              <w:rPr>
                <w:rFonts w:hint="eastAsia"/>
                <w:sz w:val="21"/>
                <w:szCs w:val="21"/>
              </w:rPr>
              <w:t xml:space="preserve">0.195 </w:t>
            </w:r>
          </w:p>
        </w:tc>
        <w:tc>
          <w:tcPr>
            <w:tcW w:w="312" w:type="pct"/>
            <w:vAlign w:val="center"/>
          </w:tcPr>
          <w:p>
            <w:pPr>
              <w:pStyle w:val="2057"/>
              <w:spacing w:afterLines="0"/>
              <w:ind w:firstLine="0" w:firstLineChars="0"/>
              <w:rPr>
                <w:sz w:val="21"/>
                <w:szCs w:val="21"/>
              </w:rPr>
            </w:pPr>
            <w:r>
              <w:rPr>
                <w:rFonts w:hint="eastAsia"/>
                <w:sz w:val="21"/>
                <w:szCs w:val="21"/>
              </w:rPr>
              <w:t xml:space="preserve">1.544 </w:t>
            </w:r>
          </w:p>
        </w:tc>
        <w:tc>
          <w:tcPr>
            <w:tcW w:w="312" w:type="pct"/>
            <w:vAlign w:val="center"/>
          </w:tcPr>
          <w:p>
            <w:pPr>
              <w:pStyle w:val="2057"/>
              <w:spacing w:afterLines="0"/>
              <w:ind w:firstLine="0" w:firstLineChars="0"/>
              <w:rPr>
                <w:sz w:val="21"/>
                <w:szCs w:val="21"/>
              </w:rPr>
            </w:pPr>
            <w:r>
              <w:rPr>
                <w:rFonts w:hint="eastAsia"/>
                <w:sz w:val="21"/>
                <w:szCs w:val="21"/>
              </w:rPr>
              <w:t xml:space="preserve">90% </w:t>
            </w:r>
          </w:p>
        </w:tc>
        <w:tc>
          <w:tcPr>
            <w:tcW w:w="312" w:type="pct"/>
            <w:vAlign w:val="center"/>
          </w:tcPr>
          <w:p>
            <w:pPr>
              <w:pStyle w:val="2057"/>
              <w:spacing w:afterLines="0"/>
              <w:ind w:firstLine="0" w:firstLineChars="0"/>
              <w:rPr>
                <w:sz w:val="21"/>
                <w:szCs w:val="21"/>
              </w:rPr>
            </w:pPr>
            <w:r>
              <w:rPr>
                <w:rFonts w:hint="eastAsia"/>
                <w:sz w:val="21"/>
                <w:szCs w:val="21"/>
              </w:rPr>
              <w:t xml:space="preserve">0.154 </w:t>
            </w:r>
          </w:p>
        </w:tc>
        <w:tc>
          <w:tcPr>
            <w:tcW w:w="315" w:type="pct"/>
            <w:vAlign w:val="center"/>
          </w:tcPr>
          <w:p>
            <w:pPr>
              <w:pStyle w:val="2057"/>
              <w:spacing w:afterLines="0"/>
              <w:ind w:firstLine="0" w:firstLineChars="0"/>
              <w:rPr>
                <w:sz w:val="21"/>
                <w:szCs w:val="21"/>
              </w:rPr>
            </w:pPr>
            <w:r>
              <w:rPr>
                <w:rFonts w:hint="eastAsia"/>
                <w:sz w:val="21"/>
                <w:szCs w:val="21"/>
              </w:rPr>
              <w:t xml:space="preserve">0.019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89" w:hRule="atLeast"/>
        </w:trPr>
        <w:tc>
          <w:tcPr>
            <w:tcW w:w="312" w:type="pct"/>
            <w:vMerge w:val="continue"/>
            <w:vAlign w:val="center"/>
          </w:tcPr>
          <w:p>
            <w:pPr>
              <w:pStyle w:val="2057"/>
              <w:spacing w:afterLines="0"/>
              <w:ind w:firstLine="0" w:firstLineChars="0"/>
              <w:rPr>
                <w:sz w:val="21"/>
                <w:szCs w:val="21"/>
              </w:rPr>
            </w:pPr>
          </w:p>
        </w:tc>
        <w:tc>
          <w:tcPr>
            <w:tcW w:w="312" w:type="pct"/>
            <w:vAlign w:val="center"/>
          </w:tcPr>
          <w:p>
            <w:pPr>
              <w:pStyle w:val="2057"/>
              <w:spacing w:afterLines="0"/>
              <w:ind w:firstLine="0" w:firstLineChars="0"/>
              <w:rPr>
                <w:sz w:val="21"/>
                <w:szCs w:val="21"/>
              </w:rPr>
            </w:pPr>
            <w:r>
              <w:rPr>
                <w:rFonts w:hint="eastAsia"/>
                <w:sz w:val="21"/>
                <w:szCs w:val="21"/>
              </w:rPr>
              <w:t>砂石</w:t>
            </w:r>
          </w:p>
        </w:tc>
        <w:tc>
          <w:tcPr>
            <w:tcW w:w="312" w:type="pct"/>
            <w:vAlign w:val="center"/>
          </w:tcPr>
          <w:p>
            <w:pPr>
              <w:pStyle w:val="2057"/>
              <w:spacing w:afterLines="0"/>
              <w:ind w:firstLine="0" w:firstLineChars="0"/>
              <w:rPr>
                <w:sz w:val="21"/>
                <w:szCs w:val="21"/>
              </w:rPr>
            </w:pPr>
            <w:r>
              <w:rPr>
                <w:rFonts w:hint="eastAsia"/>
                <w:sz w:val="21"/>
                <w:szCs w:val="21"/>
              </w:rPr>
              <w:t>0.6</w:t>
            </w:r>
          </w:p>
        </w:tc>
        <w:tc>
          <w:tcPr>
            <w:tcW w:w="312" w:type="pct"/>
            <w:vAlign w:val="center"/>
          </w:tcPr>
          <w:p>
            <w:pPr>
              <w:pStyle w:val="2057"/>
              <w:spacing w:afterLines="0"/>
              <w:ind w:firstLine="0" w:firstLineChars="0"/>
              <w:rPr>
                <w:sz w:val="21"/>
                <w:szCs w:val="21"/>
              </w:rPr>
            </w:pPr>
            <w:r>
              <w:rPr>
                <w:rFonts w:hint="eastAsia"/>
                <w:sz w:val="21"/>
                <w:szCs w:val="21"/>
              </w:rPr>
              <w:t>1</w:t>
            </w:r>
          </w:p>
        </w:tc>
        <w:tc>
          <w:tcPr>
            <w:tcW w:w="312" w:type="pct"/>
            <w:vAlign w:val="center"/>
          </w:tcPr>
          <w:p>
            <w:pPr>
              <w:pStyle w:val="2057"/>
              <w:spacing w:afterLines="0"/>
              <w:ind w:firstLine="0" w:firstLineChars="0"/>
              <w:rPr>
                <w:sz w:val="21"/>
                <w:szCs w:val="21"/>
              </w:rPr>
            </w:pPr>
            <w:r>
              <w:rPr>
                <w:rFonts w:hint="eastAsia"/>
                <w:sz w:val="21"/>
                <w:szCs w:val="21"/>
              </w:rPr>
              <w:t>0.2</w:t>
            </w:r>
          </w:p>
        </w:tc>
        <w:tc>
          <w:tcPr>
            <w:tcW w:w="312" w:type="pct"/>
            <w:vAlign w:val="center"/>
          </w:tcPr>
          <w:p>
            <w:pPr>
              <w:pStyle w:val="2057"/>
              <w:spacing w:afterLines="0"/>
              <w:ind w:firstLine="0" w:firstLineChars="0"/>
              <w:rPr>
                <w:sz w:val="21"/>
                <w:szCs w:val="21"/>
              </w:rPr>
            </w:pPr>
            <w:r>
              <w:rPr>
                <w:rFonts w:hint="eastAsia"/>
                <w:sz w:val="21"/>
                <w:szCs w:val="21"/>
              </w:rPr>
              <w:t>0.45</w:t>
            </w:r>
          </w:p>
        </w:tc>
        <w:tc>
          <w:tcPr>
            <w:tcW w:w="312" w:type="pct"/>
            <w:vAlign w:val="center"/>
          </w:tcPr>
          <w:p>
            <w:pPr>
              <w:pStyle w:val="2057"/>
              <w:spacing w:afterLines="0"/>
              <w:ind w:firstLine="0" w:firstLineChars="0"/>
              <w:rPr>
                <w:sz w:val="21"/>
                <w:szCs w:val="21"/>
              </w:rPr>
            </w:pPr>
            <w:r>
              <w:rPr>
                <w:rFonts w:hint="eastAsia"/>
                <w:sz w:val="21"/>
                <w:szCs w:val="21"/>
              </w:rPr>
              <w:t>5</w:t>
            </w:r>
          </w:p>
        </w:tc>
        <w:tc>
          <w:tcPr>
            <w:tcW w:w="312" w:type="pct"/>
            <w:vAlign w:val="center"/>
          </w:tcPr>
          <w:p>
            <w:pPr>
              <w:pStyle w:val="2057"/>
              <w:spacing w:afterLines="0"/>
              <w:ind w:firstLine="0" w:firstLineChars="0"/>
              <w:rPr>
                <w:sz w:val="21"/>
                <w:szCs w:val="21"/>
              </w:rPr>
            </w:pPr>
            <w:r>
              <w:rPr>
                <w:rFonts w:hint="eastAsia"/>
                <w:sz w:val="21"/>
                <w:szCs w:val="21"/>
              </w:rPr>
              <w:t>8</w:t>
            </w:r>
          </w:p>
        </w:tc>
        <w:tc>
          <w:tcPr>
            <w:tcW w:w="312" w:type="pct"/>
            <w:vAlign w:val="center"/>
          </w:tcPr>
          <w:p>
            <w:pPr>
              <w:pStyle w:val="2057"/>
              <w:spacing w:afterLines="0"/>
              <w:ind w:firstLine="0" w:firstLineChars="0"/>
              <w:rPr>
                <w:sz w:val="21"/>
                <w:szCs w:val="21"/>
              </w:rPr>
            </w:pPr>
            <w:r>
              <w:rPr>
                <w:rFonts w:hint="eastAsia"/>
                <w:sz w:val="21"/>
                <w:szCs w:val="21"/>
              </w:rPr>
              <w:t xml:space="preserve">315.657 </w:t>
            </w:r>
          </w:p>
        </w:tc>
        <w:tc>
          <w:tcPr>
            <w:tcW w:w="312" w:type="pct"/>
            <w:vAlign w:val="center"/>
          </w:tcPr>
          <w:p>
            <w:pPr>
              <w:pStyle w:val="2057"/>
              <w:spacing w:afterLines="0"/>
              <w:ind w:firstLine="0" w:firstLineChars="0"/>
              <w:rPr>
                <w:sz w:val="21"/>
                <w:szCs w:val="21"/>
              </w:rPr>
            </w:pPr>
            <w:r>
              <w:rPr>
                <w:rFonts w:hint="eastAsia"/>
                <w:sz w:val="21"/>
                <w:szCs w:val="21"/>
              </w:rPr>
              <w:t>16</w:t>
            </w:r>
          </w:p>
        </w:tc>
        <w:tc>
          <w:tcPr>
            <w:tcW w:w="312" w:type="pct"/>
            <w:vAlign w:val="center"/>
          </w:tcPr>
          <w:p>
            <w:pPr>
              <w:pStyle w:val="2057"/>
              <w:spacing w:afterLines="0"/>
              <w:ind w:firstLine="0" w:firstLineChars="0"/>
              <w:rPr>
                <w:sz w:val="21"/>
                <w:szCs w:val="21"/>
              </w:rPr>
            </w:pPr>
            <w:r>
              <w:rPr>
                <w:rFonts w:hint="eastAsia"/>
                <w:sz w:val="21"/>
                <w:szCs w:val="21"/>
              </w:rPr>
              <w:t>2.5</w:t>
            </w:r>
          </w:p>
        </w:tc>
        <w:tc>
          <w:tcPr>
            <w:tcW w:w="312" w:type="pct"/>
            <w:vAlign w:val="center"/>
          </w:tcPr>
          <w:p>
            <w:pPr>
              <w:pStyle w:val="2057"/>
              <w:spacing w:afterLines="0"/>
              <w:ind w:firstLine="0" w:firstLineChars="0"/>
              <w:rPr>
                <w:sz w:val="21"/>
                <w:szCs w:val="21"/>
              </w:rPr>
            </w:pPr>
            <w:r>
              <w:rPr>
                <w:rFonts w:hint="eastAsia"/>
                <w:sz w:val="21"/>
                <w:szCs w:val="21"/>
              </w:rPr>
              <w:t xml:space="preserve">0.325 </w:t>
            </w:r>
          </w:p>
        </w:tc>
        <w:tc>
          <w:tcPr>
            <w:tcW w:w="312" w:type="pct"/>
            <w:vAlign w:val="center"/>
          </w:tcPr>
          <w:p>
            <w:pPr>
              <w:pStyle w:val="2057"/>
              <w:spacing w:afterLines="0"/>
              <w:ind w:firstLine="0" w:firstLineChars="0"/>
              <w:rPr>
                <w:sz w:val="21"/>
                <w:szCs w:val="21"/>
              </w:rPr>
            </w:pPr>
            <w:r>
              <w:rPr>
                <w:rFonts w:hint="eastAsia"/>
                <w:sz w:val="21"/>
                <w:szCs w:val="21"/>
              </w:rPr>
              <w:t xml:space="preserve">2.573 </w:t>
            </w:r>
          </w:p>
        </w:tc>
        <w:tc>
          <w:tcPr>
            <w:tcW w:w="312" w:type="pct"/>
            <w:vAlign w:val="center"/>
          </w:tcPr>
          <w:p>
            <w:pPr>
              <w:pStyle w:val="2057"/>
              <w:spacing w:afterLines="0"/>
              <w:ind w:firstLine="0" w:firstLineChars="0"/>
              <w:rPr>
                <w:sz w:val="21"/>
                <w:szCs w:val="21"/>
              </w:rPr>
            </w:pPr>
            <w:r>
              <w:rPr>
                <w:rFonts w:hint="eastAsia"/>
                <w:sz w:val="21"/>
                <w:szCs w:val="21"/>
              </w:rPr>
              <w:t>90%</w:t>
            </w:r>
          </w:p>
        </w:tc>
        <w:tc>
          <w:tcPr>
            <w:tcW w:w="312" w:type="pct"/>
            <w:vAlign w:val="center"/>
          </w:tcPr>
          <w:p>
            <w:pPr>
              <w:pStyle w:val="2057"/>
              <w:spacing w:afterLines="0"/>
              <w:ind w:firstLine="0" w:firstLineChars="0"/>
              <w:rPr>
                <w:sz w:val="21"/>
                <w:szCs w:val="21"/>
              </w:rPr>
            </w:pPr>
            <w:r>
              <w:rPr>
                <w:rFonts w:hint="eastAsia"/>
                <w:sz w:val="21"/>
                <w:szCs w:val="21"/>
              </w:rPr>
              <w:t xml:space="preserve">0.257 </w:t>
            </w:r>
          </w:p>
        </w:tc>
        <w:tc>
          <w:tcPr>
            <w:tcW w:w="315" w:type="pct"/>
            <w:vAlign w:val="center"/>
          </w:tcPr>
          <w:p>
            <w:pPr>
              <w:pStyle w:val="2057"/>
              <w:spacing w:afterLines="0"/>
              <w:ind w:firstLine="0" w:firstLineChars="0"/>
              <w:rPr>
                <w:sz w:val="21"/>
                <w:szCs w:val="21"/>
              </w:rPr>
            </w:pPr>
            <w:r>
              <w:rPr>
                <w:rFonts w:hint="eastAsia"/>
                <w:sz w:val="21"/>
                <w:szCs w:val="21"/>
              </w:rPr>
              <w:t xml:space="preserve">0.032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59" w:hRule="atLeast"/>
        </w:trPr>
        <w:tc>
          <w:tcPr>
            <w:tcW w:w="312" w:type="pct"/>
            <w:vMerge w:val="continue"/>
            <w:vAlign w:val="center"/>
          </w:tcPr>
          <w:p>
            <w:pPr>
              <w:pStyle w:val="2057"/>
              <w:spacing w:afterLines="0"/>
              <w:ind w:firstLine="0" w:firstLineChars="0"/>
              <w:rPr>
                <w:sz w:val="21"/>
                <w:szCs w:val="21"/>
              </w:rPr>
            </w:pPr>
          </w:p>
        </w:tc>
        <w:tc>
          <w:tcPr>
            <w:tcW w:w="312" w:type="pct"/>
            <w:vAlign w:val="center"/>
          </w:tcPr>
          <w:p>
            <w:pPr>
              <w:pStyle w:val="2057"/>
              <w:spacing w:afterLines="0"/>
              <w:ind w:firstLine="0" w:firstLineChars="0"/>
              <w:rPr>
                <w:sz w:val="21"/>
                <w:szCs w:val="21"/>
              </w:rPr>
            </w:pPr>
            <w:r>
              <w:rPr>
                <w:rFonts w:hint="eastAsia"/>
                <w:sz w:val="21"/>
                <w:szCs w:val="21"/>
              </w:rPr>
              <w:t>铁矿石</w:t>
            </w:r>
          </w:p>
        </w:tc>
        <w:tc>
          <w:tcPr>
            <w:tcW w:w="312" w:type="pct"/>
            <w:vAlign w:val="center"/>
          </w:tcPr>
          <w:p>
            <w:pPr>
              <w:pStyle w:val="2057"/>
              <w:spacing w:afterLines="0"/>
              <w:ind w:firstLine="0" w:firstLineChars="0"/>
              <w:rPr>
                <w:sz w:val="21"/>
                <w:szCs w:val="21"/>
              </w:rPr>
            </w:pPr>
            <w:r>
              <w:rPr>
                <w:rFonts w:hint="eastAsia"/>
                <w:sz w:val="21"/>
                <w:szCs w:val="21"/>
              </w:rPr>
              <w:t>0.6</w:t>
            </w:r>
          </w:p>
        </w:tc>
        <w:tc>
          <w:tcPr>
            <w:tcW w:w="312" w:type="pct"/>
            <w:vAlign w:val="center"/>
          </w:tcPr>
          <w:p>
            <w:pPr>
              <w:pStyle w:val="2057"/>
              <w:spacing w:afterLines="0"/>
              <w:ind w:firstLine="0" w:firstLineChars="0"/>
              <w:rPr>
                <w:sz w:val="21"/>
                <w:szCs w:val="21"/>
              </w:rPr>
            </w:pPr>
            <w:r>
              <w:rPr>
                <w:rFonts w:hint="eastAsia"/>
                <w:sz w:val="21"/>
                <w:szCs w:val="21"/>
              </w:rPr>
              <w:t>1</w:t>
            </w:r>
          </w:p>
        </w:tc>
        <w:tc>
          <w:tcPr>
            <w:tcW w:w="312" w:type="pct"/>
            <w:vAlign w:val="center"/>
          </w:tcPr>
          <w:p>
            <w:pPr>
              <w:pStyle w:val="2057"/>
              <w:spacing w:afterLines="0"/>
              <w:ind w:firstLine="0" w:firstLineChars="0"/>
              <w:rPr>
                <w:sz w:val="21"/>
                <w:szCs w:val="21"/>
              </w:rPr>
            </w:pPr>
            <w:r>
              <w:rPr>
                <w:rFonts w:hint="eastAsia"/>
                <w:sz w:val="21"/>
                <w:szCs w:val="21"/>
              </w:rPr>
              <w:t>0.2</w:t>
            </w:r>
          </w:p>
        </w:tc>
        <w:tc>
          <w:tcPr>
            <w:tcW w:w="312" w:type="pct"/>
            <w:vAlign w:val="center"/>
          </w:tcPr>
          <w:p>
            <w:pPr>
              <w:pStyle w:val="2057"/>
              <w:spacing w:afterLines="0"/>
              <w:ind w:firstLine="0" w:firstLineChars="0"/>
              <w:rPr>
                <w:sz w:val="21"/>
                <w:szCs w:val="21"/>
              </w:rPr>
            </w:pPr>
            <w:r>
              <w:rPr>
                <w:rFonts w:hint="eastAsia"/>
                <w:sz w:val="21"/>
                <w:szCs w:val="21"/>
              </w:rPr>
              <w:t>0.45</w:t>
            </w:r>
          </w:p>
        </w:tc>
        <w:tc>
          <w:tcPr>
            <w:tcW w:w="312" w:type="pct"/>
            <w:vAlign w:val="center"/>
          </w:tcPr>
          <w:p>
            <w:pPr>
              <w:pStyle w:val="2057"/>
              <w:spacing w:afterLines="0"/>
              <w:ind w:firstLine="0" w:firstLineChars="0"/>
              <w:rPr>
                <w:sz w:val="21"/>
                <w:szCs w:val="21"/>
              </w:rPr>
            </w:pPr>
            <w:r>
              <w:rPr>
                <w:rFonts w:hint="eastAsia"/>
                <w:sz w:val="21"/>
                <w:szCs w:val="21"/>
              </w:rPr>
              <w:t>5</w:t>
            </w:r>
          </w:p>
        </w:tc>
        <w:tc>
          <w:tcPr>
            <w:tcW w:w="312" w:type="pct"/>
            <w:vAlign w:val="center"/>
          </w:tcPr>
          <w:p>
            <w:pPr>
              <w:pStyle w:val="2057"/>
              <w:spacing w:afterLines="0"/>
              <w:ind w:firstLine="0" w:firstLineChars="0"/>
              <w:rPr>
                <w:sz w:val="21"/>
                <w:szCs w:val="21"/>
              </w:rPr>
            </w:pPr>
            <w:r>
              <w:rPr>
                <w:rFonts w:hint="eastAsia"/>
                <w:sz w:val="21"/>
                <w:szCs w:val="21"/>
              </w:rPr>
              <w:t>8</w:t>
            </w:r>
          </w:p>
        </w:tc>
        <w:tc>
          <w:tcPr>
            <w:tcW w:w="312" w:type="pct"/>
            <w:vAlign w:val="center"/>
          </w:tcPr>
          <w:p>
            <w:pPr>
              <w:pStyle w:val="2057"/>
              <w:spacing w:afterLines="0"/>
              <w:ind w:firstLine="0" w:firstLineChars="0"/>
              <w:rPr>
                <w:sz w:val="21"/>
                <w:szCs w:val="21"/>
              </w:rPr>
            </w:pPr>
            <w:r>
              <w:rPr>
                <w:rFonts w:hint="eastAsia"/>
                <w:sz w:val="21"/>
                <w:szCs w:val="21"/>
              </w:rPr>
              <w:t xml:space="preserve">63.131 </w:t>
            </w:r>
          </w:p>
        </w:tc>
        <w:tc>
          <w:tcPr>
            <w:tcW w:w="312" w:type="pct"/>
            <w:vAlign w:val="center"/>
          </w:tcPr>
          <w:p>
            <w:pPr>
              <w:pStyle w:val="2057"/>
              <w:spacing w:afterLines="0"/>
              <w:ind w:firstLine="0" w:firstLineChars="0"/>
              <w:rPr>
                <w:sz w:val="21"/>
                <w:szCs w:val="21"/>
              </w:rPr>
            </w:pPr>
            <w:r>
              <w:rPr>
                <w:rFonts w:hint="eastAsia"/>
                <w:sz w:val="21"/>
                <w:szCs w:val="21"/>
              </w:rPr>
              <w:t>16</w:t>
            </w:r>
          </w:p>
        </w:tc>
        <w:tc>
          <w:tcPr>
            <w:tcW w:w="312" w:type="pct"/>
            <w:vAlign w:val="center"/>
          </w:tcPr>
          <w:p>
            <w:pPr>
              <w:pStyle w:val="2057"/>
              <w:spacing w:afterLines="0"/>
              <w:ind w:firstLine="0" w:firstLineChars="0"/>
              <w:rPr>
                <w:sz w:val="21"/>
                <w:szCs w:val="21"/>
              </w:rPr>
            </w:pPr>
            <w:r>
              <w:rPr>
                <w:rFonts w:hint="eastAsia"/>
                <w:sz w:val="21"/>
                <w:szCs w:val="21"/>
              </w:rPr>
              <w:t>2.5</w:t>
            </w:r>
          </w:p>
        </w:tc>
        <w:tc>
          <w:tcPr>
            <w:tcW w:w="312" w:type="pct"/>
            <w:vAlign w:val="center"/>
          </w:tcPr>
          <w:p>
            <w:pPr>
              <w:pStyle w:val="2057"/>
              <w:spacing w:afterLines="0"/>
              <w:ind w:firstLine="0" w:firstLineChars="0"/>
              <w:rPr>
                <w:sz w:val="21"/>
                <w:szCs w:val="21"/>
              </w:rPr>
            </w:pPr>
            <w:r>
              <w:rPr>
                <w:rFonts w:hint="eastAsia"/>
                <w:sz w:val="21"/>
                <w:szCs w:val="21"/>
              </w:rPr>
              <w:t xml:space="preserve">0.065 </w:t>
            </w:r>
          </w:p>
        </w:tc>
        <w:tc>
          <w:tcPr>
            <w:tcW w:w="312" w:type="pct"/>
            <w:vAlign w:val="center"/>
          </w:tcPr>
          <w:p>
            <w:pPr>
              <w:pStyle w:val="2057"/>
              <w:spacing w:afterLines="0"/>
              <w:ind w:firstLine="0" w:firstLineChars="0"/>
              <w:rPr>
                <w:sz w:val="21"/>
                <w:szCs w:val="21"/>
              </w:rPr>
            </w:pPr>
            <w:r>
              <w:rPr>
                <w:rFonts w:hint="eastAsia"/>
                <w:sz w:val="21"/>
                <w:szCs w:val="21"/>
              </w:rPr>
              <w:t xml:space="preserve">0.515 </w:t>
            </w:r>
          </w:p>
        </w:tc>
        <w:tc>
          <w:tcPr>
            <w:tcW w:w="312" w:type="pct"/>
            <w:vAlign w:val="center"/>
          </w:tcPr>
          <w:p>
            <w:pPr>
              <w:pStyle w:val="2057"/>
              <w:spacing w:afterLines="0"/>
              <w:ind w:firstLine="0" w:firstLineChars="0"/>
              <w:rPr>
                <w:sz w:val="21"/>
                <w:szCs w:val="21"/>
              </w:rPr>
            </w:pPr>
            <w:r>
              <w:rPr>
                <w:rFonts w:hint="eastAsia"/>
                <w:sz w:val="21"/>
                <w:szCs w:val="21"/>
              </w:rPr>
              <w:t>90%</w:t>
            </w:r>
          </w:p>
        </w:tc>
        <w:tc>
          <w:tcPr>
            <w:tcW w:w="312" w:type="pct"/>
            <w:vAlign w:val="center"/>
          </w:tcPr>
          <w:p>
            <w:pPr>
              <w:pStyle w:val="2057"/>
              <w:spacing w:afterLines="0"/>
              <w:ind w:firstLine="0" w:firstLineChars="0"/>
              <w:rPr>
                <w:sz w:val="21"/>
                <w:szCs w:val="21"/>
              </w:rPr>
            </w:pPr>
            <w:r>
              <w:rPr>
                <w:rFonts w:hint="eastAsia"/>
                <w:sz w:val="21"/>
                <w:szCs w:val="21"/>
              </w:rPr>
              <w:t xml:space="preserve">0.051 </w:t>
            </w:r>
          </w:p>
        </w:tc>
        <w:tc>
          <w:tcPr>
            <w:tcW w:w="315" w:type="pct"/>
            <w:vAlign w:val="center"/>
          </w:tcPr>
          <w:p>
            <w:pPr>
              <w:pStyle w:val="2057"/>
              <w:spacing w:afterLines="0"/>
              <w:ind w:firstLine="0" w:firstLineChars="0"/>
              <w:rPr>
                <w:sz w:val="21"/>
                <w:szCs w:val="21"/>
              </w:rPr>
            </w:pPr>
            <w:r>
              <w:rPr>
                <w:rFonts w:hint="eastAsia"/>
                <w:sz w:val="21"/>
                <w:szCs w:val="21"/>
              </w:rPr>
              <w:t xml:space="preserve">0.006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154" w:hRule="atLeast"/>
        </w:trPr>
        <w:tc>
          <w:tcPr>
            <w:tcW w:w="312" w:type="pct"/>
            <w:vMerge w:val="restart"/>
            <w:vAlign w:val="center"/>
          </w:tcPr>
          <w:p>
            <w:pPr>
              <w:pStyle w:val="2057"/>
              <w:spacing w:afterLines="0"/>
              <w:ind w:firstLine="0" w:firstLineChars="0"/>
              <w:rPr>
                <w:sz w:val="21"/>
                <w:szCs w:val="21"/>
              </w:rPr>
            </w:pPr>
            <w:r>
              <w:rPr>
                <w:rFonts w:hint="eastAsia"/>
                <w:sz w:val="21"/>
                <w:szCs w:val="21"/>
              </w:rPr>
              <w:t>2</w:t>
            </w:r>
            <w:r>
              <w:rPr>
                <w:sz w:val="21"/>
                <w:szCs w:val="21"/>
              </w:rPr>
              <w:t>#</w:t>
            </w:r>
            <w:r>
              <w:rPr>
                <w:rFonts w:hint="eastAsia"/>
                <w:sz w:val="21"/>
                <w:szCs w:val="21"/>
              </w:rPr>
              <w:t>散货进口泊位</w:t>
            </w:r>
          </w:p>
        </w:tc>
        <w:tc>
          <w:tcPr>
            <w:tcW w:w="312" w:type="pct"/>
            <w:vAlign w:val="center"/>
          </w:tcPr>
          <w:p>
            <w:pPr>
              <w:pStyle w:val="2057"/>
              <w:spacing w:afterLines="0"/>
              <w:ind w:firstLine="0" w:firstLineChars="0"/>
              <w:rPr>
                <w:sz w:val="21"/>
                <w:szCs w:val="21"/>
              </w:rPr>
            </w:pPr>
            <w:r>
              <w:rPr>
                <w:rFonts w:hint="eastAsia"/>
                <w:sz w:val="21"/>
                <w:szCs w:val="21"/>
              </w:rPr>
              <w:t>砂石</w:t>
            </w:r>
          </w:p>
        </w:tc>
        <w:tc>
          <w:tcPr>
            <w:tcW w:w="312" w:type="pct"/>
            <w:vAlign w:val="center"/>
          </w:tcPr>
          <w:p>
            <w:pPr>
              <w:pStyle w:val="2057"/>
              <w:spacing w:afterLines="0"/>
              <w:ind w:firstLine="0" w:firstLineChars="0"/>
              <w:rPr>
                <w:sz w:val="21"/>
                <w:szCs w:val="21"/>
              </w:rPr>
            </w:pPr>
            <w:r>
              <w:rPr>
                <w:rFonts w:hint="eastAsia"/>
                <w:sz w:val="21"/>
                <w:szCs w:val="21"/>
              </w:rPr>
              <w:t>0.6</w:t>
            </w:r>
          </w:p>
        </w:tc>
        <w:tc>
          <w:tcPr>
            <w:tcW w:w="312" w:type="pct"/>
            <w:vAlign w:val="center"/>
          </w:tcPr>
          <w:p>
            <w:pPr>
              <w:pStyle w:val="2057"/>
              <w:spacing w:afterLines="0"/>
              <w:ind w:firstLine="0" w:firstLineChars="0"/>
              <w:rPr>
                <w:sz w:val="21"/>
                <w:szCs w:val="21"/>
              </w:rPr>
            </w:pPr>
            <w:r>
              <w:rPr>
                <w:rFonts w:hint="eastAsia"/>
                <w:sz w:val="21"/>
                <w:szCs w:val="21"/>
              </w:rPr>
              <w:t>2</w:t>
            </w:r>
          </w:p>
        </w:tc>
        <w:tc>
          <w:tcPr>
            <w:tcW w:w="312" w:type="pct"/>
            <w:vAlign w:val="center"/>
          </w:tcPr>
          <w:p>
            <w:pPr>
              <w:pStyle w:val="2057"/>
              <w:spacing w:afterLines="0"/>
              <w:ind w:firstLine="0" w:firstLineChars="0"/>
              <w:rPr>
                <w:sz w:val="21"/>
                <w:szCs w:val="21"/>
              </w:rPr>
            </w:pPr>
            <w:r>
              <w:rPr>
                <w:rFonts w:hint="eastAsia"/>
                <w:sz w:val="21"/>
                <w:szCs w:val="21"/>
              </w:rPr>
              <w:t>0.5</w:t>
            </w:r>
          </w:p>
        </w:tc>
        <w:tc>
          <w:tcPr>
            <w:tcW w:w="312" w:type="pct"/>
            <w:vAlign w:val="center"/>
          </w:tcPr>
          <w:p>
            <w:pPr>
              <w:pStyle w:val="2057"/>
              <w:spacing w:afterLines="0"/>
              <w:ind w:firstLine="0" w:firstLineChars="0"/>
              <w:rPr>
                <w:sz w:val="21"/>
                <w:szCs w:val="21"/>
              </w:rPr>
            </w:pPr>
            <w:r>
              <w:rPr>
                <w:rFonts w:hint="eastAsia"/>
                <w:sz w:val="21"/>
                <w:szCs w:val="21"/>
              </w:rPr>
              <w:t>0.45</w:t>
            </w:r>
          </w:p>
        </w:tc>
        <w:tc>
          <w:tcPr>
            <w:tcW w:w="312" w:type="pct"/>
            <w:vAlign w:val="center"/>
          </w:tcPr>
          <w:p>
            <w:pPr>
              <w:pStyle w:val="2057"/>
              <w:spacing w:afterLines="0"/>
              <w:ind w:firstLine="0" w:firstLineChars="0"/>
              <w:rPr>
                <w:sz w:val="21"/>
                <w:szCs w:val="21"/>
              </w:rPr>
            </w:pPr>
            <w:r>
              <w:rPr>
                <w:rFonts w:hint="eastAsia"/>
                <w:sz w:val="21"/>
                <w:szCs w:val="21"/>
              </w:rPr>
              <w:t>5</w:t>
            </w:r>
          </w:p>
        </w:tc>
        <w:tc>
          <w:tcPr>
            <w:tcW w:w="312" w:type="pct"/>
            <w:vAlign w:val="center"/>
          </w:tcPr>
          <w:p>
            <w:pPr>
              <w:pStyle w:val="2057"/>
              <w:spacing w:afterLines="0"/>
              <w:ind w:firstLine="0" w:firstLineChars="0"/>
              <w:rPr>
                <w:sz w:val="21"/>
                <w:szCs w:val="21"/>
              </w:rPr>
            </w:pPr>
            <w:r>
              <w:rPr>
                <w:rFonts w:hint="eastAsia"/>
                <w:sz w:val="21"/>
                <w:szCs w:val="21"/>
              </w:rPr>
              <w:t>8</w:t>
            </w:r>
          </w:p>
        </w:tc>
        <w:tc>
          <w:tcPr>
            <w:tcW w:w="885" w:type="dxa"/>
            <w:vAlign w:val="center"/>
          </w:tcPr>
          <w:p>
            <w:pPr>
              <w:pStyle w:val="2057"/>
              <w:spacing w:afterLines="0"/>
              <w:ind w:firstLine="0" w:firstLineChars="0"/>
              <w:rPr>
                <w:sz w:val="21"/>
                <w:szCs w:val="21"/>
              </w:rPr>
            </w:pPr>
            <w:r>
              <w:rPr>
                <w:rFonts w:hint="eastAsia"/>
                <w:sz w:val="21"/>
                <w:szCs w:val="21"/>
              </w:rPr>
              <w:t xml:space="preserve">157.828 </w:t>
            </w:r>
          </w:p>
        </w:tc>
        <w:tc>
          <w:tcPr>
            <w:tcW w:w="312" w:type="pct"/>
            <w:vAlign w:val="center"/>
          </w:tcPr>
          <w:p>
            <w:pPr>
              <w:pStyle w:val="2057"/>
              <w:spacing w:afterLines="0"/>
              <w:ind w:firstLine="0" w:firstLineChars="0"/>
              <w:rPr>
                <w:sz w:val="21"/>
                <w:szCs w:val="21"/>
              </w:rPr>
            </w:pPr>
            <w:r>
              <w:rPr>
                <w:rFonts w:hint="eastAsia"/>
                <w:sz w:val="21"/>
                <w:szCs w:val="21"/>
              </w:rPr>
              <w:t>16</w:t>
            </w:r>
          </w:p>
        </w:tc>
        <w:tc>
          <w:tcPr>
            <w:tcW w:w="312" w:type="pct"/>
            <w:vAlign w:val="center"/>
          </w:tcPr>
          <w:p>
            <w:pPr>
              <w:pStyle w:val="2057"/>
              <w:spacing w:afterLines="0"/>
              <w:ind w:firstLine="0" w:firstLineChars="0"/>
              <w:rPr>
                <w:sz w:val="21"/>
                <w:szCs w:val="21"/>
              </w:rPr>
            </w:pPr>
            <w:r>
              <w:rPr>
                <w:rFonts w:hint="eastAsia"/>
                <w:sz w:val="21"/>
                <w:szCs w:val="21"/>
              </w:rPr>
              <w:t>2.5</w:t>
            </w:r>
          </w:p>
        </w:tc>
        <w:tc>
          <w:tcPr>
            <w:tcW w:w="312" w:type="pct"/>
            <w:vAlign w:val="center"/>
          </w:tcPr>
          <w:p>
            <w:pPr>
              <w:pStyle w:val="2057"/>
              <w:spacing w:afterLines="0"/>
              <w:ind w:firstLine="0" w:firstLineChars="0"/>
              <w:rPr>
                <w:sz w:val="21"/>
                <w:szCs w:val="21"/>
              </w:rPr>
            </w:pPr>
            <w:r>
              <w:rPr>
                <w:rFonts w:hint="eastAsia"/>
                <w:sz w:val="21"/>
                <w:szCs w:val="21"/>
              </w:rPr>
              <w:t xml:space="preserve">0.812 </w:t>
            </w:r>
          </w:p>
        </w:tc>
        <w:tc>
          <w:tcPr>
            <w:tcW w:w="312" w:type="pct"/>
            <w:vAlign w:val="center"/>
          </w:tcPr>
          <w:p>
            <w:pPr>
              <w:pStyle w:val="2057"/>
              <w:spacing w:afterLines="0"/>
              <w:ind w:firstLine="0" w:firstLineChars="0"/>
              <w:rPr>
                <w:sz w:val="21"/>
                <w:szCs w:val="21"/>
              </w:rPr>
            </w:pPr>
            <w:r>
              <w:rPr>
                <w:rFonts w:hint="eastAsia"/>
                <w:sz w:val="21"/>
                <w:szCs w:val="21"/>
              </w:rPr>
              <w:t xml:space="preserve">6.433 </w:t>
            </w:r>
          </w:p>
        </w:tc>
        <w:tc>
          <w:tcPr>
            <w:tcW w:w="312" w:type="pct"/>
            <w:vAlign w:val="center"/>
          </w:tcPr>
          <w:p>
            <w:pPr>
              <w:pStyle w:val="2057"/>
              <w:spacing w:afterLines="0"/>
              <w:ind w:firstLine="0" w:firstLineChars="0"/>
              <w:rPr>
                <w:sz w:val="21"/>
                <w:szCs w:val="21"/>
              </w:rPr>
            </w:pPr>
            <w:r>
              <w:rPr>
                <w:rFonts w:hint="eastAsia"/>
                <w:sz w:val="21"/>
                <w:szCs w:val="21"/>
              </w:rPr>
              <w:t>90%</w:t>
            </w:r>
          </w:p>
        </w:tc>
        <w:tc>
          <w:tcPr>
            <w:tcW w:w="312" w:type="pct"/>
            <w:vAlign w:val="center"/>
          </w:tcPr>
          <w:p>
            <w:pPr>
              <w:pStyle w:val="2057"/>
              <w:spacing w:afterLines="0"/>
              <w:ind w:firstLine="0" w:firstLineChars="0"/>
              <w:rPr>
                <w:sz w:val="21"/>
                <w:szCs w:val="21"/>
              </w:rPr>
            </w:pPr>
            <w:r>
              <w:rPr>
                <w:rFonts w:hint="eastAsia"/>
                <w:sz w:val="21"/>
                <w:szCs w:val="21"/>
              </w:rPr>
              <w:t xml:space="preserve">0.643 </w:t>
            </w:r>
          </w:p>
        </w:tc>
        <w:tc>
          <w:tcPr>
            <w:tcW w:w="315" w:type="pct"/>
            <w:vAlign w:val="center"/>
          </w:tcPr>
          <w:p>
            <w:pPr>
              <w:pStyle w:val="2057"/>
              <w:spacing w:afterLines="0"/>
              <w:ind w:firstLine="0" w:firstLineChars="0"/>
              <w:rPr>
                <w:sz w:val="21"/>
                <w:szCs w:val="21"/>
              </w:rPr>
            </w:pPr>
            <w:r>
              <w:rPr>
                <w:rFonts w:hint="eastAsia"/>
                <w:sz w:val="21"/>
                <w:szCs w:val="21"/>
              </w:rPr>
              <w:t xml:space="preserve">0.081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44" w:hRule="atLeast"/>
        </w:trPr>
        <w:tc>
          <w:tcPr>
            <w:tcW w:w="312" w:type="pct"/>
            <w:vMerge w:val="continue"/>
            <w:vAlign w:val="center"/>
          </w:tcPr>
          <w:p>
            <w:pPr>
              <w:pStyle w:val="2057"/>
              <w:spacing w:afterLines="0"/>
              <w:ind w:firstLine="0" w:firstLineChars="0"/>
              <w:rPr>
                <w:sz w:val="21"/>
                <w:szCs w:val="21"/>
              </w:rPr>
            </w:pPr>
          </w:p>
        </w:tc>
        <w:tc>
          <w:tcPr>
            <w:tcW w:w="312" w:type="pct"/>
            <w:vAlign w:val="center"/>
          </w:tcPr>
          <w:p>
            <w:pPr>
              <w:pStyle w:val="2057"/>
              <w:spacing w:afterLines="0"/>
              <w:ind w:firstLine="0" w:firstLineChars="0"/>
              <w:rPr>
                <w:sz w:val="21"/>
                <w:szCs w:val="21"/>
              </w:rPr>
            </w:pPr>
            <w:r>
              <w:rPr>
                <w:rFonts w:hint="eastAsia"/>
                <w:sz w:val="21"/>
                <w:szCs w:val="21"/>
              </w:rPr>
              <w:t>铁矿石</w:t>
            </w:r>
          </w:p>
        </w:tc>
        <w:tc>
          <w:tcPr>
            <w:tcW w:w="312" w:type="pct"/>
            <w:vAlign w:val="center"/>
          </w:tcPr>
          <w:p>
            <w:pPr>
              <w:pStyle w:val="2057"/>
              <w:spacing w:afterLines="0"/>
              <w:ind w:firstLine="0" w:firstLineChars="0"/>
              <w:rPr>
                <w:sz w:val="21"/>
                <w:szCs w:val="21"/>
              </w:rPr>
            </w:pPr>
            <w:r>
              <w:rPr>
                <w:rFonts w:hint="eastAsia"/>
                <w:sz w:val="21"/>
                <w:szCs w:val="21"/>
              </w:rPr>
              <w:t>0.6</w:t>
            </w:r>
          </w:p>
        </w:tc>
        <w:tc>
          <w:tcPr>
            <w:tcW w:w="312" w:type="pct"/>
            <w:vAlign w:val="center"/>
          </w:tcPr>
          <w:p>
            <w:pPr>
              <w:pStyle w:val="2057"/>
              <w:spacing w:afterLines="0"/>
              <w:ind w:firstLine="0" w:firstLineChars="0"/>
              <w:rPr>
                <w:sz w:val="21"/>
                <w:szCs w:val="21"/>
              </w:rPr>
            </w:pPr>
            <w:r>
              <w:rPr>
                <w:rFonts w:hint="eastAsia"/>
                <w:sz w:val="21"/>
                <w:szCs w:val="21"/>
              </w:rPr>
              <w:t>2</w:t>
            </w:r>
          </w:p>
        </w:tc>
        <w:tc>
          <w:tcPr>
            <w:tcW w:w="312" w:type="pct"/>
            <w:vAlign w:val="center"/>
          </w:tcPr>
          <w:p>
            <w:pPr>
              <w:pStyle w:val="2057"/>
              <w:spacing w:afterLines="0"/>
              <w:ind w:firstLine="0" w:firstLineChars="0"/>
              <w:rPr>
                <w:sz w:val="21"/>
                <w:szCs w:val="21"/>
              </w:rPr>
            </w:pPr>
            <w:r>
              <w:rPr>
                <w:rFonts w:hint="eastAsia"/>
                <w:sz w:val="21"/>
                <w:szCs w:val="21"/>
              </w:rPr>
              <w:t>0.5</w:t>
            </w:r>
          </w:p>
        </w:tc>
        <w:tc>
          <w:tcPr>
            <w:tcW w:w="312" w:type="pct"/>
            <w:vAlign w:val="center"/>
          </w:tcPr>
          <w:p>
            <w:pPr>
              <w:pStyle w:val="2057"/>
              <w:spacing w:afterLines="0"/>
              <w:ind w:firstLine="0" w:firstLineChars="0"/>
              <w:rPr>
                <w:sz w:val="21"/>
                <w:szCs w:val="21"/>
              </w:rPr>
            </w:pPr>
            <w:r>
              <w:rPr>
                <w:rFonts w:hint="eastAsia"/>
                <w:sz w:val="21"/>
                <w:szCs w:val="21"/>
              </w:rPr>
              <w:t>0.45</w:t>
            </w:r>
          </w:p>
        </w:tc>
        <w:tc>
          <w:tcPr>
            <w:tcW w:w="312" w:type="pct"/>
            <w:vAlign w:val="center"/>
          </w:tcPr>
          <w:p>
            <w:pPr>
              <w:pStyle w:val="2057"/>
              <w:spacing w:afterLines="0"/>
              <w:ind w:firstLine="0" w:firstLineChars="0"/>
              <w:rPr>
                <w:sz w:val="21"/>
                <w:szCs w:val="21"/>
              </w:rPr>
            </w:pPr>
            <w:r>
              <w:rPr>
                <w:rFonts w:hint="eastAsia"/>
                <w:sz w:val="21"/>
                <w:szCs w:val="21"/>
              </w:rPr>
              <w:t>5</w:t>
            </w:r>
          </w:p>
        </w:tc>
        <w:tc>
          <w:tcPr>
            <w:tcW w:w="312" w:type="pct"/>
            <w:vAlign w:val="center"/>
          </w:tcPr>
          <w:p>
            <w:pPr>
              <w:pStyle w:val="2057"/>
              <w:spacing w:afterLines="0"/>
              <w:ind w:firstLine="0" w:firstLineChars="0"/>
              <w:rPr>
                <w:sz w:val="21"/>
                <w:szCs w:val="21"/>
              </w:rPr>
            </w:pPr>
            <w:r>
              <w:rPr>
                <w:rFonts w:hint="eastAsia"/>
                <w:sz w:val="21"/>
                <w:szCs w:val="21"/>
              </w:rPr>
              <w:t>8</w:t>
            </w:r>
          </w:p>
        </w:tc>
        <w:tc>
          <w:tcPr>
            <w:tcW w:w="885" w:type="dxa"/>
            <w:vAlign w:val="center"/>
          </w:tcPr>
          <w:p>
            <w:pPr>
              <w:pStyle w:val="2057"/>
              <w:spacing w:afterLines="0"/>
              <w:ind w:firstLine="0" w:firstLineChars="0"/>
              <w:rPr>
                <w:sz w:val="21"/>
                <w:szCs w:val="21"/>
              </w:rPr>
            </w:pPr>
            <w:r>
              <w:rPr>
                <w:rFonts w:hint="eastAsia"/>
                <w:sz w:val="21"/>
                <w:szCs w:val="21"/>
              </w:rPr>
              <w:t xml:space="preserve">31.566 </w:t>
            </w:r>
          </w:p>
        </w:tc>
        <w:tc>
          <w:tcPr>
            <w:tcW w:w="312" w:type="pct"/>
            <w:vAlign w:val="center"/>
          </w:tcPr>
          <w:p>
            <w:pPr>
              <w:pStyle w:val="2057"/>
              <w:spacing w:afterLines="0"/>
              <w:ind w:firstLine="0" w:firstLineChars="0"/>
              <w:rPr>
                <w:sz w:val="21"/>
                <w:szCs w:val="21"/>
              </w:rPr>
            </w:pPr>
            <w:r>
              <w:rPr>
                <w:rFonts w:hint="eastAsia"/>
                <w:sz w:val="21"/>
                <w:szCs w:val="21"/>
              </w:rPr>
              <w:t>16</w:t>
            </w:r>
          </w:p>
        </w:tc>
        <w:tc>
          <w:tcPr>
            <w:tcW w:w="312" w:type="pct"/>
            <w:vAlign w:val="center"/>
          </w:tcPr>
          <w:p>
            <w:pPr>
              <w:pStyle w:val="2057"/>
              <w:spacing w:afterLines="0"/>
              <w:ind w:firstLine="0" w:firstLineChars="0"/>
              <w:rPr>
                <w:sz w:val="21"/>
                <w:szCs w:val="21"/>
              </w:rPr>
            </w:pPr>
            <w:r>
              <w:rPr>
                <w:rFonts w:hint="eastAsia"/>
                <w:sz w:val="21"/>
                <w:szCs w:val="21"/>
              </w:rPr>
              <w:t>2.5</w:t>
            </w:r>
          </w:p>
        </w:tc>
        <w:tc>
          <w:tcPr>
            <w:tcW w:w="312" w:type="pct"/>
            <w:vAlign w:val="center"/>
          </w:tcPr>
          <w:p>
            <w:pPr>
              <w:pStyle w:val="2057"/>
              <w:spacing w:afterLines="0"/>
              <w:ind w:firstLine="0" w:firstLineChars="0"/>
              <w:rPr>
                <w:sz w:val="21"/>
                <w:szCs w:val="21"/>
              </w:rPr>
            </w:pPr>
            <w:r>
              <w:rPr>
                <w:rFonts w:hint="eastAsia"/>
                <w:sz w:val="21"/>
                <w:szCs w:val="21"/>
              </w:rPr>
              <w:t xml:space="preserve">0.162 </w:t>
            </w:r>
          </w:p>
        </w:tc>
        <w:tc>
          <w:tcPr>
            <w:tcW w:w="312" w:type="pct"/>
            <w:vAlign w:val="center"/>
          </w:tcPr>
          <w:p>
            <w:pPr>
              <w:pStyle w:val="2057"/>
              <w:spacing w:afterLines="0"/>
              <w:ind w:firstLine="0" w:firstLineChars="0"/>
              <w:rPr>
                <w:sz w:val="21"/>
                <w:szCs w:val="21"/>
              </w:rPr>
            </w:pPr>
            <w:r>
              <w:rPr>
                <w:rFonts w:hint="eastAsia"/>
                <w:sz w:val="21"/>
                <w:szCs w:val="21"/>
              </w:rPr>
              <w:t xml:space="preserve">1.287 </w:t>
            </w:r>
          </w:p>
        </w:tc>
        <w:tc>
          <w:tcPr>
            <w:tcW w:w="312" w:type="pct"/>
            <w:vAlign w:val="center"/>
          </w:tcPr>
          <w:p>
            <w:pPr>
              <w:pStyle w:val="2057"/>
              <w:spacing w:afterLines="0"/>
              <w:ind w:firstLine="0" w:firstLineChars="0"/>
              <w:rPr>
                <w:sz w:val="21"/>
                <w:szCs w:val="21"/>
              </w:rPr>
            </w:pPr>
            <w:r>
              <w:rPr>
                <w:rFonts w:hint="eastAsia"/>
                <w:sz w:val="21"/>
                <w:szCs w:val="21"/>
              </w:rPr>
              <w:t xml:space="preserve">90% </w:t>
            </w:r>
          </w:p>
        </w:tc>
        <w:tc>
          <w:tcPr>
            <w:tcW w:w="312" w:type="pct"/>
            <w:vAlign w:val="center"/>
          </w:tcPr>
          <w:p>
            <w:pPr>
              <w:pStyle w:val="2057"/>
              <w:spacing w:afterLines="0"/>
              <w:ind w:firstLine="0" w:firstLineChars="0"/>
              <w:rPr>
                <w:sz w:val="21"/>
                <w:szCs w:val="21"/>
              </w:rPr>
            </w:pPr>
            <w:r>
              <w:rPr>
                <w:rFonts w:hint="eastAsia"/>
                <w:sz w:val="21"/>
                <w:szCs w:val="21"/>
              </w:rPr>
              <w:t xml:space="preserve">0.129 </w:t>
            </w:r>
          </w:p>
        </w:tc>
        <w:tc>
          <w:tcPr>
            <w:tcW w:w="315" w:type="pct"/>
            <w:vAlign w:val="center"/>
          </w:tcPr>
          <w:p>
            <w:pPr>
              <w:pStyle w:val="2057"/>
              <w:spacing w:afterLines="0"/>
              <w:ind w:firstLine="0" w:firstLineChars="0"/>
              <w:rPr>
                <w:sz w:val="21"/>
                <w:szCs w:val="21"/>
              </w:rPr>
            </w:pPr>
            <w:r>
              <w:rPr>
                <w:rFonts w:hint="eastAsia"/>
                <w:sz w:val="21"/>
                <w:szCs w:val="21"/>
              </w:rPr>
              <w:t xml:space="preserve">0.016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14" w:hRule="atLeast"/>
        </w:trPr>
        <w:tc>
          <w:tcPr>
            <w:tcW w:w="312" w:type="pct"/>
            <w:vMerge w:val="continue"/>
            <w:vAlign w:val="center"/>
          </w:tcPr>
          <w:p>
            <w:pPr>
              <w:pStyle w:val="2057"/>
              <w:spacing w:afterLines="0"/>
              <w:ind w:firstLine="0" w:firstLineChars="0"/>
              <w:rPr>
                <w:sz w:val="21"/>
                <w:szCs w:val="21"/>
              </w:rPr>
            </w:pPr>
          </w:p>
        </w:tc>
        <w:tc>
          <w:tcPr>
            <w:tcW w:w="312" w:type="pct"/>
            <w:vAlign w:val="center"/>
          </w:tcPr>
          <w:p>
            <w:pPr>
              <w:pStyle w:val="2057"/>
              <w:spacing w:afterLines="0"/>
              <w:ind w:firstLine="0" w:firstLineChars="0"/>
              <w:rPr>
                <w:sz w:val="21"/>
                <w:szCs w:val="21"/>
              </w:rPr>
            </w:pPr>
            <w:r>
              <w:rPr>
                <w:rFonts w:hint="eastAsia"/>
                <w:sz w:val="21"/>
                <w:szCs w:val="21"/>
              </w:rPr>
              <w:t>骨料</w:t>
            </w:r>
          </w:p>
        </w:tc>
        <w:tc>
          <w:tcPr>
            <w:tcW w:w="312" w:type="pct"/>
            <w:vAlign w:val="center"/>
          </w:tcPr>
          <w:p>
            <w:pPr>
              <w:pStyle w:val="2057"/>
              <w:spacing w:afterLines="0"/>
              <w:ind w:firstLine="0" w:firstLineChars="0"/>
              <w:rPr>
                <w:sz w:val="21"/>
                <w:szCs w:val="21"/>
              </w:rPr>
            </w:pPr>
            <w:r>
              <w:rPr>
                <w:rFonts w:hint="eastAsia"/>
                <w:sz w:val="21"/>
                <w:szCs w:val="21"/>
              </w:rPr>
              <w:t>0.6</w:t>
            </w:r>
          </w:p>
        </w:tc>
        <w:tc>
          <w:tcPr>
            <w:tcW w:w="312" w:type="pct"/>
            <w:vAlign w:val="center"/>
          </w:tcPr>
          <w:p>
            <w:pPr>
              <w:pStyle w:val="2057"/>
              <w:spacing w:afterLines="0"/>
              <w:ind w:firstLine="0" w:firstLineChars="0"/>
              <w:rPr>
                <w:sz w:val="21"/>
                <w:szCs w:val="21"/>
              </w:rPr>
            </w:pPr>
            <w:r>
              <w:rPr>
                <w:rFonts w:hint="eastAsia"/>
                <w:sz w:val="21"/>
                <w:szCs w:val="21"/>
              </w:rPr>
              <w:t>2</w:t>
            </w:r>
          </w:p>
        </w:tc>
        <w:tc>
          <w:tcPr>
            <w:tcW w:w="312" w:type="pct"/>
            <w:vAlign w:val="center"/>
          </w:tcPr>
          <w:p>
            <w:pPr>
              <w:pStyle w:val="2057"/>
              <w:spacing w:afterLines="0"/>
              <w:ind w:firstLine="0" w:firstLineChars="0"/>
              <w:rPr>
                <w:sz w:val="21"/>
                <w:szCs w:val="21"/>
              </w:rPr>
            </w:pPr>
            <w:r>
              <w:rPr>
                <w:rFonts w:hint="eastAsia"/>
                <w:sz w:val="21"/>
                <w:szCs w:val="21"/>
              </w:rPr>
              <w:t>0.5</w:t>
            </w:r>
          </w:p>
        </w:tc>
        <w:tc>
          <w:tcPr>
            <w:tcW w:w="312" w:type="pct"/>
            <w:vAlign w:val="center"/>
          </w:tcPr>
          <w:p>
            <w:pPr>
              <w:pStyle w:val="2057"/>
              <w:spacing w:afterLines="0"/>
              <w:ind w:firstLine="0" w:firstLineChars="0"/>
              <w:rPr>
                <w:sz w:val="21"/>
                <w:szCs w:val="21"/>
              </w:rPr>
            </w:pPr>
            <w:r>
              <w:rPr>
                <w:rFonts w:hint="eastAsia"/>
                <w:sz w:val="21"/>
                <w:szCs w:val="21"/>
              </w:rPr>
              <w:t>0.45</w:t>
            </w:r>
          </w:p>
        </w:tc>
        <w:tc>
          <w:tcPr>
            <w:tcW w:w="312" w:type="pct"/>
            <w:vAlign w:val="center"/>
          </w:tcPr>
          <w:p>
            <w:pPr>
              <w:pStyle w:val="2057"/>
              <w:spacing w:afterLines="0"/>
              <w:ind w:firstLine="0" w:firstLineChars="0"/>
              <w:rPr>
                <w:sz w:val="21"/>
                <w:szCs w:val="21"/>
              </w:rPr>
            </w:pPr>
            <w:r>
              <w:rPr>
                <w:rFonts w:hint="eastAsia"/>
                <w:sz w:val="21"/>
                <w:szCs w:val="21"/>
              </w:rPr>
              <w:t>5</w:t>
            </w:r>
          </w:p>
        </w:tc>
        <w:tc>
          <w:tcPr>
            <w:tcW w:w="312" w:type="pct"/>
            <w:vAlign w:val="center"/>
          </w:tcPr>
          <w:p>
            <w:pPr>
              <w:pStyle w:val="2057"/>
              <w:spacing w:afterLines="0"/>
              <w:ind w:firstLine="0" w:firstLineChars="0"/>
              <w:rPr>
                <w:sz w:val="21"/>
                <w:szCs w:val="21"/>
              </w:rPr>
            </w:pPr>
            <w:r>
              <w:rPr>
                <w:rFonts w:hint="eastAsia"/>
                <w:sz w:val="21"/>
                <w:szCs w:val="21"/>
              </w:rPr>
              <w:t>8</w:t>
            </w:r>
          </w:p>
        </w:tc>
        <w:tc>
          <w:tcPr>
            <w:tcW w:w="885" w:type="dxa"/>
            <w:vAlign w:val="center"/>
          </w:tcPr>
          <w:p>
            <w:pPr>
              <w:pStyle w:val="2057"/>
              <w:spacing w:afterLines="0"/>
              <w:ind w:firstLine="0" w:firstLineChars="0"/>
              <w:rPr>
                <w:sz w:val="21"/>
                <w:szCs w:val="21"/>
              </w:rPr>
            </w:pPr>
            <w:r>
              <w:rPr>
                <w:rFonts w:hint="eastAsia"/>
                <w:sz w:val="21"/>
                <w:szCs w:val="21"/>
              </w:rPr>
              <w:t xml:space="preserve">284.091 </w:t>
            </w:r>
          </w:p>
        </w:tc>
        <w:tc>
          <w:tcPr>
            <w:tcW w:w="312" w:type="pct"/>
            <w:vAlign w:val="center"/>
          </w:tcPr>
          <w:p>
            <w:pPr>
              <w:pStyle w:val="2057"/>
              <w:spacing w:afterLines="0"/>
              <w:ind w:firstLine="0" w:firstLineChars="0"/>
              <w:rPr>
                <w:sz w:val="21"/>
                <w:szCs w:val="21"/>
              </w:rPr>
            </w:pPr>
            <w:r>
              <w:rPr>
                <w:rFonts w:hint="eastAsia"/>
                <w:sz w:val="21"/>
                <w:szCs w:val="21"/>
              </w:rPr>
              <w:t>16</w:t>
            </w:r>
          </w:p>
        </w:tc>
        <w:tc>
          <w:tcPr>
            <w:tcW w:w="312" w:type="pct"/>
            <w:vAlign w:val="center"/>
          </w:tcPr>
          <w:p>
            <w:pPr>
              <w:pStyle w:val="2057"/>
              <w:spacing w:afterLines="0"/>
              <w:ind w:firstLine="0" w:firstLineChars="0"/>
              <w:rPr>
                <w:sz w:val="21"/>
                <w:szCs w:val="21"/>
              </w:rPr>
            </w:pPr>
            <w:r>
              <w:rPr>
                <w:rFonts w:hint="eastAsia"/>
                <w:sz w:val="21"/>
                <w:szCs w:val="21"/>
              </w:rPr>
              <w:t>2.5</w:t>
            </w:r>
          </w:p>
        </w:tc>
        <w:tc>
          <w:tcPr>
            <w:tcW w:w="312" w:type="pct"/>
            <w:vAlign w:val="center"/>
          </w:tcPr>
          <w:p>
            <w:pPr>
              <w:pStyle w:val="2057"/>
              <w:spacing w:afterLines="0"/>
              <w:ind w:firstLine="0" w:firstLineChars="0"/>
              <w:rPr>
                <w:sz w:val="21"/>
                <w:szCs w:val="21"/>
              </w:rPr>
            </w:pPr>
            <w:r>
              <w:rPr>
                <w:rFonts w:hint="eastAsia"/>
                <w:sz w:val="21"/>
                <w:szCs w:val="21"/>
              </w:rPr>
              <w:t xml:space="preserve">1.462 </w:t>
            </w:r>
          </w:p>
        </w:tc>
        <w:tc>
          <w:tcPr>
            <w:tcW w:w="312" w:type="pct"/>
            <w:vAlign w:val="center"/>
          </w:tcPr>
          <w:p>
            <w:pPr>
              <w:pStyle w:val="2057"/>
              <w:spacing w:afterLines="0"/>
              <w:ind w:firstLine="0" w:firstLineChars="0"/>
              <w:rPr>
                <w:sz w:val="21"/>
                <w:szCs w:val="21"/>
              </w:rPr>
            </w:pPr>
            <w:r>
              <w:rPr>
                <w:rFonts w:hint="eastAsia"/>
                <w:sz w:val="21"/>
                <w:szCs w:val="21"/>
              </w:rPr>
              <w:t xml:space="preserve">11.579 </w:t>
            </w:r>
          </w:p>
        </w:tc>
        <w:tc>
          <w:tcPr>
            <w:tcW w:w="312" w:type="pct"/>
            <w:vAlign w:val="center"/>
          </w:tcPr>
          <w:p>
            <w:pPr>
              <w:pStyle w:val="2057"/>
              <w:spacing w:afterLines="0"/>
              <w:ind w:firstLine="0" w:firstLineChars="0"/>
              <w:rPr>
                <w:sz w:val="21"/>
                <w:szCs w:val="21"/>
              </w:rPr>
            </w:pPr>
            <w:r>
              <w:rPr>
                <w:rFonts w:hint="eastAsia"/>
                <w:sz w:val="21"/>
                <w:szCs w:val="21"/>
              </w:rPr>
              <w:t xml:space="preserve">90% </w:t>
            </w:r>
          </w:p>
        </w:tc>
        <w:tc>
          <w:tcPr>
            <w:tcW w:w="312" w:type="pct"/>
            <w:vAlign w:val="center"/>
          </w:tcPr>
          <w:p>
            <w:pPr>
              <w:pStyle w:val="2057"/>
              <w:spacing w:afterLines="0"/>
              <w:ind w:firstLine="0" w:firstLineChars="0"/>
              <w:rPr>
                <w:sz w:val="21"/>
                <w:szCs w:val="21"/>
              </w:rPr>
            </w:pPr>
            <w:r>
              <w:rPr>
                <w:rFonts w:hint="eastAsia"/>
                <w:sz w:val="21"/>
                <w:szCs w:val="21"/>
              </w:rPr>
              <w:t xml:space="preserve">1.158 </w:t>
            </w:r>
          </w:p>
        </w:tc>
        <w:tc>
          <w:tcPr>
            <w:tcW w:w="315" w:type="pct"/>
            <w:vAlign w:val="center"/>
          </w:tcPr>
          <w:p>
            <w:pPr>
              <w:pStyle w:val="2057"/>
              <w:spacing w:afterLines="0"/>
              <w:ind w:firstLine="0" w:firstLineChars="0"/>
              <w:rPr>
                <w:sz w:val="21"/>
                <w:szCs w:val="21"/>
              </w:rPr>
            </w:pPr>
            <w:r>
              <w:rPr>
                <w:rFonts w:hint="eastAsia"/>
                <w:sz w:val="21"/>
                <w:szCs w:val="21"/>
              </w:rPr>
              <w:t xml:space="preserve">0.146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14" w:hRule="atLeast"/>
        </w:trPr>
        <w:tc>
          <w:tcPr>
            <w:tcW w:w="312" w:type="pct"/>
            <w:vMerge w:val="restart"/>
            <w:vAlign w:val="center"/>
          </w:tcPr>
          <w:p>
            <w:pPr>
              <w:pStyle w:val="2057"/>
              <w:spacing w:afterLines="0"/>
              <w:ind w:firstLine="0" w:firstLineChars="0"/>
              <w:rPr>
                <w:sz w:val="21"/>
                <w:szCs w:val="21"/>
              </w:rPr>
            </w:pPr>
            <w:r>
              <w:rPr>
                <w:rFonts w:hint="eastAsia"/>
                <w:sz w:val="21"/>
                <w:szCs w:val="21"/>
              </w:rPr>
              <w:t>3</w:t>
            </w:r>
            <w:r>
              <w:rPr>
                <w:sz w:val="21"/>
                <w:szCs w:val="21"/>
              </w:rPr>
              <w:t>#</w:t>
            </w:r>
            <w:r>
              <w:rPr>
                <w:rFonts w:hint="eastAsia"/>
                <w:sz w:val="21"/>
                <w:szCs w:val="21"/>
              </w:rPr>
              <w:t>散货进口泊位</w:t>
            </w:r>
          </w:p>
        </w:tc>
        <w:tc>
          <w:tcPr>
            <w:tcW w:w="884" w:type="dxa"/>
            <w:vAlign w:val="center"/>
          </w:tcPr>
          <w:p>
            <w:pPr>
              <w:pStyle w:val="2057"/>
              <w:spacing w:afterLines="0"/>
              <w:ind w:firstLine="0" w:firstLineChars="0"/>
              <w:rPr>
                <w:sz w:val="21"/>
                <w:szCs w:val="21"/>
              </w:rPr>
            </w:pPr>
            <w:r>
              <w:rPr>
                <w:rFonts w:hint="eastAsia"/>
                <w:sz w:val="21"/>
                <w:szCs w:val="21"/>
              </w:rPr>
              <w:t>砂石</w:t>
            </w:r>
          </w:p>
        </w:tc>
        <w:tc>
          <w:tcPr>
            <w:tcW w:w="884" w:type="dxa"/>
            <w:vAlign w:val="center"/>
          </w:tcPr>
          <w:p>
            <w:pPr>
              <w:pStyle w:val="2057"/>
              <w:spacing w:afterLines="0"/>
              <w:ind w:firstLine="0" w:firstLineChars="0"/>
              <w:rPr>
                <w:sz w:val="21"/>
                <w:szCs w:val="21"/>
              </w:rPr>
            </w:pPr>
            <w:r>
              <w:rPr>
                <w:rFonts w:hint="eastAsia"/>
                <w:sz w:val="21"/>
                <w:szCs w:val="21"/>
              </w:rPr>
              <w:t>0.6</w:t>
            </w:r>
          </w:p>
        </w:tc>
        <w:tc>
          <w:tcPr>
            <w:tcW w:w="884" w:type="dxa"/>
            <w:vAlign w:val="center"/>
          </w:tcPr>
          <w:p>
            <w:pPr>
              <w:pStyle w:val="2057"/>
              <w:spacing w:afterLines="0"/>
              <w:ind w:firstLine="0" w:firstLineChars="0"/>
              <w:rPr>
                <w:sz w:val="21"/>
                <w:szCs w:val="21"/>
              </w:rPr>
            </w:pPr>
            <w:r>
              <w:rPr>
                <w:rFonts w:hint="eastAsia"/>
                <w:sz w:val="21"/>
                <w:szCs w:val="21"/>
              </w:rPr>
              <w:t>2</w:t>
            </w:r>
          </w:p>
        </w:tc>
        <w:tc>
          <w:tcPr>
            <w:tcW w:w="885" w:type="dxa"/>
            <w:vAlign w:val="center"/>
          </w:tcPr>
          <w:p>
            <w:pPr>
              <w:pStyle w:val="2057"/>
              <w:spacing w:afterLines="0"/>
              <w:ind w:firstLine="0" w:firstLineChars="0"/>
              <w:rPr>
                <w:sz w:val="21"/>
                <w:szCs w:val="21"/>
              </w:rPr>
            </w:pPr>
            <w:r>
              <w:rPr>
                <w:rFonts w:hint="eastAsia"/>
                <w:sz w:val="21"/>
                <w:szCs w:val="21"/>
              </w:rPr>
              <w:t>0.5</w:t>
            </w:r>
          </w:p>
        </w:tc>
        <w:tc>
          <w:tcPr>
            <w:tcW w:w="885" w:type="dxa"/>
            <w:vAlign w:val="center"/>
          </w:tcPr>
          <w:p>
            <w:pPr>
              <w:pStyle w:val="2057"/>
              <w:spacing w:afterLines="0"/>
              <w:ind w:firstLine="0" w:firstLineChars="0"/>
              <w:rPr>
                <w:sz w:val="21"/>
                <w:szCs w:val="21"/>
              </w:rPr>
            </w:pPr>
            <w:r>
              <w:rPr>
                <w:rFonts w:hint="eastAsia"/>
                <w:sz w:val="21"/>
                <w:szCs w:val="21"/>
              </w:rPr>
              <w:t>0.45</w:t>
            </w:r>
          </w:p>
        </w:tc>
        <w:tc>
          <w:tcPr>
            <w:tcW w:w="885" w:type="dxa"/>
            <w:vAlign w:val="center"/>
          </w:tcPr>
          <w:p>
            <w:pPr>
              <w:pStyle w:val="2057"/>
              <w:spacing w:afterLines="0"/>
              <w:ind w:firstLine="0" w:firstLineChars="0"/>
              <w:rPr>
                <w:sz w:val="21"/>
                <w:szCs w:val="21"/>
              </w:rPr>
            </w:pPr>
            <w:r>
              <w:rPr>
                <w:rFonts w:hint="eastAsia"/>
                <w:sz w:val="21"/>
                <w:szCs w:val="21"/>
              </w:rPr>
              <w:t>5</w:t>
            </w:r>
          </w:p>
        </w:tc>
        <w:tc>
          <w:tcPr>
            <w:tcW w:w="885" w:type="dxa"/>
            <w:vAlign w:val="center"/>
          </w:tcPr>
          <w:p>
            <w:pPr>
              <w:pStyle w:val="2057"/>
              <w:spacing w:afterLines="0"/>
              <w:ind w:firstLine="0" w:firstLineChars="0"/>
              <w:rPr>
                <w:sz w:val="21"/>
                <w:szCs w:val="21"/>
              </w:rPr>
            </w:pPr>
            <w:r>
              <w:rPr>
                <w:rFonts w:hint="eastAsia"/>
                <w:sz w:val="21"/>
                <w:szCs w:val="21"/>
              </w:rPr>
              <w:t>8</w:t>
            </w:r>
          </w:p>
        </w:tc>
        <w:tc>
          <w:tcPr>
            <w:tcW w:w="885" w:type="dxa"/>
            <w:vAlign w:val="center"/>
          </w:tcPr>
          <w:p>
            <w:pPr>
              <w:pStyle w:val="2057"/>
              <w:spacing w:afterLines="0"/>
              <w:ind w:firstLine="0" w:firstLineChars="0"/>
              <w:rPr>
                <w:sz w:val="21"/>
                <w:szCs w:val="21"/>
              </w:rPr>
            </w:pPr>
            <w:r>
              <w:rPr>
                <w:rFonts w:hint="eastAsia"/>
                <w:sz w:val="21"/>
                <w:szCs w:val="21"/>
              </w:rPr>
              <w:t xml:space="preserve">157.828 </w:t>
            </w:r>
          </w:p>
        </w:tc>
        <w:tc>
          <w:tcPr>
            <w:tcW w:w="885" w:type="dxa"/>
            <w:vAlign w:val="center"/>
          </w:tcPr>
          <w:p>
            <w:pPr>
              <w:pStyle w:val="2057"/>
              <w:spacing w:afterLines="0"/>
              <w:ind w:firstLine="0" w:firstLineChars="0"/>
              <w:rPr>
                <w:sz w:val="21"/>
                <w:szCs w:val="21"/>
              </w:rPr>
            </w:pPr>
            <w:r>
              <w:rPr>
                <w:rFonts w:hint="eastAsia"/>
                <w:sz w:val="21"/>
                <w:szCs w:val="21"/>
              </w:rPr>
              <w:t>16</w:t>
            </w:r>
          </w:p>
        </w:tc>
        <w:tc>
          <w:tcPr>
            <w:tcW w:w="885" w:type="dxa"/>
            <w:vAlign w:val="center"/>
          </w:tcPr>
          <w:p>
            <w:pPr>
              <w:pStyle w:val="2057"/>
              <w:spacing w:afterLines="0"/>
              <w:ind w:firstLine="0" w:firstLineChars="0"/>
              <w:rPr>
                <w:sz w:val="21"/>
                <w:szCs w:val="21"/>
              </w:rPr>
            </w:pPr>
            <w:r>
              <w:rPr>
                <w:rFonts w:hint="eastAsia"/>
                <w:sz w:val="21"/>
                <w:szCs w:val="21"/>
              </w:rPr>
              <w:t>2.5</w:t>
            </w:r>
          </w:p>
        </w:tc>
        <w:tc>
          <w:tcPr>
            <w:tcW w:w="885" w:type="dxa"/>
            <w:vAlign w:val="center"/>
          </w:tcPr>
          <w:p>
            <w:pPr>
              <w:pStyle w:val="2057"/>
              <w:spacing w:afterLines="0"/>
              <w:ind w:firstLine="0" w:firstLineChars="0"/>
              <w:rPr>
                <w:sz w:val="21"/>
                <w:szCs w:val="21"/>
              </w:rPr>
            </w:pPr>
            <w:r>
              <w:rPr>
                <w:rFonts w:hint="eastAsia"/>
                <w:sz w:val="21"/>
                <w:szCs w:val="21"/>
              </w:rPr>
              <w:t xml:space="preserve">0.812 </w:t>
            </w:r>
          </w:p>
        </w:tc>
        <w:tc>
          <w:tcPr>
            <w:tcW w:w="885" w:type="dxa"/>
            <w:vAlign w:val="center"/>
          </w:tcPr>
          <w:p>
            <w:pPr>
              <w:pStyle w:val="2057"/>
              <w:spacing w:afterLines="0"/>
              <w:ind w:firstLine="0" w:firstLineChars="0"/>
              <w:rPr>
                <w:sz w:val="21"/>
                <w:szCs w:val="21"/>
              </w:rPr>
            </w:pPr>
            <w:r>
              <w:rPr>
                <w:rFonts w:hint="eastAsia"/>
                <w:sz w:val="21"/>
                <w:szCs w:val="21"/>
              </w:rPr>
              <w:t xml:space="preserve">6.433 </w:t>
            </w:r>
          </w:p>
        </w:tc>
        <w:tc>
          <w:tcPr>
            <w:tcW w:w="885" w:type="dxa"/>
            <w:vAlign w:val="center"/>
          </w:tcPr>
          <w:p>
            <w:pPr>
              <w:pStyle w:val="2057"/>
              <w:spacing w:afterLines="0"/>
              <w:ind w:firstLine="0" w:firstLineChars="0"/>
              <w:rPr>
                <w:sz w:val="21"/>
                <w:szCs w:val="21"/>
              </w:rPr>
            </w:pPr>
            <w:r>
              <w:rPr>
                <w:rFonts w:hint="eastAsia"/>
                <w:sz w:val="21"/>
                <w:szCs w:val="21"/>
              </w:rPr>
              <w:t>90%</w:t>
            </w:r>
          </w:p>
        </w:tc>
        <w:tc>
          <w:tcPr>
            <w:tcW w:w="885" w:type="dxa"/>
            <w:vAlign w:val="center"/>
          </w:tcPr>
          <w:p>
            <w:pPr>
              <w:pStyle w:val="2057"/>
              <w:spacing w:afterLines="0"/>
              <w:ind w:firstLine="0" w:firstLineChars="0"/>
              <w:rPr>
                <w:sz w:val="21"/>
                <w:szCs w:val="21"/>
              </w:rPr>
            </w:pPr>
            <w:r>
              <w:rPr>
                <w:rFonts w:hint="eastAsia"/>
                <w:sz w:val="21"/>
                <w:szCs w:val="21"/>
              </w:rPr>
              <w:t xml:space="preserve">0.643 </w:t>
            </w:r>
          </w:p>
        </w:tc>
        <w:tc>
          <w:tcPr>
            <w:tcW w:w="893" w:type="dxa"/>
            <w:vAlign w:val="center"/>
          </w:tcPr>
          <w:p>
            <w:pPr>
              <w:pStyle w:val="2057"/>
              <w:spacing w:afterLines="0"/>
              <w:ind w:firstLine="0" w:firstLineChars="0"/>
              <w:rPr>
                <w:sz w:val="21"/>
                <w:szCs w:val="21"/>
              </w:rPr>
            </w:pPr>
            <w:r>
              <w:rPr>
                <w:rFonts w:hint="eastAsia"/>
                <w:sz w:val="21"/>
                <w:szCs w:val="21"/>
              </w:rPr>
              <w:t xml:space="preserve">0.081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14" w:hRule="atLeast"/>
        </w:trPr>
        <w:tc>
          <w:tcPr>
            <w:tcW w:w="312" w:type="pct"/>
            <w:vMerge w:val="continue"/>
            <w:vAlign w:val="center"/>
          </w:tcPr>
          <w:p>
            <w:pPr>
              <w:pStyle w:val="2057"/>
              <w:spacing w:afterLines="0"/>
              <w:ind w:firstLine="0" w:firstLineChars="0"/>
              <w:rPr>
                <w:sz w:val="21"/>
                <w:szCs w:val="21"/>
              </w:rPr>
            </w:pPr>
          </w:p>
        </w:tc>
        <w:tc>
          <w:tcPr>
            <w:tcW w:w="884" w:type="dxa"/>
            <w:vAlign w:val="center"/>
          </w:tcPr>
          <w:p>
            <w:pPr>
              <w:pStyle w:val="2057"/>
              <w:spacing w:afterLines="0"/>
              <w:ind w:firstLine="0" w:firstLineChars="0"/>
              <w:rPr>
                <w:sz w:val="21"/>
                <w:szCs w:val="21"/>
              </w:rPr>
            </w:pPr>
            <w:r>
              <w:rPr>
                <w:rFonts w:hint="eastAsia"/>
                <w:sz w:val="21"/>
                <w:szCs w:val="21"/>
              </w:rPr>
              <w:t>铁矿石</w:t>
            </w:r>
          </w:p>
        </w:tc>
        <w:tc>
          <w:tcPr>
            <w:tcW w:w="884" w:type="dxa"/>
            <w:vAlign w:val="center"/>
          </w:tcPr>
          <w:p>
            <w:pPr>
              <w:pStyle w:val="2057"/>
              <w:spacing w:afterLines="0"/>
              <w:ind w:firstLine="0" w:firstLineChars="0"/>
              <w:rPr>
                <w:sz w:val="21"/>
                <w:szCs w:val="21"/>
              </w:rPr>
            </w:pPr>
            <w:r>
              <w:rPr>
                <w:rFonts w:hint="eastAsia"/>
                <w:sz w:val="21"/>
                <w:szCs w:val="21"/>
              </w:rPr>
              <w:t>0.6</w:t>
            </w:r>
          </w:p>
        </w:tc>
        <w:tc>
          <w:tcPr>
            <w:tcW w:w="884" w:type="dxa"/>
            <w:vAlign w:val="center"/>
          </w:tcPr>
          <w:p>
            <w:pPr>
              <w:pStyle w:val="2057"/>
              <w:spacing w:afterLines="0"/>
              <w:ind w:firstLine="0" w:firstLineChars="0"/>
              <w:rPr>
                <w:sz w:val="21"/>
                <w:szCs w:val="21"/>
              </w:rPr>
            </w:pPr>
            <w:r>
              <w:rPr>
                <w:rFonts w:hint="eastAsia"/>
                <w:sz w:val="21"/>
                <w:szCs w:val="21"/>
              </w:rPr>
              <w:t>2</w:t>
            </w:r>
          </w:p>
        </w:tc>
        <w:tc>
          <w:tcPr>
            <w:tcW w:w="885" w:type="dxa"/>
            <w:vAlign w:val="center"/>
          </w:tcPr>
          <w:p>
            <w:pPr>
              <w:pStyle w:val="2057"/>
              <w:spacing w:afterLines="0"/>
              <w:ind w:firstLine="0" w:firstLineChars="0"/>
              <w:rPr>
                <w:sz w:val="21"/>
                <w:szCs w:val="21"/>
              </w:rPr>
            </w:pPr>
            <w:r>
              <w:rPr>
                <w:rFonts w:hint="eastAsia"/>
                <w:sz w:val="21"/>
                <w:szCs w:val="21"/>
              </w:rPr>
              <w:t>0.5</w:t>
            </w:r>
          </w:p>
        </w:tc>
        <w:tc>
          <w:tcPr>
            <w:tcW w:w="885" w:type="dxa"/>
            <w:vAlign w:val="center"/>
          </w:tcPr>
          <w:p>
            <w:pPr>
              <w:pStyle w:val="2057"/>
              <w:spacing w:afterLines="0"/>
              <w:ind w:firstLine="0" w:firstLineChars="0"/>
              <w:rPr>
                <w:sz w:val="21"/>
                <w:szCs w:val="21"/>
              </w:rPr>
            </w:pPr>
            <w:r>
              <w:rPr>
                <w:rFonts w:hint="eastAsia"/>
                <w:sz w:val="21"/>
                <w:szCs w:val="21"/>
              </w:rPr>
              <w:t>0.45</w:t>
            </w:r>
          </w:p>
        </w:tc>
        <w:tc>
          <w:tcPr>
            <w:tcW w:w="885" w:type="dxa"/>
            <w:vAlign w:val="center"/>
          </w:tcPr>
          <w:p>
            <w:pPr>
              <w:pStyle w:val="2057"/>
              <w:spacing w:afterLines="0"/>
              <w:ind w:firstLine="0" w:firstLineChars="0"/>
              <w:rPr>
                <w:sz w:val="21"/>
                <w:szCs w:val="21"/>
              </w:rPr>
            </w:pPr>
            <w:r>
              <w:rPr>
                <w:rFonts w:hint="eastAsia"/>
                <w:sz w:val="21"/>
                <w:szCs w:val="21"/>
              </w:rPr>
              <w:t>5</w:t>
            </w:r>
          </w:p>
        </w:tc>
        <w:tc>
          <w:tcPr>
            <w:tcW w:w="885" w:type="dxa"/>
            <w:vAlign w:val="center"/>
          </w:tcPr>
          <w:p>
            <w:pPr>
              <w:pStyle w:val="2057"/>
              <w:spacing w:afterLines="0"/>
              <w:ind w:firstLine="0" w:firstLineChars="0"/>
              <w:rPr>
                <w:sz w:val="21"/>
                <w:szCs w:val="21"/>
              </w:rPr>
            </w:pPr>
            <w:r>
              <w:rPr>
                <w:rFonts w:hint="eastAsia"/>
                <w:sz w:val="21"/>
                <w:szCs w:val="21"/>
              </w:rPr>
              <w:t>8</w:t>
            </w:r>
          </w:p>
        </w:tc>
        <w:tc>
          <w:tcPr>
            <w:tcW w:w="885" w:type="dxa"/>
            <w:vAlign w:val="center"/>
          </w:tcPr>
          <w:p>
            <w:pPr>
              <w:pStyle w:val="2057"/>
              <w:spacing w:afterLines="0"/>
              <w:ind w:firstLine="0" w:firstLineChars="0"/>
              <w:rPr>
                <w:sz w:val="21"/>
                <w:szCs w:val="21"/>
              </w:rPr>
            </w:pPr>
            <w:r>
              <w:rPr>
                <w:rFonts w:hint="eastAsia"/>
                <w:sz w:val="21"/>
                <w:szCs w:val="21"/>
              </w:rPr>
              <w:t xml:space="preserve">31.566 </w:t>
            </w:r>
          </w:p>
        </w:tc>
        <w:tc>
          <w:tcPr>
            <w:tcW w:w="885" w:type="dxa"/>
            <w:vAlign w:val="center"/>
          </w:tcPr>
          <w:p>
            <w:pPr>
              <w:pStyle w:val="2057"/>
              <w:spacing w:afterLines="0"/>
              <w:ind w:firstLine="0" w:firstLineChars="0"/>
              <w:rPr>
                <w:sz w:val="21"/>
                <w:szCs w:val="21"/>
              </w:rPr>
            </w:pPr>
            <w:r>
              <w:rPr>
                <w:rFonts w:hint="eastAsia"/>
                <w:sz w:val="21"/>
                <w:szCs w:val="21"/>
              </w:rPr>
              <w:t>16</w:t>
            </w:r>
          </w:p>
        </w:tc>
        <w:tc>
          <w:tcPr>
            <w:tcW w:w="885" w:type="dxa"/>
            <w:vAlign w:val="center"/>
          </w:tcPr>
          <w:p>
            <w:pPr>
              <w:pStyle w:val="2057"/>
              <w:spacing w:afterLines="0"/>
              <w:ind w:firstLine="0" w:firstLineChars="0"/>
              <w:rPr>
                <w:sz w:val="21"/>
                <w:szCs w:val="21"/>
              </w:rPr>
            </w:pPr>
            <w:r>
              <w:rPr>
                <w:rFonts w:hint="eastAsia"/>
                <w:sz w:val="21"/>
                <w:szCs w:val="21"/>
              </w:rPr>
              <w:t>2.5</w:t>
            </w:r>
          </w:p>
        </w:tc>
        <w:tc>
          <w:tcPr>
            <w:tcW w:w="885" w:type="dxa"/>
            <w:vAlign w:val="center"/>
          </w:tcPr>
          <w:p>
            <w:pPr>
              <w:pStyle w:val="2057"/>
              <w:spacing w:afterLines="0"/>
              <w:ind w:firstLine="0" w:firstLineChars="0"/>
              <w:rPr>
                <w:sz w:val="21"/>
                <w:szCs w:val="21"/>
              </w:rPr>
            </w:pPr>
            <w:r>
              <w:rPr>
                <w:rFonts w:hint="eastAsia"/>
                <w:sz w:val="21"/>
                <w:szCs w:val="21"/>
              </w:rPr>
              <w:t xml:space="preserve">0.162 </w:t>
            </w:r>
          </w:p>
        </w:tc>
        <w:tc>
          <w:tcPr>
            <w:tcW w:w="885" w:type="dxa"/>
            <w:vAlign w:val="center"/>
          </w:tcPr>
          <w:p>
            <w:pPr>
              <w:pStyle w:val="2057"/>
              <w:spacing w:afterLines="0"/>
              <w:ind w:firstLine="0" w:firstLineChars="0"/>
              <w:rPr>
                <w:sz w:val="21"/>
                <w:szCs w:val="21"/>
              </w:rPr>
            </w:pPr>
            <w:r>
              <w:rPr>
                <w:rFonts w:hint="eastAsia"/>
                <w:sz w:val="21"/>
                <w:szCs w:val="21"/>
              </w:rPr>
              <w:t xml:space="preserve">1.287 </w:t>
            </w:r>
          </w:p>
        </w:tc>
        <w:tc>
          <w:tcPr>
            <w:tcW w:w="885" w:type="dxa"/>
            <w:vAlign w:val="center"/>
          </w:tcPr>
          <w:p>
            <w:pPr>
              <w:pStyle w:val="2057"/>
              <w:spacing w:afterLines="0"/>
              <w:ind w:firstLine="0" w:firstLineChars="0"/>
              <w:rPr>
                <w:sz w:val="21"/>
                <w:szCs w:val="21"/>
              </w:rPr>
            </w:pPr>
            <w:r>
              <w:rPr>
                <w:rFonts w:hint="eastAsia"/>
                <w:sz w:val="21"/>
                <w:szCs w:val="21"/>
              </w:rPr>
              <w:t xml:space="preserve">90% </w:t>
            </w:r>
          </w:p>
        </w:tc>
        <w:tc>
          <w:tcPr>
            <w:tcW w:w="885" w:type="dxa"/>
            <w:vAlign w:val="center"/>
          </w:tcPr>
          <w:p>
            <w:pPr>
              <w:pStyle w:val="2057"/>
              <w:spacing w:afterLines="0"/>
              <w:ind w:firstLine="0" w:firstLineChars="0"/>
              <w:rPr>
                <w:sz w:val="21"/>
                <w:szCs w:val="21"/>
              </w:rPr>
            </w:pPr>
            <w:r>
              <w:rPr>
                <w:rFonts w:hint="eastAsia"/>
                <w:sz w:val="21"/>
                <w:szCs w:val="21"/>
              </w:rPr>
              <w:t xml:space="preserve">0.129 </w:t>
            </w:r>
          </w:p>
        </w:tc>
        <w:tc>
          <w:tcPr>
            <w:tcW w:w="893" w:type="dxa"/>
            <w:vAlign w:val="center"/>
          </w:tcPr>
          <w:p>
            <w:pPr>
              <w:pStyle w:val="2057"/>
              <w:spacing w:afterLines="0"/>
              <w:ind w:firstLine="0" w:firstLineChars="0"/>
              <w:rPr>
                <w:sz w:val="21"/>
                <w:szCs w:val="21"/>
              </w:rPr>
            </w:pPr>
            <w:r>
              <w:rPr>
                <w:rFonts w:hint="eastAsia"/>
                <w:sz w:val="21"/>
                <w:szCs w:val="21"/>
              </w:rPr>
              <w:t xml:space="preserve">0.016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14" w:hRule="atLeast"/>
        </w:trPr>
        <w:tc>
          <w:tcPr>
            <w:tcW w:w="312" w:type="pct"/>
            <w:vMerge w:val="continue"/>
            <w:vAlign w:val="center"/>
          </w:tcPr>
          <w:p>
            <w:pPr>
              <w:pStyle w:val="2057"/>
              <w:spacing w:afterLines="0"/>
              <w:ind w:firstLine="0" w:firstLineChars="0"/>
              <w:rPr>
                <w:sz w:val="21"/>
                <w:szCs w:val="21"/>
              </w:rPr>
            </w:pPr>
          </w:p>
        </w:tc>
        <w:tc>
          <w:tcPr>
            <w:tcW w:w="884" w:type="dxa"/>
            <w:vAlign w:val="center"/>
          </w:tcPr>
          <w:p>
            <w:pPr>
              <w:pStyle w:val="2057"/>
              <w:spacing w:afterLines="0"/>
              <w:ind w:firstLine="0" w:firstLineChars="0"/>
              <w:rPr>
                <w:sz w:val="21"/>
                <w:szCs w:val="21"/>
              </w:rPr>
            </w:pPr>
            <w:r>
              <w:rPr>
                <w:rFonts w:hint="eastAsia"/>
                <w:sz w:val="21"/>
                <w:szCs w:val="21"/>
              </w:rPr>
              <w:t>骨料</w:t>
            </w:r>
          </w:p>
        </w:tc>
        <w:tc>
          <w:tcPr>
            <w:tcW w:w="884" w:type="dxa"/>
            <w:vAlign w:val="center"/>
          </w:tcPr>
          <w:p>
            <w:pPr>
              <w:pStyle w:val="2057"/>
              <w:spacing w:afterLines="0"/>
              <w:ind w:firstLine="0" w:firstLineChars="0"/>
              <w:rPr>
                <w:sz w:val="21"/>
                <w:szCs w:val="21"/>
              </w:rPr>
            </w:pPr>
            <w:r>
              <w:rPr>
                <w:rFonts w:hint="eastAsia"/>
                <w:sz w:val="21"/>
                <w:szCs w:val="21"/>
              </w:rPr>
              <w:t>0.6</w:t>
            </w:r>
          </w:p>
        </w:tc>
        <w:tc>
          <w:tcPr>
            <w:tcW w:w="884" w:type="dxa"/>
            <w:vAlign w:val="center"/>
          </w:tcPr>
          <w:p>
            <w:pPr>
              <w:pStyle w:val="2057"/>
              <w:spacing w:afterLines="0"/>
              <w:ind w:firstLine="0" w:firstLineChars="0"/>
              <w:rPr>
                <w:sz w:val="21"/>
                <w:szCs w:val="21"/>
              </w:rPr>
            </w:pPr>
            <w:r>
              <w:rPr>
                <w:rFonts w:hint="eastAsia"/>
                <w:sz w:val="21"/>
                <w:szCs w:val="21"/>
              </w:rPr>
              <w:t>2</w:t>
            </w:r>
          </w:p>
        </w:tc>
        <w:tc>
          <w:tcPr>
            <w:tcW w:w="885" w:type="dxa"/>
            <w:vAlign w:val="center"/>
          </w:tcPr>
          <w:p>
            <w:pPr>
              <w:pStyle w:val="2057"/>
              <w:spacing w:afterLines="0"/>
              <w:ind w:firstLine="0" w:firstLineChars="0"/>
              <w:rPr>
                <w:sz w:val="21"/>
                <w:szCs w:val="21"/>
              </w:rPr>
            </w:pPr>
            <w:r>
              <w:rPr>
                <w:rFonts w:hint="eastAsia"/>
                <w:sz w:val="21"/>
                <w:szCs w:val="21"/>
              </w:rPr>
              <w:t>0.5</w:t>
            </w:r>
          </w:p>
        </w:tc>
        <w:tc>
          <w:tcPr>
            <w:tcW w:w="885" w:type="dxa"/>
            <w:vAlign w:val="center"/>
          </w:tcPr>
          <w:p>
            <w:pPr>
              <w:pStyle w:val="2057"/>
              <w:spacing w:afterLines="0"/>
              <w:ind w:firstLine="0" w:firstLineChars="0"/>
              <w:rPr>
                <w:sz w:val="21"/>
                <w:szCs w:val="21"/>
              </w:rPr>
            </w:pPr>
            <w:r>
              <w:rPr>
                <w:rFonts w:hint="eastAsia"/>
                <w:sz w:val="21"/>
                <w:szCs w:val="21"/>
              </w:rPr>
              <w:t>0.45</w:t>
            </w:r>
          </w:p>
        </w:tc>
        <w:tc>
          <w:tcPr>
            <w:tcW w:w="885" w:type="dxa"/>
            <w:vAlign w:val="center"/>
          </w:tcPr>
          <w:p>
            <w:pPr>
              <w:pStyle w:val="2057"/>
              <w:spacing w:afterLines="0"/>
              <w:ind w:firstLine="0" w:firstLineChars="0"/>
              <w:rPr>
                <w:sz w:val="21"/>
                <w:szCs w:val="21"/>
              </w:rPr>
            </w:pPr>
            <w:r>
              <w:rPr>
                <w:rFonts w:hint="eastAsia"/>
                <w:sz w:val="21"/>
                <w:szCs w:val="21"/>
              </w:rPr>
              <w:t>5</w:t>
            </w:r>
          </w:p>
        </w:tc>
        <w:tc>
          <w:tcPr>
            <w:tcW w:w="885" w:type="dxa"/>
            <w:vAlign w:val="center"/>
          </w:tcPr>
          <w:p>
            <w:pPr>
              <w:pStyle w:val="2057"/>
              <w:spacing w:afterLines="0"/>
              <w:ind w:firstLine="0" w:firstLineChars="0"/>
              <w:rPr>
                <w:sz w:val="21"/>
                <w:szCs w:val="21"/>
              </w:rPr>
            </w:pPr>
            <w:r>
              <w:rPr>
                <w:rFonts w:hint="eastAsia"/>
                <w:sz w:val="21"/>
                <w:szCs w:val="21"/>
              </w:rPr>
              <w:t>8</w:t>
            </w:r>
          </w:p>
        </w:tc>
        <w:tc>
          <w:tcPr>
            <w:tcW w:w="885" w:type="dxa"/>
            <w:vAlign w:val="center"/>
          </w:tcPr>
          <w:p>
            <w:pPr>
              <w:pStyle w:val="2057"/>
              <w:spacing w:afterLines="0"/>
              <w:ind w:firstLine="0" w:firstLineChars="0"/>
              <w:rPr>
                <w:sz w:val="21"/>
                <w:szCs w:val="21"/>
              </w:rPr>
            </w:pPr>
            <w:r>
              <w:rPr>
                <w:rFonts w:hint="eastAsia"/>
                <w:sz w:val="21"/>
                <w:szCs w:val="21"/>
              </w:rPr>
              <w:t xml:space="preserve">284.091 </w:t>
            </w:r>
          </w:p>
        </w:tc>
        <w:tc>
          <w:tcPr>
            <w:tcW w:w="885" w:type="dxa"/>
            <w:vAlign w:val="center"/>
          </w:tcPr>
          <w:p>
            <w:pPr>
              <w:pStyle w:val="2057"/>
              <w:spacing w:afterLines="0"/>
              <w:ind w:firstLine="0" w:firstLineChars="0"/>
              <w:rPr>
                <w:sz w:val="21"/>
                <w:szCs w:val="21"/>
              </w:rPr>
            </w:pPr>
            <w:r>
              <w:rPr>
                <w:rFonts w:hint="eastAsia"/>
                <w:sz w:val="21"/>
                <w:szCs w:val="21"/>
              </w:rPr>
              <w:t>16</w:t>
            </w:r>
          </w:p>
        </w:tc>
        <w:tc>
          <w:tcPr>
            <w:tcW w:w="885" w:type="dxa"/>
            <w:vAlign w:val="center"/>
          </w:tcPr>
          <w:p>
            <w:pPr>
              <w:pStyle w:val="2057"/>
              <w:spacing w:afterLines="0"/>
              <w:ind w:firstLine="0" w:firstLineChars="0"/>
              <w:rPr>
                <w:sz w:val="21"/>
                <w:szCs w:val="21"/>
              </w:rPr>
            </w:pPr>
            <w:r>
              <w:rPr>
                <w:rFonts w:hint="eastAsia"/>
                <w:sz w:val="21"/>
                <w:szCs w:val="21"/>
              </w:rPr>
              <w:t>2.5</w:t>
            </w:r>
          </w:p>
        </w:tc>
        <w:tc>
          <w:tcPr>
            <w:tcW w:w="885" w:type="dxa"/>
            <w:vAlign w:val="center"/>
          </w:tcPr>
          <w:p>
            <w:pPr>
              <w:pStyle w:val="2057"/>
              <w:spacing w:afterLines="0"/>
              <w:ind w:firstLine="0" w:firstLineChars="0"/>
              <w:rPr>
                <w:sz w:val="21"/>
                <w:szCs w:val="21"/>
              </w:rPr>
            </w:pPr>
            <w:r>
              <w:rPr>
                <w:rFonts w:hint="eastAsia"/>
                <w:sz w:val="21"/>
                <w:szCs w:val="21"/>
              </w:rPr>
              <w:t xml:space="preserve">1.462 </w:t>
            </w:r>
          </w:p>
        </w:tc>
        <w:tc>
          <w:tcPr>
            <w:tcW w:w="885" w:type="dxa"/>
            <w:vAlign w:val="center"/>
          </w:tcPr>
          <w:p>
            <w:pPr>
              <w:pStyle w:val="2057"/>
              <w:spacing w:afterLines="0"/>
              <w:ind w:firstLine="0" w:firstLineChars="0"/>
              <w:rPr>
                <w:sz w:val="21"/>
                <w:szCs w:val="21"/>
              </w:rPr>
            </w:pPr>
            <w:r>
              <w:rPr>
                <w:rFonts w:hint="eastAsia"/>
                <w:sz w:val="21"/>
                <w:szCs w:val="21"/>
              </w:rPr>
              <w:t xml:space="preserve">11.579 </w:t>
            </w:r>
          </w:p>
        </w:tc>
        <w:tc>
          <w:tcPr>
            <w:tcW w:w="885" w:type="dxa"/>
            <w:vAlign w:val="center"/>
          </w:tcPr>
          <w:p>
            <w:pPr>
              <w:pStyle w:val="2057"/>
              <w:spacing w:afterLines="0"/>
              <w:ind w:firstLine="0" w:firstLineChars="0"/>
              <w:rPr>
                <w:sz w:val="21"/>
                <w:szCs w:val="21"/>
              </w:rPr>
            </w:pPr>
            <w:r>
              <w:rPr>
                <w:rFonts w:hint="eastAsia"/>
                <w:sz w:val="21"/>
                <w:szCs w:val="21"/>
              </w:rPr>
              <w:t xml:space="preserve">90% </w:t>
            </w:r>
          </w:p>
        </w:tc>
        <w:tc>
          <w:tcPr>
            <w:tcW w:w="885" w:type="dxa"/>
            <w:vAlign w:val="center"/>
          </w:tcPr>
          <w:p>
            <w:pPr>
              <w:pStyle w:val="2057"/>
              <w:spacing w:afterLines="0"/>
              <w:ind w:firstLine="0" w:firstLineChars="0"/>
              <w:rPr>
                <w:sz w:val="21"/>
                <w:szCs w:val="21"/>
              </w:rPr>
            </w:pPr>
            <w:r>
              <w:rPr>
                <w:rFonts w:hint="eastAsia"/>
                <w:sz w:val="21"/>
                <w:szCs w:val="21"/>
              </w:rPr>
              <w:t xml:space="preserve">1.158 </w:t>
            </w:r>
          </w:p>
        </w:tc>
        <w:tc>
          <w:tcPr>
            <w:tcW w:w="893" w:type="dxa"/>
            <w:vAlign w:val="center"/>
          </w:tcPr>
          <w:p>
            <w:pPr>
              <w:pStyle w:val="2057"/>
              <w:spacing w:afterLines="0"/>
              <w:ind w:firstLine="0" w:firstLineChars="0"/>
              <w:rPr>
                <w:sz w:val="21"/>
                <w:szCs w:val="21"/>
              </w:rPr>
            </w:pPr>
            <w:r>
              <w:rPr>
                <w:rFonts w:hint="eastAsia"/>
                <w:sz w:val="21"/>
                <w:szCs w:val="21"/>
              </w:rPr>
              <w:t xml:space="preserve">0.146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44" w:hRule="atLeast"/>
        </w:trPr>
        <w:tc>
          <w:tcPr>
            <w:tcW w:w="312" w:type="pct"/>
            <w:vMerge w:val="restart"/>
            <w:vAlign w:val="center"/>
          </w:tcPr>
          <w:p>
            <w:pPr>
              <w:pStyle w:val="2057"/>
              <w:spacing w:afterLines="0"/>
              <w:ind w:firstLine="0" w:firstLineChars="0"/>
              <w:rPr>
                <w:sz w:val="21"/>
                <w:szCs w:val="21"/>
              </w:rPr>
            </w:pPr>
            <w:r>
              <w:rPr>
                <w:rFonts w:hint="eastAsia"/>
                <w:sz w:val="21"/>
                <w:szCs w:val="21"/>
              </w:rPr>
              <w:t>4</w:t>
            </w:r>
            <w:r>
              <w:rPr>
                <w:sz w:val="21"/>
                <w:szCs w:val="21"/>
              </w:rPr>
              <w:t>#</w:t>
            </w:r>
            <w:r>
              <w:rPr>
                <w:rFonts w:hint="eastAsia"/>
                <w:sz w:val="21"/>
                <w:szCs w:val="21"/>
              </w:rPr>
              <w:t>泊位</w:t>
            </w:r>
          </w:p>
        </w:tc>
        <w:tc>
          <w:tcPr>
            <w:tcW w:w="312" w:type="pct"/>
            <w:vAlign w:val="center"/>
          </w:tcPr>
          <w:p>
            <w:pPr>
              <w:pStyle w:val="2057"/>
              <w:spacing w:afterLines="0"/>
              <w:ind w:firstLine="0" w:firstLineChars="0"/>
              <w:rPr>
                <w:sz w:val="21"/>
                <w:szCs w:val="21"/>
              </w:rPr>
            </w:pPr>
            <w:r>
              <w:rPr>
                <w:rFonts w:hint="eastAsia"/>
                <w:sz w:val="21"/>
                <w:szCs w:val="21"/>
              </w:rPr>
              <w:t>水泥</w:t>
            </w:r>
          </w:p>
        </w:tc>
        <w:tc>
          <w:tcPr>
            <w:tcW w:w="312" w:type="pct"/>
            <w:vAlign w:val="center"/>
          </w:tcPr>
          <w:p>
            <w:pPr>
              <w:pStyle w:val="2057"/>
              <w:spacing w:afterLines="0"/>
              <w:ind w:firstLine="0" w:firstLineChars="0"/>
              <w:rPr>
                <w:sz w:val="21"/>
                <w:szCs w:val="21"/>
              </w:rPr>
            </w:pPr>
            <w:r>
              <w:rPr>
                <w:rFonts w:hint="eastAsia"/>
                <w:sz w:val="21"/>
                <w:szCs w:val="21"/>
              </w:rPr>
              <w:t>0.8</w:t>
            </w:r>
          </w:p>
        </w:tc>
        <w:tc>
          <w:tcPr>
            <w:tcW w:w="312" w:type="pct"/>
            <w:vAlign w:val="center"/>
          </w:tcPr>
          <w:p>
            <w:pPr>
              <w:pStyle w:val="2057"/>
              <w:spacing w:afterLines="0"/>
              <w:ind w:firstLine="0" w:firstLineChars="0"/>
              <w:rPr>
                <w:sz w:val="21"/>
                <w:szCs w:val="21"/>
              </w:rPr>
            </w:pPr>
            <w:r>
              <w:rPr>
                <w:rFonts w:hint="eastAsia"/>
                <w:sz w:val="21"/>
                <w:szCs w:val="21"/>
              </w:rPr>
              <w:t>2</w:t>
            </w:r>
          </w:p>
        </w:tc>
        <w:tc>
          <w:tcPr>
            <w:tcW w:w="312" w:type="pct"/>
            <w:vAlign w:val="center"/>
          </w:tcPr>
          <w:p>
            <w:pPr>
              <w:pStyle w:val="2057"/>
              <w:spacing w:afterLines="0"/>
              <w:ind w:firstLine="0" w:firstLineChars="0"/>
              <w:rPr>
                <w:sz w:val="21"/>
                <w:szCs w:val="21"/>
              </w:rPr>
            </w:pPr>
            <w:r>
              <w:rPr>
                <w:rFonts w:hint="eastAsia"/>
                <w:sz w:val="21"/>
                <w:szCs w:val="21"/>
              </w:rPr>
              <w:t>0.2</w:t>
            </w:r>
          </w:p>
        </w:tc>
        <w:tc>
          <w:tcPr>
            <w:tcW w:w="312" w:type="pct"/>
            <w:vAlign w:val="center"/>
          </w:tcPr>
          <w:p>
            <w:pPr>
              <w:pStyle w:val="2057"/>
              <w:spacing w:afterLines="0"/>
              <w:ind w:firstLine="0" w:firstLineChars="0"/>
              <w:rPr>
                <w:sz w:val="21"/>
                <w:szCs w:val="21"/>
              </w:rPr>
            </w:pPr>
            <w:r>
              <w:rPr>
                <w:rFonts w:hint="eastAsia"/>
                <w:sz w:val="21"/>
                <w:szCs w:val="21"/>
              </w:rPr>
              <w:t>0.45</w:t>
            </w:r>
          </w:p>
        </w:tc>
        <w:tc>
          <w:tcPr>
            <w:tcW w:w="312" w:type="pct"/>
            <w:vAlign w:val="center"/>
          </w:tcPr>
          <w:p>
            <w:pPr>
              <w:pStyle w:val="2057"/>
              <w:spacing w:afterLines="0"/>
              <w:ind w:firstLine="0" w:firstLineChars="0"/>
              <w:rPr>
                <w:sz w:val="21"/>
                <w:szCs w:val="21"/>
              </w:rPr>
            </w:pPr>
            <w:r>
              <w:rPr>
                <w:rFonts w:hint="eastAsia"/>
                <w:sz w:val="21"/>
                <w:szCs w:val="21"/>
              </w:rPr>
              <w:t>6</w:t>
            </w:r>
          </w:p>
        </w:tc>
        <w:tc>
          <w:tcPr>
            <w:tcW w:w="312" w:type="pct"/>
            <w:vAlign w:val="center"/>
          </w:tcPr>
          <w:p>
            <w:pPr>
              <w:pStyle w:val="2057"/>
              <w:spacing w:afterLines="0"/>
              <w:ind w:firstLine="0" w:firstLineChars="0"/>
              <w:rPr>
                <w:sz w:val="21"/>
                <w:szCs w:val="21"/>
              </w:rPr>
            </w:pPr>
            <w:r>
              <w:rPr>
                <w:rFonts w:hint="eastAsia"/>
                <w:sz w:val="21"/>
                <w:szCs w:val="21"/>
              </w:rPr>
              <w:t>0</w:t>
            </w:r>
          </w:p>
        </w:tc>
        <w:tc>
          <w:tcPr>
            <w:tcW w:w="312" w:type="pct"/>
            <w:vAlign w:val="center"/>
          </w:tcPr>
          <w:p>
            <w:pPr>
              <w:pStyle w:val="2057"/>
              <w:spacing w:afterLines="0"/>
              <w:ind w:firstLine="0" w:firstLineChars="0"/>
              <w:rPr>
                <w:sz w:val="21"/>
                <w:szCs w:val="21"/>
              </w:rPr>
            </w:pPr>
            <w:r>
              <w:rPr>
                <w:rFonts w:hint="eastAsia"/>
                <w:sz w:val="21"/>
                <w:szCs w:val="21"/>
              </w:rPr>
              <w:t xml:space="preserve">101.010 </w:t>
            </w:r>
          </w:p>
        </w:tc>
        <w:tc>
          <w:tcPr>
            <w:tcW w:w="312" w:type="pct"/>
            <w:vAlign w:val="center"/>
          </w:tcPr>
          <w:p>
            <w:pPr>
              <w:pStyle w:val="2057"/>
              <w:spacing w:afterLines="0"/>
              <w:ind w:firstLine="0" w:firstLineChars="0"/>
              <w:rPr>
                <w:sz w:val="21"/>
                <w:szCs w:val="21"/>
              </w:rPr>
            </w:pPr>
            <w:r>
              <w:rPr>
                <w:rFonts w:hint="eastAsia"/>
                <w:sz w:val="21"/>
                <w:szCs w:val="21"/>
              </w:rPr>
              <w:t>16</w:t>
            </w:r>
          </w:p>
        </w:tc>
        <w:tc>
          <w:tcPr>
            <w:tcW w:w="312" w:type="pct"/>
            <w:vAlign w:val="center"/>
          </w:tcPr>
          <w:p>
            <w:pPr>
              <w:pStyle w:val="2057"/>
              <w:spacing w:afterLines="0"/>
              <w:ind w:firstLine="0" w:firstLineChars="0"/>
              <w:rPr>
                <w:sz w:val="21"/>
                <w:szCs w:val="21"/>
              </w:rPr>
            </w:pPr>
            <w:r>
              <w:rPr>
                <w:rFonts w:hint="eastAsia"/>
                <w:sz w:val="21"/>
                <w:szCs w:val="21"/>
              </w:rPr>
              <w:t>0.5</w:t>
            </w:r>
          </w:p>
        </w:tc>
        <w:tc>
          <w:tcPr>
            <w:tcW w:w="312" w:type="pct"/>
            <w:vAlign w:val="center"/>
          </w:tcPr>
          <w:p>
            <w:pPr>
              <w:pStyle w:val="2057"/>
              <w:spacing w:afterLines="0"/>
              <w:ind w:firstLine="0" w:firstLineChars="0"/>
              <w:rPr>
                <w:sz w:val="21"/>
                <w:szCs w:val="21"/>
              </w:rPr>
            </w:pPr>
            <w:r>
              <w:rPr>
                <w:rFonts w:hint="eastAsia"/>
                <w:sz w:val="21"/>
                <w:szCs w:val="21"/>
              </w:rPr>
              <w:t xml:space="preserve">9.779 </w:t>
            </w:r>
          </w:p>
        </w:tc>
        <w:tc>
          <w:tcPr>
            <w:tcW w:w="312" w:type="pct"/>
            <w:vAlign w:val="center"/>
          </w:tcPr>
          <w:p>
            <w:pPr>
              <w:pStyle w:val="2057"/>
              <w:spacing w:afterLines="0"/>
              <w:ind w:firstLine="0" w:firstLineChars="0"/>
              <w:rPr>
                <w:sz w:val="21"/>
                <w:szCs w:val="21"/>
              </w:rPr>
            </w:pPr>
            <w:r>
              <w:rPr>
                <w:rFonts w:hint="eastAsia"/>
                <w:sz w:val="21"/>
                <w:szCs w:val="21"/>
              </w:rPr>
              <w:t xml:space="preserve">77.450 </w:t>
            </w:r>
          </w:p>
        </w:tc>
        <w:tc>
          <w:tcPr>
            <w:tcW w:w="312" w:type="pct"/>
            <w:vAlign w:val="center"/>
          </w:tcPr>
          <w:p>
            <w:pPr>
              <w:pStyle w:val="2057"/>
              <w:spacing w:afterLines="0"/>
              <w:ind w:firstLine="0" w:firstLineChars="0"/>
              <w:rPr>
                <w:sz w:val="21"/>
                <w:szCs w:val="21"/>
              </w:rPr>
            </w:pPr>
            <w:r>
              <w:rPr>
                <w:rFonts w:hint="eastAsia"/>
                <w:sz w:val="21"/>
                <w:szCs w:val="21"/>
              </w:rPr>
              <w:t>99%</w:t>
            </w:r>
          </w:p>
        </w:tc>
        <w:tc>
          <w:tcPr>
            <w:tcW w:w="312" w:type="pct"/>
            <w:vAlign w:val="center"/>
          </w:tcPr>
          <w:p>
            <w:pPr>
              <w:pStyle w:val="2057"/>
              <w:spacing w:afterLines="0"/>
              <w:ind w:firstLine="0" w:firstLineChars="0"/>
              <w:rPr>
                <w:sz w:val="21"/>
                <w:szCs w:val="21"/>
              </w:rPr>
            </w:pPr>
            <w:r>
              <w:rPr>
                <w:rFonts w:hint="eastAsia"/>
                <w:sz w:val="21"/>
                <w:szCs w:val="21"/>
              </w:rPr>
              <w:t xml:space="preserve">0.775 </w:t>
            </w:r>
          </w:p>
        </w:tc>
        <w:tc>
          <w:tcPr>
            <w:tcW w:w="315" w:type="pct"/>
            <w:vAlign w:val="center"/>
          </w:tcPr>
          <w:p>
            <w:pPr>
              <w:pStyle w:val="2057"/>
              <w:spacing w:afterLines="0"/>
              <w:ind w:firstLine="0" w:firstLineChars="0"/>
              <w:rPr>
                <w:sz w:val="21"/>
                <w:szCs w:val="21"/>
              </w:rPr>
            </w:pPr>
            <w:r>
              <w:rPr>
                <w:rFonts w:hint="eastAsia"/>
                <w:sz w:val="21"/>
                <w:szCs w:val="21"/>
              </w:rPr>
              <w:t xml:space="preserve">0.098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44" w:hRule="atLeast"/>
        </w:trPr>
        <w:tc>
          <w:tcPr>
            <w:tcW w:w="312" w:type="pct"/>
            <w:vMerge w:val="continue"/>
            <w:vAlign w:val="center"/>
          </w:tcPr>
          <w:p>
            <w:pPr>
              <w:pStyle w:val="2057"/>
              <w:spacing w:afterLines="0"/>
              <w:ind w:firstLine="0" w:firstLineChars="0"/>
              <w:rPr>
                <w:sz w:val="21"/>
                <w:szCs w:val="21"/>
              </w:rPr>
            </w:pPr>
          </w:p>
        </w:tc>
        <w:tc>
          <w:tcPr>
            <w:tcW w:w="312" w:type="pct"/>
            <w:vAlign w:val="center"/>
          </w:tcPr>
          <w:p>
            <w:pPr>
              <w:pStyle w:val="2057"/>
              <w:spacing w:afterLines="0"/>
              <w:ind w:firstLine="0" w:firstLineChars="0"/>
              <w:rPr>
                <w:sz w:val="21"/>
                <w:szCs w:val="21"/>
              </w:rPr>
            </w:pPr>
            <w:r>
              <w:rPr>
                <w:rFonts w:hint="eastAsia"/>
                <w:sz w:val="21"/>
                <w:szCs w:val="21"/>
              </w:rPr>
              <w:t>土壤修复剂、复合肥等</w:t>
            </w:r>
          </w:p>
        </w:tc>
        <w:tc>
          <w:tcPr>
            <w:tcW w:w="312" w:type="pct"/>
            <w:vAlign w:val="center"/>
          </w:tcPr>
          <w:p>
            <w:pPr>
              <w:pStyle w:val="2057"/>
              <w:spacing w:afterLines="0"/>
              <w:ind w:firstLine="0" w:firstLineChars="0"/>
              <w:rPr>
                <w:sz w:val="21"/>
                <w:szCs w:val="21"/>
              </w:rPr>
            </w:pPr>
            <w:r>
              <w:rPr>
                <w:rFonts w:hint="eastAsia"/>
                <w:sz w:val="21"/>
                <w:szCs w:val="21"/>
              </w:rPr>
              <w:t>0.6</w:t>
            </w:r>
          </w:p>
        </w:tc>
        <w:tc>
          <w:tcPr>
            <w:tcW w:w="312" w:type="pct"/>
            <w:vAlign w:val="center"/>
          </w:tcPr>
          <w:p>
            <w:pPr>
              <w:pStyle w:val="2057"/>
              <w:spacing w:afterLines="0"/>
              <w:ind w:firstLine="0" w:firstLineChars="0"/>
              <w:rPr>
                <w:sz w:val="21"/>
                <w:szCs w:val="21"/>
              </w:rPr>
            </w:pPr>
            <w:r>
              <w:rPr>
                <w:rFonts w:hint="eastAsia"/>
                <w:sz w:val="21"/>
                <w:szCs w:val="21"/>
              </w:rPr>
              <w:t>2</w:t>
            </w:r>
          </w:p>
        </w:tc>
        <w:tc>
          <w:tcPr>
            <w:tcW w:w="312" w:type="pct"/>
            <w:vAlign w:val="center"/>
          </w:tcPr>
          <w:p>
            <w:pPr>
              <w:pStyle w:val="2057"/>
              <w:spacing w:afterLines="0"/>
              <w:ind w:firstLine="0" w:firstLineChars="0"/>
              <w:rPr>
                <w:sz w:val="21"/>
                <w:szCs w:val="21"/>
              </w:rPr>
            </w:pPr>
            <w:r>
              <w:rPr>
                <w:rFonts w:hint="eastAsia"/>
                <w:sz w:val="21"/>
                <w:szCs w:val="21"/>
              </w:rPr>
              <w:t>0.5</w:t>
            </w:r>
          </w:p>
        </w:tc>
        <w:tc>
          <w:tcPr>
            <w:tcW w:w="312" w:type="pct"/>
            <w:vAlign w:val="center"/>
          </w:tcPr>
          <w:p>
            <w:pPr>
              <w:pStyle w:val="2057"/>
              <w:spacing w:afterLines="0"/>
              <w:ind w:firstLine="0" w:firstLineChars="0"/>
              <w:rPr>
                <w:sz w:val="21"/>
                <w:szCs w:val="21"/>
              </w:rPr>
            </w:pPr>
            <w:r>
              <w:rPr>
                <w:rFonts w:hint="eastAsia"/>
                <w:sz w:val="21"/>
                <w:szCs w:val="21"/>
              </w:rPr>
              <w:t>0.45</w:t>
            </w:r>
          </w:p>
        </w:tc>
        <w:tc>
          <w:tcPr>
            <w:tcW w:w="312" w:type="pct"/>
            <w:vAlign w:val="center"/>
          </w:tcPr>
          <w:p>
            <w:pPr>
              <w:pStyle w:val="2057"/>
              <w:spacing w:afterLines="0"/>
              <w:ind w:firstLine="0" w:firstLineChars="0"/>
              <w:rPr>
                <w:sz w:val="21"/>
                <w:szCs w:val="21"/>
              </w:rPr>
            </w:pPr>
            <w:r>
              <w:rPr>
                <w:rFonts w:hint="eastAsia"/>
                <w:sz w:val="21"/>
                <w:szCs w:val="21"/>
              </w:rPr>
              <w:t>6</w:t>
            </w:r>
          </w:p>
        </w:tc>
        <w:tc>
          <w:tcPr>
            <w:tcW w:w="312" w:type="pct"/>
            <w:vAlign w:val="center"/>
          </w:tcPr>
          <w:p>
            <w:pPr>
              <w:pStyle w:val="2057"/>
              <w:spacing w:afterLines="0"/>
              <w:ind w:firstLine="0" w:firstLineChars="0"/>
              <w:rPr>
                <w:sz w:val="21"/>
                <w:szCs w:val="21"/>
              </w:rPr>
            </w:pPr>
            <w:r>
              <w:rPr>
                <w:rFonts w:hint="eastAsia"/>
                <w:sz w:val="21"/>
                <w:szCs w:val="21"/>
              </w:rPr>
              <w:t>6</w:t>
            </w:r>
          </w:p>
        </w:tc>
        <w:tc>
          <w:tcPr>
            <w:tcW w:w="312" w:type="pct"/>
            <w:vAlign w:val="center"/>
          </w:tcPr>
          <w:p>
            <w:pPr>
              <w:pStyle w:val="2057"/>
              <w:spacing w:afterLines="0"/>
              <w:ind w:firstLine="0" w:firstLineChars="0"/>
              <w:rPr>
                <w:sz w:val="21"/>
                <w:szCs w:val="21"/>
              </w:rPr>
            </w:pPr>
            <w:r>
              <w:rPr>
                <w:rFonts w:hint="eastAsia"/>
                <w:sz w:val="21"/>
                <w:szCs w:val="21"/>
              </w:rPr>
              <w:t xml:space="preserve">25.253 </w:t>
            </w:r>
          </w:p>
        </w:tc>
        <w:tc>
          <w:tcPr>
            <w:tcW w:w="312" w:type="pct"/>
            <w:vAlign w:val="center"/>
          </w:tcPr>
          <w:p>
            <w:pPr>
              <w:pStyle w:val="2057"/>
              <w:spacing w:afterLines="0"/>
              <w:ind w:firstLine="0" w:firstLineChars="0"/>
              <w:rPr>
                <w:sz w:val="21"/>
                <w:szCs w:val="21"/>
              </w:rPr>
            </w:pPr>
            <w:r>
              <w:rPr>
                <w:rFonts w:hint="eastAsia"/>
                <w:sz w:val="21"/>
                <w:szCs w:val="21"/>
              </w:rPr>
              <w:t>16</w:t>
            </w:r>
          </w:p>
        </w:tc>
        <w:tc>
          <w:tcPr>
            <w:tcW w:w="312" w:type="pct"/>
            <w:vAlign w:val="center"/>
          </w:tcPr>
          <w:p>
            <w:pPr>
              <w:pStyle w:val="2057"/>
              <w:spacing w:afterLines="0"/>
              <w:ind w:firstLine="0" w:firstLineChars="0"/>
              <w:rPr>
                <w:sz w:val="21"/>
                <w:szCs w:val="21"/>
              </w:rPr>
            </w:pPr>
            <w:r>
              <w:rPr>
                <w:rFonts w:hint="eastAsia"/>
                <w:sz w:val="21"/>
                <w:szCs w:val="21"/>
              </w:rPr>
              <w:t>2.5</w:t>
            </w:r>
          </w:p>
        </w:tc>
        <w:tc>
          <w:tcPr>
            <w:tcW w:w="312" w:type="pct"/>
            <w:vAlign w:val="center"/>
          </w:tcPr>
          <w:p>
            <w:pPr>
              <w:pStyle w:val="2057"/>
              <w:spacing w:afterLines="0"/>
              <w:ind w:firstLine="0" w:firstLineChars="0"/>
              <w:rPr>
                <w:sz w:val="21"/>
                <w:szCs w:val="21"/>
              </w:rPr>
            </w:pPr>
            <w:r>
              <w:rPr>
                <w:rFonts w:hint="eastAsia"/>
                <w:sz w:val="21"/>
                <w:szCs w:val="21"/>
              </w:rPr>
              <w:t xml:space="preserve">0.501 </w:t>
            </w:r>
          </w:p>
        </w:tc>
        <w:tc>
          <w:tcPr>
            <w:tcW w:w="312" w:type="pct"/>
            <w:vAlign w:val="center"/>
          </w:tcPr>
          <w:p>
            <w:pPr>
              <w:pStyle w:val="2057"/>
              <w:spacing w:afterLines="0"/>
              <w:ind w:firstLine="0" w:firstLineChars="0"/>
              <w:rPr>
                <w:sz w:val="21"/>
                <w:szCs w:val="21"/>
              </w:rPr>
            </w:pPr>
            <w:r>
              <w:rPr>
                <w:rFonts w:hint="eastAsia"/>
                <w:sz w:val="21"/>
                <w:szCs w:val="21"/>
              </w:rPr>
              <w:t xml:space="preserve">3.970 </w:t>
            </w:r>
          </w:p>
        </w:tc>
        <w:tc>
          <w:tcPr>
            <w:tcW w:w="312" w:type="pct"/>
            <w:vAlign w:val="center"/>
          </w:tcPr>
          <w:p>
            <w:pPr>
              <w:pStyle w:val="2057"/>
              <w:spacing w:afterLines="0"/>
              <w:ind w:firstLine="0" w:firstLineChars="0"/>
              <w:rPr>
                <w:sz w:val="21"/>
                <w:szCs w:val="21"/>
              </w:rPr>
            </w:pPr>
            <w:r>
              <w:rPr>
                <w:rFonts w:hint="eastAsia"/>
                <w:sz w:val="21"/>
                <w:szCs w:val="21"/>
              </w:rPr>
              <w:t xml:space="preserve">90% </w:t>
            </w:r>
          </w:p>
        </w:tc>
        <w:tc>
          <w:tcPr>
            <w:tcW w:w="312" w:type="pct"/>
            <w:vAlign w:val="center"/>
          </w:tcPr>
          <w:p>
            <w:pPr>
              <w:pStyle w:val="2057"/>
              <w:spacing w:afterLines="0"/>
              <w:ind w:firstLine="0" w:firstLineChars="0"/>
              <w:rPr>
                <w:sz w:val="21"/>
                <w:szCs w:val="21"/>
              </w:rPr>
            </w:pPr>
            <w:r>
              <w:rPr>
                <w:rFonts w:hint="eastAsia"/>
                <w:sz w:val="21"/>
                <w:szCs w:val="21"/>
              </w:rPr>
              <w:t xml:space="preserve">0.397 </w:t>
            </w:r>
          </w:p>
        </w:tc>
        <w:tc>
          <w:tcPr>
            <w:tcW w:w="315" w:type="pct"/>
            <w:vAlign w:val="center"/>
          </w:tcPr>
          <w:p>
            <w:pPr>
              <w:pStyle w:val="2057"/>
              <w:spacing w:afterLines="0"/>
              <w:ind w:firstLine="0" w:firstLineChars="0"/>
              <w:rPr>
                <w:sz w:val="21"/>
                <w:szCs w:val="21"/>
              </w:rPr>
            </w:pPr>
            <w:r>
              <w:rPr>
                <w:rFonts w:hint="eastAsia"/>
                <w:sz w:val="21"/>
                <w:szCs w:val="21"/>
              </w:rPr>
              <w:t xml:space="preserve">0.050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44" w:hRule="atLeast"/>
        </w:trPr>
        <w:tc>
          <w:tcPr>
            <w:tcW w:w="312" w:type="pct"/>
            <w:vAlign w:val="center"/>
          </w:tcPr>
          <w:p>
            <w:pPr>
              <w:pStyle w:val="2057"/>
              <w:spacing w:afterLines="0"/>
              <w:ind w:firstLine="0" w:firstLineChars="0"/>
              <w:rPr>
                <w:sz w:val="21"/>
                <w:szCs w:val="21"/>
              </w:rPr>
            </w:pPr>
            <w:r>
              <w:rPr>
                <w:sz w:val="21"/>
                <w:szCs w:val="21"/>
              </w:rPr>
              <w:t>5#</w:t>
            </w:r>
            <w:r>
              <w:rPr>
                <w:rFonts w:hint="eastAsia"/>
                <w:sz w:val="21"/>
                <w:szCs w:val="21"/>
              </w:rPr>
              <w:t>泊位</w:t>
            </w:r>
          </w:p>
        </w:tc>
        <w:tc>
          <w:tcPr>
            <w:tcW w:w="312" w:type="pct"/>
            <w:vAlign w:val="center"/>
          </w:tcPr>
          <w:p>
            <w:pPr>
              <w:pStyle w:val="2057"/>
              <w:spacing w:afterLines="0"/>
              <w:ind w:firstLine="0" w:firstLineChars="0"/>
              <w:rPr>
                <w:sz w:val="21"/>
                <w:szCs w:val="21"/>
              </w:rPr>
            </w:pPr>
            <w:r>
              <w:rPr>
                <w:rFonts w:hint="eastAsia"/>
                <w:sz w:val="21"/>
                <w:szCs w:val="21"/>
              </w:rPr>
              <w:t>骨料</w:t>
            </w:r>
          </w:p>
        </w:tc>
        <w:tc>
          <w:tcPr>
            <w:tcW w:w="312" w:type="pct"/>
            <w:vAlign w:val="center"/>
          </w:tcPr>
          <w:p>
            <w:pPr>
              <w:pStyle w:val="2057"/>
              <w:spacing w:afterLines="0"/>
              <w:ind w:firstLine="0" w:firstLineChars="0"/>
              <w:rPr>
                <w:sz w:val="21"/>
                <w:szCs w:val="21"/>
              </w:rPr>
            </w:pPr>
            <w:r>
              <w:rPr>
                <w:rFonts w:hint="eastAsia"/>
                <w:sz w:val="21"/>
                <w:szCs w:val="21"/>
              </w:rPr>
              <w:t>0.6</w:t>
            </w:r>
          </w:p>
        </w:tc>
        <w:tc>
          <w:tcPr>
            <w:tcW w:w="312" w:type="pct"/>
            <w:vAlign w:val="center"/>
          </w:tcPr>
          <w:p>
            <w:pPr>
              <w:pStyle w:val="2057"/>
              <w:spacing w:afterLines="0"/>
              <w:ind w:firstLine="0" w:firstLineChars="0"/>
              <w:rPr>
                <w:sz w:val="21"/>
                <w:szCs w:val="21"/>
              </w:rPr>
            </w:pPr>
            <w:r>
              <w:rPr>
                <w:rFonts w:hint="eastAsia"/>
                <w:sz w:val="21"/>
                <w:szCs w:val="21"/>
              </w:rPr>
              <w:t>2</w:t>
            </w:r>
          </w:p>
        </w:tc>
        <w:tc>
          <w:tcPr>
            <w:tcW w:w="312" w:type="pct"/>
            <w:vAlign w:val="center"/>
          </w:tcPr>
          <w:p>
            <w:pPr>
              <w:pStyle w:val="2057"/>
              <w:spacing w:afterLines="0"/>
              <w:ind w:firstLine="0" w:firstLineChars="0"/>
              <w:rPr>
                <w:sz w:val="21"/>
                <w:szCs w:val="21"/>
              </w:rPr>
            </w:pPr>
            <w:r>
              <w:rPr>
                <w:rFonts w:hint="eastAsia"/>
                <w:sz w:val="21"/>
                <w:szCs w:val="21"/>
              </w:rPr>
              <w:t>0.5</w:t>
            </w:r>
          </w:p>
        </w:tc>
        <w:tc>
          <w:tcPr>
            <w:tcW w:w="312" w:type="pct"/>
            <w:vAlign w:val="center"/>
          </w:tcPr>
          <w:p>
            <w:pPr>
              <w:pStyle w:val="2057"/>
              <w:spacing w:afterLines="0"/>
              <w:ind w:firstLine="0" w:firstLineChars="0"/>
              <w:rPr>
                <w:sz w:val="21"/>
                <w:szCs w:val="21"/>
              </w:rPr>
            </w:pPr>
            <w:r>
              <w:rPr>
                <w:rFonts w:hint="eastAsia"/>
                <w:sz w:val="21"/>
                <w:szCs w:val="21"/>
              </w:rPr>
              <w:t>0.45</w:t>
            </w:r>
          </w:p>
        </w:tc>
        <w:tc>
          <w:tcPr>
            <w:tcW w:w="312" w:type="pct"/>
            <w:vAlign w:val="center"/>
          </w:tcPr>
          <w:p>
            <w:pPr>
              <w:pStyle w:val="2057"/>
              <w:spacing w:afterLines="0"/>
              <w:ind w:firstLine="0" w:firstLineChars="0"/>
              <w:rPr>
                <w:sz w:val="21"/>
                <w:szCs w:val="21"/>
              </w:rPr>
            </w:pPr>
            <w:r>
              <w:rPr>
                <w:rFonts w:hint="eastAsia"/>
                <w:sz w:val="21"/>
                <w:szCs w:val="21"/>
              </w:rPr>
              <w:t>5</w:t>
            </w:r>
          </w:p>
        </w:tc>
        <w:tc>
          <w:tcPr>
            <w:tcW w:w="312" w:type="pct"/>
            <w:vAlign w:val="center"/>
          </w:tcPr>
          <w:p>
            <w:pPr>
              <w:pStyle w:val="2057"/>
              <w:spacing w:afterLines="0"/>
              <w:ind w:firstLine="0" w:firstLineChars="0"/>
              <w:rPr>
                <w:sz w:val="21"/>
                <w:szCs w:val="21"/>
              </w:rPr>
            </w:pPr>
            <w:r>
              <w:rPr>
                <w:rFonts w:hint="eastAsia"/>
                <w:sz w:val="21"/>
                <w:szCs w:val="21"/>
              </w:rPr>
              <w:t>8</w:t>
            </w:r>
          </w:p>
        </w:tc>
        <w:tc>
          <w:tcPr>
            <w:tcW w:w="312" w:type="pct"/>
            <w:vAlign w:val="center"/>
          </w:tcPr>
          <w:p>
            <w:pPr>
              <w:pStyle w:val="2057"/>
              <w:spacing w:afterLines="0"/>
              <w:ind w:firstLine="0" w:firstLineChars="0"/>
              <w:rPr>
                <w:sz w:val="21"/>
                <w:szCs w:val="21"/>
              </w:rPr>
            </w:pPr>
            <w:r>
              <w:rPr>
                <w:rFonts w:hint="eastAsia"/>
                <w:sz w:val="21"/>
                <w:szCs w:val="21"/>
              </w:rPr>
              <w:t xml:space="preserve">441.919 </w:t>
            </w:r>
          </w:p>
        </w:tc>
        <w:tc>
          <w:tcPr>
            <w:tcW w:w="312" w:type="pct"/>
            <w:vAlign w:val="center"/>
          </w:tcPr>
          <w:p>
            <w:pPr>
              <w:pStyle w:val="2057"/>
              <w:spacing w:afterLines="0"/>
              <w:ind w:firstLine="0" w:firstLineChars="0"/>
              <w:rPr>
                <w:sz w:val="21"/>
                <w:szCs w:val="21"/>
              </w:rPr>
            </w:pPr>
            <w:r>
              <w:rPr>
                <w:rFonts w:hint="eastAsia"/>
                <w:sz w:val="21"/>
                <w:szCs w:val="21"/>
              </w:rPr>
              <w:t>16</w:t>
            </w:r>
          </w:p>
        </w:tc>
        <w:tc>
          <w:tcPr>
            <w:tcW w:w="312" w:type="pct"/>
            <w:vAlign w:val="center"/>
          </w:tcPr>
          <w:p>
            <w:pPr>
              <w:pStyle w:val="2057"/>
              <w:spacing w:afterLines="0"/>
              <w:ind w:firstLine="0" w:firstLineChars="0"/>
              <w:rPr>
                <w:sz w:val="21"/>
                <w:szCs w:val="21"/>
              </w:rPr>
            </w:pPr>
            <w:r>
              <w:rPr>
                <w:rFonts w:hint="eastAsia"/>
                <w:sz w:val="21"/>
                <w:szCs w:val="21"/>
              </w:rPr>
              <w:t>2.5</w:t>
            </w:r>
          </w:p>
        </w:tc>
        <w:tc>
          <w:tcPr>
            <w:tcW w:w="312" w:type="pct"/>
            <w:vAlign w:val="center"/>
          </w:tcPr>
          <w:p>
            <w:pPr>
              <w:pStyle w:val="2057"/>
              <w:spacing w:afterLines="0"/>
              <w:ind w:firstLine="0" w:firstLineChars="0"/>
              <w:rPr>
                <w:sz w:val="21"/>
                <w:szCs w:val="21"/>
              </w:rPr>
            </w:pPr>
            <w:r>
              <w:rPr>
                <w:rFonts w:hint="eastAsia"/>
                <w:sz w:val="21"/>
                <w:szCs w:val="21"/>
              </w:rPr>
              <w:t xml:space="preserve">1.624 </w:t>
            </w:r>
          </w:p>
        </w:tc>
        <w:tc>
          <w:tcPr>
            <w:tcW w:w="312" w:type="pct"/>
            <w:vAlign w:val="center"/>
          </w:tcPr>
          <w:p>
            <w:pPr>
              <w:pStyle w:val="2057"/>
              <w:spacing w:afterLines="0"/>
              <w:ind w:firstLine="0" w:firstLineChars="0"/>
              <w:rPr>
                <w:sz w:val="21"/>
                <w:szCs w:val="21"/>
              </w:rPr>
            </w:pPr>
            <w:r>
              <w:rPr>
                <w:rFonts w:hint="eastAsia"/>
                <w:sz w:val="21"/>
                <w:szCs w:val="21"/>
              </w:rPr>
              <w:t xml:space="preserve">12.866 </w:t>
            </w:r>
          </w:p>
        </w:tc>
        <w:tc>
          <w:tcPr>
            <w:tcW w:w="312" w:type="pct"/>
            <w:vAlign w:val="center"/>
          </w:tcPr>
          <w:p>
            <w:pPr>
              <w:pStyle w:val="2057"/>
              <w:spacing w:afterLines="0"/>
              <w:ind w:firstLine="0" w:firstLineChars="0"/>
              <w:rPr>
                <w:sz w:val="21"/>
                <w:szCs w:val="21"/>
              </w:rPr>
            </w:pPr>
            <w:r>
              <w:rPr>
                <w:rFonts w:hint="eastAsia"/>
                <w:sz w:val="21"/>
                <w:szCs w:val="21"/>
              </w:rPr>
              <w:t xml:space="preserve">90% </w:t>
            </w:r>
          </w:p>
        </w:tc>
        <w:tc>
          <w:tcPr>
            <w:tcW w:w="312" w:type="pct"/>
            <w:vAlign w:val="center"/>
          </w:tcPr>
          <w:p>
            <w:pPr>
              <w:pStyle w:val="2057"/>
              <w:spacing w:afterLines="0"/>
              <w:ind w:firstLine="0" w:firstLineChars="0"/>
              <w:rPr>
                <w:sz w:val="21"/>
                <w:szCs w:val="21"/>
              </w:rPr>
            </w:pPr>
            <w:r>
              <w:rPr>
                <w:rFonts w:hint="eastAsia"/>
                <w:sz w:val="21"/>
                <w:szCs w:val="21"/>
              </w:rPr>
              <w:t xml:space="preserve">1.287 </w:t>
            </w:r>
          </w:p>
        </w:tc>
        <w:tc>
          <w:tcPr>
            <w:tcW w:w="315" w:type="pct"/>
            <w:vAlign w:val="center"/>
          </w:tcPr>
          <w:p>
            <w:pPr>
              <w:pStyle w:val="2057"/>
              <w:spacing w:afterLines="0"/>
              <w:ind w:firstLine="0" w:firstLineChars="0"/>
              <w:rPr>
                <w:sz w:val="21"/>
                <w:szCs w:val="21"/>
              </w:rPr>
            </w:pPr>
            <w:r>
              <w:rPr>
                <w:rFonts w:hint="eastAsia"/>
                <w:sz w:val="21"/>
                <w:szCs w:val="21"/>
              </w:rPr>
              <w:t xml:space="preserve">0.162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44" w:hRule="atLeast"/>
        </w:trPr>
        <w:tc>
          <w:tcPr>
            <w:tcW w:w="312" w:type="pct"/>
            <w:vAlign w:val="center"/>
          </w:tcPr>
          <w:p>
            <w:pPr>
              <w:pStyle w:val="2057"/>
              <w:spacing w:afterLines="0"/>
              <w:ind w:firstLine="0" w:firstLineChars="0"/>
              <w:rPr>
                <w:sz w:val="21"/>
                <w:szCs w:val="21"/>
              </w:rPr>
            </w:pPr>
            <w:r>
              <w:rPr>
                <w:sz w:val="21"/>
                <w:szCs w:val="21"/>
              </w:rPr>
              <w:t>6#</w:t>
            </w:r>
            <w:r>
              <w:rPr>
                <w:rFonts w:hint="eastAsia"/>
                <w:sz w:val="21"/>
                <w:szCs w:val="21"/>
              </w:rPr>
              <w:t>泊位</w:t>
            </w:r>
          </w:p>
        </w:tc>
        <w:tc>
          <w:tcPr>
            <w:tcW w:w="312" w:type="pct"/>
            <w:vAlign w:val="center"/>
          </w:tcPr>
          <w:p>
            <w:pPr>
              <w:pStyle w:val="2057"/>
              <w:spacing w:afterLines="0"/>
              <w:ind w:firstLine="0" w:firstLineChars="0"/>
              <w:rPr>
                <w:sz w:val="21"/>
                <w:szCs w:val="21"/>
              </w:rPr>
            </w:pPr>
            <w:r>
              <w:rPr>
                <w:rFonts w:hint="eastAsia"/>
                <w:sz w:val="21"/>
                <w:szCs w:val="21"/>
              </w:rPr>
              <w:t>砂石</w:t>
            </w:r>
          </w:p>
        </w:tc>
        <w:tc>
          <w:tcPr>
            <w:tcW w:w="312" w:type="pct"/>
            <w:vAlign w:val="center"/>
          </w:tcPr>
          <w:p>
            <w:pPr>
              <w:pStyle w:val="2057"/>
              <w:spacing w:afterLines="0"/>
              <w:ind w:firstLine="0" w:firstLineChars="0"/>
              <w:rPr>
                <w:sz w:val="21"/>
                <w:szCs w:val="21"/>
              </w:rPr>
            </w:pPr>
            <w:r>
              <w:rPr>
                <w:rFonts w:hint="eastAsia"/>
                <w:sz w:val="21"/>
                <w:szCs w:val="21"/>
              </w:rPr>
              <w:t>0.6</w:t>
            </w:r>
          </w:p>
        </w:tc>
        <w:tc>
          <w:tcPr>
            <w:tcW w:w="312" w:type="pct"/>
            <w:vAlign w:val="center"/>
          </w:tcPr>
          <w:p>
            <w:pPr>
              <w:pStyle w:val="2057"/>
              <w:spacing w:afterLines="0"/>
              <w:ind w:firstLine="0" w:firstLineChars="0"/>
              <w:rPr>
                <w:sz w:val="21"/>
                <w:szCs w:val="21"/>
              </w:rPr>
            </w:pPr>
            <w:r>
              <w:rPr>
                <w:rFonts w:hint="eastAsia"/>
                <w:sz w:val="21"/>
                <w:szCs w:val="21"/>
              </w:rPr>
              <w:t>2</w:t>
            </w:r>
          </w:p>
        </w:tc>
        <w:tc>
          <w:tcPr>
            <w:tcW w:w="312" w:type="pct"/>
            <w:vAlign w:val="center"/>
          </w:tcPr>
          <w:p>
            <w:pPr>
              <w:pStyle w:val="2057"/>
              <w:spacing w:afterLines="0"/>
              <w:ind w:firstLine="0" w:firstLineChars="0"/>
              <w:rPr>
                <w:sz w:val="21"/>
                <w:szCs w:val="21"/>
              </w:rPr>
            </w:pPr>
            <w:r>
              <w:rPr>
                <w:rFonts w:hint="eastAsia"/>
                <w:sz w:val="21"/>
                <w:szCs w:val="21"/>
              </w:rPr>
              <w:t>0.5</w:t>
            </w:r>
          </w:p>
        </w:tc>
        <w:tc>
          <w:tcPr>
            <w:tcW w:w="312" w:type="pct"/>
            <w:vAlign w:val="center"/>
          </w:tcPr>
          <w:p>
            <w:pPr>
              <w:pStyle w:val="2057"/>
              <w:spacing w:afterLines="0"/>
              <w:ind w:firstLine="0" w:firstLineChars="0"/>
              <w:rPr>
                <w:sz w:val="21"/>
                <w:szCs w:val="21"/>
              </w:rPr>
            </w:pPr>
            <w:r>
              <w:rPr>
                <w:rFonts w:hint="eastAsia"/>
                <w:sz w:val="21"/>
                <w:szCs w:val="21"/>
              </w:rPr>
              <w:t>0.45</w:t>
            </w:r>
          </w:p>
        </w:tc>
        <w:tc>
          <w:tcPr>
            <w:tcW w:w="312" w:type="pct"/>
            <w:vAlign w:val="center"/>
          </w:tcPr>
          <w:p>
            <w:pPr>
              <w:pStyle w:val="2057"/>
              <w:spacing w:afterLines="0"/>
              <w:ind w:firstLine="0" w:firstLineChars="0"/>
              <w:rPr>
                <w:sz w:val="21"/>
                <w:szCs w:val="21"/>
              </w:rPr>
            </w:pPr>
            <w:r>
              <w:rPr>
                <w:rFonts w:hint="eastAsia"/>
                <w:sz w:val="21"/>
                <w:szCs w:val="21"/>
              </w:rPr>
              <w:t>5</w:t>
            </w:r>
          </w:p>
        </w:tc>
        <w:tc>
          <w:tcPr>
            <w:tcW w:w="312" w:type="pct"/>
            <w:vAlign w:val="center"/>
          </w:tcPr>
          <w:p>
            <w:pPr>
              <w:pStyle w:val="2057"/>
              <w:spacing w:afterLines="0"/>
              <w:ind w:firstLine="0" w:firstLineChars="0"/>
              <w:rPr>
                <w:sz w:val="21"/>
                <w:szCs w:val="21"/>
              </w:rPr>
            </w:pPr>
            <w:r>
              <w:rPr>
                <w:rFonts w:hint="eastAsia"/>
                <w:sz w:val="21"/>
                <w:szCs w:val="21"/>
              </w:rPr>
              <w:t>8</w:t>
            </w:r>
          </w:p>
        </w:tc>
        <w:tc>
          <w:tcPr>
            <w:tcW w:w="312" w:type="pct"/>
            <w:vAlign w:val="center"/>
          </w:tcPr>
          <w:p>
            <w:pPr>
              <w:pStyle w:val="2057"/>
              <w:spacing w:afterLines="0"/>
              <w:ind w:firstLine="0" w:firstLineChars="0"/>
              <w:rPr>
                <w:sz w:val="21"/>
                <w:szCs w:val="21"/>
              </w:rPr>
            </w:pPr>
            <w:r>
              <w:rPr>
                <w:rFonts w:hint="eastAsia"/>
                <w:sz w:val="21"/>
                <w:szCs w:val="21"/>
              </w:rPr>
              <w:t xml:space="preserve">126.263 </w:t>
            </w:r>
          </w:p>
        </w:tc>
        <w:tc>
          <w:tcPr>
            <w:tcW w:w="312" w:type="pct"/>
            <w:vAlign w:val="center"/>
          </w:tcPr>
          <w:p>
            <w:pPr>
              <w:pStyle w:val="2057"/>
              <w:spacing w:afterLines="0"/>
              <w:ind w:firstLine="0" w:firstLineChars="0"/>
              <w:rPr>
                <w:sz w:val="21"/>
                <w:szCs w:val="21"/>
              </w:rPr>
            </w:pPr>
            <w:r>
              <w:rPr>
                <w:rFonts w:hint="eastAsia"/>
                <w:sz w:val="21"/>
                <w:szCs w:val="21"/>
              </w:rPr>
              <w:t>16</w:t>
            </w:r>
          </w:p>
        </w:tc>
        <w:tc>
          <w:tcPr>
            <w:tcW w:w="312" w:type="pct"/>
            <w:vAlign w:val="center"/>
          </w:tcPr>
          <w:p>
            <w:pPr>
              <w:pStyle w:val="2057"/>
              <w:spacing w:afterLines="0"/>
              <w:ind w:firstLine="0" w:firstLineChars="0"/>
              <w:rPr>
                <w:sz w:val="21"/>
                <w:szCs w:val="21"/>
              </w:rPr>
            </w:pPr>
            <w:r>
              <w:rPr>
                <w:rFonts w:hint="eastAsia"/>
                <w:sz w:val="21"/>
                <w:szCs w:val="21"/>
              </w:rPr>
              <w:t>2.5</w:t>
            </w:r>
          </w:p>
        </w:tc>
        <w:tc>
          <w:tcPr>
            <w:tcW w:w="312" w:type="pct"/>
            <w:vAlign w:val="center"/>
          </w:tcPr>
          <w:p>
            <w:pPr>
              <w:pStyle w:val="2057"/>
              <w:spacing w:afterLines="0"/>
              <w:ind w:firstLine="0" w:firstLineChars="0"/>
              <w:rPr>
                <w:sz w:val="21"/>
                <w:szCs w:val="21"/>
              </w:rPr>
            </w:pPr>
            <w:r>
              <w:rPr>
                <w:rFonts w:hint="eastAsia"/>
                <w:sz w:val="21"/>
                <w:szCs w:val="21"/>
              </w:rPr>
              <w:t xml:space="preserve">0.650 </w:t>
            </w:r>
          </w:p>
        </w:tc>
        <w:tc>
          <w:tcPr>
            <w:tcW w:w="312" w:type="pct"/>
            <w:vAlign w:val="center"/>
          </w:tcPr>
          <w:p>
            <w:pPr>
              <w:pStyle w:val="2057"/>
              <w:spacing w:afterLines="0"/>
              <w:ind w:firstLine="0" w:firstLineChars="0"/>
              <w:rPr>
                <w:sz w:val="21"/>
                <w:szCs w:val="21"/>
              </w:rPr>
            </w:pPr>
            <w:r>
              <w:rPr>
                <w:rFonts w:hint="eastAsia"/>
                <w:sz w:val="21"/>
                <w:szCs w:val="21"/>
              </w:rPr>
              <w:t xml:space="preserve">5.146 </w:t>
            </w:r>
          </w:p>
        </w:tc>
        <w:tc>
          <w:tcPr>
            <w:tcW w:w="312" w:type="pct"/>
            <w:vAlign w:val="center"/>
          </w:tcPr>
          <w:p>
            <w:pPr>
              <w:pStyle w:val="2057"/>
              <w:spacing w:afterLines="0"/>
              <w:ind w:firstLine="0" w:firstLineChars="0"/>
              <w:rPr>
                <w:sz w:val="21"/>
                <w:szCs w:val="21"/>
              </w:rPr>
            </w:pPr>
            <w:r>
              <w:rPr>
                <w:rFonts w:hint="eastAsia"/>
                <w:sz w:val="21"/>
                <w:szCs w:val="21"/>
              </w:rPr>
              <w:t xml:space="preserve">90% </w:t>
            </w:r>
          </w:p>
        </w:tc>
        <w:tc>
          <w:tcPr>
            <w:tcW w:w="312" w:type="pct"/>
            <w:vAlign w:val="center"/>
          </w:tcPr>
          <w:p>
            <w:pPr>
              <w:pStyle w:val="2057"/>
              <w:spacing w:afterLines="0"/>
              <w:ind w:firstLine="0" w:firstLineChars="0"/>
              <w:rPr>
                <w:sz w:val="21"/>
                <w:szCs w:val="21"/>
              </w:rPr>
            </w:pPr>
            <w:r>
              <w:rPr>
                <w:rFonts w:hint="eastAsia"/>
                <w:sz w:val="21"/>
                <w:szCs w:val="21"/>
              </w:rPr>
              <w:t xml:space="preserve">0.515 </w:t>
            </w:r>
          </w:p>
        </w:tc>
        <w:tc>
          <w:tcPr>
            <w:tcW w:w="315" w:type="pct"/>
            <w:vAlign w:val="center"/>
          </w:tcPr>
          <w:p>
            <w:pPr>
              <w:pStyle w:val="2057"/>
              <w:spacing w:afterLines="0"/>
              <w:ind w:firstLine="0" w:firstLineChars="0"/>
              <w:rPr>
                <w:sz w:val="21"/>
                <w:szCs w:val="21"/>
              </w:rPr>
            </w:pPr>
            <w:r>
              <w:rPr>
                <w:rFonts w:hint="eastAsia"/>
                <w:sz w:val="21"/>
                <w:szCs w:val="21"/>
              </w:rPr>
              <w:t xml:space="preserve">0.065 </w:t>
            </w:r>
          </w:p>
        </w:tc>
      </w:tr>
    </w:tbl>
    <w:p>
      <w:pPr>
        <w:pStyle w:val="466"/>
        <w:ind w:firstLine="480"/>
        <w:sectPr>
          <w:pgSz w:w="16838" w:h="11906" w:orient="landscape"/>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466"/>
        <w:ind w:firstLine="480"/>
      </w:pPr>
      <w:r>
        <w:rPr>
          <w:rFonts w:hint="eastAsia"/>
        </w:rPr>
        <w:t>1</w:t>
      </w:r>
      <w:r>
        <w:t>#</w:t>
      </w:r>
      <w:r>
        <w:rPr>
          <w:rFonts w:hint="eastAsia"/>
        </w:rPr>
        <w:t>散货出口泊位采取轨道式移动装船机，卸料点采用高压自动微雾抑尘系统，</w:t>
      </w:r>
      <w:r>
        <w:t>码头前沿段采用两侧设围挡的半封闭防风罩带式输送机皮带，其余输送段均采用封闭廊道带式输送机输送物料，每个转运点均布设微雾抑尘系统</w:t>
      </w:r>
      <w:r>
        <w:rPr>
          <w:rFonts w:hint="eastAsia"/>
        </w:rPr>
        <w:t>。装船机带俯仰、回转功能，前端设置有伸缩溜筒，可以减少装船引起的扬尘。主要采取的除尘方式：封闭廊道+雾式除尘+前端伸缩溜筒。</w:t>
      </w:r>
    </w:p>
    <w:p>
      <w:pPr>
        <w:pStyle w:val="466"/>
        <w:ind w:firstLine="480"/>
      </w:pPr>
      <w:r>
        <w:rPr>
          <w:rFonts w:hint="eastAsia"/>
        </w:rPr>
        <w:t>2</w:t>
      </w:r>
      <w:r>
        <w:t>#</w:t>
      </w:r>
      <w:r>
        <w:rPr>
          <w:rFonts w:hint="eastAsia"/>
        </w:rPr>
        <w:t>、3</w:t>
      </w:r>
      <w:r>
        <w:t>#</w:t>
      </w:r>
      <w:r>
        <w:rPr>
          <w:rFonts w:hint="eastAsia"/>
        </w:rPr>
        <w:t>散货进口泊位、5</w:t>
      </w:r>
      <w:r>
        <w:t>#</w:t>
      </w:r>
      <w:r>
        <w:rPr>
          <w:rFonts w:hint="eastAsia"/>
        </w:rPr>
        <w:t>通用泊位码头（</w:t>
      </w:r>
      <w:r>
        <w:rPr>
          <w:rFonts w:hint="eastAsia"/>
          <w:szCs w:val="24"/>
        </w:rPr>
        <w:t>土壤复合剂、复合肥卸船和砂石骨料的卸船</w:t>
      </w:r>
      <w:r>
        <w:rPr>
          <w:rFonts w:hint="eastAsia"/>
          <w:sz w:val="21"/>
          <w:szCs w:val="21"/>
        </w:rPr>
        <w:t>）、6号</w:t>
      </w:r>
      <w:r>
        <w:rPr>
          <w:rFonts w:hint="eastAsia"/>
          <w:szCs w:val="24"/>
        </w:rPr>
        <w:t>通用码头（消防用砂石）</w:t>
      </w:r>
      <w:r>
        <w:rPr>
          <w:rFonts w:hint="eastAsia"/>
        </w:rPr>
        <w:t>采取门座起重机（配抓斗）进行卸船作业，固定吊下方配备集料斗，料斗内设1套喷雾抑尘装置，同时对码头配备雾炮机+洒水车进行抑尘。项目卸料粉尘及环保治理设备见下图。主要采取的除尘方式：每台设备配备一套喷雾抑尘装置+炮雾机。</w:t>
      </w:r>
    </w:p>
    <w:p>
      <w:pPr>
        <w:pStyle w:val="466"/>
        <w:ind w:firstLine="0" w:firstLineChars="0"/>
        <w:jc w:val="center"/>
      </w:pPr>
      <w:r>
        <w:drawing>
          <wp:inline distT="0" distB="0" distL="0" distR="0">
            <wp:extent cx="2571115" cy="2018665"/>
            <wp:effectExtent l="0" t="0" r="635" b="63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61"/>
                    <a:stretch>
                      <a:fillRect/>
                    </a:stretch>
                  </pic:blipFill>
                  <pic:spPr>
                    <a:xfrm>
                      <a:off x="0" y="0"/>
                      <a:ext cx="2571429" cy="2019048"/>
                    </a:xfrm>
                    <a:prstGeom prst="rect">
                      <a:avLst/>
                    </a:prstGeom>
                  </pic:spPr>
                </pic:pic>
              </a:graphicData>
            </a:graphic>
          </wp:inline>
        </w:drawing>
      </w:r>
      <w:r>
        <w:drawing>
          <wp:inline distT="0" distB="0" distL="0" distR="0">
            <wp:extent cx="2397125" cy="2061845"/>
            <wp:effectExtent l="0" t="0" r="3175" b="1460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62"/>
                    <a:stretch>
                      <a:fillRect/>
                    </a:stretch>
                  </pic:blipFill>
                  <pic:spPr>
                    <a:xfrm>
                      <a:off x="0" y="0"/>
                      <a:ext cx="2419878" cy="2081930"/>
                    </a:xfrm>
                    <a:prstGeom prst="rect">
                      <a:avLst/>
                    </a:prstGeom>
                  </pic:spPr>
                </pic:pic>
              </a:graphicData>
            </a:graphic>
          </wp:inline>
        </w:drawing>
      </w:r>
    </w:p>
    <w:p>
      <w:pPr>
        <w:pStyle w:val="466"/>
        <w:ind w:firstLine="480"/>
      </w:pPr>
      <w:r>
        <w:rPr>
          <w:rFonts w:hint="eastAsia"/>
        </w:rPr>
        <w:t>4</w:t>
      </w:r>
      <w:r>
        <w:t>#</w:t>
      </w:r>
      <w:r>
        <w:rPr>
          <w:rFonts w:hint="eastAsia"/>
        </w:rPr>
        <w:t>通用码头水泥装卸采取螺旋卸船机进行装卸，由于本项目拟使用较为环保的螺旋卸船机，既在落料口处设置有负压收尘装置，将落料过程产生的粉尘进行负压收集后处理。同时在卸船时控制船舱开口，减少物料外露面积，最大限度降低粉尘外逸。在采取上述措施后，实际逸出的粉尘量较少。</w:t>
      </w:r>
    </w:p>
    <w:p>
      <w:pPr>
        <w:pStyle w:val="466"/>
        <w:ind w:firstLine="0" w:firstLineChars="0"/>
        <w:jc w:val="center"/>
      </w:pPr>
      <w:r>
        <w:drawing>
          <wp:inline distT="0" distB="0" distL="0" distR="0">
            <wp:extent cx="5132705" cy="1951990"/>
            <wp:effectExtent l="0" t="0" r="10795" b="1016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3"/>
                    <a:stretch>
                      <a:fillRect/>
                    </a:stretch>
                  </pic:blipFill>
                  <pic:spPr>
                    <a:xfrm>
                      <a:off x="0" y="0"/>
                      <a:ext cx="5133333" cy="1952381"/>
                    </a:xfrm>
                    <a:prstGeom prst="rect">
                      <a:avLst/>
                    </a:prstGeom>
                  </pic:spPr>
                </pic:pic>
              </a:graphicData>
            </a:graphic>
          </wp:inline>
        </w:drawing>
      </w:r>
    </w:p>
    <w:p>
      <w:pPr>
        <w:pStyle w:val="2285"/>
        <w:ind w:left="0"/>
      </w:pPr>
      <w:r>
        <w:rPr>
          <w:rFonts w:hint="eastAsia"/>
        </w:rPr>
        <w:t>码头装船装卸</w:t>
      </w:r>
      <w:r>
        <w:rPr>
          <w:rFonts w:cs="Times New Roman"/>
          <w:bCs/>
        </w:rPr>
        <w:t>扬尘产生</w:t>
      </w:r>
      <w:r>
        <w:t>和排放情况一览表</w:t>
      </w:r>
    </w:p>
    <w:tbl>
      <w:tblPr>
        <w:tblStyle w:val="87"/>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34"/>
        <w:gridCol w:w="1034"/>
        <w:gridCol w:w="1034"/>
        <w:gridCol w:w="1038"/>
        <w:gridCol w:w="2373"/>
        <w:gridCol w:w="921"/>
        <w:gridCol w:w="921"/>
        <w:gridCol w:w="92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57" w:type="pct"/>
            <w:tcBorders>
              <w:bottom w:val="single" w:color="auto" w:sz="12" w:space="0"/>
            </w:tcBorders>
            <w:shd w:val="clear" w:color="000000" w:fill="FFFFFF"/>
            <w:vAlign w:val="center"/>
          </w:tcPr>
          <w:p>
            <w:pPr>
              <w:pStyle w:val="2057"/>
              <w:spacing w:afterLines="0"/>
              <w:ind w:firstLine="0" w:firstLineChars="0"/>
              <w:rPr>
                <w:b/>
                <w:bCs w:val="0"/>
                <w:sz w:val="21"/>
                <w:szCs w:val="21"/>
              </w:rPr>
            </w:pPr>
            <w:r>
              <w:rPr>
                <w:b/>
                <w:bCs w:val="0"/>
                <w:sz w:val="21"/>
                <w:szCs w:val="21"/>
              </w:rPr>
              <w:t>污染源</w:t>
            </w:r>
          </w:p>
        </w:tc>
        <w:tc>
          <w:tcPr>
            <w:tcW w:w="557" w:type="pct"/>
            <w:tcBorders>
              <w:bottom w:val="single" w:color="auto" w:sz="12" w:space="0"/>
            </w:tcBorders>
            <w:shd w:val="clear" w:color="000000" w:fill="FFFFFF"/>
            <w:vAlign w:val="center"/>
          </w:tcPr>
          <w:p>
            <w:pPr>
              <w:pStyle w:val="2057"/>
              <w:spacing w:afterLines="0"/>
              <w:ind w:firstLine="0" w:firstLineChars="0"/>
              <w:rPr>
                <w:b/>
                <w:bCs w:val="0"/>
                <w:sz w:val="21"/>
                <w:szCs w:val="21"/>
              </w:rPr>
            </w:pPr>
            <w:r>
              <w:rPr>
                <w:b/>
                <w:bCs w:val="0"/>
                <w:sz w:val="21"/>
                <w:szCs w:val="21"/>
              </w:rPr>
              <w:t>污染物</w:t>
            </w:r>
          </w:p>
        </w:tc>
        <w:tc>
          <w:tcPr>
            <w:tcW w:w="557" w:type="pct"/>
            <w:tcBorders>
              <w:bottom w:val="single" w:color="auto" w:sz="12" w:space="0"/>
            </w:tcBorders>
            <w:shd w:val="clear" w:color="000000" w:fill="FFFFFF"/>
            <w:vAlign w:val="center"/>
          </w:tcPr>
          <w:p>
            <w:pPr>
              <w:pStyle w:val="2057"/>
              <w:spacing w:afterLines="0"/>
              <w:ind w:firstLine="0" w:firstLineChars="0"/>
              <w:rPr>
                <w:b/>
                <w:bCs w:val="0"/>
                <w:sz w:val="21"/>
                <w:szCs w:val="21"/>
              </w:rPr>
            </w:pPr>
            <w:r>
              <w:rPr>
                <w:b/>
                <w:bCs w:val="0"/>
                <w:sz w:val="21"/>
                <w:szCs w:val="21"/>
              </w:rPr>
              <w:t>产生量(t/a)</w:t>
            </w:r>
          </w:p>
        </w:tc>
        <w:tc>
          <w:tcPr>
            <w:tcW w:w="559" w:type="pct"/>
            <w:tcBorders>
              <w:bottom w:val="single" w:color="auto" w:sz="12" w:space="0"/>
            </w:tcBorders>
            <w:shd w:val="clear" w:color="000000" w:fill="FFFFFF"/>
            <w:vAlign w:val="center"/>
          </w:tcPr>
          <w:p>
            <w:pPr>
              <w:pStyle w:val="2057"/>
              <w:spacing w:afterLines="0"/>
              <w:ind w:firstLine="0" w:firstLineChars="0"/>
              <w:rPr>
                <w:b/>
                <w:bCs w:val="0"/>
                <w:sz w:val="21"/>
                <w:szCs w:val="21"/>
              </w:rPr>
            </w:pPr>
            <w:r>
              <w:rPr>
                <w:rFonts w:hint="eastAsia"/>
                <w:b/>
                <w:bCs w:val="0"/>
                <w:sz w:val="21"/>
                <w:szCs w:val="21"/>
              </w:rPr>
              <w:t>产生速率</w:t>
            </w:r>
          </w:p>
        </w:tc>
        <w:tc>
          <w:tcPr>
            <w:tcW w:w="1278" w:type="pct"/>
            <w:tcBorders>
              <w:bottom w:val="single" w:color="auto" w:sz="12" w:space="0"/>
            </w:tcBorders>
            <w:shd w:val="clear" w:color="000000" w:fill="FFFFFF"/>
            <w:vAlign w:val="center"/>
          </w:tcPr>
          <w:p>
            <w:pPr>
              <w:pStyle w:val="2057"/>
              <w:spacing w:afterLines="0"/>
              <w:ind w:firstLine="0" w:firstLineChars="0"/>
              <w:rPr>
                <w:b/>
                <w:bCs w:val="0"/>
                <w:sz w:val="21"/>
                <w:szCs w:val="21"/>
              </w:rPr>
            </w:pPr>
            <w:r>
              <w:rPr>
                <w:b/>
                <w:bCs w:val="0"/>
                <w:sz w:val="21"/>
                <w:szCs w:val="21"/>
              </w:rPr>
              <w:t>治理措施</w:t>
            </w:r>
          </w:p>
        </w:tc>
        <w:tc>
          <w:tcPr>
            <w:tcW w:w="496" w:type="pct"/>
            <w:tcBorders>
              <w:bottom w:val="single" w:color="auto" w:sz="12" w:space="0"/>
            </w:tcBorders>
            <w:shd w:val="clear" w:color="000000" w:fill="FFFFFF"/>
            <w:vAlign w:val="center"/>
          </w:tcPr>
          <w:p>
            <w:pPr>
              <w:pStyle w:val="2057"/>
              <w:spacing w:afterLines="0"/>
              <w:ind w:firstLine="0" w:firstLineChars="0"/>
              <w:rPr>
                <w:b/>
                <w:bCs w:val="0"/>
                <w:sz w:val="21"/>
                <w:szCs w:val="21"/>
              </w:rPr>
            </w:pPr>
            <w:r>
              <w:rPr>
                <w:b/>
                <w:bCs w:val="0"/>
                <w:sz w:val="21"/>
                <w:szCs w:val="21"/>
              </w:rPr>
              <w:t>降尘效率</w:t>
            </w:r>
          </w:p>
        </w:tc>
        <w:tc>
          <w:tcPr>
            <w:tcW w:w="496" w:type="pct"/>
            <w:tcBorders>
              <w:bottom w:val="single" w:color="auto" w:sz="12" w:space="0"/>
            </w:tcBorders>
            <w:shd w:val="clear" w:color="000000" w:fill="FFFFFF"/>
            <w:vAlign w:val="center"/>
          </w:tcPr>
          <w:p>
            <w:pPr>
              <w:pStyle w:val="2057"/>
              <w:spacing w:afterLines="0"/>
              <w:ind w:firstLine="0" w:firstLineChars="0"/>
              <w:rPr>
                <w:b/>
                <w:bCs w:val="0"/>
                <w:sz w:val="21"/>
                <w:szCs w:val="21"/>
              </w:rPr>
            </w:pPr>
            <w:r>
              <w:rPr>
                <w:b/>
                <w:bCs w:val="0"/>
                <w:sz w:val="21"/>
                <w:szCs w:val="21"/>
              </w:rPr>
              <w:t>排放量(t/a)</w:t>
            </w:r>
          </w:p>
        </w:tc>
        <w:tc>
          <w:tcPr>
            <w:tcW w:w="497" w:type="pct"/>
            <w:tcBorders>
              <w:bottom w:val="single" w:color="auto" w:sz="12" w:space="0"/>
            </w:tcBorders>
            <w:shd w:val="clear" w:color="000000" w:fill="FFFFFF"/>
            <w:vAlign w:val="center"/>
          </w:tcPr>
          <w:p>
            <w:pPr>
              <w:pStyle w:val="2057"/>
              <w:spacing w:afterLines="0"/>
              <w:ind w:firstLine="0" w:firstLineChars="0"/>
              <w:rPr>
                <w:b/>
                <w:bCs w:val="0"/>
                <w:sz w:val="21"/>
                <w:szCs w:val="21"/>
              </w:rPr>
            </w:pPr>
            <w:r>
              <w:rPr>
                <w:b/>
                <w:bCs w:val="0"/>
                <w:sz w:val="21"/>
                <w:szCs w:val="21"/>
              </w:rPr>
              <w:t>排放</w:t>
            </w:r>
            <w:r>
              <w:rPr>
                <w:rFonts w:hint="eastAsia"/>
                <w:b/>
                <w:bCs w:val="0"/>
                <w:sz w:val="21"/>
                <w:szCs w:val="21"/>
              </w:rPr>
              <w:t>速率</w:t>
            </w:r>
            <w:r>
              <w:rPr>
                <w:b/>
                <w:bCs w:val="0"/>
                <w:sz w:val="21"/>
                <w:szCs w:val="21"/>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557" w:type="pct"/>
            <w:tcBorders>
              <w:top w:val="single" w:color="auto" w:sz="12" w:space="0"/>
              <w:tl2br w:val="nil"/>
              <w:tr2bl w:val="nil"/>
            </w:tcBorders>
            <w:shd w:val="clear" w:color="000000" w:fill="FFFFFF"/>
            <w:vAlign w:val="center"/>
          </w:tcPr>
          <w:p>
            <w:pPr>
              <w:pStyle w:val="2057"/>
              <w:spacing w:afterLines="0"/>
              <w:ind w:firstLine="0" w:firstLineChars="0"/>
              <w:rPr>
                <w:sz w:val="21"/>
                <w:szCs w:val="21"/>
              </w:rPr>
            </w:pPr>
            <w:r>
              <w:rPr>
                <w:rFonts w:hint="eastAsia"/>
                <w:sz w:val="21"/>
                <w:szCs w:val="21"/>
              </w:rPr>
              <w:t>1</w:t>
            </w:r>
            <w:r>
              <w:rPr>
                <w:sz w:val="21"/>
                <w:szCs w:val="21"/>
              </w:rPr>
              <w:t>#</w:t>
            </w:r>
            <w:r>
              <w:rPr>
                <w:rFonts w:hint="eastAsia"/>
                <w:sz w:val="21"/>
                <w:szCs w:val="21"/>
              </w:rPr>
              <w:t>泊位</w:t>
            </w:r>
          </w:p>
        </w:tc>
        <w:tc>
          <w:tcPr>
            <w:tcW w:w="557" w:type="pct"/>
            <w:tcBorders>
              <w:top w:val="single" w:color="auto" w:sz="12" w:space="0"/>
              <w:tl2br w:val="nil"/>
              <w:tr2bl w:val="nil"/>
            </w:tcBorders>
            <w:shd w:val="clear" w:color="000000" w:fill="FFFFFF"/>
            <w:vAlign w:val="center"/>
          </w:tcPr>
          <w:p>
            <w:pPr>
              <w:pStyle w:val="2057"/>
              <w:spacing w:afterLines="0"/>
              <w:ind w:firstLine="0" w:firstLineChars="0"/>
              <w:rPr>
                <w:sz w:val="21"/>
                <w:szCs w:val="21"/>
              </w:rPr>
            </w:pPr>
            <w:r>
              <w:rPr>
                <w:rFonts w:hint="eastAsia"/>
                <w:sz w:val="21"/>
                <w:szCs w:val="21"/>
              </w:rPr>
              <w:t>颗粒物</w:t>
            </w:r>
          </w:p>
        </w:tc>
        <w:tc>
          <w:tcPr>
            <w:tcW w:w="1034" w:type="dxa"/>
            <w:tcBorders>
              <w:top w:val="single" w:color="auto" w:sz="12" w:space="0"/>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4.632 </w:t>
            </w:r>
          </w:p>
        </w:tc>
        <w:tc>
          <w:tcPr>
            <w:tcW w:w="1038" w:type="dxa"/>
            <w:tcBorders>
              <w:top w:val="single" w:color="auto" w:sz="12" w:space="0"/>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0.585 </w:t>
            </w:r>
          </w:p>
        </w:tc>
        <w:tc>
          <w:tcPr>
            <w:tcW w:w="1278" w:type="pct"/>
            <w:tcBorders>
              <w:top w:val="single" w:color="auto" w:sz="12" w:space="0"/>
              <w:tl2br w:val="nil"/>
              <w:tr2bl w:val="nil"/>
            </w:tcBorders>
            <w:shd w:val="clear" w:color="000000" w:fill="FFFFFF"/>
            <w:vAlign w:val="center"/>
          </w:tcPr>
          <w:p>
            <w:pPr>
              <w:pStyle w:val="2057"/>
              <w:spacing w:afterLines="0"/>
              <w:ind w:firstLine="0" w:firstLineChars="0"/>
              <w:rPr>
                <w:sz w:val="21"/>
                <w:szCs w:val="21"/>
              </w:rPr>
            </w:pPr>
            <w:r>
              <w:rPr>
                <w:rFonts w:hint="eastAsia"/>
                <w:sz w:val="21"/>
                <w:szCs w:val="21"/>
              </w:rPr>
              <w:t>封闭廊道+雾式除尘+前端伸缩溜筒</w:t>
            </w:r>
          </w:p>
        </w:tc>
        <w:tc>
          <w:tcPr>
            <w:tcW w:w="496" w:type="pct"/>
            <w:tcBorders>
              <w:top w:val="single" w:color="auto" w:sz="12" w:space="0"/>
              <w:tl2br w:val="nil"/>
              <w:tr2bl w:val="nil"/>
            </w:tcBorders>
            <w:shd w:val="clear" w:color="000000" w:fill="FFFFFF"/>
            <w:vAlign w:val="center"/>
          </w:tcPr>
          <w:p>
            <w:pPr>
              <w:pStyle w:val="2057"/>
              <w:spacing w:afterLines="0"/>
              <w:ind w:firstLine="0" w:firstLineChars="0"/>
              <w:rPr>
                <w:sz w:val="21"/>
                <w:szCs w:val="21"/>
              </w:rPr>
            </w:pPr>
            <w:r>
              <w:rPr>
                <w:sz w:val="21"/>
                <w:szCs w:val="21"/>
              </w:rPr>
              <w:t>9</w:t>
            </w:r>
            <w:r>
              <w:rPr>
                <w:rFonts w:hint="eastAsia"/>
                <w:sz w:val="21"/>
                <w:szCs w:val="21"/>
              </w:rPr>
              <w:t>0</w:t>
            </w:r>
            <w:r>
              <w:rPr>
                <w:sz w:val="21"/>
                <w:szCs w:val="21"/>
              </w:rPr>
              <w:t>%</w:t>
            </w:r>
          </w:p>
        </w:tc>
        <w:tc>
          <w:tcPr>
            <w:tcW w:w="921" w:type="dxa"/>
            <w:tcBorders>
              <w:top w:val="single" w:color="auto" w:sz="12" w:space="0"/>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0.463 </w:t>
            </w:r>
          </w:p>
        </w:tc>
        <w:tc>
          <w:tcPr>
            <w:tcW w:w="924" w:type="dxa"/>
            <w:tcBorders>
              <w:top w:val="single" w:color="auto" w:sz="12" w:space="0"/>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0.058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8" w:hRule="atLeast"/>
        </w:trPr>
        <w:tc>
          <w:tcPr>
            <w:tcW w:w="557" w:type="pct"/>
            <w:tcBorders>
              <w:tl2br w:val="nil"/>
              <w:tr2bl w:val="nil"/>
            </w:tcBorders>
            <w:shd w:val="clear" w:color="000000" w:fill="FFFFFF"/>
            <w:vAlign w:val="center"/>
          </w:tcPr>
          <w:p>
            <w:pPr>
              <w:pStyle w:val="2057"/>
              <w:spacing w:afterLines="0"/>
              <w:ind w:firstLine="0" w:firstLineChars="0"/>
              <w:rPr>
                <w:sz w:val="21"/>
                <w:szCs w:val="21"/>
              </w:rPr>
            </w:pPr>
            <w:r>
              <w:rPr>
                <w:sz w:val="21"/>
                <w:szCs w:val="21"/>
              </w:rPr>
              <w:t>2#</w:t>
            </w:r>
            <w:r>
              <w:rPr>
                <w:rFonts w:hint="eastAsia"/>
                <w:sz w:val="21"/>
                <w:szCs w:val="21"/>
              </w:rPr>
              <w:t>泊位</w:t>
            </w:r>
          </w:p>
        </w:tc>
        <w:tc>
          <w:tcPr>
            <w:tcW w:w="557" w:type="pct"/>
            <w:tcBorders>
              <w:tl2br w:val="nil"/>
              <w:tr2bl w:val="nil"/>
            </w:tcBorders>
            <w:shd w:val="clear" w:color="000000" w:fill="FFFFFF"/>
            <w:vAlign w:val="center"/>
          </w:tcPr>
          <w:p>
            <w:pPr>
              <w:pStyle w:val="2057"/>
              <w:spacing w:afterLines="0"/>
              <w:ind w:firstLine="0" w:firstLineChars="0"/>
              <w:rPr>
                <w:sz w:val="21"/>
                <w:szCs w:val="21"/>
              </w:rPr>
            </w:pPr>
            <w:r>
              <w:rPr>
                <w:rFonts w:hint="eastAsia"/>
                <w:sz w:val="21"/>
                <w:szCs w:val="21"/>
              </w:rPr>
              <w:t>颗粒物</w:t>
            </w:r>
          </w:p>
        </w:tc>
        <w:tc>
          <w:tcPr>
            <w:tcW w:w="1034" w:type="dxa"/>
            <w:tcBorders>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19.299 </w:t>
            </w:r>
          </w:p>
        </w:tc>
        <w:tc>
          <w:tcPr>
            <w:tcW w:w="1038" w:type="dxa"/>
            <w:tcBorders>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2.437 </w:t>
            </w:r>
          </w:p>
        </w:tc>
        <w:tc>
          <w:tcPr>
            <w:tcW w:w="1278" w:type="pct"/>
            <w:vMerge w:val="restart"/>
            <w:tcBorders>
              <w:tl2br w:val="nil"/>
              <w:tr2bl w:val="nil"/>
            </w:tcBorders>
            <w:shd w:val="clear" w:color="000000" w:fill="FFFFFF"/>
            <w:vAlign w:val="center"/>
          </w:tcPr>
          <w:p>
            <w:pPr>
              <w:pStyle w:val="2057"/>
              <w:spacing w:afterLines="0"/>
              <w:ind w:firstLine="0" w:firstLineChars="0"/>
              <w:rPr>
                <w:sz w:val="21"/>
                <w:szCs w:val="21"/>
              </w:rPr>
            </w:pPr>
            <w:r>
              <w:rPr>
                <w:rFonts w:hint="eastAsia"/>
                <w:sz w:val="21"/>
                <w:szCs w:val="21"/>
              </w:rPr>
              <w:t>喷雾抑尘装置+炮雾机</w:t>
            </w:r>
          </w:p>
        </w:tc>
        <w:tc>
          <w:tcPr>
            <w:tcW w:w="496" w:type="pct"/>
            <w:tcBorders>
              <w:tl2br w:val="nil"/>
              <w:tr2bl w:val="nil"/>
            </w:tcBorders>
            <w:shd w:val="clear" w:color="000000" w:fill="FFFFFF"/>
            <w:vAlign w:val="center"/>
          </w:tcPr>
          <w:p>
            <w:pPr>
              <w:pStyle w:val="2057"/>
              <w:spacing w:afterLines="0"/>
              <w:ind w:firstLine="0" w:firstLineChars="0"/>
              <w:rPr>
                <w:sz w:val="21"/>
                <w:szCs w:val="21"/>
              </w:rPr>
            </w:pPr>
            <w:r>
              <w:rPr>
                <w:sz w:val="21"/>
                <w:szCs w:val="21"/>
              </w:rPr>
              <w:t>9</w:t>
            </w:r>
            <w:r>
              <w:rPr>
                <w:rFonts w:hint="eastAsia"/>
                <w:sz w:val="21"/>
                <w:szCs w:val="21"/>
              </w:rPr>
              <w:t>0</w:t>
            </w:r>
            <w:r>
              <w:rPr>
                <w:sz w:val="21"/>
                <w:szCs w:val="21"/>
              </w:rPr>
              <w:t>%</w:t>
            </w:r>
          </w:p>
        </w:tc>
        <w:tc>
          <w:tcPr>
            <w:tcW w:w="921" w:type="dxa"/>
            <w:tcBorders>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1.930 </w:t>
            </w:r>
          </w:p>
        </w:tc>
        <w:tc>
          <w:tcPr>
            <w:tcW w:w="924" w:type="dxa"/>
            <w:tcBorders>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0.244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557" w:type="pct"/>
            <w:tcBorders>
              <w:tl2br w:val="nil"/>
              <w:tr2bl w:val="nil"/>
            </w:tcBorders>
            <w:shd w:val="clear" w:color="000000" w:fill="FFFFFF"/>
            <w:vAlign w:val="center"/>
          </w:tcPr>
          <w:p>
            <w:pPr>
              <w:pStyle w:val="2057"/>
              <w:spacing w:afterLines="0"/>
              <w:ind w:firstLine="0" w:firstLineChars="0"/>
              <w:rPr>
                <w:sz w:val="21"/>
                <w:szCs w:val="21"/>
              </w:rPr>
            </w:pPr>
            <w:r>
              <w:rPr>
                <w:sz w:val="21"/>
                <w:szCs w:val="21"/>
              </w:rPr>
              <w:t>3#</w:t>
            </w:r>
            <w:r>
              <w:rPr>
                <w:rFonts w:hint="eastAsia"/>
                <w:sz w:val="21"/>
                <w:szCs w:val="21"/>
              </w:rPr>
              <w:t>泊位</w:t>
            </w:r>
          </w:p>
        </w:tc>
        <w:tc>
          <w:tcPr>
            <w:tcW w:w="557" w:type="pct"/>
            <w:tcBorders>
              <w:tl2br w:val="nil"/>
              <w:tr2bl w:val="nil"/>
            </w:tcBorders>
            <w:shd w:val="clear" w:color="000000" w:fill="FFFFFF"/>
            <w:vAlign w:val="center"/>
          </w:tcPr>
          <w:p>
            <w:pPr>
              <w:pStyle w:val="2057"/>
              <w:spacing w:afterLines="0"/>
              <w:ind w:firstLine="0" w:firstLineChars="0"/>
              <w:rPr>
                <w:sz w:val="21"/>
                <w:szCs w:val="21"/>
              </w:rPr>
            </w:pPr>
            <w:r>
              <w:rPr>
                <w:rFonts w:hint="eastAsia"/>
                <w:sz w:val="21"/>
                <w:szCs w:val="21"/>
              </w:rPr>
              <w:t>颗粒物</w:t>
            </w:r>
          </w:p>
        </w:tc>
        <w:tc>
          <w:tcPr>
            <w:tcW w:w="1034" w:type="dxa"/>
            <w:tcBorders>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19.299 </w:t>
            </w:r>
          </w:p>
        </w:tc>
        <w:tc>
          <w:tcPr>
            <w:tcW w:w="1038" w:type="dxa"/>
            <w:tcBorders>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2.437 </w:t>
            </w:r>
          </w:p>
        </w:tc>
        <w:tc>
          <w:tcPr>
            <w:tcW w:w="1278" w:type="pct"/>
            <w:vMerge w:val="continue"/>
            <w:tcBorders>
              <w:tl2br w:val="nil"/>
              <w:tr2bl w:val="nil"/>
            </w:tcBorders>
            <w:shd w:val="clear" w:color="000000" w:fill="FFFFFF"/>
            <w:vAlign w:val="center"/>
          </w:tcPr>
          <w:p>
            <w:pPr>
              <w:pStyle w:val="2057"/>
              <w:spacing w:afterLines="0"/>
              <w:ind w:firstLine="0" w:firstLineChars="0"/>
              <w:rPr>
                <w:sz w:val="21"/>
                <w:szCs w:val="21"/>
              </w:rPr>
            </w:pPr>
          </w:p>
        </w:tc>
        <w:tc>
          <w:tcPr>
            <w:tcW w:w="496" w:type="pct"/>
            <w:tcBorders>
              <w:tl2br w:val="nil"/>
              <w:tr2bl w:val="nil"/>
            </w:tcBorders>
            <w:shd w:val="clear" w:color="000000" w:fill="FFFFFF"/>
            <w:vAlign w:val="center"/>
          </w:tcPr>
          <w:p>
            <w:pPr>
              <w:pStyle w:val="2057"/>
              <w:spacing w:afterLines="0"/>
              <w:ind w:firstLine="0" w:firstLineChars="0"/>
              <w:rPr>
                <w:sz w:val="21"/>
                <w:szCs w:val="21"/>
              </w:rPr>
            </w:pPr>
            <w:r>
              <w:rPr>
                <w:sz w:val="21"/>
                <w:szCs w:val="21"/>
              </w:rPr>
              <w:t>9</w:t>
            </w:r>
            <w:r>
              <w:rPr>
                <w:rFonts w:hint="eastAsia"/>
                <w:sz w:val="21"/>
                <w:szCs w:val="21"/>
              </w:rPr>
              <w:t>0</w:t>
            </w:r>
            <w:r>
              <w:rPr>
                <w:sz w:val="21"/>
                <w:szCs w:val="21"/>
              </w:rPr>
              <w:t>%</w:t>
            </w:r>
          </w:p>
        </w:tc>
        <w:tc>
          <w:tcPr>
            <w:tcW w:w="921" w:type="dxa"/>
            <w:tcBorders>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1.930 </w:t>
            </w:r>
          </w:p>
        </w:tc>
        <w:tc>
          <w:tcPr>
            <w:tcW w:w="924" w:type="dxa"/>
            <w:tcBorders>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0.244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557" w:type="pct"/>
            <w:tcBorders>
              <w:tl2br w:val="nil"/>
              <w:tr2bl w:val="nil"/>
            </w:tcBorders>
            <w:shd w:val="clear" w:color="000000" w:fill="FFFFFF"/>
            <w:vAlign w:val="center"/>
          </w:tcPr>
          <w:p>
            <w:pPr>
              <w:pStyle w:val="2057"/>
              <w:spacing w:afterLines="0"/>
              <w:ind w:firstLine="0" w:firstLineChars="0"/>
              <w:rPr>
                <w:sz w:val="21"/>
                <w:szCs w:val="21"/>
              </w:rPr>
            </w:pPr>
            <w:r>
              <w:rPr>
                <w:rFonts w:hint="eastAsia"/>
                <w:sz w:val="21"/>
                <w:szCs w:val="21"/>
              </w:rPr>
              <w:t>4</w:t>
            </w:r>
            <w:r>
              <w:rPr>
                <w:sz w:val="21"/>
                <w:szCs w:val="21"/>
              </w:rPr>
              <w:t>#</w:t>
            </w:r>
            <w:r>
              <w:rPr>
                <w:rFonts w:hint="eastAsia"/>
                <w:sz w:val="21"/>
                <w:szCs w:val="21"/>
              </w:rPr>
              <w:t>泊位</w:t>
            </w:r>
          </w:p>
        </w:tc>
        <w:tc>
          <w:tcPr>
            <w:tcW w:w="557" w:type="pct"/>
            <w:tcBorders>
              <w:tl2br w:val="nil"/>
              <w:tr2bl w:val="nil"/>
            </w:tcBorders>
            <w:shd w:val="clear" w:color="000000" w:fill="FFFFFF"/>
            <w:vAlign w:val="center"/>
          </w:tcPr>
          <w:p>
            <w:pPr>
              <w:pStyle w:val="2057"/>
              <w:spacing w:afterLines="0"/>
              <w:ind w:firstLine="0" w:firstLineChars="0"/>
              <w:rPr>
                <w:sz w:val="21"/>
                <w:szCs w:val="21"/>
              </w:rPr>
            </w:pPr>
            <w:r>
              <w:rPr>
                <w:rFonts w:hint="eastAsia"/>
                <w:sz w:val="21"/>
                <w:szCs w:val="21"/>
              </w:rPr>
              <w:t>颗粒物</w:t>
            </w:r>
          </w:p>
        </w:tc>
        <w:tc>
          <w:tcPr>
            <w:tcW w:w="1034" w:type="dxa"/>
            <w:tcBorders>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81.421 </w:t>
            </w:r>
          </w:p>
        </w:tc>
        <w:tc>
          <w:tcPr>
            <w:tcW w:w="1038" w:type="dxa"/>
            <w:tcBorders>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10.280 </w:t>
            </w:r>
          </w:p>
        </w:tc>
        <w:tc>
          <w:tcPr>
            <w:tcW w:w="1278" w:type="pct"/>
            <w:tcBorders>
              <w:tl2br w:val="nil"/>
              <w:tr2bl w:val="nil"/>
            </w:tcBorders>
            <w:shd w:val="clear" w:color="000000" w:fill="FFFFFF"/>
            <w:vAlign w:val="center"/>
          </w:tcPr>
          <w:p>
            <w:pPr>
              <w:pStyle w:val="2057"/>
              <w:spacing w:afterLines="0"/>
              <w:ind w:firstLine="0" w:firstLineChars="0"/>
              <w:rPr>
                <w:sz w:val="21"/>
                <w:szCs w:val="21"/>
              </w:rPr>
            </w:pPr>
            <w:r>
              <w:rPr>
                <w:rFonts w:hint="eastAsia"/>
                <w:sz w:val="21"/>
                <w:szCs w:val="21"/>
              </w:rPr>
              <w:t>螺旋卸船机+负压收集+控制船舱敞口面积</w:t>
            </w:r>
          </w:p>
        </w:tc>
        <w:tc>
          <w:tcPr>
            <w:tcW w:w="496" w:type="pct"/>
            <w:tcBorders>
              <w:tl2br w:val="nil"/>
              <w:tr2bl w:val="nil"/>
            </w:tcBorders>
            <w:shd w:val="clear" w:color="000000" w:fill="FFFFFF"/>
            <w:vAlign w:val="center"/>
          </w:tcPr>
          <w:p>
            <w:pPr>
              <w:pStyle w:val="2057"/>
              <w:spacing w:afterLines="0"/>
              <w:ind w:firstLine="0" w:firstLineChars="0"/>
              <w:rPr>
                <w:sz w:val="21"/>
                <w:szCs w:val="21"/>
              </w:rPr>
            </w:pPr>
            <w:r>
              <w:rPr>
                <w:sz w:val="21"/>
                <w:szCs w:val="21"/>
              </w:rPr>
              <w:t>99%</w:t>
            </w:r>
          </w:p>
        </w:tc>
        <w:tc>
          <w:tcPr>
            <w:tcW w:w="921" w:type="dxa"/>
            <w:tcBorders>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1.172 </w:t>
            </w:r>
          </w:p>
        </w:tc>
        <w:tc>
          <w:tcPr>
            <w:tcW w:w="924" w:type="dxa"/>
            <w:tcBorders>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0.148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557" w:type="pct"/>
            <w:tcBorders>
              <w:tl2br w:val="nil"/>
              <w:tr2bl w:val="nil"/>
            </w:tcBorders>
            <w:shd w:val="clear" w:color="000000" w:fill="FFFFFF"/>
            <w:vAlign w:val="center"/>
          </w:tcPr>
          <w:p>
            <w:pPr>
              <w:pStyle w:val="2057"/>
              <w:spacing w:afterLines="0"/>
              <w:ind w:firstLine="0" w:firstLineChars="0"/>
              <w:rPr>
                <w:sz w:val="21"/>
                <w:szCs w:val="21"/>
              </w:rPr>
            </w:pPr>
            <w:r>
              <w:rPr>
                <w:rFonts w:hint="eastAsia"/>
                <w:sz w:val="21"/>
                <w:szCs w:val="21"/>
              </w:rPr>
              <w:t>5</w:t>
            </w:r>
            <w:r>
              <w:rPr>
                <w:sz w:val="21"/>
                <w:szCs w:val="21"/>
              </w:rPr>
              <w:t>#</w:t>
            </w:r>
            <w:r>
              <w:rPr>
                <w:rFonts w:hint="eastAsia"/>
                <w:sz w:val="21"/>
                <w:szCs w:val="21"/>
              </w:rPr>
              <w:t>泊位</w:t>
            </w:r>
          </w:p>
        </w:tc>
        <w:tc>
          <w:tcPr>
            <w:tcW w:w="557" w:type="pct"/>
            <w:tcBorders>
              <w:tl2br w:val="nil"/>
              <w:tr2bl w:val="nil"/>
            </w:tcBorders>
            <w:shd w:val="clear" w:color="000000" w:fill="FFFFFF"/>
            <w:vAlign w:val="center"/>
          </w:tcPr>
          <w:p>
            <w:pPr>
              <w:pStyle w:val="2057"/>
              <w:spacing w:afterLines="0"/>
              <w:ind w:firstLine="0" w:firstLineChars="0"/>
              <w:rPr>
                <w:sz w:val="21"/>
                <w:szCs w:val="21"/>
              </w:rPr>
            </w:pPr>
            <w:r>
              <w:rPr>
                <w:rFonts w:hint="eastAsia"/>
                <w:sz w:val="21"/>
                <w:szCs w:val="21"/>
              </w:rPr>
              <w:t>颗粒物</w:t>
            </w:r>
          </w:p>
        </w:tc>
        <w:tc>
          <w:tcPr>
            <w:tcW w:w="1034" w:type="dxa"/>
            <w:tcBorders>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12.866 </w:t>
            </w:r>
          </w:p>
        </w:tc>
        <w:tc>
          <w:tcPr>
            <w:tcW w:w="1038" w:type="dxa"/>
            <w:tcBorders>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1.624 </w:t>
            </w:r>
          </w:p>
        </w:tc>
        <w:tc>
          <w:tcPr>
            <w:tcW w:w="1278" w:type="pct"/>
            <w:tcBorders>
              <w:tl2br w:val="nil"/>
              <w:tr2bl w:val="nil"/>
            </w:tcBorders>
            <w:shd w:val="clear" w:color="000000" w:fill="FFFFFF"/>
            <w:vAlign w:val="center"/>
          </w:tcPr>
          <w:p>
            <w:pPr>
              <w:pStyle w:val="2057"/>
              <w:spacing w:afterLines="0"/>
              <w:ind w:firstLine="0" w:firstLineChars="0"/>
              <w:rPr>
                <w:sz w:val="21"/>
                <w:szCs w:val="21"/>
              </w:rPr>
            </w:pPr>
            <w:r>
              <w:rPr>
                <w:rFonts w:hint="eastAsia"/>
                <w:sz w:val="21"/>
                <w:szCs w:val="21"/>
              </w:rPr>
              <w:t>喷雾抑尘装置+炮雾机</w:t>
            </w:r>
          </w:p>
        </w:tc>
        <w:tc>
          <w:tcPr>
            <w:tcW w:w="496" w:type="pct"/>
            <w:tcBorders>
              <w:tl2br w:val="nil"/>
              <w:tr2bl w:val="nil"/>
            </w:tcBorders>
            <w:shd w:val="clear" w:color="000000" w:fill="FFFFFF"/>
            <w:vAlign w:val="center"/>
          </w:tcPr>
          <w:p>
            <w:pPr>
              <w:pStyle w:val="2057"/>
              <w:spacing w:afterLines="0"/>
              <w:ind w:firstLine="0" w:firstLineChars="0"/>
              <w:rPr>
                <w:sz w:val="21"/>
                <w:szCs w:val="21"/>
              </w:rPr>
            </w:pPr>
            <w:r>
              <w:rPr>
                <w:sz w:val="21"/>
                <w:szCs w:val="21"/>
              </w:rPr>
              <w:t>9</w:t>
            </w:r>
            <w:r>
              <w:rPr>
                <w:rFonts w:hint="eastAsia"/>
                <w:sz w:val="21"/>
                <w:szCs w:val="21"/>
              </w:rPr>
              <w:t>0</w:t>
            </w:r>
            <w:r>
              <w:rPr>
                <w:sz w:val="21"/>
                <w:szCs w:val="21"/>
              </w:rPr>
              <w:t>%</w:t>
            </w:r>
          </w:p>
        </w:tc>
        <w:tc>
          <w:tcPr>
            <w:tcW w:w="921" w:type="dxa"/>
            <w:tcBorders>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1.287 </w:t>
            </w:r>
          </w:p>
        </w:tc>
        <w:tc>
          <w:tcPr>
            <w:tcW w:w="924" w:type="dxa"/>
            <w:tcBorders>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0.162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57" w:type="pct"/>
            <w:tcBorders>
              <w:tl2br w:val="nil"/>
              <w:tr2bl w:val="nil"/>
            </w:tcBorders>
            <w:shd w:val="clear" w:color="000000" w:fill="FFFFFF"/>
            <w:vAlign w:val="center"/>
          </w:tcPr>
          <w:p>
            <w:pPr>
              <w:pStyle w:val="2057"/>
              <w:spacing w:afterLines="0"/>
              <w:ind w:firstLine="0" w:firstLineChars="0"/>
              <w:rPr>
                <w:sz w:val="21"/>
                <w:szCs w:val="21"/>
              </w:rPr>
            </w:pPr>
            <w:r>
              <w:rPr>
                <w:sz w:val="21"/>
                <w:szCs w:val="21"/>
              </w:rPr>
              <w:t>6#</w:t>
            </w:r>
            <w:r>
              <w:rPr>
                <w:rFonts w:hint="eastAsia"/>
                <w:sz w:val="21"/>
                <w:szCs w:val="21"/>
              </w:rPr>
              <w:t>泊位</w:t>
            </w:r>
          </w:p>
        </w:tc>
        <w:tc>
          <w:tcPr>
            <w:tcW w:w="557" w:type="pct"/>
            <w:tcBorders>
              <w:tl2br w:val="nil"/>
              <w:tr2bl w:val="nil"/>
            </w:tcBorders>
            <w:shd w:val="clear" w:color="000000" w:fill="FFFFFF"/>
            <w:vAlign w:val="center"/>
          </w:tcPr>
          <w:p>
            <w:pPr>
              <w:pStyle w:val="2057"/>
              <w:spacing w:afterLines="0"/>
              <w:ind w:firstLine="0" w:firstLineChars="0"/>
              <w:rPr>
                <w:sz w:val="21"/>
                <w:szCs w:val="21"/>
              </w:rPr>
            </w:pPr>
            <w:r>
              <w:rPr>
                <w:rFonts w:hint="eastAsia"/>
                <w:sz w:val="21"/>
                <w:szCs w:val="21"/>
              </w:rPr>
              <w:t>颗粒物</w:t>
            </w:r>
          </w:p>
        </w:tc>
        <w:tc>
          <w:tcPr>
            <w:tcW w:w="1034" w:type="dxa"/>
            <w:tcBorders>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5.146 </w:t>
            </w:r>
          </w:p>
        </w:tc>
        <w:tc>
          <w:tcPr>
            <w:tcW w:w="1038" w:type="dxa"/>
            <w:tcBorders>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0.650 </w:t>
            </w:r>
          </w:p>
        </w:tc>
        <w:tc>
          <w:tcPr>
            <w:tcW w:w="1278" w:type="pct"/>
            <w:tcBorders>
              <w:tl2br w:val="nil"/>
              <w:tr2bl w:val="nil"/>
            </w:tcBorders>
            <w:shd w:val="clear" w:color="000000" w:fill="FFFFFF"/>
            <w:vAlign w:val="center"/>
          </w:tcPr>
          <w:p>
            <w:pPr>
              <w:pStyle w:val="2057"/>
              <w:spacing w:afterLines="0"/>
              <w:ind w:firstLine="0" w:firstLineChars="0"/>
              <w:rPr>
                <w:sz w:val="21"/>
                <w:szCs w:val="21"/>
              </w:rPr>
            </w:pPr>
            <w:r>
              <w:rPr>
                <w:rFonts w:hint="eastAsia"/>
                <w:sz w:val="21"/>
                <w:szCs w:val="21"/>
              </w:rPr>
              <w:t>喷雾抑尘装置+炮雾机</w:t>
            </w:r>
          </w:p>
        </w:tc>
        <w:tc>
          <w:tcPr>
            <w:tcW w:w="496" w:type="pct"/>
            <w:tcBorders>
              <w:tl2br w:val="nil"/>
              <w:tr2bl w:val="nil"/>
            </w:tcBorders>
            <w:shd w:val="clear" w:color="000000" w:fill="FFFFFF"/>
            <w:vAlign w:val="center"/>
          </w:tcPr>
          <w:p>
            <w:pPr>
              <w:widowControl/>
              <w:tabs>
                <w:tab w:val="clear" w:pos="480"/>
              </w:tabs>
              <w:spacing w:line="240" w:lineRule="auto"/>
              <w:ind w:firstLine="0" w:firstLineChars="0"/>
              <w:jc w:val="center"/>
              <w:rPr>
                <w:color w:val="000000"/>
                <w:kern w:val="0"/>
                <w:sz w:val="22"/>
                <w:szCs w:val="22"/>
              </w:rPr>
            </w:pPr>
            <w:r>
              <w:rPr>
                <w:rFonts w:hint="eastAsia"/>
                <w:color w:val="000000"/>
                <w:sz w:val="22"/>
                <w:szCs w:val="22"/>
              </w:rPr>
              <w:t>90%</w:t>
            </w:r>
          </w:p>
        </w:tc>
        <w:tc>
          <w:tcPr>
            <w:tcW w:w="921" w:type="dxa"/>
            <w:tcBorders>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0.515 </w:t>
            </w:r>
          </w:p>
        </w:tc>
        <w:tc>
          <w:tcPr>
            <w:tcW w:w="924" w:type="dxa"/>
            <w:tcBorders>
              <w:tl2br w:val="nil"/>
              <w:tr2bl w:val="nil"/>
            </w:tcBorders>
            <w:shd w:val="clear" w:color="000000" w:fill="FFFFFF"/>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0.065 </w:t>
            </w:r>
          </w:p>
        </w:tc>
      </w:tr>
    </w:tbl>
    <w:p>
      <w:pPr>
        <w:pStyle w:val="466"/>
        <w:ind w:firstLine="502"/>
        <w:rPr>
          <w:rFonts w:cs="Times New Roman"/>
          <w:b/>
          <w:spacing w:val="5"/>
        </w:rPr>
      </w:pPr>
      <w:r>
        <w:rPr>
          <w:rFonts w:hint="eastAsia" w:cs="Times New Roman"/>
          <w:b/>
          <w:spacing w:val="5"/>
        </w:rPr>
        <w:t>（</w:t>
      </w:r>
      <w:r>
        <w:rPr>
          <w:rFonts w:cs="Times New Roman"/>
          <w:b/>
          <w:spacing w:val="5"/>
        </w:rPr>
        <w:t>4</w:t>
      </w:r>
      <w:r>
        <w:rPr>
          <w:rFonts w:hint="eastAsia" w:cs="Times New Roman"/>
          <w:b/>
          <w:spacing w:val="5"/>
        </w:rPr>
        <w:t>）汽车自卸车起尘</w:t>
      </w:r>
    </w:p>
    <w:p>
      <w:pPr>
        <w:ind w:firstLine="480"/>
      </w:pPr>
      <w:r>
        <w:rPr>
          <w:rFonts w:hint="eastAsia"/>
        </w:rPr>
        <w:t>根据</w:t>
      </w:r>
      <w:r>
        <w:rPr>
          <w:rFonts w:hint="eastAsia" w:ascii="宋体" w:hAnsi="宋体"/>
          <w:kern w:val="0"/>
        </w:rPr>
        <w:t>《岳阳港道仁矶码头工程可行性研究报告》，项目非金属矿石在卸料棚自卸车，</w:t>
      </w:r>
      <w:r>
        <w:t>根据</w:t>
      </w:r>
      <w:r>
        <w:rPr>
          <w:rFonts w:hint="eastAsia"/>
        </w:rPr>
        <w:t>《水运工程建设项目环境影响评价指南》（JTS/T105-2021），</w:t>
      </w:r>
      <w:r>
        <w:t>码头</w:t>
      </w:r>
      <w:r>
        <w:rPr>
          <w:rFonts w:hint="eastAsia"/>
        </w:rPr>
        <w:t>自卸汽车卸料起尘量</w:t>
      </w:r>
      <w:r>
        <w:t>按照下列公式计算：</w:t>
      </w:r>
    </w:p>
    <w:p>
      <w:pPr>
        <w:ind w:firstLine="199" w:firstLineChars="83"/>
        <w:rPr>
          <w:rFonts w:ascii="仿宋" w:hAnsi="仿宋" w:eastAsia="仿宋"/>
        </w:rPr>
      </w:pPr>
      <m:oMathPara>
        <m:oMath>
          <m:r>
            <m:rPr>
              <m:sty m:val="p"/>
            </m:rPr>
            <w:rPr>
              <w:rFonts w:ascii="Cambria Math" w:hAnsi="Cambria Math" w:eastAsia="仿宋"/>
            </w:rPr>
            <m:t>Q=</m:t>
          </m:r>
          <m:sSup>
            <m:sSupPr>
              <m:ctrlPr>
                <w:rPr>
                  <w:rFonts w:ascii="Cambria Math" w:hAnsi="Cambria Math" w:eastAsia="仿宋"/>
                </w:rPr>
              </m:ctrlPr>
            </m:sSupPr>
            <m:e>
              <m:r>
                <m:rPr/>
                <w:rPr>
                  <w:rFonts w:ascii="Cambria Math" w:hAnsi="Cambria Math" w:eastAsia="仿宋"/>
                </w:rPr>
                <m:t>e</m:t>
              </m:r>
              <m:ctrlPr>
                <w:rPr>
                  <w:rFonts w:ascii="Cambria Math" w:hAnsi="Cambria Math" w:eastAsia="仿宋"/>
                </w:rPr>
              </m:ctrlPr>
            </m:e>
            <m:sup>
              <m:r>
                <m:rPr/>
                <w:rPr>
                  <w:rFonts w:ascii="Cambria Math" w:hAnsi="Cambria Math" w:eastAsia="仿宋"/>
                </w:rPr>
                <m:t>0.61u</m:t>
              </m:r>
              <m:ctrlPr>
                <w:rPr>
                  <w:rFonts w:ascii="Cambria Math" w:hAnsi="Cambria Math" w:eastAsia="仿宋"/>
                </w:rPr>
              </m:ctrlPr>
            </m:sup>
          </m:sSup>
          <m:r>
            <m:rPr>
              <m:sty m:val="p"/>
            </m:rPr>
            <w:rPr>
              <w:rFonts w:ascii="Cambria Math" w:hAnsi="Cambria Math" w:eastAsia="仿宋"/>
            </w:rPr>
            <m:t>M/13.5</m:t>
          </m:r>
        </m:oMath>
      </m:oMathPara>
    </w:p>
    <w:p>
      <w:pPr>
        <w:spacing w:after="60"/>
        <w:ind w:firstLine="480"/>
        <w:rPr>
          <w:rFonts w:ascii="宋体" w:hAnsi="宋体"/>
        </w:rPr>
      </w:pPr>
      <w:r>
        <w:rPr>
          <w:rFonts w:ascii="宋体" w:hAnsi="宋体"/>
        </w:rPr>
        <w:t>式中：</w:t>
      </w:r>
      <w:r>
        <w:t>Q</w:t>
      </w:r>
      <w:r>
        <w:rPr>
          <w:rFonts w:hint="eastAsia" w:ascii="宋体" w:hAnsi="宋体"/>
        </w:rPr>
        <w:t>——自卸汽车卸料起尘量</w:t>
      </w:r>
      <w:r>
        <w:rPr>
          <w:rFonts w:ascii="宋体" w:hAnsi="宋体"/>
        </w:rPr>
        <w:t>（</w:t>
      </w:r>
      <w:r>
        <w:t>kg/s</w:t>
      </w:r>
      <w:r>
        <w:rPr>
          <w:rFonts w:ascii="宋体" w:hAnsi="宋体"/>
        </w:rPr>
        <w:t>）</w:t>
      </w:r>
      <w:r>
        <w:rPr>
          <w:rFonts w:hint="eastAsia" w:ascii="宋体" w:hAnsi="宋体"/>
        </w:rPr>
        <w:t>；</w:t>
      </w:r>
    </w:p>
    <w:p>
      <w:pPr>
        <w:spacing w:after="60"/>
        <w:ind w:firstLine="480"/>
      </w:pPr>
      <w:r>
        <w:t>u――</w:t>
      </w:r>
      <w:r>
        <w:rPr>
          <w:rFonts w:hint="eastAsia"/>
        </w:rPr>
        <w:t>平均风速</w:t>
      </w:r>
      <w:r>
        <w:rPr>
          <w:rFonts w:ascii="宋体" w:hAnsi="宋体"/>
        </w:rPr>
        <w:t>（</w:t>
      </w:r>
      <w:r>
        <w:t>m/s</w:t>
      </w:r>
      <w:r>
        <w:rPr>
          <w:rFonts w:ascii="宋体" w:hAnsi="宋体"/>
        </w:rPr>
        <w:t>）</w:t>
      </w:r>
      <w:r>
        <w:rPr>
          <w:rFonts w:hint="eastAsia" w:ascii="宋体" w:hAnsi="宋体"/>
        </w:rPr>
        <w:t>，</w:t>
      </w:r>
      <w:r>
        <w:t>0.2m/s</w:t>
      </w:r>
      <w:r>
        <w:rPr>
          <w:rFonts w:hint="eastAsia"/>
        </w:rPr>
        <w:t>（汽车位于封闭卸车棚内，风速取0</w:t>
      </w:r>
      <w:r>
        <w:t>.2 m/s</w:t>
      </w:r>
      <w:r>
        <w:rPr>
          <w:rFonts w:hint="eastAsia"/>
        </w:rPr>
        <w:t>）</w:t>
      </w:r>
      <w:r>
        <w:rPr>
          <w:rFonts w:ascii="宋体" w:hAnsi="宋体"/>
        </w:rPr>
        <w:t>；</w:t>
      </w:r>
    </w:p>
    <w:p>
      <w:pPr>
        <w:spacing w:after="60"/>
        <w:ind w:firstLine="480"/>
      </w:pPr>
      <w:r>
        <w:t>M——</w:t>
      </w:r>
      <w:r>
        <w:rPr>
          <w:rFonts w:hint="eastAsia"/>
        </w:rPr>
        <w:t>汽车卸料量（t</w:t>
      </w:r>
      <w:r>
        <w:t>/s</w:t>
      </w:r>
      <w:r>
        <w:rPr>
          <w:rFonts w:hint="eastAsia"/>
        </w:rPr>
        <w:t>）</w:t>
      </w:r>
      <w:r>
        <w:rPr>
          <w:rFonts w:ascii="宋体" w:hAnsi="宋体"/>
        </w:rPr>
        <w:t>；</w:t>
      </w:r>
    </w:p>
    <w:p>
      <w:pPr>
        <w:pStyle w:val="2285"/>
        <w:ind w:left="0"/>
      </w:pPr>
      <w:r>
        <w:rPr>
          <w:rFonts w:hint="eastAsia"/>
        </w:rPr>
        <w:t>自卸汽车卸料</w:t>
      </w:r>
      <w:r>
        <w:t>扬尘</w:t>
      </w:r>
      <w:r>
        <w:rPr>
          <w:rFonts w:cs="Times New Roman"/>
          <w:bCs/>
        </w:rPr>
        <w:t>产生</w:t>
      </w:r>
      <w:r>
        <w:t>和排放情况一览表</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996"/>
        <w:gridCol w:w="1776"/>
        <w:gridCol w:w="2036"/>
        <w:gridCol w:w="1035"/>
        <w:gridCol w:w="1172"/>
        <w:gridCol w:w="11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94" w:type="pct"/>
            <w:tcBorders>
              <w:bottom w:val="single" w:color="auto" w:sz="12" w:space="0"/>
            </w:tcBorders>
            <w:shd w:val="clear" w:color="000000" w:fill="FFFFFF"/>
            <w:vAlign w:val="center"/>
          </w:tcPr>
          <w:p>
            <w:pPr>
              <w:pStyle w:val="2057"/>
              <w:spacing w:afterLines="0"/>
              <w:ind w:firstLine="0" w:firstLineChars="0"/>
              <w:rPr>
                <w:b/>
                <w:bCs w:val="0"/>
                <w:sz w:val="21"/>
                <w:szCs w:val="21"/>
              </w:rPr>
            </w:pPr>
            <w:r>
              <w:rPr>
                <w:b/>
                <w:bCs w:val="0"/>
                <w:sz w:val="21"/>
                <w:szCs w:val="21"/>
              </w:rPr>
              <w:t>污染源</w:t>
            </w:r>
          </w:p>
        </w:tc>
        <w:tc>
          <w:tcPr>
            <w:tcW w:w="536" w:type="pct"/>
            <w:tcBorders>
              <w:bottom w:val="single" w:color="auto" w:sz="12" w:space="0"/>
            </w:tcBorders>
            <w:shd w:val="clear" w:color="000000" w:fill="FFFFFF"/>
            <w:vAlign w:val="center"/>
          </w:tcPr>
          <w:p>
            <w:pPr>
              <w:pStyle w:val="2057"/>
              <w:spacing w:afterLines="0"/>
              <w:ind w:firstLine="0" w:firstLineChars="0"/>
              <w:rPr>
                <w:b/>
                <w:bCs w:val="0"/>
                <w:sz w:val="21"/>
                <w:szCs w:val="21"/>
              </w:rPr>
            </w:pPr>
            <w:r>
              <w:rPr>
                <w:b/>
                <w:bCs w:val="0"/>
                <w:sz w:val="21"/>
                <w:szCs w:val="21"/>
              </w:rPr>
              <w:t>污染物</w:t>
            </w:r>
          </w:p>
        </w:tc>
        <w:tc>
          <w:tcPr>
            <w:tcW w:w="956" w:type="pct"/>
            <w:tcBorders>
              <w:bottom w:val="single" w:color="auto" w:sz="12" w:space="0"/>
            </w:tcBorders>
            <w:shd w:val="clear" w:color="000000" w:fill="FFFFFF"/>
            <w:vAlign w:val="center"/>
          </w:tcPr>
          <w:p>
            <w:pPr>
              <w:pStyle w:val="2057"/>
              <w:spacing w:afterLines="0"/>
              <w:ind w:firstLine="0" w:firstLineChars="0"/>
              <w:rPr>
                <w:b/>
                <w:bCs w:val="0"/>
                <w:sz w:val="21"/>
                <w:szCs w:val="21"/>
              </w:rPr>
            </w:pPr>
            <w:r>
              <w:rPr>
                <w:b/>
                <w:bCs w:val="0"/>
                <w:sz w:val="21"/>
                <w:szCs w:val="21"/>
              </w:rPr>
              <w:t>产生量(t/a)</w:t>
            </w:r>
          </w:p>
        </w:tc>
        <w:tc>
          <w:tcPr>
            <w:tcW w:w="1096" w:type="pct"/>
            <w:tcBorders>
              <w:bottom w:val="single" w:color="auto" w:sz="12" w:space="0"/>
            </w:tcBorders>
            <w:shd w:val="clear" w:color="000000" w:fill="FFFFFF"/>
            <w:vAlign w:val="center"/>
          </w:tcPr>
          <w:p>
            <w:pPr>
              <w:pStyle w:val="2057"/>
              <w:spacing w:afterLines="0"/>
              <w:ind w:firstLine="0" w:firstLineChars="0"/>
              <w:rPr>
                <w:b/>
                <w:bCs w:val="0"/>
                <w:sz w:val="21"/>
                <w:szCs w:val="21"/>
              </w:rPr>
            </w:pPr>
            <w:r>
              <w:rPr>
                <w:b/>
                <w:bCs w:val="0"/>
                <w:sz w:val="21"/>
                <w:szCs w:val="21"/>
              </w:rPr>
              <w:t>治理措施</w:t>
            </w:r>
          </w:p>
        </w:tc>
        <w:tc>
          <w:tcPr>
            <w:tcW w:w="557" w:type="pct"/>
            <w:tcBorders>
              <w:bottom w:val="single" w:color="auto" w:sz="12" w:space="0"/>
            </w:tcBorders>
            <w:shd w:val="clear" w:color="000000" w:fill="FFFFFF"/>
            <w:vAlign w:val="center"/>
          </w:tcPr>
          <w:p>
            <w:pPr>
              <w:pStyle w:val="2057"/>
              <w:spacing w:afterLines="0"/>
              <w:ind w:firstLine="0" w:firstLineChars="0"/>
              <w:rPr>
                <w:b/>
                <w:bCs w:val="0"/>
                <w:sz w:val="21"/>
                <w:szCs w:val="21"/>
              </w:rPr>
            </w:pPr>
            <w:r>
              <w:rPr>
                <w:b/>
                <w:bCs w:val="0"/>
                <w:sz w:val="21"/>
                <w:szCs w:val="21"/>
              </w:rPr>
              <w:t>降尘效率</w:t>
            </w:r>
          </w:p>
        </w:tc>
        <w:tc>
          <w:tcPr>
            <w:tcW w:w="631" w:type="pct"/>
            <w:tcBorders>
              <w:bottom w:val="single" w:color="auto" w:sz="12" w:space="0"/>
            </w:tcBorders>
            <w:shd w:val="clear" w:color="000000" w:fill="FFFFFF"/>
            <w:vAlign w:val="center"/>
          </w:tcPr>
          <w:p>
            <w:pPr>
              <w:pStyle w:val="2057"/>
              <w:spacing w:afterLines="0"/>
              <w:ind w:firstLine="0" w:firstLineChars="0"/>
              <w:rPr>
                <w:b/>
                <w:bCs w:val="0"/>
                <w:sz w:val="21"/>
                <w:szCs w:val="21"/>
              </w:rPr>
            </w:pPr>
            <w:r>
              <w:rPr>
                <w:b/>
                <w:bCs w:val="0"/>
                <w:sz w:val="21"/>
                <w:szCs w:val="21"/>
              </w:rPr>
              <w:t>排放量(t/a)</w:t>
            </w:r>
          </w:p>
        </w:tc>
        <w:tc>
          <w:tcPr>
            <w:tcW w:w="629" w:type="pct"/>
            <w:tcBorders>
              <w:bottom w:val="single" w:color="auto" w:sz="12" w:space="0"/>
            </w:tcBorders>
            <w:shd w:val="clear" w:color="000000" w:fill="FFFFFF"/>
            <w:vAlign w:val="center"/>
          </w:tcPr>
          <w:p>
            <w:pPr>
              <w:pStyle w:val="2057"/>
              <w:spacing w:afterLines="0"/>
              <w:ind w:firstLine="0" w:firstLineChars="0"/>
              <w:rPr>
                <w:b/>
                <w:bCs w:val="0"/>
                <w:sz w:val="21"/>
                <w:szCs w:val="21"/>
              </w:rPr>
            </w:pPr>
            <w:r>
              <w:rPr>
                <w:b/>
                <w:bCs w:val="0"/>
                <w:sz w:val="21"/>
                <w:szCs w:val="21"/>
              </w:rPr>
              <w:t>排放</w:t>
            </w:r>
            <w:r>
              <w:rPr>
                <w:rFonts w:hint="eastAsia"/>
                <w:b/>
                <w:bCs w:val="0"/>
                <w:sz w:val="21"/>
                <w:szCs w:val="21"/>
              </w:rPr>
              <w:t>速率</w:t>
            </w:r>
            <w:r>
              <w:rPr>
                <w:b/>
                <w:bCs w:val="0"/>
                <w:sz w:val="21"/>
                <w:szCs w:val="21"/>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594" w:type="pct"/>
            <w:tcBorders>
              <w:top w:val="single" w:color="auto" w:sz="12" w:space="0"/>
              <w:tl2br w:val="nil"/>
              <w:tr2bl w:val="nil"/>
            </w:tcBorders>
            <w:shd w:val="clear" w:color="000000" w:fill="FFFFFF"/>
            <w:vAlign w:val="center"/>
          </w:tcPr>
          <w:p>
            <w:pPr>
              <w:pStyle w:val="2057"/>
              <w:spacing w:afterLines="0"/>
              <w:ind w:firstLine="0" w:firstLineChars="0"/>
              <w:rPr>
                <w:sz w:val="21"/>
                <w:szCs w:val="21"/>
              </w:rPr>
            </w:pPr>
            <w:r>
              <w:rPr>
                <w:rFonts w:hint="eastAsia"/>
                <w:sz w:val="21"/>
                <w:szCs w:val="21"/>
              </w:rPr>
              <w:t>卸车料棚</w:t>
            </w:r>
          </w:p>
        </w:tc>
        <w:tc>
          <w:tcPr>
            <w:tcW w:w="536" w:type="pct"/>
            <w:tcBorders>
              <w:top w:val="single" w:color="auto" w:sz="12" w:space="0"/>
              <w:tl2br w:val="nil"/>
              <w:tr2bl w:val="nil"/>
            </w:tcBorders>
            <w:shd w:val="clear" w:color="000000" w:fill="FFFFFF"/>
            <w:vAlign w:val="center"/>
          </w:tcPr>
          <w:p>
            <w:pPr>
              <w:pStyle w:val="2057"/>
              <w:spacing w:afterLines="0"/>
              <w:ind w:firstLine="0" w:firstLineChars="0"/>
              <w:rPr>
                <w:sz w:val="21"/>
                <w:szCs w:val="21"/>
              </w:rPr>
            </w:pPr>
            <w:r>
              <w:rPr>
                <w:rFonts w:hint="eastAsia"/>
                <w:sz w:val="21"/>
                <w:szCs w:val="21"/>
              </w:rPr>
              <w:t>颗粒物</w:t>
            </w:r>
          </w:p>
        </w:tc>
        <w:tc>
          <w:tcPr>
            <w:tcW w:w="956" w:type="pct"/>
            <w:tcBorders>
              <w:top w:val="single" w:color="auto" w:sz="12" w:space="0"/>
              <w:tl2br w:val="nil"/>
              <w:tr2bl w:val="nil"/>
            </w:tcBorders>
            <w:shd w:val="clear" w:color="000000" w:fill="FFFFFF"/>
            <w:vAlign w:val="center"/>
          </w:tcPr>
          <w:p>
            <w:pPr>
              <w:pStyle w:val="2057"/>
              <w:spacing w:afterLines="0"/>
              <w:ind w:firstLine="0" w:firstLineChars="0"/>
              <w:rPr>
                <w:sz w:val="21"/>
                <w:szCs w:val="21"/>
              </w:rPr>
            </w:pPr>
            <w:r>
              <w:rPr>
                <w:rFonts w:hint="eastAsia"/>
                <w:sz w:val="21"/>
                <w:szCs w:val="21"/>
              </w:rPr>
              <w:t>125.5282</w:t>
            </w:r>
          </w:p>
        </w:tc>
        <w:tc>
          <w:tcPr>
            <w:tcW w:w="1096" w:type="pct"/>
            <w:tcBorders>
              <w:top w:val="single" w:color="auto" w:sz="12" w:space="0"/>
              <w:tl2br w:val="nil"/>
              <w:tr2bl w:val="nil"/>
            </w:tcBorders>
            <w:shd w:val="clear" w:color="000000" w:fill="FFFFFF"/>
            <w:vAlign w:val="center"/>
          </w:tcPr>
          <w:p>
            <w:pPr>
              <w:pStyle w:val="2057"/>
              <w:spacing w:afterLines="0"/>
              <w:ind w:firstLine="0" w:firstLineChars="0"/>
              <w:rPr>
                <w:sz w:val="21"/>
                <w:szCs w:val="21"/>
              </w:rPr>
            </w:pPr>
            <w:r>
              <w:rPr>
                <w:rFonts w:hint="eastAsia"/>
                <w:sz w:val="21"/>
                <w:szCs w:val="21"/>
              </w:rPr>
              <w:t>全封闭、雾化除尘</w:t>
            </w:r>
          </w:p>
        </w:tc>
        <w:tc>
          <w:tcPr>
            <w:tcW w:w="557" w:type="pct"/>
            <w:tcBorders>
              <w:top w:val="single" w:color="auto" w:sz="12" w:space="0"/>
              <w:tl2br w:val="nil"/>
              <w:tr2bl w:val="nil"/>
            </w:tcBorders>
            <w:shd w:val="clear" w:color="000000" w:fill="FFFFFF"/>
            <w:vAlign w:val="center"/>
          </w:tcPr>
          <w:p>
            <w:pPr>
              <w:pStyle w:val="2057"/>
              <w:spacing w:afterLines="0"/>
              <w:ind w:firstLine="0" w:firstLineChars="0"/>
              <w:rPr>
                <w:sz w:val="21"/>
                <w:szCs w:val="21"/>
              </w:rPr>
            </w:pPr>
            <w:r>
              <w:rPr>
                <w:sz w:val="21"/>
                <w:szCs w:val="21"/>
              </w:rPr>
              <w:t>9</w:t>
            </w:r>
            <w:r>
              <w:rPr>
                <w:rFonts w:hint="eastAsia"/>
                <w:sz w:val="21"/>
                <w:szCs w:val="21"/>
              </w:rPr>
              <w:t>9</w:t>
            </w:r>
            <w:r>
              <w:rPr>
                <w:sz w:val="21"/>
                <w:szCs w:val="21"/>
              </w:rPr>
              <w:t>%</w:t>
            </w:r>
          </w:p>
        </w:tc>
        <w:tc>
          <w:tcPr>
            <w:tcW w:w="631" w:type="pct"/>
            <w:tcBorders>
              <w:top w:val="single" w:color="auto" w:sz="12" w:space="0"/>
              <w:tl2br w:val="nil"/>
              <w:tr2bl w:val="nil"/>
            </w:tcBorders>
            <w:shd w:val="clear" w:color="000000" w:fill="FFFFFF"/>
            <w:vAlign w:val="center"/>
          </w:tcPr>
          <w:p>
            <w:pPr>
              <w:pStyle w:val="2057"/>
              <w:spacing w:afterLines="0"/>
              <w:ind w:firstLine="0" w:firstLineChars="0"/>
              <w:rPr>
                <w:sz w:val="21"/>
                <w:szCs w:val="21"/>
              </w:rPr>
            </w:pPr>
            <w:r>
              <w:rPr>
                <w:rFonts w:hint="eastAsia"/>
                <w:sz w:val="21"/>
                <w:szCs w:val="21"/>
              </w:rPr>
              <w:t>1.255</w:t>
            </w:r>
          </w:p>
        </w:tc>
        <w:tc>
          <w:tcPr>
            <w:tcW w:w="629" w:type="pct"/>
            <w:tcBorders>
              <w:top w:val="single" w:color="auto" w:sz="12" w:space="0"/>
              <w:tl2br w:val="nil"/>
              <w:tr2bl w:val="nil"/>
            </w:tcBorders>
            <w:shd w:val="clear" w:color="000000" w:fill="FFFFFF"/>
            <w:vAlign w:val="center"/>
          </w:tcPr>
          <w:p>
            <w:pPr>
              <w:pStyle w:val="2057"/>
              <w:spacing w:afterLines="0"/>
              <w:ind w:firstLine="0" w:firstLineChars="0"/>
              <w:rPr>
                <w:sz w:val="21"/>
                <w:szCs w:val="21"/>
              </w:rPr>
            </w:pPr>
            <w:r>
              <w:rPr>
                <w:rFonts w:hint="eastAsia"/>
                <w:sz w:val="21"/>
                <w:szCs w:val="21"/>
              </w:rPr>
              <w:t>0</w:t>
            </w:r>
            <w:r>
              <w:rPr>
                <w:sz w:val="21"/>
                <w:szCs w:val="21"/>
              </w:rPr>
              <w:t>.</w:t>
            </w:r>
            <w:r>
              <w:rPr>
                <w:rFonts w:hint="eastAsia"/>
                <w:sz w:val="21"/>
                <w:szCs w:val="21"/>
              </w:rPr>
              <w:t>158</w:t>
            </w:r>
          </w:p>
        </w:tc>
      </w:tr>
    </w:tbl>
    <w:p>
      <w:pPr>
        <w:widowControl/>
        <w:ind w:firstLine="482"/>
        <w:rPr>
          <w:b/>
        </w:rPr>
      </w:pPr>
      <w:r>
        <w:rPr>
          <w:rFonts w:hint="eastAsia"/>
          <w:b/>
        </w:rPr>
        <w:t>（</w:t>
      </w:r>
      <w:r>
        <w:rPr>
          <w:b/>
        </w:rPr>
        <w:t>5</w:t>
      </w:r>
      <w:r>
        <w:rPr>
          <w:rFonts w:hint="eastAsia"/>
          <w:b/>
        </w:rPr>
        <w:t>）堆场起尘</w:t>
      </w:r>
    </w:p>
    <w:p>
      <w:pPr>
        <w:widowControl/>
        <w:ind w:firstLine="480"/>
      </w:pPr>
      <w:r>
        <w:rPr>
          <w:rFonts w:hint="eastAsia"/>
        </w:rPr>
        <w:t>料堆表面遭受风扰动后引起颗粒物排放，本项目为封闭散货仓库，通过封闭皮带运输廊道自动传送到后方堆场，料堆不直接受风扰动，根据《水运工程建设项目环境影响评价指南》（JTS/T105-2021）3</w:t>
      </w:r>
      <w:r>
        <w:t>.3.4.2</w:t>
      </w:r>
      <w:r>
        <w:rPr>
          <w:rFonts w:hint="eastAsia"/>
        </w:rPr>
        <w:t>章节堆场风蚀起尘量经验公示可知，全封闭堆场摩擦风速小于起尘的临界摩擦风速，堆场静态起尘量风蚀潜势取值为0，堆场风蚀起尘量取0。</w:t>
      </w:r>
    </w:p>
    <w:p>
      <w:pPr>
        <w:pStyle w:val="2133"/>
        <w:spacing w:line="360" w:lineRule="auto"/>
        <w:ind w:firstLine="482"/>
        <w:jc w:val="left"/>
        <w:rPr>
          <w:rFonts w:cs="Times New Roman"/>
          <w:b/>
          <w:bCs/>
        </w:rPr>
      </w:pPr>
      <w:r>
        <w:rPr>
          <w:rFonts w:hint="eastAsia" w:cs="Times New Roman"/>
          <w:b/>
          <w:bCs/>
        </w:rPr>
        <w:t>（</w:t>
      </w:r>
      <w:r>
        <w:rPr>
          <w:rFonts w:cs="Times New Roman"/>
          <w:b/>
          <w:bCs/>
        </w:rPr>
        <w:t>6</w:t>
      </w:r>
      <w:r>
        <w:rPr>
          <w:rFonts w:hint="eastAsia" w:cs="Times New Roman"/>
          <w:b/>
          <w:bCs/>
        </w:rPr>
        <w:t>）食堂油烟</w:t>
      </w:r>
    </w:p>
    <w:p>
      <w:pPr>
        <w:pStyle w:val="2133"/>
        <w:spacing w:line="360" w:lineRule="auto"/>
        <w:rPr>
          <w:rFonts w:cs="Times New Roman"/>
        </w:rPr>
      </w:pPr>
      <w:r>
        <w:rPr>
          <w:rFonts w:hint="eastAsia" w:cs="Times New Roman"/>
        </w:rPr>
        <w:t>项目设食堂和倒班宿舍，运营期劳动定员</w:t>
      </w:r>
      <w:r>
        <w:rPr>
          <w:rFonts w:cs="Times New Roman"/>
        </w:rPr>
        <w:t>235</w:t>
      </w:r>
      <w:r>
        <w:rPr>
          <w:rFonts w:hint="eastAsia" w:cs="Times New Roman"/>
        </w:rPr>
        <w:t>人，均在港区内用餐，本项目食堂采用天然气作为燃料，属于清洁能源，燃料废气产生量很小。</w:t>
      </w:r>
    </w:p>
    <w:p>
      <w:pPr>
        <w:pStyle w:val="2133"/>
        <w:spacing w:line="360" w:lineRule="auto"/>
      </w:pPr>
      <w:r>
        <w:rPr>
          <w:rFonts w:hint="eastAsia" w:cs="Times New Roman"/>
        </w:rPr>
        <w:t>厨房在烹饪过程中所用的动、植物油，在高温的条件下会产生一定量的油烟。根据有关统计资料，人均日食用油用量约30g，油烟排放量按使用量的2%计，则人均排放量为0.</w:t>
      </w:r>
      <w:r>
        <w:rPr>
          <w:rFonts w:cs="Times New Roman"/>
        </w:rPr>
        <w:t>198</w:t>
      </w:r>
      <w:r>
        <w:rPr>
          <w:rFonts w:hint="eastAsia" w:cs="Times New Roman"/>
        </w:rPr>
        <w:t>kg/a。项目建成后每天共有</w:t>
      </w:r>
      <w:r>
        <w:rPr>
          <w:rFonts w:cs="Times New Roman"/>
        </w:rPr>
        <w:t>235</w:t>
      </w:r>
      <w:r>
        <w:rPr>
          <w:rFonts w:hint="eastAsia" w:cs="Times New Roman"/>
        </w:rPr>
        <w:t>人在厂区用餐，则油烟产生量为0.</w:t>
      </w:r>
      <w:r>
        <w:rPr>
          <w:rFonts w:cs="Times New Roman"/>
        </w:rPr>
        <w:t>141</w:t>
      </w:r>
      <w:r>
        <w:rPr>
          <w:rFonts w:hint="eastAsia" w:cs="Times New Roman"/>
        </w:rPr>
        <w:t>kg/d，</w:t>
      </w:r>
      <w:r>
        <w:rPr>
          <w:rFonts w:cs="Times New Roman"/>
        </w:rPr>
        <w:t>46.53</w:t>
      </w:r>
      <w:r>
        <w:rPr>
          <w:rFonts w:hint="eastAsia" w:cs="Times New Roman"/>
        </w:rPr>
        <w:t xml:space="preserve"> kg /a，本项目食堂厨房设3个灶头，单个排风量为2000m</w:t>
      </w:r>
      <w:r>
        <w:rPr>
          <w:rFonts w:hint="eastAsia" w:cs="Times New Roman"/>
          <w:vertAlign w:val="superscript"/>
        </w:rPr>
        <w:t>3</w:t>
      </w:r>
      <w:r>
        <w:rPr>
          <w:rFonts w:hint="eastAsia" w:cs="Times New Roman"/>
        </w:rPr>
        <w:t>/h，食堂每天工作时间按照</w:t>
      </w:r>
      <w:r>
        <w:rPr>
          <w:rFonts w:cs="Times New Roman"/>
        </w:rPr>
        <w:t>4.5</w:t>
      </w:r>
      <w:r>
        <w:rPr>
          <w:rFonts w:hint="eastAsia" w:cs="Times New Roman"/>
        </w:rPr>
        <w:t>小时计，则食堂油烟废气产生浓度为</w:t>
      </w:r>
      <w:r>
        <w:rPr>
          <w:rFonts w:cs="Times New Roman"/>
        </w:rPr>
        <w:t>0.005</w:t>
      </w:r>
      <w:r>
        <w:rPr>
          <w:rFonts w:hint="eastAsia" w:cs="Times New Roman"/>
        </w:rPr>
        <w:t>mg/m</w:t>
      </w:r>
      <w:r>
        <w:rPr>
          <w:rFonts w:hint="eastAsia" w:cs="Times New Roman"/>
          <w:vertAlign w:val="superscript"/>
        </w:rPr>
        <w:t>3</w:t>
      </w:r>
      <w:r>
        <w:rPr>
          <w:rFonts w:hint="eastAsia" w:cs="Times New Roman"/>
        </w:rPr>
        <w:t>，本环评要求食堂安装油烟净化装置，净化效率不低于75%，则油烟排放量为</w:t>
      </w:r>
      <w:r>
        <w:rPr>
          <w:rFonts w:cs="Times New Roman"/>
        </w:rPr>
        <w:t>11.63</w:t>
      </w:r>
      <w:r>
        <w:rPr>
          <w:rFonts w:hint="eastAsia" w:cs="Times New Roman"/>
        </w:rPr>
        <w:t xml:space="preserve"> kg /a，排放浓度约为0</w:t>
      </w:r>
      <w:r>
        <w:rPr>
          <w:rFonts w:cs="Times New Roman"/>
        </w:rPr>
        <w:t>.00125</w:t>
      </w:r>
      <w:r>
        <w:rPr>
          <w:rFonts w:hint="eastAsia" w:cs="Times New Roman"/>
        </w:rPr>
        <w:t xml:space="preserve"> mg/m</w:t>
      </w:r>
      <w:r>
        <w:rPr>
          <w:rFonts w:hint="eastAsia" w:cs="Times New Roman"/>
          <w:vertAlign w:val="superscript"/>
        </w:rPr>
        <w:t>3</w:t>
      </w:r>
      <w:r>
        <w:rPr>
          <w:rFonts w:hint="eastAsia" w:cs="Times New Roman"/>
        </w:rPr>
        <w:t>。</w:t>
      </w:r>
    </w:p>
    <w:p>
      <w:pPr>
        <w:pStyle w:val="2133"/>
        <w:spacing w:line="360" w:lineRule="auto"/>
        <w:ind w:firstLine="482"/>
        <w:jc w:val="left"/>
        <w:rPr>
          <w:rFonts w:cs="Times New Roman"/>
          <w:b/>
          <w:bCs/>
        </w:rPr>
      </w:pPr>
      <w:r>
        <w:rPr>
          <w:rFonts w:hint="eastAsia" w:cs="Times New Roman"/>
          <w:b/>
          <w:bCs/>
        </w:rPr>
        <w:t>（7）废气污染物排放量核算表</w:t>
      </w:r>
    </w:p>
    <w:p>
      <w:pPr>
        <w:pStyle w:val="2285"/>
        <w:ind w:left="0"/>
      </w:pPr>
      <w:r>
        <w:rPr>
          <w:rFonts w:hint="eastAsia"/>
        </w:rPr>
        <w:t>大气污染物无</w:t>
      </w:r>
      <w:r>
        <w:rPr>
          <w:rFonts w:hint="eastAsia" w:cs="Times New Roman"/>
          <w:bCs/>
        </w:rPr>
        <w:t>组织</w:t>
      </w:r>
      <w:r>
        <w:rPr>
          <w:rFonts w:hint="eastAsia"/>
        </w:rPr>
        <w:t>排放量核算表</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94"/>
        <w:gridCol w:w="1724"/>
        <w:gridCol w:w="933"/>
        <w:gridCol w:w="2234"/>
        <w:gridCol w:w="1103"/>
        <w:gridCol w:w="1313"/>
        <w:gridCol w:w="138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319" w:type="pct"/>
            <w:vMerge w:val="restart"/>
            <w:vAlign w:val="center"/>
          </w:tcPr>
          <w:p>
            <w:pPr>
              <w:pStyle w:val="2057"/>
              <w:tabs>
                <w:tab w:val="left" w:pos="480"/>
              </w:tabs>
              <w:spacing w:afterLines="0" w:line="240" w:lineRule="atLeast"/>
              <w:ind w:firstLine="0" w:firstLineChars="0"/>
              <w:rPr>
                <w:b/>
                <w:bCs w:val="0"/>
                <w:sz w:val="21"/>
                <w:szCs w:val="21"/>
              </w:rPr>
            </w:pPr>
            <w:r>
              <w:rPr>
                <w:b/>
                <w:bCs w:val="0"/>
                <w:sz w:val="21"/>
                <w:szCs w:val="21"/>
              </w:rPr>
              <w:t>序号</w:t>
            </w:r>
          </w:p>
        </w:tc>
        <w:tc>
          <w:tcPr>
            <w:tcW w:w="928" w:type="pct"/>
            <w:vMerge w:val="restart"/>
            <w:vAlign w:val="center"/>
          </w:tcPr>
          <w:p>
            <w:pPr>
              <w:pStyle w:val="2057"/>
              <w:tabs>
                <w:tab w:val="left" w:pos="480"/>
              </w:tabs>
              <w:spacing w:afterLines="0" w:line="240" w:lineRule="atLeast"/>
              <w:ind w:firstLine="0" w:firstLineChars="0"/>
              <w:rPr>
                <w:b/>
                <w:bCs w:val="0"/>
                <w:sz w:val="21"/>
                <w:szCs w:val="21"/>
              </w:rPr>
            </w:pPr>
            <w:r>
              <w:rPr>
                <w:b/>
                <w:bCs w:val="0"/>
                <w:sz w:val="21"/>
                <w:szCs w:val="21"/>
              </w:rPr>
              <w:t>产污环节</w:t>
            </w:r>
          </w:p>
        </w:tc>
        <w:tc>
          <w:tcPr>
            <w:tcW w:w="500" w:type="pct"/>
            <w:vMerge w:val="restart"/>
            <w:vAlign w:val="center"/>
          </w:tcPr>
          <w:p>
            <w:pPr>
              <w:pStyle w:val="2057"/>
              <w:tabs>
                <w:tab w:val="left" w:pos="480"/>
              </w:tabs>
              <w:spacing w:afterLines="0" w:line="240" w:lineRule="atLeast"/>
              <w:ind w:firstLine="0" w:firstLineChars="0"/>
              <w:rPr>
                <w:b/>
                <w:bCs w:val="0"/>
                <w:sz w:val="21"/>
                <w:szCs w:val="21"/>
              </w:rPr>
            </w:pPr>
            <w:r>
              <w:rPr>
                <w:b/>
                <w:bCs w:val="0"/>
                <w:sz w:val="21"/>
                <w:szCs w:val="21"/>
              </w:rPr>
              <w:t>污染物</w:t>
            </w:r>
          </w:p>
        </w:tc>
        <w:tc>
          <w:tcPr>
            <w:tcW w:w="1203" w:type="pct"/>
            <w:vMerge w:val="restart"/>
            <w:vAlign w:val="center"/>
          </w:tcPr>
          <w:p>
            <w:pPr>
              <w:pStyle w:val="2057"/>
              <w:tabs>
                <w:tab w:val="left" w:pos="480"/>
              </w:tabs>
              <w:spacing w:afterLines="0" w:line="240" w:lineRule="atLeast"/>
              <w:ind w:firstLine="0" w:firstLineChars="0"/>
              <w:rPr>
                <w:b/>
                <w:bCs w:val="0"/>
                <w:sz w:val="21"/>
                <w:szCs w:val="21"/>
              </w:rPr>
            </w:pPr>
            <w:r>
              <w:rPr>
                <w:b/>
                <w:bCs w:val="0"/>
                <w:sz w:val="21"/>
                <w:szCs w:val="21"/>
              </w:rPr>
              <w:t>污染防治措施</w:t>
            </w:r>
          </w:p>
        </w:tc>
        <w:tc>
          <w:tcPr>
            <w:tcW w:w="1300" w:type="pct"/>
            <w:gridSpan w:val="2"/>
            <w:vAlign w:val="center"/>
          </w:tcPr>
          <w:p>
            <w:pPr>
              <w:pStyle w:val="2057"/>
              <w:tabs>
                <w:tab w:val="left" w:pos="480"/>
              </w:tabs>
              <w:spacing w:afterLines="0" w:line="240" w:lineRule="atLeast"/>
              <w:ind w:firstLine="0" w:firstLineChars="0"/>
              <w:rPr>
                <w:b/>
                <w:bCs w:val="0"/>
                <w:sz w:val="21"/>
                <w:szCs w:val="21"/>
              </w:rPr>
            </w:pPr>
            <w:r>
              <w:rPr>
                <w:b/>
                <w:bCs w:val="0"/>
                <w:sz w:val="21"/>
                <w:szCs w:val="21"/>
              </w:rPr>
              <w:t>国家污染排放标准</w:t>
            </w:r>
          </w:p>
        </w:tc>
        <w:tc>
          <w:tcPr>
            <w:tcW w:w="746" w:type="pct"/>
            <w:vMerge w:val="restart"/>
            <w:tcBorders>
              <w:bottom w:val="single" w:color="auto" w:sz="12" w:space="0"/>
            </w:tcBorders>
            <w:vAlign w:val="center"/>
          </w:tcPr>
          <w:p>
            <w:pPr>
              <w:pStyle w:val="2057"/>
              <w:tabs>
                <w:tab w:val="left" w:pos="480"/>
              </w:tabs>
              <w:spacing w:afterLines="0" w:line="240" w:lineRule="atLeast"/>
              <w:ind w:firstLine="0" w:firstLineChars="0"/>
              <w:rPr>
                <w:sz w:val="21"/>
                <w:szCs w:val="21"/>
              </w:rPr>
            </w:pPr>
            <w:r>
              <w:rPr>
                <w:b/>
                <w:bCs w:val="0"/>
                <w:sz w:val="21"/>
                <w:szCs w:val="21"/>
              </w:rPr>
              <w:t>年排放量（t/a）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10" w:hRule="atLeast"/>
        </w:trPr>
        <w:tc>
          <w:tcPr>
            <w:tcW w:w="319" w:type="pct"/>
            <w:vMerge w:val="continue"/>
            <w:tcBorders>
              <w:bottom w:val="single" w:color="auto" w:sz="12" w:space="0"/>
            </w:tcBorders>
            <w:vAlign w:val="center"/>
          </w:tcPr>
          <w:p>
            <w:pPr>
              <w:pStyle w:val="2057"/>
              <w:tabs>
                <w:tab w:val="left" w:pos="480"/>
              </w:tabs>
              <w:spacing w:afterLines="0" w:line="240" w:lineRule="atLeast"/>
              <w:ind w:firstLine="0" w:firstLineChars="0"/>
              <w:rPr>
                <w:b/>
                <w:bCs w:val="0"/>
                <w:sz w:val="21"/>
                <w:szCs w:val="21"/>
              </w:rPr>
            </w:pPr>
          </w:p>
        </w:tc>
        <w:tc>
          <w:tcPr>
            <w:tcW w:w="928" w:type="pct"/>
            <w:vMerge w:val="continue"/>
            <w:tcBorders>
              <w:bottom w:val="single" w:color="auto" w:sz="12" w:space="0"/>
            </w:tcBorders>
            <w:vAlign w:val="center"/>
          </w:tcPr>
          <w:p>
            <w:pPr>
              <w:pStyle w:val="2057"/>
              <w:tabs>
                <w:tab w:val="left" w:pos="480"/>
              </w:tabs>
              <w:spacing w:afterLines="0" w:line="240" w:lineRule="atLeast"/>
              <w:ind w:firstLine="0" w:firstLineChars="0"/>
              <w:rPr>
                <w:b/>
                <w:bCs w:val="0"/>
                <w:sz w:val="21"/>
                <w:szCs w:val="21"/>
              </w:rPr>
            </w:pPr>
          </w:p>
        </w:tc>
        <w:tc>
          <w:tcPr>
            <w:tcW w:w="500" w:type="pct"/>
            <w:vMerge w:val="continue"/>
            <w:tcBorders>
              <w:bottom w:val="single" w:color="auto" w:sz="12" w:space="0"/>
            </w:tcBorders>
            <w:vAlign w:val="center"/>
          </w:tcPr>
          <w:p>
            <w:pPr>
              <w:pStyle w:val="2057"/>
              <w:tabs>
                <w:tab w:val="left" w:pos="480"/>
              </w:tabs>
              <w:spacing w:afterLines="0" w:line="240" w:lineRule="atLeast"/>
              <w:ind w:firstLine="0" w:firstLineChars="0"/>
              <w:rPr>
                <w:b/>
                <w:bCs w:val="0"/>
                <w:sz w:val="21"/>
                <w:szCs w:val="21"/>
              </w:rPr>
            </w:pPr>
          </w:p>
        </w:tc>
        <w:tc>
          <w:tcPr>
            <w:tcW w:w="1203" w:type="pct"/>
            <w:vMerge w:val="continue"/>
            <w:tcBorders>
              <w:bottom w:val="single" w:color="auto" w:sz="12" w:space="0"/>
            </w:tcBorders>
            <w:vAlign w:val="center"/>
          </w:tcPr>
          <w:p>
            <w:pPr>
              <w:pStyle w:val="2057"/>
              <w:tabs>
                <w:tab w:val="left" w:pos="480"/>
              </w:tabs>
              <w:spacing w:afterLines="0" w:line="240" w:lineRule="atLeast"/>
              <w:ind w:firstLine="0" w:firstLineChars="0"/>
              <w:rPr>
                <w:b/>
                <w:bCs w:val="0"/>
                <w:sz w:val="21"/>
                <w:szCs w:val="21"/>
              </w:rPr>
            </w:pPr>
          </w:p>
        </w:tc>
        <w:tc>
          <w:tcPr>
            <w:tcW w:w="594" w:type="pct"/>
            <w:tcBorders>
              <w:bottom w:val="single" w:color="auto" w:sz="12" w:space="0"/>
            </w:tcBorders>
            <w:vAlign w:val="center"/>
          </w:tcPr>
          <w:p>
            <w:pPr>
              <w:pStyle w:val="2057"/>
              <w:tabs>
                <w:tab w:val="left" w:pos="480"/>
              </w:tabs>
              <w:spacing w:afterLines="0" w:line="240" w:lineRule="atLeast"/>
              <w:ind w:firstLine="0" w:firstLineChars="0"/>
              <w:rPr>
                <w:b/>
                <w:bCs w:val="0"/>
                <w:sz w:val="21"/>
                <w:szCs w:val="21"/>
              </w:rPr>
            </w:pPr>
            <w:r>
              <w:rPr>
                <w:b/>
                <w:bCs w:val="0"/>
                <w:sz w:val="21"/>
                <w:szCs w:val="21"/>
              </w:rPr>
              <w:t>标准名称</w:t>
            </w:r>
          </w:p>
        </w:tc>
        <w:tc>
          <w:tcPr>
            <w:tcW w:w="706" w:type="pct"/>
            <w:tcBorders>
              <w:bottom w:val="single" w:color="auto" w:sz="12" w:space="0"/>
            </w:tcBorders>
            <w:vAlign w:val="center"/>
          </w:tcPr>
          <w:p>
            <w:pPr>
              <w:pStyle w:val="2057"/>
              <w:tabs>
                <w:tab w:val="left" w:pos="480"/>
              </w:tabs>
              <w:spacing w:afterLines="0" w:line="240" w:lineRule="atLeast"/>
              <w:ind w:firstLine="0" w:firstLineChars="0"/>
              <w:rPr>
                <w:b/>
                <w:bCs w:val="0"/>
                <w:sz w:val="21"/>
                <w:szCs w:val="21"/>
              </w:rPr>
            </w:pPr>
            <w:r>
              <w:rPr>
                <w:b/>
                <w:bCs w:val="0"/>
                <w:sz w:val="21"/>
                <w:szCs w:val="21"/>
              </w:rPr>
              <w:t>浓度限值（mg/m</w:t>
            </w:r>
            <w:r>
              <w:rPr>
                <w:b/>
                <w:bCs w:val="0"/>
                <w:sz w:val="21"/>
                <w:szCs w:val="21"/>
                <w:vertAlign w:val="superscript"/>
              </w:rPr>
              <w:t>3</w:t>
            </w:r>
            <w:r>
              <w:rPr>
                <w:b/>
                <w:bCs w:val="0"/>
                <w:sz w:val="21"/>
                <w:szCs w:val="21"/>
              </w:rPr>
              <w:t>）</w:t>
            </w:r>
          </w:p>
        </w:tc>
        <w:tc>
          <w:tcPr>
            <w:tcW w:w="746" w:type="pct"/>
            <w:vMerge w:val="continue"/>
            <w:tcBorders>
              <w:top w:val="single" w:color="auto" w:sz="12" w:space="0"/>
              <w:bottom w:val="single" w:color="auto" w:sz="12" w:space="0"/>
              <w:tl2br w:val="nil"/>
              <w:tr2bl w:val="nil"/>
            </w:tcBorders>
            <w:vAlign w:val="center"/>
          </w:tcPr>
          <w:p>
            <w:pPr>
              <w:pStyle w:val="2057"/>
              <w:tabs>
                <w:tab w:val="left" w:pos="480"/>
              </w:tabs>
              <w:spacing w:afterLines="0" w:line="240" w:lineRule="atLeast"/>
              <w:ind w:firstLine="0" w:firstLineChars="0"/>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vMerge w:val="restart"/>
            <w:tcBorders>
              <w:top w:val="single" w:color="auto" w:sz="12" w:space="0"/>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1</w:t>
            </w:r>
          </w:p>
        </w:tc>
        <w:tc>
          <w:tcPr>
            <w:tcW w:w="928" w:type="pct"/>
            <w:vMerge w:val="restart"/>
            <w:tcBorders>
              <w:top w:val="single" w:color="auto" w:sz="12" w:space="0"/>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道路扬尘</w:t>
            </w:r>
          </w:p>
        </w:tc>
        <w:tc>
          <w:tcPr>
            <w:tcW w:w="500" w:type="pct"/>
            <w:tcBorders>
              <w:top w:val="single" w:color="auto" w:sz="12" w:space="0"/>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TSP</w:t>
            </w:r>
          </w:p>
        </w:tc>
        <w:tc>
          <w:tcPr>
            <w:tcW w:w="1203" w:type="pct"/>
            <w:vMerge w:val="restart"/>
            <w:tcBorders>
              <w:top w:val="single" w:color="auto" w:sz="12" w:space="0"/>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洒水</w:t>
            </w:r>
          </w:p>
        </w:tc>
        <w:tc>
          <w:tcPr>
            <w:tcW w:w="594" w:type="pct"/>
            <w:vMerge w:val="restart"/>
            <w:tcBorders>
              <w:top w:val="single" w:color="auto" w:sz="12" w:space="0"/>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《大气污染物排放标准》（GB16297-1996）</w:t>
            </w:r>
          </w:p>
        </w:tc>
        <w:tc>
          <w:tcPr>
            <w:tcW w:w="706" w:type="pct"/>
            <w:vMerge w:val="restart"/>
            <w:tcBorders>
              <w:top w:val="single" w:color="auto" w:sz="12" w:space="0"/>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1.0</w:t>
            </w:r>
          </w:p>
        </w:tc>
        <w:tc>
          <w:tcPr>
            <w:tcW w:w="746" w:type="pct"/>
            <w:tcBorders>
              <w:top w:val="single" w:color="auto" w:sz="12" w:space="0"/>
            </w:tcBorders>
            <w:vAlign w:val="center"/>
          </w:tcPr>
          <w:p>
            <w:pPr>
              <w:pStyle w:val="2057"/>
              <w:tabs>
                <w:tab w:val="left" w:pos="480"/>
              </w:tabs>
              <w:spacing w:afterLines="0" w:line="240" w:lineRule="atLeast"/>
              <w:ind w:firstLine="0" w:firstLineChars="0"/>
              <w:rPr>
                <w:sz w:val="21"/>
                <w:szCs w:val="21"/>
              </w:rPr>
            </w:pPr>
            <w:r>
              <w:rPr>
                <w:sz w:val="21"/>
                <w:szCs w:val="21"/>
              </w:rPr>
              <w:t>0.279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928"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PM</w:t>
            </w:r>
            <w:r>
              <w:rPr>
                <w:sz w:val="21"/>
                <w:szCs w:val="21"/>
                <w:vertAlign w:val="subscript"/>
              </w:rPr>
              <w:t>10</w:t>
            </w:r>
          </w:p>
        </w:tc>
        <w:tc>
          <w:tcPr>
            <w:tcW w:w="1203"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vMerge w:val="continue"/>
            <w:tcBorders>
              <w:tl2br w:val="nil"/>
              <w:tr2bl w:val="nil"/>
            </w:tcBorders>
            <w:vAlign w:val="center"/>
          </w:tcPr>
          <w:p>
            <w:pPr>
              <w:pStyle w:val="2057"/>
              <w:tabs>
                <w:tab w:val="left" w:pos="480"/>
              </w:tabs>
              <w:spacing w:after="156" w:line="240" w:lineRule="atLeast"/>
              <w:ind w:firstLine="420"/>
              <w:rPr>
                <w:sz w:val="21"/>
                <w:szCs w:val="21"/>
              </w:rPr>
            </w:pPr>
          </w:p>
        </w:tc>
        <w:tc>
          <w:tcPr>
            <w:tcW w:w="746" w:type="pct"/>
            <w:vAlign w:val="center"/>
          </w:tcPr>
          <w:p>
            <w:pPr>
              <w:pStyle w:val="2057"/>
              <w:tabs>
                <w:tab w:val="left" w:pos="480"/>
              </w:tabs>
              <w:spacing w:afterLines="0" w:line="240" w:lineRule="atLeast"/>
              <w:ind w:firstLine="0" w:firstLineChars="0"/>
              <w:rPr>
                <w:sz w:val="21"/>
                <w:szCs w:val="21"/>
              </w:rPr>
            </w:pPr>
            <w:r>
              <w:rPr>
                <w:sz w:val="21"/>
                <w:szCs w:val="21"/>
              </w:rPr>
              <w:t>0.094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928"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PM</w:t>
            </w:r>
            <w:r>
              <w:rPr>
                <w:sz w:val="21"/>
                <w:szCs w:val="21"/>
                <w:vertAlign w:val="subscript"/>
              </w:rPr>
              <w:t>2.5</w:t>
            </w:r>
          </w:p>
        </w:tc>
        <w:tc>
          <w:tcPr>
            <w:tcW w:w="1203"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46"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0.033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vMerge w:val="restar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2</w:t>
            </w:r>
          </w:p>
        </w:tc>
        <w:tc>
          <w:tcPr>
            <w:tcW w:w="928" w:type="pct"/>
            <w:vMerge w:val="restar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装卸机械和汽车尾气</w:t>
            </w: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S</w:t>
            </w:r>
            <w:r>
              <w:rPr>
                <w:sz w:val="21"/>
                <w:szCs w:val="21"/>
              </w:rPr>
              <w:t>O</w:t>
            </w:r>
            <w:r>
              <w:rPr>
                <w:sz w:val="21"/>
                <w:szCs w:val="21"/>
                <w:vertAlign w:val="subscript"/>
              </w:rPr>
              <w:t>2</w:t>
            </w:r>
          </w:p>
        </w:tc>
        <w:tc>
          <w:tcPr>
            <w:tcW w:w="1203" w:type="pct"/>
            <w:vMerge w:val="restar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洒水抑尘</w:t>
            </w: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0</w:t>
            </w:r>
            <w:r>
              <w:rPr>
                <w:sz w:val="21"/>
                <w:szCs w:val="21"/>
              </w:rPr>
              <w:t>.4</w:t>
            </w:r>
          </w:p>
        </w:tc>
        <w:tc>
          <w:tcPr>
            <w:tcW w:w="746" w:type="pct"/>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rPr>
              <w:t>0.00001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928"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CO</w:t>
            </w:r>
          </w:p>
        </w:tc>
        <w:tc>
          <w:tcPr>
            <w:tcW w:w="1203"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c>
          <w:tcPr>
            <w:tcW w:w="1386" w:type="dxa"/>
            <w:tcBorders>
              <w:tl2br w:val="nil"/>
              <w:tr2bl w:val="nil"/>
            </w:tcBorders>
          </w:tcPr>
          <w:p>
            <w:pPr>
              <w:pStyle w:val="2057"/>
              <w:tabs>
                <w:tab w:val="left" w:pos="480"/>
              </w:tabs>
              <w:spacing w:afterLines="0" w:line="240" w:lineRule="atLeast"/>
              <w:ind w:firstLine="0" w:firstLineChars="0"/>
              <w:rPr>
                <w:sz w:val="21"/>
                <w:szCs w:val="21"/>
              </w:rPr>
            </w:pPr>
            <w:r>
              <w:rPr>
                <w:sz w:val="21"/>
                <w:szCs w:val="21"/>
              </w:rPr>
              <w:t>0.03923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928"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NOx</w:t>
            </w:r>
          </w:p>
        </w:tc>
        <w:tc>
          <w:tcPr>
            <w:tcW w:w="1203"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0</w:t>
            </w:r>
            <w:r>
              <w:rPr>
                <w:sz w:val="21"/>
                <w:szCs w:val="21"/>
              </w:rPr>
              <w:t>.12</w:t>
            </w:r>
          </w:p>
        </w:tc>
        <w:tc>
          <w:tcPr>
            <w:tcW w:w="1386" w:type="dxa"/>
            <w:tcBorders>
              <w:tl2br w:val="nil"/>
              <w:tr2bl w:val="nil"/>
            </w:tcBorders>
          </w:tcPr>
          <w:p>
            <w:pPr>
              <w:pStyle w:val="2057"/>
              <w:tabs>
                <w:tab w:val="left" w:pos="480"/>
              </w:tabs>
              <w:spacing w:afterLines="0" w:line="240" w:lineRule="atLeast"/>
              <w:ind w:firstLine="0" w:firstLineChars="0"/>
              <w:rPr>
                <w:sz w:val="21"/>
                <w:szCs w:val="21"/>
              </w:rPr>
            </w:pPr>
            <w:r>
              <w:rPr>
                <w:sz w:val="21"/>
                <w:szCs w:val="21"/>
              </w:rPr>
              <w:t>0.08418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928"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HC</w:t>
            </w:r>
          </w:p>
        </w:tc>
        <w:tc>
          <w:tcPr>
            <w:tcW w:w="1203"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c>
          <w:tcPr>
            <w:tcW w:w="1386" w:type="dxa"/>
            <w:tcBorders>
              <w:tl2br w:val="nil"/>
              <w:tr2bl w:val="nil"/>
            </w:tcBorders>
          </w:tcPr>
          <w:p>
            <w:pPr>
              <w:pStyle w:val="2057"/>
              <w:tabs>
                <w:tab w:val="left" w:pos="480"/>
              </w:tabs>
              <w:spacing w:afterLines="0" w:line="240" w:lineRule="atLeast"/>
              <w:ind w:firstLine="0" w:firstLineChars="0"/>
              <w:rPr>
                <w:sz w:val="21"/>
                <w:szCs w:val="21"/>
              </w:rPr>
            </w:pPr>
            <w:r>
              <w:rPr>
                <w:sz w:val="21"/>
                <w:szCs w:val="21"/>
              </w:rPr>
              <w:t>0.0023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928"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PM</w:t>
            </w:r>
            <w:r>
              <w:rPr>
                <w:rFonts w:hint="eastAsia"/>
                <w:sz w:val="21"/>
                <w:szCs w:val="21"/>
                <w:vertAlign w:val="subscript"/>
              </w:rPr>
              <w:t>10</w:t>
            </w:r>
          </w:p>
        </w:tc>
        <w:tc>
          <w:tcPr>
            <w:tcW w:w="1203"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vMerge w:val="restar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1</w:t>
            </w:r>
            <w:r>
              <w:rPr>
                <w:sz w:val="21"/>
                <w:szCs w:val="21"/>
              </w:rPr>
              <w:t>.0</w:t>
            </w:r>
          </w:p>
        </w:tc>
        <w:tc>
          <w:tcPr>
            <w:tcW w:w="1386" w:type="dxa"/>
            <w:tcBorders>
              <w:tl2br w:val="nil"/>
              <w:tr2bl w:val="nil"/>
            </w:tcBorders>
          </w:tcPr>
          <w:p>
            <w:pPr>
              <w:pStyle w:val="2057"/>
              <w:tabs>
                <w:tab w:val="left" w:pos="480"/>
              </w:tabs>
              <w:spacing w:afterLines="0" w:line="240" w:lineRule="atLeast"/>
              <w:ind w:firstLine="0" w:firstLineChars="0"/>
              <w:rPr>
                <w:sz w:val="21"/>
                <w:szCs w:val="21"/>
              </w:rPr>
            </w:pPr>
            <w:r>
              <w:rPr>
                <w:sz w:val="21"/>
                <w:szCs w:val="21"/>
              </w:rPr>
              <w:t>0.00053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928"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PM</w:t>
            </w:r>
            <w:r>
              <w:rPr>
                <w:rFonts w:hint="eastAsia"/>
                <w:sz w:val="21"/>
                <w:szCs w:val="21"/>
                <w:vertAlign w:val="subscript"/>
              </w:rPr>
              <w:t>2.5</w:t>
            </w:r>
          </w:p>
        </w:tc>
        <w:tc>
          <w:tcPr>
            <w:tcW w:w="1203"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1386" w:type="dxa"/>
            <w:tcBorders>
              <w:tl2br w:val="nil"/>
              <w:tr2bl w:val="nil"/>
            </w:tcBorders>
          </w:tcPr>
          <w:p>
            <w:pPr>
              <w:pStyle w:val="2057"/>
              <w:tabs>
                <w:tab w:val="left" w:pos="480"/>
              </w:tabs>
              <w:spacing w:afterLines="0" w:line="240" w:lineRule="atLeast"/>
              <w:ind w:firstLine="0" w:firstLineChars="0"/>
              <w:rPr>
                <w:sz w:val="21"/>
                <w:szCs w:val="21"/>
              </w:rPr>
            </w:pPr>
            <w:r>
              <w:rPr>
                <w:sz w:val="21"/>
                <w:szCs w:val="21"/>
              </w:rPr>
              <w:t>0.00016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3</w:t>
            </w:r>
          </w:p>
        </w:tc>
        <w:tc>
          <w:tcPr>
            <w:tcW w:w="92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1</w:t>
            </w:r>
            <w:r>
              <w:rPr>
                <w:sz w:val="21"/>
                <w:szCs w:val="21"/>
              </w:rPr>
              <w:t>#</w:t>
            </w:r>
            <w:r>
              <w:rPr>
                <w:rFonts w:hint="eastAsia"/>
                <w:sz w:val="21"/>
                <w:szCs w:val="21"/>
              </w:rPr>
              <w:t>泊位</w:t>
            </w:r>
            <w:r>
              <w:rPr>
                <w:sz w:val="21"/>
                <w:szCs w:val="21"/>
              </w:rPr>
              <w:t>装卸起尘</w:t>
            </w: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TSP</w:t>
            </w:r>
          </w:p>
        </w:tc>
        <w:tc>
          <w:tcPr>
            <w:tcW w:w="1203"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封闭廊道+雾式除尘+前端伸缩溜筒</w:t>
            </w: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1</w:t>
            </w:r>
            <w:r>
              <w:rPr>
                <w:sz w:val="21"/>
                <w:szCs w:val="21"/>
              </w:rPr>
              <w:t>.0</w:t>
            </w:r>
          </w:p>
        </w:tc>
        <w:tc>
          <w:tcPr>
            <w:tcW w:w="1386" w:type="dxa"/>
            <w:tcBorders>
              <w:tl2br w:val="nil"/>
              <w:tr2bl w:val="nil"/>
            </w:tcBorders>
            <w:vAlign w:val="center"/>
          </w:tcPr>
          <w:p>
            <w:pPr>
              <w:widowControl/>
              <w:tabs>
                <w:tab w:val="clear" w:pos="480"/>
              </w:tabs>
              <w:spacing w:line="240" w:lineRule="auto"/>
              <w:ind w:firstLine="0" w:firstLineChars="0"/>
              <w:jc w:val="center"/>
              <w:rPr>
                <w:sz w:val="21"/>
                <w:szCs w:val="21"/>
              </w:rPr>
            </w:pPr>
            <w:r>
              <w:rPr>
                <w:rFonts w:hint="eastAsia"/>
                <w:color w:val="000000"/>
                <w:sz w:val="22"/>
                <w:szCs w:val="22"/>
              </w:rPr>
              <w:t xml:space="preserve">0.463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4</w:t>
            </w:r>
          </w:p>
        </w:tc>
        <w:tc>
          <w:tcPr>
            <w:tcW w:w="928"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2#</w:t>
            </w:r>
            <w:r>
              <w:rPr>
                <w:rFonts w:hint="eastAsia"/>
                <w:sz w:val="21"/>
                <w:szCs w:val="21"/>
              </w:rPr>
              <w:t>泊位</w:t>
            </w:r>
            <w:r>
              <w:rPr>
                <w:sz w:val="21"/>
                <w:szCs w:val="21"/>
              </w:rPr>
              <w:t>装卸起尘</w:t>
            </w: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TSP</w:t>
            </w:r>
          </w:p>
        </w:tc>
        <w:tc>
          <w:tcPr>
            <w:tcW w:w="1203" w:type="pct"/>
            <w:vMerge w:val="restar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喷雾抑尘装置+炮雾机</w:t>
            </w: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1.0</w:t>
            </w:r>
          </w:p>
        </w:tc>
        <w:tc>
          <w:tcPr>
            <w:tcW w:w="1386" w:type="dxa"/>
            <w:tcBorders>
              <w:tl2br w:val="nil"/>
              <w:tr2bl w:val="nil"/>
            </w:tcBorders>
            <w:vAlign w:val="center"/>
          </w:tcPr>
          <w:p>
            <w:pPr>
              <w:widowControl/>
              <w:tabs>
                <w:tab w:val="clear" w:pos="480"/>
              </w:tabs>
              <w:spacing w:line="240" w:lineRule="auto"/>
              <w:ind w:firstLine="0" w:firstLineChars="0"/>
              <w:jc w:val="center"/>
              <w:rPr>
                <w:sz w:val="21"/>
                <w:szCs w:val="21"/>
              </w:rPr>
            </w:pPr>
            <w:r>
              <w:rPr>
                <w:rFonts w:hint="eastAsia"/>
                <w:color w:val="000000"/>
                <w:sz w:val="22"/>
                <w:szCs w:val="22"/>
              </w:rPr>
              <w:t xml:space="preserve">1.930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5</w:t>
            </w:r>
          </w:p>
        </w:tc>
        <w:tc>
          <w:tcPr>
            <w:tcW w:w="928"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3#</w:t>
            </w:r>
            <w:r>
              <w:rPr>
                <w:rFonts w:hint="eastAsia"/>
                <w:sz w:val="21"/>
                <w:szCs w:val="21"/>
              </w:rPr>
              <w:t>泊位</w:t>
            </w:r>
            <w:r>
              <w:rPr>
                <w:sz w:val="21"/>
                <w:szCs w:val="21"/>
              </w:rPr>
              <w:t>装卸起尘</w:t>
            </w: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TSP</w:t>
            </w:r>
          </w:p>
        </w:tc>
        <w:tc>
          <w:tcPr>
            <w:tcW w:w="1203"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1.0</w:t>
            </w:r>
          </w:p>
        </w:tc>
        <w:tc>
          <w:tcPr>
            <w:tcW w:w="1386" w:type="dxa"/>
            <w:tcBorders>
              <w:tl2br w:val="nil"/>
              <w:tr2bl w:val="nil"/>
            </w:tcBorders>
            <w:vAlign w:val="center"/>
          </w:tcPr>
          <w:p>
            <w:pPr>
              <w:widowControl/>
              <w:tabs>
                <w:tab w:val="clear" w:pos="480"/>
              </w:tabs>
              <w:spacing w:line="240" w:lineRule="auto"/>
              <w:ind w:firstLine="0" w:firstLineChars="0"/>
              <w:jc w:val="center"/>
              <w:rPr>
                <w:sz w:val="21"/>
                <w:szCs w:val="21"/>
              </w:rPr>
            </w:pPr>
            <w:r>
              <w:rPr>
                <w:rFonts w:hint="eastAsia"/>
                <w:color w:val="000000"/>
                <w:sz w:val="22"/>
                <w:szCs w:val="22"/>
              </w:rPr>
              <w:t xml:space="preserve">1.930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6</w:t>
            </w:r>
          </w:p>
        </w:tc>
        <w:tc>
          <w:tcPr>
            <w:tcW w:w="928" w:type="pct"/>
            <w:tcBorders>
              <w:tl2br w:val="nil"/>
              <w:tr2bl w:val="nil"/>
            </w:tcBorders>
          </w:tcPr>
          <w:p>
            <w:pPr>
              <w:pStyle w:val="2057"/>
              <w:tabs>
                <w:tab w:val="left" w:pos="480"/>
              </w:tabs>
              <w:spacing w:afterLines="0" w:line="240" w:lineRule="atLeast"/>
              <w:ind w:firstLine="0" w:firstLineChars="0"/>
              <w:rPr>
                <w:sz w:val="21"/>
                <w:szCs w:val="21"/>
              </w:rPr>
            </w:pPr>
            <w:r>
              <w:rPr>
                <w:sz w:val="21"/>
                <w:szCs w:val="21"/>
              </w:rPr>
              <w:t>4#</w:t>
            </w:r>
            <w:r>
              <w:rPr>
                <w:rFonts w:hint="eastAsia"/>
                <w:sz w:val="21"/>
                <w:szCs w:val="21"/>
              </w:rPr>
              <w:t>泊位</w:t>
            </w:r>
            <w:r>
              <w:rPr>
                <w:sz w:val="21"/>
                <w:szCs w:val="21"/>
              </w:rPr>
              <w:t>装卸起尘</w:t>
            </w: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TSP</w:t>
            </w:r>
          </w:p>
        </w:tc>
        <w:tc>
          <w:tcPr>
            <w:tcW w:w="1203"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1.0</w:t>
            </w:r>
          </w:p>
        </w:tc>
        <w:tc>
          <w:tcPr>
            <w:tcW w:w="1386" w:type="dxa"/>
            <w:tcBorders>
              <w:tl2br w:val="nil"/>
              <w:tr2bl w:val="nil"/>
            </w:tcBorders>
            <w:vAlign w:val="center"/>
          </w:tcPr>
          <w:p>
            <w:pPr>
              <w:widowControl/>
              <w:tabs>
                <w:tab w:val="clear" w:pos="480"/>
              </w:tabs>
              <w:spacing w:line="240" w:lineRule="auto"/>
              <w:ind w:firstLine="0" w:firstLineChars="0"/>
              <w:jc w:val="center"/>
              <w:rPr>
                <w:sz w:val="21"/>
                <w:szCs w:val="21"/>
              </w:rPr>
            </w:pPr>
            <w:r>
              <w:rPr>
                <w:rFonts w:hint="eastAsia"/>
                <w:color w:val="000000"/>
                <w:sz w:val="22"/>
                <w:szCs w:val="22"/>
              </w:rPr>
              <w:t xml:space="preserve">1.172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7</w:t>
            </w:r>
          </w:p>
        </w:tc>
        <w:tc>
          <w:tcPr>
            <w:tcW w:w="928"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5#</w:t>
            </w:r>
            <w:r>
              <w:rPr>
                <w:rFonts w:hint="eastAsia"/>
                <w:sz w:val="21"/>
                <w:szCs w:val="21"/>
              </w:rPr>
              <w:t>泊位</w:t>
            </w:r>
            <w:r>
              <w:rPr>
                <w:sz w:val="21"/>
                <w:szCs w:val="21"/>
              </w:rPr>
              <w:t>装卸起尘</w:t>
            </w: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TSP</w:t>
            </w:r>
          </w:p>
        </w:tc>
        <w:tc>
          <w:tcPr>
            <w:tcW w:w="1203"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螺旋卸船机+负压收集+控制船舱敞口面积</w:t>
            </w: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1.0</w:t>
            </w:r>
          </w:p>
        </w:tc>
        <w:tc>
          <w:tcPr>
            <w:tcW w:w="1386" w:type="dxa"/>
            <w:tcBorders>
              <w:tl2br w:val="nil"/>
              <w:tr2bl w:val="nil"/>
            </w:tcBorders>
            <w:vAlign w:val="center"/>
          </w:tcPr>
          <w:p>
            <w:pPr>
              <w:widowControl/>
              <w:tabs>
                <w:tab w:val="clear" w:pos="480"/>
              </w:tabs>
              <w:spacing w:line="240" w:lineRule="auto"/>
              <w:ind w:firstLine="0" w:firstLineChars="0"/>
              <w:jc w:val="center"/>
              <w:rPr>
                <w:sz w:val="21"/>
                <w:szCs w:val="21"/>
              </w:rPr>
            </w:pPr>
            <w:r>
              <w:rPr>
                <w:rFonts w:hint="eastAsia"/>
                <w:color w:val="000000"/>
                <w:sz w:val="22"/>
                <w:szCs w:val="22"/>
              </w:rPr>
              <w:t xml:space="preserve">1.287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8</w:t>
            </w:r>
          </w:p>
        </w:tc>
        <w:tc>
          <w:tcPr>
            <w:tcW w:w="928"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6#</w:t>
            </w:r>
            <w:r>
              <w:rPr>
                <w:rFonts w:hint="eastAsia"/>
                <w:sz w:val="21"/>
                <w:szCs w:val="21"/>
              </w:rPr>
              <w:t>泊位</w:t>
            </w:r>
            <w:r>
              <w:rPr>
                <w:sz w:val="21"/>
                <w:szCs w:val="21"/>
              </w:rPr>
              <w:t>装卸起尘</w:t>
            </w: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TSP</w:t>
            </w:r>
          </w:p>
        </w:tc>
        <w:tc>
          <w:tcPr>
            <w:tcW w:w="1203"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喷雾抑尘装置+炮雾机</w:t>
            </w: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1.0</w:t>
            </w:r>
          </w:p>
        </w:tc>
        <w:tc>
          <w:tcPr>
            <w:tcW w:w="1386" w:type="dxa"/>
            <w:tcBorders>
              <w:tl2br w:val="nil"/>
              <w:tr2bl w:val="nil"/>
            </w:tcBorders>
            <w:vAlign w:val="center"/>
          </w:tcPr>
          <w:p>
            <w:pPr>
              <w:widowControl/>
              <w:tabs>
                <w:tab w:val="clear" w:pos="480"/>
              </w:tabs>
              <w:spacing w:line="240" w:lineRule="auto"/>
              <w:ind w:firstLine="0" w:firstLineChars="0"/>
              <w:jc w:val="center"/>
              <w:rPr>
                <w:sz w:val="21"/>
                <w:szCs w:val="21"/>
              </w:rPr>
            </w:pPr>
            <w:r>
              <w:rPr>
                <w:rFonts w:hint="eastAsia"/>
                <w:color w:val="000000"/>
                <w:sz w:val="22"/>
                <w:szCs w:val="22"/>
              </w:rPr>
              <w:t xml:space="preserve">0.515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9</w:t>
            </w:r>
          </w:p>
        </w:tc>
        <w:tc>
          <w:tcPr>
            <w:tcW w:w="92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卸车料棚自卸车起尘</w:t>
            </w: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TSP</w:t>
            </w:r>
          </w:p>
        </w:tc>
        <w:tc>
          <w:tcPr>
            <w:tcW w:w="1203"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全封闭、雾化除尘</w:t>
            </w: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1.0</w:t>
            </w:r>
          </w:p>
        </w:tc>
        <w:tc>
          <w:tcPr>
            <w:tcW w:w="1386" w:type="dxa"/>
            <w:tcBorders>
              <w:tl2br w:val="nil"/>
              <w:tr2bl w:val="nil"/>
            </w:tcBorders>
            <w:vAlign w:val="center"/>
          </w:tcPr>
          <w:p>
            <w:pPr>
              <w:widowControl/>
              <w:tabs>
                <w:tab w:val="clear" w:pos="480"/>
              </w:tabs>
              <w:spacing w:line="240" w:lineRule="auto"/>
              <w:ind w:firstLine="0" w:firstLineChars="0"/>
              <w:jc w:val="center"/>
              <w:rPr>
                <w:sz w:val="21"/>
                <w:szCs w:val="21"/>
              </w:rPr>
            </w:pPr>
            <w:r>
              <w:rPr>
                <w:rFonts w:hint="eastAsia"/>
                <w:color w:val="000000"/>
                <w:sz w:val="22"/>
                <w:szCs w:val="22"/>
              </w:rPr>
              <w:t xml:space="preserve">0.463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49" w:type="pct"/>
            <w:gridSpan w:val="3"/>
            <w:vMerge w:val="restar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无组织排放总计</w:t>
            </w:r>
          </w:p>
        </w:tc>
        <w:tc>
          <w:tcPr>
            <w:tcW w:w="2504" w:type="pct"/>
            <w:gridSpan w:val="3"/>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TSP</w:t>
            </w:r>
          </w:p>
        </w:tc>
        <w:tc>
          <w:tcPr>
            <w:tcW w:w="746"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8.039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49" w:type="pct"/>
            <w:gridSpan w:val="3"/>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2504" w:type="pct"/>
            <w:gridSpan w:val="3"/>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PM</w:t>
            </w:r>
            <w:r>
              <w:rPr>
                <w:sz w:val="21"/>
                <w:szCs w:val="21"/>
                <w:vertAlign w:val="subscript"/>
              </w:rPr>
              <w:t>10</w:t>
            </w:r>
          </w:p>
        </w:tc>
        <w:tc>
          <w:tcPr>
            <w:tcW w:w="746"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0.095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49" w:type="pct"/>
            <w:gridSpan w:val="3"/>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2504" w:type="pct"/>
            <w:gridSpan w:val="3"/>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PM</w:t>
            </w:r>
            <w:r>
              <w:rPr>
                <w:sz w:val="21"/>
                <w:szCs w:val="21"/>
                <w:vertAlign w:val="subscript"/>
              </w:rPr>
              <w:t>2.5</w:t>
            </w:r>
          </w:p>
        </w:tc>
        <w:tc>
          <w:tcPr>
            <w:tcW w:w="746"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0.0</w:t>
            </w:r>
            <w:r>
              <w:rPr>
                <w:rFonts w:hint="eastAsia"/>
                <w:sz w:val="21"/>
                <w:szCs w:val="21"/>
              </w:rPr>
              <w:t>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49" w:type="pct"/>
            <w:gridSpan w:val="3"/>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2504" w:type="pct"/>
            <w:gridSpan w:val="3"/>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S</w:t>
            </w:r>
            <w:r>
              <w:rPr>
                <w:sz w:val="21"/>
                <w:szCs w:val="21"/>
              </w:rPr>
              <w:t>O</w:t>
            </w:r>
            <w:r>
              <w:rPr>
                <w:sz w:val="21"/>
                <w:szCs w:val="21"/>
                <w:vertAlign w:val="subscript"/>
              </w:rPr>
              <w:t>2</w:t>
            </w:r>
          </w:p>
        </w:tc>
        <w:tc>
          <w:tcPr>
            <w:tcW w:w="746"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0.001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49" w:type="pct"/>
            <w:gridSpan w:val="3"/>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2504" w:type="pct"/>
            <w:gridSpan w:val="3"/>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CO</w:t>
            </w:r>
          </w:p>
        </w:tc>
        <w:tc>
          <w:tcPr>
            <w:tcW w:w="746"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eastAsia="等线"/>
                <w:color w:val="000000"/>
                <w:sz w:val="21"/>
                <w:szCs w:val="21"/>
              </w:rPr>
              <w:t>0.039</w:t>
            </w:r>
            <w:r>
              <w:rPr>
                <w:rFonts w:eastAsia="等线"/>
                <w:color w:val="000000"/>
                <w:sz w:val="21"/>
                <w:szCs w:val="21"/>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49" w:type="pct"/>
            <w:gridSpan w:val="3"/>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2504" w:type="pct"/>
            <w:gridSpan w:val="3"/>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NOx</w:t>
            </w:r>
          </w:p>
        </w:tc>
        <w:tc>
          <w:tcPr>
            <w:tcW w:w="746"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eastAsia="等线"/>
                <w:color w:val="000000"/>
                <w:sz w:val="21"/>
                <w:szCs w:val="21"/>
              </w:rPr>
              <w:t>0.084</w:t>
            </w:r>
            <w:r>
              <w:rPr>
                <w:rFonts w:eastAsia="等线"/>
                <w:color w:val="000000"/>
                <w:sz w:val="21"/>
                <w:szCs w:val="21"/>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49" w:type="pct"/>
            <w:gridSpan w:val="3"/>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2504" w:type="pct"/>
            <w:gridSpan w:val="3"/>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HC</w:t>
            </w:r>
          </w:p>
        </w:tc>
        <w:tc>
          <w:tcPr>
            <w:tcW w:w="746"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eastAsia="等线"/>
                <w:color w:val="000000"/>
                <w:sz w:val="21"/>
                <w:szCs w:val="21"/>
              </w:rPr>
              <w:t>0.023</w:t>
            </w:r>
          </w:p>
        </w:tc>
      </w:tr>
    </w:tbl>
    <w:p>
      <w:pPr>
        <w:pStyle w:val="2285"/>
        <w:ind w:left="0"/>
      </w:pPr>
      <w:r>
        <w:rPr>
          <w:rFonts w:hint="eastAsia"/>
        </w:rPr>
        <w:t>大气污染物</w:t>
      </w:r>
      <w:r>
        <w:rPr>
          <w:rFonts w:hint="eastAsia" w:cs="Times New Roman"/>
          <w:bCs/>
        </w:rPr>
        <w:t>有</w:t>
      </w:r>
      <w:r>
        <w:rPr>
          <w:rFonts w:hint="eastAsia"/>
        </w:rPr>
        <w:t>组织</w:t>
      </w:r>
      <w:r>
        <w:rPr>
          <w:rFonts w:hint="eastAsia" w:cs="Times New Roman"/>
          <w:bCs/>
        </w:rPr>
        <w:t>排放量</w:t>
      </w:r>
      <w:r>
        <w:rPr>
          <w:rFonts w:hint="eastAsia"/>
        </w:rPr>
        <w:t>核算表</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74"/>
        <w:gridCol w:w="1902"/>
        <w:gridCol w:w="1582"/>
        <w:gridCol w:w="1683"/>
        <w:gridCol w:w="1675"/>
        <w:gridCol w:w="19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5" w:type="pct"/>
            <w:tcBorders>
              <w:bottom w:val="single" w:color="auto" w:sz="12" w:space="0"/>
            </w:tcBorders>
            <w:vAlign w:val="center"/>
          </w:tcPr>
          <w:p>
            <w:pPr>
              <w:pStyle w:val="2057"/>
              <w:spacing w:afterLines="0" w:line="240" w:lineRule="atLeast"/>
              <w:ind w:firstLine="0" w:firstLineChars="0"/>
              <w:rPr>
                <w:b/>
                <w:bCs w:val="0"/>
                <w:sz w:val="21"/>
                <w:szCs w:val="21"/>
              </w:rPr>
            </w:pPr>
            <w:r>
              <w:rPr>
                <w:b/>
                <w:bCs w:val="0"/>
                <w:sz w:val="21"/>
                <w:szCs w:val="21"/>
              </w:rPr>
              <w:t>序号</w:t>
            </w:r>
          </w:p>
        </w:tc>
        <w:tc>
          <w:tcPr>
            <w:tcW w:w="1024" w:type="pct"/>
            <w:tcBorders>
              <w:bottom w:val="single" w:color="auto" w:sz="12" w:space="0"/>
            </w:tcBorders>
            <w:vAlign w:val="center"/>
          </w:tcPr>
          <w:p>
            <w:pPr>
              <w:pStyle w:val="2057"/>
              <w:spacing w:afterLines="0" w:line="240" w:lineRule="atLeast"/>
              <w:ind w:firstLine="0" w:firstLineChars="0"/>
              <w:rPr>
                <w:b/>
                <w:bCs w:val="0"/>
                <w:sz w:val="21"/>
                <w:szCs w:val="21"/>
              </w:rPr>
            </w:pPr>
            <w:r>
              <w:rPr>
                <w:b/>
                <w:bCs w:val="0"/>
                <w:sz w:val="21"/>
                <w:szCs w:val="21"/>
              </w:rPr>
              <w:t>排放口编号</w:t>
            </w:r>
          </w:p>
        </w:tc>
        <w:tc>
          <w:tcPr>
            <w:tcW w:w="852" w:type="pct"/>
            <w:tcBorders>
              <w:bottom w:val="single" w:color="auto" w:sz="12" w:space="0"/>
            </w:tcBorders>
            <w:vAlign w:val="center"/>
          </w:tcPr>
          <w:p>
            <w:pPr>
              <w:pStyle w:val="2057"/>
              <w:spacing w:afterLines="0" w:line="240" w:lineRule="atLeast"/>
              <w:ind w:firstLine="0" w:firstLineChars="0"/>
              <w:rPr>
                <w:b/>
                <w:bCs w:val="0"/>
                <w:sz w:val="21"/>
                <w:szCs w:val="21"/>
              </w:rPr>
            </w:pPr>
            <w:r>
              <w:rPr>
                <w:b/>
                <w:bCs w:val="0"/>
                <w:sz w:val="21"/>
                <w:szCs w:val="21"/>
              </w:rPr>
              <w:t>污染物</w:t>
            </w:r>
          </w:p>
        </w:tc>
        <w:tc>
          <w:tcPr>
            <w:tcW w:w="906" w:type="pct"/>
            <w:tcBorders>
              <w:bottom w:val="single" w:color="auto" w:sz="12" w:space="0"/>
            </w:tcBorders>
            <w:vAlign w:val="center"/>
          </w:tcPr>
          <w:p>
            <w:pPr>
              <w:pStyle w:val="2057"/>
              <w:spacing w:afterLines="0" w:line="240" w:lineRule="atLeast"/>
              <w:ind w:firstLine="0" w:firstLineChars="0"/>
              <w:rPr>
                <w:b/>
                <w:bCs w:val="0"/>
                <w:sz w:val="21"/>
                <w:szCs w:val="21"/>
              </w:rPr>
            </w:pPr>
            <w:r>
              <w:rPr>
                <w:b/>
                <w:bCs w:val="0"/>
                <w:sz w:val="21"/>
                <w:szCs w:val="21"/>
              </w:rPr>
              <w:t>核算排放浓度(mg/m</w:t>
            </w:r>
            <w:r>
              <w:rPr>
                <w:b/>
                <w:bCs w:val="0"/>
                <w:sz w:val="21"/>
                <w:szCs w:val="21"/>
                <w:vertAlign w:val="superscript"/>
              </w:rPr>
              <w:t>3</w:t>
            </w:r>
            <w:r>
              <w:rPr>
                <w:b/>
                <w:bCs w:val="0"/>
                <w:sz w:val="21"/>
                <w:szCs w:val="21"/>
              </w:rPr>
              <w:t>)</w:t>
            </w:r>
          </w:p>
        </w:tc>
        <w:tc>
          <w:tcPr>
            <w:tcW w:w="900" w:type="pct"/>
            <w:tcBorders>
              <w:bottom w:val="single" w:color="auto" w:sz="12" w:space="0"/>
            </w:tcBorders>
            <w:vAlign w:val="center"/>
          </w:tcPr>
          <w:p>
            <w:pPr>
              <w:pStyle w:val="2057"/>
              <w:spacing w:afterLines="0" w:line="240" w:lineRule="atLeast"/>
              <w:ind w:firstLine="0" w:firstLineChars="0"/>
              <w:rPr>
                <w:b/>
                <w:bCs w:val="0"/>
                <w:sz w:val="21"/>
                <w:szCs w:val="21"/>
              </w:rPr>
            </w:pPr>
            <w:r>
              <w:rPr>
                <w:b/>
                <w:bCs w:val="0"/>
                <w:sz w:val="21"/>
                <w:szCs w:val="21"/>
              </w:rPr>
              <w:t>核算排放速率（kg/h）</w:t>
            </w:r>
          </w:p>
        </w:tc>
        <w:tc>
          <w:tcPr>
            <w:tcW w:w="1059" w:type="pct"/>
            <w:tcBorders>
              <w:bottom w:val="single" w:color="auto" w:sz="12" w:space="0"/>
            </w:tcBorders>
            <w:vAlign w:val="center"/>
          </w:tcPr>
          <w:p>
            <w:pPr>
              <w:pStyle w:val="2057"/>
              <w:spacing w:afterLines="0" w:line="240" w:lineRule="atLeast"/>
              <w:ind w:firstLine="0" w:firstLineChars="0"/>
              <w:rPr>
                <w:b/>
                <w:bCs w:val="0"/>
                <w:sz w:val="21"/>
                <w:szCs w:val="21"/>
              </w:rPr>
            </w:pPr>
            <w:r>
              <w:rPr>
                <w:b/>
                <w:bCs w:val="0"/>
                <w:sz w:val="21"/>
                <w:szCs w:val="21"/>
              </w:rPr>
              <w:t>核算年排放量（t/a）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op w:val="single" w:color="auto" w:sz="12" w:space="0"/>
              <w:tl2br w:val="nil"/>
              <w:tr2bl w:val="nil"/>
            </w:tcBorders>
            <w:vAlign w:val="center"/>
          </w:tcPr>
          <w:p>
            <w:pPr>
              <w:pStyle w:val="2057"/>
              <w:spacing w:afterLines="0" w:line="240" w:lineRule="atLeast"/>
              <w:ind w:firstLine="0" w:firstLineChars="0"/>
              <w:rPr>
                <w:sz w:val="21"/>
                <w:szCs w:val="21"/>
              </w:rPr>
            </w:pPr>
            <w:r>
              <w:rPr>
                <w:sz w:val="21"/>
                <w:szCs w:val="21"/>
              </w:rPr>
              <w:t>有组织排放口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5" w:type="pct"/>
            <w:tcBorders>
              <w:tl2br w:val="nil"/>
              <w:tr2bl w:val="nil"/>
            </w:tcBorders>
            <w:vAlign w:val="center"/>
          </w:tcPr>
          <w:p>
            <w:pPr>
              <w:pStyle w:val="2057"/>
              <w:spacing w:afterLines="0" w:line="240" w:lineRule="atLeast"/>
              <w:ind w:firstLine="0" w:firstLineChars="0"/>
              <w:rPr>
                <w:sz w:val="21"/>
                <w:szCs w:val="21"/>
              </w:rPr>
            </w:pPr>
            <w:r>
              <w:rPr>
                <w:sz w:val="21"/>
                <w:szCs w:val="21"/>
              </w:rPr>
              <w:t>1</w:t>
            </w:r>
          </w:p>
        </w:tc>
        <w:tc>
          <w:tcPr>
            <w:tcW w:w="1024" w:type="pct"/>
            <w:tcBorders>
              <w:tl2br w:val="nil"/>
              <w:tr2bl w:val="nil"/>
            </w:tcBorders>
            <w:vAlign w:val="center"/>
          </w:tcPr>
          <w:p>
            <w:pPr>
              <w:pStyle w:val="2057"/>
              <w:spacing w:afterLines="0" w:line="240" w:lineRule="atLeast"/>
              <w:ind w:firstLine="0" w:firstLineChars="0"/>
              <w:rPr>
                <w:sz w:val="21"/>
                <w:szCs w:val="21"/>
              </w:rPr>
            </w:pPr>
            <w:r>
              <w:rPr>
                <w:sz w:val="21"/>
                <w:szCs w:val="21"/>
              </w:rPr>
              <w:t>排气筒（DA001）</w:t>
            </w:r>
          </w:p>
        </w:tc>
        <w:tc>
          <w:tcPr>
            <w:tcW w:w="852" w:type="pct"/>
            <w:tcBorders>
              <w:tl2br w:val="nil"/>
              <w:tr2bl w:val="nil"/>
            </w:tcBorders>
            <w:vAlign w:val="center"/>
          </w:tcPr>
          <w:p>
            <w:pPr>
              <w:pStyle w:val="2057"/>
              <w:spacing w:afterLines="0" w:line="240" w:lineRule="atLeast"/>
              <w:ind w:firstLine="0" w:firstLineChars="0"/>
              <w:rPr>
                <w:sz w:val="21"/>
                <w:szCs w:val="21"/>
              </w:rPr>
            </w:pPr>
            <w:r>
              <w:rPr>
                <w:rFonts w:hint="eastAsia"/>
                <w:sz w:val="21"/>
                <w:szCs w:val="21"/>
              </w:rPr>
              <w:t>食堂油烟</w:t>
            </w:r>
          </w:p>
        </w:tc>
        <w:tc>
          <w:tcPr>
            <w:tcW w:w="906" w:type="pct"/>
            <w:tcBorders>
              <w:tl2br w:val="nil"/>
              <w:tr2bl w:val="nil"/>
            </w:tcBorders>
            <w:vAlign w:val="center"/>
          </w:tcPr>
          <w:p>
            <w:pPr>
              <w:pStyle w:val="2057"/>
              <w:spacing w:afterLines="0" w:line="240" w:lineRule="atLeast"/>
              <w:ind w:firstLine="0" w:firstLineChars="0"/>
              <w:rPr>
                <w:sz w:val="21"/>
                <w:szCs w:val="21"/>
              </w:rPr>
            </w:pPr>
            <w:r>
              <w:rPr>
                <w:sz w:val="21"/>
                <w:szCs w:val="21"/>
              </w:rPr>
              <w:t>0.00125</w:t>
            </w:r>
          </w:p>
        </w:tc>
        <w:tc>
          <w:tcPr>
            <w:tcW w:w="900" w:type="pct"/>
            <w:tcBorders>
              <w:tl2br w:val="nil"/>
              <w:tr2bl w:val="nil"/>
            </w:tcBorders>
            <w:vAlign w:val="center"/>
          </w:tcPr>
          <w:p>
            <w:pPr>
              <w:pStyle w:val="2057"/>
              <w:spacing w:afterLines="0" w:line="240" w:lineRule="atLeast"/>
              <w:ind w:firstLine="0" w:firstLineChars="0"/>
              <w:rPr>
                <w:sz w:val="21"/>
                <w:szCs w:val="21"/>
              </w:rPr>
            </w:pPr>
            <w:r>
              <w:rPr>
                <w:rFonts w:hint="eastAsia"/>
                <w:sz w:val="21"/>
                <w:szCs w:val="21"/>
              </w:rPr>
              <w:t>0.</w:t>
            </w:r>
            <w:r>
              <w:rPr>
                <w:sz w:val="21"/>
                <w:szCs w:val="21"/>
              </w:rPr>
              <w:t>031</w:t>
            </w:r>
          </w:p>
        </w:tc>
        <w:tc>
          <w:tcPr>
            <w:tcW w:w="1059" w:type="pct"/>
            <w:tcBorders>
              <w:tl2br w:val="nil"/>
              <w:tr2bl w:val="nil"/>
            </w:tcBorders>
            <w:vAlign w:val="center"/>
          </w:tcPr>
          <w:p>
            <w:pPr>
              <w:pStyle w:val="2057"/>
              <w:spacing w:afterLines="0" w:line="240" w:lineRule="atLeast"/>
              <w:ind w:firstLine="0" w:firstLineChars="0"/>
              <w:rPr>
                <w:sz w:val="21"/>
                <w:szCs w:val="21"/>
              </w:rPr>
            </w:pPr>
            <w:r>
              <w:rPr>
                <w:sz w:val="21"/>
                <w:szCs w:val="21"/>
              </w:rPr>
              <w:t>0.04653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vAlign w:val="center"/>
          </w:tcPr>
          <w:p>
            <w:pPr>
              <w:pStyle w:val="2057"/>
              <w:spacing w:afterLines="0" w:line="240" w:lineRule="atLeast"/>
              <w:ind w:firstLine="0" w:firstLineChars="0"/>
              <w:rPr>
                <w:sz w:val="21"/>
                <w:szCs w:val="21"/>
              </w:rPr>
            </w:pPr>
            <w:r>
              <w:rPr>
                <w:sz w:val="21"/>
                <w:szCs w:val="21"/>
              </w:rPr>
              <w:t>有组织排放合计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79" w:type="pct"/>
            <w:gridSpan w:val="2"/>
            <w:tcBorders>
              <w:tl2br w:val="nil"/>
              <w:tr2bl w:val="nil"/>
            </w:tcBorders>
            <w:vAlign w:val="center"/>
          </w:tcPr>
          <w:p>
            <w:pPr>
              <w:pStyle w:val="2057"/>
              <w:spacing w:afterLines="0" w:line="240" w:lineRule="atLeast"/>
              <w:ind w:firstLine="0" w:firstLineChars="0"/>
              <w:rPr>
                <w:sz w:val="21"/>
                <w:szCs w:val="21"/>
              </w:rPr>
            </w:pPr>
            <w:r>
              <w:rPr>
                <w:sz w:val="21"/>
                <w:szCs w:val="21"/>
              </w:rPr>
              <w:t>有组织排放总计</w:t>
            </w:r>
          </w:p>
        </w:tc>
        <w:tc>
          <w:tcPr>
            <w:tcW w:w="2660" w:type="pct"/>
            <w:gridSpan w:val="3"/>
            <w:tcBorders>
              <w:tl2br w:val="nil"/>
              <w:tr2bl w:val="nil"/>
            </w:tcBorders>
            <w:vAlign w:val="center"/>
          </w:tcPr>
          <w:p>
            <w:pPr>
              <w:pStyle w:val="2057"/>
              <w:spacing w:afterLines="0" w:line="240" w:lineRule="atLeast"/>
              <w:ind w:firstLine="0" w:firstLineChars="0"/>
              <w:rPr>
                <w:sz w:val="21"/>
                <w:szCs w:val="21"/>
              </w:rPr>
            </w:pPr>
            <w:r>
              <w:rPr>
                <w:rFonts w:hint="eastAsia"/>
                <w:sz w:val="21"/>
                <w:szCs w:val="21"/>
              </w:rPr>
              <w:t>食堂油烟</w:t>
            </w:r>
          </w:p>
        </w:tc>
        <w:tc>
          <w:tcPr>
            <w:tcW w:w="1059" w:type="pct"/>
            <w:tcBorders>
              <w:tl2br w:val="nil"/>
              <w:tr2bl w:val="nil"/>
            </w:tcBorders>
            <w:vAlign w:val="center"/>
          </w:tcPr>
          <w:p>
            <w:pPr>
              <w:pStyle w:val="2057"/>
              <w:spacing w:afterLines="0" w:line="240" w:lineRule="atLeast"/>
              <w:ind w:firstLine="0" w:firstLineChars="0"/>
              <w:rPr>
                <w:sz w:val="21"/>
                <w:szCs w:val="21"/>
              </w:rPr>
            </w:pPr>
            <w:r>
              <w:rPr>
                <w:sz w:val="21"/>
                <w:szCs w:val="21"/>
              </w:rPr>
              <w:t>0.04653</w:t>
            </w:r>
          </w:p>
        </w:tc>
      </w:tr>
    </w:tbl>
    <w:p>
      <w:pPr>
        <w:pStyle w:val="2285"/>
        <w:ind w:left="0"/>
      </w:pPr>
      <w:r>
        <w:rPr>
          <w:rFonts w:hint="eastAsia"/>
        </w:rPr>
        <w:t>正常工</w:t>
      </w:r>
      <w:r>
        <w:rPr>
          <w:rFonts w:hint="eastAsia" w:cs="Times New Roman"/>
          <w:bCs/>
        </w:rPr>
        <w:t>况</w:t>
      </w:r>
      <w:r>
        <w:t>码头</w:t>
      </w:r>
      <w:r>
        <w:rPr>
          <w:rFonts w:cs="Times New Roman"/>
          <w:bCs/>
        </w:rPr>
        <w:t>污染源</w:t>
      </w:r>
      <w:r>
        <w:t>强</w:t>
      </w:r>
    </w:p>
    <w:tbl>
      <w:tblPr>
        <w:tblStyle w:val="87"/>
        <w:tblW w:w="501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62"/>
        <w:gridCol w:w="1759"/>
        <w:gridCol w:w="972"/>
        <w:gridCol w:w="973"/>
        <w:gridCol w:w="1136"/>
        <w:gridCol w:w="1131"/>
        <w:gridCol w:w="1297"/>
        <w:gridCol w:w="129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308" w:type="pct"/>
            <w:vMerge w:val="restart"/>
            <w:vAlign w:val="center"/>
          </w:tcPr>
          <w:p>
            <w:pPr>
              <w:pStyle w:val="2057"/>
              <w:spacing w:afterLines="0"/>
              <w:ind w:firstLine="0" w:firstLineChars="0"/>
              <w:rPr>
                <w:b/>
                <w:bCs w:val="0"/>
                <w:sz w:val="21"/>
                <w:szCs w:val="21"/>
              </w:rPr>
            </w:pPr>
            <w:r>
              <w:rPr>
                <w:b/>
                <w:bCs w:val="0"/>
                <w:sz w:val="21"/>
                <w:szCs w:val="21"/>
              </w:rPr>
              <w:t>面源编号</w:t>
            </w:r>
          </w:p>
        </w:tc>
        <w:tc>
          <w:tcPr>
            <w:tcW w:w="963" w:type="pct"/>
            <w:vMerge w:val="restart"/>
            <w:vAlign w:val="center"/>
          </w:tcPr>
          <w:p>
            <w:pPr>
              <w:pStyle w:val="2057"/>
              <w:spacing w:afterLines="0"/>
              <w:ind w:firstLine="0" w:firstLineChars="0"/>
              <w:rPr>
                <w:b/>
                <w:bCs w:val="0"/>
                <w:sz w:val="21"/>
                <w:szCs w:val="21"/>
              </w:rPr>
            </w:pPr>
            <w:r>
              <w:rPr>
                <w:b/>
                <w:bCs w:val="0"/>
                <w:sz w:val="21"/>
                <w:szCs w:val="21"/>
              </w:rPr>
              <w:t>面源名称</w:t>
            </w:r>
          </w:p>
        </w:tc>
        <w:tc>
          <w:tcPr>
            <w:tcW w:w="1687" w:type="pct"/>
            <w:gridSpan w:val="3"/>
            <w:vAlign w:val="center"/>
          </w:tcPr>
          <w:p>
            <w:pPr>
              <w:pStyle w:val="2057"/>
              <w:spacing w:afterLines="0"/>
              <w:ind w:firstLine="0" w:firstLineChars="0"/>
              <w:rPr>
                <w:b/>
                <w:bCs w:val="0"/>
                <w:sz w:val="21"/>
                <w:szCs w:val="21"/>
              </w:rPr>
            </w:pPr>
            <w:r>
              <w:rPr>
                <w:b/>
                <w:bCs w:val="0"/>
                <w:sz w:val="21"/>
                <w:szCs w:val="21"/>
              </w:rPr>
              <w:t>矩形面源</w:t>
            </w:r>
          </w:p>
        </w:tc>
        <w:tc>
          <w:tcPr>
            <w:tcW w:w="619" w:type="pct"/>
            <w:vMerge w:val="restart"/>
            <w:tcBorders>
              <w:tl2br w:val="nil"/>
              <w:tr2bl w:val="nil"/>
            </w:tcBorders>
            <w:vAlign w:val="center"/>
          </w:tcPr>
          <w:p>
            <w:pPr>
              <w:pStyle w:val="2057"/>
              <w:spacing w:afterLines="0"/>
              <w:ind w:firstLine="0" w:firstLineChars="0"/>
              <w:rPr>
                <w:b/>
                <w:bCs w:val="0"/>
                <w:sz w:val="21"/>
                <w:szCs w:val="21"/>
              </w:rPr>
            </w:pPr>
            <w:r>
              <w:rPr>
                <w:b/>
                <w:bCs w:val="0"/>
                <w:sz w:val="21"/>
                <w:szCs w:val="21"/>
              </w:rPr>
              <w:t>污染物</w:t>
            </w:r>
          </w:p>
        </w:tc>
        <w:tc>
          <w:tcPr>
            <w:tcW w:w="710" w:type="pct"/>
            <w:vMerge w:val="restart"/>
            <w:tcBorders>
              <w:tl2br w:val="nil"/>
              <w:tr2bl w:val="nil"/>
            </w:tcBorders>
            <w:vAlign w:val="center"/>
          </w:tcPr>
          <w:p>
            <w:pPr>
              <w:pStyle w:val="2057"/>
              <w:spacing w:afterLines="0"/>
              <w:ind w:firstLine="0" w:firstLineChars="0"/>
              <w:rPr>
                <w:b/>
                <w:bCs w:val="0"/>
                <w:sz w:val="21"/>
                <w:szCs w:val="21"/>
              </w:rPr>
            </w:pPr>
            <w:r>
              <w:rPr>
                <w:b/>
                <w:bCs w:val="0"/>
                <w:sz w:val="21"/>
                <w:szCs w:val="21"/>
              </w:rPr>
              <w:t>排放速率</w:t>
            </w:r>
          </w:p>
        </w:tc>
        <w:tc>
          <w:tcPr>
            <w:tcW w:w="709" w:type="pct"/>
            <w:vMerge w:val="restart"/>
            <w:tcBorders>
              <w:tl2br w:val="nil"/>
              <w:tr2bl w:val="nil"/>
            </w:tcBorders>
            <w:vAlign w:val="center"/>
          </w:tcPr>
          <w:p>
            <w:pPr>
              <w:pStyle w:val="2057"/>
              <w:spacing w:afterLines="0"/>
              <w:ind w:firstLine="0" w:firstLineChars="0"/>
              <w:rPr>
                <w:b/>
                <w:bCs w:val="0"/>
                <w:sz w:val="21"/>
                <w:szCs w:val="21"/>
              </w:rPr>
            </w:pPr>
            <w:r>
              <w:rPr>
                <w:b/>
                <w:bCs w:val="0"/>
                <w:sz w:val="21"/>
                <w:szCs w:val="21"/>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73" w:hRule="atLeast"/>
          <w:jc w:val="center"/>
        </w:trPr>
        <w:tc>
          <w:tcPr>
            <w:tcW w:w="308" w:type="pct"/>
            <w:vMerge w:val="continue"/>
            <w:vAlign w:val="center"/>
          </w:tcPr>
          <w:p>
            <w:pPr>
              <w:pStyle w:val="2057"/>
              <w:spacing w:afterLines="0"/>
              <w:ind w:firstLine="0" w:firstLineChars="0"/>
              <w:rPr>
                <w:sz w:val="21"/>
                <w:szCs w:val="21"/>
              </w:rPr>
            </w:pPr>
          </w:p>
        </w:tc>
        <w:tc>
          <w:tcPr>
            <w:tcW w:w="963" w:type="pct"/>
            <w:vMerge w:val="continue"/>
            <w:vAlign w:val="center"/>
          </w:tcPr>
          <w:p>
            <w:pPr>
              <w:pStyle w:val="2057"/>
              <w:spacing w:afterLines="0"/>
              <w:ind w:firstLine="0" w:firstLineChars="0"/>
              <w:rPr>
                <w:sz w:val="21"/>
                <w:szCs w:val="21"/>
              </w:rPr>
            </w:pPr>
          </w:p>
        </w:tc>
        <w:tc>
          <w:tcPr>
            <w:tcW w:w="532" w:type="pct"/>
            <w:vAlign w:val="center"/>
          </w:tcPr>
          <w:p>
            <w:pPr>
              <w:pStyle w:val="2057"/>
              <w:spacing w:afterLines="0"/>
              <w:ind w:firstLine="0" w:firstLineChars="0"/>
              <w:rPr>
                <w:b/>
                <w:bCs w:val="0"/>
                <w:sz w:val="21"/>
                <w:szCs w:val="21"/>
              </w:rPr>
            </w:pPr>
            <w:r>
              <w:rPr>
                <w:b/>
                <w:bCs w:val="0"/>
                <w:sz w:val="21"/>
                <w:szCs w:val="21"/>
              </w:rPr>
              <w:t>长度</w:t>
            </w:r>
          </w:p>
        </w:tc>
        <w:tc>
          <w:tcPr>
            <w:tcW w:w="532" w:type="pct"/>
            <w:vAlign w:val="center"/>
          </w:tcPr>
          <w:p>
            <w:pPr>
              <w:pStyle w:val="2057"/>
              <w:spacing w:afterLines="0"/>
              <w:ind w:firstLine="0" w:firstLineChars="0"/>
              <w:rPr>
                <w:b/>
                <w:bCs w:val="0"/>
                <w:sz w:val="21"/>
                <w:szCs w:val="21"/>
              </w:rPr>
            </w:pPr>
            <w:r>
              <w:rPr>
                <w:b/>
                <w:bCs w:val="0"/>
                <w:sz w:val="21"/>
                <w:szCs w:val="21"/>
              </w:rPr>
              <w:t>宽度</w:t>
            </w:r>
          </w:p>
        </w:tc>
        <w:tc>
          <w:tcPr>
            <w:tcW w:w="622" w:type="pct"/>
            <w:vAlign w:val="center"/>
          </w:tcPr>
          <w:p>
            <w:pPr>
              <w:pStyle w:val="2057"/>
              <w:spacing w:afterLines="0"/>
              <w:ind w:firstLine="0" w:firstLineChars="0"/>
              <w:rPr>
                <w:b/>
                <w:bCs w:val="0"/>
                <w:sz w:val="21"/>
                <w:szCs w:val="21"/>
              </w:rPr>
            </w:pPr>
            <w:r>
              <w:rPr>
                <w:b/>
                <w:bCs w:val="0"/>
                <w:sz w:val="21"/>
                <w:szCs w:val="21"/>
              </w:rPr>
              <w:t>有效高度</w:t>
            </w:r>
          </w:p>
        </w:tc>
        <w:tc>
          <w:tcPr>
            <w:tcW w:w="619" w:type="pct"/>
            <w:vMerge w:val="continue"/>
            <w:tcBorders>
              <w:tl2br w:val="nil"/>
              <w:tr2bl w:val="nil"/>
            </w:tcBorders>
            <w:vAlign w:val="center"/>
          </w:tcPr>
          <w:p>
            <w:pPr>
              <w:pStyle w:val="2057"/>
              <w:spacing w:afterLines="0"/>
              <w:ind w:firstLine="0" w:firstLineChars="0"/>
              <w:rPr>
                <w:sz w:val="21"/>
                <w:szCs w:val="21"/>
              </w:rPr>
            </w:pPr>
          </w:p>
        </w:tc>
        <w:tc>
          <w:tcPr>
            <w:tcW w:w="710" w:type="pct"/>
            <w:vMerge w:val="continue"/>
            <w:tcBorders>
              <w:tl2br w:val="nil"/>
              <w:tr2bl w:val="nil"/>
            </w:tcBorders>
            <w:vAlign w:val="center"/>
          </w:tcPr>
          <w:p>
            <w:pPr>
              <w:pStyle w:val="2057"/>
              <w:spacing w:afterLines="0"/>
              <w:ind w:firstLine="0" w:firstLineChars="0"/>
              <w:rPr>
                <w:sz w:val="21"/>
                <w:szCs w:val="21"/>
              </w:rPr>
            </w:pPr>
          </w:p>
        </w:tc>
        <w:tc>
          <w:tcPr>
            <w:tcW w:w="709" w:type="pct"/>
            <w:vMerge w:val="continue"/>
            <w:tcBorders>
              <w:tl2br w:val="nil"/>
              <w:tr2bl w:val="nil"/>
            </w:tcBorders>
            <w:vAlign w:val="center"/>
          </w:tcPr>
          <w:p>
            <w:pPr>
              <w:pStyle w:val="2057"/>
              <w:spacing w:afterLines="0"/>
              <w:ind w:firstLine="0" w:firstLineChars="0"/>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308" w:type="pct"/>
            <w:vMerge w:val="continue"/>
            <w:tcBorders>
              <w:bottom w:val="single" w:color="auto" w:sz="12" w:space="0"/>
            </w:tcBorders>
            <w:vAlign w:val="center"/>
          </w:tcPr>
          <w:p>
            <w:pPr>
              <w:pStyle w:val="2057"/>
              <w:spacing w:afterLines="0"/>
              <w:ind w:firstLine="0" w:firstLineChars="0"/>
              <w:rPr>
                <w:sz w:val="21"/>
                <w:szCs w:val="21"/>
              </w:rPr>
            </w:pPr>
          </w:p>
        </w:tc>
        <w:tc>
          <w:tcPr>
            <w:tcW w:w="963" w:type="pct"/>
            <w:vMerge w:val="continue"/>
            <w:tcBorders>
              <w:bottom w:val="single" w:color="auto" w:sz="12" w:space="0"/>
            </w:tcBorders>
            <w:vAlign w:val="center"/>
          </w:tcPr>
          <w:p>
            <w:pPr>
              <w:pStyle w:val="2057"/>
              <w:spacing w:afterLines="0"/>
              <w:ind w:firstLine="0" w:firstLineChars="0"/>
              <w:rPr>
                <w:sz w:val="21"/>
                <w:szCs w:val="21"/>
              </w:rPr>
            </w:pPr>
          </w:p>
        </w:tc>
        <w:tc>
          <w:tcPr>
            <w:tcW w:w="532" w:type="pct"/>
            <w:tcBorders>
              <w:bottom w:val="single" w:color="auto" w:sz="12" w:space="0"/>
            </w:tcBorders>
            <w:vAlign w:val="center"/>
          </w:tcPr>
          <w:p>
            <w:pPr>
              <w:pStyle w:val="2057"/>
              <w:spacing w:afterLines="0"/>
              <w:ind w:firstLine="0" w:firstLineChars="0"/>
              <w:rPr>
                <w:b/>
                <w:bCs w:val="0"/>
                <w:sz w:val="21"/>
                <w:szCs w:val="21"/>
              </w:rPr>
            </w:pPr>
            <w:r>
              <w:rPr>
                <w:b/>
                <w:bCs w:val="0"/>
                <w:sz w:val="21"/>
                <w:szCs w:val="21"/>
              </w:rPr>
              <w:t>m</w:t>
            </w:r>
          </w:p>
        </w:tc>
        <w:tc>
          <w:tcPr>
            <w:tcW w:w="532" w:type="pct"/>
            <w:tcBorders>
              <w:bottom w:val="single" w:color="auto" w:sz="12" w:space="0"/>
            </w:tcBorders>
            <w:vAlign w:val="center"/>
          </w:tcPr>
          <w:p>
            <w:pPr>
              <w:pStyle w:val="2057"/>
              <w:spacing w:afterLines="0"/>
              <w:ind w:firstLine="0" w:firstLineChars="0"/>
              <w:rPr>
                <w:b/>
                <w:bCs w:val="0"/>
                <w:sz w:val="21"/>
                <w:szCs w:val="21"/>
              </w:rPr>
            </w:pPr>
            <w:r>
              <w:rPr>
                <w:b/>
                <w:bCs w:val="0"/>
                <w:sz w:val="21"/>
                <w:szCs w:val="21"/>
              </w:rPr>
              <w:t>m</w:t>
            </w:r>
          </w:p>
        </w:tc>
        <w:tc>
          <w:tcPr>
            <w:tcW w:w="622" w:type="pct"/>
            <w:tcBorders>
              <w:bottom w:val="single" w:color="auto" w:sz="12" w:space="0"/>
            </w:tcBorders>
            <w:vAlign w:val="center"/>
          </w:tcPr>
          <w:p>
            <w:pPr>
              <w:pStyle w:val="2057"/>
              <w:spacing w:afterLines="0"/>
              <w:ind w:firstLine="0" w:firstLineChars="0"/>
              <w:rPr>
                <w:b/>
                <w:bCs w:val="0"/>
                <w:sz w:val="21"/>
                <w:szCs w:val="21"/>
              </w:rPr>
            </w:pPr>
            <w:r>
              <w:rPr>
                <w:b/>
                <w:bCs w:val="0"/>
                <w:sz w:val="21"/>
                <w:szCs w:val="21"/>
              </w:rPr>
              <w:t>m</w:t>
            </w:r>
          </w:p>
        </w:tc>
        <w:tc>
          <w:tcPr>
            <w:tcW w:w="619" w:type="pct"/>
            <w:vMerge w:val="continue"/>
            <w:tcBorders>
              <w:bottom w:val="single" w:color="auto" w:sz="12" w:space="0"/>
              <w:tl2br w:val="nil"/>
              <w:tr2bl w:val="nil"/>
            </w:tcBorders>
            <w:vAlign w:val="center"/>
          </w:tcPr>
          <w:p>
            <w:pPr>
              <w:pStyle w:val="2057"/>
              <w:spacing w:afterLines="0"/>
              <w:ind w:firstLine="0" w:firstLineChars="0"/>
              <w:rPr>
                <w:sz w:val="21"/>
                <w:szCs w:val="21"/>
              </w:rPr>
            </w:pPr>
          </w:p>
        </w:tc>
        <w:tc>
          <w:tcPr>
            <w:tcW w:w="710" w:type="pct"/>
            <w:vMerge w:val="continue"/>
            <w:tcBorders>
              <w:bottom w:val="single" w:color="auto" w:sz="12" w:space="0"/>
              <w:tl2br w:val="nil"/>
              <w:tr2bl w:val="nil"/>
            </w:tcBorders>
            <w:vAlign w:val="center"/>
          </w:tcPr>
          <w:p>
            <w:pPr>
              <w:pStyle w:val="2057"/>
              <w:spacing w:afterLines="0"/>
              <w:ind w:firstLine="0" w:firstLineChars="0"/>
              <w:rPr>
                <w:sz w:val="21"/>
                <w:szCs w:val="21"/>
              </w:rPr>
            </w:pPr>
          </w:p>
        </w:tc>
        <w:tc>
          <w:tcPr>
            <w:tcW w:w="709" w:type="pct"/>
            <w:vMerge w:val="continue"/>
            <w:tcBorders>
              <w:bottom w:val="single" w:color="auto" w:sz="12" w:space="0"/>
              <w:tl2br w:val="nil"/>
              <w:tr2bl w:val="nil"/>
            </w:tcBorders>
            <w:vAlign w:val="center"/>
          </w:tcPr>
          <w:p>
            <w:pPr>
              <w:pStyle w:val="2057"/>
              <w:spacing w:afterLines="0"/>
              <w:ind w:firstLine="0" w:firstLineChars="0"/>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308" w:type="pct"/>
            <w:tcBorders>
              <w:top w:val="single" w:color="auto" w:sz="12" w:space="0"/>
              <w:tl2br w:val="nil"/>
              <w:tr2bl w:val="nil"/>
            </w:tcBorders>
            <w:vAlign w:val="center"/>
          </w:tcPr>
          <w:p>
            <w:pPr>
              <w:pStyle w:val="2057"/>
              <w:spacing w:afterLines="0"/>
              <w:ind w:firstLine="0" w:firstLineChars="0"/>
              <w:rPr>
                <w:sz w:val="21"/>
                <w:szCs w:val="21"/>
              </w:rPr>
            </w:pPr>
            <w:r>
              <w:rPr>
                <w:sz w:val="21"/>
                <w:szCs w:val="21"/>
              </w:rPr>
              <w:t>1</w:t>
            </w:r>
          </w:p>
        </w:tc>
        <w:tc>
          <w:tcPr>
            <w:tcW w:w="963" w:type="pct"/>
            <w:tcBorders>
              <w:top w:val="single" w:color="auto" w:sz="12" w:space="0"/>
              <w:tl2br w:val="nil"/>
              <w:tr2bl w:val="nil"/>
            </w:tcBorders>
            <w:vAlign w:val="center"/>
          </w:tcPr>
          <w:p>
            <w:pPr>
              <w:pStyle w:val="2057"/>
              <w:spacing w:afterLines="0"/>
              <w:ind w:firstLine="0" w:firstLineChars="0"/>
              <w:rPr>
                <w:sz w:val="21"/>
                <w:szCs w:val="21"/>
              </w:rPr>
            </w:pPr>
            <w:r>
              <w:rPr>
                <w:sz w:val="21"/>
                <w:szCs w:val="21"/>
              </w:rPr>
              <w:t>1#泊位</w:t>
            </w:r>
            <w:r>
              <w:rPr>
                <w:rFonts w:hint="eastAsia"/>
                <w:sz w:val="21"/>
                <w:szCs w:val="21"/>
              </w:rPr>
              <w:t>装船起尘</w:t>
            </w:r>
          </w:p>
        </w:tc>
        <w:tc>
          <w:tcPr>
            <w:tcW w:w="532" w:type="pct"/>
            <w:tcBorders>
              <w:top w:val="single" w:color="auto" w:sz="12" w:space="0"/>
              <w:tl2br w:val="nil"/>
              <w:tr2bl w:val="nil"/>
            </w:tcBorders>
            <w:vAlign w:val="center"/>
          </w:tcPr>
          <w:p>
            <w:pPr>
              <w:pStyle w:val="2057"/>
              <w:spacing w:afterLines="0"/>
              <w:ind w:firstLine="0" w:firstLineChars="0"/>
              <w:rPr>
                <w:sz w:val="21"/>
                <w:szCs w:val="21"/>
              </w:rPr>
            </w:pPr>
            <w:r>
              <w:rPr>
                <w:sz w:val="21"/>
                <w:szCs w:val="21"/>
              </w:rPr>
              <w:t>123</w:t>
            </w:r>
          </w:p>
        </w:tc>
        <w:tc>
          <w:tcPr>
            <w:tcW w:w="532" w:type="pct"/>
            <w:tcBorders>
              <w:top w:val="single" w:color="auto" w:sz="12" w:space="0"/>
              <w:tl2br w:val="nil"/>
              <w:tr2bl w:val="nil"/>
            </w:tcBorders>
            <w:vAlign w:val="center"/>
          </w:tcPr>
          <w:p>
            <w:pPr>
              <w:pStyle w:val="2057"/>
              <w:spacing w:afterLines="0"/>
              <w:ind w:firstLine="0" w:firstLineChars="0"/>
              <w:rPr>
                <w:sz w:val="21"/>
                <w:szCs w:val="21"/>
              </w:rPr>
            </w:pPr>
            <w:r>
              <w:rPr>
                <w:sz w:val="21"/>
                <w:szCs w:val="21"/>
              </w:rPr>
              <w:t>21.6</w:t>
            </w:r>
          </w:p>
        </w:tc>
        <w:tc>
          <w:tcPr>
            <w:tcW w:w="622" w:type="pct"/>
            <w:tcBorders>
              <w:top w:val="single" w:color="auto" w:sz="12" w:space="0"/>
              <w:tl2br w:val="nil"/>
              <w:tr2bl w:val="nil"/>
            </w:tcBorders>
            <w:vAlign w:val="center"/>
          </w:tcPr>
          <w:p>
            <w:pPr>
              <w:pStyle w:val="2057"/>
              <w:spacing w:afterLines="0"/>
              <w:ind w:firstLine="0" w:firstLineChars="0"/>
              <w:rPr>
                <w:sz w:val="21"/>
                <w:szCs w:val="21"/>
              </w:rPr>
            </w:pPr>
            <w:r>
              <w:rPr>
                <w:rFonts w:hint="eastAsia"/>
                <w:sz w:val="21"/>
                <w:szCs w:val="21"/>
              </w:rPr>
              <w:t>0.2</w:t>
            </w:r>
          </w:p>
        </w:tc>
        <w:tc>
          <w:tcPr>
            <w:tcW w:w="619" w:type="pct"/>
            <w:tcBorders>
              <w:top w:val="single" w:color="auto" w:sz="12" w:space="0"/>
            </w:tcBorders>
            <w:vAlign w:val="center"/>
          </w:tcPr>
          <w:p>
            <w:pPr>
              <w:pStyle w:val="2057"/>
              <w:spacing w:afterLines="0"/>
              <w:ind w:firstLine="0" w:firstLineChars="0"/>
              <w:rPr>
                <w:sz w:val="21"/>
                <w:szCs w:val="21"/>
              </w:rPr>
            </w:pPr>
            <w:r>
              <w:rPr>
                <w:sz w:val="21"/>
                <w:szCs w:val="21"/>
              </w:rPr>
              <w:t>TSP</w:t>
            </w:r>
          </w:p>
        </w:tc>
        <w:tc>
          <w:tcPr>
            <w:tcW w:w="710" w:type="pct"/>
            <w:tcBorders>
              <w:top w:val="single" w:color="auto" w:sz="12" w:space="0"/>
            </w:tcBorders>
            <w:vAlign w:val="center"/>
          </w:tcPr>
          <w:p>
            <w:pPr>
              <w:widowControl/>
              <w:tabs>
                <w:tab w:val="clear" w:pos="480"/>
              </w:tabs>
              <w:spacing w:line="240" w:lineRule="auto"/>
              <w:ind w:firstLine="0" w:firstLineChars="0"/>
              <w:jc w:val="center"/>
              <w:rPr>
                <w:sz w:val="21"/>
                <w:szCs w:val="21"/>
              </w:rPr>
            </w:pPr>
            <w:r>
              <w:rPr>
                <w:rFonts w:hint="eastAsia"/>
                <w:color w:val="000000"/>
                <w:sz w:val="22"/>
                <w:szCs w:val="22"/>
              </w:rPr>
              <w:t xml:space="preserve">0.058 </w:t>
            </w:r>
          </w:p>
        </w:tc>
        <w:tc>
          <w:tcPr>
            <w:tcW w:w="709" w:type="pct"/>
            <w:tcBorders>
              <w:top w:val="single" w:color="auto" w:sz="12" w:space="0"/>
            </w:tcBorders>
            <w:vAlign w:val="center"/>
          </w:tcPr>
          <w:p>
            <w:pPr>
              <w:pStyle w:val="2057"/>
              <w:spacing w:afterLines="0"/>
              <w:ind w:firstLine="0" w:firstLineChars="0"/>
              <w:rPr>
                <w:sz w:val="21"/>
                <w:szCs w:val="21"/>
              </w:rPr>
            </w:pPr>
            <w:r>
              <w:rPr>
                <w:sz w:val="21"/>
                <w:szCs w:val="21"/>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308" w:type="pct"/>
            <w:tcBorders>
              <w:tl2br w:val="nil"/>
              <w:tr2bl w:val="nil"/>
            </w:tcBorders>
            <w:vAlign w:val="center"/>
          </w:tcPr>
          <w:p>
            <w:pPr>
              <w:pStyle w:val="2057"/>
              <w:spacing w:afterLines="0"/>
              <w:ind w:firstLine="0" w:firstLineChars="0"/>
              <w:rPr>
                <w:sz w:val="21"/>
                <w:szCs w:val="21"/>
              </w:rPr>
            </w:pPr>
            <w:r>
              <w:rPr>
                <w:sz w:val="21"/>
                <w:szCs w:val="21"/>
              </w:rPr>
              <w:t>2</w:t>
            </w:r>
          </w:p>
        </w:tc>
        <w:tc>
          <w:tcPr>
            <w:tcW w:w="963" w:type="pct"/>
            <w:tcBorders>
              <w:tl2br w:val="nil"/>
              <w:tr2bl w:val="nil"/>
            </w:tcBorders>
            <w:vAlign w:val="center"/>
          </w:tcPr>
          <w:p>
            <w:pPr>
              <w:pStyle w:val="2057"/>
              <w:spacing w:afterLines="0"/>
              <w:ind w:firstLine="0" w:firstLineChars="0"/>
              <w:rPr>
                <w:sz w:val="21"/>
                <w:szCs w:val="21"/>
              </w:rPr>
            </w:pPr>
            <w:r>
              <w:rPr>
                <w:rFonts w:hint="eastAsia"/>
                <w:sz w:val="21"/>
                <w:szCs w:val="21"/>
              </w:rPr>
              <w:t>2</w:t>
            </w:r>
            <w:r>
              <w:rPr>
                <w:sz w:val="21"/>
                <w:szCs w:val="21"/>
              </w:rPr>
              <w:t>#泊位</w:t>
            </w:r>
            <w:r>
              <w:rPr>
                <w:rFonts w:hint="eastAsia"/>
                <w:sz w:val="21"/>
                <w:szCs w:val="21"/>
              </w:rPr>
              <w:t>卸船起尘</w:t>
            </w:r>
          </w:p>
        </w:tc>
        <w:tc>
          <w:tcPr>
            <w:tcW w:w="532" w:type="pct"/>
            <w:tcBorders>
              <w:tl2br w:val="nil"/>
              <w:tr2bl w:val="nil"/>
            </w:tcBorders>
            <w:vAlign w:val="center"/>
          </w:tcPr>
          <w:p>
            <w:pPr>
              <w:pStyle w:val="2057"/>
              <w:spacing w:afterLines="0"/>
              <w:ind w:firstLine="0" w:firstLineChars="0"/>
              <w:rPr>
                <w:sz w:val="21"/>
                <w:szCs w:val="21"/>
              </w:rPr>
            </w:pPr>
            <w:r>
              <w:rPr>
                <w:sz w:val="21"/>
                <w:szCs w:val="21"/>
              </w:rPr>
              <w:t>123</w:t>
            </w:r>
          </w:p>
        </w:tc>
        <w:tc>
          <w:tcPr>
            <w:tcW w:w="532" w:type="pct"/>
            <w:tcBorders>
              <w:tl2br w:val="nil"/>
              <w:tr2bl w:val="nil"/>
            </w:tcBorders>
            <w:vAlign w:val="center"/>
          </w:tcPr>
          <w:p>
            <w:pPr>
              <w:pStyle w:val="2057"/>
              <w:spacing w:afterLines="0"/>
              <w:ind w:firstLine="0" w:firstLineChars="0"/>
              <w:rPr>
                <w:sz w:val="21"/>
                <w:szCs w:val="21"/>
              </w:rPr>
            </w:pPr>
            <w:r>
              <w:rPr>
                <w:sz w:val="21"/>
                <w:szCs w:val="21"/>
              </w:rPr>
              <w:t>21.6</w:t>
            </w:r>
          </w:p>
        </w:tc>
        <w:tc>
          <w:tcPr>
            <w:tcW w:w="622" w:type="pct"/>
            <w:tcBorders>
              <w:tl2br w:val="nil"/>
              <w:tr2bl w:val="nil"/>
            </w:tcBorders>
            <w:vAlign w:val="center"/>
          </w:tcPr>
          <w:p>
            <w:pPr>
              <w:pStyle w:val="2057"/>
              <w:spacing w:afterLines="0"/>
              <w:ind w:firstLine="0" w:firstLineChars="0"/>
              <w:rPr>
                <w:sz w:val="21"/>
                <w:szCs w:val="21"/>
              </w:rPr>
            </w:pPr>
            <w:r>
              <w:rPr>
                <w:rFonts w:hint="eastAsia"/>
                <w:sz w:val="21"/>
                <w:szCs w:val="21"/>
              </w:rPr>
              <w:t>0.5</w:t>
            </w:r>
          </w:p>
        </w:tc>
        <w:tc>
          <w:tcPr>
            <w:tcW w:w="619" w:type="pct"/>
            <w:tcBorders>
              <w:tl2br w:val="nil"/>
              <w:tr2bl w:val="nil"/>
            </w:tcBorders>
            <w:vAlign w:val="center"/>
          </w:tcPr>
          <w:p>
            <w:pPr>
              <w:pStyle w:val="2057"/>
              <w:spacing w:afterLines="0"/>
              <w:ind w:firstLine="0" w:firstLineChars="0"/>
              <w:rPr>
                <w:sz w:val="21"/>
                <w:szCs w:val="21"/>
              </w:rPr>
            </w:pPr>
            <w:r>
              <w:rPr>
                <w:sz w:val="21"/>
                <w:szCs w:val="21"/>
              </w:rPr>
              <w:t>TSP</w:t>
            </w:r>
          </w:p>
        </w:tc>
        <w:tc>
          <w:tcPr>
            <w:tcW w:w="710" w:type="pct"/>
            <w:tcBorders>
              <w:tl2br w:val="nil"/>
              <w:tr2bl w:val="nil"/>
            </w:tcBorders>
            <w:vAlign w:val="center"/>
          </w:tcPr>
          <w:p>
            <w:pPr>
              <w:widowControl/>
              <w:tabs>
                <w:tab w:val="clear" w:pos="480"/>
              </w:tabs>
              <w:spacing w:line="240" w:lineRule="auto"/>
              <w:ind w:firstLine="0" w:firstLineChars="0"/>
              <w:jc w:val="center"/>
              <w:rPr>
                <w:sz w:val="21"/>
                <w:szCs w:val="21"/>
              </w:rPr>
            </w:pPr>
            <w:r>
              <w:rPr>
                <w:rFonts w:hint="eastAsia"/>
                <w:color w:val="000000"/>
                <w:sz w:val="22"/>
                <w:szCs w:val="22"/>
              </w:rPr>
              <w:t xml:space="preserve">0.244 </w:t>
            </w:r>
          </w:p>
        </w:tc>
        <w:tc>
          <w:tcPr>
            <w:tcW w:w="709" w:type="pct"/>
            <w:tcBorders>
              <w:tl2br w:val="nil"/>
              <w:tr2bl w:val="nil"/>
            </w:tcBorders>
            <w:vAlign w:val="center"/>
          </w:tcPr>
          <w:p>
            <w:pPr>
              <w:pStyle w:val="2057"/>
              <w:spacing w:afterLines="0"/>
              <w:ind w:firstLine="0" w:firstLineChars="0"/>
              <w:rPr>
                <w:sz w:val="21"/>
                <w:szCs w:val="21"/>
              </w:rPr>
            </w:pPr>
            <w:r>
              <w:rPr>
                <w:sz w:val="21"/>
                <w:szCs w:val="21"/>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308" w:type="pct"/>
            <w:tcBorders>
              <w:tl2br w:val="nil"/>
              <w:tr2bl w:val="nil"/>
            </w:tcBorders>
            <w:vAlign w:val="center"/>
          </w:tcPr>
          <w:p>
            <w:pPr>
              <w:pStyle w:val="2057"/>
              <w:spacing w:afterLines="0"/>
              <w:ind w:firstLine="0" w:firstLineChars="0"/>
              <w:rPr>
                <w:sz w:val="21"/>
                <w:szCs w:val="21"/>
              </w:rPr>
            </w:pPr>
            <w:r>
              <w:rPr>
                <w:rFonts w:hint="eastAsia"/>
                <w:sz w:val="21"/>
                <w:szCs w:val="21"/>
              </w:rPr>
              <w:t>3</w:t>
            </w:r>
          </w:p>
        </w:tc>
        <w:tc>
          <w:tcPr>
            <w:tcW w:w="963" w:type="pct"/>
            <w:tcBorders>
              <w:tl2br w:val="nil"/>
              <w:tr2bl w:val="nil"/>
            </w:tcBorders>
            <w:vAlign w:val="center"/>
          </w:tcPr>
          <w:p>
            <w:pPr>
              <w:pStyle w:val="2057"/>
              <w:spacing w:afterLines="0"/>
              <w:ind w:firstLine="0" w:firstLineChars="0"/>
              <w:rPr>
                <w:sz w:val="21"/>
                <w:szCs w:val="21"/>
              </w:rPr>
            </w:pPr>
            <w:r>
              <w:rPr>
                <w:sz w:val="21"/>
                <w:szCs w:val="21"/>
              </w:rPr>
              <w:t>3#泊位</w:t>
            </w:r>
            <w:r>
              <w:rPr>
                <w:rFonts w:hint="eastAsia"/>
                <w:sz w:val="21"/>
                <w:szCs w:val="21"/>
              </w:rPr>
              <w:t>卸船起尘</w:t>
            </w:r>
          </w:p>
        </w:tc>
        <w:tc>
          <w:tcPr>
            <w:tcW w:w="532" w:type="pct"/>
            <w:tcBorders>
              <w:tl2br w:val="nil"/>
              <w:tr2bl w:val="nil"/>
            </w:tcBorders>
            <w:vAlign w:val="center"/>
          </w:tcPr>
          <w:p>
            <w:pPr>
              <w:pStyle w:val="2057"/>
              <w:spacing w:afterLines="0"/>
              <w:ind w:firstLine="0" w:firstLineChars="0"/>
              <w:rPr>
                <w:sz w:val="21"/>
                <w:szCs w:val="21"/>
              </w:rPr>
            </w:pPr>
            <w:r>
              <w:rPr>
                <w:sz w:val="21"/>
                <w:szCs w:val="21"/>
              </w:rPr>
              <w:t>123</w:t>
            </w:r>
          </w:p>
        </w:tc>
        <w:tc>
          <w:tcPr>
            <w:tcW w:w="532" w:type="pct"/>
            <w:tcBorders>
              <w:tl2br w:val="nil"/>
              <w:tr2bl w:val="nil"/>
            </w:tcBorders>
            <w:vAlign w:val="center"/>
          </w:tcPr>
          <w:p>
            <w:pPr>
              <w:pStyle w:val="2057"/>
              <w:spacing w:afterLines="0"/>
              <w:ind w:firstLine="0" w:firstLineChars="0"/>
              <w:rPr>
                <w:sz w:val="21"/>
                <w:szCs w:val="21"/>
              </w:rPr>
            </w:pPr>
            <w:r>
              <w:rPr>
                <w:sz w:val="21"/>
                <w:szCs w:val="21"/>
              </w:rPr>
              <w:t>21.6</w:t>
            </w:r>
          </w:p>
        </w:tc>
        <w:tc>
          <w:tcPr>
            <w:tcW w:w="622" w:type="pct"/>
            <w:tcBorders>
              <w:tl2br w:val="nil"/>
              <w:tr2bl w:val="nil"/>
            </w:tcBorders>
            <w:vAlign w:val="center"/>
          </w:tcPr>
          <w:p>
            <w:pPr>
              <w:pStyle w:val="2057"/>
              <w:spacing w:afterLines="0"/>
              <w:ind w:firstLine="0" w:firstLineChars="0"/>
              <w:rPr>
                <w:sz w:val="21"/>
                <w:szCs w:val="21"/>
              </w:rPr>
            </w:pPr>
            <w:r>
              <w:rPr>
                <w:rFonts w:hint="eastAsia"/>
                <w:sz w:val="21"/>
                <w:szCs w:val="21"/>
              </w:rPr>
              <w:t>0.5</w:t>
            </w:r>
          </w:p>
        </w:tc>
        <w:tc>
          <w:tcPr>
            <w:tcW w:w="619" w:type="pct"/>
            <w:tcBorders>
              <w:tl2br w:val="nil"/>
              <w:tr2bl w:val="nil"/>
            </w:tcBorders>
            <w:vAlign w:val="center"/>
          </w:tcPr>
          <w:p>
            <w:pPr>
              <w:pStyle w:val="2057"/>
              <w:spacing w:afterLines="0"/>
              <w:ind w:firstLine="0" w:firstLineChars="0"/>
              <w:rPr>
                <w:sz w:val="21"/>
                <w:szCs w:val="21"/>
              </w:rPr>
            </w:pPr>
            <w:r>
              <w:rPr>
                <w:sz w:val="21"/>
                <w:szCs w:val="21"/>
              </w:rPr>
              <w:t>TSP</w:t>
            </w:r>
          </w:p>
        </w:tc>
        <w:tc>
          <w:tcPr>
            <w:tcW w:w="710" w:type="pct"/>
            <w:tcBorders>
              <w:tl2br w:val="nil"/>
              <w:tr2bl w:val="nil"/>
            </w:tcBorders>
            <w:vAlign w:val="center"/>
          </w:tcPr>
          <w:p>
            <w:pPr>
              <w:widowControl/>
              <w:tabs>
                <w:tab w:val="clear" w:pos="480"/>
              </w:tabs>
              <w:spacing w:line="240" w:lineRule="auto"/>
              <w:ind w:firstLine="0" w:firstLineChars="0"/>
              <w:jc w:val="center"/>
              <w:rPr>
                <w:sz w:val="21"/>
                <w:szCs w:val="21"/>
              </w:rPr>
            </w:pPr>
            <w:r>
              <w:rPr>
                <w:rFonts w:hint="eastAsia"/>
                <w:color w:val="000000"/>
                <w:sz w:val="22"/>
                <w:szCs w:val="22"/>
              </w:rPr>
              <w:t xml:space="preserve">0.244 </w:t>
            </w:r>
          </w:p>
        </w:tc>
        <w:tc>
          <w:tcPr>
            <w:tcW w:w="709" w:type="pct"/>
            <w:tcBorders>
              <w:tl2br w:val="nil"/>
              <w:tr2bl w:val="nil"/>
            </w:tcBorders>
            <w:vAlign w:val="center"/>
          </w:tcPr>
          <w:p>
            <w:pPr>
              <w:pStyle w:val="2057"/>
              <w:spacing w:afterLines="0"/>
              <w:ind w:firstLine="0" w:firstLineChars="0"/>
              <w:rPr>
                <w:sz w:val="21"/>
                <w:szCs w:val="21"/>
              </w:rPr>
            </w:pPr>
            <w:r>
              <w:rPr>
                <w:sz w:val="21"/>
                <w:szCs w:val="21"/>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308" w:type="pct"/>
            <w:tcBorders>
              <w:tl2br w:val="nil"/>
              <w:tr2bl w:val="nil"/>
            </w:tcBorders>
            <w:vAlign w:val="center"/>
          </w:tcPr>
          <w:p>
            <w:pPr>
              <w:pStyle w:val="2057"/>
              <w:spacing w:afterLines="0"/>
              <w:ind w:firstLine="0" w:firstLineChars="0"/>
              <w:rPr>
                <w:sz w:val="21"/>
                <w:szCs w:val="21"/>
              </w:rPr>
            </w:pPr>
            <w:r>
              <w:rPr>
                <w:sz w:val="21"/>
                <w:szCs w:val="21"/>
              </w:rPr>
              <w:t>4</w:t>
            </w:r>
          </w:p>
        </w:tc>
        <w:tc>
          <w:tcPr>
            <w:tcW w:w="963" w:type="pct"/>
            <w:tcBorders>
              <w:tl2br w:val="nil"/>
              <w:tr2bl w:val="nil"/>
            </w:tcBorders>
            <w:vAlign w:val="center"/>
          </w:tcPr>
          <w:p>
            <w:pPr>
              <w:pStyle w:val="2057"/>
              <w:spacing w:afterLines="0"/>
              <w:ind w:firstLine="0" w:firstLineChars="0"/>
              <w:rPr>
                <w:sz w:val="21"/>
                <w:szCs w:val="21"/>
              </w:rPr>
            </w:pPr>
            <w:r>
              <w:rPr>
                <w:sz w:val="21"/>
                <w:szCs w:val="21"/>
              </w:rPr>
              <w:t>4#泊位</w:t>
            </w:r>
            <w:r>
              <w:rPr>
                <w:rFonts w:hint="eastAsia"/>
                <w:sz w:val="21"/>
                <w:szCs w:val="21"/>
              </w:rPr>
              <w:t>卸船起尘</w:t>
            </w:r>
          </w:p>
        </w:tc>
        <w:tc>
          <w:tcPr>
            <w:tcW w:w="532" w:type="pct"/>
            <w:tcBorders>
              <w:tl2br w:val="nil"/>
              <w:tr2bl w:val="nil"/>
            </w:tcBorders>
            <w:vAlign w:val="center"/>
          </w:tcPr>
          <w:p>
            <w:pPr>
              <w:pStyle w:val="2057"/>
              <w:spacing w:afterLines="0"/>
              <w:ind w:firstLine="0" w:firstLineChars="0"/>
              <w:rPr>
                <w:sz w:val="21"/>
                <w:szCs w:val="21"/>
              </w:rPr>
            </w:pPr>
            <w:r>
              <w:rPr>
                <w:sz w:val="21"/>
                <w:szCs w:val="21"/>
              </w:rPr>
              <w:t>123</w:t>
            </w:r>
          </w:p>
        </w:tc>
        <w:tc>
          <w:tcPr>
            <w:tcW w:w="532" w:type="pct"/>
            <w:tcBorders>
              <w:tl2br w:val="nil"/>
              <w:tr2bl w:val="nil"/>
            </w:tcBorders>
            <w:vAlign w:val="center"/>
          </w:tcPr>
          <w:p>
            <w:pPr>
              <w:pStyle w:val="2057"/>
              <w:spacing w:afterLines="0"/>
              <w:ind w:firstLine="0" w:firstLineChars="0"/>
              <w:rPr>
                <w:sz w:val="21"/>
                <w:szCs w:val="21"/>
              </w:rPr>
            </w:pPr>
            <w:r>
              <w:rPr>
                <w:sz w:val="21"/>
                <w:szCs w:val="21"/>
              </w:rPr>
              <w:t>21.6</w:t>
            </w:r>
          </w:p>
        </w:tc>
        <w:tc>
          <w:tcPr>
            <w:tcW w:w="622" w:type="pct"/>
            <w:tcBorders>
              <w:tl2br w:val="nil"/>
              <w:tr2bl w:val="nil"/>
            </w:tcBorders>
            <w:vAlign w:val="center"/>
          </w:tcPr>
          <w:p>
            <w:pPr>
              <w:pStyle w:val="2057"/>
              <w:spacing w:afterLines="0"/>
              <w:ind w:firstLine="0" w:firstLineChars="0"/>
              <w:rPr>
                <w:sz w:val="21"/>
                <w:szCs w:val="21"/>
              </w:rPr>
            </w:pPr>
            <w:r>
              <w:rPr>
                <w:rFonts w:hint="eastAsia"/>
                <w:sz w:val="21"/>
                <w:szCs w:val="21"/>
              </w:rPr>
              <w:t>0.2</w:t>
            </w:r>
          </w:p>
        </w:tc>
        <w:tc>
          <w:tcPr>
            <w:tcW w:w="619" w:type="pct"/>
            <w:tcBorders>
              <w:tl2br w:val="nil"/>
              <w:tr2bl w:val="nil"/>
            </w:tcBorders>
            <w:vAlign w:val="center"/>
          </w:tcPr>
          <w:p>
            <w:pPr>
              <w:pStyle w:val="2057"/>
              <w:spacing w:afterLines="0"/>
              <w:ind w:firstLine="0" w:firstLineChars="0"/>
              <w:rPr>
                <w:sz w:val="21"/>
                <w:szCs w:val="21"/>
              </w:rPr>
            </w:pPr>
            <w:r>
              <w:rPr>
                <w:sz w:val="21"/>
                <w:szCs w:val="21"/>
              </w:rPr>
              <w:t>TSP</w:t>
            </w:r>
          </w:p>
        </w:tc>
        <w:tc>
          <w:tcPr>
            <w:tcW w:w="710" w:type="pct"/>
            <w:tcBorders>
              <w:tl2br w:val="nil"/>
              <w:tr2bl w:val="nil"/>
            </w:tcBorders>
            <w:vAlign w:val="center"/>
          </w:tcPr>
          <w:p>
            <w:pPr>
              <w:widowControl/>
              <w:tabs>
                <w:tab w:val="clear" w:pos="480"/>
              </w:tabs>
              <w:spacing w:line="240" w:lineRule="auto"/>
              <w:ind w:firstLine="0" w:firstLineChars="0"/>
              <w:jc w:val="center"/>
              <w:rPr>
                <w:sz w:val="21"/>
                <w:szCs w:val="21"/>
              </w:rPr>
            </w:pPr>
            <w:r>
              <w:rPr>
                <w:rFonts w:hint="eastAsia"/>
                <w:color w:val="000000"/>
                <w:sz w:val="22"/>
                <w:szCs w:val="22"/>
              </w:rPr>
              <w:t xml:space="preserve">0.148 </w:t>
            </w:r>
          </w:p>
        </w:tc>
        <w:tc>
          <w:tcPr>
            <w:tcW w:w="709" w:type="pct"/>
            <w:tcBorders>
              <w:tl2br w:val="nil"/>
              <w:tr2bl w:val="nil"/>
            </w:tcBorders>
            <w:vAlign w:val="center"/>
          </w:tcPr>
          <w:p>
            <w:pPr>
              <w:pStyle w:val="2057"/>
              <w:spacing w:afterLines="0"/>
              <w:ind w:firstLine="0" w:firstLineChars="0"/>
              <w:rPr>
                <w:sz w:val="21"/>
                <w:szCs w:val="21"/>
              </w:rPr>
            </w:pPr>
            <w:r>
              <w:rPr>
                <w:sz w:val="21"/>
                <w:szCs w:val="21"/>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308" w:type="pct"/>
            <w:tcBorders>
              <w:tl2br w:val="nil"/>
              <w:tr2bl w:val="nil"/>
            </w:tcBorders>
            <w:vAlign w:val="center"/>
          </w:tcPr>
          <w:p>
            <w:pPr>
              <w:pStyle w:val="2057"/>
              <w:spacing w:afterLines="0"/>
              <w:ind w:firstLine="0" w:firstLineChars="0"/>
              <w:rPr>
                <w:sz w:val="21"/>
                <w:szCs w:val="21"/>
              </w:rPr>
            </w:pPr>
            <w:r>
              <w:rPr>
                <w:rFonts w:hint="eastAsia"/>
                <w:sz w:val="21"/>
                <w:szCs w:val="21"/>
              </w:rPr>
              <w:t>5</w:t>
            </w:r>
          </w:p>
        </w:tc>
        <w:tc>
          <w:tcPr>
            <w:tcW w:w="963" w:type="pct"/>
            <w:tcBorders>
              <w:tl2br w:val="nil"/>
              <w:tr2bl w:val="nil"/>
            </w:tcBorders>
            <w:vAlign w:val="center"/>
          </w:tcPr>
          <w:p>
            <w:pPr>
              <w:pStyle w:val="2057"/>
              <w:spacing w:afterLines="0"/>
              <w:ind w:firstLine="0" w:firstLineChars="0"/>
              <w:rPr>
                <w:sz w:val="21"/>
                <w:szCs w:val="21"/>
              </w:rPr>
            </w:pPr>
            <w:r>
              <w:rPr>
                <w:sz w:val="21"/>
                <w:szCs w:val="21"/>
              </w:rPr>
              <w:t>5#泊位</w:t>
            </w:r>
            <w:r>
              <w:rPr>
                <w:rFonts w:hint="eastAsia"/>
                <w:sz w:val="21"/>
                <w:szCs w:val="21"/>
              </w:rPr>
              <w:t>卸船起尘</w:t>
            </w:r>
          </w:p>
        </w:tc>
        <w:tc>
          <w:tcPr>
            <w:tcW w:w="532" w:type="pct"/>
            <w:tcBorders>
              <w:tl2br w:val="nil"/>
              <w:tr2bl w:val="nil"/>
            </w:tcBorders>
            <w:vAlign w:val="center"/>
          </w:tcPr>
          <w:p>
            <w:pPr>
              <w:pStyle w:val="2057"/>
              <w:spacing w:afterLines="0"/>
              <w:ind w:firstLine="0" w:firstLineChars="0"/>
              <w:rPr>
                <w:sz w:val="21"/>
                <w:szCs w:val="21"/>
              </w:rPr>
            </w:pPr>
            <w:r>
              <w:rPr>
                <w:sz w:val="21"/>
                <w:szCs w:val="21"/>
              </w:rPr>
              <w:t>123</w:t>
            </w:r>
          </w:p>
        </w:tc>
        <w:tc>
          <w:tcPr>
            <w:tcW w:w="532" w:type="pct"/>
            <w:tcBorders>
              <w:tl2br w:val="nil"/>
              <w:tr2bl w:val="nil"/>
            </w:tcBorders>
            <w:vAlign w:val="center"/>
          </w:tcPr>
          <w:p>
            <w:pPr>
              <w:pStyle w:val="2057"/>
              <w:spacing w:afterLines="0"/>
              <w:ind w:firstLine="0" w:firstLineChars="0"/>
              <w:rPr>
                <w:sz w:val="21"/>
                <w:szCs w:val="21"/>
              </w:rPr>
            </w:pPr>
            <w:r>
              <w:rPr>
                <w:sz w:val="21"/>
                <w:szCs w:val="21"/>
              </w:rPr>
              <w:t>21.6</w:t>
            </w:r>
          </w:p>
        </w:tc>
        <w:tc>
          <w:tcPr>
            <w:tcW w:w="622" w:type="pct"/>
            <w:tcBorders>
              <w:tl2br w:val="nil"/>
              <w:tr2bl w:val="nil"/>
            </w:tcBorders>
            <w:vAlign w:val="center"/>
          </w:tcPr>
          <w:p>
            <w:pPr>
              <w:pStyle w:val="2057"/>
              <w:spacing w:afterLines="0"/>
              <w:ind w:firstLine="0" w:firstLineChars="0"/>
              <w:rPr>
                <w:sz w:val="21"/>
                <w:szCs w:val="21"/>
              </w:rPr>
            </w:pPr>
            <w:r>
              <w:rPr>
                <w:rFonts w:hint="eastAsia"/>
                <w:sz w:val="21"/>
                <w:szCs w:val="21"/>
              </w:rPr>
              <w:t>0.5</w:t>
            </w:r>
          </w:p>
        </w:tc>
        <w:tc>
          <w:tcPr>
            <w:tcW w:w="619" w:type="pct"/>
            <w:tcBorders>
              <w:tl2br w:val="nil"/>
              <w:tr2bl w:val="nil"/>
            </w:tcBorders>
            <w:vAlign w:val="center"/>
          </w:tcPr>
          <w:p>
            <w:pPr>
              <w:pStyle w:val="2057"/>
              <w:spacing w:afterLines="0"/>
              <w:ind w:firstLine="0" w:firstLineChars="0"/>
              <w:rPr>
                <w:sz w:val="21"/>
                <w:szCs w:val="21"/>
              </w:rPr>
            </w:pPr>
            <w:r>
              <w:rPr>
                <w:sz w:val="21"/>
                <w:szCs w:val="21"/>
              </w:rPr>
              <w:t>TSP</w:t>
            </w:r>
          </w:p>
        </w:tc>
        <w:tc>
          <w:tcPr>
            <w:tcW w:w="710" w:type="pct"/>
            <w:tcBorders>
              <w:tl2br w:val="nil"/>
              <w:tr2bl w:val="nil"/>
            </w:tcBorders>
            <w:vAlign w:val="center"/>
          </w:tcPr>
          <w:p>
            <w:pPr>
              <w:widowControl/>
              <w:tabs>
                <w:tab w:val="clear" w:pos="480"/>
              </w:tabs>
              <w:spacing w:line="240" w:lineRule="auto"/>
              <w:ind w:firstLine="0" w:firstLineChars="0"/>
              <w:jc w:val="center"/>
              <w:rPr>
                <w:sz w:val="21"/>
                <w:szCs w:val="21"/>
              </w:rPr>
            </w:pPr>
            <w:r>
              <w:rPr>
                <w:rFonts w:hint="eastAsia"/>
                <w:color w:val="000000"/>
                <w:sz w:val="22"/>
                <w:szCs w:val="22"/>
              </w:rPr>
              <w:t xml:space="preserve">0.162 </w:t>
            </w:r>
          </w:p>
        </w:tc>
        <w:tc>
          <w:tcPr>
            <w:tcW w:w="709" w:type="pct"/>
            <w:tcBorders>
              <w:tl2br w:val="nil"/>
              <w:tr2bl w:val="nil"/>
            </w:tcBorders>
            <w:vAlign w:val="center"/>
          </w:tcPr>
          <w:p>
            <w:pPr>
              <w:pStyle w:val="2057"/>
              <w:spacing w:afterLines="0"/>
              <w:ind w:firstLine="0" w:firstLineChars="0"/>
              <w:rPr>
                <w:sz w:val="21"/>
                <w:szCs w:val="21"/>
              </w:rPr>
            </w:pPr>
            <w:r>
              <w:rPr>
                <w:sz w:val="21"/>
                <w:szCs w:val="21"/>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308" w:type="pct"/>
            <w:tcBorders>
              <w:tl2br w:val="nil"/>
              <w:tr2bl w:val="nil"/>
            </w:tcBorders>
            <w:vAlign w:val="center"/>
          </w:tcPr>
          <w:p>
            <w:pPr>
              <w:pStyle w:val="2057"/>
              <w:spacing w:afterLines="0"/>
              <w:ind w:firstLine="0" w:firstLineChars="0"/>
              <w:rPr>
                <w:sz w:val="21"/>
                <w:szCs w:val="21"/>
              </w:rPr>
            </w:pPr>
            <w:r>
              <w:rPr>
                <w:rFonts w:hint="eastAsia"/>
                <w:sz w:val="21"/>
                <w:szCs w:val="21"/>
              </w:rPr>
              <w:t>6</w:t>
            </w:r>
          </w:p>
        </w:tc>
        <w:tc>
          <w:tcPr>
            <w:tcW w:w="963" w:type="pct"/>
            <w:tcBorders>
              <w:tl2br w:val="nil"/>
              <w:tr2bl w:val="nil"/>
            </w:tcBorders>
            <w:vAlign w:val="center"/>
          </w:tcPr>
          <w:p>
            <w:pPr>
              <w:pStyle w:val="2057"/>
              <w:spacing w:afterLines="0"/>
              <w:ind w:firstLine="0" w:firstLineChars="0"/>
              <w:rPr>
                <w:sz w:val="21"/>
                <w:szCs w:val="21"/>
              </w:rPr>
            </w:pPr>
            <w:r>
              <w:rPr>
                <w:sz w:val="21"/>
                <w:szCs w:val="21"/>
              </w:rPr>
              <w:t>6#泊位</w:t>
            </w:r>
            <w:r>
              <w:rPr>
                <w:rFonts w:hint="eastAsia"/>
                <w:sz w:val="21"/>
                <w:szCs w:val="21"/>
              </w:rPr>
              <w:t>卸船起尘</w:t>
            </w:r>
          </w:p>
        </w:tc>
        <w:tc>
          <w:tcPr>
            <w:tcW w:w="532" w:type="pct"/>
            <w:tcBorders>
              <w:tl2br w:val="nil"/>
              <w:tr2bl w:val="nil"/>
            </w:tcBorders>
            <w:vAlign w:val="center"/>
          </w:tcPr>
          <w:p>
            <w:pPr>
              <w:pStyle w:val="2057"/>
              <w:spacing w:afterLines="0"/>
              <w:ind w:firstLine="0" w:firstLineChars="0"/>
              <w:rPr>
                <w:sz w:val="21"/>
                <w:szCs w:val="21"/>
              </w:rPr>
            </w:pPr>
            <w:r>
              <w:rPr>
                <w:rFonts w:hint="eastAsia"/>
                <w:sz w:val="21"/>
                <w:szCs w:val="21"/>
              </w:rPr>
              <w:t>1</w:t>
            </w:r>
            <w:r>
              <w:rPr>
                <w:sz w:val="21"/>
                <w:szCs w:val="21"/>
              </w:rPr>
              <w:t>10</w:t>
            </w:r>
          </w:p>
        </w:tc>
        <w:tc>
          <w:tcPr>
            <w:tcW w:w="532" w:type="pct"/>
            <w:tcBorders>
              <w:tl2br w:val="nil"/>
              <w:tr2bl w:val="nil"/>
            </w:tcBorders>
            <w:vAlign w:val="center"/>
          </w:tcPr>
          <w:p>
            <w:pPr>
              <w:pStyle w:val="2057"/>
              <w:spacing w:afterLines="0"/>
              <w:ind w:firstLine="0" w:firstLineChars="0"/>
              <w:rPr>
                <w:sz w:val="21"/>
                <w:szCs w:val="21"/>
              </w:rPr>
            </w:pPr>
            <w:r>
              <w:rPr>
                <w:rFonts w:hint="eastAsia"/>
                <w:sz w:val="21"/>
                <w:szCs w:val="21"/>
              </w:rPr>
              <w:t>1</w:t>
            </w:r>
            <w:r>
              <w:rPr>
                <w:sz w:val="21"/>
                <w:szCs w:val="21"/>
              </w:rPr>
              <w:t>9.2</w:t>
            </w:r>
          </w:p>
        </w:tc>
        <w:tc>
          <w:tcPr>
            <w:tcW w:w="622" w:type="pct"/>
            <w:tcBorders>
              <w:tl2br w:val="nil"/>
              <w:tr2bl w:val="nil"/>
            </w:tcBorders>
            <w:vAlign w:val="center"/>
          </w:tcPr>
          <w:p>
            <w:pPr>
              <w:pStyle w:val="2057"/>
              <w:spacing w:afterLines="0"/>
              <w:ind w:firstLine="0" w:firstLineChars="0"/>
              <w:rPr>
                <w:sz w:val="21"/>
                <w:szCs w:val="21"/>
              </w:rPr>
            </w:pPr>
            <w:r>
              <w:rPr>
                <w:rFonts w:hint="eastAsia"/>
                <w:sz w:val="21"/>
                <w:szCs w:val="21"/>
              </w:rPr>
              <w:t>0.5</w:t>
            </w:r>
          </w:p>
        </w:tc>
        <w:tc>
          <w:tcPr>
            <w:tcW w:w="619" w:type="pct"/>
            <w:tcBorders>
              <w:tl2br w:val="nil"/>
              <w:tr2bl w:val="nil"/>
            </w:tcBorders>
            <w:vAlign w:val="center"/>
          </w:tcPr>
          <w:p>
            <w:pPr>
              <w:pStyle w:val="2057"/>
              <w:spacing w:afterLines="0"/>
              <w:ind w:firstLine="0" w:firstLineChars="0"/>
              <w:rPr>
                <w:sz w:val="21"/>
                <w:szCs w:val="21"/>
              </w:rPr>
            </w:pPr>
            <w:r>
              <w:rPr>
                <w:sz w:val="21"/>
                <w:szCs w:val="21"/>
              </w:rPr>
              <w:t>TSP</w:t>
            </w:r>
          </w:p>
        </w:tc>
        <w:tc>
          <w:tcPr>
            <w:tcW w:w="710" w:type="pct"/>
            <w:tcBorders>
              <w:tl2br w:val="nil"/>
              <w:tr2bl w:val="nil"/>
            </w:tcBorders>
            <w:vAlign w:val="center"/>
          </w:tcPr>
          <w:p>
            <w:pPr>
              <w:widowControl/>
              <w:tabs>
                <w:tab w:val="clear" w:pos="480"/>
              </w:tabs>
              <w:spacing w:line="240" w:lineRule="auto"/>
              <w:ind w:firstLine="0" w:firstLineChars="0"/>
              <w:jc w:val="center"/>
              <w:rPr>
                <w:sz w:val="21"/>
                <w:szCs w:val="21"/>
              </w:rPr>
            </w:pPr>
            <w:r>
              <w:rPr>
                <w:rFonts w:hint="eastAsia"/>
                <w:color w:val="000000"/>
                <w:sz w:val="22"/>
                <w:szCs w:val="22"/>
              </w:rPr>
              <w:t xml:space="preserve">0.065 </w:t>
            </w:r>
          </w:p>
        </w:tc>
        <w:tc>
          <w:tcPr>
            <w:tcW w:w="709" w:type="pct"/>
            <w:tcBorders>
              <w:tl2br w:val="nil"/>
              <w:tr2bl w:val="nil"/>
            </w:tcBorders>
            <w:vAlign w:val="center"/>
          </w:tcPr>
          <w:p>
            <w:pPr>
              <w:pStyle w:val="2057"/>
              <w:spacing w:afterLines="0"/>
              <w:ind w:firstLine="0" w:firstLineChars="0"/>
              <w:rPr>
                <w:sz w:val="21"/>
                <w:szCs w:val="21"/>
              </w:rPr>
            </w:pPr>
            <w:r>
              <w:rPr>
                <w:sz w:val="21"/>
                <w:szCs w:val="21"/>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308" w:type="pct"/>
            <w:tcBorders>
              <w:tl2br w:val="nil"/>
              <w:tr2bl w:val="nil"/>
            </w:tcBorders>
            <w:vAlign w:val="center"/>
          </w:tcPr>
          <w:p>
            <w:pPr>
              <w:pStyle w:val="2057"/>
              <w:spacing w:afterLines="0"/>
              <w:ind w:firstLine="0" w:firstLineChars="0"/>
              <w:rPr>
                <w:sz w:val="21"/>
                <w:szCs w:val="21"/>
              </w:rPr>
            </w:pPr>
            <w:r>
              <w:rPr>
                <w:rFonts w:hint="eastAsia"/>
                <w:sz w:val="21"/>
                <w:szCs w:val="21"/>
              </w:rPr>
              <w:t>7</w:t>
            </w:r>
          </w:p>
        </w:tc>
        <w:tc>
          <w:tcPr>
            <w:tcW w:w="963" w:type="pct"/>
            <w:tcBorders>
              <w:tl2br w:val="nil"/>
              <w:tr2bl w:val="nil"/>
            </w:tcBorders>
            <w:vAlign w:val="center"/>
          </w:tcPr>
          <w:p>
            <w:pPr>
              <w:pStyle w:val="2057"/>
              <w:spacing w:afterLines="0"/>
              <w:ind w:firstLine="0" w:firstLineChars="0"/>
              <w:rPr>
                <w:sz w:val="21"/>
                <w:szCs w:val="21"/>
              </w:rPr>
            </w:pPr>
            <w:r>
              <w:rPr>
                <w:rFonts w:hint="eastAsia"/>
                <w:sz w:val="21"/>
                <w:szCs w:val="21"/>
              </w:rPr>
              <w:t>卸车料棚自卸车起尘</w:t>
            </w:r>
          </w:p>
        </w:tc>
        <w:tc>
          <w:tcPr>
            <w:tcW w:w="532" w:type="pct"/>
            <w:tcBorders>
              <w:tl2br w:val="nil"/>
              <w:tr2bl w:val="nil"/>
            </w:tcBorders>
            <w:vAlign w:val="center"/>
          </w:tcPr>
          <w:p>
            <w:pPr>
              <w:pStyle w:val="2057"/>
              <w:spacing w:afterLines="0"/>
              <w:ind w:firstLine="0" w:firstLineChars="0"/>
              <w:rPr>
                <w:sz w:val="21"/>
                <w:szCs w:val="21"/>
              </w:rPr>
            </w:pPr>
            <w:r>
              <w:rPr>
                <w:rFonts w:hint="eastAsia"/>
                <w:sz w:val="21"/>
                <w:szCs w:val="21"/>
              </w:rPr>
              <w:t>8</w:t>
            </w:r>
            <w:r>
              <w:rPr>
                <w:sz w:val="21"/>
                <w:szCs w:val="21"/>
              </w:rPr>
              <w:t>4</w:t>
            </w:r>
          </w:p>
        </w:tc>
        <w:tc>
          <w:tcPr>
            <w:tcW w:w="532" w:type="pct"/>
            <w:tcBorders>
              <w:tl2br w:val="nil"/>
              <w:tr2bl w:val="nil"/>
            </w:tcBorders>
            <w:vAlign w:val="center"/>
          </w:tcPr>
          <w:p>
            <w:pPr>
              <w:pStyle w:val="2057"/>
              <w:spacing w:afterLines="0"/>
              <w:ind w:firstLine="0" w:firstLineChars="0"/>
              <w:rPr>
                <w:sz w:val="21"/>
                <w:szCs w:val="21"/>
              </w:rPr>
            </w:pPr>
            <w:r>
              <w:rPr>
                <w:rFonts w:hint="eastAsia"/>
                <w:sz w:val="21"/>
                <w:szCs w:val="21"/>
              </w:rPr>
              <w:t>3</w:t>
            </w:r>
            <w:r>
              <w:rPr>
                <w:sz w:val="21"/>
                <w:szCs w:val="21"/>
              </w:rPr>
              <w:t>0</w:t>
            </w:r>
          </w:p>
        </w:tc>
        <w:tc>
          <w:tcPr>
            <w:tcW w:w="622" w:type="pct"/>
            <w:tcBorders>
              <w:tl2br w:val="nil"/>
              <w:tr2bl w:val="nil"/>
            </w:tcBorders>
            <w:vAlign w:val="center"/>
          </w:tcPr>
          <w:p>
            <w:pPr>
              <w:pStyle w:val="2057"/>
              <w:spacing w:afterLines="0"/>
              <w:ind w:firstLine="0" w:firstLineChars="0"/>
              <w:rPr>
                <w:sz w:val="21"/>
                <w:szCs w:val="21"/>
              </w:rPr>
            </w:pPr>
            <w:r>
              <w:rPr>
                <w:rFonts w:hint="eastAsia"/>
                <w:sz w:val="21"/>
                <w:szCs w:val="21"/>
              </w:rPr>
              <w:t>0</w:t>
            </w:r>
            <w:r>
              <w:rPr>
                <w:sz w:val="21"/>
                <w:szCs w:val="21"/>
              </w:rPr>
              <w:t>.5</w:t>
            </w:r>
          </w:p>
        </w:tc>
        <w:tc>
          <w:tcPr>
            <w:tcW w:w="619" w:type="pct"/>
            <w:tcBorders>
              <w:tl2br w:val="nil"/>
              <w:tr2bl w:val="nil"/>
            </w:tcBorders>
            <w:vAlign w:val="center"/>
          </w:tcPr>
          <w:p>
            <w:pPr>
              <w:pStyle w:val="2057"/>
              <w:spacing w:afterLines="0"/>
              <w:ind w:firstLine="0" w:firstLineChars="0"/>
              <w:rPr>
                <w:sz w:val="21"/>
                <w:szCs w:val="21"/>
              </w:rPr>
            </w:pPr>
            <w:r>
              <w:rPr>
                <w:sz w:val="21"/>
                <w:szCs w:val="21"/>
              </w:rPr>
              <w:t>TSP</w:t>
            </w:r>
          </w:p>
        </w:tc>
        <w:tc>
          <w:tcPr>
            <w:tcW w:w="710" w:type="pct"/>
            <w:tcBorders>
              <w:tl2br w:val="nil"/>
              <w:tr2bl w:val="nil"/>
            </w:tcBorders>
            <w:vAlign w:val="center"/>
          </w:tcPr>
          <w:p>
            <w:pPr>
              <w:widowControl/>
              <w:tabs>
                <w:tab w:val="clear" w:pos="480"/>
              </w:tabs>
              <w:spacing w:line="240" w:lineRule="auto"/>
              <w:ind w:firstLine="0" w:firstLineChars="0"/>
              <w:jc w:val="center"/>
              <w:rPr>
                <w:color w:val="000000"/>
                <w:sz w:val="22"/>
                <w:szCs w:val="22"/>
              </w:rPr>
            </w:pPr>
            <w:r>
              <w:rPr>
                <w:rFonts w:hint="eastAsia"/>
                <w:color w:val="000000"/>
                <w:sz w:val="22"/>
                <w:szCs w:val="22"/>
              </w:rPr>
              <w:t xml:space="preserve">0.158 </w:t>
            </w:r>
          </w:p>
        </w:tc>
        <w:tc>
          <w:tcPr>
            <w:tcW w:w="709" w:type="pct"/>
            <w:tcBorders>
              <w:tl2br w:val="nil"/>
              <w:tr2bl w:val="nil"/>
            </w:tcBorders>
            <w:vAlign w:val="center"/>
          </w:tcPr>
          <w:p>
            <w:pPr>
              <w:pStyle w:val="2057"/>
              <w:spacing w:afterLines="0"/>
              <w:ind w:firstLine="0" w:firstLineChars="0"/>
              <w:rPr>
                <w:sz w:val="21"/>
                <w:szCs w:val="21"/>
              </w:rPr>
            </w:pPr>
            <w:r>
              <w:rPr>
                <w:sz w:val="21"/>
                <w:szCs w:val="21"/>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308" w:type="pct"/>
            <w:vMerge w:val="restart"/>
            <w:tcBorders>
              <w:tl2br w:val="nil"/>
              <w:tr2bl w:val="nil"/>
            </w:tcBorders>
            <w:vAlign w:val="center"/>
          </w:tcPr>
          <w:p>
            <w:pPr>
              <w:pStyle w:val="2057"/>
              <w:spacing w:afterLines="0"/>
              <w:ind w:firstLine="0" w:firstLineChars="0"/>
              <w:rPr>
                <w:sz w:val="21"/>
                <w:szCs w:val="21"/>
              </w:rPr>
            </w:pPr>
            <w:r>
              <w:rPr>
                <w:sz w:val="21"/>
                <w:szCs w:val="21"/>
              </w:rPr>
              <w:t>8</w:t>
            </w:r>
          </w:p>
        </w:tc>
        <w:tc>
          <w:tcPr>
            <w:tcW w:w="963" w:type="pct"/>
            <w:vMerge w:val="restart"/>
            <w:tcBorders>
              <w:tl2br w:val="nil"/>
              <w:tr2bl w:val="nil"/>
            </w:tcBorders>
            <w:vAlign w:val="center"/>
          </w:tcPr>
          <w:p>
            <w:pPr>
              <w:pStyle w:val="2057"/>
              <w:spacing w:afterLines="0"/>
              <w:ind w:firstLine="0" w:firstLineChars="0"/>
              <w:rPr>
                <w:sz w:val="21"/>
                <w:szCs w:val="21"/>
              </w:rPr>
            </w:pPr>
            <w:r>
              <w:rPr>
                <w:rFonts w:hint="eastAsia"/>
                <w:sz w:val="21"/>
                <w:szCs w:val="21"/>
              </w:rPr>
              <w:t>道路扬尘</w:t>
            </w:r>
          </w:p>
        </w:tc>
        <w:tc>
          <w:tcPr>
            <w:tcW w:w="1065" w:type="pct"/>
            <w:gridSpan w:val="2"/>
            <w:vMerge w:val="restart"/>
            <w:tcBorders>
              <w:tl2br w:val="nil"/>
              <w:tr2bl w:val="nil"/>
            </w:tcBorders>
            <w:vAlign w:val="center"/>
          </w:tcPr>
          <w:p>
            <w:pPr>
              <w:pStyle w:val="2057"/>
              <w:spacing w:afterLines="0"/>
              <w:ind w:firstLine="0" w:firstLineChars="0"/>
              <w:rPr>
                <w:sz w:val="21"/>
                <w:szCs w:val="21"/>
              </w:rPr>
            </w:pPr>
            <w:r>
              <w:rPr>
                <w:rFonts w:hint="eastAsia"/>
                <w:sz w:val="21"/>
                <w:szCs w:val="21"/>
              </w:rPr>
              <w:t>码头平台、疏港大道</w:t>
            </w:r>
          </w:p>
        </w:tc>
        <w:tc>
          <w:tcPr>
            <w:tcW w:w="622" w:type="pct"/>
            <w:vMerge w:val="restart"/>
            <w:tcBorders>
              <w:tl2br w:val="nil"/>
              <w:tr2bl w:val="nil"/>
            </w:tcBorders>
            <w:vAlign w:val="center"/>
          </w:tcPr>
          <w:p>
            <w:pPr>
              <w:pStyle w:val="2057"/>
              <w:spacing w:afterLines="0"/>
              <w:ind w:firstLine="0" w:firstLineChars="0"/>
              <w:rPr>
                <w:sz w:val="21"/>
                <w:szCs w:val="21"/>
              </w:rPr>
            </w:pPr>
            <w:r>
              <w:rPr>
                <w:rFonts w:hint="eastAsia"/>
                <w:sz w:val="21"/>
                <w:szCs w:val="21"/>
              </w:rPr>
              <w:t>3</w:t>
            </w:r>
          </w:p>
        </w:tc>
        <w:tc>
          <w:tcPr>
            <w:tcW w:w="619" w:type="pct"/>
            <w:tcBorders>
              <w:tl2br w:val="nil"/>
              <w:tr2bl w:val="nil"/>
            </w:tcBorders>
            <w:vAlign w:val="center"/>
          </w:tcPr>
          <w:p>
            <w:pPr>
              <w:pStyle w:val="2057"/>
              <w:spacing w:afterLines="0"/>
              <w:ind w:firstLine="0" w:firstLineChars="0"/>
              <w:rPr>
                <w:sz w:val="21"/>
                <w:szCs w:val="21"/>
              </w:rPr>
            </w:pPr>
            <w:r>
              <w:rPr>
                <w:sz w:val="21"/>
                <w:szCs w:val="21"/>
              </w:rPr>
              <w:t>TSP</w:t>
            </w:r>
          </w:p>
        </w:tc>
        <w:tc>
          <w:tcPr>
            <w:tcW w:w="710" w:type="pct"/>
            <w:tcBorders>
              <w:tl2br w:val="nil"/>
              <w:tr2bl w:val="nil"/>
            </w:tcBorders>
            <w:vAlign w:val="center"/>
          </w:tcPr>
          <w:p>
            <w:pPr>
              <w:pStyle w:val="2057"/>
              <w:spacing w:afterLines="0"/>
              <w:ind w:firstLine="0" w:firstLineChars="0"/>
              <w:rPr>
                <w:sz w:val="21"/>
                <w:szCs w:val="21"/>
              </w:rPr>
            </w:pPr>
            <w:r>
              <w:rPr>
                <w:sz w:val="21"/>
                <w:szCs w:val="21"/>
              </w:rPr>
              <w:t xml:space="preserve">0.035 </w:t>
            </w:r>
          </w:p>
        </w:tc>
        <w:tc>
          <w:tcPr>
            <w:tcW w:w="709" w:type="pct"/>
            <w:tcBorders>
              <w:tl2br w:val="nil"/>
              <w:tr2bl w:val="nil"/>
            </w:tcBorders>
            <w:vAlign w:val="center"/>
          </w:tcPr>
          <w:p>
            <w:pPr>
              <w:pStyle w:val="2057"/>
              <w:spacing w:afterLines="0"/>
              <w:ind w:firstLine="0" w:firstLineChars="0"/>
              <w:rPr>
                <w:sz w:val="21"/>
                <w:szCs w:val="21"/>
              </w:rPr>
            </w:pPr>
            <w:r>
              <w:rPr>
                <w:sz w:val="21"/>
                <w:szCs w:val="21"/>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308" w:type="pct"/>
            <w:vMerge w:val="continue"/>
            <w:tcBorders>
              <w:tl2br w:val="nil"/>
              <w:tr2bl w:val="nil"/>
            </w:tcBorders>
            <w:vAlign w:val="center"/>
          </w:tcPr>
          <w:p>
            <w:pPr>
              <w:pStyle w:val="2057"/>
              <w:spacing w:afterLines="0"/>
              <w:ind w:firstLine="0" w:firstLineChars="0"/>
              <w:rPr>
                <w:sz w:val="21"/>
                <w:szCs w:val="21"/>
              </w:rPr>
            </w:pPr>
          </w:p>
        </w:tc>
        <w:tc>
          <w:tcPr>
            <w:tcW w:w="963" w:type="pct"/>
            <w:vMerge w:val="continue"/>
            <w:tcBorders>
              <w:tl2br w:val="nil"/>
              <w:tr2bl w:val="nil"/>
            </w:tcBorders>
            <w:vAlign w:val="center"/>
          </w:tcPr>
          <w:p>
            <w:pPr>
              <w:pStyle w:val="2057"/>
              <w:spacing w:afterLines="0"/>
              <w:ind w:firstLine="0" w:firstLineChars="0"/>
              <w:rPr>
                <w:sz w:val="21"/>
                <w:szCs w:val="21"/>
              </w:rPr>
            </w:pPr>
          </w:p>
        </w:tc>
        <w:tc>
          <w:tcPr>
            <w:tcW w:w="1065" w:type="pct"/>
            <w:gridSpan w:val="2"/>
            <w:vMerge w:val="continue"/>
            <w:tcBorders>
              <w:tl2br w:val="nil"/>
              <w:tr2bl w:val="nil"/>
            </w:tcBorders>
            <w:vAlign w:val="center"/>
          </w:tcPr>
          <w:p>
            <w:pPr>
              <w:pStyle w:val="2057"/>
              <w:spacing w:afterLines="0"/>
              <w:ind w:firstLine="0" w:firstLineChars="0"/>
              <w:rPr>
                <w:sz w:val="21"/>
                <w:szCs w:val="21"/>
              </w:rPr>
            </w:pPr>
          </w:p>
        </w:tc>
        <w:tc>
          <w:tcPr>
            <w:tcW w:w="622" w:type="pct"/>
            <w:vMerge w:val="continue"/>
            <w:tcBorders>
              <w:tl2br w:val="nil"/>
              <w:tr2bl w:val="nil"/>
            </w:tcBorders>
            <w:vAlign w:val="center"/>
          </w:tcPr>
          <w:p>
            <w:pPr>
              <w:pStyle w:val="2057"/>
              <w:spacing w:afterLines="0"/>
              <w:ind w:firstLine="0" w:firstLineChars="0"/>
              <w:rPr>
                <w:sz w:val="21"/>
                <w:szCs w:val="21"/>
              </w:rPr>
            </w:pPr>
          </w:p>
        </w:tc>
        <w:tc>
          <w:tcPr>
            <w:tcW w:w="619" w:type="pct"/>
            <w:tcBorders>
              <w:tl2br w:val="nil"/>
              <w:tr2bl w:val="nil"/>
            </w:tcBorders>
            <w:vAlign w:val="center"/>
          </w:tcPr>
          <w:p>
            <w:pPr>
              <w:pStyle w:val="2057"/>
              <w:spacing w:afterLines="0"/>
              <w:ind w:firstLine="0" w:firstLineChars="0"/>
              <w:rPr>
                <w:sz w:val="21"/>
                <w:szCs w:val="21"/>
              </w:rPr>
            </w:pPr>
            <w:r>
              <w:rPr>
                <w:sz w:val="21"/>
                <w:szCs w:val="21"/>
              </w:rPr>
              <w:t>PM</w:t>
            </w:r>
            <w:r>
              <w:rPr>
                <w:sz w:val="21"/>
                <w:szCs w:val="21"/>
                <w:vertAlign w:val="subscript"/>
              </w:rPr>
              <w:t>10</w:t>
            </w:r>
          </w:p>
        </w:tc>
        <w:tc>
          <w:tcPr>
            <w:tcW w:w="710" w:type="pct"/>
            <w:tcBorders>
              <w:tl2br w:val="nil"/>
              <w:tr2bl w:val="nil"/>
            </w:tcBorders>
            <w:vAlign w:val="center"/>
          </w:tcPr>
          <w:p>
            <w:pPr>
              <w:pStyle w:val="2057"/>
              <w:spacing w:afterLines="0"/>
              <w:ind w:firstLine="0" w:firstLineChars="0"/>
              <w:rPr>
                <w:sz w:val="21"/>
                <w:szCs w:val="21"/>
              </w:rPr>
            </w:pPr>
            <w:r>
              <w:rPr>
                <w:sz w:val="21"/>
                <w:szCs w:val="21"/>
              </w:rPr>
              <w:t xml:space="preserve">0.012 </w:t>
            </w:r>
          </w:p>
        </w:tc>
        <w:tc>
          <w:tcPr>
            <w:tcW w:w="709" w:type="pct"/>
            <w:tcBorders>
              <w:tl2br w:val="nil"/>
              <w:tr2bl w:val="nil"/>
            </w:tcBorders>
            <w:vAlign w:val="center"/>
          </w:tcPr>
          <w:p>
            <w:pPr>
              <w:pStyle w:val="2057"/>
              <w:spacing w:afterLines="0"/>
              <w:ind w:firstLine="0" w:firstLineChars="0"/>
              <w:rPr>
                <w:sz w:val="21"/>
                <w:szCs w:val="21"/>
              </w:rPr>
            </w:pPr>
            <w:r>
              <w:rPr>
                <w:sz w:val="21"/>
                <w:szCs w:val="21"/>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308" w:type="pct"/>
            <w:vMerge w:val="continue"/>
            <w:tcBorders>
              <w:tl2br w:val="nil"/>
              <w:tr2bl w:val="nil"/>
            </w:tcBorders>
            <w:vAlign w:val="center"/>
          </w:tcPr>
          <w:p>
            <w:pPr>
              <w:pStyle w:val="2057"/>
              <w:spacing w:afterLines="0"/>
              <w:ind w:firstLine="0" w:firstLineChars="0"/>
              <w:rPr>
                <w:sz w:val="21"/>
                <w:szCs w:val="21"/>
              </w:rPr>
            </w:pPr>
          </w:p>
        </w:tc>
        <w:tc>
          <w:tcPr>
            <w:tcW w:w="963" w:type="pct"/>
            <w:vMerge w:val="continue"/>
            <w:tcBorders>
              <w:tl2br w:val="nil"/>
              <w:tr2bl w:val="nil"/>
            </w:tcBorders>
            <w:vAlign w:val="center"/>
          </w:tcPr>
          <w:p>
            <w:pPr>
              <w:pStyle w:val="2057"/>
              <w:spacing w:afterLines="0"/>
              <w:ind w:firstLine="0" w:firstLineChars="0"/>
              <w:rPr>
                <w:sz w:val="21"/>
                <w:szCs w:val="21"/>
              </w:rPr>
            </w:pPr>
          </w:p>
        </w:tc>
        <w:tc>
          <w:tcPr>
            <w:tcW w:w="1065" w:type="pct"/>
            <w:gridSpan w:val="2"/>
            <w:vMerge w:val="continue"/>
            <w:tcBorders>
              <w:tl2br w:val="nil"/>
              <w:tr2bl w:val="nil"/>
            </w:tcBorders>
            <w:vAlign w:val="center"/>
          </w:tcPr>
          <w:p>
            <w:pPr>
              <w:pStyle w:val="2057"/>
              <w:spacing w:afterLines="0"/>
              <w:ind w:firstLine="0" w:firstLineChars="0"/>
              <w:rPr>
                <w:sz w:val="21"/>
                <w:szCs w:val="21"/>
              </w:rPr>
            </w:pPr>
          </w:p>
        </w:tc>
        <w:tc>
          <w:tcPr>
            <w:tcW w:w="622" w:type="pct"/>
            <w:vMerge w:val="continue"/>
            <w:tcBorders>
              <w:tl2br w:val="nil"/>
              <w:tr2bl w:val="nil"/>
            </w:tcBorders>
            <w:vAlign w:val="center"/>
          </w:tcPr>
          <w:p>
            <w:pPr>
              <w:pStyle w:val="2057"/>
              <w:spacing w:afterLines="0"/>
              <w:ind w:firstLine="0" w:firstLineChars="0"/>
              <w:rPr>
                <w:sz w:val="21"/>
                <w:szCs w:val="21"/>
              </w:rPr>
            </w:pPr>
          </w:p>
        </w:tc>
        <w:tc>
          <w:tcPr>
            <w:tcW w:w="619" w:type="pct"/>
            <w:tcBorders>
              <w:tl2br w:val="nil"/>
              <w:tr2bl w:val="nil"/>
            </w:tcBorders>
            <w:vAlign w:val="center"/>
          </w:tcPr>
          <w:p>
            <w:pPr>
              <w:pStyle w:val="2057"/>
              <w:spacing w:afterLines="0"/>
              <w:ind w:firstLine="0" w:firstLineChars="0"/>
              <w:rPr>
                <w:sz w:val="21"/>
                <w:szCs w:val="21"/>
              </w:rPr>
            </w:pPr>
            <w:r>
              <w:rPr>
                <w:sz w:val="21"/>
                <w:szCs w:val="21"/>
              </w:rPr>
              <w:t>PM</w:t>
            </w:r>
            <w:r>
              <w:rPr>
                <w:sz w:val="21"/>
                <w:szCs w:val="21"/>
                <w:vertAlign w:val="subscript"/>
              </w:rPr>
              <w:t>2.5</w:t>
            </w:r>
          </w:p>
        </w:tc>
        <w:tc>
          <w:tcPr>
            <w:tcW w:w="710" w:type="pct"/>
            <w:tcBorders>
              <w:tl2br w:val="nil"/>
              <w:tr2bl w:val="nil"/>
            </w:tcBorders>
            <w:vAlign w:val="center"/>
          </w:tcPr>
          <w:p>
            <w:pPr>
              <w:pStyle w:val="2057"/>
              <w:spacing w:afterLines="0"/>
              <w:ind w:firstLine="0" w:firstLineChars="0"/>
              <w:rPr>
                <w:sz w:val="21"/>
                <w:szCs w:val="21"/>
              </w:rPr>
            </w:pPr>
            <w:r>
              <w:rPr>
                <w:sz w:val="21"/>
                <w:szCs w:val="21"/>
              </w:rPr>
              <w:t xml:space="preserve">0.004 </w:t>
            </w:r>
          </w:p>
        </w:tc>
        <w:tc>
          <w:tcPr>
            <w:tcW w:w="709" w:type="pct"/>
            <w:tcBorders>
              <w:tl2br w:val="nil"/>
              <w:tr2bl w:val="nil"/>
            </w:tcBorders>
            <w:vAlign w:val="center"/>
          </w:tcPr>
          <w:p>
            <w:pPr>
              <w:pStyle w:val="2057"/>
              <w:spacing w:afterLines="0"/>
              <w:ind w:firstLine="0" w:firstLineChars="0"/>
              <w:rPr>
                <w:sz w:val="21"/>
                <w:szCs w:val="21"/>
              </w:rPr>
            </w:pPr>
            <w:r>
              <w:rPr>
                <w:sz w:val="21"/>
                <w:szCs w:val="21"/>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308" w:type="pct"/>
            <w:vMerge w:val="restart"/>
            <w:tcBorders>
              <w:tl2br w:val="nil"/>
              <w:tr2bl w:val="nil"/>
            </w:tcBorders>
            <w:vAlign w:val="center"/>
          </w:tcPr>
          <w:p>
            <w:pPr>
              <w:pStyle w:val="2057"/>
              <w:spacing w:afterLines="0"/>
              <w:ind w:firstLine="0" w:firstLineChars="0"/>
              <w:rPr>
                <w:sz w:val="21"/>
                <w:szCs w:val="21"/>
              </w:rPr>
            </w:pPr>
            <w:r>
              <w:rPr>
                <w:sz w:val="21"/>
                <w:szCs w:val="21"/>
              </w:rPr>
              <w:t>9</w:t>
            </w:r>
          </w:p>
        </w:tc>
        <w:tc>
          <w:tcPr>
            <w:tcW w:w="963" w:type="pct"/>
            <w:vMerge w:val="restart"/>
            <w:tcBorders>
              <w:tl2br w:val="nil"/>
              <w:tr2bl w:val="nil"/>
            </w:tcBorders>
            <w:vAlign w:val="center"/>
          </w:tcPr>
          <w:p>
            <w:pPr>
              <w:pStyle w:val="2057"/>
              <w:spacing w:afterLines="0"/>
              <w:ind w:firstLine="0" w:firstLineChars="0"/>
              <w:rPr>
                <w:sz w:val="21"/>
                <w:szCs w:val="21"/>
              </w:rPr>
            </w:pPr>
            <w:r>
              <w:rPr>
                <w:rFonts w:hint="eastAsia"/>
                <w:sz w:val="21"/>
                <w:szCs w:val="21"/>
              </w:rPr>
              <w:t>装卸机械及汽车尾气</w:t>
            </w:r>
          </w:p>
        </w:tc>
        <w:tc>
          <w:tcPr>
            <w:tcW w:w="1065" w:type="pct"/>
            <w:gridSpan w:val="2"/>
            <w:vMerge w:val="continue"/>
            <w:tcBorders>
              <w:tl2br w:val="nil"/>
              <w:tr2bl w:val="nil"/>
            </w:tcBorders>
            <w:vAlign w:val="center"/>
          </w:tcPr>
          <w:p>
            <w:pPr>
              <w:pStyle w:val="2057"/>
              <w:spacing w:afterLines="0"/>
              <w:ind w:firstLine="0" w:firstLineChars="0"/>
              <w:rPr>
                <w:sz w:val="21"/>
                <w:szCs w:val="21"/>
              </w:rPr>
            </w:pPr>
          </w:p>
        </w:tc>
        <w:tc>
          <w:tcPr>
            <w:tcW w:w="622" w:type="pct"/>
            <w:vMerge w:val="restart"/>
            <w:tcBorders>
              <w:tl2br w:val="nil"/>
              <w:tr2bl w:val="nil"/>
            </w:tcBorders>
            <w:vAlign w:val="center"/>
          </w:tcPr>
          <w:p>
            <w:pPr>
              <w:pStyle w:val="2057"/>
              <w:spacing w:afterLines="0"/>
              <w:ind w:firstLine="0" w:firstLineChars="0"/>
              <w:rPr>
                <w:sz w:val="21"/>
                <w:szCs w:val="21"/>
              </w:rPr>
            </w:pPr>
            <w:r>
              <w:rPr>
                <w:rFonts w:hint="eastAsia"/>
                <w:sz w:val="21"/>
                <w:szCs w:val="21"/>
              </w:rPr>
              <w:t>3</w:t>
            </w:r>
          </w:p>
        </w:tc>
        <w:tc>
          <w:tcPr>
            <w:tcW w:w="619" w:type="pct"/>
            <w:tcBorders>
              <w:tl2br w:val="nil"/>
              <w:tr2bl w:val="nil"/>
            </w:tcBorders>
            <w:vAlign w:val="center"/>
          </w:tcPr>
          <w:p>
            <w:pPr>
              <w:pStyle w:val="2057"/>
              <w:spacing w:afterLines="0"/>
              <w:ind w:firstLine="0" w:firstLineChars="0"/>
              <w:rPr>
                <w:sz w:val="21"/>
                <w:szCs w:val="21"/>
              </w:rPr>
            </w:pPr>
            <w:r>
              <w:rPr>
                <w:rFonts w:hint="eastAsia"/>
                <w:sz w:val="21"/>
                <w:szCs w:val="21"/>
              </w:rPr>
              <w:t>S</w:t>
            </w:r>
            <w:r>
              <w:rPr>
                <w:sz w:val="21"/>
                <w:szCs w:val="21"/>
              </w:rPr>
              <w:t>O</w:t>
            </w:r>
            <w:r>
              <w:rPr>
                <w:sz w:val="21"/>
                <w:szCs w:val="21"/>
                <w:vertAlign w:val="subscript"/>
              </w:rPr>
              <w:t>2</w:t>
            </w:r>
          </w:p>
        </w:tc>
        <w:tc>
          <w:tcPr>
            <w:tcW w:w="710" w:type="pct"/>
            <w:tcBorders>
              <w:tl2br w:val="nil"/>
              <w:tr2bl w:val="nil"/>
            </w:tcBorders>
            <w:vAlign w:val="center"/>
          </w:tcPr>
          <w:p>
            <w:pPr>
              <w:pStyle w:val="2057"/>
              <w:spacing w:afterLines="0"/>
              <w:ind w:firstLine="0" w:firstLineChars="0"/>
              <w:rPr>
                <w:sz w:val="21"/>
                <w:szCs w:val="21"/>
              </w:rPr>
            </w:pPr>
            <w:r>
              <w:rPr>
                <w:sz w:val="21"/>
                <w:szCs w:val="21"/>
              </w:rPr>
              <w:t xml:space="preserve">0.000 </w:t>
            </w:r>
          </w:p>
        </w:tc>
        <w:tc>
          <w:tcPr>
            <w:tcW w:w="709" w:type="pct"/>
            <w:tcBorders>
              <w:tl2br w:val="nil"/>
              <w:tr2bl w:val="nil"/>
            </w:tcBorders>
            <w:vAlign w:val="center"/>
          </w:tcPr>
          <w:p>
            <w:pPr>
              <w:pStyle w:val="2057"/>
              <w:spacing w:afterLines="0"/>
              <w:ind w:firstLine="0" w:firstLineChars="0"/>
              <w:rPr>
                <w:sz w:val="21"/>
                <w:szCs w:val="21"/>
              </w:rPr>
            </w:pPr>
            <w:r>
              <w:rPr>
                <w:sz w:val="21"/>
                <w:szCs w:val="21"/>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308" w:type="pct"/>
            <w:vMerge w:val="continue"/>
            <w:tcBorders>
              <w:tl2br w:val="nil"/>
              <w:tr2bl w:val="nil"/>
            </w:tcBorders>
            <w:vAlign w:val="center"/>
          </w:tcPr>
          <w:p>
            <w:pPr>
              <w:pStyle w:val="2057"/>
              <w:spacing w:afterLines="0"/>
              <w:ind w:firstLine="0" w:firstLineChars="0"/>
              <w:rPr>
                <w:sz w:val="21"/>
                <w:szCs w:val="21"/>
              </w:rPr>
            </w:pPr>
          </w:p>
        </w:tc>
        <w:tc>
          <w:tcPr>
            <w:tcW w:w="963" w:type="pct"/>
            <w:vMerge w:val="continue"/>
            <w:tcBorders>
              <w:tl2br w:val="nil"/>
              <w:tr2bl w:val="nil"/>
            </w:tcBorders>
            <w:vAlign w:val="center"/>
          </w:tcPr>
          <w:p>
            <w:pPr>
              <w:pStyle w:val="2057"/>
              <w:spacing w:afterLines="0"/>
              <w:ind w:firstLine="0" w:firstLineChars="0"/>
              <w:rPr>
                <w:sz w:val="21"/>
                <w:szCs w:val="21"/>
              </w:rPr>
            </w:pPr>
          </w:p>
        </w:tc>
        <w:tc>
          <w:tcPr>
            <w:tcW w:w="1065" w:type="pct"/>
            <w:gridSpan w:val="2"/>
            <w:vMerge w:val="continue"/>
            <w:tcBorders>
              <w:tl2br w:val="nil"/>
              <w:tr2bl w:val="nil"/>
            </w:tcBorders>
            <w:vAlign w:val="center"/>
          </w:tcPr>
          <w:p>
            <w:pPr>
              <w:pStyle w:val="2057"/>
              <w:spacing w:afterLines="0"/>
              <w:ind w:firstLine="0" w:firstLineChars="0"/>
              <w:rPr>
                <w:sz w:val="21"/>
                <w:szCs w:val="21"/>
              </w:rPr>
            </w:pPr>
          </w:p>
        </w:tc>
        <w:tc>
          <w:tcPr>
            <w:tcW w:w="622" w:type="pct"/>
            <w:vMerge w:val="continue"/>
            <w:tcBorders>
              <w:tl2br w:val="nil"/>
              <w:tr2bl w:val="nil"/>
            </w:tcBorders>
            <w:vAlign w:val="center"/>
          </w:tcPr>
          <w:p>
            <w:pPr>
              <w:pStyle w:val="2057"/>
              <w:spacing w:afterLines="0"/>
              <w:ind w:firstLine="0" w:firstLineChars="0"/>
              <w:rPr>
                <w:sz w:val="21"/>
                <w:szCs w:val="21"/>
              </w:rPr>
            </w:pPr>
          </w:p>
        </w:tc>
        <w:tc>
          <w:tcPr>
            <w:tcW w:w="619" w:type="pct"/>
            <w:tcBorders>
              <w:tl2br w:val="nil"/>
              <w:tr2bl w:val="nil"/>
            </w:tcBorders>
            <w:vAlign w:val="center"/>
          </w:tcPr>
          <w:p>
            <w:pPr>
              <w:pStyle w:val="2057"/>
              <w:spacing w:afterLines="0"/>
              <w:ind w:firstLine="0" w:firstLineChars="0"/>
              <w:rPr>
                <w:sz w:val="21"/>
                <w:szCs w:val="21"/>
              </w:rPr>
            </w:pPr>
            <w:r>
              <w:rPr>
                <w:rFonts w:hint="eastAsia"/>
                <w:sz w:val="21"/>
                <w:szCs w:val="21"/>
              </w:rPr>
              <w:t>CO</w:t>
            </w:r>
          </w:p>
        </w:tc>
        <w:tc>
          <w:tcPr>
            <w:tcW w:w="710" w:type="pct"/>
            <w:tcBorders>
              <w:tl2br w:val="nil"/>
              <w:tr2bl w:val="nil"/>
            </w:tcBorders>
            <w:vAlign w:val="center"/>
          </w:tcPr>
          <w:p>
            <w:pPr>
              <w:pStyle w:val="2057"/>
              <w:spacing w:afterLines="0"/>
              <w:ind w:firstLine="0" w:firstLineChars="0"/>
              <w:rPr>
                <w:sz w:val="21"/>
                <w:szCs w:val="21"/>
              </w:rPr>
            </w:pPr>
            <w:r>
              <w:rPr>
                <w:sz w:val="21"/>
                <w:szCs w:val="21"/>
              </w:rPr>
              <w:t xml:space="preserve">0.005 </w:t>
            </w:r>
          </w:p>
        </w:tc>
        <w:tc>
          <w:tcPr>
            <w:tcW w:w="709" w:type="pct"/>
            <w:tcBorders>
              <w:tl2br w:val="nil"/>
              <w:tr2bl w:val="nil"/>
            </w:tcBorders>
            <w:vAlign w:val="center"/>
          </w:tcPr>
          <w:p>
            <w:pPr>
              <w:pStyle w:val="2057"/>
              <w:spacing w:afterLines="0"/>
              <w:ind w:firstLine="0" w:firstLineChars="0"/>
              <w:rPr>
                <w:sz w:val="21"/>
                <w:szCs w:val="21"/>
              </w:rPr>
            </w:pPr>
            <w:r>
              <w:rPr>
                <w:sz w:val="21"/>
                <w:szCs w:val="21"/>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308" w:type="pct"/>
            <w:vMerge w:val="continue"/>
            <w:tcBorders>
              <w:tl2br w:val="nil"/>
              <w:tr2bl w:val="nil"/>
            </w:tcBorders>
            <w:vAlign w:val="center"/>
          </w:tcPr>
          <w:p>
            <w:pPr>
              <w:pStyle w:val="2057"/>
              <w:spacing w:afterLines="0"/>
              <w:ind w:firstLine="0" w:firstLineChars="0"/>
              <w:rPr>
                <w:sz w:val="21"/>
                <w:szCs w:val="21"/>
              </w:rPr>
            </w:pPr>
          </w:p>
        </w:tc>
        <w:tc>
          <w:tcPr>
            <w:tcW w:w="963" w:type="pct"/>
            <w:vMerge w:val="continue"/>
            <w:tcBorders>
              <w:tl2br w:val="nil"/>
              <w:tr2bl w:val="nil"/>
            </w:tcBorders>
            <w:vAlign w:val="center"/>
          </w:tcPr>
          <w:p>
            <w:pPr>
              <w:pStyle w:val="2057"/>
              <w:spacing w:afterLines="0"/>
              <w:ind w:firstLine="0" w:firstLineChars="0"/>
              <w:rPr>
                <w:sz w:val="21"/>
                <w:szCs w:val="21"/>
              </w:rPr>
            </w:pPr>
          </w:p>
        </w:tc>
        <w:tc>
          <w:tcPr>
            <w:tcW w:w="1065" w:type="pct"/>
            <w:gridSpan w:val="2"/>
            <w:vMerge w:val="continue"/>
            <w:tcBorders>
              <w:tl2br w:val="nil"/>
              <w:tr2bl w:val="nil"/>
            </w:tcBorders>
            <w:vAlign w:val="center"/>
          </w:tcPr>
          <w:p>
            <w:pPr>
              <w:pStyle w:val="2057"/>
              <w:spacing w:afterLines="0"/>
              <w:ind w:firstLine="0" w:firstLineChars="0"/>
              <w:rPr>
                <w:sz w:val="21"/>
                <w:szCs w:val="21"/>
              </w:rPr>
            </w:pPr>
          </w:p>
        </w:tc>
        <w:tc>
          <w:tcPr>
            <w:tcW w:w="622" w:type="pct"/>
            <w:vMerge w:val="continue"/>
            <w:tcBorders>
              <w:tl2br w:val="nil"/>
              <w:tr2bl w:val="nil"/>
            </w:tcBorders>
            <w:vAlign w:val="center"/>
          </w:tcPr>
          <w:p>
            <w:pPr>
              <w:pStyle w:val="2057"/>
              <w:spacing w:afterLines="0"/>
              <w:ind w:firstLine="0" w:firstLineChars="0"/>
              <w:rPr>
                <w:sz w:val="21"/>
                <w:szCs w:val="21"/>
              </w:rPr>
            </w:pPr>
          </w:p>
        </w:tc>
        <w:tc>
          <w:tcPr>
            <w:tcW w:w="619" w:type="pct"/>
            <w:tcBorders>
              <w:tl2br w:val="nil"/>
              <w:tr2bl w:val="nil"/>
            </w:tcBorders>
            <w:vAlign w:val="center"/>
          </w:tcPr>
          <w:p>
            <w:pPr>
              <w:pStyle w:val="2057"/>
              <w:spacing w:afterLines="0"/>
              <w:ind w:firstLine="0" w:firstLineChars="0"/>
              <w:rPr>
                <w:kern w:val="0"/>
                <w:sz w:val="21"/>
                <w:szCs w:val="21"/>
              </w:rPr>
            </w:pPr>
            <w:r>
              <w:rPr>
                <w:rFonts w:hint="eastAsia"/>
                <w:sz w:val="21"/>
                <w:szCs w:val="21"/>
              </w:rPr>
              <w:t>NOx</w:t>
            </w:r>
          </w:p>
        </w:tc>
        <w:tc>
          <w:tcPr>
            <w:tcW w:w="710" w:type="pct"/>
            <w:tcBorders>
              <w:tl2br w:val="nil"/>
              <w:tr2bl w:val="nil"/>
            </w:tcBorders>
            <w:vAlign w:val="center"/>
          </w:tcPr>
          <w:p>
            <w:pPr>
              <w:pStyle w:val="2057"/>
              <w:spacing w:afterLines="0"/>
              <w:ind w:firstLine="0" w:firstLineChars="0"/>
              <w:rPr>
                <w:sz w:val="21"/>
                <w:szCs w:val="21"/>
              </w:rPr>
            </w:pPr>
            <w:r>
              <w:rPr>
                <w:sz w:val="21"/>
                <w:szCs w:val="21"/>
              </w:rPr>
              <w:t xml:space="preserve">0.011 </w:t>
            </w:r>
          </w:p>
        </w:tc>
        <w:tc>
          <w:tcPr>
            <w:tcW w:w="709" w:type="pct"/>
            <w:tcBorders>
              <w:tl2br w:val="nil"/>
              <w:tr2bl w:val="nil"/>
            </w:tcBorders>
            <w:vAlign w:val="center"/>
          </w:tcPr>
          <w:p>
            <w:pPr>
              <w:pStyle w:val="2057"/>
              <w:spacing w:afterLines="0"/>
              <w:ind w:firstLine="0" w:firstLineChars="0"/>
              <w:rPr>
                <w:sz w:val="21"/>
                <w:szCs w:val="21"/>
              </w:rPr>
            </w:pPr>
            <w:r>
              <w:rPr>
                <w:sz w:val="21"/>
                <w:szCs w:val="21"/>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308" w:type="pct"/>
            <w:vMerge w:val="continue"/>
            <w:tcBorders>
              <w:tl2br w:val="nil"/>
              <w:tr2bl w:val="nil"/>
            </w:tcBorders>
            <w:vAlign w:val="center"/>
          </w:tcPr>
          <w:p>
            <w:pPr>
              <w:pStyle w:val="2057"/>
              <w:spacing w:afterLines="0"/>
              <w:ind w:firstLine="0" w:firstLineChars="0"/>
              <w:rPr>
                <w:sz w:val="21"/>
                <w:szCs w:val="21"/>
              </w:rPr>
            </w:pPr>
          </w:p>
        </w:tc>
        <w:tc>
          <w:tcPr>
            <w:tcW w:w="963" w:type="pct"/>
            <w:vMerge w:val="continue"/>
            <w:tcBorders>
              <w:tl2br w:val="nil"/>
              <w:tr2bl w:val="nil"/>
            </w:tcBorders>
            <w:vAlign w:val="center"/>
          </w:tcPr>
          <w:p>
            <w:pPr>
              <w:pStyle w:val="2057"/>
              <w:spacing w:afterLines="0"/>
              <w:ind w:firstLine="0" w:firstLineChars="0"/>
              <w:rPr>
                <w:sz w:val="21"/>
                <w:szCs w:val="21"/>
              </w:rPr>
            </w:pPr>
          </w:p>
        </w:tc>
        <w:tc>
          <w:tcPr>
            <w:tcW w:w="1065" w:type="pct"/>
            <w:gridSpan w:val="2"/>
            <w:vMerge w:val="continue"/>
            <w:tcBorders>
              <w:tl2br w:val="nil"/>
              <w:tr2bl w:val="nil"/>
            </w:tcBorders>
            <w:vAlign w:val="center"/>
          </w:tcPr>
          <w:p>
            <w:pPr>
              <w:pStyle w:val="2057"/>
              <w:spacing w:afterLines="0"/>
              <w:ind w:firstLine="0" w:firstLineChars="0"/>
              <w:rPr>
                <w:sz w:val="21"/>
                <w:szCs w:val="21"/>
              </w:rPr>
            </w:pPr>
          </w:p>
        </w:tc>
        <w:tc>
          <w:tcPr>
            <w:tcW w:w="622" w:type="pct"/>
            <w:vMerge w:val="continue"/>
            <w:tcBorders>
              <w:tl2br w:val="nil"/>
              <w:tr2bl w:val="nil"/>
            </w:tcBorders>
            <w:vAlign w:val="center"/>
          </w:tcPr>
          <w:p>
            <w:pPr>
              <w:pStyle w:val="2057"/>
              <w:spacing w:afterLines="0"/>
              <w:ind w:firstLine="0" w:firstLineChars="0"/>
              <w:rPr>
                <w:sz w:val="21"/>
                <w:szCs w:val="21"/>
              </w:rPr>
            </w:pPr>
          </w:p>
        </w:tc>
        <w:tc>
          <w:tcPr>
            <w:tcW w:w="619" w:type="pct"/>
            <w:tcBorders>
              <w:tl2br w:val="nil"/>
              <w:tr2bl w:val="nil"/>
            </w:tcBorders>
            <w:vAlign w:val="center"/>
          </w:tcPr>
          <w:p>
            <w:pPr>
              <w:pStyle w:val="2057"/>
              <w:spacing w:afterLines="0"/>
              <w:ind w:firstLine="0" w:firstLineChars="0"/>
              <w:rPr>
                <w:kern w:val="0"/>
                <w:sz w:val="21"/>
                <w:szCs w:val="21"/>
              </w:rPr>
            </w:pPr>
            <w:r>
              <w:rPr>
                <w:rFonts w:hint="eastAsia"/>
                <w:sz w:val="21"/>
                <w:szCs w:val="21"/>
              </w:rPr>
              <w:t>HC</w:t>
            </w:r>
          </w:p>
        </w:tc>
        <w:tc>
          <w:tcPr>
            <w:tcW w:w="710" w:type="pct"/>
            <w:tcBorders>
              <w:tl2br w:val="nil"/>
              <w:tr2bl w:val="nil"/>
            </w:tcBorders>
            <w:vAlign w:val="center"/>
          </w:tcPr>
          <w:p>
            <w:pPr>
              <w:pStyle w:val="2057"/>
              <w:spacing w:afterLines="0"/>
              <w:ind w:firstLine="0" w:firstLineChars="0"/>
              <w:rPr>
                <w:sz w:val="21"/>
                <w:szCs w:val="21"/>
              </w:rPr>
            </w:pPr>
            <w:r>
              <w:rPr>
                <w:sz w:val="21"/>
                <w:szCs w:val="21"/>
              </w:rPr>
              <w:t xml:space="preserve">0.003 </w:t>
            </w:r>
          </w:p>
        </w:tc>
        <w:tc>
          <w:tcPr>
            <w:tcW w:w="709" w:type="pct"/>
            <w:tcBorders>
              <w:tl2br w:val="nil"/>
              <w:tr2bl w:val="nil"/>
            </w:tcBorders>
            <w:vAlign w:val="center"/>
          </w:tcPr>
          <w:p>
            <w:pPr>
              <w:pStyle w:val="2057"/>
              <w:spacing w:afterLines="0"/>
              <w:ind w:firstLine="0" w:firstLineChars="0"/>
              <w:rPr>
                <w:sz w:val="21"/>
                <w:szCs w:val="21"/>
              </w:rPr>
            </w:pPr>
            <w:r>
              <w:rPr>
                <w:sz w:val="21"/>
                <w:szCs w:val="21"/>
              </w:rPr>
              <w:t>kg/h</w:t>
            </w:r>
          </w:p>
        </w:tc>
      </w:tr>
    </w:tbl>
    <w:p>
      <w:pPr>
        <w:pStyle w:val="2133"/>
        <w:spacing w:line="360" w:lineRule="auto"/>
        <w:rPr>
          <w:rFonts w:cs="Times New Roman"/>
        </w:rPr>
      </w:pPr>
      <w:r>
        <w:rPr>
          <w:rFonts w:cs="Times New Roman"/>
        </w:rPr>
        <w:t>非正常排放主要发生在废气处理系统开、停、检修、故障等情况废气短时间内在未经净化处理的情况下</w:t>
      </w:r>
      <w:r>
        <w:rPr>
          <w:rFonts w:hint="eastAsia" w:cs="Times New Roman"/>
        </w:rPr>
        <w:t>无组织排放</w:t>
      </w:r>
      <w:r>
        <w:rPr>
          <w:rFonts w:cs="Times New Roman"/>
        </w:rPr>
        <w:t>，非正常工况下废气污染物排放情况</w:t>
      </w:r>
      <w:r>
        <w:rPr>
          <w:rFonts w:hint="eastAsia" w:cs="Times New Roman"/>
        </w:rPr>
        <w:t>见下表：</w:t>
      </w:r>
    </w:p>
    <w:p>
      <w:pPr>
        <w:pStyle w:val="2285"/>
        <w:ind w:left="0"/>
      </w:pPr>
      <w:r>
        <w:rPr>
          <w:rFonts w:hint="eastAsia"/>
        </w:rPr>
        <w:t>非正常工况</w:t>
      </w:r>
      <w:r>
        <w:t>码头污染源强</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65"/>
        <w:gridCol w:w="2769"/>
        <w:gridCol w:w="2132"/>
        <w:gridCol w:w="29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789" w:type="pct"/>
            <w:vMerge w:val="restart"/>
            <w:tcBorders>
              <w:bottom w:val="single" w:color="auto" w:sz="12" w:space="0"/>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序号</w:t>
            </w:r>
          </w:p>
        </w:tc>
        <w:tc>
          <w:tcPr>
            <w:tcW w:w="1490" w:type="pct"/>
            <w:vMerge w:val="restart"/>
            <w:tcBorders>
              <w:bottom w:val="single" w:color="auto" w:sz="12" w:space="0"/>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产污环节</w:t>
            </w:r>
          </w:p>
        </w:tc>
        <w:tc>
          <w:tcPr>
            <w:tcW w:w="1147" w:type="pct"/>
            <w:vMerge w:val="restart"/>
            <w:tcBorders>
              <w:bottom w:val="single" w:color="auto" w:sz="12" w:space="0"/>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污染物</w:t>
            </w:r>
          </w:p>
        </w:tc>
        <w:tc>
          <w:tcPr>
            <w:tcW w:w="1571" w:type="pct"/>
            <w:vMerge w:val="restart"/>
            <w:tcBorders>
              <w:bottom w:val="single" w:color="auto" w:sz="12" w:space="0"/>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年排放量（</w:t>
            </w:r>
            <w:r>
              <w:rPr>
                <w:b/>
                <w:bCs w:val="0"/>
                <w:sz w:val="21"/>
                <w:szCs w:val="21"/>
              </w:rPr>
              <w:t>kg/h</w:t>
            </w:r>
            <w:r>
              <w:rPr>
                <w:rFonts w:hint="eastAsia"/>
                <w:b/>
                <w:bCs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789" w:type="pct"/>
            <w:vMerge w:val="continue"/>
            <w:tcBorders>
              <w:top w:val="single" w:color="auto" w:sz="12" w:space="0"/>
              <w:bottom w:val="single" w:color="auto" w:sz="12" w:space="0"/>
              <w:tl2br w:val="nil"/>
              <w:tr2bl w:val="nil"/>
            </w:tcBorders>
            <w:vAlign w:val="center"/>
          </w:tcPr>
          <w:p>
            <w:pPr>
              <w:pStyle w:val="2057"/>
              <w:tabs>
                <w:tab w:val="left" w:pos="480"/>
              </w:tabs>
              <w:spacing w:after="156"/>
              <w:ind w:left="2400" w:firstLine="480"/>
            </w:pPr>
          </w:p>
        </w:tc>
        <w:tc>
          <w:tcPr>
            <w:tcW w:w="1490" w:type="pct"/>
            <w:vMerge w:val="continue"/>
            <w:tcBorders>
              <w:top w:val="single" w:color="auto" w:sz="12" w:space="0"/>
              <w:bottom w:val="single" w:color="auto" w:sz="12" w:space="0"/>
              <w:tl2br w:val="nil"/>
              <w:tr2bl w:val="nil"/>
            </w:tcBorders>
            <w:vAlign w:val="center"/>
          </w:tcPr>
          <w:p>
            <w:pPr>
              <w:pStyle w:val="2057"/>
              <w:tabs>
                <w:tab w:val="left" w:pos="480"/>
              </w:tabs>
              <w:spacing w:after="156"/>
              <w:ind w:left="2400" w:firstLine="480"/>
            </w:pPr>
          </w:p>
        </w:tc>
        <w:tc>
          <w:tcPr>
            <w:tcW w:w="1147" w:type="pct"/>
            <w:vMerge w:val="continue"/>
            <w:tcBorders>
              <w:top w:val="single" w:color="auto" w:sz="12" w:space="0"/>
              <w:bottom w:val="single" w:color="auto" w:sz="12" w:space="0"/>
              <w:tl2br w:val="nil"/>
              <w:tr2bl w:val="nil"/>
            </w:tcBorders>
            <w:vAlign w:val="center"/>
          </w:tcPr>
          <w:p>
            <w:pPr>
              <w:pStyle w:val="2057"/>
              <w:tabs>
                <w:tab w:val="left" w:pos="480"/>
              </w:tabs>
              <w:spacing w:after="156"/>
              <w:ind w:left="2400" w:firstLine="480"/>
            </w:pPr>
          </w:p>
        </w:tc>
        <w:tc>
          <w:tcPr>
            <w:tcW w:w="1571" w:type="pct"/>
            <w:vMerge w:val="continue"/>
            <w:tcBorders>
              <w:top w:val="single" w:color="auto" w:sz="12" w:space="0"/>
              <w:bottom w:val="single" w:color="auto" w:sz="12" w:space="0"/>
              <w:tl2br w:val="nil"/>
              <w:tr2bl w:val="nil"/>
            </w:tcBorders>
            <w:vAlign w:val="center"/>
          </w:tcPr>
          <w:p>
            <w:pPr>
              <w:pStyle w:val="2057"/>
              <w:tabs>
                <w:tab w:val="left" w:pos="480"/>
              </w:tabs>
              <w:spacing w:after="156"/>
              <w:ind w:left="2400" w:firstLine="480"/>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89" w:type="pct"/>
            <w:tcBorders>
              <w:top w:val="single" w:color="auto" w:sz="12" w:space="0"/>
              <w:tl2br w:val="nil"/>
              <w:tr2bl w:val="nil"/>
            </w:tcBorders>
            <w:vAlign w:val="center"/>
          </w:tcPr>
          <w:p>
            <w:pPr>
              <w:pStyle w:val="2057"/>
              <w:tabs>
                <w:tab w:val="left" w:pos="480"/>
              </w:tabs>
              <w:spacing w:afterLines="0"/>
              <w:ind w:firstLine="0" w:firstLineChars="0"/>
              <w:rPr>
                <w:sz w:val="21"/>
                <w:szCs w:val="21"/>
              </w:rPr>
            </w:pPr>
            <w:r>
              <w:rPr>
                <w:sz w:val="21"/>
                <w:szCs w:val="21"/>
              </w:rPr>
              <w:t>1</w:t>
            </w:r>
          </w:p>
        </w:tc>
        <w:tc>
          <w:tcPr>
            <w:tcW w:w="1490" w:type="pct"/>
            <w:tcBorders>
              <w:top w:val="single" w:color="auto" w:sz="12" w:space="0"/>
              <w:tl2br w:val="nil"/>
              <w:tr2bl w:val="nil"/>
            </w:tcBorders>
            <w:vAlign w:val="center"/>
          </w:tcPr>
          <w:p>
            <w:pPr>
              <w:pStyle w:val="2057"/>
              <w:tabs>
                <w:tab w:val="left" w:pos="480"/>
              </w:tabs>
              <w:spacing w:afterLines="0"/>
              <w:ind w:firstLine="0" w:firstLineChars="0"/>
              <w:rPr>
                <w:sz w:val="21"/>
                <w:szCs w:val="21"/>
              </w:rPr>
            </w:pPr>
            <w:r>
              <w:rPr>
                <w:sz w:val="21"/>
                <w:szCs w:val="21"/>
              </w:rPr>
              <w:t>1#泊位</w:t>
            </w:r>
            <w:r>
              <w:rPr>
                <w:rFonts w:hint="eastAsia"/>
                <w:sz w:val="21"/>
                <w:szCs w:val="21"/>
              </w:rPr>
              <w:t>装船起尘</w:t>
            </w:r>
          </w:p>
        </w:tc>
        <w:tc>
          <w:tcPr>
            <w:tcW w:w="1147" w:type="pct"/>
            <w:tcBorders>
              <w:top w:val="single" w:color="auto" w:sz="12" w:space="0"/>
              <w:tl2br w:val="nil"/>
              <w:tr2bl w:val="nil"/>
            </w:tcBorders>
            <w:vAlign w:val="center"/>
          </w:tcPr>
          <w:p>
            <w:pPr>
              <w:pStyle w:val="2057"/>
              <w:tabs>
                <w:tab w:val="left" w:pos="480"/>
              </w:tabs>
              <w:spacing w:afterLines="0"/>
              <w:ind w:firstLine="0" w:firstLineChars="0"/>
              <w:rPr>
                <w:sz w:val="21"/>
                <w:szCs w:val="21"/>
              </w:rPr>
            </w:pPr>
            <w:r>
              <w:rPr>
                <w:sz w:val="21"/>
                <w:szCs w:val="21"/>
              </w:rPr>
              <w:t>TSP</w:t>
            </w:r>
          </w:p>
        </w:tc>
        <w:tc>
          <w:tcPr>
            <w:tcW w:w="1571" w:type="pct"/>
            <w:tcBorders>
              <w:top w:val="single" w:color="auto" w:sz="12" w:space="0"/>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 xml:space="preserve">0.585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89"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w:t>
            </w:r>
          </w:p>
        </w:tc>
        <w:tc>
          <w:tcPr>
            <w:tcW w:w="1490"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2</w:t>
            </w:r>
            <w:r>
              <w:rPr>
                <w:sz w:val="21"/>
                <w:szCs w:val="21"/>
              </w:rPr>
              <w:t>#泊位</w:t>
            </w:r>
            <w:r>
              <w:rPr>
                <w:rFonts w:hint="eastAsia"/>
                <w:sz w:val="21"/>
                <w:szCs w:val="21"/>
              </w:rPr>
              <w:t>卸船起尘</w:t>
            </w:r>
          </w:p>
        </w:tc>
        <w:tc>
          <w:tcPr>
            <w:tcW w:w="1147"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TSP</w:t>
            </w:r>
          </w:p>
        </w:tc>
        <w:tc>
          <w:tcPr>
            <w:tcW w:w="15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 xml:space="preserve">2.437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89"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3</w:t>
            </w:r>
          </w:p>
        </w:tc>
        <w:tc>
          <w:tcPr>
            <w:tcW w:w="1490"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3#泊位</w:t>
            </w:r>
            <w:r>
              <w:rPr>
                <w:rFonts w:hint="eastAsia"/>
                <w:sz w:val="21"/>
                <w:szCs w:val="21"/>
              </w:rPr>
              <w:t>卸船起尘</w:t>
            </w:r>
          </w:p>
        </w:tc>
        <w:tc>
          <w:tcPr>
            <w:tcW w:w="1147" w:type="pct"/>
            <w:tcBorders>
              <w:tl2br w:val="nil"/>
              <w:tr2bl w:val="nil"/>
            </w:tcBorders>
          </w:tcPr>
          <w:p>
            <w:pPr>
              <w:pStyle w:val="2057"/>
              <w:tabs>
                <w:tab w:val="left" w:pos="480"/>
              </w:tabs>
              <w:spacing w:afterLines="0"/>
              <w:ind w:firstLine="0" w:firstLineChars="0"/>
              <w:rPr>
                <w:sz w:val="21"/>
                <w:szCs w:val="21"/>
              </w:rPr>
            </w:pPr>
            <w:r>
              <w:rPr>
                <w:sz w:val="21"/>
                <w:szCs w:val="21"/>
              </w:rPr>
              <w:t>TSP</w:t>
            </w:r>
          </w:p>
        </w:tc>
        <w:tc>
          <w:tcPr>
            <w:tcW w:w="15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 xml:space="preserve">2.437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89"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4</w:t>
            </w:r>
          </w:p>
        </w:tc>
        <w:tc>
          <w:tcPr>
            <w:tcW w:w="1490"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4#泊位</w:t>
            </w:r>
            <w:r>
              <w:rPr>
                <w:rFonts w:hint="eastAsia"/>
                <w:sz w:val="21"/>
                <w:szCs w:val="21"/>
              </w:rPr>
              <w:t>卸船起尘</w:t>
            </w:r>
          </w:p>
        </w:tc>
        <w:tc>
          <w:tcPr>
            <w:tcW w:w="1147" w:type="pct"/>
            <w:tcBorders>
              <w:tl2br w:val="nil"/>
              <w:tr2bl w:val="nil"/>
            </w:tcBorders>
          </w:tcPr>
          <w:p>
            <w:pPr>
              <w:pStyle w:val="2057"/>
              <w:tabs>
                <w:tab w:val="left" w:pos="480"/>
              </w:tabs>
              <w:spacing w:afterLines="0"/>
              <w:ind w:firstLine="0" w:firstLineChars="0"/>
              <w:rPr>
                <w:sz w:val="21"/>
                <w:szCs w:val="21"/>
              </w:rPr>
            </w:pPr>
            <w:r>
              <w:rPr>
                <w:sz w:val="21"/>
                <w:szCs w:val="21"/>
              </w:rPr>
              <w:t>TSP</w:t>
            </w:r>
          </w:p>
        </w:tc>
        <w:tc>
          <w:tcPr>
            <w:tcW w:w="15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 xml:space="preserve">10.280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89"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5</w:t>
            </w:r>
          </w:p>
        </w:tc>
        <w:tc>
          <w:tcPr>
            <w:tcW w:w="1490"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5#泊位</w:t>
            </w:r>
            <w:r>
              <w:rPr>
                <w:rFonts w:hint="eastAsia"/>
                <w:sz w:val="21"/>
                <w:szCs w:val="21"/>
              </w:rPr>
              <w:t>卸船起尘</w:t>
            </w:r>
          </w:p>
        </w:tc>
        <w:tc>
          <w:tcPr>
            <w:tcW w:w="1147" w:type="pct"/>
            <w:tcBorders>
              <w:tl2br w:val="nil"/>
              <w:tr2bl w:val="nil"/>
            </w:tcBorders>
          </w:tcPr>
          <w:p>
            <w:pPr>
              <w:pStyle w:val="2057"/>
              <w:tabs>
                <w:tab w:val="left" w:pos="480"/>
              </w:tabs>
              <w:spacing w:afterLines="0"/>
              <w:ind w:firstLine="0" w:firstLineChars="0"/>
              <w:rPr>
                <w:sz w:val="21"/>
                <w:szCs w:val="21"/>
              </w:rPr>
            </w:pPr>
            <w:r>
              <w:rPr>
                <w:sz w:val="21"/>
                <w:szCs w:val="21"/>
              </w:rPr>
              <w:t>TSP</w:t>
            </w:r>
          </w:p>
        </w:tc>
        <w:tc>
          <w:tcPr>
            <w:tcW w:w="15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 xml:space="preserve">1.624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89"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6</w:t>
            </w:r>
          </w:p>
        </w:tc>
        <w:tc>
          <w:tcPr>
            <w:tcW w:w="1490"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6#泊位</w:t>
            </w:r>
            <w:r>
              <w:rPr>
                <w:rFonts w:hint="eastAsia"/>
                <w:sz w:val="21"/>
                <w:szCs w:val="21"/>
              </w:rPr>
              <w:t>卸船起尘</w:t>
            </w:r>
          </w:p>
        </w:tc>
        <w:tc>
          <w:tcPr>
            <w:tcW w:w="1147" w:type="pct"/>
            <w:tcBorders>
              <w:tl2br w:val="nil"/>
              <w:tr2bl w:val="nil"/>
            </w:tcBorders>
          </w:tcPr>
          <w:p>
            <w:pPr>
              <w:pStyle w:val="2057"/>
              <w:tabs>
                <w:tab w:val="left" w:pos="480"/>
              </w:tabs>
              <w:spacing w:afterLines="0"/>
              <w:ind w:firstLine="0" w:firstLineChars="0"/>
              <w:rPr>
                <w:sz w:val="21"/>
                <w:szCs w:val="21"/>
              </w:rPr>
            </w:pPr>
            <w:r>
              <w:rPr>
                <w:sz w:val="21"/>
                <w:szCs w:val="21"/>
              </w:rPr>
              <w:t>TSP</w:t>
            </w:r>
          </w:p>
        </w:tc>
        <w:tc>
          <w:tcPr>
            <w:tcW w:w="15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 xml:space="preserve">0.650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89"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7</w:t>
            </w:r>
          </w:p>
        </w:tc>
        <w:tc>
          <w:tcPr>
            <w:tcW w:w="1490"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卸车料棚自卸车起尘</w:t>
            </w:r>
          </w:p>
        </w:tc>
        <w:tc>
          <w:tcPr>
            <w:tcW w:w="1147" w:type="pct"/>
            <w:tcBorders>
              <w:tl2br w:val="nil"/>
              <w:tr2bl w:val="nil"/>
            </w:tcBorders>
          </w:tcPr>
          <w:p>
            <w:pPr>
              <w:pStyle w:val="2057"/>
              <w:tabs>
                <w:tab w:val="left" w:pos="480"/>
              </w:tabs>
              <w:spacing w:afterLines="0"/>
              <w:ind w:firstLine="0" w:firstLineChars="0"/>
              <w:rPr>
                <w:sz w:val="21"/>
                <w:szCs w:val="21"/>
              </w:rPr>
            </w:pPr>
            <w:r>
              <w:rPr>
                <w:sz w:val="21"/>
                <w:szCs w:val="21"/>
              </w:rPr>
              <w:t>TSP</w:t>
            </w:r>
          </w:p>
        </w:tc>
        <w:tc>
          <w:tcPr>
            <w:tcW w:w="15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 xml:space="preserve">0.585 </w:t>
            </w:r>
          </w:p>
        </w:tc>
      </w:tr>
    </w:tbl>
    <w:p>
      <w:pPr>
        <w:pStyle w:val="456"/>
        <w:ind w:firstLine="482"/>
      </w:pPr>
      <w:r>
        <w:t>噪声</w:t>
      </w:r>
    </w:p>
    <w:p>
      <w:pPr>
        <w:pStyle w:val="466"/>
        <w:ind w:firstLine="480"/>
        <w:rPr>
          <w:rFonts w:cs="Times New Roman"/>
          <w:szCs w:val="24"/>
        </w:rPr>
      </w:pPr>
      <w:r>
        <w:rPr>
          <w:rFonts w:cs="Times New Roman"/>
          <w:szCs w:val="24"/>
        </w:rPr>
        <w:t>本项目营运期的噪声源主要为机械作业噪声、船舶噪声等，各噪声源强详见下表。</w:t>
      </w:r>
    </w:p>
    <w:p>
      <w:pPr>
        <w:pStyle w:val="2285"/>
        <w:ind w:left="0"/>
        <w:rPr>
          <w:rFonts w:cs="Times New Roman"/>
          <w:szCs w:val="24"/>
        </w:rPr>
      </w:pPr>
      <w:r>
        <w:rPr>
          <w:rFonts w:cs="Times New Roman"/>
        </w:rPr>
        <w:t>项目</w:t>
      </w:r>
      <w:r>
        <w:rPr>
          <w:rFonts w:cs="Times New Roman"/>
          <w:bCs/>
        </w:rPr>
        <w:t>主要噪声源</w:t>
      </w:r>
      <w:r>
        <w:rPr>
          <w:rFonts w:cs="Times New Roman"/>
        </w:rPr>
        <w:t>排放源强一览表</w:t>
      </w:r>
    </w:p>
    <w:tbl>
      <w:tblPr>
        <w:tblStyle w:val="359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76"/>
        <w:gridCol w:w="2785"/>
        <w:gridCol w:w="1646"/>
        <w:gridCol w:w="29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3" w:type="dxa"/>
            <w:tcBorders>
              <w:bottom w:val="single" w:color="auto" w:sz="12" w:space="0"/>
            </w:tcBorders>
            <w:vAlign w:val="center"/>
          </w:tcPr>
          <w:p>
            <w:pPr>
              <w:widowControl/>
              <w:tabs>
                <w:tab w:val="clear" w:pos="480"/>
              </w:tabs>
              <w:spacing w:line="240" w:lineRule="auto"/>
              <w:ind w:firstLine="0" w:firstLineChars="0"/>
              <w:jc w:val="center"/>
              <w:rPr>
                <w:b/>
                <w:bCs/>
                <w:kern w:val="0"/>
                <w:sz w:val="21"/>
                <w:szCs w:val="21"/>
              </w:rPr>
            </w:pPr>
            <w:r>
              <w:rPr>
                <w:b/>
                <w:bCs/>
                <w:kern w:val="0"/>
                <w:sz w:val="21"/>
                <w:szCs w:val="21"/>
              </w:rPr>
              <w:t>序号</w:t>
            </w:r>
          </w:p>
        </w:tc>
        <w:tc>
          <w:tcPr>
            <w:tcW w:w="2083" w:type="dxa"/>
            <w:tcBorders>
              <w:bottom w:val="single" w:color="auto" w:sz="12" w:space="0"/>
            </w:tcBorders>
            <w:vAlign w:val="center"/>
          </w:tcPr>
          <w:p>
            <w:pPr>
              <w:widowControl/>
              <w:tabs>
                <w:tab w:val="clear" w:pos="480"/>
              </w:tabs>
              <w:spacing w:line="240" w:lineRule="auto"/>
              <w:ind w:firstLine="0" w:firstLineChars="0"/>
              <w:jc w:val="center"/>
              <w:rPr>
                <w:b/>
                <w:bCs/>
                <w:kern w:val="0"/>
                <w:sz w:val="21"/>
                <w:szCs w:val="21"/>
              </w:rPr>
            </w:pPr>
            <w:r>
              <w:rPr>
                <w:b/>
                <w:bCs/>
                <w:kern w:val="0"/>
                <w:sz w:val="21"/>
                <w:szCs w:val="21"/>
              </w:rPr>
              <w:t>噪声源</w:t>
            </w:r>
          </w:p>
        </w:tc>
        <w:tc>
          <w:tcPr>
            <w:tcW w:w="1231" w:type="dxa"/>
            <w:tcBorders>
              <w:bottom w:val="single" w:color="auto" w:sz="12" w:space="0"/>
            </w:tcBorders>
            <w:vAlign w:val="center"/>
          </w:tcPr>
          <w:p>
            <w:pPr>
              <w:tabs>
                <w:tab w:val="clear" w:pos="480"/>
              </w:tabs>
              <w:spacing w:line="240" w:lineRule="auto"/>
              <w:ind w:firstLine="0" w:firstLineChars="0"/>
              <w:jc w:val="center"/>
              <w:rPr>
                <w:b/>
                <w:bCs/>
                <w:kern w:val="0"/>
                <w:sz w:val="21"/>
                <w:szCs w:val="21"/>
              </w:rPr>
            </w:pPr>
            <w:r>
              <w:rPr>
                <w:b/>
                <w:bCs/>
                <w:kern w:val="0"/>
                <w:sz w:val="21"/>
                <w:szCs w:val="21"/>
              </w:rPr>
              <w:t>数量</w:t>
            </w:r>
          </w:p>
        </w:tc>
        <w:tc>
          <w:tcPr>
            <w:tcW w:w="2229" w:type="dxa"/>
            <w:tcBorders>
              <w:bottom w:val="single" w:color="auto" w:sz="12" w:space="0"/>
            </w:tcBorders>
            <w:vAlign w:val="center"/>
          </w:tcPr>
          <w:p>
            <w:pPr>
              <w:tabs>
                <w:tab w:val="clear" w:pos="480"/>
              </w:tabs>
              <w:spacing w:line="240" w:lineRule="auto"/>
              <w:ind w:firstLine="0" w:firstLineChars="0"/>
              <w:jc w:val="center"/>
              <w:rPr>
                <w:b/>
                <w:bCs/>
                <w:kern w:val="0"/>
                <w:sz w:val="21"/>
                <w:szCs w:val="21"/>
              </w:rPr>
            </w:pPr>
            <w:r>
              <w:rPr>
                <w:b/>
                <w:bCs/>
                <w:kern w:val="0"/>
                <w:sz w:val="21"/>
                <w:szCs w:val="21"/>
              </w:rPr>
              <w:t>源强dB（A）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3" w:type="dxa"/>
            <w:tcBorders>
              <w:top w:val="single" w:color="auto" w:sz="12" w:space="0"/>
            </w:tcBorders>
            <w:vAlign w:val="center"/>
          </w:tcPr>
          <w:p>
            <w:pPr>
              <w:widowControl/>
              <w:tabs>
                <w:tab w:val="clear" w:pos="480"/>
              </w:tabs>
              <w:spacing w:line="240" w:lineRule="auto"/>
              <w:ind w:firstLine="0" w:firstLineChars="0"/>
              <w:jc w:val="center"/>
              <w:rPr>
                <w:sz w:val="21"/>
                <w:szCs w:val="21"/>
              </w:rPr>
            </w:pPr>
            <w:r>
              <w:rPr>
                <w:sz w:val="21"/>
                <w:szCs w:val="21"/>
              </w:rPr>
              <w:t>1</w:t>
            </w:r>
          </w:p>
        </w:tc>
        <w:tc>
          <w:tcPr>
            <w:tcW w:w="2083" w:type="dxa"/>
            <w:tcBorders>
              <w:top w:val="single" w:color="auto" w:sz="12" w:space="0"/>
            </w:tcBorders>
            <w:vAlign w:val="center"/>
          </w:tcPr>
          <w:p>
            <w:pPr>
              <w:widowControl/>
              <w:tabs>
                <w:tab w:val="clear" w:pos="480"/>
              </w:tabs>
              <w:wordWrap w:val="0"/>
              <w:overflowPunct w:val="0"/>
              <w:topLinePunct/>
              <w:spacing w:line="240" w:lineRule="auto"/>
              <w:ind w:firstLine="0" w:firstLineChars="0"/>
              <w:jc w:val="center"/>
              <w:rPr>
                <w:snapToGrid w:val="0"/>
                <w:sz w:val="21"/>
                <w:szCs w:val="21"/>
              </w:rPr>
            </w:pPr>
            <w:r>
              <w:rPr>
                <w:snapToGrid w:val="0"/>
                <w:sz w:val="21"/>
                <w:szCs w:val="21"/>
              </w:rPr>
              <w:t>桥式抓斗卸船机</w:t>
            </w:r>
          </w:p>
        </w:tc>
        <w:tc>
          <w:tcPr>
            <w:tcW w:w="1231" w:type="dxa"/>
            <w:tcBorders>
              <w:top w:val="single" w:color="auto" w:sz="12" w:space="0"/>
            </w:tcBorders>
            <w:vAlign w:val="center"/>
          </w:tcPr>
          <w:p>
            <w:pPr>
              <w:tabs>
                <w:tab w:val="clear" w:pos="480"/>
              </w:tabs>
              <w:spacing w:line="0" w:lineRule="atLeast"/>
              <w:ind w:firstLine="0" w:firstLineChars="0"/>
              <w:jc w:val="center"/>
              <w:rPr>
                <w:sz w:val="21"/>
                <w:szCs w:val="21"/>
              </w:rPr>
            </w:pPr>
            <w:r>
              <w:rPr>
                <w:sz w:val="21"/>
                <w:szCs w:val="21"/>
              </w:rPr>
              <w:t>2</w:t>
            </w:r>
          </w:p>
        </w:tc>
        <w:tc>
          <w:tcPr>
            <w:tcW w:w="2229" w:type="dxa"/>
            <w:tcBorders>
              <w:top w:val="single" w:color="auto" w:sz="12" w:space="0"/>
            </w:tcBorders>
            <w:vAlign w:val="center"/>
          </w:tcPr>
          <w:p>
            <w:pPr>
              <w:tabs>
                <w:tab w:val="clear" w:pos="480"/>
              </w:tabs>
              <w:spacing w:line="240" w:lineRule="auto"/>
              <w:ind w:firstLine="0" w:firstLineChars="0"/>
              <w:jc w:val="center"/>
              <w:rPr>
                <w:sz w:val="21"/>
                <w:szCs w:val="21"/>
              </w:rPr>
            </w:pPr>
            <w:r>
              <w:rPr>
                <w:sz w:val="21"/>
                <w:szCs w:val="21"/>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3" w:type="dxa"/>
            <w:vAlign w:val="center"/>
          </w:tcPr>
          <w:p>
            <w:pPr>
              <w:widowControl/>
              <w:tabs>
                <w:tab w:val="clear" w:pos="480"/>
              </w:tabs>
              <w:spacing w:line="240" w:lineRule="auto"/>
              <w:ind w:firstLine="0" w:firstLineChars="0"/>
              <w:jc w:val="center"/>
              <w:rPr>
                <w:sz w:val="21"/>
                <w:szCs w:val="21"/>
              </w:rPr>
            </w:pPr>
            <w:r>
              <w:rPr>
                <w:sz w:val="21"/>
                <w:szCs w:val="21"/>
              </w:rPr>
              <w:t>2</w:t>
            </w:r>
          </w:p>
        </w:tc>
        <w:tc>
          <w:tcPr>
            <w:tcW w:w="2083" w:type="dxa"/>
            <w:vAlign w:val="center"/>
          </w:tcPr>
          <w:p>
            <w:pPr>
              <w:widowControl/>
              <w:tabs>
                <w:tab w:val="clear" w:pos="480"/>
              </w:tabs>
              <w:wordWrap w:val="0"/>
              <w:overflowPunct w:val="0"/>
              <w:topLinePunct/>
              <w:spacing w:line="240" w:lineRule="auto"/>
              <w:ind w:firstLine="0" w:firstLineChars="0"/>
              <w:jc w:val="center"/>
              <w:rPr>
                <w:snapToGrid w:val="0"/>
                <w:sz w:val="21"/>
                <w:szCs w:val="21"/>
              </w:rPr>
            </w:pPr>
            <w:r>
              <w:rPr>
                <w:snapToGrid w:val="0"/>
                <w:sz w:val="21"/>
                <w:szCs w:val="21"/>
              </w:rPr>
              <w:t>清仓机</w:t>
            </w:r>
          </w:p>
        </w:tc>
        <w:tc>
          <w:tcPr>
            <w:tcW w:w="1231" w:type="dxa"/>
            <w:vAlign w:val="center"/>
          </w:tcPr>
          <w:p>
            <w:pPr>
              <w:tabs>
                <w:tab w:val="clear" w:pos="480"/>
              </w:tabs>
              <w:spacing w:line="0" w:lineRule="atLeast"/>
              <w:ind w:firstLine="0" w:firstLineChars="0"/>
              <w:jc w:val="center"/>
              <w:rPr>
                <w:sz w:val="21"/>
                <w:szCs w:val="21"/>
              </w:rPr>
            </w:pPr>
            <w:r>
              <w:rPr>
                <w:sz w:val="21"/>
                <w:szCs w:val="21"/>
              </w:rPr>
              <w:t>2</w:t>
            </w:r>
          </w:p>
        </w:tc>
        <w:tc>
          <w:tcPr>
            <w:tcW w:w="2229" w:type="dxa"/>
            <w:vAlign w:val="center"/>
          </w:tcPr>
          <w:p>
            <w:pPr>
              <w:tabs>
                <w:tab w:val="clear" w:pos="480"/>
              </w:tabs>
              <w:spacing w:line="240" w:lineRule="auto"/>
              <w:ind w:firstLine="0" w:firstLineChars="0"/>
              <w:jc w:val="center"/>
              <w:rPr>
                <w:sz w:val="21"/>
                <w:szCs w:val="21"/>
              </w:rPr>
            </w:pPr>
            <w:r>
              <w:rPr>
                <w:sz w:val="21"/>
                <w:szCs w:val="21"/>
              </w:rPr>
              <w:t>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3" w:type="dxa"/>
            <w:vAlign w:val="center"/>
          </w:tcPr>
          <w:p>
            <w:pPr>
              <w:widowControl/>
              <w:tabs>
                <w:tab w:val="clear" w:pos="480"/>
              </w:tabs>
              <w:spacing w:line="240" w:lineRule="auto"/>
              <w:ind w:firstLine="0" w:firstLineChars="0"/>
              <w:jc w:val="center"/>
              <w:rPr>
                <w:sz w:val="21"/>
                <w:szCs w:val="21"/>
              </w:rPr>
            </w:pPr>
            <w:r>
              <w:rPr>
                <w:sz w:val="21"/>
                <w:szCs w:val="21"/>
              </w:rPr>
              <w:t>3</w:t>
            </w:r>
          </w:p>
        </w:tc>
        <w:tc>
          <w:tcPr>
            <w:tcW w:w="2083" w:type="dxa"/>
            <w:vAlign w:val="center"/>
          </w:tcPr>
          <w:p>
            <w:pPr>
              <w:widowControl/>
              <w:tabs>
                <w:tab w:val="clear" w:pos="480"/>
              </w:tabs>
              <w:wordWrap w:val="0"/>
              <w:overflowPunct w:val="0"/>
              <w:topLinePunct/>
              <w:spacing w:line="240" w:lineRule="auto"/>
              <w:ind w:firstLine="0" w:firstLineChars="0"/>
              <w:jc w:val="center"/>
              <w:rPr>
                <w:snapToGrid w:val="0"/>
                <w:sz w:val="21"/>
                <w:szCs w:val="21"/>
              </w:rPr>
            </w:pPr>
            <w:r>
              <w:rPr>
                <w:snapToGrid w:val="0"/>
                <w:sz w:val="21"/>
                <w:szCs w:val="21"/>
              </w:rPr>
              <w:t>直线移动式装船机</w:t>
            </w:r>
          </w:p>
        </w:tc>
        <w:tc>
          <w:tcPr>
            <w:tcW w:w="1231" w:type="dxa"/>
            <w:vAlign w:val="center"/>
          </w:tcPr>
          <w:p>
            <w:pPr>
              <w:tabs>
                <w:tab w:val="clear" w:pos="480"/>
              </w:tabs>
              <w:spacing w:line="0" w:lineRule="atLeast"/>
              <w:ind w:firstLine="0" w:firstLineChars="0"/>
              <w:jc w:val="center"/>
              <w:rPr>
                <w:sz w:val="21"/>
                <w:szCs w:val="21"/>
              </w:rPr>
            </w:pPr>
            <w:r>
              <w:rPr>
                <w:sz w:val="21"/>
                <w:szCs w:val="21"/>
              </w:rPr>
              <w:t>1</w:t>
            </w:r>
          </w:p>
        </w:tc>
        <w:tc>
          <w:tcPr>
            <w:tcW w:w="2229" w:type="dxa"/>
            <w:vAlign w:val="center"/>
          </w:tcPr>
          <w:p>
            <w:pPr>
              <w:tabs>
                <w:tab w:val="clear" w:pos="480"/>
              </w:tabs>
              <w:spacing w:line="240" w:lineRule="auto"/>
              <w:ind w:firstLine="0" w:firstLineChars="0"/>
              <w:jc w:val="center"/>
              <w:rPr>
                <w:sz w:val="21"/>
                <w:szCs w:val="21"/>
              </w:rPr>
            </w:pPr>
            <w:r>
              <w:rPr>
                <w:sz w:val="21"/>
                <w:szCs w:val="21"/>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3" w:type="dxa"/>
            <w:vAlign w:val="center"/>
          </w:tcPr>
          <w:p>
            <w:pPr>
              <w:widowControl/>
              <w:tabs>
                <w:tab w:val="clear" w:pos="480"/>
              </w:tabs>
              <w:spacing w:line="240" w:lineRule="auto"/>
              <w:ind w:firstLine="0" w:firstLineChars="0"/>
              <w:jc w:val="center"/>
              <w:rPr>
                <w:sz w:val="21"/>
                <w:szCs w:val="21"/>
              </w:rPr>
            </w:pPr>
            <w:r>
              <w:rPr>
                <w:sz w:val="21"/>
                <w:szCs w:val="21"/>
              </w:rPr>
              <w:t>4</w:t>
            </w:r>
          </w:p>
        </w:tc>
        <w:tc>
          <w:tcPr>
            <w:tcW w:w="2083" w:type="dxa"/>
            <w:vAlign w:val="center"/>
          </w:tcPr>
          <w:p>
            <w:pPr>
              <w:tabs>
                <w:tab w:val="clear" w:pos="480"/>
              </w:tabs>
              <w:spacing w:line="240" w:lineRule="auto"/>
              <w:ind w:firstLine="0" w:firstLineChars="0"/>
              <w:jc w:val="center"/>
              <w:rPr>
                <w:sz w:val="21"/>
                <w:szCs w:val="21"/>
              </w:rPr>
            </w:pPr>
            <w:r>
              <w:rPr>
                <w:sz w:val="21"/>
                <w:szCs w:val="21"/>
              </w:rPr>
              <w:t>普通皮带机</w:t>
            </w:r>
          </w:p>
        </w:tc>
        <w:tc>
          <w:tcPr>
            <w:tcW w:w="1231" w:type="dxa"/>
            <w:vAlign w:val="center"/>
          </w:tcPr>
          <w:p>
            <w:pPr>
              <w:tabs>
                <w:tab w:val="clear" w:pos="480"/>
              </w:tabs>
              <w:spacing w:line="0" w:lineRule="atLeast"/>
              <w:ind w:firstLine="0" w:firstLineChars="0"/>
              <w:jc w:val="center"/>
              <w:rPr>
                <w:sz w:val="21"/>
                <w:szCs w:val="21"/>
              </w:rPr>
            </w:pPr>
            <w:r>
              <w:rPr>
                <w:sz w:val="21"/>
                <w:szCs w:val="21"/>
              </w:rPr>
              <w:t>/</w:t>
            </w:r>
          </w:p>
        </w:tc>
        <w:tc>
          <w:tcPr>
            <w:tcW w:w="2229" w:type="dxa"/>
            <w:vAlign w:val="center"/>
          </w:tcPr>
          <w:p>
            <w:pPr>
              <w:tabs>
                <w:tab w:val="clear" w:pos="480"/>
              </w:tabs>
              <w:spacing w:line="240" w:lineRule="auto"/>
              <w:ind w:firstLine="0" w:firstLineChars="0"/>
              <w:jc w:val="center"/>
              <w:rPr>
                <w:sz w:val="21"/>
                <w:szCs w:val="21"/>
              </w:rPr>
            </w:pPr>
            <w:r>
              <w:rPr>
                <w:sz w:val="21"/>
                <w:szCs w:val="21"/>
              </w:rPr>
              <w:t>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3" w:type="dxa"/>
            <w:vAlign w:val="center"/>
          </w:tcPr>
          <w:p>
            <w:pPr>
              <w:widowControl/>
              <w:tabs>
                <w:tab w:val="clear" w:pos="480"/>
              </w:tabs>
              <w:spacing w:line="240" w:lineRule="auto"/>
              <w:ind w:firstLine="0" w:firstLineChars="0"/>
              <w:jc w:val="center"/>
              <w:rPr>
                <w:sz w:val="21"/>
                <w:szCs w:val="21"/>
              </w:rPr>
            </w:pPr>
            <w:r>
              <w:rPr>
                <w:sz w:val="21"/>
                <w:szCs w:val="21"/>
              </w:rPr>
              <w:t>5</w:t>
            </w:r>
          </w:p>
        </w:tc>
        <w:tc>
          <w:tcPr>
            <w:tcW w:w="2083" w:type="dxa"/>
            <w:vAlign w:val="center"/>
          </w:tcPr>
          <w:p>
            <w:pPr>
              <w:tabs>
                <w:tab w:val="clear" w:pos="480"/>
              </w:tabs>
              <w:spacing w:line="240" w:lineRule="auto"/>
              <w:ind w:firstLine="0" w:firstLineChars="0"/>
              <w:jc w:val="center"/>
              <w:rPr>
                <w:sz w:val="21"/>
                <w:szCs w:val="21"/>
              </w:rPr>
            </w:pPr>
            <w:r>
              <w:rPr>
                <w:sz w:val="21"/>
                <w:szCs w:val="21"/>
              </w:rPr>
              <w:t>到港船舶</w:t>
            </w:r>
          </w:p>
        </w:tc>
        <w:tc>
          <w:tcPr>
            <w:tcW w:w="1231" w:type="dxa"/>
            <w:vAlign w:val="center"/>
          </w:tcPr>
          <w:p>
            <w:pPr>
              <w:tabs>
                <w:tab w:val="clear" w:pos="480"/>
              </w:tabs>
              <w:spacing w:line="0" w:lineRule="atLeast"/>
              <w:ind w:firstLine="0" w:firstLineChars="0"/>
              <w:jc w:val="center"/>
              <w:rPr>
                <w:sz w:val="21"/>
                <w:szCs w:val="21"/>
              </w:rPr>
            </w:pPr>
            <w:r>
              <w:rPr>
                <w:sz w:val="21"/>
                <w:szCs w:val="21"/>
              </w:rPr>
              <w:t>/</w:t>
            </w:r>
          </w:p>
        </w:tc>
        <w:tc>
          <w:tcPr>
            <w:tcW w:w="2229" w:type="dxa"/>
            <w:vAlign w:val="center"/>
          </w:tcPr>
          <w:p>
            <w:pPr>
              <w:tabs>
                <w:tab w:val="clear" w:pos="480"/>
              </w:tabs>
              <w:spacing w:line="240" w:lineRule="auto"/>
              <w:ind w:firstLine="0" w:firstLineChars="0"/>
              <w:jc w:val="center"/>
              <w:rPr>
                <w:sz w:val="21"/>
                <w:szCs w:val="21"/>
              </w:rPr>
            </w:pPr>
            <w:r>
              <w:rPr>
                <w:sz w:val="21"/>
                <w:szCs w:val="21"/>
              </w:rPr>
              <w:t>90</w:t>
            </w:r>
          </w:p>
        </w:tc>
      </w:tr>
      <w:bookmarkEnd w:id="60"/>
      <w:bookmarkEnd w:id="61"/>
      <w:bookmarkEnd w:id="62"/>
      <w:bookmarkEnd w:id="63"/>
      <w:bookmarkEnd w:id="64"/>
      <w:bookmarkEnd w:id="65"/>
      <w:bookmarkEnd w:id="66"/>
    </w:tbl>
    <w:p>
      <w:pPr>
        <w:pStyle w:val="456"/>
        <w:ind w:firstLine="482"/>
      </w:pPr>
      <w:bookmarkStart w:id="91" w:name="_Toc69118337"/>
      <w:r>
        <w:t>固体废物</w:t>
      </w:r>
    </w:p>
    <w:p>
      <w:pPr>
        <w:widowControl/>
        <w:ind w:firstLine="470"/>
        <w:rPr>
          <w:b/>
          <w:spacing w:val="-3"/>
          <w:szCs w:val="22"/>
        </w:rPr>
      </w:pPr>
      <w:r>
        <w:rPr>
          <w:b/>
          <w:spacing w:val="-3"/>
          <w:szCs w:val="22"/>
        </w:rPr>
        <w:t>（1）到港船舶生活垃圾</w:t>
      </w:r>
    </w:p>
    <w:p>
      <w:pPr>
        <w:pStyle w:val="466"/>
        <w:ind w:firstLine="468"/>
        <w:rPr>
          <w:rFonts w:cs="Times New Roman"/>
          <w:spacing w:val="-3"/>
          <w:szCs w:val="22"/>
        </w:rPr>
      </w:pPr>
      <w:r>
        <w:rPr>
          <w:rFonts w:cs="Times New Roman"/>
          <w:spacing w:val="-3"/>
          <w:szCs w:val="22"/>
        </w:rPr>
        <w:t>根据设计船型投船员数（平均以6人/艘估算），</w:t>
      </w:r>
      <w:r>
        <w:rPr>
          <w:rFonts w:cs="Times New Roman"/>
          <w:szCs w:val="24"/>
        </w:rPr>
        <w:t>船员生活垃圾产生量按1.5kg/人·天计算</w:t>
      </w:r>
      <w:r>
        <w:rPr>
          <w:rFonts w:cs="Times New Roman"/>
          <w:spacing w:val="-3"/>
          <w:szCs w:val="22"/>
        </w:rPr>
        <w:t>，</w:t>
      </w:r>
      <w:r>
        <w:rPr>
          <w:rFonts w:cs="Times New Roman"/>
        </w:rPr>
        <w:t>根据本工程设计吞吐量及设计代表船型，</w:t>
      </w:r>
      <w:r>
        <w:rPr>
          <w:rFonts w:hint="eastAsia" w:cs="Times New Roman"/>
        </w:rPr>
        <w:t>计算</w:t>
      </w:r>
      <w:r>
        <w:rPr>
          <w:rFonts w:cs="Times New Roman"/>
        </w:rPr>
        <w:t>得</w:t>
      </w:r>
      <w:r>
        <w:rPr>
          <w:rFonts w:cs="Times New Roman"/>
          <w:szCs w:val="24"/>
        </w:rPr>
        <w:t>生活垃圾产生量</w:t>
      </w:r>
      <w:r>
        <w:rPr>
          <w:rFonts w:cs="Times New Roman"/>
          <w:spacing w:val="-3"/>
          <w:szCs w:val="22"/>
        </w:rPr>
        <w:t xml:space="preserve">为 1.38 </w:t>
      </w:r>
      <w:r>
        <w:rPr>
          <w:rFonts w:cs="Times New Roman"/>
          <w:szCs w:val="24"/>
        </w:rPr>
        <w:t>t</w:t>
      </w:r>
      <w:r>
        <w:rPr>
          <w:rFonts w:cs="Times New Roman"/>
          <w:spacing w:val="-3"/>
          <w:szCs w:val="22"/>
        </w:rPr>
        <w:t>/a</w:t>
      </w:r>
      <w:r>
        <w:rPr>
          <w:rFonts w:hint="eastAsia" w:cs="Times New Roman"/>
          <w:spacing w:val="-3"/>
          <w:szCs w:val="22"/>
        </w:rPr>
        <w:t>（合</w:t>
      </w:r>
      <w:r>
        <w:rPr>
          <w:rFonts w:cs="Times New Roman"/>
          <w:spacing w:val="-3"/>
          <w:szCs w:val="22"/>
        </w:rPr>
        <w:t>4.17</w:t>
      </w:r>
      <w:r>
        <w:rPr>
          <w:rFonts w:cs="Times New Roman"/>
          <w:szCs w:val="24"/>
        </w:rPr>
        <w:t xml:space="preserve"> kg</w:t>
      </w:r>
      <w:r>
        <w:rPr>
          <w:rFonts w:cs="Times New Roman"/>
          <w:spacing w:val="-3"/>
          <w:szCs w:val="22"/>
        </w:rPr>
        <w:t>/d</w:t>
      </w:r>
      <w:r>
        <w:rPr>
          <w:rFonts w:hint="eastAsia" w:cs="Times New Roman"/>
          <w:spacing w:val="-3"/>
          <w:szCs w:val="22"/>
        </w:rPr>
        <w:t>）</w:t>
      </w:r>
      <w:r>
        <w:rPr>
          <w:rFonts w:cs="Times New Roman"/>
          <w:spacing w:val="-3"/>
          <w:szCs w:val="22"/>
        </w:rPr>
        <w:t>。</w:t>
      </w:r>
    </w:p>
    <w:p>
      <w:pPr>
        <w:widowControl/>
        <w:ind w:firstLine="470"/>
        <w:rPr>
          <w:b/>
          <w:spacing w:val="-3"/>
          <w:szCs w:val="22"/>
        </w:rPr>
      </w:pPr>
      <w:r>
        <w:rPr>
          <w:b/>
          <w:spacing w:val="-3"/>
          <w:szCs w:val="22"/>
        </w:rPr>
        <w:t>（2）</w:t>
      </w:r>
      <w:r>
        <w:rPr>
          <w:rFonts w:hint="eastAsia"/>
          <w:b/>
          <w:spacing w:val="-3"/>
          <w:szCs w:val="22"/>
        </w:rPr>
        <w:t>装卸</w:t>
      </w:r>
      <w:r>
        <w:rPr>
          <w:b/>
          <w:spacing w:val="-3"/>
          <w:szCs w:val="22"/>
        </w:rPr>
        <w:t>作业产生的固体废物</w:t>
      </w:r>
    </w:p>
    <w:p>
      <w:pPr>
        <w:widowControl/>
        <w:ind w:firstLine="480"/>
        <w:rPr>
          <w:b/>
          <w:spacing w:val="-3"/>
          <w:szCs w:val="22"/>
        </w:rPr>
      </w:pPr>
      <w:r>
        <w:rPr>
          <w:rFonts w:hint="eastAsia"/>
        </w:rPr>
        <w:t>装卸作业产生的一般工业固体废物主要为散货，根据《水运工程环境保护设计规范》中推荐的数据，散货码头固体废物发生量按装卸货物1/10000估算，据此计算本工程船舶卸货产生的一般工业固体废物年发生量约</w:t>
      </w:r>
      <w:r>
        <w:t>1650t/</w:t>
      </w:r>
      <w:r>
        <w:rPr>
          <w:rFonts w:hint="eastAsia"/>
        </w:rPr>
        <w:t>a，主要为掉落的砂石料矿石，全部回收不外排。</w:t>
      </w:r>
    </w:p>
    <w:p>
      <w:pPr>
        <w:widowControl/>
        <w:ind w:firstLine="470"/>
        <w:rPr>
          <w:b/>
          <w:spacing w:val="-3"/>
          <w:szCs w:val="22"/>
        </w:rPr>
      </w:pPr>
      <w:r>
        <w:rPr>
          <w:b/>
          <w:spacing w:val="-3"/>
          <w:szCs w:val="22"/>
        </w:rPr>
        <w:t>（2）含油抹布</w:t>
      </w:r>
    </w:p>
    <w:p>
      <w:pPr>
        <w:pStyle w:val="466"/>
        <w:ind w:firstLine="480"/>
        <w:rPr>
          <w:rFonts w:cs="Times New Roman"/>
          <w:szCs w:val="24"/>
        </w:rPr>
      </w:pPr>
      <w:r>
        <w:rPr>
          <w:rFonts w:cs="Times New Roman"/>
          <w:szCs w:val="24"/>
        </w:rPr>
        <w:t>废含油抹布等机修废物约为 0.5 t/a，属于危险废物（HW49 其他废物，废物代码为 900-041-49），鉴于项目位于</w:t>
      </w:r>
      <w:r>
        <w:rPr>
          <w:rFonts w:cs="Times New Roman"/>
        </w:rPr>
        <w:t>洞庭湖口铜鱼短颌鲚国家级水产种质资源保护区范围内，</w:t>
      </w:r>
      <w:r>
        <w:rPr>
          <w:rFonts w:cs="Times New Roman"/>
          <w:szCs w:val="24"/>
        </w:rPr>
        <w:t>因此本项目对含油抹布按照危险废物从严处理</w:t>
      </w:r>
      <w:r>
        <w:rPr>
          <w:rFonts w:hint="eastAsia" w:cs="Times New Roman"/>
          <w:szCs w:val="24"/>
          <w:lang w:eastAsia="zh-CN"/>
        </w:rPr>
        <w:t>，</w:t>
      </w:r>
      <w:r>
        <w:rPr>
          <w:rFonts w:hint="eastAsia" w:cs="Times New Roman"/>
          <w:szCs w:val="24"/>
          <w:lang w:val="en-US" w:eastAsia="zh-CN"/>
        </w:rPr>
        <w:t>收集后与废机油一同交由有资质单位处理</w:t>
      </w:r>
      <w:r>
        <w:rPr>
          <w:rFonts w:cs="Times New Roman"/>
          <w:szCs w:val="24"/>
        </w:rPr>
        <w:t>。</w:t>
      </w:r>
    </w:p>
    <w:p>
      <w:pPr>
        <w:widowControl/>
        <w:ind w:firstLine="470"/>
        <w:rPr>
          <w:b/>
          <w:spacing w:val="-3"/>
          <w:szCs w:val="22"/>
        </w:rPr>
      </w:pPr>
      <w:r>
        <w:rPr>
          <w:b/>
          <w:spacing w:val="-3"/>
          <w:szCs w:val="22"/>
        </w:rPr>
        <w:t>（3）废机油</w:t>
      </w:r>
    </w:p>
    <w:p>
      <w:pPr>
        <w:pStyle w:val="466"/>
        <w:ind w:firstLine="480"/>
        <w:rPr>
          <w:rFonts w:cs="Times New Roman"/>
          <w:szCs w:val="24"/>
        </w:rPr>
      </w:pPr>
      <w:r>
        <w:rPr>
          <w:rFonts w:cs="Times New Roman"/>
          <w:szCs w:val="24"/>
        </w:rPr>
        <w:t>项目码头设备维护</w:t>
      </w:r>
      <w:r>
        <w:rPr>
          <w:rFonts w:hint="eastAsia"/>
        </w:rPr>
        <w:t>更换废油</w:t>
      </w:r>
      <w:r>
        <w:rPr>
          <w:rFonts w:cs="Times New Roman"/>
          <w:szCs w:val="24"/>
        </w:rPr>
        <w:t>，根据类比同类型项目，产生量约为 0.2t/a，该类废物属于危险废物（HW08 废矿物油与含矿物油废物，废物代码为 900-214-08）。</w:t>
      </w:r>
    </w:p>
    <w:p>
      <w:pPr>
        <w:widowControl/>
        <w:ind w:firstLine="470"/>
        <w:rPr>
          <w:b/>
          <w:spacing w:val="-3"/>
          <w:szCs w:val="22"/>
        </w:rPr>
      </w:pPr>
      <w:r>
        <w:rPr>
          <w:b/>
          <w:spacing w:val="-3"/>
          <w:szCs w:val="22"/>
        </w:rPr>
        <w:t>（4）</w:t>
      </w:r>
      <w:r>
        <w:rPr>
          <w:b/>
        </w:rPr>
        <w:t>污水收集池污泥</w:t>
      </w:r>
    </w:p>
    <w:p>
      <w:pPr>
        <w:pStyle w:val="466"/>
        <w:ind w:firstLine="480"/>
        <w:rPr>
          <w:rFonts w:cs="Times New Roman"/>
          <w:szCs w:val="24"/>
        </w:rPr>
      </w:pPr>
      <w:r>
        <w:rPr>
          <w:rFonts w:cs="Times New Roman"/>
          <w:szCs w:val="24"/>
        </w:rPr>
        <w:t>类比同类型项目，项目</w:t>
      </w:r>
      <w:r>
        <w:rPr>
          <w:rFonts w:cs="Times New Roman"/>
        </w:rPr>
        <w:t>污水收集池产生的污泥</w:t>
      </w:r>
      <w:r>
        <w:rPr>
          <w:rFonts w:cs="Times New Roman"/>
          <w:szCs w:val="24"/>
        </w:rPr>
        <w:t>产生量约10 t/a。</w:t>
      </w:r>
    </w:p>
    <w:p>
      <w:pPr>
        <w:pStyle w:val="466"/>
        <w:ind w:firstLine="482"/>
        <w:rPr>
          <w:rFonts w:cs="Times New Roman"/>
          <w:b/>
          <w:szCs w:val="24"/>
        </w:rPr>
      </w:pPr>
      <w:r>
        <w:rPr>
          <w:rFonts w:hint="eastAsia" w:cs="Times New Roman"/>
          <w:b/>
          <w:szCs w:val="24"/>
        </w:rPr>
        <w:t>（5）员工生活垃圾</w:t>
      </w:r>
    </w:p>
    <w:p>
      <w:pPr>
        <w:pStyle w:val="2133"/>
        <w:spacing w:line="360" w:lineRule="auto"/>
        <w:rPr>
          <w:rFonts w:cs="Times New Roman"/>
        </w:rPr>
      </w:pPr>
      <w:r>
        <w:rPr>
          <w:rFonts w:hint="eastAsia" w:cs="Times New Roman"/>
        </w:rPr>
        <w:t>码头定员</w:t>
      </w:r>
      <w:r>
        <w:rPr>
          <w:rFonts w:hint="eastAsia" w:cs="Times New Roman"/>
          <w:lang w:val="en-US" w:eastAsia="zh-CN"/>
        </w:rPr>
        <w:t>235</w:t>
      </w:r>
      <w:r>
        <w:rPr>
          <w:rFonts w:hint="eastAsia" w:cs="Times New Roman"/>
        </w:rPr>
        <w:t>人，综合楼内倒班楼每天住宿人员约有</w:t>
      </w:r>
      <w:r>
        <w:rPr>
          <w:rFonts w:cs="Times New Roman"/>
        </w:rPr>
        <w:t>212</w:t>
      </w:r>
      <w:r>
        <w:rPr>
          <w:rFonts w:hint="eastAsia" w:cs="Times New Roman"/>
        </w:rPr>
        <w:t>人。住宿人员生活垃圾产生量按1.0</w:t>
      </w:r>
      <w:r>
        <w:rPr>
          <w:rFonts w:cs="Times New Roman"/>
        </w:rPr>
        <w:t>kg/</w:t>
      </w:r>
      <w:r>
        <w:rPr>
          <w:rFonts w:hint="eastAsia" w:cs="Times New Roman"/>
        </w:rPr>
        <w:t>天</w:t>
      </w:r>
      <w:r>
        <w:rPr>
          <w:rFonts w:cs="Times New Roman"/>
        </w:rPr>
        <w:t>·</w:t>
      </w:r>
      <w:r>
        <w:rPr>
          <w:rFonts w:hint="eastAsia" w:cs="Times New Roman"/>
        </w:rPr>
        <w:t>人计算，非住宿人员生活垃圾产生量按0.5kg/天·人计算，则工作人员生活垃圾产生量为150</w:t>
      </w:r>
      <w:r>
        <w:rPr>
          <w:rFonts w:cs="Times New Roman"/>
        </w:rPr>
        <w:t>kg/d</w:t>
      </w:r>
      <w:r>
        <w:rPr>
          <w:rFonts w:hint="eastAsia" w:cs="Times New Roman"/>
        </w:rPr>
        <w:t>，52.5</w:t>
      </w:r>
      <w:r>
        <w:rPr>
          <w:rFonts w:cs="Times New Roman"/>
        </w:rPr>
        <w:t>t/a</w:t>
      </w:r>
      <w:r>
        <w:rPr>
          <w:rFonts w:hint="eastAsia" w:cs="Times New Roman"/>
        </w:rPr>
        <w:t>。</w:t>
      </w:r>
    </w:p>
    <w:p>
      <w:pPr>
        <w:pStyle w:val="2285"/>
        <w:ind w:left="0"/>
        <w:rPr>
          <w:rFonts w:cs="Times New Roman"/>
        </w:rPr>
      </w:pPr>
      <w:r>
        <w:rPr>
          <w:rFonts w:cs="Times New Roman"/>
        </w:rPr>
        <w:t>本项目固体</w:t>
      </w:r>
      <w:r>
        <w:rPr>
          <w:rFonts w:cs="Times New Roman"/>
          <w:bCs/>
        </w:rPr>
        <w:t>废物</w:t>
      </w:r>
      <w:r>
        <w:rPr>
          <w:rFonts w:cs="Times New Roman"/>
        </w:rPr>
        <w:t>产排情况一览表</w:t>
      </w:r>
      <w:r>
        <w:rPr>
          <w:rFonts w:cs="Times New Roman"/>
        </w:rPr>
        <w:tab/>
      </w:r>
      <w:r>
        <w:rPr>
          <w:rFonts w:cs="Times New Roman"/>
        </w:rPr>
        <w:t>单位：t/a</w:t>
      </w:r>
    </w:p>
    <w:tbl>
      <w:tblPr>
        <w:tblStyle w:val="3596"/>
        <w:tblW w:w="48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38"/>
        <w:gridCol w:w="1751"/>
        <w:gridCol w:w="1893"/>
        <w:gridCol w:w="1748"/>
        <w:gridCol w:w="1165"/>
        <w:gridCol w:w="10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45" w:type="pct"/>
            <w:vMerge w:val="restart"/>
            <w:vAlign w:val="center"/>
          </w:tcPr>
          <w:p>
            <w:pPr>
              <w:pStyle w:val="2691"/>
            </w:pPr>
            <w:r>
              <w:t>工序</w:t>
            </w:r>
          </w:p>
        </w:tc>
        <w:tc>
          <w:tcPr>
            <w:tcW w:w="962" w:type="pct"/>
            <w:vMerge w:val="restart"/>
            <w:vAlign w:val="center"/>
          </w:tcPr>
          <w:p>
            <w:pPr>
              <w:pStyle w:val="2691"/>
            </w:pPr>
            <w:r>
              <w:t>装置</w:t>
            </w:r>
          </w:p>
        </w:tc>
        <w:tc>
          <w:tcPr>
            <w:tcW w:w="1040" w:type="pct"/>
            <w:vMerge w:val="restart"/>
            <w:vAlign w:val="center"/>
          </w:tcPr>
          <w:p>
            <w:pPr>
              <w:pStyle w:val="2691"/>
            </w:pPr>
            <w:r>
              <w:t>固体废物名称</w:t>
            </w:r>
          </w:p>
        </w:tc>
        <w:tc>
          <w:tcPr>
            <w:tcW w:w="960" w:type="pct"/>
            <w:vMerge w:val="restart"/>
            <w:vAlign w:val="center"/>
          </w:tcPr>
          <w:p>
            <w:pPr>
              <w:pStyle w:val="2691"/>
            </w:pPr>
            <w:r>
              <w:t>属性</w:t>
            </w:r>
          </w:p>
        </w:tc>
        <w:tc>
          <w:tcPr>
            <w:tcW w:w="1190" w:type="pct"/>
            <w:gridSpan w:val="2"/>
            <w:vAlign w:val="center"/>
          </w:tcPr>
          <w:p>
            <w:pPr>
              <w:pStyle w:val="2691"/>
            </w:pPr>
            <w:r>
              <w:t>产生情况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45" w:type="pct"/>
            <w:vMerge w:val="continue"/>
            <w:tcBorders>
              <w:bottom w:val="single" w:color="auto" w:sz="12" w:space="0"/>
            </w:tcBorders>
            <w:vAlign w:val="center"/>
          </w:tcPr>
          <w:p>
            <w:pPr>
              <w:pStyle w:val="2691"/>
            </w:pPr>
          </w:p>
        </w:tc>
        <w:tc>
          <w:tcPr>
            <w:tcW w:w="962" w:type="pct"/>
            <w:vMerge w:val="continue"/>
            <w:tcBorders>
              <w:bottom w:val="single" w:color="auto" w:sz="12" w:space="0"/>
            </w:tcBorders>
            <w:vAlign w:val="center"/>
          </w:tcPr>
          <w:p>
            <w:pPr>
              <w:pStyle w:val="2691"/>
            </w:pPr>
          </w:p>
        </w:tc>
        <w:tc>
          <w:tcPr>
            <w:tcW w:w="1040" w:type="pct"/>
            <w:vMerge w:val="continue"/>
            <w:tcBorders>
              <w:bottom w:val="single" w:color="auto" w:sz="12" w:space="0"/>
            </w:tcBorders>
            <w:vAlign w:val="center"/>
          </w:tcPr>
          <w:p>
            <w:pPr>
              <w:pStyle w:val="2691"/>
            </w:pPr>
          </w:p>
        </w:tc>
        <w:tc>
          <w:tcPr>
            <w:tcW w:w="960" w:type="pct"/>
            <w:vMerge w:val="continue"/>
            <w:tcBorders>
              <w:bottom w:val="single" w:color="auto" w:sz="12" w:space="0"/>
            </w:tcBorders>
            <w:vAlign w:val="center"/>
          </w:tcPr>
          <w:p>
            <w:pPr>
              <w:pStyle w:val="2691"/>
            </w:pPr>
          </w:p>
        </w:tc>
        <w:tc>
          <w:tcPr>
            <w:tcW w:w="640" w:type="pct"/>
            <w:tcBorders>
              <w:bottom w:val="single" w:color="auto" w:sz="12" w:space="0"/>
            </w:tcBorders>
            <w:vAlign w:val="center"/>
          </w:tcPr>
          <w:p>
            <w:pPr>
              <w:pStyle w:val="2691"/>
            </w:pPr>
            <w:r>
              <w:t>核算方法</w:t>
            </w:r>
          </w:p>
        </w:tc>
        <w:tc>
          <w:tcPr>
            <w:tcW w:w="550" w:type="pct"/>
            <w:tcBorders>
              <w:bottom w:val="single" w:color="auto" w:sz="12" w:space="0"/>
            </w:tcBorders>
            <w:vAlign w:val="center"/>
          </w:tcPr>
          <w:p>
            <w:pPr>
              <w:pStyle w:val="2691"/>
            </w:pPr>
            <w:r>
              <w:t>产生量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47" w:hRule="exact"/>
          <w:jc w:val="center"/>
        </w:trPr>
        <w:tc>
          <w:tcPr>
            <w:tcW w:w="845" w:type="pct"/>
            <w:tcBorders>
              <w:top w:val="single" w:color="auto" w:sz="12" w:space="0"/>
            </w:tcBorders>
            <w:vAlign w:val="center"/>
          </w:tcPr>
          <w:p>
            <w:pPr>
              <w:pStyle w:val="2691"/>
            </w:pPr>
            <w:r>
              <w:t>到港船舶生活垃圾</w:t>
            </w:r>
          </w:p>
        </w:tc>
        <w:tc>
          <w:tcPr>
            <w:tcW w:w="962" w:type="pct"/>
            <w:tcBorders>
              <w:top w:val="single" w:color="auto" w:sz="12" w:space="0"/>
            </w:tcBorders>
            <w:vAlign w:val="center"/>
          </w:tcPr>
          <w:p>
            <w:pPr>
              <w:pStyle w:val="2691"/>
            </w:pPr>
          </w:p>
          <w:p>
            <w:pPr>
              <w:pStyle w:val="2691"/>
            </w:pPr>
            <w:r>
              <w:t>/</w:t>
            </w:r>
          </w:p>
        </w:tc>
        <w:tc>
          <w:tcPr>
            <w:tcW w:w="1040" w:type="pct"/>
            <w:tcBorders>
              <w:top w:val="single" w:color="auto" w:sz="12" w:space="0"/>
            </w:tcBorders>
            <w:vAlign w:val="center"/>
          </w:tcPr>
          <w:p>
            <w:pPr>
              <w:pStyle w:val="2691"/>
            </w:pPr>
            <w:r>
              <w:t>生活垃圾</w:t>
            </w:r>
          </w:p>
        </w:tc>
        <w:tc>
          <w:tcPr>
            <w:tcW w:w="960" w:type="pct"/>
            <w:tcBorders>
              <w:top w:val="single" w:color="auto" w:sz="12" w:space="0"/>
            </w:tcBorders>
            <w:vAlign w:val="center"/>
          </w:tcPr>
          <w:p>
            <w:pPr>
              <w:pStyle w:val="2691"/>
            </w:pPr>
            <w:r>
              <w:t>生活垃圾</w:t>
            </w:r>
          </w:p>
        </w:tc>
        <w:tc>
          <w:tcPr>
            <w:tcW w:w="640" w:type="pct"/>
            <w:tcBorders>
              <w:top w:val="single" w:color="auto" w:sz="12" w:space="0"/>
            </w:tcBorders>
            <w:vAlign w:val="center"/>
          </w:tcPr>
          <w:p>
            <w:pPr>
              <w:pStyle w:val="2691"/>
            </w:pPr>
            <w:r>
              <w:t>产污系数</w:t>
            </w:r>
          </w:p>
        </w:tc>
        <w:tc>
          <w:tcPr>
            <w:tcW w:w="550" w:type="pct"/>
            <w:tcBorders>
              <w:top w:val="single" w:color="auto" w:sz="12" w:space="0"/>
            </w:tcBorders>
            <w:vAlign w:val="center"/>
          </w:tcPr>
          <w:p>
            <w:pPr>
              <w:pStyle w:val="2691"/>
            </w:pPr>
            <w:r>
              <w:t>1.38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45" w:type="pct"/>
            <w:vMerge w:val="restart"/>
            <w:vAlign w:val="center"/>
          </w:tcPr>
          <w:p>
            <w:pPr>
              <w:pStyle w:val="2691"/>
            </w:pPr>
            <w:r>
              <w:t>设备维修</w:t>
            </w:r>
          </w:p>
        </w:tc>
        <w:tc>
          <w:tcPr>
            <w:tcW w:w="962" w:type="pct"/>
            <w:vAlign w:val="center"/>
          </w:tcPr>
          <w:p>
            <w:pPr>
              <w:pStyle w:val="2691"/>
            </w:pPr>
            <w:r>
              <w:t>/</w:t>
            </w:r>
          </w:p>
        </w:tc>
        <w:tc>
          <w:tcPr>
            <w:tcW w:w="1040" w:type="pct"/>
            <w:vAlign w:val="center"/>
          </w:tcPr>
          <w:p>
            <w:pPr>
              <w:pStyle w:val="2691"/>
            </w:pPr>
            <w:r>
              <w:t>含油抹布</w:t>
            </w:r>
          </w:p>
        </w:tc>
        <w:tc>
          <w:tcPr>
            <w:tcW w:w="960" w:type="pct"/>
            <w:vAlign w:val="center"/>
          </w:tcPr>
          <w:p>
            <w:pPr>
              <w:pStyle w:val="2691"/>
            </w:pPr>
            <w:r>
              <w:t>危险废物</w:t>
            </w:r>
          </w:p>
        </w:tc>
        <w:tc>
          <w:tcPr>
            <w:tcW w:w="640" w:type="pct"/>
            <w:vAlign w:val="center"/>
          </w:tcPr>
          <w:p>
            <w:pPr>
              <w:pStyle w:val="2691"/>
            </w:pPr>
            <w:r>
              <w:t>类比法</w:t>
            </w:r>
          </w:p>
        </w:tc>
        <w:tc>
          <w:tcPr>
            <w:tcW w:w="550" w:type="pct"/>
            <w:vAlign w:val="center"/>
          </w:tcPr>
          <w:p>
            <w:pPr>
              <w:pStyle w:val="2691"/>
            </w:pPr>
            <w: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45" w:type="pct"/>
            <w:vMerge w:val="continue"/>
            <w:vAlign w:val="center"/>
          </w:tcPr>
          <w:p>
            <w:pPr>
              <w:pStyle w:val="2691"/>
            </w:pPr>
          </w:p>
        </w:tc>
        <w:tc>
          <w:tcPr>
            <w:tcW w:w="962" w:type="pct"/>
            <w:vAlign w:val="center"/>
          </w:tcPr>
          <w:p>
            <w:pPr>
              <w:pStyle w:val="2691"/>
            </w:pPr>
            <w:r>
              <w:t>机械设备</w:t>
            </w:r>
          </w:p>
        </w:tc>
        <w:tc>
          <w:tcPr>
            <w:tcW w:w="1040" w:type="pct"/>
            <w:vAlign w:val="center"/>
          </w:tcPr>
          <w:p>
            <w:pPr>
              <w:pStyle w:val="2691"/>
            </w:pPr>
            <w:r>
              <w:t>废机油</w:t>
            </w:r>
          </w:p>
        </w:tc>
        <w:tc>
          <w:tcPr>
            <w:tcW w:w="960" w:type="pct"/>
            <w:vAlign w:val="center"/>
          </w:tcPr>
          <w:p>
            <w:pPr>
              <w:pStyle w:val="2691"/>
            </w:pPr>
            <w:r>
              <w:t>危险废物</w:t>
            </w:r>
          </w:p>
        </w:tc>
        <w:tc>
          <w:tcPr>
            <w:tcW w:w="640" w:type="pct"/>
            <w:vAlign w:val="center"/>
          </w:tcPr>
          <w:p>
            <w:pPr>
              <w:pStyle w:val="2691"/>
            </w:pPr>
            <w:r>
              <w:t>类比法</w:t>
            </w:r>
          </w:p>
        </w:tc>
        <w:tc>
          <w:tcPr>
            <w:tcW w:w="550" w:type="pct"/>
            <w:vAlign w:val="center"/>
          </w:tcPr>
          <w:p>
            <w:pPr>
              <w:pStyle w:val="2691"/>
            </w:pPr>
            <w: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45" w:type="pct"/>
            <w:vAlign w:val="center"/>
          </w:tcPr>
          <w:p>
            <w:pPr>
              <w:pStyle w:val="2691"/>
            </w:pPr>
            <w:r>
              <w:t>污水处理</w:t>
            </w:r>
          </w:p>
        </w:tc>
        <w:tc>
          <w:tcPr>
            <w:tcW w:w="962" w:type="pct"/>
            <w:vAlign w:val="center"/>
          </w:tcPr>
          <w:p>
            <w:pPr>
              <w:pStyle w:val="2691"/>
            </w:pPr>
            <w:r>
              <w:t>污水预处理设施</w:t>
            </w:r>
          </w:p>
        </w:tc>
        <w:tc>
          <w:tcPr>
            <w:tcW w:w="1040" w:type="pct"/>
            <w:vAlign w:val="center"/>
          </w:tcPr>
          <w:p>
            <w:pPr>
              <w:pStyle w:val="2691"/>
            </w:pPr>
            <w:r>
              <w:t>污水收集池污泥</w:t>
            </w:r>
          </w:p>
        </w:tc>
        <w:tc>
          <w:tcPr>
            <w:tcW w:w="960" w:type="pct"/>
            <w:vAlign w:val="center"/>
          </w:tcPr>
          <w:p>
            <w:pPr>
              <w:pStyle w:val="2691"/>
            </w:pPr>
            <w:r>
              <w:t>一般工业固废</w:t>
            </w:r>
          </w:p>
        </w:tc>
        <w:tc>
          <w:tcPr>
            <w:tcW w:w="640" w:type="pct"/>
            <w:vAlign w:val="center"/>
          </w:tcPr>
          <w:p>
            <w:pPr>
              <w:pStyle w:val="2691"/>
            </w:pPr>
            <w:r>
              <w:t>类比法</w:t>
            </w:r>
          </w:p>
        </w:tc>
        <w:tc>
          <w:tcPr>
            <w:tcW w:w="550" w:type="pct"/>
            <w:vAlign w:val="center"/>
          </w:tcPr>
          <w:p>
            <w:pPr>
              <w:pStyle w:val="2691"/>
            </w:pPr>
            <w: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845" w:type="pct"/>
            <w:vAlign w:val="center"/>
          </w:tcPr>
          <w:p>
            <w:pPr>
              <w:pStyle w:val="2691"/>
            </w:pPr>
            <w:r>
              <w:t>员工生活</w:t>
            </w:r>
          </w:p>
        </w:tc>
        <w:tc>
          <w:tcPr>
            <w:tcW w:w="962" w:type="pct"/>
            <w:vAlign w:val="center"/>
          </w:tcPr>
          <w:p>
            <w:pPr>
              <w:pStyle w:val="2691"/>
            </w:pPr>
            <w:r>
              <w:rPr>
                <w:rFonts w:hint="eastAsia"/>
              </w:rPr>
              <w:t>/</w:t>
            </w:r>
          </w:p>
        </w:tc>
        <w:tc>
          <w:tcPr>
            <w:tcW w:w="1040" w:type="pct"/>
            <w:vAlign w:val="center"/>
          </w:tcPr>
          <w:p>
            <w:pPr>
              <w:pStyle w:val="2691"/>
            </w:pPr>
            <w:r>
              <w:t>生活垃圾</w:t>
            </w:r>
          </w:p>
        </w:tc>
        <w:tc>
          <w:tcPr>
            <w:tcW w:w="960" w:type="pct"/>
            <w:vAlign w:val="center"/>
          </w:tcPr>
          <w:p>
            <w:pPr>
              <w:pStyle w:val="2691"/>
            </w:pPr>
            <w:r>
              <w:t>生活垃圾</w:t>
            </w:r>
          </w:p>
        </w:tc>
        <w:tc>
          <w:tcPr>
            <w:tcW w:w="640" w:type="pct"/>
            <w:vAlign w:val="center"/>
          </w:tcPr>
          <w:p>
            <w:pPr>
              <w:pStyle w:val="2691"/>
            </w:pPr>
            <w:r>
              <w:t>产污系数</w:t>
            </w:r>
          </w:p>
        </w:tc>
        <w:tc>
          <w:tcPr>
            <w:tcW w:w="550" w:type="pct"/>
            <w:vAlign w:val="center"/>
          </w:tcPr>
          <w:p>
            <w:pPr>
              <w:pStyle w:val="2691"/>
            </w:pPr>
            <w:r>
              <w:t>52.5</w:t>
            </w:r>
          </w:p>
        </w:tc>
      </w:tr>
    </w:tbl>
    <w:p>
      <w:pPr>
        <w:pStyle w:val="2285"/>
        <w:ind w:left="0"/>
        <w:rPr>
          <w:rFonts w:cs="Times New Roman"/>
        </w:rPr>
      </w:pPr>
      <w:r>
        <w:rPr>
          <w:rFonts w:cs="Times New Roman"/>
        </w:rPr>
        <w:t>本项目危险废物</w:t>
      </w:r>
      <w:r>
        <w:rPr>
          <w:rFonts w:cs="Times New Roman"/>
          <w:bCs/>
        </w:rPr>
        <w:t>产生</w:t>
      </w:r>
      <w:r>
        <w:rPr>
          <w:rFonts w:cs="Times New Roman"/>
        </w:rPr>
        <w:t>及处置情况一览表</w:t>
      </w:r>
      <w:r>
        <w:rPr>
          <w:rFonts w:cs="Times New Roman"/>
        </w:rPr>
        <w:tab/>
      </w:r>
      <w:r>
        <w:rPr>
          <w:rFonts w:cs="Times New Roman"/>
        </w:rPr>
        <w:t>单位：t/a</w:t>
      </w:r>
    </w:p>
    <w:tbl>
      <w:tblPr>
        <w:tblStyle w:val="87"/>
        <w:tblW w:w="5000" w:type="pct"/>
        <w:jc w:val="center"/>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
      <w:tblGrid>
        <w:gridCol w:w="464"/>
        <w:gridCol w:w="814"/>
        <w:gridCol w:w="814"/>
        <w:gridCol w:w="881"/>
        <w:gridCol w:w="735"/>
        <w:gridCol w:w="948"/>
        <w:gridCol w:w="626"/>
        <w:gridCol w:w="654"/>
        <w:gridCol w:w="1540"/>
        <w:gridCol w:w="694"/>
        <w:gridCol w:w="929"/>
      </w:tblGrid>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944" w:hRule="exact"/>
          <w:jc w:val="center"/>
        </w:trPr>
        <w:tc>
          <w:tcPr>
            <w:tcW w:w="473" w:type="dxa"/>
            <w:tcBorders>
              <w:bottom w:val="single" w:color="000000" w:sz="12" w:space="0"/>
            </w:tcBorders>
            <w:vAlign w:val="center"/>
          </w:tcPr>
          <w:p>
            <w:pPr>
              <w:pStyle w:val="2691"/>
              <w:rPr>
                <w:b/>
                <w:bCs/>
              </w:rPr>
            </w:pPr>
            <w:r>
              <w:rPr>
                <w:b/>
                <w:bCs/>
              </w:rPr>
              <w:t>序号</w:t>
            </w:r>
          </w:p>
        </w:tc>
        <w:tc>
          <w:tcPr>
            <w:tcW w:w="832" w:type="dxa"/>
            <w:tcBorders>
              <w:bottom w:val="single" w:color="000000" w:sz="12" w:space="0"/>
            </w:tcBorders>
            <w:vAlign w:val="center"/>
          </w:tcPr>
          <w:p>
            <w:pPr>
              <w:pStyle w:val="2691"/>
              <w:rPr>
                <w:b/>
                <w:bCs/>
              </w:rPr>
            </w:pPr>
            <w:r>
              <w:rPr>
                <w:b/>
                <w:bCs/>
              </w:rPr>
              <w:t>危险废</w:t>
            </w:r>
          </w:p>
          <w:p>
            <w:pPr>
              <w:pStyle w:val="2691"/>
              <w:rPr>
                <w:b/>
                <w:bCs/>
              </w:rPr>
            </w:pPr>
            <w:r>
              <w:rPr>
                <w:b/>
                <w:bCs/>
              </w:rPr>
              <w:t>物名称</w:t>
            </w:r>
          </w:p>
        </w:tc>
        <w:tc>
          <w:tcPr>
            <w:tcW w:w="832" w:type="dxa"/>
            <w:tcBorders>
              <w:bottom w:val="single" w:color="000000" w:sz="12" w:space="0"/>
            </w:tcBorders>
            <w:vAlign w:val="center"/>
          </w:tcPr>
          <w:p>
            <w:pPr>
              <w:pStyle w:val="2691"/>
              <w:rPr>
                <w:b/>
                <w:bCs/>
              </w:rPr>
            </w:pPr>
            <w:r>
              <w:rPr>
                <w:b/>
                <w:bCs/>
              </w:rPr>
              <w:t>危险废</w:t>
            </w:r>
          </w:p>
          <w:p>
            <w:pPr>
              <w:pStyle w:val="2691"/>
              <w:rPr>
                <w:b/>
                <w:bCs/>
              </w:rPr>
            </w:pPr>
            <w:r>
              <w:rPr>
                <w:b/>
                <w:bCs/>
              </w:rPr>
              <w:t>物类别</w:t>
            </w:r>
          </w:p>
        </w:tc>
        <w:tc>
          <w:tcPr>
            <w:tcW w:w="900" w:type="dxa"/>
            <w:tcBorders>
              <w:bottom w:val="single" w:color="000000" w:sz="12" w:space="0"/>
            </w:tcBorders>
            <w:vAlign w:val="center"/>
          </w:tcPr>
          <w:p>
            <w:pPr>
              <w:pStyle w:val="2691"/>
              <w:rPr>
                <w:b/>
                <w:bCs/>
              </w:rPr>
            </w:pPr>
            <w:r>
              <w:rPr>
                <w:b/>
                <w:bCs/>
              </w:rPr>
              <w:t>危险废物</w:t>
            </w:r>
          </w:p>
          <w:p>
            <w:pPr>
              <w:pStyle w:val="2691"/>
              <w:rPr>
                <w:b/>
                <w:bCs/>
              </w:rPr>
            </w:pPr>
            <w:r>
              <w:rPr>
                <w:b/>
                <w:bCs/>
              </w:rPr>
              <w:t>代码</w:t>
            </w:r>
          </w:p>
        </w:tc>
        <w:tc>
          <w:tcPr>
            <w:tcW w:w="751" w:type="dxa"/>
            <w:tcBorders>
              <w:bottom w:val="single" w:color="000000" w:sz="12" w:space="0"/>
            </w:tcBorders>
            <w:vAlign w:val="center"/>
          </w:tcPr>
          <w:p>
            <w:pPr>
              <w:pStyle w:val="2691"/>
              <w:rPr>
                <w:b/>
                <w:bCs/>
              </w:rPr>
            </w:pPr>
            <w:r>
              <w:rPr>
                <w:b/>
                <w:bCs/>
              </w:rPr>
              <w:t>产生量</w:t>
            </w:r>
          </w:p>
        </w:tc>
        <w:tc>
          <w:tcPr>
            <w:tcW w:w="969" w:type="dxa"/>
            <w:tcBorders>
              <w:bottom w:val="single" w:color="000000" w:sz="12" w:space="0"/>
            </w:tcBorders>
            <w:vAlign w:val="center"/>
          </w:tcPr>
          <w:p>
            <w:pPr>
              <w:pStyle w:val="2691"/>
              <w:rPr>
                <w:b/>
                <w:bCs/>
              </w:rPr>
            </w:pPr>
            <w:r>
              <w:rPr>
                <w:b/>
                <w:bCs/>
              </w:rPr>
              <w:t>产生工序</w:t>
            </w:r>
          </w:p>
          <w:p>
            <w:pPr>
              <w:pStyle w:val="2691"/>
              <w:rPr>
                <w:b/>
                <w:bCs/>
              </w:rPr>
            </w:pPr>
            <w:r>
              <w:rPr>
                <w:b/>
                <w:bCs/>
              </w:rPr>
              <w:t>及装置</w:t>
            </w:r>
          </w:p>
        </w:tc>
        <w:tc>
          <w:tcPr>
            <w:tcW w:w="640" w:type="dxa"/>
            <w:tcBorders>
              <w:bottom w:val="single" w:color="000000" w:sz="12" w:space="0"/>
            </w:tcBorders>
            <w:vAlign w:val="center"/>
          </w:tcPr>
          <w:p>
            <w:pPr>
              <w:pStyle w:val="2691"/>
              <w:rPr>
                <w:b/>
                <w:bCs/>
              </w:rPr>
            </w:pPr>
            <w:r>
              <w:rPr>
                <w:b/>
                <w:bCs/>
              </w:rPr>
              <w:t>形态</w:t>
            </w:r>
          </w:p>
        </w:tc>
        <w:tc>
          <w:tcPr>
            <w:tcW w:w="668" w:type="dxa"/>
            <w:tcBorders>
              <w:bottom w:val="single" w:color="000000" w:sz="12" w:space="0"/>
            </w:tcBorders>
            <w:vAlign w:val="center"/>
          </w:tcPr>
          <w:p>
            <w:pPr>
              <w:pStyle w:val="2691"/>
              <w:rPr>
                <w:b/>
                <w:bCs/>
              </w:rPr>
            </w:pPr>
            <w:r>
              <w:rPr>
                <w:b/>
                <w:bCs/>
              </w:rPr>
              <w:t>主要成</w:t>
            </w:r>
          </w:p>
          <w:p>
            <w:pPr>
              <w:pStyle w:val="2691"/>
              <w:rPr>
                <w:b/>
                <w:bCs/>
              </w:rPr>
            </w:pPr>
            <w:r>
              <w:rPr>
                <w:b/>
                <w:bCs/>
              </w:rPr>
              <w:t>分</w:t>
            </w:r>
          </w:p>
        </w:tc>
        <w:tc>
          <w:tcPr>
            <w:tcW w:w="1575" w:type="dxa"/>
            <w:tcBorders>
              <w:bottom w:val="single" w:color="000000" w:sz="12" w:space="0"/>
            </w:tcBorders>
            <w:vAlign w:val="center"/>
          </w:tcPr>
          <w:p>
            <w:pPr>
              <w:pStyle w:val="2691"/>
              <w:rPr>
                <w:b/>
                <w:bCs/>
              </w:rPr>
            </w:pPr>
            <w:r>
              <w:rPr>
                <w:b/>
                <w:bCs/>
              </w:rPr>
              <w:t>有害</w:t>
            </w:r>
          </w:p>
          <w:p>
            <w:pPr>
              <w:pStyle w:val="2691"/>
              <w:rPr>
                <w:b/>
                <w:bCs/>
              </w:rPr>
            </w:pPr>
            <w:r>
              <w:rPr>
                <w:b/>
                <w:bCs/>
              </w:rPr>
              <w:t>成分</w:t>
            </w:r>
          </w:p>
        </w:tc>
        <w:tc>
          <w:tcPr>
            <w:tcW w:w="709" w:type="dxa"/>
            <w:tcBorders>
              <w:bottom w:val="single" w:color="000000" w:sz="12" w:space="0"/>
            </w:tcBorders>
            <w:vAlign w:val="center"/>
          </w:tcPr>
          <w:p>
            <w:pPr>
              <w:pStyle w:val="2691"/>
              <w:rPr>
                <w:b/>
                <w:bCs/>
              </w:rPr>
            </w:pPr>
            <w:r>
              <w:rPr>
                <w:b/>
                <w:bCs/>
              </w:rPr>
              <w:t>危险特</w:t>
            </w:r>
          </w:p>
          <w:p>
            <w:pPr>
              <w:pStyle w:val="2691"/>
              <w:rPr>
                <w:b/>
                <w:bCs/>
              </w:rPr>
            </w:pPr>
            <w:r>
              <w:rPr>
                <w:b/>
                <w:bCs/>
              </w:rPr>
              <w:t>性</w:t>
            </w:r>
          </w:p>
        </w:tc>
        <w:tc>
          <w:tcPr>
            <w:tcW w:w="949" w:type="dxa"/>
            <w:tcBorders>
              <w:bottom w:val="single" w:color="000000" w:sz="12" w:space="0"/>
            </w:tcBorders>
            <w:vAlign w:val="center"/>
          </w:tcPr>
          <w:p>
            <w:pPr>
              <w:pStyle w:val="2691"/>
              <w:rPr>
                <w:b/>
                <w:bCs/>
              </w:rPr>
            </w:pPr>
            <w:r>
              <w:rPr>
                <w:b/>
                <w:bCs/>
              </w:rPr>
              <w:t>污染防治</w:t>
            </w:r>
          </w:p>
          <w:p>
            <w:pPr>
              <w:pStyle w:val="2691"/>
              <w:rPr>
                <w:b/>
                <w:bCs/>
              </w:rPr>
            </w:pPr>
            <w:r>
              <w:rPr>
                <w:b/>
                <w:bCs/>
              </w:rPr>
              <w:t>措施</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917" w:hRule="exact"/>
          <w:jc w:val="center"/>
        </w:trPr>
        <w:tc>
          <w:tcPr>
            <w:tcW w:w="473" w:type="dxa"/>
            <w:tcBorders>
              <w:top w:val="single" w:color="000000" w:sz="12" w:space="0"/>
            </w:tcBorders>
            <w:vAlign w:val="center"/>
          </w:tcPr>
          <w:p>
            <w:pPr>
              <w:pStyle w:val="2691"/>
            </w:pPr>
            <w:r>
              <w:t>1</w:t>
            </w:r>
          </w:p>
        </w:tc>
        <w:tc>
          <w:tcPr>
            <w:tcW w:w="832" w:type="dxa"/>
            <w:tcBorders>
              <w:top w:val="single" w:color="000000" w:sz="12" w:space="0"/>
            </w:tcBorders>
            <w:vAlign w:val="center"/>
          </w:tcPr>
          <w:p>
            <w:pPr>
              <w:pStyle w:val="2691"/>
            </w:pPr>
            <w:r>
              <w:t>废机油</w:t>
            </w:r>
          </w:p>
        </w:tc>
        <w:tc>
          <w:tcPr>
            <w:tcW w:w="832" w:type="dxa"/>
            <w:tcBorders>
              <w:top w:val="single" w:color="000000" w:sz="12" w:space="0"/>
            </w:tcBorders>
            <w:vAlign w:val="center"/>
          </w:tcPr>
          <w:p>
            <w:pPr>
              <w:pStyle w:val="2691"/>
            </w:pPr>
            <w:r>
              <w:t>HW08</w:t>
            </w:r>
          </w:p>
        </w:tc>
        <w:tc>
          <w:tcPr>
            <w:tcW w:w="900" w:type="dxa"/>
            <w:tcBorders>
              <w:top w:val="single" w:color="000000" w:sz="12" w:space="0"/>
            </w:tcBorders>
            <w:vAlign w:val="center"/>
          </w:tcPr>
          <w:p>
            <w:pPr>
              <w:pStyle w:val="2691"/>
            </w:pPr>
            <w:r>
              <w:t>900-214-</w:t>
            </w:r>
          </w:p>
          <w:p>
            <w:pPr>
              <w:pStyle w:val="2691"/>
            </w:pPr>
            <w:r>
              <w:t>08</w:t>
            </w:r>
          </w:p>
        </w:tc>
        <w:tc>
          <w:tcPr>
            <w:tcW w:w="751" w:type="dxa"/>
            <w:tcBorders>
              <w:top w:val="single" w:color="000000" w:sz="12" w:space="0"/>
            </w:tcBorders>
            <w:vAlign w:val="center"/>
          </w:tcPr>
          <w:p>
            <w:pPr>
              <w:pStyle w:val="2691"/>
            </w:pPr>
            <w:r>
              <w:t>0.2</w:t>
            </w:r>
          </w:p>
        </w:tc>
        <w:tc>
          <w:tcPr>
            <w:tcW w:w="969" w:type="dxa"/>
            <w:tcBorders>
              <w:top w:val="single" w:color="000000" w:sz="12" w:space="0"/>
            </w:tcBorders>
            <w:vAlign w:val="center"/>
          </w:tcPr>
          <w:p>
            <w:pPr>
              <w:pStyle w:val="2691"/>
            </w:pPr>
            <w:r>
              <w:t>设备维修</w:t>
            </w:r>
          </w:p>
        </w:tc>
        <w:tc>
          <w:tcPr>
            <w:tcW w:w="640" w:type="dxa"/>
            <w:tcBorders>
              <w:top w:val="single" w:color="000000" w:sz="12" w:space="0"/>
            </w:tcBorders>
            <w:vAlign w:val="center"/>
          </w:tcPr>
          <w:p>
            <w:pPr>
              <w:pStyle w:val="2691"/>
            </w:pPr>
            <w:r>
              <w:t>液态</w:t>
            </w:r>
          </w:p>
        </w:tc>
        <w:tc>
          <w:tcPr>
            <w:tcW w:w="668" w:type="dxa"/>
            <w:tcBorders>
              <w:top w:val="single" w:color="000000" w:sz="12" w:space="0"/>
            </w:tcBorders>
            <w:vAlign w:val="center"/>
          </w:tcPr>
          <w:p>
            <w:pPr>
              <w:pStyle w:val="2691"/>
            </w:pPr>
            <w:r>
              <w:t>矿物油</w:t>
            </w:r>
          </w:p>
        </w:tc>
        <w:tc>
          <w:tcPr>
            <w:tcW w:w="1575" w:type="dxa"/>
            <w:tcBorders>
              <w:top w:val="single" w:color="000000" w:sz="12" w:space="0"/>
            </w:tcBorders>
            <w:vAlign w:val="center"/>
          </w:tcPr>
          <w:p>
            <w:pPr>
              <w:pStyle w:val="2691"/>
            </w:pPr>
            <w:r>
              <w:t>C15-C36的烷烃、多环芳烃（PAHs）、烯烃、苯系物、酚类等</w:t>
            </w:r>
          </w:p>
        </w:tc>
        <w:tc>
          <w:tcPr>
            <w:tcW w:w="709" w:type="dxa"/>
            <w:tcBorders>
              <w:top w:val="single" w:color="000000" w:sz="12" w:space="0"/>
            </w:tcBorders>
            <w:vAlign w:val="center"/>
          </w:tcPr>
          <w:p>
            <w:pPr>
              <w:pStyle w:val="2691"/>
            </w:pPr>
            <w:r>
              <w:t>毒性、可燃性</w:t>
            </w:r>
          </w:p>
        </w:tc>
        <w:tc>
          <w:tcPr>
            <w:tcW w:w="949" w:type="dxa"/>
            <w:tcBorders>
              <w:top w:val="single" w:color="000000" w:sz="12" w:space="0"/>
            </w:tcBorders>
            <w:vAlign w:val="center"/>
          </w:tcPr>
          <w:p>
            <w:pPr>
              <w:pStyle w:val="2691"/>
            </w:pPr>
            <w:r>
              <w:t>交由有资</w:t>
            </w:r>
          </w:p>
          <w:p>
            <w:pPr>
              <w:pStyle w:val="2691"/>
            </w:pPr>
            <w:r>
              <w:t>质单位处 理</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917" w:hRule="exact"/>
          <w:jc w:val="center"/>
        </w:trPr>
        <w:tc>
          <w:tcPr>
            <w:tcW w:w="473" w:type="dxa"/>
            <w:vAlign w:val="center"/>
          </w:tcPr>
          <w:p>
            <w:pPr>
              <w:pStyle w:val="2691"/>
            </w:pPr>
            <w:r>
              <w:t>2</w:t>
            </w:r>
          </w:p>
        </w:tc>
        <w:tc>
          <w:tcPr>
            <w:tcW w:w="832" w:type="dxa"/>
            <w:vAlign w:val="center"/>
          </w:tcPr>
          <w:p>
            <w:pPr>
              <w:pStyle w:val="2691"/>
            </w:pPr>
            <w:r>
              <w:t>含油抹布</w:t>
            </w:r>
          </w:p>
        </w:tc>
        <w:tc>
          <w:tcPr>
            <w:tcW w:w="832" w:type="dxa"/>
            <w:vAlign w:val="center"/>
          </w:tcPr>
          <w:p>
            <w:pPr>
              <w:pStyle w:val="2691"/>
            </w:pPr>
            <w:r>
              <w:rPr>
                <w:szCs w:val="24"/>
              </w:rPr>
              <w:t>HW49</w:t>
            </w:r>
          </w:p>
        </w:tc>
        <w:tc>
          <w:tcPr>
            <w:tcW w:w="900" w:type="dxa"/>
            <w:vAlign w:val="center"/>
          </w:tcPr>
          <w:p>
            <w:pPr>
              <w:pStyle w:val="2691"/>
            </w:pPr>
            <w:r>
              <w:rPr>
                <w:szCs w:val="24"/>
              </w:rPr>
              <w:t>900-041-49</w:t>
            </w:r>
          </w:p>
        </w:tc>
        <w:tc>
          <w:tcPr>
            <w:tcW w:w="751" w:type="dxa"/>
            <w:vAlign w:val="center"/>
          </w:tcPr>
          <w:p>
            <w:pPr>
              <w:pStyle w:val="2691"/>
            </w:pPr>
            <w:r>
              <w:t>0.5</w:t>
            </w:r>
          </w:p>
        </w:tc>
        <w:tc>
          <w:tcPr>
            <w:tcW w:w="969" w:type="dxa"/>
            <w:vAlign w:val="center"/>
          </w:tcPr>
          <w:p>
            <w:pPr>
              <w:pStyle w:val="2691"/>
            </w:pPr>
            <w:r>
              <w:t>设备维修</w:t>
            </w:r>
          </w:p>
        </w:tc>
        <w:tc>
          <w:tcPr>
            <w:tcW w:w="640" w:type="dxa"/>
            <w:vAlign w:val="center"/>
          </w:tcPr>
          <w:p>
            <w:pPr>
              <w:pStyle w:val="2691"/>
            </w:pPr>
            <w:r>
              <w:t>-</w:t>
            </w:r>
          </w:p>
        </w:tc>
        <w:tc>
          <w:tcPr>
            <w:tcW w:w="668" w:type="dxa"/>
            <w:vAlign w:val="center"/>
          </w:tcPr>
          <w:p>
            <w:pPr>
              <w:pStyle w:val="2691"/>
            </w:pPr>
            <w:r>
              <w:t>-</w:t>
            </w:r>
          </w:p>
        </w:tc>
        <w:tc>
          <w:tcPr>
            <w:tcW w:w="1575" w:type="dxa"/>
            <w:vAlign w:val="center"/>
          </w:tcPr>
          <w:p>
            <w:pPr>
              <w:pStyle w:val="2691"/>
            </w:pPr>
            <w:r>
              <w:t>-</w:t>
            </w:r>
          </w:p>
        </w:tc>
        <w:tc>
          <w:tcPr>
            <w:tcW w:w="709" w:type="dxa"/>
            <w:vAlign w:val="center"/>
          </w:tcPr>
          <w:p>
            <w:pPr>
              <w:pStyle w:val="2691"/>
            </w:pPr>
            <w:r>
              <w:t>-</w:t>
            </w:r>
          </w:p>
        </w:tc>
        <w:tc>
          <w:tcPr>
            <w:tcW w:w="949" w:type="dxa"/>
            <w:vAlign w:val="center"/>
          </w:tcPr>
          <w:p>
            <w:pPr>
              <w:pStyle w:val="2691"/>
            </w:pPr>
            <w:r>
              <w:t>交由有资</w:t>
            </w:r>
          </w:p>
          <w:p>
            <w:pPr>
              <w:pStyle w:val="2691"/>
            </w:pPr>
            <w:r>
              <w:t>质单位处 理</w:t>
            </w:r>
          </w:p>
        </w:tc>
      </w:tr>
    </w:tbl>
    <w:p>
      <w:pPr>
        <w:pStyle w:val="456"/>
        <w:ind w:firstLine="482"/>
      </w:pPr>
      <w:r>
        <w:t>生态环境</w:t>
      </w:r>
    </w:p>
    <w:p>
      <w:pPr>
        <w:ind w:firstLine="480"/>
      </w:pPr>
      <w:r>
        <w:t>1、运营期随着到港船舶数量的大幅增加，压缩了鱼类的生存空间，强大的噪声污染干扰了它们的正常生活，将会对鱼类产生一定影响。</w:t>
      </w:r>
    </w:p>
    <w:p>
      <w:pPr>
        <w:ind w:firstLine="480"/>
        <w:rPr>
          <w:szCs w:val="20"/>
        </w:rPr>
      </w:pPr>
      <w:r>
        <w:t>2、本项目位于洞庭湖口铜鱼短颌鲚国家级水产种质资源保护区实验区内，</w:t>
      </w:r>
      <w:r>
        <w:rPr>
          <w:szCs w:val="20"/>
        </w:rPr>
        <w:t>工程施工期间水下打桩、港池疏浚、护桩抛石会产生一定量的悬浮物，悬浮物随着水体流场的变化扩散，会形成一定范围的悬浮物高浓度分布区，导致局部水体透明度下降，进而影响浮游动植物的生长。桩基施工还会直接伤害到底栖动物，导致施工区域的大部分底栖动物死亡。</w:t>
      </w:r>
    </w:p>
    <w:p>
      <w:pPr>
        <w:ind w:firstLine="480"/>
        <w:jc w:val="left"/>
        <w:rPr>
          <w:szCs w:val="20"/>
        </w:rPr>
      </w:pPr>
      <w:r>
        <w:rPr>
          <w:szCs w:val="20"/>
        </w:rPr>
        <w:t>鱼类饵料生物的减少及悬浮泥沙、施工废水等会对施工区附近水域鱼类的生长发育产生不利影响，甚至会造成直接伤害。施工噪音对施工区鱼类产生惊吓效果，不会对鱼类造成明显的伤害或导致其死亡。但是在持续噪音刺激下，一些种类的个体会出现行为紊乱，从而妨碍其正常栖息和觅食。</w:t>
      </w:r>
    </w:p>
    <w:p>
      <w:pPr>
        <w:ind w:firstLine="480"/>
      </w:pPr>
      <w:r>
        <w:t>根据可研报告工程施工计划，本工程总工期为24个月。工程江段四大家鱼的繁殖期和苗种洄游期是4~7月，豚类繁殖季节为4~6月，</w:t>
      </w:r>
      <w:r>
        <w:rPr>
          <w:snapToGrid w:val="0"/>
          <w:kern w:val="0"/>
        </w:rPr>
        <w:t>工</w:t>
      </w:r>
      <w:r>
        <w:t>程施工活动与鱼类繁殖期时间有部分重合，施工活动对水生生物存在一定不利影响。建议该类水下工程施工开始日期调整到7月以后，截止日期提前至3月中旬，减少鱼类和豚类繁殖期的工程施工活动。工程江段不涉及鱼类产卵场，施工不会对鱼类产卵场生境造成破坏，</w:t>
      </w:r>
      <w:r>
        <w:rPr>
          <w:szCs w:val="20"/>
        </w:rPr>
        <w:t>且在落实本报告提出的水下工程避让鱼类主要繁殖期4~7月施工的前提下，</w:t>
      </w:r>
      <w:r>
        <w:t>对鱼类产卵繁殖基本没有影响。</w:t>
      </w:r>
    </w:p>
    <w:p>
      <w:pPr>
        <w:ind w:firstLine="480"/>
      </w:pPr>
      <w:r>
        <w:t>营运期本工程（含投影和抛石护桩）占用保护区约5.459hm</w:t>
      </w:r>
      <w:r>
        <w:rPr>
          <w:vertAlign w:val="superscript"/>
        </w:rPr>
        <w:t>2</w:t>
      </w:r>
      <w:r>
        <w:t>，占保护区面积的0.26%，因此工程的建设对保护区水生生物资源的生境影响相对较小。</w:t>
      </w:r>
    </w:p>
    <w:p>
      <w:pPr>
        <w:ind w:firstLine="480"/>
        <w:rPr>
          <w:szCs w:val="20"/>
        </w:rPr>
      </w:pPr>
      <w:r>
        <w:rPr>
          <w:szCs w:val="20"/>
        </w:rPr>
        <w:t>营运期内对水生生物的影响主要为货运船舶带来的噪声影响和对水环境不利影响，码头装卸料、船舶搁浅、碰撞、或桥桩碰撞等风险事故造成水质污染的影响。</w:t>
      </w:r>
    </w:p>
    <w:p>
      <w:pPr>
        <w:ind w:firstLine="480"/>
      </w:pPr>
      <w:r>
        <w:t>3、由于船舶的操作不当、碰撞、搁浅，从而引起船舶溢油事故，造成船舶燃料油溢 漏入河，将影响码头及当地的</w:t>
      </w:r>
      <w:r>
        <w:rPr>
          <w:rFonts w:hint="eastAsia"/>
        </w:rPr>
        <w:t>水生</w:t>
      </w:r>
      <w:r>
        <w:t>生态环境。</w:t>
      </w:r>
    </w:p>
    <w:p>
      <w:pPr>
        <w:ind w:firstLine="480"/>
        <w:rPr>
          <w:szCs w:val="20"/>
        </w:rPr>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Cs w:val="20"/>
        </w:rPr>
        <w:t>4、</w:t>
      </w:r>
      <w:r>
        <w:rPr>
          <w:szCs w:val="20"/>
          <w:lang w:val="zh-CN"/>
        </w:rPr>
        <w:t>本项目位于白泥湖湿地公园范围外，项目与湿地公园边界最近直线距离约4.61km；本项目位于</w:t>
      </w:r>
      <w:r>
        <w:rPr>
          <w:rFonts w:hint="eastAsia"/>
          <w:szCs w:val="20"/>
        </w:rPr>
        <w:t>长江监利段四大家鱼国家级水产种质资源保护区上</w:t>
      </w:r>
      <w:r>
        <w:rPr>
          <w:szCs w:val="20"/>
        </w:rPr>
        <w:t>游</w:t>
      </w:r>
      <w:r>
        <w:rPr>
          <w:szCs w:val="20"/>
          <w:lang w:val="zh-CN"/>
        </w:rPr>
        <w:t>，水产种质资源保护区的范围外，项目与水产种质资源保护区最近的为实验区，与实验区</w:t>
      </w:r>
      <w:r>
        <w:rPr>
          <w:rFonts w:hint="eastAsia"/>
          <w:szCs w:val="20"/>
          <w:lang w:val="zh-CN"/>
        </w:rPr>
        <w:t>上</w:t>
      </w:r>
      <w:r>
        <w:rPr>
          <w:szCs w:val="20"/>
          <w:lang w:val="zh-CN"/>
        </w:rPr>
        <w:t>边界最近距离约52m；本项目位于东洞庭湖国家级自然保护区范围外，项目与自然保护区最近的为实验区，与实验区</w:t>
      </w:r>
      <w:r>
        <w:rPr>
          <w:rFonts w:hint="eastAsia"/>
          <w:szCs w:val="20"/>
        </w:rPr>
        <w:t>边界最近距离约1</w:t>
      </w:r>
      <w:r>
        <w:rPr>
          <w:szCs w:val="20"/>
        </w:rPr>
        <w:t>40</w:t>
      </w:r>
      <w:r>
        <w:rPr>
          <w:rFonts w:hint="eastAsia"/>
          <w:szCs w:val="20"/>
        </w:rPr>
        <w:t>m</w:t>
      </w:r>
      <w:r>
        <w:rPr>
          <w:szCs w:val="20"/>
          <w:lang w:val="zh-CN"/>
        </w:rPr>
        <w:t>；本项目位于</w:t>
      </w:r>
      <w:r>
        <w:rPr>
          <w:szCs w:val="20"/>
        </w:rPr>
        <w:t>湖北长江新螺段</w:t>
      </w:r>
      <w:r>
        <w:rPr>
          <w:szCs w:val="20"/>
          <w:lang w:val="zh-CN"/>
        </w:rPr>
        <w:t>白鱀豚国家级自然保护区上游，自然保护区的范围外，项目与自然保护区最近的为实验区，与实验区上边界最近距离约13.6km。工程建设和运营</w:t>
      </w:r>
      <w:r>
        <w:rPr>
          <w:rFonts w:hint="eastAsia"/>
          <w:szCs w:val="20"/>
          <w:lang w:val="zh-CN"/>
        </w:rPr>
        <w:t>对</w:t>
      </w:r>
      <w:r>
        <w:rPr>
          <w:szCs w:val="20"/>
        </w:rPr>
        <w:t>不会</w:t>
      </w:r>
      <w:r>
        <w:rPr>
          <w:szCs w:val="20"/>
          <w:lang w:val="zh-CN"/>
        </w:rPr>
        <w:t>东洞庭湖国家级自然保护区</w:t>
      </w:r>
      <w:r>
        <w:rPr>
          <w:rFonts w:hint="eastAsia"/>
          <w:szCs w:val="20"/>
        </w:rPr>
        <w:t>、</w:t>
      </w:r>
      <w:r>
        <w:rPr>
          <w:szCs w:val="20"/>
          <w:lang w:val="zh-CN"/>
        </w:rPr>
        <w:t>白泥湖湿地公园</w:t>
      </w:r>
      <w:r>
        <w:rPr>
          <w:rFonts w:hint="eastAsia"/>
          <w:szCs w:val="20"/>
        </w:rPr>
        <w:t>和长江监利段四大家鱼国家级水产种质资源保护区的</w:t>
      </w:r>
      <w:r>
        <w:rPr>
          <w:szCs w:val="20"/>
        </w:rPr>
        <w:t>结构和功能造成影响。</w:t>
      </w:r>
      <w:r>
        <w:rPr>
          <w:rFonts w:hint="eastAsia"/>
          <w:szCs w:val="20"/>
        </w:rPr>
        <w:t>工程所在江段为开放型水域，对水生生物、四大家鱼及其他鱼类的影响与对</w:t>
      </w:r>
      <w:r>
        <w:t>洞庭湖口铜鱼短颌鲚国家级水产种质资源保护区</w:t>
      </w:r>
      <w:r>
        <w:rPr>
          <w:rFonts w:hint="eastAsia"/>
        </w:rPr>
        <w:t>影响类似。</w:t>
      </w:r>
    </w:p>
    <w:p>
      <w:pPr>
        <w:pStyle w:val="457"/>
        <w:ind w:firstLine="0" w:firstLineChars="0"/>
        <w:rPr>
          <w:rFonts w:ascii="Times New Roman" w:hAnsi="Times New Roman" w:cs="Times New Roman"/>
        </w:rPr>
      </w:pPr>
      <w:r>
        <w:rPr>
          <w:rFonts w:ascii="Times New Roman" w:hAnsi="Times New Roman" w:cs="Times New Roman"/>
        </w:rPr>
        <w:t xml:space="preserve">  </w:t>
      </w:r>
      <w:bookmarkEnd w:id="91"/>
      <w:bookmarkStart w:id="92" w:name="_Toc401255954"/>
      <w:bookmarkStart w:id="93" w:name="_Toc106696999"/>
      <w:bookmarkStart w:id="94" w:name="_Toc8424"/>
      <w:bookmarkStart w:id="95" w:name="_Toc1566"/>
      <w:r>
        <w:rPr>
          <w:rFonts w:ascii="Times New Roman" w:hAnsi="Times New Roman" w:cs="Times New Roman"/>
        </w:rPr>
        <w:t>环境现状调查与评价</w:t>
      </w:r>
      <w:bookmarkEnd w:id="92"/>
      <w:bookmarkEnd w:id="93"/>
      <w:bookmarkEnd w:id="94"/>
      <w:bookmarkEnd w:id="95"/>
    </w:p>
    <w:p>
      <w:pPr>
        <w:pStyle w:val="453"/>
        <w:ind w:firstLine="643" w:firstLineChars="0"/>
        <w:rPr>
          <w:rFonts w:ascii="Times New Roman" w:cs="Times New Roman"/>
        </w:rPr>
      </w:pPr>
      <w:bookmarkStart w:id="96" w:name="_Toc106697000"/>
      <w:bookmarkStart w:id="97" w:name="_Toc13738"/>
      <w:bookmarkStart w:id="98" w:name="_Toc401255955"/>
      <w:bookmarkStart w:id="99" w:name="_Toc4784"/>
      <w:r>
        <w:rPr>
          <w:rFonts w:ascii="Times New Roman" w:cs="Times New Roman"/>
        </w:rPr>
        <w:t>自然环境概况</w:t>
      </w:r>
      <w:bookmarkEnd w:id="96"/>
      <w:bookmarkEnd w:id="97"/>
      <w:bookmarkEnd w:id="98"/>
      <w:bookmarkEnd w:id="99"/>
    </w:p>
    <w:p>
      <w:pPr>
        <w:pStyle w:val="454"/>
        <w:ind w:firstLine="602"/>
        <w:rPr>
          <w:color w:val="auto"/>
        </w:rPr>
      </w:pPr>
      <w:r>
        <w:rPr>
          <w:color w:val="auto"/>
        </w:rPr>
        <w:t>地理位置</w:t>
      </w:r>
    </w:p>
    <w:p>
      <w:pPr>
        <w:ind w:firstLine="480"/>
      </w:pPr>
      <w:r>
        <w:t>岳阳地处湖南东北部，东邻湖北赤壁、崇阳、通城、江西铜鼓、修水，南抵长沙、浏阳、望城，西接沅江、南县、安乡县，北界湖北的石首、监利、洪湖、蒲圻市。市境 北滨</w:t>
      </w:r>
      <w:r>
        <w:rPr>
          <w:rFonts w:asciiTheme="minorEastAsia" w:hAnsiTheme="minorEastAsia" w:eastAsiaTheme="minorEastAsia"/>
        </w:rPr>
        <w:t>“</w:t>
      </w:r>
      <w:r>
        <w:t>黄金水道</w:t>
      </w:r>
      <w:r>
        <w:rPr>
          <w:rFonts w:asciiTheme="minorEastAsia" w:hAnsiTheme="minorEastAsia" w:eastAsiaTheme="minorEastAsia"/>
        </w:rPr>
        <w:t>”</w:t>
      </w:r>
      <w:r>
        <w:t>长江，南抱洞庭，纳湘资沅澧四水，沿长江水路逆江而上 247km 可达沙市，再达枝江、宜昌、重庆和宜宾；顺长江而下231km可抵武汉，再抵九江、南京和上海等大中城市；南上洞庭湖经 171km 湘江可至长沙，再至株洲、湘潭；沿资水可至益阳，沿沅水可至常德，经澧水可至津市等省内重要城市。</w:t>
      </w:r>
    </w:p>
    <w:p>
      <w:pPr>
        <w:ind w:firstLine="480"/>
      </w:pPr>
      <w:r>
        <w:t>岳阳市为</w:t>
      </w:r>
      <w:r>
        <w:rPr>
          <w:rFonts w:asciiTheme="minorEastAsia" w:hAnsiTheme="minorEastAsia" w:eastAsiaTheme="minorEastAsia"/>
        </w:rPr>
        <w:t>“</w:t>
      </w:r>
      <w:r>
        <w:t>市管县</w:t>
      </w:r>
      <w:r>
        <w:rPr>
          <w:rFonts w:asciiTheme="minorEastAsia" w:hAnsiTheme="minorEastAsia" w:eastAsiaTheme="minorEastAsia"/>
        </w:rPr>
        <w:t>”</w:t>
      </w:r>
      <w:r>
        <w:t>管理体制，现辖岳阳楼、君山、云溪3区，华容、平江、湘阴、岳阳 4 县，代管县级市临湘市和汨罗市。另设有国家级岳阳经济技术开发区、城陵矶新港区、南湖新区和屈原管理区。</w:t>
      </w:r>
    </w:p>
    <w:p>
      <w:pPr>
        <w:ind w:firstLine="480"/>
      </w:pPr>
      <w:r>
        <w:t>本项目</w:t>
      </w:r>
      <w:r>
        <w:rPr>
          <w:rFonts w:hint="eastAsia"/>
        </w:rPr>
        <w:t>位于湖南省岳阳市云溪区道仁矶镇，荆岳长江大桥上游约</w:t>
      </w:r>
      <w:r>
        <w:t>1.5km</w:t>
      </w:r>
      <w:r>
        <w:rPr>
          <w:rFonts w:hint="eastAsia"/>
        </w:rPr>
        <w:t>的长江右岸，工程距城陵矶约</w:t>
      </w:r>
      <w:r>
        <w:t>12km</w:t>
      </w:r>
      <w:r>
        <w:rPr>
          <w:rFonts w:hint="eastAsia"/>
        </w:rPr>
        <w:t>，工程河段为长江中游杨林岩水道中段，港址处中游航道里程约为</w:t>
      </w:r>
      <w:r>
        <w:t>204km</w:t>
      </w:r>
      <w:r>
        <w:rPr>
          <w:rFonts w:hint="eastAsia"/>
        </w:rPr>
        <w:t>。</w:t>
      </w:r>
      <w:r>
        <w:t>项目地理位置示意图见附图1。</w:t>
      </w:r>
    </w:p>
    <w:p>
      <w:pPr>
        <w:pStyle w:val="454"/>
        <w:ind w:firstLine="602"/>
        <w:rPr>
          <w:color w:val="auto"/>
        </w:rPr>
      </w:pPr>
      <w:r>
        <w:rPr>
          <w:color w:val="auto"/>
        </w:rPr>
        <w:t>地形地貌</w:t>
      </w:r>
    </w:p>
    <w:p>
      <w:pPr>
        <w:pStyle w:val="456"/>
        <w:ind w:firstLine="482"/>
      </w:pPr>
      <w:r>
        <w:t>地形地貌</w:t>
      </w:r>
    </w:p>
    <w:p>
      <w:pPr>
        <w:ind w:firstLine="480"/>
      </w:pPr>
      <w:r>
        <w:t>岳阳市云溪区属幕阜山余脉向江汉平原过渡地带，境内群峰起伏，矮丘遍布，河港纵横，湖泊众多，整个地势由东南至西北呈阶梯状向长江倾斜。境内最高海拔点为上清溪村之小木岭，海拔 497.6m；最低海拔点为之臣子湖，海拔 21.4m。一般海拔在 40~60m 之间。地表组成物质65%为变质岩，其余为沙质岩，土壤组成以第四纪红色黏土和第四纪全新河、湖沉积物为主。第四纪红色黏土主要分布在境内东南边，第四纪全新河、湖沉积物主要分布在西北长江沿线。</w:t>
      </w:r>
    </w:p>
    <w:p>
      <w:pPr>
        <w:ind w:firstLine="480"/>
      </w:pPr>
      <w:r>
        <w:t>拟建工程场址位于长江南岸，地貌单元为长江Ⅰ级阶地、河漫滩及河床。其中码头水工结构区及码头前沿栈桥区位于河漫滩及河床区域，码头后方栈桥区及后方陆域区位于长江Ⅰ级阶地区域。</w:t>
      </w:r>
    </w:p>
    <w:p>
      <w:pPr>
        <w:ind w:firstLine="480"/>
      </w:pPr>
      <w:r>
        <w:rPr>
          <w:rFonts w:hint="eastAsia"/>
        </w:rPr>
        <w:t>拟建工程区内地形简单，总体地形起伏小，地势平坦，堤顶高程为</w:t>
      </w:r>
      <w:r>
        <w:t>36.20-36.5m</w:t>
      </w:r>
      <w:r>
        <w:rPr>
          <w:rFonts w:hint="eastAsia"/>
        </w:rPr>
        <w:t>左右，大堤外侧河滩地面高程为</w:t>
      </w:r>
      <w:r>
        <w:t>22.50</w:t>
      </w:r>
      <w:r>
        <w:rPr>
          <w:rFonts w:hint="eastAsia"/>
        </w:rPr>
        <w:t>～</w:t>
      </w:r>
      <w:r>
        <w:t>28.50m</w:t>
      </w:r>
      <w:r>
        <w:rPr>
          <w:rFonts w:hint="eastAsia"/>
        </w:rPr>
        <w:t>，大堤内侧地面高程为</w:t>
      </w:r>
      <w:r>
        <w:t>26.5</w:t>
      </w:r>
      <w:r>
        <w:rPr>
          <w:rFonts w:hint="eastAsia"/>
        </w:rPr>
        <w:t>～</w:t>
      </w:r>
      <w:r>
        <w:t>28.0m左右</w:t>
      </w:r>
      <w:r>
        <w:rPr>
          <w:rFonts w:hint="eastAsia"/>
        </w:rPr>
        <w:t>，</w:t>
      </w:r>
      <w:r>
        <w:t>场地内地形简单。</w:t>
      </w:r>
    </w:p>
    <w:p>
      <w:pPr>
        <w:pStyle w:val="456"/>
        <w:ind w:firstLine="482"/>
      </w:pPr>
      <w:r>
        <w:t>河势</w:t>
      </w:r>
    </w:p>
    <w:p>
      <w:pPr>
        <w:ind w:firstLine="480"/>
      </w:pPr>
      <w:r>
        <w:t>（1）河道概况</w:t>
      </w:r>
    </w:p>
    <w:p>
      <w:pPr>
        <w:ind w:firstLine="480"/>
      </w:pPr>
      <w:r>
        <w:t>拟建码头工程位于长江中游杨林岩水道上段右岸，杨林岩水道河段为顺直分汊型河段，上段顺直单一，下段被南洋洲分为左右两汊，右汊为主通航汊道。</w:t>
      </w:r>
    </w:p>
    <w:p>
      <w:pPr>
        <w:ind w:firstLine="480"/>
      </w:pPr>
      <w:r>
        <w:t>右岸从上到下存在城陵矶、擂鼓台、仙峰礁、烟灯矶、道仁矶、土矶头、临江矶、龙头山等多处突出矶头，河道左岸依次存在近江州、白螺矶、杨林山等节点。特别是河段进口擂鼓台～近江州、中段道仁矶～白螺矶、出口龙头山～杨林山等对峙节点对河段河势的总体约束，使得河段平面形态呈宽窄相间的藕节状。进口擂鼓台～近江州河宽1.95km，中段道人矶～白螺矶河宽为1.75km，出口龙头山～杨林山河宽为1.12km，在上下节点中间，河段宽阔，出现洲滩，道仁矶～白螺矶上游仙峰洲（丁家洲边滩）处最大河宽为2.49km，而下段南洋洲汊道段最大河宽放宽到3.2km。</w:t>
      </w:r>
    </w:p>
    <w:p>
      <w:pPr>
        <w:ind w:firstLine="480"/>
      </w:pPr>
      <w:r>
        <w:t>从历史看，该河段走向顺直，近百年来，无显著摆动，岸线变化也不大。南洋洲汊道基本稳定无较大变迁，河床变化主要表现为洲滩的形成与消长。工程河段沿程有上述众多对峙节点控制，两岸有大堤保护，河势地形总体稳定，河床边界抗冲性强，平面变化小，也基本不受上下游河段河床演变的影响。另外，长江与洞庭湖出口水流汇流后呈90度弯道下泄进入工程河段，主流多年来一直稳定在右岸一侧，加上道仁矶～白螺矶对峙节点控制，工程河段水流动力轴线多年来相对稳定，下游南洋洲主支汊地位亦稳定，河床的演变主要体现在江心南洋洲的冲淤变化。</w:t>
      </w:r>
    </w:p>
    <w:p>
      <w:pPr>
        <w:ind w:firstLine="480"/>
      </w:pPr>
      <w:r>
        <w:t>（2）河势演变</w:t>
      </w:r>
    </w:p>
    <w:p>
      <w:pPr>
        <w:ind w:firstLine="480"/>
      </w:pPr>
      <w:r>
        <w:t>河势演变分析表明，本河道多年来处于相对稳定状态，主流走向基本未变，河势相对稳定。近几十年来，码头工程所处的河段河床演变较小，其岸线、深泓线以及深槽边滩位置相对稳定，且岸线与水流基本相平顺，近岸水深条件好，已具备兴建码头工程的水域条件。</w:t>
      </w:r>
    </w:p>
    <w:p>
      <w:pPr>
        <w:ind w:firstLine="480"/>
      </w:pPr>
      <w:r>
        <w:t>拟建码头工程为透空结构形式，阻水面积较小，因此工程实施后，对周边河势及行洪的影响不大。</w:t>
      </w:r>
    </w:p>
    <w:p>
      <w:pPr>
        <w:ind w:firstLine="480"/>
      </w:pPr>
      <w:r>
        <w:t>码头前沿水域开阔，河道顺直，码头建设后，不会改变当地船舶的航行习惯，但是由于码头回旋水域会占用部分主航道，对于工程河段主航道上过往行驶的船舶会有一定的影响，但通过设置码头警示灯等措施，可保障船舶航行的安全。</w:t>
      </w:r>
    </w:p>
    <w:p>
      <w:pPr>
        <w:ind w:firstLine="480"/>
      </w:pPr>
      <w:r>
        <w:t>工程河段已实施护岸工程</w:t>
      </w:r>
      <w:r>
        <w:rPr>
          <w:rFonts w:hint="eastAsia"/>
        </w:rPr>
        <w:t>，</w:t>
      </w:r>
      <w:r>
        <w:t>多年来岸坡无较大变化</w:t>
      </w:r>
      <w:r>
        <w:rPr>
          <w:rFonts w:hint="eastAsia"/>
        </w:rPr>
        <w:t>。</w:t>
      </w:r>
    </w:p>
    <w:p>
      <w:pPr>
        <w:pStyle w:val="454"/>
        <w:ind w:firstLine="602"/>
        <w:rPr>
          <w:color w:val="auto"/>
        </w:rPr>
      </w:pPr>
      <w:r>
        <w:rPr>
          <w:color w:val="auto"/>
        </w:rPr>
        <w:t>地质地震</w:t>
      </w:r>
    </w:p>
    <w:p>
      <w:pPr>
        <w:pStyle w:val="456"/>
        <w:ind w:firstLine="482"/>
      </w:pPr>
      <w:r>
        <w:t>工程地质</w:t>
      </w:r>
    </w:p>
    <w:p>
      <w:pPr>
        <w:ind w:firstLine="480"/>
      </w:pPr>
      <w:r>
        <w:t>本工程采用的地质资料为中榕规划设计有限公司2020年3月编制的《</w:t>
      </w:r>
      <w:r>
        <w:rPr>
          <w:rFonts w:hint="eastAsia"/>
        </w:rPr>
        <w:t>道仁矶</w:t>
      </w:r>
      <w:r>
        <w:t>散货通用码头工程可行性研究阶段勘察报告》。</w:t>
      </w:r>
    </w:p>
    <w:p>
      <w:pPr>
        <w:ind w:firstLine="480"/>
      </w:pPr>
      <w:r>
        <w:t>（1）地质构造概况</w:t>
      </w:r>
    </w:p>
    <w:p>
      <w:pPr>
        <w:ind w:firstLine="480"/>
      </w:pPr>
      <w:r>
        <w:rPr>
          <w:rFonts w:hint="eastAsia"/>
        </w:rPr>
        <w:t>拟建区域区内上部第四系全新统主要岩性为淤泥质粉质粘土和粉砂，为冲洪积成因，具二元结构。拟建场地及其附近未见区域性大断裂通过，区域地质构造相对稳定。</w:t>
      </w:r>
    </w:p>
    <w:p>
      <w:pPr>
        <w:widowControl/>
        <w:ind w:firstLine="480"/>
      </w:pPr>
      <w:r>
        <w:t>（2）岩土层分布及其特性</w:t>
      </w:r>
    </w:p>
    <w:p>
      <w:pPr>
        <w:ind w:firstLine="480"/>
      </w:pPr>
      <w:r>
        <w:rPr>
          <w:rFonts w:hint="eastAsia"/>
        </w:rPr>
        <w:t>根据工程地质调查收集资料及勘探揭露，拟建工程场地分布的地层主要有：第四系全新统地层，包括回填形成的素填土①</w:t>
      </w:r>
      <w:r>
        <w:t>1</w:t>
      </w:r>
      <w:r>
        <w:rPr>
          <w:rFonts w:hint="eastAsia"/>
        </w:rPr>
        <w:t>、杂填土①</w:t>
      </w:r>
      <w:r>
        <w:t>2</w:t>
      </w:r>
      <w:r>
        <w:rPr>
          <w:rFonts w:hint="eastAsia"/>
        </w:rPr>
        <w:t>、块石①</w:t>
      </w:r>
      <w:r>
        <w:t>3</w:t>
      </w:r>
      <w:r>
        <w:rPr>
          <w:rFonts w:hint="eastAsia"/>
        </w:rPr>
        <w:t>、冲积形成的淤泥质粉质黏土②</w:t>
      </w:r>
      <w:r>
        <w:t>1</w:t>
      </w:r>
      <w:r>
        <w:rPr>
          <w:rFonts w:hint="eastAsia"/>
        </w:rPr>
        <w:t>、粉质黏土②</w:t>
      </w:r>
      <w:r>
        <w:t>2</w:t>
      </w:r>
      <w:r>
        <w:rPr>
          <w:rFonts w:hint="eastAsia"/>
        </w:rPr>
        <w:t>、粉砂②</w:t>
      </w:r>
      <w:r>
        <w:t>3</w:t>
      </w:r>
      <w:r>
        <w:rPr>
          <w:rFonts w:hint="eastAsia"/>
        </w:rPr>
        <w:t>；中元古界冷家溪群崔家坳组板岩（</w:t>
      </w:r>
      <w:r>
        <w:t>Ptlnc</w:t>
      </w:r>
      <w:r>
        <w:rPr>
          <w:rFonts w:hint="eastAsia"/>
        </w:rPr>
        <w:t>），包括强风化板岩④</w:t>
      </w:r>
      <w:r>
        <w:t>1</w:t>
      </w:r>
      <w:r>
        <w:rPr>
          <w:rFonts w:hint="eastAsia"/>
        </w:rPr>
        <w:t>、中风化板岩④</w:t>
      </w:r>
      <w:r>
        <w:t>2</w:t>
      </w:r>
      <w:r>
        <w:rPr>
          <w:rFonts w:hint="eastAsia"/>
        </w:rPr>
        <w:t>。</w:t>
      </w:r>
      <w:r>
        <w:t>根据钻探成果，场地埋藏地层自上而下依次描述如下表：</w:t>
      </w:r>
    </w:p>
    <w:p>
      <w:pPr>
        <w:pStyle w:val="3583"/>
        <w:spacing w:line="240" w:lineRule="auto"/>
        <w:ind w:left="0"/>
      </w:pPr>
      <w:r>
        <w:t>岩土工程特性表</w:t>
      </w:r>
    </w:p>
    <w:tbl>
      <w:tblPr>
        <w:tblStyle w:val="8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30"/>
        <w:gridCol w:w="704"/>
        <w:gridCol w:w="775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7" w:hRule="atLeast"/>
          <w:tblHeader/>
        </w:trPr>
        <w:tc>
          <w:tcPr>
            <w:tcW w:w="0" w:type="auto"/>
            <w:tcBorders>
              <w:bottom w:val="single" w:color="auto" w:sz="12" w:space="0"/>
            </w:tcBorders>
            <w:vAlign w:val="center"/>
          </w:tcPr>
          <w:p>
            <w:pPr>
              <w:tabs>
                <w:tab w:val="clear" w:pos="480"/>
              </w:tabs>
              <w:snapToGrid w:val="0"/>
              <w:spacing w:line="240" w:lineRule="auto"/>
              <w:ind w:firstLine="0" w:firstLineChars="0"/>
              <w:jc w:val="center"/>
              <w:rPr>
                <w:b/>
                <w:sz w:val="21"/>
                <w:szCs w:val="21"/>
              </w:rPr>
            </w:pPr>
            <w:r>
              <w:rPr>
                <w:b/>
                <w:sz w:val="21"/>
                <w:szCs w:val="21"/>
              </w:rPr>
              <w:t>地层名称</w:t>
            </w:r>
          </w:p>
        </w:tc>
        <w:tc>
          <w:tcPr>
            <w:tcW w:w="0" w:type="auto"/>
            <w:tcBorders>
              <w:bottom w:val="single" w:color="auto" w:sz="12" w:space="0"/>
            </w:tcBorders>
            <w:vAlign w:val="center"/>
          </w:tcPr>
          <w:p>
            <w:pPr>
              <w:tabs>
                <w:tab w:val="clear" w:pos="480"/>
              </w:tabs>
              <w:snapToGrid w:val="0"/>
              <w:spacing w:line="240" w:lineRule="auto"/>
              <w:ind w:firstLine="0" w:firstLineChars="0"/>
              <w:jc w:val="center"/>
              <w:rPr>
                <w:b/>
                <w:sz w:val="21"/>
                <w:szCs w:val="21"/>
              </w:rPr>
            </w:pPr>
            <w:r>
              <w:rPr>
                <w:b/>
                <w:sz w:val="21"/>
                <w:szCs w:val="21"/>
              </w:rPr>
              <w:t>时代成因</w:t>
            </w:r>
          </w:p>
        </w:tc>
        <w:tc>
          <w:tcPr>
            <w:tcW w:w="0" w:type="auto"/>
            <w:tcBorders>
              <w:bottom w:val="single" w:color="auto" w:sz="12" w:space="0"/>
            </w:tcBorders>
            <w:vAlign w:val="center"/>
          </w:tcPr>
          <w:p>
            <w:pPr>
              <w:tabs>
                <w:tab w:val="clear" w:pos="480"/>
              </w:tabs>
              <w:snapToGrid w:val="0"/>
              <w:spacing w:line="240" w:lineRule="auto"/>
              <w:ind w:firstLine="0" w:firstLineChars="0"/>
              <w:jc w:val="center"/>
              <w:rPr>
                <w:b/>
                <w:sz w:val="21"/>
                <w:szCs w:val="21"/>
              </w:rPr>
            </w:pPr>
            <w:r>
              <w:rPr>
                <w:b/>
                <w:sz w:val="21"/>
                <w:szCs w:val="21"/>
              </w:rPr>
              <w:t>地层岩性特征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tcBorders>
              <w:top w:val="single" w:color="auto" w:sz="12" w:space="0"/>
              <w:tl2br w:val="nil"/>
              <w:tr2bl w:val="nil"/>
            </w:tcBorders>
            <w:vAlign w:val="center"/>
          </w:tcPr>
          <w:p>
            <w:pPr>
              <w:tabs>
                <w:tab w:val="clear" w:pos="480"/>
              </w:tabs>
              <w:snapToGrid w:val="0"/>
              <w:spacing w:line="240" w:lineRule="auto"/>
              <w:ind w:firstLine="0" w:firstLineChars="0"/>
              <w:jc w:val="center"/>
              <w:rPr>
                <w:sz w:val="21"/>
                <w:szCs w:val="21"/>
              </w:rPr>
            </w:pPr>
            <w:r>
              <w:rPr>
                <w:sz w:val="21"/>
                <w:szCs w:val="21"/>
              </w:rPr>
              <w:t>素填土</w:t>
            </w:r>
            <w:r>
              <w:rPr>
                <w:rFonts w:hint="eastAsia" w:ascii="宋体" w:hAnsi="宋体" w:cs="宋体"/>
                <w:sz w:val="21"/>
                <w:szCs w:val="21"/>
              </w:rPr>
              <w:t>①</w:t>
            </w:r>
            <w:r>
              <w:rPr>
                <w:sz w:val="21"/>
                <w:szCs w:val="21"/>
              </w:rPr>
              <w:t>1</w:t>
            </w:r>
          </w:p>
        </w:tc>
        <w:tc>
          <w:tcPr>
            <w:tcW w:w="0" w:type="auto"/>
            <w:tcBorders>
              <w:top w:val="single" w:color="auto" w:sz="12" w:space="0"/>
              <w:tl2br w:val="nil"/>
              <w:tr2bl w:val="nil"/>
            </w:tcBorders>
            <w:vAlign w:val="center"/>
          </w:tcPr>
          <w:p>
            <w:pPr>
              <w:tabs>
                <w:tab w:val="clear" w:pos="480"/>
              </w:tabs>
              <w:snapToGrid w:val="0"/>
              <w:spacing w:line="240" w:lineRule="auto"/>
              <w:ind w:right="31" w:rightChars="13" w:firstLine="0" w:firstLineChars="0"/>
              <w:jc w:val="center"/>
              <w:rPr>
                <w:sz w:val="21"/>
                <w:szCs w:val="21"/>
              </w:rPr>
            </w:pPr>
            <w:r>
              <w:rPr>
                <w:sz w:val="21"/>
                <w:szCs w:val="21"/>
              </w:rPr>
              <w:t>Q</w:t>
            </w:r>
            <w:r>
              <w:rPr>
                <w:sz w:val="21"/>
                <w:szCs w:val="21"/>
                <w:vertAlign w:val="subscript"/>
              </w:rPr>
              <w:t>4</w:t>
            </w:r>
            <w:r>
              <w:rPr>
                <w:sz w:val="21"/>
                <w:szCs w:val="21"/>
                <w:vertAlign w:val="superscript"/>
              </w:rPr>
              <w:t>ml</w:t>
            </w:r>
          </w:p>
        </w:tc>
        <w:tc>
          <w:tcPr>
            <w:tcW w:w="0" w:type="auto"/>
            <w:tcBorders>
              <w:top w:val="single" w:color="auto" w:sz="12" w:space="0"/>
              <w:tl2br w:val="nil"/>
              <w:tr2bl w:val="nil"/>
            </w:tcBorders>
            <w:vAlign w:val="center"/>
          </w:tcPr>
          <w:p>
            <w:pPr>
              <w:tabs>
                <w:tab w:val="clear" w:pos="480"/>
              </w:tabs>
              <w:snapToGrid w:val="0"/>
              <w:spacing w:line="240" w:lineRule="auto"/>
              <w:ind w:firstLine="0" w:firstLineChars="0"/>
              <w:rPr>
                <w:sz w:val="21"/>
                <w:szCs w:val="21"/>
              </w:rPr>
            </w:pPr>
            <w:r>
              <w:rPr>
                <w:rFonts w:hint="eastAsia"/>
                <w:sz w:val="21"/>
                <w:szCs w:val="21"/>
              </w:rPr>
              <w:t>主要位于防洪堤上，为防洪堤修筑时堆填，灰褐色，褐黄色，硬可塑状，人工夯实，堆积大于</w:t>
            </w:r>
            <w:r>
              <w:rPr>
                <w:sz w:val="21"/>
                <w:szCs w:val="21"/>
              </w:rPr>
              <w:t>10</w:t>
            </w:r>
            <w:r>
              <w:rPr>
                <w:rFonts w:hint="eastAsia"/>
                <w:sz w:val="21"/>
                <w:szCs w:val="21"/>
              </w:rPr>
              <w:t>年，已基本完成自重固结，密实程度稍均匀，组成成分以粉质黏土为主，杂约</w:t>
            </w:r>
            <w:r>
              <w:rPr>
                <w:sz w:val="21"/>
                <w:szCs w:val="21"/>
              </w:rPr>
              <w:t>5%</w:t>
            </w:r>
            <w:r>
              <w:rPr>
                <w:rFonts w:hint="eastAsia"/>
                <w:sz w:val="21"/>
                <w:szCs w:val="21"/>
              </w:rPr>
              <w:t>硬杂物，块径多小于</w:t>
            </w:r>
            <w:r>
              <w:rPr>
                <w:sz w:val="21"/>
                <w:szCs w:val="21"/>
              </w:rPr>
              <w:t>5cm</w:t>
            </w:r>
            <w:r>
              <w:rPr>
                <w:rFonts w:hint="eastAsia"/>
                <w:sz w:val="21"/>
                <w:szCs w:val="21"/>
              </w:rPr>
              <w:t>。局部在堤外侧少量分布，多强风化板岩堆填而成，松散，未完成自重固结。本次勘察仅钻孔</w:t>
            </w:r>
            <w:r>
              <w:rPr>
                <w:sz w:val="21"/>
                <w:szCs w:val="21"/>
              </w:rPr>
              <w:t>GK09</w:t>
            </w:r>
            <w:r>
              <w:rPr>
                <w:rFonts w:hint="eastAsia"/>
                <w:sz w:val="21"/>
                <w:szCs w:val="21"/>
              </w:rPr>
              <w:t>揭露该层，揭露厚约</w:t>
            </w:r>
            <w:r>
              <w:rPr>
                <w:sz w:val="21"/>
                <w:szCs w:val="21"/>
              </w:rPr>
              <w:t>7.6m</w:t>
            </w:r>
            <w:r>
              <w:rPr>
                <w:rFonts w:hint="eastAsia"/>
                <w:sz w:val="21"/>
                <w:szCs w:val="21"/>
              </w:rPr>
              <w:t>，层顶标高为</w:t>
            </w:r>
            <w:r>
              <w:rPr>
                <w:sz w:val="21"/>
                <w:szCs w:val="21"/>
              </w:rPr>
              <w:t>35.36m</w:t>
            </w: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27" w:hRule="atLeast"/>
        </w:trPr>
        <w:tc>
          <w:tcPr>
            <w:tcW w:w="0" w:type="auto"/>
            <w:tcBorders>
              <w:tl2br w:val="nil"/>
              <w:tr2bl w:val="nil"/>
            </w:tcBorders>
            <w:vAlign w:val="center"/>
          </w:tcPr>
          <w:p>
            <w:pPr>
              <w:tabs>
                <w:tab w:val="clear" w:pos="480"/>
              </w:tabs>
              <w:snapToGrid w:val="0"/>
              <w:spacing w:line="240" w:lineRule="auto"/>
              <w:ind w:firstLine="0" w:firstLineChars="0"/>
              <w:jc w:val="center"/>
              <w:rPr>
                <w:sz w:val="21"/>
                <w:szCs w:val="21"/>
              </w:rPr>
            </w:pPr>
            <w:r>
              <w:rPr>
                <w:sz w:val="21"/>
                <w:szCs w:val="21"/>
              </w:rPr>
              <w:t>杂填土</w:t>
            </w:r>
            <w:r>
              <w:rPr>
                <w:rFonts w:hint="eastAsia" w:ascii="宋体" w:hAnsi="宋体" w:cs="宋体"/>
                <w:sz w:val="21"/>
                <w:szCs w:val="21"/>
              </w:rPr>
              <w:t>①</w:t>
            </w:r>
            <w:r>
              <w:rPr>
                <w:sz w:val="21"/>
                <w:szCs w:val="21"/>
              </w:rPr>
              <w:t>2</w:t>
            </w:r>
          </w:p>
        </w:tc>
        <w:tc>
          <w:tcPr>
            <w:tcW w:w="0" w:type="auto"/>
            <w:tcBorders>
              <w:tl2br w:val="nil"/>
              <w:tr2bl w:val="nil"/>
            </w:tcBorders>
            <w:vAlign w:val="center"/>
          </w:tcPr>
          <w:p>
            <w:pPr>
              <w:tabs>
                <w:tab w:val="clear" w:pos="480"/>
              </w:tabs>
              <w:snapToGrid w:val="0"/>
              <w:spacing w:line="240" w:lineRule="auto"/>
              <w:ind w:right="31" w:rightChars="13" w:firstLine="0" w:firstLineChars="0"/>
              <w:jc w:val="center"/>
              <w:rPr>
                <w:sz w:val="21"/>
                <w:szCs w:val="21"/>
              </w:rPr>
            </w:pPr>
            <w:r>
              <w:rPr>
                <w:sz w:val="21"/>
                <w:szCs w:val="21"/>
              </w:rPr>
              <w:t>Q</w:t>
            </w:r>
            <w:r>
              <w:rPr>
                <w:sz w:val="21"/>
                <w:szCs w:val="21"/>
                <w:vertAlign w:val="subscript"/>
              </w:rPr>
              <w:t>4</w:t>
            </w:r>
            <w:r>
              <w:rPr>
                <w:sz w:val="21"/>
                <w:szCs w:val="21"/>
                <w:vertAlign w:val="superscript"/>
              </w:rPr>
              <w:t>ml</w:t>
            </w:r>
          </w:p>
        </w:tc>
        <w:tc>
          <w:tcPr>
            <w:tcW w:w="0" w:type="auto"/>
            <w:tcBorders>
              <w:tl2br w:val="nil"/>
              <w:tr2bl w:val="nil"/>
            </w:tcBorders>
            <w:vAlign w:val="center"/>
          </w:tcPr>
          <w:p>
            <w:pPr>
              <w:tabs>
                <w:tab w:val="clear" w:pos="480"/>
              </w:tabs>
              <w:snapToGrid w:val="0"/>
              <w:spacing w:line="240" w:lineRule="auto"/>
              <w:ind w:firstLine="0" w:firstLineChars="0"/>
              <w:rPr>
                <w:sz w:val="21"/>
                <w:szCs w:val="21"/>
              </w:rPr>
            </w:pPr>
            <w:r>
              <w:rPr>
                <w:sz w:val="21"/>
                <w:szCs w:val="21"/>
              </w:rPr>
              <w:t>杂色，湿，松散～稍密状，堆积小于10年，多未经碾压夯实，未完成自重固结，密实程度不均匀，组成成分以砼块、粗骨料、冲积含淤泥粉质黏土为主，硬杂物含量约20-40%，块径多小于30cm，局部大于50cm。</w:t>
            </w:r>
            <w:r>
              <w:rPr>
                <w:rFonts w:hint="eastAsia"/>
                <w:sz w:val="21"/>
                <w:szCs w:val="21"/>
              </w:rPr>
              <w:t>防洪堤外侧临时道路沿线附近分布，本次勘察钻孔较稀，未揭露该层，据地质调查推测该层厚约</w:t>
            </w:r>
            <w:r>
              <w:rPr>
                <w:sz w:val="21"/>
                <w:szCs w:val="21"/>
              </w:rPr>
              <w:t>0.5</w:t>
            </w:r>
            <w:r>
              <w:rPr>
                <w:rFonts w:hint="eastAsia"/>
                <w:sz w:val="21"/>
                <w:szCs w:val="21"/>
              </w:rPr>
              <w:t>～</w:t>
            </w:r>
            <w:r>
              <w:rPr>
                <w:sz w:val="21"/>
                <w:szCs w:val="21"/>
              </w:rPr>
              <w:t>1.5m</w:t>
            </w: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07" w:hRule="atLeast"/>
        </w:trPr>
        <w:tc>
          <w:tcPr>
            <w:tcW w:w="0" w:type="auto"/>
            <w:tcBorders>
              <w:tl2br w:val="nil"/>
              <w:tr2bl w:val="nil"/>
            </w:tcBorders>
            <w:vAlign w:val="center"/>
          </w:tcPr>
          <w:p>
            <w:pPr>
              <w:tabs>
                <w:tab w:val="clear" w:pos="480"/>
              </w:tabs>
              <w:snapToGrid w:val="0"/>
              <w:spacing w:line="240" w:lineRule="auto"/>
              <w:ind w:firstLine="0" w:firstLineChars="0"/>
              <w:jc w:val="center"/>
              <w:rPr>
                <w:sz w:val="21"/>
                <w:szCs w:val="21"/>
              </w:rPr>
            </w:pPr>
            <w:r>
              <w:rPr>
                <w:rFonts w:hint="eastAsia"/>
                <w:sz w:val="21"/>
                <w:szCs w:val="21"/>
              </w:rPr>
              <w:t>粉质黏土②</w:t>
            </w:r>
            <w:r>
              <w:rPr>
                <w:sz w:val="21"/>
                <w:szCs w:val="21"/>
              </w:rPr>
              <w:t>2</w:t>
            </w:r>
          </w:p>
          <w:p>
            <w:pPr>
              <w:tabs>
                <w:tab w:val="clear" w:pos="480"/>
              </w:tabs>
              <w:snapToGrid w:val="0"/>
              <w:spacing w:line="240" w:lineRule="auto"/>
              <w:ind w:firstLine="0" w:firstLineChars="0"/>
              <w:jc w:val="center"/>
              <w:rPr>
                <w:sz w:val="21"/>
                <w:szCs w:val="21"/>
              </w:rPr>
            </w:pPr>
          </w:p>
        </w:tc>
        <w:tc>
          <w:tcPr>
            <w:tcW w:w="0" w:type="auto"/>
            <w:tcBorders>
              <w:tl2br w:val="nil"/>
              <w:tr2bl w:val="nil"/>
            </w:tcBorders>
            <w:vAlign w:val="center"/>
          </w:tcPr>
          <w:p>
            <w:pPr>
              <w:tabs>
                <w:tab w:val="clear" w:pos="480"/>
              </w:tabs>
              <w:snapToGrid w:val="0"/>
              <w:spacing w:line="240" w:lineRule="auto"/>
              <w:ind w:right="31" w:rightChars="13" w:firstLine="0" w:firstLineChars="0"/>
              <w:jc w:val="center"/>
              <w:rPr>
                <w:sz w:val="21"/>
                <w:szCs w:val="21"/>
              </w:rPr>
            </w:pPr>
            <w:r>
              <w:rPr>
                <w:sz w:val="21"/>
                <w:szCs w:val="21"/>
              </w:rPr>
              <w:t>Q</w:t>
            </w:r>
            <w:r>
              <w:rPr>
                <w:sz w:val="21"/>
                <w:szCs w:val="21"/>
                <w:vertAlign w:val="subscript"/>
              </w:rPr>
              <w:t>4</w:t>
            </w:r>
            <w:r>
              <w:rPr>
                <w:sz w:val="21"/>
                <w:szCs w:val="21"/>
                <w:vertAlign w:val="superscript"/>
              </w:rPr>
              <w:t>al</w:t>
            </w:r>
          </w:p>
        </w:tc>
        <w:tc>
          <w:tcPr>
            <w:tcW w:w="0" w:type="auto"/>
            <w:tcBorders>
              <w:tl2br w:val="nil"/>
              <w:tr2bl w:val="nil"/>
            </w:tcBorders>
            <w:vAlign w:val="center"/>
          </w:tcPr>
          <w:p>
            <w:pPr>
              <w:tabs>
                <w:tab w:val="clear" w:pos="480"/>
              </w:tabs>
              <w:snapToGrid w:val="0"/>
              <w:spacing w:line="240" w:lineRule="auto"/>
              <w:ind w:firstLine="0" w:firstLineChars="0"/>
              <w:rPr>
                <w:sz w:val="21"/>
                <w:szCs w:val="21"/>
              </w:rPr>
            </w:pPr>
            <w:r>
              <w:rPr>
                <w:rFonts w:hint="eastAsia"/>
                <w:sz w:val="21"/>
                <w:szCs w:val="21"/>
              </w:rPr>
              <w:t>冲积成因，褐灰色，可塑状，絮状结构，具似网纹状构造，含少量黑色铁锰质氧化物。无摇振反应，切面较光滑，干强度中等，韧性中等。层顶含植物根茎，层底受地下水浸润相对松软。场地中分布较少，仅</w:t>
            </w:r>
            <w:r>
              <w:rPr>
                <w:sz w:val="21"/>
                <w:szCs w:val="21"/>
              </w:rPr>
              <w:t>GK10</w:t>
            </w:r>
            <w:r>
              <w:rPr>
                <w:rFonts w:hint="eastAsia"/>
                <w:sz w:val="21"/>
                <w:szCs w:val="21"/>
              </w:rPr>
              <w:t>、</w:t>
            </w:r>
            <w:r>
              <w:rPr>
                <w:sz w:val="21"/>
                <w:szCs w:val="21"/>
              </w:rPr>
              <w:t>GK11</w:t>
            </w:r>
            <w:r>
              <w:rPr>
                <w:rFonts w:hint="eastAsia"/>
                <w:sz w:val="21"/>
                <w:szCs w:val="21"/>
              </w:rPr>
              <w:t>钻孔揭露，分布稍均匀，，揭露厚约</w:t>
            </w:r>
            <w:r>
              <w:rPr>
                <w:sz w:val="21"/>
                <w:szCs w:val="21"/>
              </w:rPr>
              <w:t>4.2</w:t>
            </w:r>
            <w:r>
              <w:rPr>
                <w:rFonts w:hint="eastAsia"/>
                <w:sz w:val="21"/>
                <w:szCs w:val="21"/>
              </w:rPr>
              <w:t>～</w:t>
            </w:r>
            <w:r>
              <w:rPr>
                <w:sz w:val="21"/>
                <w:szCs w:val="21"/>
              </w:rPr>
              <w:t>5.2m</w:t>
            </w:r>
            <w:r>
              <w:rPr>
                <w:rFonts w:hint="eastAsia"/>
                <w:sz w:val="21"/>
                <w:szCs w:val="21"/>
              </w:rPr>
              <w:t>，平均厚</w:t>
            </w:r>
            <w:r>
              <w:rPr>
                <w:sz w:val="21"/>
                <w:szCs w:val="21"/>
              </w:rPr>
              <w:t>4.70m</w:t>
            </w:r>
            <w:r>
              <w:rPr>
                <w:rFonts w:hint="eastAsia"/>
                <w:sz w:val="21"/>
                <w:szCs w:val="21"/>
              </w:rPr>
              <w:t>，层顶标高为</w:t>
            </w:r>
            <w:r>
              <w:rPr>
                <w:sz w:val="21"/>
                <w:szCs w:val="21"/>
              </w:rPr>
              <w:t>26.46</w:t>
            </w:r>
            <w:r>
              <w:rPr>
                <w:rFonts w:hint="eastAsia"/>
                <w:sz w:val="21"/>
                <w:szCs w:val="21"/>
              </w:rPr>
              <w:t>～</w:t>
            </w:r>
            <w:r>
              <w:rPr>
                <w:sz w:val="21"/>
                <w:szCs w:val="21"/>
              </w:rPr>
              <w:t>26.55m</w:t>
            </w: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06" w:hRule="atLeast"/>
        </w:trPr>
        <w:tc>
          <w:tcPr>
            <w:tcW w:w="0" w:type="auto"/>
            <w:tcBorders>
              <w:tl2br w:val="nil"/>
              <w:tr2bl w:val="nil"/>
            </w:tcBorders>
            <w:vAlign w:val="center"/>
          </w:tcPr>
          <w:p>
            <w:pPr>
              <w:tabs>
                <w:tab w:val="clear" w:pos="480"/>
              </w:tabs>
              <w:snapToGrid w:val="0"/>
              <w:spacing w:line="240" w:lineRule="auto"/>
              <w:ind w:firstLine="0" w:firstLineChars="0"/>
              <w:jc w:val="center"/>
              <w:rPr>
                <w:sz w:val="21"/>
                <w:szCs w:val="21"/>
              </w:rPr>
            </w:pPr>
            <w:r>
              <w:rPr>
                <w:sz w:val="21"/>
                <w:szCs w:val="21"/>
              </w:rPr>
              <w:t>淤泥质粉质黏土</w:t>
            </w:r>
            <w:r>
              <w:rPr>
                <w:rFonts w:hint="eastAsia" w:ascii="宋体" w:hAnsi="宋体" w:cs="宋体"/>
                <w:sz w:val="21"/>
                <w:szCs w:val="21"/>
              </w:rPr>
              <w:t>②</w:t>
            </w:r>
            <w:r>
              <w:rPr>
                <w:sz w:val="21"/>
                <w:szCs w:val="21"/>
              </w:rPr>
              <w:t>1</w:t>
            </w:r>
          </w:p>
        </w:tc>
        <w:tc>
          <w:tcPr>
            <w:tcW w:w="0" w:type="auto"/>
            <w:tcBorders>
              <w:tl2br w:val="nil"/>
              <w:tr2bl w:val="nil"/>
            </w:tcBorders>
            <w:vAlign w:val="center"/>
          </w:tcPr>
          <w:p>
            <w:pPr>
              <w:tabs>
                <w:tab w:val="clear" w:pos="480"/>
              </w:tabs>
              <w:snapToGrid w:val="0"/>
              <w:spacing w:line="240" w:lineRule="auto"/>
              <w:ind w:firstLine="0" w:firstLineChars="0"/>
              <w:jc w:val="center"/>
              <w:rPr>
                <w:sz w:val="21"/>
                <w:szCs w:val="21"/>
              </w:rPr>
            </w:pPr>
            <w:r>
              <w:rPr>
                <w:sz w:val="21"/>
                <w:szCs w:val="21"/>
              </w:rPr>
              <w:t>Q</w:t>
            </w:r>
            <w:r>
              <w:rPr>
                <w:sz w:val="21"/>
                <w:szCs w:val="21"/>
                <w:vertAlign w:val="subscript"/>
              </w:rPr>
              <w:t>4</w:t>
            </w:r>
            <w:r>
              <w:rPr>
                <w:sz w:val="21"/>
                <w:szCs w:val="21"/>
                <w:vertAlign w:val="superscript"/>
              </w:rPr>
              <w:t>al</w:t>
            </w:r>
          </w:p>
        </w:tc>
        <w:tc>
          <w:tcPr>
            <w:tcW w:w="0" w:type="auto"/>
            <w:tcBorders>
              <w:tl2br w:val="nil"/>
              <w:tr2bl w:val="nil"/>
            </w:tcBorders>
            <w:vAlign w:val="center"/>
          </w:tcPr>
          <w:p>
            <w:pPr>
              <w:tabs>
                <w:tab w:val="clear" w:pos="480"/>
              </w:tabs>
              <w:snapToGrid w:val="0"/>
              <w:spacing w:line="240" w:lineRule="auto"/>
              <w:ind w:firstLine="0" w:firstLineChars="0"/>
              <w:rPr>
                <w:sz w:val="21"/>
                <w:szCs w:val="21"/>
              </w:rPr>
            </w:pPr>
            <w:r>
              <w:rPr>
                <w:rFonts w:hint="eastAsia"/>
                <w:sz w:val="21"/>
                <w:szCs w:val="21"/>
              </w:rPr>
              <w:t>冲积成因，灰褐色，软塑，稍有光泽，切面较光滑，摇振无反应，干强度及韧性低，含有机质，具腐臭味，粉细砂含量高，局部含粉细砂薄层。场地均有分布，分布不均匀，所有钻孔均有揭露，揭露厚约</w:t>
            </w:r>
            <w:r>
              <w:rPr>
                <w:sz w:val="21"/>
                <w:szCs w:val="21"/>
              </w:rPr>
              <w:t>3.30</w:t>
            </w:r>
            <w:r>
              <w:rPr>
                <w:rFonts w:hint="eastAsia"/>
                <w:sz w:val="21"/>
                <w:szCs w:val="21"/>
              </w:rPr>
              <w:t>～</w:t>
            </w:r>
            <w:r>
              <w:rPr>
                <w:sz w:val="21"/>
                <w:szCs w:val="21"/>
              </w:rPr>
              <w:t>16.10m</w:t>
            </w:r>
            <w:r>
              <w:rPr>
                <w:rFonts w:hint="eastAsia"/>
                <w:sz w:val="21"/>
                <w:szCs w:val="21"/>
              </w:rPr>
              <w:t>，平均厚</w:t>
            </w:r>
            <w:r>
              <w:rPr>
                <w:sz w:val="21"/>
                <w:szCs w:val="21"/>
              </w:rPr>
              <w:t>7.50m</w:t>
            </w:r>
            <w:r>
              <w:rPr>
                <w:rFonts w:hint="eastAsia"/>
                <w:sz w:val="21"/>
                <w:szCs w:val="21"/>
              </w:rPr>
              <w:t>，层顶标高为</w:t>
            </w:r>
            <w:r>
              <w:rPr>
                <w:sz w:val="21"/>
                <w:szCs w:val="21"/>
              </w:rPr>
              <w:t>10.7</w:t>
            </w:r>
            <w:r>
              <w:rPr>
                <w:rFonts w:hint="eastAsia"/>
                <w:sz w:val="21"/>
                <w:szCs w:val="21"/>
              </w:rPr>
              <w:t>～</w:t>
            </w:r>
            <w:r>
              <w:rPr>
                <w:sz w:val="21"/>
                <w:szCs w:val="21"/>
              </w:rPr>
              <w:t>27.7m</w:t>
            </w: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46" w:hRule="atLeast"/>
        </w:trPr>
        <w:tc>
          <w:tcPr>
            <w:tcW w:w="0" w:type="auto"/>
            <w:tcBorders>
              <w:tl2br w:val="nil"/>
              <w:tr2bl w:val="nil"/>
            </w:tcBorders>
            <w:vAlign w:val="center"/>
          </w:tcPr>
          <w:p>
            <w:pPr>
              <w:tabs>
                <w:tab w:val="clear" w:pos="480"/>
              </w:tabs>
              <w:snapToGrid w:val="0"/>
              <w:spacing w:line="240" w:lineRule="auto"/>
              <w:ind w:firstLine="0" w:firstLineChars="0"/>
              <w:jc w:val="center"/>
              <w:rPr>
                <w:sz w:val="21"/>
                <w:szCs w:val="21"/>
              </w:rPr>
            </w:pPr>
            <w:r>
              <w:rPr>
                <w:sz w:val="21"/>
                <w:szCs w:val="21"/>
              </w:rPr>
              <w:t>可塑状粉质黏土</w:t>
            </w:r>
            <w:r>
              <w:rPr>
                <w:rFonts w:hint="eastAsia" w:ascii="宋体" w:hAnsi="宋体" w:cs="宋体"/>
                <w:sz w:val="21"/>
                <w:szCs w:val="21"/>
              </w:rPr>
              <w:t>②</w:t>
            </w:r>
            <w:r>
              <w:rPr>
                <w:sz w:val="21"/>
                <w:szCs w:val="21"/>
              </w:rPr>
              <w:t>2</w:t>
            </w:r>
          </w:p>
        </w:tc>
        <w:tc>
          <w:tcPr>
            <w:tcW w:w="0" w:type="auto"/>
            <w:tcBorders>
              <w:tl2br w:val="nil"/>
              <w:tr2bl w:val="nil"/>
            </w:tcBorders>
            <w:vAlign w:val="center"/>
          </w:tcPr>
          <w:p>
            <w:pPr>
              <w:tabs>
                <w:tab w:val="clear" w:pos="480"/>
              </w:tabs>
              <w:snapToGrid w:val="0"/>
              <w:spacing w:line="240" w:lineRule="auto"/>
              <w:ind w:right="31" w:rightChars="13" w:firstLine="0" w:firstLineChars="0"/>
              <w:jc w:val="center"/>
              <w:rPr>
                <w:sz w:val="21"/>
                <w:szCs w:val="21"/>
              </w:rPr>
            </w:pPr>
            <w:r>
              <w:rPr>
                <w:sz w:val="21"/>
                <w:szCs w:val="21"/>
              </w:rPr>
              <w:t>Q</w:t>
            </w:r>
            <w:r>
              <w:rPr>
                <w:sz w:val="21"/>
                <w:szCs w:val="21"/>
                <w:vertAlign w:val="subscript"/>
              </w:rPr>
              <w:t>4</w:t>
            </w:r>
            <w:r>
              <w:rPr>
                <w:sz w:val="21"/>
                <w:szCs w:val="21"/>
                <w:vertAlign w:val="superscript"/>
              </w:rPr>
              <w:t>al</w:t>
            </w:r>
          </w:p>
        </w:tc>
        <w:tc>
          <w:tcPr>
            <w:tcW w:w="0" w:type="auto"/>
            <w:tcBorders>
              <w:tl2br w:val="nil"/>
              <w:tr2bl w:val="nil"/>
            </w:tcBorders>
            <w:vAlign w:val="center"/>
          </w:tcPr>
          <w:p>
            <w:pPr>
              <w:tabs>
                <w:tab w:val="clear" w:pos="480"/>
              </w:tabs>
              <w:snapToGrid w:val="0"/>
              <w:spacing w:line="240" w:lineRule="auto"/>
              <w:ind w:firstLine="0" w:firstLineChars="0"/>
              <w:rPr>
                <w:sz w:val="21"/>
                <w:szCs w:val="21"/>
              </w:rPr>
            </w:pPr>
            <w:r>
              <w:rPr>
                <w:sz w:val="21"/>
                <w:szCs w:val="21"/>
              </w:rPr>
              <w:t>残积成因，褐灰色、褐黄色，湿，可塑状，局部软塑，絮状结构，具似网纹状构造，含少量黑色铁锰质薄膜。无摇震反应，切面较光滑，干强度中等，韧性中等，层底受地下水浸润相对松软。大堤外侧长江Ⅰ级阶地均分布，分布不均匀，ZK6~ZK12等7个钻孔揭露，揭露厚约1.3～10.0m，平均厚5.55m，层顶标高为3.82～26.56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9" w:hRule="atLeast"/>
        </w:trPr>
        <w:tc>
          <w:tcPr>
            <w:tcW w:w="0" w:type="auto"/>
            <w:tcBorders>
              <w:tl2br w:val="nil"/>
              <w:tr2bl w:val="nil"/>
            </w:tcBorders>
            <w:vAlign w:val="center"/>
          </w:tcPr>
          <w:p>
            <w:pPr>
              <w:tabs>
                <w:tab w:val="clear" w:pos="480"/>
              </w:tabs>
              <w:snapToGrid w:val="0"/>
              <w:spacing w:line="240" w:lineRule="auto"/>
              <w:ind w:firstLine="0" w:firstLineChars="0"/>
              <w:jc w:val="center"/>
              <w:rPr>
                <w:sz w:val="21"/>
                <w:szCs w:val="21"/>
              </w:rPr>
            </w:pPr>
            <w:r>
              <w:rPr>
                <w:sz w:val="21"/>
                <w:szCs w:val="21"/>
              </w:rPr>
              <w:t>粉砂</w:t>
            </w:r>
            <w:r>
              <w:rPr>
                <w:rFonts w:hint="eastAsia" w:ascii="宋体" w:hAnsi="宋体" w:cs="宋体"/>
                <w:sz w:val="21"/>
                <w:szCs w:val="21"/>
              </w:rPr>
              <w:t>②</w:t>
            </w:r>
            <w:r>
              <w:rPr>
                <w:sz w:val="21"/>
                <w:szCs w:val="21"/>
              </w:rPr>
              <w:t>3</w:t>
            </w:r>
          </w:p>
        </w:tc>
        <w:tc>
          <w:tcPr>
            <w:tcW w:w="0" w:type="auto"/>
            <w:tcBorders>
              <w:tl2br w:val="nil"/>
              <w:tr2bl w:val="nil"/>
            </w:tcBorders>
            <w:vAlign w:val="center"/>
          </w:tcPr>
          <w:p>
            <w:pPr>
              <w:tabs>
                <w:tab w:val="clear" w:pos="480"/>
              </w:tabs>
              <w:snapToGrid w:val="0"/>
              <w:spacing w:line="240" w:lineRule="auto"/>
              <w:ind w:firstLine="0" w:firstLineChars="0"/>
              <w:jc w:val="center"/>
              <w:rPr>
                <w:sz w:val="21"/>
                <w:szCs w:val="21"/>
              </w:rPr>
            </w:pPr>
            <w:r>
              <w:rPr>
                <w:sz w:val="21"/>
                <w:szCs w:val="21"/>
              </w:rPr>
              <w:t>Q</w:t>
            </w:r>
            <w:r>
              <w:rPr>
                <w:sz w:val="21"/>
                <w:szCs w:val="21"/>
                <w:vertAlign w:val="subscript"/>
              </w:rPr>
              <w:t>4</w:t>
            </w:r>
            <w:r>
              <w:rPr>
                <w:sz w:val="21"/>
                <w:szCs w:val="21"/>
                <w:vertAlign w:val="superscript"/>
              </w:rPr>
              <w:t>al</w:t>
            </w:r>
          </w:p>
        </w:tc>
        <w:tc>
          <w:tcPr>
            <w:tcW w:w="0" w:type="auto"/>
            <w:tcBorders>
              <w:tl2br w:val="nil"/>
              <w:tr2bl w:val="nil"/>
            </w:tcBorders>
            <w:vAlign w:val="center"/>
          </w:tcPr>
          <w:p>
            <w:pPr>
              <w:tabs>
                <w:tab w:val="clear" w:pos="480"/>
              </w:tabs>
              <w:snapToGrid w:val="0"/>
              <w:spacing w:line="240" w:lineRule="auto"/>
              <w:ind w:firstLine="0" w:firstLineChars="0"/>
              <w:rPr>
                <w:sz w:val="21"/>
                <w:szCs w:val="21"/>
              </w:rPr>
            </w:pPr>
            <w:r>
              <w:rPr>
                <w:sz w:val="21"/>
                <w:szCs w:val="21"/>
              </w:rPr>
              <w:t>灰褐色，饱水，松散-稍密状，母岩成分多为石英质，含云母，场地中分布较广，河床、河漫滩表层均分布，分布稍均匀，ZK1～ZK6钻孔有揭露，揭露厚约1.2～3.2m，平均厚2.43m，层顶标高为-9.5～6.89m。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17" w:hRule="atLeast"/>
        </w:trPr>
        <w:tc>
          <w:tcPr>
            <w:tcW w:w="0" w:type="auto"/>
            <w:tcBorders>
              <w:tl2br w:val="nil"/>
              <w:tr2bl w:val="nil"/>
            </w:tcBorders>
            <w:vAlign w:val="center"/>
          </w:tcPr>
          <w:p>
            <w:pPr>
              <w:tabs>
                <w:tab w:val="clear" w:pos="480"/>
              </w:tabs>
              <w:snapToGrid w:val="0"/>
              <w:spacing w:line="240" w:lineRule="auto"/>
              <w:ind w:firstLine="0" w:firstLineChars="0"/>
              <w:jc w:val="center"/>
              <w:rPr>
                <w:sz w:val="21"/>
                <w:szCs w:val="21"/>
              </w:rPr>
            </w:pPr>
            <w:r>
              <w:rPr>
                <w:sz w:val="21"/>
                <w:szCs w:val="21"/>
              </w:rPr>
              <w:t>硬塑状粉质黏土</w:t>
            </w:r>
            <w:r>
              <w:rPr>
                <w:rFonts w:hint="eastAsia" w:ascii="宋体" w:hAnsi="宋体" w:cs="宋体"/>
                <w:sz w:val="21"/>
                <w:szCs w:val="21"/>
              </w:rPr>
              <w:t>②</w:t>
            </w:r>
            <w:r>
              <w:rPr>
                <w:sz w:val="21"/>
                <w:szCs w:val="21"/>
              </w:rPr>
              <w:t>4</w:t>
            </w:r>
          </w:p>
        </w:tc>
        <w:tc>
          <w:tcPr>
            <w:tcW w:w="0" w:type="auto"/>
            <w:tcBorders>
              <w:tl2br w:val="nil"/>
              <w:tr2bl w:val="nil"/>
            </w:tcBorders>
            <w:vAlign w:val="center"/>
          </w:tcPr>
          <w:p>
            <w:pPr>
              <w:tabs>
                <w:tab w:val="clear" w:pos="480"/>
              </w:tabs>
              <w:snapToGrid w:val="0"/>
              <w:spacing w:line="240" w:lineRule="auto"/>
              <w:ind w:right="31" w:rightChars="13" w:firstLine="0" w:firstLineChars="0"/>
              <w:jc w:val="center"/>
              <w:rPr>
                <w:sz w:val="21"/>
                <w:szCs w:val="21"/>
              </w:rPr>
            </w:pPr>
            <w:r>
              <w:rPr>
                <w:sz w:val="21"/>
                <w:szCs w:val="21"/>
              </w:rPr>
              <w:t>Q</w:t>
            </w:r>
            <w:r>
              <w:rPr>
                <w:sz w:val="21"/>
                <w:szCs w:val="21"/>
                <w:vertAlign w:val="subscript"/>
              </w:rPr>
              <w:t>4</w:t>
            </w:r>
            <w:r>
              <w:rPr>
                <w:sz w:val="21"/>
                <w:szCs w:val="21"/>
                <w:vertAlign w:val="superscript"/>
              </w:rPr>
              <w:t>al</w:t>
            </w:r>
          </w:p>
        </w:tc>
        <w:tc>
          <w:tcPr>
            <w:tcW w:w="0" w:type="auto"/>
            <w:tcBorders>
              <w:tl2br w:val="nil"/>
              <w:tr2bl w:val="nil"/>
            </w:tcBorders>
            <w:vAlign w:val="center"/>
          </w:tcPr>
          <w:p>
            <w:pPr>
              <w:tabs>
                <w:tab w:val="clear" w:pos="480"/>
              </w:tabs>
              <w:snapToGrid w:val="0"/>
              <w:spacing w:line="240" w:lineRule="auto"/>
              <w:ind w:firstLine="0" w:firstLineChars="0"/>
              <w:rPr>
                <w:sz w:val="21"/>
                <w:szCs w:val="21"/>
              </w:rPr>
            </w:pPr>
            <w:r>
              <w:rPr>
                <w:sz w:val="21"/>
                <w:szCs w:val="21"/>
              </w:rPr>
              <w:t>褐黄色，稍湿，硬塑状，絮状结构，具似网纹状构造，含少量黑色铁锰质薄膜。无摇震反应，切面较光滑，干强度中等，韧性中等。栈桥区大堤外侧剥蚀岗丘表层均分布，分布不均匀，本次勘察ZK7～ZK12揭露，揭露厚约2.5~17.9m，平均厚9.83m，层顶标高为15.46~26.83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tcBorders>
              <w:tl2br w:val="nil"/>
              <w:tr2bl w:val="nil"/>
            </w:tcBorders>
            <w:vAlign w:val="center"/>
          </w:tcPr>
          <w:p>
            <w:pPr>
              <w:tabs>
                <w:tab w:val="clear" w:pos="480"/>
              </w:tabs>
              <w:snapToGrid w:val="0"/>
              <w:spacing w:line="240" w:lineRule="auto"/>
              <w:ind w:firstLine="0" w:firstLineChars="0"/>
              <w:jc w:val="center"/>
              <w:rPr>
                <w:sz w:val="21"/>
                <w:szCs w:val="21"/>
              </w:rPr>
            </w:pPr>
            <w:r>
              <w:rPr>
                <w:sz w:val="21"/>
                <w:szCs w:val="21"/>
              </w:rPr>
              <w:t>卵石</w:t>
            </w:r>
            <w:r>
              <w:rPr>
                <w:rFonts w:hint="eastAsia" w:ascii="宋体" w:hAnsi="宋体" w:cs="宋体"/>
                <w:sz w:val="21"/>
                <w:szCs w:val="21"/>
              </w:rPr>
              <w:t>②</w:t>
            </w:r>
            <w:r>
              <w:rPr>
                <w:sz w:val="21"/>
                <w:szCs w:val="21"/>
              </w:rPr>
              <w:t>5</w:t>
            </w:r>
          </w:p>
        </w:tc>
        <w:tc>
          <w:tcPr>
            <w:tcW w:w="0" w:type="auto"/>
            <w:tcBorders>
              <w:tl2br w:val="nil"/>
              <w:tr2bl w:val="nil"/>
            </w:tcBorders>
            <w:vAlign w:val="center"/>
          </w:tcPr>
          <w:p>
            <w:pPr>
              <w:tabs>
                <w:tab w:val="clear" w:pos="480"/>
              </w:tabs>
              <w:snapToGrid w:val="0"/>
              <w:spacing w:line="240" w:lineRule="auto"/>
              <w:ind w:right="31" w:rightChars="13" w:firstLine="0" w:firstLineChars="0"/>
              <w:jc w:val="center"/>
              <w:rPr>
                <w:sz w:val="21"/>
                <w:szCs w:val="21"/>
              </w:rPr>
            </w:pPr>
            <w:r>
              <w:rPr>
                <w:sz w:val="21"/>
                <w:szCs w:val="21"/>
              </w:rPr>
              <w:t>Q</w:t>
            </w:r>
            <w:r>
              <w:rPr>
                <w:sz w:val="21"/>
                <w:szCs w:val="21"/>
                <w:vertAlign w:val="subscript"/>
              </w:rPr>
              <w:t>4</w:t>
            </w:r>
            <w:r>
              <w:rPr>
                <w:sz w:val="21"/>
                <w:szCs w:val="21"/>
                <w:vertAlign w:val="superscript"/>
              </w:rPr>
              <w:t>al</w:t>
            </w:r>
          </w:p>
        </w:tc>
        <w:tc>
          <w:tcPr>
            <w:tcW w:w="0" w:type="auto"/>
            <w:tcBorders>
              <w:tl2br w:val="nil"/>
              <w:tr2bl w:val="nil"/>
            </w:tcBorders>
            <w:vAlign w:val="center"/>
          </w:tcPr>
          <w:p>
            <w:pPr>
              <w:tabs>
                <w:tab w:val="clear" w:pos="480"/>
              </w:tabs>
              <w:snapToGrid w:val="0"/>
              <w:spacing w:line="240" w:lineRule="auto"/>
              <w:ind w:firstLine="0" w:firstLineChars="0"/>
              <w:rPr>
                <w:sz w:val="21"/>
                <w:szCs w:val="21"/>
              </w:rPr>
            </w:pPr>
            <w:r>
              <w:rPr>
                <w:sz w:val="21"/>
                <w:szCs w:val="21"/>
              </w:rPr>
              <w:t>灰黄色，饱和，稍密~中密，卵石含量55-60%，粒径2-6cm不等，粒间充填粉质粘土及砂砾、成分主要为石英、板岩、灰岩，多呈圆状~次圆状。栈桥区大堤外侧剥蚀岗丘表层均分布，分布不均匀，本次勘察ZK7～ZK12揭露，揭露厚约3.2~8.3m，平均厚6.32m，层顶标高为7.06~8.95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43" w:hRule="atLeast"/>
        </w:trPr>
        <w:tc>
          <w:tcPr>
            <w:tcW w:w="0" w:type="auto"/>
            <w:tcBorders>
              <w:tl2br w:val="nil"/>
              <w:tr2bl w:val="nil"/>
            </w:tcBorders>
            <w:vAlign w:val="center"/>
          </w:tcPr>
          <w:p>
            <w:pPr>
              <w:tabs>
                <w:tab w:val="clear" w:pos="480"/>
              </w:tabs>
              <w:snapToGrid w:val="0"/>
              <w:spacing w:line="240" w:lineRule="auto"/>
              <w:ind w:firstLine="0" w:firstLineChars="0"/>
              <w:jc w:val="center"/>
              <w:rPr>
                <w:sz w:val="21"/>
                <w:szCs w:val="21"/>
              </w:rPr>
            </w:pPr>
            <w:r>
              <w:rPr>
                <w:sz w:val="21"/>
                <w:szCs w:val="21"/>
              </w:rPr>
              <w:t>强风化板岩</w:t>
            </w:r>
            <w:r>
              <w:rPr>
                <w:rFonts w:hint="eastAsia" w:ascii="宋体" w:hAnsi="宋体" w:cs="宋体"/>
                <w:sz w:val="21"/>
                <w:szCs w:val="21"/>
              </w:rPr>
              <w:t>③</w:t>
            </w:r>
            <w:r>
              <w:rPr>
                <w:sz w:val="21"/>
                <w:szCs w:val="21"/>
              </w:rPr>
              <w:t>1</w:t>
            </w:r>
          </w:p>
        </w:tc>
        <w:tc>
          <w:tcPr>
            <w:tcW w:w="0" w:type="auto"/>
            <w:tcBorders>
              <w:tl2br w:val="nil"/>
              <w:tr2bl w:val="nil"/>
            </w:tcBorders>
            <w:vAlign w:val="center"/>
          </w:tcPr>
          <w:p>
            <w:pPr>
              <w:tabs>
                <w:tab w:val="clear" w:pos="480"/>
              </w:tabs>
              <w:snapToGrid w:val="0"/>
              <w:spacing w:line="240" w:lineRule="auto"/>
              <w:ind w:firstLine="0" w:firstLineChars="0"/>
              <w:jc w:val="center"/>
              <w:rPr>
                <w:sz w:val="21"/>
                <w:szCs w:val="21"/>
              </w:rPr>
            </w:pPr>
            <w:r>
              <w:rPr>
                <w:sz w:val="21"/>
                <w:szCs w:val="21"/>
              </w:rPr>
              <w:t>Pt2lj</w:t>
            </w:r>
          </w:p>
        </w:tc>
        <w:tc>
          <w:tcPr>
            <w:tcW w:w="0" w:type="auto"/>
            <w:tcBorders>
              <w:tl2br w:val="nil"/>
              <w:tr2bl w:val="nil"/>
            </w:tcBorders>
            <w:vAlign w:val="center"/>
          </w:tcPr>
          <w:p>
            <w:pPr>
              <w:tabs>
                <w:tab w:val="clear" w:pos="480"/>
              </w:tabs>
              <w:snapToGrid w:val="0"/>
              <w:spacing w:line="240" w:lineRule="auto"/>
              <w:ind w:firstLine="0" w:firstLineChars="0"/>
              <w:rPr>
                <w:kern w:val="0"/>
                <w:sz w:val="21"/>
                <w:szCs w:val="21"/>
              </w:rPr>
            </w:pPr>
            <w:r>
              <w:rPr>
                <w:sz w:val="21"/>
                <w:szCs w:val="21"/>
              </w:rPr>
              <w:t>黄褐色，变余泥质结构，板状构造，板理倾角约为40-60°，节理裂隙极发育，面多黑色铁锰质浸染。岩石风化强烈，吸水易软化，干燥易开裂。岩芯多呈碎块状、碎屑状，夹块状，手可折断，岩体极破碎，属极软岩，RQD极差，岩体基本质量等级为Ⅴ类。河床、河漫滩表层及大堤内侧长江Ⅰ级阶地、大堤外侧剥蚀岗丘覆盖层以下均分布，不均匀，ZK1～ZK8等12个钻孔揭露，揭露厚约2.2～6.7m，平均厚3.99m，层顶标高为-12.16～5.19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5" w:hRule="atLeast"/>
        </w:trPr>
        <w:tc>
          <w:tcPr>
            <w:tcW w:w="0" w:type="auto"/>
            <w:tcBorders>
              <w:tl2br w:val="nil"/>
              <w:tr2bl w:val="nil"/>
            </w:tcBorders>
            <w:vAlign w:val="center"/>
          </w:tcPr>
          <w:p>
            <w:pPr>
              <w:tabs>
                <w:tab w:val="clear" w:pos="480"/>
              </w:tabs>
              <w:snapToGrid w:val="0"/>
              <w:spacing w:line="240" w:lineRule="auto"/>
              <w:ind w:firstLine="0" w:firstLineChars="0"/>
              <w:jc w:val="center"/>
              <w:rPr>
                <w:sz w:val="21"/>
                <w:szCs w:val="21"/>
              </w:rPr>
            </w:pPr>
            <w:r>
              <w:rPr>
                <w:sz w:val="21"/>
                <w:szCs w:val="21"/>
              </w:rPr>
              <w:t>中风化板岩</w:t>
            </w:r>
            <w:r>
              <w:rPr>
                <w:rFonts w:hint="eastAsia" w:ascii="宋体" w:hAnsi="宋体" w:cs="宋体"/>
                <w:sz w:val="21"/>
                <w:szCs w:val="21"/>
              </w:rPr>
              <w:t>③</w:t>
            </w:r>
            <w:r>
              <w:rPr>
                <w:sz w:val="21"/>
                <w:szCs w:val="21"/>
              </w:rPr>
              <w:t>2</w:t>
            </w:r>
          </w:p>
        </w:tc>
        <w:tc>
          <w:tcPr>
            <w:tcW w:w="0" w:type="auto"/>
            <w:tcBorders>
              <w:tl2br w:val="nil"/>
              <w:tr2bl w:val="nil"/>
            </w:tcBorders>
            <w:vAlign w:val="center"/>
          </w:tcPr>
          <w:p>
            <w:pPr>
              <w:tabs>
                <w:tab w:val="clear" w:pos="480"/>
              </w:tabs>
              <w:snapToGrid w:val="0"/>
              <w:spacing w:line="240" w:lineRule="auto"/>
              <w:ind w:firstLine="0" w:firstLineChars="0"/>
              <w:jc w:val="center"/>
              <w:rPr>
                <w:sz w:val="21"/>
                <w:szCs w:val="21"/>
              </w:rPr>
            </w:pPr>
            <w:r>
              <w:rPr>
                <w:sz w:val="21"/>
                <w:szCs w:val="21"/>
              </w:rPr>
              <w:t>Pt2lj</w:t>
            </w:r>
          </w:p>
        </w:tc>
        <w:tc>
          <w:tcPr>
            <w:tcW w:w="0" w:type="auto"/>
            <w:tcBorders>
              <w:tl2br w:val="nil"/>
              <w:tr2bl w:val="nil"/>
            </w:tcBorders>
            <w:vAlign w:val="center"/>
          </w:tcPr>
          <w:p>
            <w:pPr>
              <w:tabs>
                <w:tab w:val="clear" w:pos="480"/>
              </w:tabs>
              <w:snapToGrid w:val="0"/>
              <w:spacing w:line="240" w:lineRule="auto"/>
              <w:ind w:firstLine="0" w:firstLineChars="0"/>
              <w:rPr>
                <w:sz w:val="21"/>
                <w:szCs w:val="21"/>
              </w:rPr>
            </w:pPr>
            <w:r>
              <w:rPr>
                <w:sz w:val="21"/>
                <w:szCs w:val="21"/>
              </w:rPr>
              <w:t>青灰色，变余泥质结构，板状构造，板理清晰，板理倾角约为40-60°。中、陡倾角节理裂隙较发育，面局部铁锰质侵染。岩芯多呈短柱状、扁柱状，夹块状、柱状，RQD较差，岩体较破碎，属较软岩，岩体基本质量等级为Ⅴ类。河床、河漫滩表层及大堤内侧长江Ⅰ级阶地、大堤外侧剥蚀岗丘覆盖层以下均分布，ZK1～ZK12等12个钻孔揭露，未揭穿，揭露厚约7.0～13.2m，层顶标高为-18.8～2.09m。</w:t>
            </w:r>
          </w:p>
        </w:tc>
      </w:tr>
    </w:tbl>
    <w:p>
      <w:pPr>
        <w:ind w:firstLine="480"/>
      </w:pPr>
      <w:r>
        <w:t>（3）岩土工程评价</w:t>
      </w:r>
    </w:p>
    <w:p>
      <w:pPr>
        <w:ind w:firstLine="480"/>
      </w:pPr>
      <w:r>
        <w:t>1）岩土工程参数分析：</w:t>
      </w:r>
    </w:p>
    <w:p>
      <w:pPr>
        <w:ind w:firstLine="480"/>
      </w:pPr>
      <w:r>
        <w:t>根据岩土参数统计成果，结合地区性工程经验，参考《建筑桩基技术规范》（JGJ94-2008）及其它有关规程规范，对场地地基的岩土参数进行基本分析评价，提供初步设计时所需的岩土参数建议表如下。</w:t>
      </w:r>
    </w:p>
    <w:p>
      <w:pPr>
        <w:pStyle w:val="3583"/>
        <w:spacing w:line="240" w:lineRule="auto"/>
        <w:ind w:left="0"/>
      </w:pPr>
      <w:r>
        <w:t>各地层的工程特性指标建议值表</w:t>
      </w:r>
    </w:p>
    <w:tbl>
      <w:tblPr>
        <w:tblStyle w:val="87"/>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49"/>
        <w:gridCol w:w="951"/>
        <w:gridCol w:w="706"/>
        <w:gridCol w:w="636"/>
        <w:gridCol w:w="759"/>
        <w:gridCol w:w="573"/>
        <w:gridCol w:w="759"/>
        <w:gridCol w:w="759"/>
        <w:gridCol w:w="706"/>
        <w:gridCol w:w="759"/>
        <w:gridCol w:w="636"/>
        <w:gridCol w:w="531"/>
        <w:gridCol w:w="6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496" w:type="pct"/>
            <w:vMerge w:val="restart"/>
          </w:tcPr>
          <w:p>
            <w:pPr>
              <w:tabs>
                <w:tab w:val="left" w:pos="2292"/>
                <w:tab w:val="clear" w:pos="480"/>
              </w:tabs>
              <w:autoSpaceDE w:val="0"/>
              <w:autoSpaceDN w:val="0"/>
              <w:adjustRightInd w:val="0"/>
              <w:snapToGrid w:val="0"/>
              <w:spacing w:line="240" w:lineRule="auto"/>
              <w:ind w:firstLine="0" w:firstLineChars="0"/>
              <w:jc w:val="left"/>
              <w:rPr>
                <w:b/>
                <w:bCs/>
                <w:sz w:val="18"/>
                <w:szCs w:val="18"/>
              </w:rPr>
            </w:pPr>
          </w:p>
          <w:p>
            <w:pPr>
              <w:tabs>
                <w:tab w:val="left" w:pos="2292"/>
                <w:tab w:val="clear" w:pos="480"/>
              </w:tabs>
              <w:autoSpaceDE w:val="0"/>
              <w:autoSpaceDN w:val="0"/>
              <w:adjustRightInd w:val="0"/>
              <w:snapToGrid w:val="0"/>
              <w:spacing w:line="240" w:lineRule="auto"/>
              <w:ind w:firstLine="0" w:firstLineChars="0"/>
              <w:jc w:val="left"/>
              <w:rPr>
                <w:b/>
                <w:bCs/>
                <w:sz w:val="18"/>
                <w:szCs w:val="18"/>
              </w:rPr>
            </w:pPr>
          </w:p>
          <w:p>
            <w:pPr>
              <w:tabs>
                <w:tab w:val="left" w:pos="2292"/>
                <w:tab w:val="clear" w:pos="480"/>
              </w:tabs>
              <w:autoSpaceDE w:val="0"/>
              <w:autoSpaceDN w:val="0"/>
              <w:adjustRightInd w:val="0"/>
              <w:snapToGrid w:val="0"/>
              <w:spacing w:line="240" w:lineRule="auto"/>
              <w:ind w:firstLine="0" w:firstLineChars="0"/>
              <w:jc w:val="left"/>
              <w:rPr>
                <w:b/>
                <w:bCs/>
                <w:sz w:val="18"/>
                <w:szCs w:val="18"/>
              </w:rPr>
            </w:pPr>
          </w:p>
          <w:p>
            <w:pPr>
              <w:tabs>
                <w:tab w:val="left" w:pos="2292"/>
                <w:tab w:val="clear" w:pos="480"/>
              </w:tabs>
              <w:autoSpaceDE w:val="0"/>
              <w:autoSpaceDN w:val="0"/>
              <w:adjustRightInd w:val="0"/>
              <w:snapToGrid w:val="0"/>
              <w:spacing w:line="240" w:lineRule="auto"/>
              <w:ind w:firstLine="0" w:firstLineChars="0"/>
              <w:jc w:val="left"/>
              <w:rPr>
                <w:b/>
                <w:bCs/>
                <w:sz w:val="18"/>
                <w:szCs w:val="18"/>
              </w:rPr>
            </w:pPr>
          </w:p>
          <w:p>
            <w:pPr>
              <w:tabs>
                <w:tab w:val="left" w:pos="2292"/>
                <w:tab w:val="clear" w:pos="480"/>
              </w:tabs>
              <w:autoSpaceDE w:val="0"/>
              <w:autoSpaceDN w:val="0"/>
              <w:adjustRightInd w:val="0"/>
              <w:snapToGrid w:val="0"/>
              <w:spacing w:line="240" w:lineRule="auto"/>
              <w:ind w:firstLine="0" w:firstLineChars="0"/>
              <w:jc w:val="left"/>
              <w:rPr>
                <w:b/>
                <w:bCs/>
                <w:sz w:val="18"/>
                <w:szCs w:val="18"/>
              </w:rPr>
            </w:pPr>
            <w:r>
              <w:rPr>
                <w:b/>
                <w:bCs/>
                <w:sz w:val="18"/>
                <w:szCs w:val="18"/>
                <w:lang w:val="zh-CN"/>
              </w:rPr>
              <w:t>地层</w:t>
            </w:r>
            <w:r>
              <w:rPr>
                <w:b/>
                <w:bCs/>
                <w:sz w:val="18"/>
                <w:szCs w:val="18"/>
              </w:rPr>
              <w:t>指标</w:t>
            </w:r>
          </w:p>
        </w:tc>
        <w:tc>
          <w:tcPr>
            <w:tcW w:w="512" w:type="pct"/>
            <w:vMerge w:val="restart"/>
            <w:vAlign w:val="center"/>
          </w:tcPr>
          <w:p>
            <w:pPr>
              <w:tabs>
                <w:tab w:val="clear" w:pos="480"/>
              </w:tabs>
              <w:autoSpaceDE w:val="0"/>
              <w:autoSpaceDN w:val="0"/>
              <w:adjustRightInd w:val="0"/>
              <w:snapToGrid w:val="0"/>
              <w:spacing w:line="240" w:lineRule="auto"/>
              <w:ind w:firstLine="0" w:firstLineChars="0"/>
              <w:jc w:val="center"/>
              <w:rPr>
                <w:b/>
                <w:bCs/>
                <w:sz w:val="18"/>
                <w:szCs w:val="18"/>
              </w:rPr>
            </w:pPr>
            <w:r>
              <w:rPr>
                <w:b/>
                <w:bCs/>
                <w:sz w:val="18"/>
                <w:szCs w:val="18"/>
                <w:lang w:val="zh-CN"/>
              </w:rPr>
              <w:t>地基承载力特征值</w:t>
            </w:r>
          </w:p>
          <w:p>
            <w:pPr>
              <w:tabs>
                <w:tab w:val="clear" w:pos="480"/>
              </w:tabs>
              <w:autoSpaceDE w:val="0"/>
              <w:autoSpaceDN w:val="0"/>
              <w:adjustRightInd w:val="0"/>
              <w:snapToGrid w:val="0"/>
              <w:spacing w:line="240" w:lineRule="auto"/>
              <w:ind w:firstLine="0" w:firstLineChars="0"/>
              <w:jc w:val="center"/>
              <w:rPr>
                <w:b/>
                <w:bCs/>
                <w:sz w:val="18"/>
                <w:szCs w:val="18"/>
              </w:rPr>
            </w:pPr>
            <w:r>
              <w:rPr>
                <w:b/>
                <w:bCs/>
                <w:sz w:val="18"/>
                <w:szCs w:val="18"/>
                <w:lang w:val="zh-CN"/>
              </w:rPr>
              <w:t>[f</w:t>
            </w:r>
            <w:r>
              <w:rPr>
                <w:b/>
                <w:bCs/>
                <w:sz w:val="18"/>
                <w:szCs w:val="18"/>
                <w:vertAlign w:val="subscript"/>
                <w:lang w:val="zh-CN"/>
              </w:rPr>
              <w:t>a</w:t>
            </w:r>
            <w:r>
              <w:rPr>
                <w:b/>
                <w:bCs/>
                <w:sz w:val="18"/>
                <w:szCs w:val="18"/>
                <w:lang w:val="zh-CN"/>
              </w:rPr>
              <w:t>]（</w:t>
            </w:r>
            <w:r>
              <w:rPr>
                <w:b/>
                <w:bCs/>
                <w:sz w:val="18"/>
                <w:szCs w:val="18"/>
              </w:rPr>
              <w:t>KPa</w:t>
            </w:r>
            <w:r>
              <w:rPr>
                <w:b/>
                <w:bCs/>
                <w:sz w:val="18"/>
                <w:szCs w:val="18"/>
                <w:lang w:val="zh-CN"/>
              </w:rPr>
              <w:t>）</w:t>
            </w:r>
          </w:p>
        </w:tc>
        <w:tc>
          <w:tcPr>
            <w:tcW w:w="364" w:type="pct"/>
            <w:vMerge w:val="restart"/>
            <w:vAlign w:val="center"/>
          </w:tcPr>
          <w:p>
            <w:pPr>
              <w:tabs>
                <w:tab w:val="left" w:pos="2292"/>
                <w:tab w:val="clear" w:pos="480"/>
              </w:tabs>
              <w:autoSpaceDE w:val="0"/>
              <w:autoSpaceDN w:val="0"/>
              <w:adjustRightInd w:val="0"/>
              <w:snapToGrid w:val="0"/>
              <w:spacing w:line="240" w:lineRule="auto"/>
              <w:ind w:firstLine="0" w:firstLineChars="0"/>
              <w:jc w:val="center"/>
              <w:rPr>
                <w:b/>
                <w:bCs/>
                <w:sz w:val="18"/>
                <w:szCs w:val="18"/>
                <w:lang w:val="zh-CN"/>
              </w:rPr>
            </w:pPr>
            <w:r>
              <w:rPr>
                <w:b/>
                <w:bCs/>
                <w:sz w:val="18"/>
                <w:szCs w:val="18"/>
                <w:lang w:val="zh-CN"/>
              </w:rPr>
              <w:t>压缩</w:t>
            </w:r>
          </w:p>
          <w:p>
            <w:pPr>
              <w:tabs>
                <w:tab w:val="clear" w:pos="480"/>
              </w:tabs>
              <w:snapToGrid w:val="0"/>
              <w:spacing w:line="240" w:lineRule="auto"/>
              <w:ind w:firstLine="0" w:firstLineChars="0"/>
              <w:jc w:val="center"/>
              <w:rPr>
                <w:b/>
                <w:bCs/>
                <w:sz w:val="18"/>
                <w:szCs w:val="18"/>
                <w:vertAlign w:val="subscript"/>
              </w:rPr>
            </w:pPr>
            <w:r>
              <w:rPr>
                <w:b/>
                <w:bCs/>
                <w:sz w:val="18"/>
                <w:szCs w:val="18"/>
                <w:lang w:val="zh-CN"/>
              </w:rPr>
              <w:t>模量</w:t>
            </w:r>
            <w:r>
              <w:rPr>
                <w:b/>
                <w:bCs/>
                <w:sz w:val="18"/>
                <w:szCs w:val="18"/>
              </w:rPr>
              <w:t>Es</w:t>
            </w:r>
          </w:p>
          <w:p>
            <w:pPr>
              <w:tabs>
                <w:tab w:val="left" w:pos="2292"/>
                <w:tab w:val="clear" w:pos="480"/>
              </w:tabs>
              <w:autoSpaceDE w:val="0"/>
              <w:autoSpaceDN w:val="0"/>
              <w:adjustRightInd w:val="0"/>
              <w:snapToGrid w:val="0"/>
              <w:spacing w:line="240" w:lineRule="auto"/>
              <w:ind w:firstLine="0" w:firstLineChars="0"/>
              <w:jc w:val="center"/>
              <w:rPr>
                <w:b/>
                <w:bCs/>
                <w:sz w:val="18"/>
                <w:szCs w:val="18"/>
              </w:rPr>
            </w:pPr>
            <w:r>
              <w:rPr>
                <w:b/>
                <w:bCs/>
                <w:sz w:val="18"/>
                <w:szCs w:val="18"/>
              </w:rPr>
              <w:t>(MPa)</w:t>
            </w:r>
          </w:p>
        </w:tc>
        <w:tc>
          <w:tcPr>
            <w:tcW w:w="750" w:type="pct"/>
            <w:gridSpan w:val="2"/>
            <w:vAlign w:val="center"/>
          </w:tcPr>
          <w:p>
            <w:pPr>
              <w:tabs>
                <w:tab w:val="clear" w:pos="480"/>
              </w:tabs>
              <w:autoSpaceDE w:val="0"/>
              <w:autoSpaceDN w:val="0"/>
              <w:adjustRightInd w:val="0"/>
              <w:snapToGrid w:val="0"/>
              <w:spacing w:line="240" w:lineRule="auto"/>
              <w:ind w:firstLine="0" w:firstLineChars="0"/>
              <w:jc w:val="center"/>
              <w:rPr>
                <w:b/>
                <w:bCs/>
                <w:sz w:val="18"/>
                <w:szCs w:val="18"/>
                <w:lang w:val="zh-CN"/>
              </w:rPr>
            </w:pPr>
            <w:r>
              <w:rPr>
                <w:b/>
                <w:bCs/>
                <w:sz w:val="18"/>
                <w:szCs w:val="18"/>
                <w:lang w:val="zh-CN"/>
              </w:rPr>
              <w:t>抗剪强度（快剪）</w:t>
            </w:r>
          </w:p>
        </w:tc>
        <w:tc>
          <w:tcPr>
            <w:tcW w:w="698" w:type="pct"/>
            <w:gridSpan w:val="2"/>
            <w:vAlign w:val="center"/>
          </w:tcPr>
          <w:p>
            <w:pPr>
              <w:tabs>
                <w:tab w:val="clear" w:pos="480"/>
              </w:tabs>
              <w:autoSpaceDE w:val="0"/>
              <w:autoSpaceDN w:val="0"/>
              <w:adjustRightInd w:val="0"/>
              <w:snapToGrid w:val="0"/>
              <w:spacing w:line="240" w:lineRule="auto"/>
              <w:ind w:firstLine="0" w:firstLineChars="0"/>
              <w:jc w:val="center"/>
              <w:rPr>
                <w:b/>
                <w:bCs/>
                <w:sz w:val="18"/>
                <w:szCs w:val="18"/>
              </w:rPr>
            </w:pPr>
            <w:r>
              <w:rPr>
                <w:b/>
                <w:bCs/>
                <w:sz w:val="18"/>
                <w:szCs w:val="18"/>
                <w:lang w:val="zh-CN"/>
              </w:rPr>
              <w:t>抗剪强度（固快）</w:t>
            </w:r>
          </w:p>
        </w:tc>
        <w:tc>
          <w:tcPr>
            <w:tcW w:w="787" w:type="pct"/>
            <w:gridSpan w:val="2"/>
            <w:vAlign w:val="center"/>
          </w:tcPr>
          <w:p>
            <w:pPr>
              <w:tabs>
                <w:tab w:val="clear" w:pos="480"/>
              </w:tabs>
              <w:autoSpaceDE w:val="0"/>
              <w:autoSpaceDN w:val="0"/>
              <w:adjustRightInd w:val="0"/>
              <w:snapToGrid w:val="0"/>
              <w:spacing w:line="240" w:lineRule="auto"/>
              <w:ind w:firstLine="0" w:firstLineChars="0"/>
              <w:jc w:val="center"/>
              <w:rPr>
                <w:b/>
                <w:bCs/>
                <w:sz w:val="18"/>
                <w:szCs w:val="18"/>
              </w:rPr>
            </w:pPr>
            <w:r>
              <w:rPr>
                <w:b/>
                <w:bCs/>
                <w:snapToGrid w:val="0"/>
                <w:sz w:val="18"/>
                <w:szCs w:val="18"/>
              </w:rPr>
              <w:t>桩周极限侧阻力标准值q</w:t>
            </w:r>
            <w:r>
              <w:rPr>
                <w:b/>
                <w:bCs/>
                <w:snapToGrid w:val="0"/>
                <w:sz w:val="18"/>
                <w:szCs w:val="18"/>
                <w:vertAlign w:val="subscript"/>
              </w:rPr>
              <w:t>sik</w:t>
            </w:r>
            <w:r>
              <w:rPr>
                <w:b/>
                <w:bCs/>
                <w:snapToGrid w:val="0"/>
                <w:sz w:val="18"/>
                <w:szCs w:val="18"/>
              </w:rPr>
              <w:t>（KPa）</w:t>
            </w:r>
          </w:p>
        </w:tc>
        <w:tc>
          <w:tcPr>
            <w:tcW w:w="750" w:type="pct"/>
            <w:gridSpan w:val="2"/>
            <w:vAlign w:val="center"/>
          </w:tcPr>
          <w:p>
            <w:pPr>
              <w:widowControl/>
              <w:tabs>
                <w:tab w:val="clear" w:pos="480"/>
              </w:tabs>
              <w:snapToGrid w:val="0"/>
              <w:spacing w:line="240" w:lineRule="auto"/>
              <w:ind w:firstLine="0" w:firstLineChars="0"/>
              <w:jc w:val="center"/>
              <w:rPr>
                <w:b/>
                <w:bCs/>
                <w:snapToGrid w:val="0"/>
                <w:sz w:val="18"/>
                <w:szCs w:val="18"/>
              </w:rPr>
            </w:pPr>
            <w:r>
              <w:rPr>
                <w:b/>
                <w:bCs/>
                <w:snapToGrid w:val="0"/>
                <w:sz w:val="18"/>
                <w:szCs w:val="18"/>
              </w:rPr>
              <w:t>桩的极限端阻力标准值</w:t>
            </w:r>
          </w:p>
          <w:p>
            <w:pPr>
              <w:tabs>
                <w:tab w:val="clear" w:pos="480"/>
              </w:tabs>
              <w:autoSpaceDE w:val="0"/>
              <w:autoSpaceDN w:val="0"/>
              <w:adjustRightInd w:val="0"/>
              <w:snapToGrid w:val="0"/>
              <w:spacing w:line="240" w:lineRule="auto"/>
              <w:ind w:firstLine="0" w:firstLineChars="0"/>
              <w:jc w:val="center"/>
              <w:rPr>
                <w:b/>
                <w:bCs/>
                <w:sz w:val="18"/>
                <w:szCs w:val="18"/>
              </w:rPr>
            </w:pPr>
            <w:r>
              <w:rPr>
                <w:b/>
                <w:bCs/>
                <w:snapToGrid w:val="0"/>
                <w:sz w:val="18"/>
                <w:szCs w:val="18"/>
              </w:rPr>
              <w:t>q</w:t>
            </w:r>
            <w:r>
              <w:rPr>
                <w:b/>
                <w:bCs/>
                <w:snapToGrid w:val="0"/>
                <w:sz w:val="18"/>
                <w:szCs w:val="18"/>
                <w:vertAlign w:val="subscript"/>
              </w:rPr>
              <w:t>pk</w:t>
            </w:r>
            <w:r>
              <w:rPr>
                <w:b/>
                <w:bCs/>
                <w:snapToGrid w:val="0"/>
                <w:sz w:val="18"/>
                <w:szCs w:val="18"/>
              </w:rPr>
              <w:t>（KPa）</w:t>
            </w:r>
          </w:p>
        </w:tc>
        <w:tc>
          <w:tcPr>
            <w:tcW w:w="639" w:type="pct"/>
            <w:gridSpan w:val="2"/>
            <w:vAlign w:val="center"/>
          </w:tcPr>
          <w:p>
            <w:pPr>
              <w:tabs>
                <w:tab w:val="clear" w:pos="480"/>
              </w:tabs>
              <w:autoSpaceDE w:val="0"/>
              <w:autoSpaceDN w:val="0"/>
              <w:adjustRightInd w:val="0"/>
              <w:snapToGrid w:val="0"/>
              <w:spacing w:line="240" w:lineRule="auto"/>
              <w:ind w:firstLine="0" w:firstLineChars="0"/>
              <w:jc w:val="center"/>
              <w:rPr>
                <w:b/>
                <w:bCs/>
                <w:snapToGrid w:val="0"/>
                <w:sz w:val="18"/>
                <w:szCs w:val="18"/>
              </w:rPr>
            </w:pPr>
            <w:r>
              <w:rPr>
                <w:b/>
                <w:bCs/>
                <w:snapToGrid w:val="0"/>
                <w:sz w:val="18"/>
                <w:szCs w:val="18"/>
              </w:rPr>
              <w:t>地基土水平抗力系数的比例系数m值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1" w:hRule="atLeast"/>
          <w:jc w:val="center"/>
        </w:trPr>
        <w:tc>
          <w:tcPr>
            <w:tcW w:w="496" w:type="pct"/>
            <w:vMerge w:val="continue"/>
            <w:tcBorders>
              <w:bottom w:val="single" w:color="auto" w:sz="12" w:space="0"/>
            </w:tcBorders>
          </w:tcPr>
          <w:p>
            <w:pPr>
              <w:tabs>
                <w:tab w:val="left" w:pos="2292"/>
                <w:tab w:val="clear" w:pos="480"/>
              </w:tabs>
              <w:autoSpaceDE w:val="0"/>
              <w:autoSpaceDN w:val="0"/>
              <w:adjustRightInd w:val="0"/>
              <w:snapToGrid w:val="0"/>
              <w:spacing w:line="240" w:lineRule="auto"/>
              <w:ind w:left="-128" w:firstLine="0" w:firstLineChars="0"/>
              <w:jc w:val="left"/>
              <w:rPr>
                <w:b/>
                <w:bCs/>
                <w:sz w:val="18"/>
                <w:szCs w:val="18"/>
              </w:rPr>
            </w:pPr>
          </w:p>
        </w:tc>
        <w:tc>
          <w:tcPr>
            <w:tcW w:w="512" w:type="pct"/>
            <w:vMerge w:val="continue"/>
            <w:tcBorders>
              <w:bottom w:val="single" w:color="auto" w:sz="12" w:space="0"/>
            </w:tcBorders>
            <w:vAlign w:val="center"/>
          </w:tcPr>
          <w:p>
            <w:pPr>
              <w:tabs>
                <w:tab w:val="clear" w:pos="480"/>
              </w:tabs>
              <w:autoSpaceDE w:val="0"/>
              <w:autoSpaceDN w:val="0"/>
              <w:adjustRightInd w:val="0"/>
              <w:snapToGrid w:val="0"/>
              <w:spacing w:line="240" w:lineRule="auto"/>
              <w:ind w:firstLine="0" w:firstLineChars="0"/>
              <w:jc w:val="center"/>
              <w:rPr>
                <w:b/>
                <w:bCs/>
                <w:sz w:val="18"/>
                <w:szCs w:val="18"/>
              </w:rPr>
            </w:pPr>
          </w:p>
        </w:tc>
        <w:tc>
          <w:tcPr>
            <w:tcW w:w="364" w:type="pct"/>
            <w:vMerge w:val="continue"/>
            <w:tcBorders>
              <w:bottom w:val="single" w:color="auto" w:sz="12" w:space="0"/>
            </w:tcBorders>
            <w:vAlign w:val="center"/>
          </w:tcPr>
          <w:p>
            <w:pPr>
              <w:tabs>
                <w:tab w:val="clear" w:pos="480"/>
              </w:tabs>
              <w:autoSpaceDE w:val="0"/>
              <w:autoSpaceDN w:val="0"/>
              <w:adjustRightInd w:val="0"/>
              <w:snapToGrid w:val="0"/>
              <w:spacing w:line="240" w:lineRule="auto"/>
              <w:ind w:firstLine="0" w:firstLineChars="0"/>
              <w:jc w:val="center"/>
              <w:rPr>
                <w:b/>
                <w:bCs/>
                <w:sz w:val="18"/>
                <w:szCs w:val="18"/>
              </w:rPr>
            </w:pPr>
          </w:p>
        </w:tc>
        <w:tc>
          <w:tcPr>
            <w:tcW w:w="342" w:type="pct"/>
            <w:tcBorders>
              <w:bottom w:val="single" w:color="auto" w:sz="12" w:space="0"/>
            </w:tcBorders>
            <w:vAlign w:val="center"/>
          </w:tcPr>
          <w:p>
            <w:pPr>
              <w:tabs>
                <w:tab w:val="clear" w:pos="480"/>
              </w:tabs>
              <w:autoSpaceDE w:val="0"/>
              <w:autoSpaceDN w:val="0"/>
              <w:adjustRightInd w:val="0"/>
              <w:snapToGrid w:val="0"/>
              <w:spacing w:line="240" w:lineRule="auto"/>
              <w:ind w:left="-120" w:leftChars="-50" w:right="-185" w:rightChars="-77" w:firstLine="0" w:firstLineChars="0"/>
              <w:jc w:val="center"/>
              <w:rPr>
                <w:b/>
                <w:bCs/>
                <w:sz w:val="18"/>
                <w:szCs w:val="18"/>
                <w:lang w:val="zh-CN"/>
              </w:rPr>
            </w:pPr>
            <w:r>
              <w:rPr>
                <w:b/>
                <w:bCs/>
                <w:sz w:val="18"/>
                <w:szCs w:val="18"/>
                <w:lang w:val="zh-CN"/>
              </w:rPr>
              <w:t>凝聚力</w:t>
            </w:r>
          </w:p>
          <w:p>
            <w:pPr>
              <w:tabs>
                <w:tab w:val="clear" w:pos="480"/>
              </w:tabs>
              <w:autoSpaceDE w:val="0"/>
              <w:autoSpaceDN w:val="0"/>
              <w:adjustRightInd w:val="0"/>
              <w:snapToGrid w:val="0"/>
              <w:spacing w:line="240" w:lineRule="auto"/>
              <w:ind w:left="-120" w:leftChars="-50" w:right="-185" w:rightChars="-77" w:firstLine="0" w:firstLineChars="0"/>
              <w:jc w:val="center"/>
              <w:rPr>
                <w:b/>
                <w:bCs/>
                <w:sz w:val="18"/>
                <w:szCs w:val="18"/>
              </w:rPr>
            </w:pPr>
            <w:r>
              <w:rPr>
                <w:b/>
                <w:bCs/>
                <w:sz w:val="18"/>
                <w:szCs w:val="18"/>
              </w:rPr>
              <w:t>C</w:t>
            </w:r>
          </w:p>
          <w:p>
            <w:pPr>
              <w:tabs>
                <w:tab w:val="clear" w:pos="480"/>
              </w:tabs>
              <w:autoSpaceDE w:val="0"/>
              <w:autoSpaceDN w:val="0"/>
              <w:adjustRightInd w:val="0"/>
              <w:snapToGrid w:val="0"/>
              <w:spacing w:line="240" w:lineRule="auto"/>
              <w:ind w:left="-120" w:leftChars="-50" w:right="-185" w:rightChars="-77" w:firstLine="0" w:firstLineChars="0"/>
              <w:jc w:val="center"/>
              <w:rPr>
                <w:b/>
                <w:bCs/>
                <w:sz w:val="18"/>
                <w:szCs w:val="18"/>
                <w:lang w:val="zh-CN"/>
              </w:rPr>
            </w:pPr>
            <w:r>
              <w:rPr>
                <w:b/>
                <w:bCs/>
                <w:sz w:val="18"/>
                <w:szCs w:val="18"/>
                <w:lang w:val="zh-CN"/>
              </w:rPr>
              <w:t>（</w:t>
            </w:r>
            <w:r>
              <w:rPr>
                <w:b/>
                <w:bCs/>
                <w:sz w:val="18"/>
                <w:szCs w:val="18"/>
              </w:rPr>
              <w:t>kPa</w:t>
            </w:r>
            <w:r>
              <w:rPr>
                <w:b/>
                <w:bCs/>
                <w:sz w:val="18"/>
                <w:szCs w:val="18"/>
                <w:lang w:val="zh-CN"/>
              </w:rPr>
              <w:t>）</w:t>
            </w:r>
          </w:p>
        </w:tc>
        <w:tc>
          <w:tcPr>
            <w:tcW w:w="407" w:type="pct"/>
            <w:tcBorders>
              <w:bottom w:val="single" w:color="auto" w:sz="12" w:space="0"/>
            </w:tcBorders>
            <w:vAlign w:val="center"/>
          </w:tcPr>
          <w:p>
            <w:pPr>
              <w:tabs>
                <w:tab w:val="clear" w:pos="480"/>
              </w:tabs>
              <w:autoSpaceDE w:val="0"/>
              <w:autoSpaceDN w:val="0"/>
              <w:adjustRightInd w:val="0"/>
              <w:snapToGrid w:val="0"/>
              <w:spacing w:line="240" w:lineRule="auto"/>
              <w:ind w:firstLine="0" w:firstLineChars="0"/>
              <w:jc w:val="center"/>
              <w:rPr>
                <w:b/>
                <w:bCs/>
                <w:sz w:val="18"/>
                <w:szCs w:val="18"/>
                <w:lang w:val="zh-CN"/>
              </w:rPr>
            </w:pPr>
            <w:r>
              <w:rPr>
                <w:b/>
                <w:bCs/>
                <w:sz w:val="18"/>
                <w:szCs w:val="18"/>
                <w:lang w:val="zh-CN"/>
              </w:rPr>
              <w:t>内摩</w:t>
            </w:r>
          </w:p>
          <w:p>
            <w:pPr>
              <w:tabs>
                <w:tab w:val="clear" w:pos="480"/>
              </w:tabs>
              <w:autoSpaceDE w:val="0"/>
              <w:autoSpaceDN w:val="0"/>
              <w:adjustRightInd w:val="0"/>
              <w:snapToGrid w:val="0"/>
              <w:spacing w:line="240" w:lineRule="auto"/>
              <w:ind w:firstLine="0" w:firstLineChars="0"/>
              <w:jc w:val="center"/>
              <w:rPr>
                <w:b/>
                <w:bCs/>
                <w:sz w:val="18"/>
                <w:szCs w:val="18"/>
                <w:lang w:val="zh-CN"/>
              </w:rPr>
            </w:pPr>
            <w:r>
              <w:rPr>
                <w:b/>
                <w:bCs/>
                <w:sz w:val="18"/>
                <w:szCs w:val="18"/>
                <w:lang w:val="zh-CN"/>
              </w:rPr>
              <w:t>擦角φ（度）</w:t>
            </w:r>
          </w:p>
        </w:tc>
        <w:tc>
          <w:tcPr>
            <w:tcW w:w="291" w:type="pct"/>
            <w:tcBorders>
              <w:bottom w:val="single" w:color="auto" w:sz="12" w:space="0"/>
            </w:tcBorders>
            <w:vAlign w:val="center"/>
          </w:tcPr>
          <w:p>
            <w:pPr>
              <w:tabs>
                <w:tab w:val="clear" w:pos="480"/>
              </w:tabs>
              <w:autoSpaceDE w:val="0"/>
              <w:autoSpaceDN w:val="0"/>
              <w:adjustRightInd w:val="0"/>
              <w:snapToGrid w:val="0"/>
              <w:spacing w:line="240" w:lineRule="auto"/>
              <w:ind w:left="-120" w:leftChars="-50" w:right="-185" w:rightChars="-77" w:firstLine="0" w:firstLineChars="0"/>
              <w:jc w:val="center"/>
              <w:rPr>
                <w:b/>
                <w:bCs/>
                <w:sz w:val="18"/>
                <w:szCs w:val="18"/>
                <w:lang w:val="zh-CN"/>
              </w:rPr>
            </w:pPr>
            <w:r>
              <w:rPr>
                <w:b/>
                <w:bCs/>
                <w:sz w:val="18"/>
                <w:szCs w:val="18"/>
                <w:lang w:val="zh-CN"/>
              </w:rPr>
              <w:t>凝聚力</w:t>
            </w:r>
          </w:p>
          <w:p>
            <w:pPr>
              <w:tabs>
                <w:tab w:val="clear" w:pos="480"/>
              </w:tabs>
              <w:autoSpaceDE w:val="0"/>
              <w:autoSpaceDN w:val="0"/>
              <w:adjustRightInd w:val="0"/>
              <w:snapToGrid w:val="0"/>
              <w:spacing w:line="240" w:lineRule="auto"/>
              <w:ind w:left="-120" w:leftChars="-50" w:right="-185" w:rightChars="-77" w:firstLine="0" w:firstLineChars="0"/>
              <w:jc w:val="center"/>
              <w:rPr>
                <w:b/>
                <w:bCs/>
                <w:sz w:val="18"/>
                <w:szCs w:val="18"/>
              </w:rPr>
            </w:pPr>
            <w:r>
              <w:rPr>
                <w:b/>
                <w:bCs/>
                <w:sz w:val="18"/>
                <w:szCs w:val="18"/>
              </w:rPr>
              <w:t>C</w:t>
            </w:r>
          </w:p>
          <w:p>
            <w:pPr>
              <w:tabs>
                <w:tab w:val="clear" w:pos="480"/>
              </w:tabs>
              <w:autoSpaceDE w:val="0"/>
              <w:autoSpaceDN w:val="0"/>
              <w:adjustRightInd w:val="0"/>
              <w:snapToGrid w:val="0"/>
              <w:spacing w:line="240" w:lineRule="auto"/>
              <w:ind w:left="-120" w:leftChars="-50" w:right="-185" w:rightChars="-77" w:firstLine="0" w:firstLineChars="0"/>
              <w:jc w:val="center"/>
              <w:rPr>
                <w:b/>
                <w:bCs/>
                <w:sz w:val="18"/>
                <w:szCs w:val="18"/>
              </w:rPr>
            </w:pPr>
            <w:r>
              <w:rPr>
                <w:b/>
                <w:bCs/>
                <w:sz w:val="18"/>
                <w:szCs w:val="18"/>
                <w:lang w:val="zh-CN"/>
              </w:rPr>
              <w:t>（</w:t>
            </w:r>
            <w:r>
              <w:rPr>
                <w:b/>
                <w:bCs/>
                <w:sz w:val="18"/>
                <w:szCs w:val="18"/>
              </w:rPr>
              <w:t>kPa</w:t>
            </w:r>
            <w:r>
              <w:rPr>
                <w:b/>
                <w:bCs/>
                <w:sz w:val="18"/>
                <w:szCs w:val="18"/>
                <w:lang w:val="zh-CN"/>
              </w:rPr>
              <w:t>）</w:t>
            </w:r>
          </w:p>
        </w:tc>
        <w:tc>
          <w:tcPr>
            <w:tcW w:w="407" w:type="pct"/>
            <w:tcBorders>
              <w:bottom w:val="single" w:color="auto" w:sz="12" w:space="0"/>
            </w:tcBorders>
            <w:vAlign w:val="center"/>
          </w:tcPr>
          <w:p>
            <w:pPr>
              <w:tabs>
                <w:tab w:val="clear" w:pos="480"/>
              </w:tabs>
              <w:autoSpaceDE w:val="0"/>
              <w:autoSpaceDN w:val="0"/>
              <w:adjustRightInd w:val="0"/>
              <w:snapToGrid w:val="0"/>
              <w:spacing w:line="240" w:lineRule="auto"/>
              <w:ind w:firstLine="0" w:firstLineChars="0"/>
              <w:jc w:val="center"/>
              <w:rPr>
                <w:b/>
                <w:bCs/>
                <w:sz w:val="18"/>
                <w:szCs w:val="18"/>
                <w:lang w:val="zh-CN"/>
              </w:rPr>
            </w:pPr>
            <w:r>
              <w:rPr>
                <w:b/>
                <w:bCs/>
                <w:sz w:val="18"/>
                <w:szCs w:val="18"/>
                <w:lang w:val="zh-CN"/>
              </w:rPr>
              <w:t>内摩</w:t>
            </w:r>
          </w:p>
          <w:p>
            <w:pPr>
              <w:tabs>
                <w:tab w:val="clear" w:pos="480"/>
              </w:tabs>
              <w:autoSpaceDE w:val="0"/>
              <w:autoSpaceDN w:val="0"/>
              <w:adjustRightInd w:val="0"/>
              <w:snapToGrid w:val="0"/>
              <w:spacing w:line="240" w:lineRule="auto"/>
              <w:ind w:firstLine="0" w:firstLineChars="0"/>
              <w:jc w:val="center"/>
              <w:rPr>
                <w:b/>
                <w:bCs/>
                <w:sz w:val="18"/>
                <w:szCs w:val="18"/>
              </w:rPr>
            </w:pPr>
            <w:r>
              <w:rPr>
                <w:b/>
                <w:bCs/>
                <w:sz w:val="18"/>
                <w:szCs w:val="18"/>
                <w:lang w:val="zh-CN"/>
              </w:rPr>
              <w:t>擦角φ（度）</w:t>
            </w:r>
          </w:p>
        </w:tc>
        <w:tc>
          <w:tcPr>
            <w:tcW w:w="407" w:type="pct"/>
            <w:tcBorders>
              <w:bottom w:val="single" w:color="auto" w:sz="12" w:space="0"/>
            </w:tcBorders>
            <w:vAlign w:val="center"/>
          </w:tcPr>
          <w:p>
            <w:pPr>
              <w:tabs>
                <w:tab w:val="clear" w:pos="480"/>
              </w:tabs>
              <w:autoSpaceDE w:val="0"/>
              <w:autoSpaceDN w:val="0"/>
              <w:adjustRightInd w:val="0"/>
              <w:snapToGrid w:val="0"/>
              <w:spacing w:line="240" w:lineRule="auto"/>
              <w:ind w:firstLine="0" w:firstLineChars="0"/>
              <w:jc w:val="center"/>
              <w:rPr>
                <w:b/>
                <w:bCs/>
                <w:sz w:val="18"/>
                <w:szCs w:val="18"/>
              </w:rPr>
            </w:pPr>
            <w:r>
              <w:rPr>
                <w:b/>
                <w:bCs/>
                <w:sz w:val="18"/>
                <w:szCs w:val="18"/>
              </w:rPr>
              <w:t>泥浆护壁钻（冲）孔桩</w:t>
            </w:r>
          </w:p>
        </w:tc>
        <w:tc>
          <w:tcPr>
            <w:tcW w:w="380" w:type="pct"/>
            <w:tcBorders>
              <w:bottom w:val="single" w:color="auto" w:sz="12" w:space="0"/>
            </w:tcBorders>
            <w:vAlign w:val="center"/>
          </w:tcPr>
          <w:p>
            <w:pPr>
              <w:tabs>
                <w:tab w:val="clear" w:pos="480"/>
              </w:tabs>
              <w:autoSpaceDE w:val="0"/>
              <w:autoSpaceDN w:val="0"/>
              <w:adjustRightInd w:val="0"/>
              <w:snapToGrid w:val="0"/>
              <w:spacing w:line="240" w:lineRule="auto"/>
              <w:ind w:firstLine="0" w:firstLineChars="0"/>
              <w:jc w:val="center"/>
              <w:rPr>
                <w:b/>
                <w:bCs/>
                <w:sz w:val="18"/>
                <w:szCs w:val="18"/>
              </w:rPr>
            </w:pPr>
            <w:r>
              <w:rPr>
                <w:b/>
                <w:bCs/>
                <w:sz w:val="18"/>
                <w:szCs w:val="18"/>
              </w:rPr>
              <w:t>预制桩（钢管桩）16＜</w:t>
            </w:r>
            <w:r>
              <w:rPr>
                <w:b/>
                <w:bCs/>
                <w:i/>
                <w:iCs/>
                <w:sz w:val="18"/>
                <w:szCs w:val="18"/>
              </w:rPr>
              <w:t>l</w:t>
            </w:r>
            <w:r>
              <w:rPr>
                <w:b/>
                <w:bCs/>
                <w:sz w:val="18"/>
                <w:szCs w:val="18"/>
              </w:rPr>
              <w:t>≤30</w:t>
            </w:r>
          </w:p>
        </w:tc>
        <w:tc>
          <w:tcPr>
            <w:tcW w:w="407" w:type="pct"/>
            <w:tcBorders>
              <w:bottom w:val="single" w:color="auto" w:sz="12" w:space="0"/>
            </w:tcBorders>
            <w:vAlign w:val="center"/>
          </w:tcPr>
          <w:p>
            <w:pPr>
              <w:tabs>
                <w:tab w:val="clear" w:pos="480"/>
              </w:tabs>
              <w:autoSpaceDE w:val="0"/>
              <w:autoSpaceDN w:val="0"/>
              <w:adjustRightInd w:val="0"/>
              <w:snapToGrid w:val="0"/>
              <w:spacing w:line="240" w:lineRule="auto"/>
              <w:ind w:firstLine="0" w:firstLineChars="0"/>
              <w:jc w:val="center"/>
              <w:rPr>
                <w:b/>
                <w:bCs/>
                <w:sz w:val="18"/>
                <w:szCs w:val="18"/>
              </w:rPr>
            </w:pPr>
            <w:r>
              <w:rPr>
                <w:b/>
                <w:bCs/>
                <w:sz w:val="18"/>
                <w:szCs w:val="18"/>
              </w:rPr>
              <w:t>泥浆护壁钻（冲）孔桩</w:t>
            </w:r>
          </w:p>
        </w:tc>
        <w:tc>
          <w:tcPr>
            <w:tcW w:w="343" w:type="pct"/>
            <w:tcBorders>
              <w:bottom w:val="single" w:color="auto" w:sz="12" w:space="0"/>
            </w:tcBorders>
            <w:vAlign w:val="center"/>
          </w:tcPr>
          <w:p>
            <w:pPr>
              <w:tabs>
                <w:tab w:val="clear" w:pos="480"/>
              </w:tabs>
              <w:autoSpaceDE w:val="0"/>
              <w:autoSpaceDN w:val="0"/>
              <w:adjustRightInd w:val="0"/>
              <w:snapToGrid w:val="0"/>
              <w:spacing w:line="240" w:lineRule="auto"/>
              <w:ind w:firstLine="0" w:firstLineChars="0"/>
              <w:jc w:val="center"/>
              <w:rPr>
                <w:b/>
                <w:bCs/>
                <w:sz w:val="18"/>
                <w:szCs w:val="18"/>
              </w:rPr>
            </w:pPr>
            <w:r>
              <w:rPr>
                <w:b/>
                <w:bCs/>
                <w:sz w:val="18"/>
                <w:szCs w:val="18"/>
              </w:rPr>
              <w:t>预制桩（钢管桩）16＜</w:t>
            </w:r>
            <w:r>
              <w:rPr>
                <w:b/>
                <w:bCs/>
                <w:i/>
                <w:iCs/>
                <w:sz w:val="18"/>
                <w:szCs w:val="18"/>
              </w:rPr>
              <w:t>l</w:t>
            </w:r>
            <w:r>
              <w:rPr>
                <w:b/>
                <w:bCs/>
                <w:sz w:val="18"/>
                <w:szCs w:val="18"/>
              </w:rPr>
              <w:t>≤30</w:t>
            </w:r>
          </w:p>
        </w:tc>
        <w:tc>
          <w:tcPr>
            <w:tcW w:w="286" w:type="pct"/>
            <w:tcBorders>
              <w:bottom w:val="single" w:color="auto" w:sz="12" w:space="0"/>
            </w:tcBorders>
            <w:vAlign w:val="center"/>
          </w:tcPr>
          <w:p>
            <w:pPr>
              <w:tabs>
                <w:tab w:val="clear" w:pos="480"/>
              </w:tabs>
              <w:autoSpaceDE w:val="0"/>
              <w:autoSpaceDN w:val="0"/>
              <w:adjustRightInd w:val="0"/>
              <w:snapToGrid w:val="0"/>
              <w:spacing w:line="240" w:lineRule="auto"/>
              <w:ind w:firstLine="0" w:firstLineChars="0"/>
              <w:jc w:val="center"/>
              <w:rPr>
                <w:b/>
                <w:bCs/>
                <w:sz w:val="18"/>
                <w:szCs w:val="18"/>
              </w:rPr>
            </w:pPr>
            <w:r>
              <w:rPr>
                <w:b/>
                <w:bCs/>
                <w:sz w:val="18"/>
                <w:szCs w:val="18"/>
              </w:rPr>
              <w:t>灌注桩</w:t>
            </w:r>
          </w:p>
        </w:tc>
        <w:tc>
          <w:tcPr>
            <w:tcW w:w="352" w:type="pct"/>
            <w:tcBorders>
              <w:bottom w:val="single" w:color="auto" w:sz="12" w:space="0"/>
            </w:tcBorders>
            <w:vAlign w:val="center"/>
          </w:tcPr>
          <w:p>
            <w:pPr>
              <w:tabs>
                <w:tab w:val="clear" w:pos="480"/>
              </w:tabs>
              <w:autoSpaceDE w:val="0"/>
              <w:autoSpaceDN w:val="0"/>
              <w:adjustRightInd w:val="0"/>
              <w:snapToGrid w:val="0"/>
              <w:spacing w:line="240" w:lineRule="auto"/>
              <w:ind w:firstLine="0" w:firstLineChars="0"/>
              <w:jc w:val="center"/>
              <w:rPr>
                <w:b/>
                <w:bCs/>
                <w:sz w:val="18"/>
                <w:szCs w:val="18"/>
              </w:rPr>
            </w:pPr>
            <w:r>
              <w:rPr>
                <w:b/>
                <w:bCs/>
                <w:sz w:val="18"/>
                <w:szCs w:val="18"/>
              </w:rPr>
              <w:t>预制桩（钢管桩）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6" w:type="pct"/>
            <w:tcBorders>
              <w:top w:val="single" w:color="auto" w:sz="12" w:space="0"/>
              <w:tl2br w:val="nil"/>
              <w:tr2bl w:val="nil"/>
            </w:tcBorders>
            <w:vAlign w:val="center"/>
          </w:tcPr>
          <w:p>
            <w:pPr>
              <w:tabs>
                <w:tab w:val="clear" w:pos="480"/>
              </w:tabs>
              <w:snapToGrid w:val="0"/>
              <w:spacing w:line="240" w:lineRule="auto"/>
              <w:ind w:firstLine="0" w:firstLineChars="0"/>
              <w:rPr>
                <w:sz w:val="18"/>
                <w:szCs w:val="18"/>
              </w:rPr>
            </w:pPr>
            <w:r>
              <w:rPr>
                <w:sz w:val="18"/>
                <w:szCs w:val="18"/>
              </w:rPr>
              <w:t>素填土</w:t>
            </w:r>
            <w:r>
              <w:rPr>
                <w:rFonts w:hint="eastAsia" w:ascii="宋体" w:hAnsi="宋体" w:cs="宋体"/>
                <w:sz w:val="18"/>
                <w:szCs w:val="18"/>
              </w:rPr>
              <w:t>①</w:t>
            </w:r>
            <w:r>
              <w:rPr>
                <w:sz w:val="18"/>
                <w:szCs w:val="18"/>
              </w:rPr>
              <w:t>1</w:t>
            </w:r>
          </w:p>
        </w:tc>
        <w:tc>
          <w:tcPr>
            <w:tcW w:w="512" w:type="pct"/>
            <w:tcBorders>
              <w:top w:val="single" w:color="auto" w:sz="12" w:space="0"/>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(20-100)</w:t>
            </w:r>
          </w:p>
        </w:tc>
        <w:tc>
          <w:tcPr>
            <w:tcW w:w="364" w:type="pct"/>
            <w:tcBorders>
              <w:top w:val="single" w:color="auto" w:sz="12" w:space="0"/>
              <w:tl2br w:val="nil"/>
              <w:tr2bl w:val="nil"/>
            </w:tcBorders>
            <w:vAlign w:val="center"/>
          </w:tcPr>
          <w:p>
            <w:pPr>
              <w:tabs>
                <w:tab w:val="left" w:pos="2292"/>
                <w:tab w:val="clear" w:pos="480"/>
              </w:tabs>
              <w:autoSpaceDE w:val="0"/>
              <w:autoSpaceDN w:val="0"/>
              <w:adjustRightInd w:val="0"/>
              <w:snapToGrid w:val="0"/>
              <w:spacing w:line="240" w:lineRule="auto"/>
              <w:ind w:left="-120" w:leftChars="-50" w:firstLine="0" w:firstLineChars="0"/>
              <w:jc w:val="center"/>
              <w:rPr>
                <w:sz w:val="21"/>
                <w:szCs w:val="21"/>
              </w:rPr>
            </w:pPr>
            <w:r>
              <w:rPr>
                <w:sz w:val="21"/>
                <w:szCs w:val="21"/>
              </w:rPr>
              <w:t>(5-8)</w:t>
            </w:r>
          </w:p>
        </w:tc>
        <w:tc>
          <w:tcPr>
            <w:tcW w:w="342" w:type="pct"/>
            <w:tcBorders>
              <w:top w:val="single" w:color="auto" w:sz="12" w:space="0"/>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(2-3)</w:t>
            </w:r>
          </w:p>
        </w:tc>
        <w:tc>
          <w:tcPr>
            <w:tcW w:w="407" w:type="pct"/>
            <w:tcBorders>
              <w:top w:val="single" w:color="auto" w:sz="12" w:space="0"/>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(2-3)</w:t>
            </w:r>
          </w:p>
        </w:tc>
        <w:tc>
          <w:tcPr>
            <w:tcW w:w="291" w:type="pct"/>
            <w:tcBorders>
              <w:top w:val="single" w:color="auto" w:sz="12" w:space="0"/>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(5)</w:t>
            </w:r>
          </w:p>
        </w:tc>
        <w:tc>
          <w:tcPr>
            <w:tcW w:w="407" w:type="pct"/>
            <w:tcBorders>
              <w:top w:val="single" w:color="auto" w:sz="12" w:space="0"/>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(5)</w:t>
            </w:r>
          </w:p>
        </w:tc>
        <w:tc>
          <w:tcPr>
            <w:tcW w:w="407" w:type="pct"/>
            <w:tcBorders>
              <w:top w:val="single" w:color="auto" w:sz="12" w:space="0"/>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18-23</w:t>
            </w:r>
          </w:p>
        </w:tc>
        <w:tc>
          <w:tcPr>
            <w:tcW w:w="380" w:type="pct"/>
            <w:tcBorders>
              <w:top w:val="single" w:color="auto" w:sz="12" w:space="0"/>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20-25</w:t>
            </w:r>
          </w:p>
        </w:tc>
        <w:tc>
          <w:tcPr>
            <w:tcW w:w="407" w:type="pct"/>
            <w:tcBorders>
              <w:top w:val="single" w:color="auto" w:sz="12" w:space="0"/>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w:t>
            </w:r>
          </w:p>
        </w:tc>
        <w:tc>
          <w:tcPr>
            <w:tcW w:w="343" w:type="pct"/>
            <w:tcBorders>
              <w:top w:val="single" w:color="auto" w:sz="12" w:space="0"/>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w:t>
            </w:r>
          </w:p>
        </w:tc>
        <w:tc>
          <w:tcPr>
            <w:tcW w:w="286" w:type="pct"/>
            <w:tcBorders>
              <w:top w:val="single" w:color="auto" w:sz="12" w:space="0"/>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5-7</w:t>
            </w:r>
          </w:p>
        </w:tc>
        <w:tc>
          <w:tcPr>
            <w:tcW w:w="352" w:type="pct"/>
            <w:tcBorders>
              <w:top w:val="single" w:color="auto" w:sz="12" w:space="0"/>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4.5-6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6" w:type="pct"/>
            <w:tcBorders>
              <w:tl2br w:val="nil"/>
              <w:tr2bl w:val="nil"/>
            </w:tcBorders>
            <w:vAlign w:val="center"/>
          </w:tcPr>
          <w:p>
            <w:pPr>
              <w:tabs>
                <w:tab w:val="clear" w:pos="480"/>
              </w:tabs>
              <w:snapToGrid w:val="0"/>
              <w:spacing w:line="240" w:lineRule="auto"/>
              <w:ind w:firstLine="0" w:firstLineChars="0"/>
              <w:rPr>
                <w:sz w:val="18"/>
                <w:szCs w:val="18"/>
              </w:rPr>
            </w:pPr>
            <w:r>
              <w:rPr>
                <w:sz w:val="18"/>
                <w:szCs w:val="18"/>
              </w:rPr>
              <w:t>杂填土</w:t>
            </w:r>
            <w:r>
              <w:rPr>
                <w:rFonts w:hint="eastAsia" w:ascii="宋体" w:hAnsi="宋体" w:cs="宋体"/>
                <w:sz w:val="18"/>
                <w:szCs w:val="18"/>
              </w:rPr>
              <w:t>①</w:t>
            </w:r>
            <w:r>
              <w:rPr>
                <w:sz w:val="18"/>
                <w:szCs w:val="18"/>
              </w:rPr>
              <w:t>2</w:t>
            </w:r>
          </w:p>
        </w:tc>
        <w:tc>
          <w:tcPr>
            <w:tcW w:w="512"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(30)</w:t>
            </w:r>
          </w:p>
        </w:tc>
        <w:tc>
          <w:tcPr>
            <w:tcW w:w="364" w:type="pct"/>
            <w:tcBorders>
              <w:tl2br w:val="nil"/>
              <w:tr2bl w:val="nil"/>
            </w:tcBorders>
            <w:vAlign w:val="center"/>
          </w:tcPr>
          <w:p>
            <w:pPr>
              <w:tabs>
                <w:tab w:val="left" w:pos="2292"/>
                <w:tab w:val="clear" w:pos="480"/>
              </w:tabs>
              <w:autoSpaceDE w:val="0"/>
              <w:autoSpaceDN w:val="0"/>
              <w:adjustRightInd w:val="0"/>
              <w:snapToGrid w:val="0"/>
              <w:spacing w:line="240" w:lineRule="auto"/>
              <w:ind w:left="-120" w:leftChars="-50" w:firstLine="0" w:firstLineChars="0"/>
              <w:jc w:val="center"/>
              <w:rPr>
                <w:sz w:val="21"/>
                <w:szCs w:val="21"/>
              </w:rPr>
            </w:pPr>
            <w:r>
              <w:rPr>
                <w:sz w:val="21"/>
                <w:szCs w:val="21"/>
              </w:rPr>
              <w:t>(6)</w:t>
            </w:r>
          </w:p>
        </w:tc>
        <w:tc>
          <w:tcPr>
            <w:tcW w:w="342"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(3)</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(3)</w:t>
            </w:r>
          </w:p>
        </w:tc>
        <w:tc>
          <w:tcPr>
            <w:tcW w:w="291"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(4)</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(4)</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20</w:t>
            </w:r>
          </w:p>
        </w:tc>
        <w:tc>
          <w:tcPr>
            <w:tcW w:w="380"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22</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w:t>
            </w:r>
          </w:p>
        </w:tc>
        <w:tc>
          <w:tcPr>
            <w:tcW w:w="343"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w:t>
            </w:r>
          </w:p>
        </w:tc>
        <w:tc>
          <w:tcPr>
            <w:tcW w:w="286"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5</w:t>
            </w:r>
          </w:p>
        </w:tc>
        <w:tc>
          <w:tcPr>
            <w:tcW w:w="352"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6" w:type="pct"/>
            <w:tcBorders>
              <w:tl2br w:val="nil"/>
              <w:tr2bl w:val="nil"/>
            </w:tcBorders>
            <w:vAlign w:val="center"/>
          </w:tcPr>
          <w:p>
            <w:pPr>
              <w:tabs>
                <w:tab w:val="clear" w:pos="480"/>
              </w:tabs>
              <w:snapToGrid w:val="0"/>
              <w:spacing w:line="240" w:lineRule="auto"/>
              <w:ind w:firstLine="0" w:firstLineChars="0"/>
              <w:rPr>
                <w:sz w:val="18"/>
                <w:szCs w:val="18"/>
              </w:rPr>
            </w:pPr>
            <w:r>
              <w:rPr>
                <w:sz w:val="18"/>
                <w:szCs w:val="18"/>
              </w:rPr>
              <w:t>淤泥质粉质黏土</w:t>
            </w:r>
            <w:r>
              <w:rPr>
                <w:rFonts w:hint="eastAsia" w:ascii="宋体" w:hAnsi="宋体" w:cs="宋体"/>
                <w:sz w:val="18"/>
                <w:szCs w:val="18"/>
              </w:rPr>
              <w:t>②</w:t>
            </w:r>
            <w:r>
              <w:rPr>
                <w:sz w:val="18"/>
                <w:szCs w:val="18"/>
              </w:rPr>
              <w:t>1</w:t>
            </w:r>
          </w:p>
        </w:tc>
        <w:tc>
          <w:tcPr>
            <w:tcW w:w="512"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(30-60)</w:t>
            </w:r>
          </w:p>
        </w:tc>
        <w:tc>
          <w:tcPr>
            <w:tcW w:w="364" w:type="pct"/>
            <w:tcBorders>
              <w:tl2br w:val="nil"/>
              <w:tr2bl w:val="nil"/>
            </w:tcBorders>
            <w:vAlign w:val="center"/>
          </w:tcPr>
          <w:p>
            <w:pPr>
              <w:tabs>
                <w:tab w:val="left" w:pos="2292"/>
                <w:tab w:val="clear" w:pos="480"/>
              </w:tabs>
              <w:autoSpaceDE w:val="0"/>
              <w:autoSpaceDN w:val="0"/>
              <w:adjustRightInd w:val="0"/>
              <w:snapToGrid w:val="0"/>
              <w:spacing w:line="240" w:lineRule="auto"/>
              <w:ind w:left="-120" w:leftChars="-50" w:firstLine="0" w:firstLineChars="0"/>
              <w:jc w:val="center"/>
              <w:rPr>
                <w:sz w:val="21"/>
                <w:szCs w:val="21"/>
              </w:rPr>
            </w:pPr>
            <w:r>
              <w:rPr>
                <w:sz w:val="21"/>
                <w:szCs w:val="21"/>
              </w:rPr>
              <w:t>3.0</w:t>
            </w:r>
          </w:p>
        </w:tc>
        <w:tc>
          <w:tcPr>
            <w:tcW w:w="342"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8.3</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6.1</w:t>
            </w:r>
          </w:p>
        </w:tc>
        <w:tc>
          <w:tcPr>
            <w:tcW w:w="291"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15</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12</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38</w:t>
            </w:r>
          </w:p>
        </w:tc>
        <w:tc>
          <w:tcPr>
            <w:tcW w:w="380"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40</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w:t>
            </w:r>
          </w:p>
        </w:tc>
        <w:tc>
          <w:tcPr>
            <w:tcW w:w="343"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w:t>
            </w:r>
          </w:p>
        </w:tc>
        <w:tc>
          <w:tcPr>
            <w:tcW w:w="286"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6</w:t>
            </w:r>
          </w:p>
        </w:tc>
        <w:tc>
          <w:tcPr>
            <w:tcW w:w="352"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6" w:type="pct"/>
            <w:tcBorders>
              <w:tl2br w:val="nil"/>
              <w:tr2bl w:val="nil"/>
            </w:tcBorders>
            <w:vAlign w:val="center"/>
          </w:tcPr>
          <w:p>
            <w:pPr>
              <w:tabs>
                <w:tab w:val="clear" w:pos="480"/>
              </w:tabs>
              <w:snapToGrid w:val="0"/>
              <w:spacing w:line="240" w:lineRule="auto"/>
              <w:ind w:firstLine="0" w:firstLineChars="0"/>
              <w:rPr>
                <w:sz w:val="18"/>
                <w:szCs w:val="18"/>
              </w:rPr>
            </w:pPr>
            <w:r>
              <w:rPr>
                <w:sz w:val="18"/>
                <w:szCs w:val="18"/>
              </w:rPr>
              <w:t>粉质黏土</w:t>
            </w:r>
            <w:r>
              <w:rPr>
                <w:rFonts w:hint="eastAsia" w:ascii="宋体" w:hAnsi="宋体" w:cs="宋体"/>
                <w:sz w:val="18"/>
                <w:szCs w:val="18"/>
              </w:rPr>
              <w:t>②</w:t>
            </w:r>
            <w:r>
              <w:rPr>
                <w:sz w:val="18"/>
                <w:szCs w:val="18"/>
              </w:rPr>
              <w:t>2</w:t>
            </w:r>
          </w:p>
        </w:tc>
        <w:tc>
          <w:tcPr>
            <w:tcW w:w="512"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(120)</w:t>
            </w:r>
          </w:p>
        </w:tc>
        <w:tc>
          <w:tcPr>
            <w:tcW w:w="364" w:type="pct"/>
            <w:tcBorders>
              <w:tl2br w:val="nil"/>
              <w:tr2bl w:val="nil"/>
            </w:tcBorders>
            <w:vAlign w:val="center"/>
          </w:tcPr>
          <w:p>
            <w:pPr>
              <w:tabs>
                <w:tab w:val="left" w:pos="2292"/>
                <w:tab w:val="clear" w:pos="480"/>
              </w:tabs>
              <w:autoSpaceDE w:val="0"/>
              <w:autoSpaceDN w:val="0"/>
              <w:adjustRightInd w:val="0"/>
              <w:snapToGrid w:val="0"/>
              <w:spacing w:line="240" w:lineRule="auto"/>
              <w:ind w:left="-120" w:leftChars="-50" w:firstLine="0" w:firstLineChars="0"/>
              <w:jc w:val="center"/>
              <w:rPr>
                <w:sz w:val="21"/>
                <w:szCs w:val="21"/>
              </w:rPr>
            </w:pPr>
            <w:r>
              <w:rPr>
                <w:sz w:val="21"/>
                <w:szCs w:val="21"/>
              </w:rPr>
              <w:t>6.1</w:t>
            </w:r>
          </w:p>
        </w:tc>
        <w:tc>
          <w:tcPr>
            <w:tcW w:w="342"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25.7</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19.8</w:t>
            </w:r>
          </w:p>
        </w:tc>
        <w:tc>
          <w:tcPr>
            <w:tcW w:w="291"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32</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21</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70</w:t>
            </w:r>
          </w:p>
        </w:tc>
        <w:tc>
          <w:tcPr>
            <w:tcW w:w="380"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72</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w:t>
            </w:r>
          </w:p>
        </w:tc>
        <w:tc>
          <w:tcPr>
            <w:tcW w:w="343"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w:t>
            </w:r>
          </w:p>
        </w:tc>
        <w:tc>
          <w:tcPr>
            <w:tcW w:w="286"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5</w:t>
            </w:r>
          </w:p>
        </w:tc>
        <w:tc>
          <w:tcPr>
            <w:tcW w:w="352"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6" w:type="pct"/>
            <w:tcBorders>
              <w:tl2br w:val="nil"/>
              <w:tr2bl w:val="nil"/>
            </w:tcBorders>
            <w:vAlign w:val="center"/>
          </w:tcPr>
          <w:p>
            <w:pPr>
              <w:tabs>
                <w:tab w:val="clear" w:pos="480"/>
              </w:tabs>
              <w:snapToGrid w:val="0"/>
              <w:spacing w:line="240" w:lineRule="auto"/>
              <w:ind w:firstLine="0" w:firstLineChars="0"/>
              <w:rPr>
                <w:sz w:val="18"/>
                <w:szCs w:val="18"/>
              </w:rPr>
            </w:pPr>
            <w:r>
              <w:rPr>
                <w:sz w:val="18"/>
                <w:szCs w:val="18"/>
              </w:rPr>
              <w:t>粉砂</w:t>
            </w:r>
            <w:r>
              <w:rPr>
                <w:rFonts w:hint="eastAsia" w:ascii="宋体" w:hAnsi="宋体" w:cs="宋体"/>
                <w:sz w:val="18"/>
                <w:szCs w:val="18"/>
              </w:rPr>
              <w:t>②</w:t>
            </w:r>
            <w:r>
              <w:rPr>
                <w:sz w:val="18"/>
                <w:szCs w:val="18"/>
              </w:rPr>
              <w:t>3</w:t>
            </w:r>
          </w:p>
        </w:tc>
        <w:tc>
          <w:tcPr>
            <w:tcW w:w="512"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(80)</w:t>
            </w:r>
          </w:p>
        </w:tc>
        <w:tc>
          <w:tcPr>
            <w:tcW w:w="364" w:type="pct"/>
            <w:tcBorders>
              <w:tl2br w:val="nil"/>
              <w:tr2bl w:val="nil"/>
            </w:tcBorders>
            <w:vAlign w:val="center"/>
          </w:tcPr>
          <w:p>
            <w:pPr>
              <w:tabs>
                <w:tab w:val="left" w:pos="2292"/>
                <w:tab w:val="clear" w:pos="480"/>
              </w:tabs>
              <w:autoSpaceDE w:val="0"/>
              <w:autoSpaceDN w:val="0"/>
              <w:adjustRightInd w:val="0"/>
              <w:snapToGrid w:val="0"/>
              <w:spacing w:line="240" w:lineRule="auto"/>
              <w:ind w:left="-120" w:leftChars="-50" w:firstLine="0" w:firstLineChars="0"/>
              <w:jc w:val="center"/>
              <w:rPr>
                <w:sz w:val="21"/>
                <w:szCs w:val="21"/>
              </w:rPr>
            </w:pPr>
            <w:r>
              <w:rPr>
                <w:sz w:val="21"/>
                <w:szCs w:val="21"/>
              </w:rPr>
              <w:t>20*</w:t>
            </w:r>
          </w:p>
        </w:tc>
        <w:tc>
          <w:tcPr>
            <w:tcW w:w="342"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3</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22</w:t>
            </w:r>
          </w:p>
        </w:tc>
        <w:tc>
          <w:tcPr>
            <w:tcW w:w="291"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5</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25</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28</w:t>
            </w:r>
          </w:p>
        </w:tc>
        <w:tc>
          <w:tcPr>
            <w:tcW w:w="380"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30</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w:t>
            </w:r>
          </w:p>
        </w:tc>
        <w:tc>
          <w:tcPr>
            <w:tcW w:w="343"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2000</w:t>
            </w:r>
          </w:p>
        </w:tc>
        <w:tc>
          <w:tcPr>
            <w:tcW w:w="286"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5</w:t>
            </w:r>
          </w:p>
        </w:tc>
        <w:tc>
          <w:tcPr>
            <w:tcW w:w="352"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6" w:type="pct"/>
            <w:tcBorders>
              <w:tl2br w:val="nil"/>
              <w:tr2bl w:val="nil"/>
            </w:tcBorders>
            <w:vAlign w:val="center"/>
          </w:tcPr>
          <w:p>
            <w:pPr>
              <w:tabs>
                <w:tab w:val="clear" w:pos="480"/>
              </w:tabs>
              <w:snapToGrid w:val="0"/>
              <w:spacing w:line="240" w:lineRule="auto"/>
              <w:ind w:firstLine="0" w:firstLineChars="0"/>
              <w:jc w:val="left"/>
              <w:rPr>
                <w:sz w:val="18"/>
                <w:szCs w:val="18"/>
              </w:rPr>
            </w:pPr>
            <w:r>
              <w:rPr>
                <w:sz w:val="18"/>
                <w:szCs w:val="18"/>
              </w:rPr>
              <w:t>粉质黏土</w:t>
            </w:r>
            <w:r>
              <w:rPr>
                <w:rFonts w:hint="eastAsia" w:ascii="宋体" w:hAnsi="宋体" w:cs="宋体"/>
                <w:sz w:val="18"/>
                <w:szCs w:val="18"/>
              </w:rPr>
              <w:t>②</w:t>
            </w:r>
            <w:r>
              <w:rPr>
                <w:sz w:val="18"/>
                <w:szCs w:val="18"/>
              </w:rPr>
              <w:t>4</w:t>
            </w:r>
          </w:p>
        </w:tc>
        <w:tc>
          <w:tcPr>
            <w:tcW w:w="512"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(200)</w:t>
            </w:r>
          </w:p>
        </w:tc>
        <w:tc>
          <w:tcPr>
            <w:tcW w:w="364" w:type="pct"/>
            <w:tcBorders>
              <w:tl2br w:val="nil"/>
              <w:tr2bl w:val="nil"/>
            </w:tcBorders>
            <w:vAlign w:val="center"/>
          </w:tcPr>
          <w:p>
            <w:pPr>
              <w:tabs>
                <w:tab w:val="left" w:pos="2292"/>
                <w:tab w:val="clear" w:pos="480"/>
              </w:tabs>
              <w:autoSpaceDE w:val="0"/>
              <w:autoSpaceDN w:val="0"/>
              <w:adjustRightInd w:val="0"/>
              <w:snapToGrid w:val="0"/>
              <w:spacing w:line="240" w:lineRule="auto"/>
              <w:ind w:left="-120" w:leftChars="-50" w:firstLine="0" w:firstLineChars="0"/>
              <w:jc w:val="center"/>
              <w:rPr>
                <w:sz w:val="21"/>
                <w:szCs w:val="21"/>
              </w:rPr>
            </w:pPr>
            <w:r>
              <w:rPr>
                <w:sz w:val="21"/>
                <w:szCs w:val="21"/>
              </w:rPr>
              <w:t>7.9</w:t>
            </w:r>
          </w:p>
        </w:tc>
        <w:tc>
          <w:tcPr>
            <w:tcW w:w="342"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39.0</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20.8</w:t>
            </w:r>
          </w:p>
        </w:tc>
        <w:tc>
          <w:tcPr>
            <w:tcW w:w="291"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40</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22</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85</w:t>
            </w:r>
          </w:p>
        </w:tc>
        <w:tc>
          <w:tcPr>
            <w:tcW w:w="380"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90</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w:t>
            </w:r>
          </w:p>
        </w:tc>
        <w:tc>
          <w:tcPr>
            <w:tcW w:w="343"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w:t>
            </w:r>
          </w:p>
        </w:tc>
        <w:tc>
          <w:tcPr>
            <w:tcW w:w="286"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3</w:t>
            </w:r>
          </w:p>
        </w:tc>
        <w:tc>
          <w:tcPr>
            <w:tcW w:w="352"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6" w:type="pct"/>
            <w:tcBorders>
              <w:tl2br w:val="nil"/>
              <w:tr2bl w:val="nil"/>
            </w:tcBorders>
            <w:vAlign w:val="center"/>
          </w:tcPr>
          <w:p>
            <w:pPr>
              <w:tabs>
                <w:tab w:val="clear" w:pos="480"/>
              </w:tabs>
              <w:snapToGrid w:val="0"/>
              <w:spacing w:line="240" w:lineRule="auto"/>
              <w:ind w:firstLine="0" w:firstLineChars="0"/>
              <w:jc w:val="left"/>
              <w:rPr>
                <w:sz w:val="18"/>
                <w:szCs w:val="18"/>
              </w:rPr>
            </w:pPr>
            <w:r>
              <w:rPr>
                <w:sz w:val="18"/>
                <w:szCs w:val="18"/>
              </w:rPr>
              <w:t>卵石</w:t>
            </w:r>
            <w:r>
              <w:rPr>
                <w:rFonts w:hint="eastAsia" w:ascii="宋体" w:hAnsi="宋体" w:cs="宋体"/>
                <w:sz w:val="18"/>
                <w:szCs w:val="18"/>
              </w:rPr>
              <w:t>②</w:t>
            </w:r>
            <w:r>
              <w:rPr>
                <w:sz w:val="18"/>
                <w:szCs w:val="18"/>
              </w:rPr>
              <w:t>5</w:t>
            </w:r>
          </w:p>
        </w:tc>
        <w:tc>
          <w:tcPr>
            <w:tcW w:w="512"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(320)</w:t>
            </w:r>
          </w:p>
        </w:tc>
        <w:tc>
          <w:tcPr>
            <w:tcW w:w="364" w:type="pct"/>
            <w:tcBorders>
              <w:tl2br w:val="nil"/>
              <w:tr2bl w:val="nil"/>
            </w:tcBorders>
            <w:vAlign w:val="center"/>
          </w:tcPr>
          <w:p>
            <w:pPr>
              <w:tabs>
                <w:tab w:val="left" w:pos="2292"/>
                <w:tab w:val="clear" w:pos="480"/>
              </w:tabs>
              <w:autoSpaceDE w:val="0"/>
              <w:autoSpaceDN w:val="0"/>
              <w:adjustRightInd w:val="0"/>
              <w:snapToGrid w:val="0"/>
              <w:spacing w:line="240" w:lineRule="auto"/>
              <w:ind w:left="-120" w:leftChars="-50" w:firstLine="0" w:firstLineChars="0"/>
              <w:jc w:val="center"/>
              <w:rPr>
                <w:sz w:val="21"/>
                <w:szCs w:val="21"/>
              </w:rPr>
            </w:pPr>
            <w:r>
              <w:rPr>
                <w:sz w:val="21"/>
                <w:szCs w:val="21"/>
              </w:rPr>
              <w:t>55*</w:t>
            </w:r>
          </w:p>
        </w:tc>
        <w:tc>
          <w:tcPr>
            <w:tcW w:w="342" w:type="pct"/>
            <w:tcBorders>
              <w:tl2br w:val="nil"/>
              <w:tr2bl w:val="nil"/>
            </w:tcBorders>
            <w:vAlign w:val="center"/>
          </w:tcPr>
          <w:p>
            <w:pPr>
              <w:tabs>
                <w:tab w:val="clear" w:pos="480"/>
              </w:tabs>
              <w:snapToGrid w:val="0"/>
              <w:spacing w:line="240" w:lineRule="auto"/>
              <w:ind w:left="696" w:hanging="696" w:hangingChars="290"/>
              <w:jc w:val="center"/>
              <w:rPr>
                <w:sz w:val="21"/>
                <w:szCs w:val="21"/>
              </w:rPr>
            </w:pPr>
            <w:r>
              <w:t>0</w:t>
            </w:r>
          </w:p>
        </w:tc>
        <w:tc>
          <w:tcPr>
            <w:tcW w:w="407" w:type="pct"/>
            <w:tcBorders>
              <w:tl2br w:val="nil"/>
              <w:tr2bl w:val="nil"/>
            </w:tcBorders>
            <w:vAlign w:val="center"/>
          </w:tcPr>
          <w:p>
            <w:pPr>
              <w:tabs>
                <w:tab w:val="clear" w:pos="480"/>
              </w:tabs>
              <w:snapToGrid w:val="0"/>
              <w:spacing w:line="240" w:lineRule="auto"/>
              <w:ind w:left="696" w:hanging="696" w:hangingChars="290"/>
              <w:jc w:val="center"/>
              <w:rPr>
                <w:sz w:val="21"/>
                <w:szCs w:val="21"/>
              </w:rPr>
            </w:pPr>
            <w:r>
              <w:t>48</w:t>
            </w:r>
          </w:p>
        </w:tc>
        <w:tc>
          <w:tcPr>
            <w:tcW w:w="291"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150</w:t>
            </w:r>
          </w:p>
        </w:tc>
        <w:tc>
          <w:tcPr>
            <w:tcW w:w="380"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160</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3000</w:t>
            </w:r>
          </w:p>
        </w:tc>
        <w:tc>
          <w:tcPr>
            <w:tcW w:w="343"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3500</w:t>
            </w:r>
          </w:p>
        </w:tc>
        <w:tc>
          <w:tcPr>
            <w:tcW w:w="286"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120</w:t>
            </w:r>
          </w:p>
        </w:tc>
        <w:tc>
          <w:tcPr>
            <w:tcW w:w="352"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496" w:type="pct"/>
            <w:tcBorders>
              <w:tl2br w:val="nil"/>
              <w:tr2bl w:val="nil"/>
            </w:tcBorders>
            <w:vAlign w:val="center"/>
          </w:tcPr>
          <w:p>
            <w:pPr>
              <w:tabs>
                <w:tab w:val="clear" w:pos="480"/>
              </w:tabs>
              <w:snapToGrid w:val="0"/>
              <w:spacing w:line="240" w:lineRule="auto"/>
              <w:ind w:firstLine="0" w:firstLineChars="0"/>
              <w:rPr>
                <w:sz w:val="18"/>
                <w:szCs w:val="18"/>
              </w:rPr>
            </w:pPr>
            <w:r>
              <w:rPr>
                <w:sz w:val="18"/>
                <w:szCs w:val="18"/>
              </w:rPr>
              <w:t>强风化板岩</w:t>
            </w:r>
            <w:r>
              <w:rPr>
                <w:rFonts w:hint="eastAsia" w:ascii="宋体" w:hAnsi="宋体" w:cs="宋体"/>
                <w:sz w:val="18"/>
                <w:szCs w:val="18"/>
              </w:rPr>
              <w:t>③</w:t>
            </w:r>
            <w:r>
              <w:rPr>
                <w:sz w:val="18"/>
                <w:szCs w:val="18"/>
              </w:rPr>
              <w:t>1</w:t>
            </w:r>
          </w:p>
        </w:tc>
        <w:tc>
          <w:tcPr>
            <w:tcW w:w="512"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(320)</w:t>
            </w:r>
          </w:p>
        </w:tc>
        <w:tc>
          <w:tcPr>
            <w:tcW w:w="364" w:type="pct"/>
            <w:tcBorders>
              <w:tl2br w:val="nil"/>
              <w:tr2bl w:val="nil"/>
            </w:tcBorders>
            <w:vAlign w:val="center"/>
          </w:tcPr>
          <w:p>
            <w:pPr>
              <w:tabs>
                <w:tab w:val="left" w:pos="2292"/>
                <w:tab w:val="clear" w:pos="480"/>
              </w:tabs>
              <w:autoSpaceDE w:val="0"/>
              <w:autoSpaceDN w:val="0"/>
              <w:adjustRightInd w:val="0"/>
              <w:snapToGrid w:val="0"/>
              <w:spacing w:line="240" w:lineRule="auto"/>
              <w:ind w:left="-120" w:leftChars="-50" w:firstLine="0" w:firstLineChars="0"/>
              <w:jc w:val="center"/>
              <w:rPr>
                <w:sz w:val="21"/>
                <w:szCs w:val="21"/>
              </w:rPr>
            </w:pPr>
            <w:r>
              <w:rPr>
                <w:sz w:val="21"/>
                <w:szCs w:val="21"/>
              </w:rPr>
              <w:t>45*</w:t>
            </w:r>
          </w:p>
        </w:tc>
        <w:tc>
          <w:tcPr>
            <w:tcW w:w="342"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20</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25</w:t>
            </w:r>
          </w:p>
        </w:tc>
        <w:tc>
          <w:tcPr>
            <w:tcW w:w="291"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22</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28</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145</w:t>
            </w:r>
          </w:p>
        </w:tc>
        <w:tc>
          <w:tcPr>
            <w:tcW w:w="380"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160</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2500</w:t>
            </w:r>
          </w:p>
        </w:tc>
        <w:tc>
          <w:tcPr>
            <w:tcW w:w="343"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3500</w:t>
            </w:r>
          </w:p>
        </w:tc>
        <w:tc>
          <w:tcPr>
            <w:tcW w:w="286" w:type="pct"/>
            <w:tcBorders>
              <w:tl2br w:val="nil"/>
              <w:tr2bl w:val="nil"/>
            </w:tcBorders>
            <w:vAlign w:val="center"/>
          </w:tcPr>
          <w:p>
            <w:pPr>
              <w:tabs>
                <w:tab w:val="clear" w:pos="480"/>
              </w:tabs>
              <w:autoSpaceDE w:val="0"/>
              <w:autoSpaceDN w:val="0"/>
              <w:adjustRightInd w:val="0"/>
              <w:snapToGrid w:val="0"/>
              <w:spacing w:line="240" w:lineRule="auto"/>
              <w:ind w:firstLine="0" w:firstLineChars="0"/>
              <w:jc w:val="center"/>
              <w:rPr>
                <w:sz w:val="21"/>
                <w:szCs w:val="21"/>
              </w:rPr>
            </w:pPr>
            <w:r>
              <w:rPr>
                <w:sz w:val="21"/>
                <w:szCs w:val="21"/>
              </w:rPr>
              <w:t>/</w:t>
            </w:r>
          </w:p>
        </w:tc>
        <w:tc>
          <w:tcPr>
            <w:tcW w:w="352" w:type="pct"/>
            <w:tcBorders>
              <w:tl2br w:val="nil"/>
              <w:tr2bl w:val="nil"/>
            </w:tcBorders>
            <w:vAlign w:val="center"/>
          </w:tcPr>
          <w:p>
            <w:pPr>
              <w:tabs>
                <w:tab w:val="clear" w:pos="480"/>
              </w:tabs>
              <w:autoSpaceDE w:val="0"/>
              <w:autoSpaceDN w:val="0"/>
              <w:adjustRightInd w:val="0"/>
              <w:snapToGrid w:val="0"/>
              <w:spacing w:line="240" w:lineRule="auto"/>
              <w:ind w:firstLine="0" w:firstLineChars="0"/>
              <w:jc w:val="center"/>
              <w:rPr>
                <w:sz w:val="21"/>
                <w:szCs w:val="21"/>
              </w:rPr>
            </w:pPr>
            <w:r>
              <w:rPr>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6" w:type="pct"/>
            <w:tcBorders>
              <w:tl2br w:val="nil"/>
              <w:tr2bl w:val="nil"/>
            </w:tcBorders>
            <w:vAlign w:val="center"/>
          </w:tcPr>
          <w:p>
            <w:pPr>
              <w:tabs>
                <w:tab w:val="clear" w:pos="480"/>
              </w:tabs>
              <w:snapToGrid w:val="0"/>
              <w:spacing w:line="240" w:lineRule="auto"/>
              <w:ind w:firstLine="0" w:firstLineChars="0"/>
              <w:rPr>
                <w:sz w:val="18"/>
                <w:szCs w:val="18"/>
              </w:rPr>
            </w:pPr>
            <w:r>
              <w:rPr>
                <w:sz w:val="18"/>
                <w:szCs w:val="18"/>
              </w:rPr>
              <w:t>中风化板岩</w:t>
            </w:r>
            <w:r>
              <w:rPr>
                <w:rFonts w:hint="eastAsia" w:ascii="宋体" w:hAnsi="宋体" w:cs="宋体"/>
                <w:sz w:val="18"/>
                <w:szCs w:val="18"/>
              </w:rPr>
              <w:t>③</w:t>
            </w:r>
            <w:r>
              <w:rPr>
                <w:sz w:val="18"/>
                <w:szCs w:val="18"/>
              </w:rPr>
              <w:t>2</w:t>
            </w:r>
          </w:p>
        </w:tc>
        <w:tc>
          <w:tcPr>
            <w:tcW w:w="512"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(1200)</w:t>
            </w:r>
          </w:p>
        </w:tc>
        <w:tc>
          <w:tcPr>
            <w:tcW w:w="364" w:type="pct"/>
            <w:tcBorders>
              <w:tl2br w:val="nil"/>
              <w:tr2bl w:val="nil"/>
            </w:tcBorders>
            <w:vAlign w:val="center"/>
          </w:tcPr>
          <w:p>
            <w:pPr>
              <w:tabs>
                <w:tab w:val="left" w:pos="2292"/>
                <w:tab w:val="clear" w:pos="480"/>
              </w:tabs>
              <w:autoSpaceDE w:val="0"/>
              <w:autoSpaceDN w:val="0"/>
              <w:adjustRightInd w:val="0"/>
              <w:snapToGrid w:val="0"/>
              <w:spacing w:line="240" w:lineRule="auto"/>
              <w:ind w:left="-120" w:leftChars="-50" w:firstLine="0" w:firstLineChars="0"/>
              <w:jc w:val="center"/>
              <w:rPr>
                <w:sz w:val="21"/>
                <w:szCs w:val="21"/>
              </w:rPr>
            </w:pPr>
            <w:r>
              <w:rPr>
                <w:sz w:val="21"/>
                <w:szCs w:val="21"/>
              </w:rPr>
              <w:t>300*</w:t>
            </w:r>
          </w:p>
        </w:tc>
        <w:tc>
          <w:tcPr>
            <w:tcW w:w="342"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100</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45</w:t>
            </w:r>
          </w:p>
        </w:tc>
        <w:tc>
          <w:tcPr>
            <w:tcW w:w="291"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100</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45</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w:t>
            </w:r>
          </w:p>
        </w:tc>
        <w:tc>
          <w:tcPr>
            <w:tcW w:w="380"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w:t>
            </w:r>
          </w:p>
        </w:tc>
        <w:tc>
          <w:tcPr>
            <w:tcW w:w="407"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4000</w:t>
            </w:r>
          </w:p>
        </w:tc>
        <w:tc>
          <w:tcPr>
            <w:tcW w:w="343" w:type="pct"/>
            <w:tcBorders>
              <w:tl2br w:val="nil"/>
              <w:tr2bl w:val="nil"/>
            </w:tcBorders>
            <w:vAlign w:val="center"/>
          </w:tcPr>
          <w:p>
            <w:pPr>
              <w:tabs>
                <w:tab w:val="left" w:pos="2292"/>
                <w:tab w:val="clear" w:pos="480"/>
              </w:tabs>
              <w:autoSpaceDE w:val="0"/>
              <w:autoSpaceDN w:val="0"/>
              <w:adjustRightInd w:val="0"/>
              <w:snapToGrid w:val="0"/>
              <w:spacing w:line="240" w:lineRule="auto"/>
              <w:ind w:firstLine="0" w:firstLineChars="0"/>
              <w:jc w:val="center"/>
              <w:rPr>
                <w:sz w:val="21"/>
                <w:szCs w:val="21"/>
              </w:rPr>
            </w:pPr>
            <w:r>
              <w:rPr>
                <w:sz w:val="21"/>
                <w:szCs w:val="21"/>
              </w:rPr>
              <w:t>/</w:t>
            </w:r>
          </w:p>
        </w:tc>
        <w:tc>
          <w:tcPr>
            <w:tcW w:w="286" w:type="pct"/>
            <w:tcBorders>
              <w:tl2br w:val="nil"/>
              <w:tr2bl w:val="nil"/>
            </w:tcBorders>
            <w:vAlign w:val="center"/>
          </w:tcPr>
          <w:p>
            <w:pPr>
              <w:tabs>
                <w:tab w:val="clear" w:pos="480"/>
              </w:tabs>
              <w:autoSpaceDE w:val="0"/>
              <w:autoSpaceDN w:val="0"/>
              <w:adjustRightInd w:val="0"/>
              <w:snapToGrid w:val="0"/>
              <w:spacing w:line="240" w:lineRule="auto"/>
              <w:ind w:firstLine="0" w:firstLineChars="0"/>
              <w:jc w:val="center"/>
              <w:rPr>
                <w:sz w:val="21"/>
                <w:szCs w:val="21"/>
              </w:rPr>
            </w:pPr>
            <w:r>
              <w:rPr>
                <w:sz w:val="21"/>
                <w:szCs w:val="21"/>
              </w:rPr>
              <w:t>/</w:t>
            </w:r>
          </w:p>
        </w:tc>
        <w:tc>
          <w:tcPr>
            <w:tcW w:w="352" w:type="pct"/>
            <w:tcBorders>
              <w:tl2br w:val="nil"/>
              <w:tr2bl w:val="nil"/>
            </w:tcBorders>
            <w:vAlign w:val="center"/>
          </w:tcPr>
          <w:p>
            <w:pPr>
              <w:tabs>
                <w:tab w:val="clear" w:pos="480"/>
              </w:tabs>
              <w:autoSpaceDE w:val="0"/>
              <w:autoSpaceDN w:val="0"/>
              <w:adjustRightInd w:val="0"/>
              <w:snapToGrid w:val="0"/>
              <w:spacing w:line="240" w:lineRule="auto"/>
              <w:ind w:firstLine="0" w:firstLineChars="0"/>
              <w:jc w:val="center"/>
              <w:rPr>
                <w:sz w:val="21"/>
                <w:szCs w:val="21"/>
              </w:rPr>
            </w:pPr>
            <w:r>
              <w:rPr>
                <w:sz w:val="21"/>
                <w:szCs w:val="21"/>
              </w:rPr>
              <w:t>/</w:t>
            </w:r>
          </w:p>
        </w:tc>
      </w:tr>
    </w:tbl>
    <w:p>
      <w:pPr>
        <w:tabs>
          <w:tab w:val="clear" w:pos="480"/>
        </w:tabs>
        <w:snapToGrid w:val="0"/>
        <w:spacing w:line="240" w:lineRule="atLeast"/>
        <w:ind w:firstLine="0" w:firstLineChars="0"/>
        <w:rPr>
          <w:b/>
          <w:bCs/>
          <w:sz w:val="21"/>
          <w:szCs w:val="22"/>
        </w:rPr>
      </w:pPr>
      <w:r>
        <w:rPr>
          <w:b/>
          <w:bCs/>
          <w:sz w:val="21"/>
        </w:rPr>
        <w:t>备注：1、表内带</w:t>
      </w:r>
      <w:r>
        <w:rPr>
          <w:rFonts w:asciiTheme="minorEastAsia" w:hAnsiTheme="minorEastAsia" w:eastAsiaTheme="minorEastAsia"/>
          <w:b/>
          <w:bCs/>
          <w:sz w:val="21"/>
        </w:rPr>
        <w:t>“</w:t>
      </w:r>
      <w:r>
        <w:rPr>
          <w:b/>
          <w:bCs/>
          <w:sz w:val="21"/>
        </w:rPr>
        <w:t>*</w:t>
      </w:r>
      <w:r>
        <w:rPr>
          <w:rFonts w:asciiTheme="minorEastAsia" w:hAnsiTheme="minorEastAsia" w:eastAsiaTheme="minorEastAsia"/>
          <w:b/>
          <w:bCs/>
          <w:sz w:val="21"/>
        </w:rPr>
        <w:t>”</w:t>
      </w:r>
      <w:r>
        <w:rPr>
          <w:b/>
          <w:bCs/>
          <w:sz w:val="21"/>
        </w:rPr>
        <w:t>者为变形模量；带</w:t>
      </w:r>
      <w:r>
        <w:rPr>
          <w:rFonts w:asciiTheme="minorEastAsia" w:hAnsiTheme="minorEastAsia" w:eastAsiaTheme="minorEastAsia"/>
          <w:b/>
          <w:bCs/>
          <w:sz w:val="21"/>
        </w:rPr>
        <w:t>“</w:t>
      </w:r>
      <w:r>
        <w:rPr>
          <w:b/>
          <w:bCs/>
          <w:sz w:val="21"/>
        </w:rPr>
        <w:t>（）</w:t>
      </w:r>
      <w:r>
        <w:rPr>
          <w:rFonts w:asciiTheme="minorEastAsia" w:hAnsiTheme="minorEastAsia" w:eastAsiaTheme="minorEastAsia"/>
          <w:b/>
          <w:bCs/>
          <w:sz w:val="21"/>
        </w:rPr>
        <w:t>”</w:t>
      </w:r>
      <w:r>
        <w:rPr>
          <w:b/>
          <w:bCs/>
          <w:sz w:val="21"/>
        </w:rPr>
        <w:t>数据为经验值，仅供设计计算使用。2、</w:t>
      </w:r>
      <w:r>
        <w:rPr>
          <w:b/>
          <w:bCs/>
          <w:sz w:val="21"/>
          <w:szCs w:val="22"/>
        </w:rPr>
        <w:t>表中数值是根据表3.1～3.3中统计值并结合地区经验给出的。素填土</w:t>
      </w:r>
      <w:r>
        <w:rPr>
          <w:rFonts w:hint="eastAsia" w:ascii="宋体" w:hAnsi="宋体" w:cs="宋体"/>
          <w:b/>
          <w:bCs/>
          <w:sz w:val="21"/>
          <w:szCs w:val="21"/>
        </w:rPr>
        <w:t>①</w:t>
      </w:r>
      <w:r>
        <w:rPr>
          <w:b/>
          <w:bCs/>
          <w:sz w:val="21"/>
          <w:szCs w:val="21"/>
        </w:rPr>
        <w:t>1</w:t>
      </w:r>
      <w:r>
        <w:rPr>
          <w:b/>
          <w:bCs/>
          <w:sz w:val="21"/>
          <w:szCs w:val="22"/>
        </w:rPr>
        <w:t>经碾压夯实的取大值，未经碾压夯实的取小值。3、素填土</w:t>
      </w:r>
      <w:r>
        <w:rPr>
          <w:b/>
          <w:bCs/>
          <w:sz w:val="21"/>
          <w:szCs w:val="22"/>
        </w:rPr>
        <w:fldChar w:fldCharType="begin"/>
      </w:r>
      <w:r>
        <w:rPr>
          <w:b/>
          <w:bCs/>
          <w:sz w:val="21"/>
          <w:szCs w:val="22"/>
        </w:rPr>
        <w:instrText xml:space="preserve"> = 1 \* GB3 </w:instrText>
      </w:r>
      <w:r>
        <w:rPr>
          <w:b/>
          <w:bCs/>
          <w:sz w:val="21"/>
          <w:szCs w:val="22"/>
        </w:rPr>
        <w:fldChar w:fldCharType="separate"/>
      </w:r>
      <w:r>
        <w:rPr>
          <w:rFonts w:hint="eastAsia" w:ascii="宋体" w:hAnsi="宋体" w:cs="宋体"/>
          <w:b/>
          <w:bCs/>
          <w:sz w:val="21"/>
          <w:szCs w:val="22"/>
        </w:rPr>
        <w:t>①</w:t>
      </w:r>
      <w:r>
        <w:rPr>
          <w:b/>
          <w:bCs/>
          <w:sz w:val="21"/>
          <w:szCs w:val="22"/>
        </w:rPr>
        <w:fldChar w:fldCharType="end"/>
      </w:r>
      <w:r>
        <w:rPr>
          <w:b/>
          <w:bCs/>
          <w:sz w:val="21"/>
          <w:szCs w:val="22"/>
        </w:rPr>
        <w:t>1、杂填土</w:t>
      </w:r>
      <w:r>
        <w:rPr>
          <w:b/>
          <w:bCs/>
          <w:sz w:val="21"/>
          <w:szCs w:val="22"/>
        </w:rPr>
        <w:fldChar w:fldCharType="begin"/>
      </w:r>
      <w:r>
        <w:rPr>
          <w:b/>
          <w:bCs/>
          <w:sz w:val="21"/>
          <w:szCs w:val="22"/>
        </w:rPr>
        <w:instrText xml:space="preserve"> = 1 \* GB3 </w:instrText>
      </w:r>
      <w:r>
        <w:rPr>
          <w:b/>
          <w:bCs/>
          <w:sz w:val="21"/>
          <w:szCs w:val="22"/>
        </w:rPr>
        <w:fldChar w:fldCharType="separate"/>
      </w:r>
      <w:r>
        <w:rPr>
          <w:rFonts w:hint="eastAsia" w:ascii="宋体" w:hAnsi="宋体" w:cs="宋体"/>
          <w:b/>
          <w:bCs/>
          <w:sz w:val="21"/>
          <w:szCs w:val="22"/>
        </w:rPr>
        <w:t>①</w:t>
      </w:r>
      <w:r>
        <w:rPr>
          <w:b/>
          <w:bCs/>
          <w:sz w:val="21"/>
          <w:szCs w:val="22"/>
        </w:rPr>
        <w:fldChar w:fldCharType="end"/>
      </w:r>
      <w:r>
        <w:rPr>
          <w:b/>
          <w:bCs/>
          <w:sz w:val="21"/>
          <w:szCs w:val="22"/>
        </w:rPr>
        <w:t>2层负摩阻力系数ξn取0.15～0.20，挤土桩取大值，非挤土桩取小值。4、当采用上表数值时，建议采用静力载荷试验校核地基承载力特征值和确定场地内有关地层沉降计算经验系数。</w:t>
      </w:r>
    </w:p>
    <w:p>
      <w:pPr>
        <w:ind w:firstLine="480"/>
      </w:pPr>
      <w:r>
        <w:t>2）</w:t>
      </w:r>
      <w:r>
        <w:rPr>
          <w:bCs/>
          <w:szCs w:val="32"/>
        </w:rPr>
        <w:t>特殊性岩土基本评价</w:t>
      </w:r>
      <w:r>
        <w:t>：</w:t>
      </w:r>
    </w:p>
    <w:p>
      <w:pPr>
        <w:ind w:firstLine="480"/>
      </w:pPr>
      <w:r>
        <w:t>拟建工程场址内分布的特殊性岩土主要为素填土</w:t>
      </w:r>
      <w:r>
        <w:rPr>
          <w:rFonts w:hint="eastAsia" w:ascii="宋体" w:hAnsi="宋体" w:cs="宋体"/>
        </w:rPr>
        <w:t>①</w:t>
      </w:r>
      <w:r>
        <w:t>、杂填土</w:t>
      </w:r>
      <w:r>
        <w:rPr>
          <w:rFonts w:hint="eastAsia" w:ascii="宋体" w:hAnsi="宋体" w:cs="宋体"/>
        </w:rPr>
        <w:t>①</w:t>
      </w:r>
      <w:r>
        <w:t>2、块石</w:t>
      </w:r>
      <w:r>
        <w:rPr>
          <w:rFonts w:hint="eastAsia" w:ascii="宋体" w:hAnsi="宋体" w:cs="宋体"/>
        </w:rPr>
        <w:t>①</w:t>
      </w:r>
      <w:r>
        <w:t>3和淤泥质粉质黏土</w:t>
      </w:r>
      <w:r>
        <w:rPr>
          <w:rFonts w:hint="eastAsia" w:ascii="宋体" w:hAnsi="宋体" w:cs="宋体"/>
        </w:rPr>
        <w:t>②</w:t>
      </w:r>
      <w:r>
        <w:t>1。</w:t>
      </w:r>
    </w:p>
    <w:p>
      <w:pPr>
        <w:ind w:firstLine="480"/>
      </w:pPr>
      <w:r>
        <w:t>素填土</w:t>
      </w:r>
      <w:r>
        <w:rPr>
          <w:rFonts w:hint="eastAsia" w:ascii="宋体" w:hAnsi="宋体" w:cs="宋体"/>
        </w:rPr>
        <w:t>①</w:t>
      </w:r>
      <w:r>
        <w:t>1：松散～稍密状，主要分布在长江大堤范围内，基本完成自重固结，工程性质一般。</w:t>
      </w:r>
    </w:p>
    <w:p>
      <w:pPr>
        <w:ind w:firstLine="480"/>
      </w:pPr>
      <w:r>
        <w:t>杂填土</w:t>
      </w:r>
      <w:r>
        <w:rPr>
          <w:rFonts w:hint="eastAsia" w:ascii="宋体" w:hAnsi="宋体" w:cs="宋体"/>
        </w:rPr>
        <w:t>①</w:t>
      </w:r>
      <w:r>
        <w:t>2：松散状，主要分布在大堤外侧华新水泥（岳阳）有限公司厂房范围附近表层，未碾压夯实，未完成自重固结，工程性质较差，易清除，不宜作为基础持力层。</w:t>
      </w:r>
    </w:p>
    <w:p>
      <w:pPr>
        <w:ind w:firstLine="480"/>
      </w:pPr>
      <w:r>
        <w:t>块石</w:t>
      </w:r>
      <w:r>
        <w:rPr>
          <w:rFonts w:hint="eastAsia" w:ascii="宋体" w:hAnsi="宋体" w:cs="宋体"/>
        </w:rPr>
        <w:t>①</w:t>
      </w:r>
      <w:r>
        <w:t>3：松散状，主要分布在河岸边，码头建设时易清除。</w:t>
      </w:r>
    </w:p>
    <w:p>
      <w:pPr>
        <w:ind w:firstLine="480"/>
      </w:pPr>
      <w:r>
        <w:t>淤泥质粉质黏土</w:t>
      </w:r>
      <w:r>
        <w:rPr>
          <w:rFonts w:hint="eastAsia" w:ascii="宋体" w:hAnsi="宋体" w:cs="宋体"/>
        </w:rPr>
        <w:t>②</w:t>
      </w:r>
      <w:r>
        <w:t>1：系冲积而成，多呈软塑状，具高压缩性，工程性状差，属软弱土层，不得直接选作基础持力层，可作为摩擦桩侧阻力持力层。</w:t>
      </w:r>
    </w:p>
    <w:p>
      <w:pPr>
        <w:pStyle w:val="456"/>
        <w:ind w:firstLine="482"/>
      </w:pPr>
      <w:r>
        <w:t>水文地质</w:t>
      </w:r>
    </w:p>
    <w:p>
      <w:pPr>
        <w:ind w:firstLine="480"/>
      </w:pPr>
      <w:r>
        <w:t>地下水根据其赋存特征和埋藏条件可分为孔隙潜水和季节性承压水。</w:t>
      </w:r>
    </w:p>
    <w:p>
      <w:pPr>
        <w:ind w:firstLine="480"/>
      </w:pPr>
      <w:r>
        <w:t>孔隙潜水主要埋藏于上部的第四系粉质粘土层中，受大气降水与地表水的补给，随季节变化与地表水呈互补关系，枯水期地下水向江、渠排泄，洪水期接受江河水补给。工程区地下水排泄通畅，地下水位主要受江水制约，随江水升降而变化；一般在地表以下 0.5～2.5m，水位多受地表水塘、沟渠控制。</w:t>
      </w:r>
    </w:p>
    <w:p>
      <w:pPr>
        <w:ind w:firstLine="480"/>
      </w:pPr>
      <w:r>
        <w:t>季节性承压水埋藏于第四系粘性土层之下的砂性土层中，与江水相通，承压水头的大小随补给区江水位的变化而变化。枯水期，河水位降低，地下水向河床方向运移，并排泄于河床之中；洪水期，河水位抬高，地下水沿透水层向远离河床方向运移，补给地下水。</w:t>
      </w:r>
    </w:p>
    <w:p>
      <w:pPr>
        <w:pStyle w:val="456"/>
        <w:ind w:firstLine="482"/>
      </w:pPr>
      <w:r>
        <w:t>地震</w:t>
      </w:r>
    </w:p>
    <w:p>
      <w:pPr>
        <w:ind w:firstLine="480"/>
      </w:pPr>
      <w:r>
        <w:t>拟建场地所在行政区为湖南省岳阳市云溪区，根据《建筑抗震设计规范》（GB50011-2010）附录A和《中国地震动参数区划图》（GB18306-2015），云溪区抗震设防烈度为6度，设计基本地震加速度为0.05g，设计地震分组为第一组。按《建筑工程抗震设防分类标准》（GB50223-2008），拟建工程抗震设防类别为标准设防类（丙类），按6度进行抗震设防。</w:t>
      </w:r>
    </w:p>
    <w:p>
      <w:pPr>
        <w:ind w:firstLine="480"/>
      </w:pPr>
      <w:r>
        <w:t>拟建场地不存在发震断裂，场地属建筑抗震不利地段，场地土的类型总体属软弱场地土，覆盖层厚度不一，均大于3m小于30m，拟建场地的场地类别属Ⅱ～Ⅲ类（覆盖层厚度在3～15m之间的为Ⅱ类，厚度在15～30m之间的为Ⅲ类）。</w:t>
      </w:r>
    </w:p>
    <w:p>
      <w:pPr>
        <w:pStyle w:val="454"/>
        <w:ind w:firstLine="602"/>
        <w:rPr>
          <w:color w:val="auto"/>
        </w:rPr>
      </w:pPr>
      <w:r>
        <w:rPr>
          <w:color w:val="auto"/>
        </w:rPr>
        <w:t>气象气候</w:t>
      </w:r>
    </w:p>
    <w:p>
      <w:pPr>
        <w:ind w:firstLine="480"/>
      </w:pPr>
      <w:r>
        <w:t>本项目处属亚热带季风气候区，冬季寒冷干燥，降雨偏少；夏季炎热，春秋季雨量偏多。</w:t>
      </w:r>
    </w:p>
    <w:p>
      <w:pPr>
        <w:ind w:firstLine="480"/>
      </w:pPr>
      <w:r>
        <w:t>岳阳国家基本气象站位于北纬29°23′、东经113°05′，海拔53.0 m，始建于1952年，具有建站以来50多年气象原始资料。根据岳阳气象站1952年以来统计资料，工程处气象条件如下：</w:t>
      </w:r>
    </w:p>
    <w:p>
      <w:pPr>
        <w:ind w:firstLine="480"/>
      </w:pPr>
      <w:r>
        <w:rPr>
          <w:rFonts w:hint="eastAsia"/>
        </w:rPr>
        <w:t>（1）</w:t>
      </w:r>
      <w:r>
        <w:t>气温：多年平均气温16.4℃，1月份气温最低，7月份气温最高，温差不大。极端最高气温40.4℃（1966年8月1日），极端最低气温为-18.0℃（1969年1月31日）。</w:t>
      </w:r>
    </w:p>
    <w:p>
      <w:pPr>
        <w:ind w:firstLine="480"/>
      </w:pPr>
      <w:r>
        <w:rPr>
          <w:rFonts w:hint="eastAsia"/>
        </w:rPr>
        <w:t>（2）</w:t>
      </w:r>
      <w:r>
        <w:t>降水：本地区降水量较丰富，多年平均降水量1307mm，降水年际间变化大，年内分布不均。年降水多集中在4~7月，4~6月三个月降水一般占全年降水40%以上。平均年降雨天数为139d。</w:t>
      </w:r>
    </w:p>
    <w:p>
      <w:pPr>
        <w:ind w:firstLine="480"/>
      </w:pPr>
      <w:r>
        <w:rPr>
          <w:rFonts w:hint="eastAsia"/>
        </w:rPr>
        <w:t>（3）</w:t>
      </w:r>
      <w:r>
        <w:t>风：强风向和常风向为NE向，多年平均风速3m/s，最大风速28m/s，平均最大风速7.8m/s（1965年7月21日）。</w:t>
      </w:r>
    </w:p>
    <w:p>
      <w:pPr>
        <w:ind w:firstLine="480"/>
      </w:pPr>
      <w:r>
        <w:rPr>
          <w:rFonts w:hint="eastAsia"/>
        </w:rPr>
        <w:t>（4）</w:t>
      </w:r>
      <w:r>
        <w:t>雾：雾日多发生在冬春两季，雾的出现多在清晨和夜间。多年平均雾日16.5d（能见度小于1000m以下的雾日）。最多年雾日数为29d；最少年雾日数为7d。</w:t>
      </w:r>
    </w:p>
    <w:p>
      <w:pPr>
        <w:ind w:firstLine="480"/>
      </w:pPr>
      <w:r>
        <w:rPr>
          <w:rFonts w:hint="eastAsia"/>
        </w:rPr>
        <w:t>（5）</w:t>
      </w:r>
      <w:r>
        <w:t>相对湿度：年平均相对湿度79%。</w:t>
      </w:r>
    </w:p>
    <w:p>
      <w:pPr>
        <w:ind w:firstLine="480"/>
      </w:pPr>
      <w:r>
        <w:rPr>
          <w:rFonts w:hint="eastAsia"/>
        </w:rPr>
        <w:t>（6）</w:t>
      </w:r>
      <w:r>
        <w:t>雷暴：年平均雷暴日45d，多出现在春夏季。</w:t>
      </w:r>
    </w:p>
    <w:p>
      <w:pPr>
        <w:pStyle w:val="454"/>
        <w:ind w:firstLine="602"/>
        <w:rPr>
          <w:color w:val="auto"/>
        </w:rPr>
      </w:pPr>
      <w:bookmarkStart w:id="100" w:name="_Toc161497121"/>
      <w:bookmarkStart w:id="101" w:name="_Toc226195373"/>
      <w:bookmarkStart w:id="102" w:name="_Toc224639020"/>
      <w:r>
        <w:rPr>
          <w:color w:val="auto"/>
        </w:rPr>
        <w:t>水文</w:t>
      </w:r>
      <w:bookmarkEnd w:id="100"/>
      <w:bookmarkEnd w:id="101"/>
      <w:bookmarkEnd w:id="102"/>
      <w:r>
        <w:rPr>
          <w:color w:val="auto"/>
        </w:rPr>
        <w:t>水系</w:t>
      </w:r>
    </w:p>
    <w:p>
      <w:pPr>
        <w:pStyle w:val="456"/>
        <w:ind w:firstLine="482"/>
      </w:pPr>
      <w:r>
        <w:t>工程区水文站概况</w:t>
      </w:r>
    </w:p>
    <w:p>
      <w:pPr>
        <w:ind w:firstLine="496"/>
      </w:pPr>
      <w:r>
        <w:rPr>
          <w:spacing w:val="4"/>
        </w:rPr>
        <w:t>本工程距离上游莲花塘水文站约11.4km，距离下游螺山水文站约17.6km</w:t>
      </w:r>
      <w:r>
        <w:t>，</w:t>
      </w:r>
      <w:r>
        <w:rPr>
          <w:spacing w:val="4"/>
        </w:rPr>
        <w:t>湖口至螺山无大的支流。洞庭湖口至螺山无大的支流，其上下游站的水沙资料能基本反映工程河段的水沙特性</w:t>
      </w:r>
      <w:r>
        <w:t>。本阶段收集莲花塘和螺山站的实测水位资料，因两站均位于长江航道上，且水位资料系列较长，故以这两站为基本控制站进行水文分析。</w:t>
      </w:r>
    </w:p>
    <w:p>
      <w:pPr>
        <w:pStyle w:val="456"/>
        <w:ind w:firstLine="482"/>
      </w:pPr>
      <w:r>
        <w:t>洪水</w:t>
      </w:r>
    </w:p>
    <w:p>
      <w:pPr>
        <w:ind w:firstLine="480"/>
      </w:pPr>
      <w:r>
        <w:t>长江干流洪水期码头处的洪水水位可通过莲花塘站及螺山站两个水位控制点的设计洪水水位由水面比降推算得出。</w:t>
      </w:r>
    </w:p>
    <w:p>
      <w:pPr>
        <w:ind w:firstLine="480"/>
      </w:pPr>
      <w:r>
        <w:t>莲花塘、螺山站设计洪水计算方法为：按年最大值独立选择原则，选取水文站1998～2018年共21年水位实测数据中各年最高水位组成连续洪峰系列，再通过皮尔逊P-III型曲线拟合计算得到该站设计洪水累积频率曲线，结果如表3-3及图3-1所示。</w:t>
      </w:r>
    </w:p>
    <w:p>
      <w:pPr>
        <w:pStyle w:val="3583"/>
        <w:spacing w:line="240" w:lineRule="auto"/>
        <w:ind w:left="0"/>
      </w:pPr>
      <w:r>
        <w:t>莲花塘站设计洪水水位成果</w:t>
      </w:r>
    </w:p>
    <w:tbl>
      <w:tblPr>
        <w:tblStyle w:val="87"/>
        <w:tblW w:w="4921"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34"/>
        <w:gridCol w:w="1071"/>
        <w:gridCol w:w="1073"/>
        <w:gridCol w:w="1071"/>
        <w:gridCol w:w="1073"/>
        <w:gridCol w:w="1071"/>
        <w:gridCol w:w="1074"/>
        <w:gridCol w:w="10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894" w:type="pct"/>
            <w:vAlign w:val="center"/>
          </w:tcPr>
          <w:p>
            <w:pPr>
              <w:pStyle w:val="2691"/>
            </w:pPr>
            <w:r>
              <w:t>频率（%）</w:t>
            </w:r>
          </w:p>
        </w:tc>
        <w:tc>
          <w:tcPr>
            <w:tcW w:w="586" w:type="pct"/>
            <w:shd w:val="clear" w:color="auto" w:fill="auto"/>
            <w:noWrap/>
            <w:vAlign w:val="center"/>
          </w:tcPr>
          <w:p>
            <w:pPr>
              <w:pStyle w:val="2691"/>
            </w:pPr>
            <w:r>
              <w:t>0.5</w:t>
            </w:r>
          </w:p>
        </w:tc>
        <w:tc>
          <w:tcPr>
            <w:tcW w:w="587" w:type="pct"/>
            <w:shd w:val="clear" w:color="auto" w:fill="auto"/>
            <w:noWrap/>
            <w:vAlign w:val="center"/>
          </w:tcPr>
          <w:p>
            <w:pPr>
              <w:pStyle w:val="2691"/>
            </w:pPr>
            <w:r>
              <w:t>1</w:t>
            </w:r>
          </w:p>
        </w:tc>
        <w:tc>
          <w:tcPr>
            <w:tcW w:w="586" w:type="pct"/>
            <w:shd w:val="clear" w:color="auto" w:fill="auto"/>
            <w:noWrap/>
            <w:vAlign w:val="center"/>
          </w:tcPr>
          <w:p>
            <w:pPr>
              <w:pStyle w:val="2691"/>
            </w:pPr>
            <w:r>
              <w:t>2</w:t>
            </w:r>
          </w:p>
        </w:tc>
        <w:tc>
          <w:tcPr>
            <w:tcW w:w="587" w:type="pct"/>
            <w:shd w:val="clear" w:color="auto" w:fill="auto"/>
            <w:noWrap/>
            <w:vAlign w:val="center"/>
          </w:tcPr>
          <w:p>
            <w:pPr>
              <w:pStyle w:val="2691"/>
            </w:pPr>
            <w:r>
              <w:t>5</w:t>
            </w:r>
          </w:p>
        </w:tc>
        <w:tc>
          <w:tcPr>
            <w:tcW w:w="586" w:type="pct"/>
            <w:shd w:val="clear" w:color="auto" w:fill="auto"/>
            <w:noWrap/>
            <w:vAlign w:val="center"/>
          </w:tcPr>
          <w:p>
            <w:pPr>
              <w:pStyle w:val="2691"/>
            </w:pPr>
            <w:r>
              <w:t>10</w:t>
            </w:r>
          </w:p>
        </w:tc>
        <w:tc>
          <w:tcPr>
            <w:tcW w:w="587" w:type="pct"/>
            <w:shd w:val="clear" w:color="auto" w:fill="auto"/>
            <w:noWrap/>
            <w:vAlign w:val="center"/>
          </w:tcPr>
          <w:p>
            <w:pPr>
              <w:pStyle w:val="2691"/>
            </w:pPr>
            <w:r>
              <w:t>20</w:t>
            </w:r>
          </w:p>
        </w:tc>
        <w:tc>
          <w:tcPr>
            <w:tcW w:w="586" w:type="pct"/>
            <w:shd w:val="clear" w:color="auto" w:fill="auto"/>
            <w:noWrap/>
            <w:vAlign w:val="center"/>
          </w:tcPr>
          <w:p>
            <w:pPr>
              <w:pStyle w:val="2691"/>
            </w:pPr>
            <w: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894" w:type="pct"/>
            <w:vAlign w:val="center"/>
          </w:tcPr>
          <w:p>
            <w:pPr>
              <w:pStyle w:val="2691"/>
            </w:pPr>
            <w:r>
              <w:t>水位（m）</w:t>
            </w:r>
          </w:p>
        </w:tc>
        <w:tc>
          <w:tcPr>
            <w:tcW w:w="586" w:type="pct"/>
            <w:shd w:val="clear" w:color="auto" w:fill="auto"/>
            <w:noWrap/>
            <w:vAlign w:val="center"/>
          </w:tcPr>
          <w:p>
            <w:pPr>
              <w:pStyle w:val="2691"/>
            </w:pPr>
            <w:r>
              <w:t xml:space="preserve">35.62 </w:t>
            </w:r>
          </w:p>
        </w:tc>
        <w:tc>
          <w:tcPr>
            <w:tcW w:w="587" w:type="pct"/>
            <w:shd w:val="clear" w:color="auto" w:fill="auto"/>
            <w:noWrap/>
            <w:vAlign w:val="center"/>
          </w:tcPr>
          <w:p>
            <w:pPr>
              <w:pStyle w:val="2691"/>
            </w:pPr>
            <w:r>
              <w:t xml:space="preserve">34.93 </w:t>
            </w:r>
          </w:p>
        </w:tc>
        <w:tc>
          <w:tcPr>
            <w:tcW w:w="586" w:type="pct"/>
            <w:shd w:val="clear" w:color="auto" w:fill="auto"/>
            <w:noWrap/>
            <w:vAlign w:val="center"/>
          </w:tcPr>
          <w:p>
            <w:pPr>
              <w:pStyle w:val="2691"/>
            </w:pPr>
            <w:r>
              <w:t xml:space="preserve">34.21 </w:t>
            </w:r>
          </w:p>
        </w:tc>
        <w:tc>
          <w:tcPr>
            <w:tcW w:w="587" w:type="pct"/>
            <w:shd w:val="clear" w:color="auto" w:fill="auto"/>
            <w:noWrap/>
            <w:vAlign w:val="center"/>
          </w:tcPr>
          <w:p>
            <w:pPr>
              <w:pStyle w:val="2691"/>
            </w:pPr>
            <w:r>
              <w:t xml:space="preserve">33.18 </w:t>
            </w:r>
          </w:p>
        </w:tc>
        <w:tc>
          <w:tcPr>
            <w:tcW w:w="586" w:type="pct"/>
            <w:shd w:val="clear" w:color="auto" w:fill="auto"/>
            <w:noWrap/>
            <w:vAlign w:val="center"/>
          </w:tcPr>
          <w:p>
            <w:pPr>
              <w:pStyle w:val="2691"/>
            </w:pPr>
            <w:r>
              <w:t xml:space="preserve">32.30 </w:t>
            </w:r>
          </w:p>
        </w:tc>
        <w:tc>
          <w:tcPr>
            <w:tcW w:w="587" w:type="pct"/>
            <w:shd w:val="clear" w:color="auto" w:fill="auto"/>
            <w:noWrap/>
            <w:vAlign w:val="center"/>
          </w:tcPr>
          <w:p>
            <w:pPr>
              <w:pStyle w:val="2691"/>
            </w:pPr>
            <w:r>
              <w:t xml:space="preserve">31.30 </w:t>
            </w:r>
          </w:p>
        </w:tc>
        <w:tc>
          <w:tcPr>
            <w:tcW w:w="586" w:type="pct"/>
            <w:shd w:val="clear" w:color="auto" w:fill="auto"/>
            <w:noWrap/>
            <w:vAlign w:val="center"/>
          </w:tcPr>
          <w:p>
            <w:pPr>
              <w:pStyle w:val="2691"/>
            </w:pPr>
            <w:r>
              <w:t xml:space="preserve">29.55 </w:t>
            </w:r>
          </w:p>
        </w:tc>
      </w:tr>
    </w:tbl>
    <w:p>
      <w:pPr>
        <w:adjustRightInd w:val="0"/>
        <w:snapToGrid w:val="0"/>
        <w:ind w:firstLine="482"/>
        <w:jc w:val="center"/>
      </w:pPr>
      <w:r>
        <w:rPr>
          <w:b/>
          <w:snapToGrid w:val="0"/>
          <w:spacing w:val="5"/>
          <w:kern w:val="0"/>
          <w:szCs w:val="28"/>
        </w:rPr>
        <w:drawing>
          <wp:inline distT="0" distB="0" distL="0" distR="0">
            <wp:extent cx="3882390" cy="2684145"/>
            <wp:effectExtent l="0" t="0" r="3810" b="1905"/>
            <wp:docPr id="11" name="图片 11" descr="莲花塘（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莲花塘（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3896621" cy="2694129"/>
                    </a:xfrm>
                    <a:prstGeom prst="rect">
                      <a:avLst/>
                    </a:prstGeom>
                    <a:noFill/>
                    <a:ln>
                      <a:noFill/>
                    </a:ln>
                  </pic:spPr>
                </pic:pic>
              </a:graphicData>
            </a:graphic>
          </wp:inline>
        </w:drawing>
      </w:r>
    </w:p>
    <w:p>
      <w:pPr>
        <w:adjustRightInd w:val="0"/>
        <w:snapToGrid w:val="0"/>
        <w:ind w:firstLine="422"/>
        <w:jc w:val="center"/>
        <w:rPr>
          <w:b/>
          <w:sz w:val="21"/>
          <w:szCs w:val="21"/>
        </w:rPr>
      </w:pPr>
      <w:r>
        <w:rPr>
          <w:b/>
          <w:sz w:val="21"/>
          <w:szCs w:val="21"/>
        </w:rPr>
        <w:t>图3-1莲花塘站设计洪水累积频率曲线</w:t>
      </w:r>
    </w:p>
    <w:p>
      <w:pPr>
        <w:pStyle w:val="3583"/>
        <w:spacing w:line="240" w:lineRule="auto"/>
        <w:ind w:left="0"/>
      </w:pPr>
      <w:r>
        <w:t>螺山站设计洪水水位成果</w:t>
      </w:r>
    </w:p>
    <w:tbl>
      <w:tblPr>
        <w:tblStyle w:val="87"/>
        <w:tblW w:w="476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35"/>
        <w:gridCol w:w="1073"/>
        <w:gridCol w:w="1075"/>
        <w:gridCol w:w="1071"/>
        <w:gridCol w:w="1073"/>
        <w:gridCol w:w="1071"/>
        <w:gridCol w:w="1073"/>
        <w:gridCol w:w="106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5" w:type="pct"/>
            <w:vAlign w:val="center"/>
          </w:tcPr>
          <w:p>
            <w:pPr>
              <w:pStyle w:val="2691"/>
            </w:pPr>
            <w:r>
              <w:t>频率（%）</w:t>
            </w:r>
          </w:p>
        </w:tc>
        <w:tc>
          <w:tcPr>
            <w:tcW w:w="607" w:type="pct"/>
            <w:tcBorders>
              <w:bottom w:val="single" w:color="auto" w:sz="6" w:space="0"/>
            </w:tcBorders>
            <w:shd w:val="clear" w:color="auto" w:fill="auto"/>
            <w:noWrap/>
            <w:vAlign w:val="center"/>
          </w:tcPr>
          <w:p>
            <w:pPr>
              <w:pStyle w:val="2691"/>
            </w:pPr>
            <w:r>
              <w:t>0.5</w:t>
            </w:r>
          </w:p>
        </w:tc>
        <w:tc>
          <w:tcPr>
            <w:tcW w:w="608" w:type="pct"/>
            <w:tcBorders>
              <w:bottom w:val="single" w:color="auto" w:sz="6" w:space="0"/>
            </w:tcBorders>
            <w:shd w:val="clear" w:color="auto" w:fill="auto"/>
            <w:noWrap/>
            <w:vAlign w:val="center"/>
          </w:tcPr>
          <w:p>
            <w:pPr>
              <w:pStyle w:val="2691"/>
            </w:pPr>
            <w:r>
              <w:t>1</w:t>
            </w:r>
          </w:p>
        </w:tc>
        <w:tc>
          <w:tcPr>
            <w:tcW w:w="606" w:type="pct"/>
            <w:tcBorders>
              <w:bottom w:val="single" w:color="auto" w:sz="6" w:space="0"/>
            </w:tcBorders>
            <w:shd w:val="clear" w:color="auto" w:fill="auto"/>
            <w:noWrap/>
            <w:vAlign w:val="center"/>
          </w:tcPr>
          <w:p>
            <w:pPr>
              <w:pStyle w:val="2691"/>
            </w:pPr>
            <w:r>
              <w:t>2</w:t>
            </w:r>
          </w:p>
        </w:tc>
        <w:tc>
          <w:tcPr>
            <w:tcW w:w="607" w:type="pct"/>
            <w:tcBorders>
              <w:bottom w:val="single" w:color="auto" w:sz="6" w:space="0"/>
            </w:tcBorders>
            <w:shd w:val="clear" w:color="auto" w:fill="auto"/>
            <w:noWrap/>
            <w:vAlign w:val="center"/>
          </w:tcPr>
          <w:p>
            <w:pPr>
              <w:pStyle w:val="2691"/>
            </w:pPr>
            <w:r>
              <w:t>5</w:t>
            </w:r>
          </w:p>
        </w:tc>
        <w:tc>
          <w:tcPr>
            <w:tcW w:w="606" w:type="pct"/>
            <w:tcBorders>
              <w:bottom w:val="single" w:color="auto" w:sz="6" w:space="0"/>
            </w:tcBorders>
            <w:shd w:val="clear" w:color="auto" w:fill="auto"/>
            <w:noWrap/>
            <w:vAlign w:val="center"/>
          </w:tcPr>
          <w:p>
            <w:pPr>
              <w:pStyle w:val="2691"/>
            </w:pPr>
            <w:r>
              <w:t>10</w:t>
            </w:r>
          </w:p>
        </w:tc>
        <w:tc>
          <w:tcPr>
            <w:tcW w:w="607" w:type="pct"/>
            <w:tcBorders>
              <w:bottom w:val="single" w:color="auto" w:sz="6" w:space="0"/>
            </w:tcBorders>
            <w:shd w:val="clear" w:color="auto" w:fill="auto"/>
            <w:noWrap/>
            <w:vAlign w:val="center"/>
          </w:tcPr>
          <w:p>
            <w:pPr>
              <w:pStyle w:val="2691"/>
            </w:pPr>
            <w:r>
              <w:t>20</w:t>
            </w:r>
          </w:p>
        </w:tc>
        <w:tc>
          <w:tcPr>
            <w:tcW w:w="606" w:type="pct"/>
            <w:tcBorders>
              <w:bottom w:val="single" w:color="auto" w:sz="6" w:space="0"/>
            </w:tcBorders>
            <w:shd w:val="clear" w:color="auto" w:fill="auto"/>
            <w:noWrap/>
            <w:vAlign w:val="center"/>
          </w:tcPr>
          <w:p>
            <w:pPr>
              <w:pStyle w:val="2691"/>
            </w:pPr>
            <w: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55" w:type="pct"/>
            <w:tcBorders>
              <w:right w:val="single" w:color="auto" w:sz="6" w:space="0"/>
            </w:tcBorders>
            <w:vAlign w:val="center"/>
          </w:tcPr>
          <w:p>
            <w:pPr>
              <w:pStyle w:val="2691"/>
            </w:pPr>
            <w:r>
              <w:t>水位（m）</w:t>
            </w:r>
          </w:p>
        </w:tc>
        <w:tc>
          <w:tcPr>
            <w:tcW w:w="607" w:type="pct"/>
            <w:tcBorders>
              <w:top w:val="single" w:color="auto" w:sz="6" w:space="0"/>
              <w:left w:val="single" w:color="auto" w:sz="6" w:space="0"/>
              <w:bottom w:val="single" w:color="auto" w:sz="12" w:space="0"/>
              <w:right w:val="single" w:color="auto" w:sz="6" w:space="0"/>
            </w:tcBorders>
            <w:shd w:val="clear" w:color="auto" w:fill="auto"/>
            <w:noWrap/>
            <w:vAlign w:val="center"/>
          </w:tcPr>
          <w:p>
            <w:pPr>
              <w:pStyle w:val="2691"/>
            </w:pPr>
            <w:r>
              <w:t xml:space="preserve">34.23 </w:t>
            </w:r>
          </w:p>
        </w:tc>
        <w:tc>
          <w:tcPr>
            <w:tcW w:w="608" w:type="pct"/>
            <w:tcBorders>
              <w:top w:val="single" w:color="auto" w:sz="6" w:space="0"/>
              <w:left w:val="single" w:color="auto" w:sz="6" w:space="0"/>
              <w:bottom w:val="single" w:color="auto" w:sz="12" w:space="0"/>
              <w:right w:val="single" w:color="auto" w:sz="6" w:space="0"/>
            </w:tcBorders>
            <w:shd w:val="clear" w:color="auto" w:fill="auto"/>
            <w:noWrap/>
            <w:vAlign w:val="center"/>
          </w:tcPr>
          <w:p>
            <w:pPr>
              <w:pStyle w:val="2691"/>
            </w:pPr>
            <w:r>
              <w:t xml:space="preserve">33.69 </w:t>
            </w:r>
          </w:p>
        </w:tc>
        <w:tc>
          <w:tcPr>
            <w:tcW w:w="606" w:type="pct"/>
            <w:tcBorders>
              <w:top w:val="single" w:color="auto" w:sz="6" w:space="0"/>
              <w:left w:val="single" w:color="auto" w:sz="6" w:space="0"/>
              <w:bottom w:val="single" w:color="auto" w:sz="12" w:space="0"/>
              <w:right w:val="single" w:color="auto" w:sz="6" w:space="0"/>
            </w:tcBorders>
            <w:shd w:val="clear" w:color="auto" w:fill="auto"/>
            <w:noWrap/>
            <w:vAlign w:val="center"/>
          </w:tcPr>
          <w:p>
            <w:pPr>
              <w:pStyle w:val="2691"/>
            </w:pPr>
            <w:r>
              <w:t xml:space="preserve">33.12 </w:t>
            </w:r>
          </w:p>
        </w:tc>
        <w:tc>
          <w:tcPr>
            <w:tcW w:w="607" w:type="pct"/>
            <w:tcBorders>
              <w:top w:val="single" w:color="auto" w:sz="6" w:space="0"/>
              <w:left w:val="single" w:color="auto" w:sz="6" w:space="0"/>
              <w:bottom w:val="single" w:color="auto" w:sz="12" w:space="0"/>
              <w:right w:val="single" w:color="auto" w:sz="6" w:space="0"/>
            </w:tcBorders>
            <w:shd w:val="clear" w:color="auto" w:fill="auto"/>
            <w:noWrap/>
            <w:vAlign w:val="center"/>
          </w:tcPr>
          <w:p>
            <w:pPr>
              <w:pStyle w:val="2691"/>
            </w:pPr>
            <w:r>
              <w:t xml:space="preserve">32.28 </w:t>
            </w:r>
          </w:p>
        </w:tc>
        <w:tc>
          <w:tcPr>
            <w:tcW w:w="606" w:type="pct"/>
            <w:tcBorders>
              <w:top w:val="single" w:color="auto" w:sz="6" w:space="0"/>
              <w:left w:val="single" w:color="auto" w:sz="6" w:space="0"/>
              <w:bottom w:val="single" w:color="auto" w:sz="12" w:space="0"/>
              <w:right w:val="single" w:color="auto" w:sz="6" w:space="0"/>
            </w:tcBorders>
            <w:shd w:val="clear" w:color="auto" w:fill="auto"/>
            <w:noWrap/>
            <w:vAlign w:val="center"/>
          </w:tcPr>
          <w:p>
            <w:pPr>
              <w:pStyle w:val="2691"/>
            </w:pPr>
            <w:r>
              <w:t xml:space="preserve">31.54 </w:t>
            </w:r>
          </w:p>
        </w:tc>
        <w:tc>
          <w:tcPr>
            <w:tcW w:w="607" w:type="pct"/>
            <w:tcBorders>
              <w:top w:val="single" w:color="auto" w:sz="6" w:space="0"/>
              <w:left w:val="single" w:color="auto" w:sz="6" w:space="0"/>
              <w:bottom w:val="single" w:color="auto" w:sz="12" w:space="0"/>
              <w:right w:val="single" w:color="auto" w:sz="6" w:space="0"/>
            </w:tcBorders>
            <w:shd w:val="clear" w:color="auto" w:fill="auto"/>
            <w:noWrap/>
            <w:vAlign w:val="center"/>
          </w:tcPr>
          <w:p>
            <w:pPr>
              <w:pStyle w:val="2691"/>
            </w:pPr>
            <w:r>
              <w:t xml:space="preserve">30.68 </w:t>
            </w:r>
          </w:p>
        </w:tc>
        <w:tc>
          <w:tcPr>
            <w:tcW w:w="606" w:type="pct"/>
            <w:tcBorders>
              <w:top w:val="single" w:color="auto" w:sz="6" w:space="0"/>
              <w:left w:val="single" w:color="auto" w:sz="6" w:space="0"/>
              <w:bottom w:val="single" w:color="auto" w:sz="12" w:space="0"/>
              <w:right w:val="single" w:color="auto" w:sz="12" w:space="0"/>
            </w:tcBorders>
            <w:shd w:val="clear" w:color="auto" w:fill="auto"/>
            <w:noWrap/>
            <w:vAlign w:val="center"/>
          </w:tcPr>
          <w:p>
            <w:pPr>
              <w:pStyle w:val="2691"/>
            </w:pPr>
            <w:r>
              <w:t xml:space="preserve">29.08 </w:t>
            </w:r>
          </w:p>
        </w:tc>
      </w:tr>
    </w:tbl>
    <w:p>
      <w:pPr>
        <w:pStyle w:val="3583"/>
        <w:numPr>
          <w:ilvl w:val="0"/>
          <w:numId w:val="0"/>
        </w:numPr>
        <w:ind w:left="422"/>
      </w:pPr>
      <w:r>
        <w:rPr>
          <w:b w:val="0"/>
          <w:snapToGrid w:val="0"/>
          <w:spacing w:val="5"/>
          <w:kern w:val="0"/>
          <w:sz w:val="24"/>
          <w:szCs w:val="28"/>
        </w:rPr>
        <w:drawing>
          <wp:inline distT="0" distB="0" distL="0" distR="0">
            <wp:extent cx="4278630" cy="2988945"/>
            <wp:effectExtent l="0" t="0" r="0" b="0"/>
            <wp:docPr id="12" name="图片 12" descr="螺山站（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螺山站（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4278630" cy="2988945"/>
                    </a:xfrm>
                    <a:prstGeom prst="rect">
                      <a:avLst/>
                    </a:prstGeom>
                    <a:noFill/>
                    <a:ln>
                      <a:noFill/>
                    </a:ln>
                  </pic:spPr>
                </pic:pic>
              </a:graphicData>
            </a:graphic>
          </wp:inline>
        </w:drawing>
      </w:r>
    </w:p>
    <w:p>
      <w:pPr>
        <w:pStyle w:val="3583"/>
        <w:numPr>
          <w:ilvl w:val="0"/>
          <w:numId w:val="0"/>
        </w:numPr>
        <w:ind w:left="422"/>
      </w:pPr>
      <w:r>
        <w:t>图3-2 螺山站设计洪水累积频率曲线</w:t>
      </w:r>
    </w:p>
    <w:p>
      <w:pPr>
        <w:ind w:firstLine="480"/>
      </w:pPr>
      <w:r>
        <w:t>按照上述方法计算得到本码头处设计洪水水位成果见表3-5所示。</w:t>
      </w:r>
    </w:p>
    <w:p>
      <w:pPr>
        <w:pStyle w:val="3583"/>
        <w:spacing w:line="240" w:lineRule="auto"/>
        <w:ind w:left="0"/>
      </w:pPr>
      <w:r>
        <w:t xml:space="preserve">本码头位置洪水水位频率曲线（m） </w:t>
      </w:r>
    </w:p>
    <w:tbl>
      <w:tblPr>
        <w:tblStyle w:val="87"/>
        <w:tblW w:w="487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03"/>
        <w:gridCol w:w="1094"/>
        <w:gridCol w:w="1094"/>
        <w:gridCol w:w="1094"/>
        <w:gridCol w:w="1094"/>
        <w:gridCol w:w="1094"/>
        <w:gridCol w:w="1094"/>
        <w:gridCol w:w="108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75" w:type="pct"/>
            <w:vAlign w:val="center"/>
          </w:tcPr>
          <w:p>
            <w:pPr>
              <w:pStyle w:val="2691"/>
            </w:pPr>
            <w:r>
              <w:t>频率（%）</w:t>
            </w:r>
          </w:p>
        </w:tc>
        <w:tc>
          <w:tcPr>
            <w:tcW w:w="604" w:type="pct"/>
            <w:tcBorders>
              <w:top w:val="single" w:color="auto" w:sz="12" w:space="0"/>
              <w:bottom w:val="single" w:color="auto" w:sz="4" w:space="0"/>
            </w:tcBorders>
            <w:shd w:val="clear" w:color="auto" w:fill="auto"/>
            <w:noWrap/>
            <w:vAlign w:val="center"/>
          </w:tcPr>
          <w:p>
            <w:pPr>
              <w:pStyle w:val="2691"/>
            </w:pPr>
            <w:r>
              <w:t>0.5</w:t>
            </w:r>
          </w:p>
        </w:tc>
        <w:tc>
          <w:tcPr>
            <w:tcW w:w="604" w:type="pct"/>
            <w:tcBorders>
              <w:top w:val="single" w:color="auto" w:sz="12" w:space="0"/>
              <w:bottom w:val="single" w:color="auto" w:sz="4" w:space="0"/>
            </w:tcBorders>
            <w:shd w:val="clear" w:color="auto" w:fill="auto"/>
            <w:noWrap/>
            <w:vAlign w:val="center"/>
          </w:tcPr>
          <w:p>
            <w:pPr>
              <w:pStyle w:val="2691"/>
            </w:pPr>
            <w:r>
              <w:t>1</w:t>
            </w:r>
          </w:p>
        </w:tc>
        <w:tc>
          <w:tcPr>
            <w:tcW w:w="604" w:type="pct"/>
            <w:tcBorders>
              <w:top w:val="single" w:color="auto" w:sz="12" w:space="0"/>
              <w:bottom w:val="single" w:color="auto" w:sz="4" w:space="0"/>
            </w:tcBorders>
            <w:shd w:val="clear" w:color="auto" w:fill="auto"/>
            <w:noWrap/>
            <w:vAlign w:val="center"/>
          </w:tcPr>
          <w:p>
            <w:pPr>
              <w:pStyle w:val="2691"/>
            </w:pPr>
            <w:r>
              <w:t>2</w:t>
            </w:r>
          </w:p>
        </w:tc>
        <w:tc>
          <w:tcPr>
            <w:tcW w:w="604" w:type="pct"/>
            <w:tcBorders>
              <w:top w:val="single" w:color="auto" w:sz="12" w:space="0"/>
              <w:bottom w:val="single" w:color="auto" w:sz="4" w:space="0"/>
            </w:tcBorders>
            <w:shd w:val="clear" w:color="auto" w:fill="auto"/>
            <w:noWrap/>
            <w:vAlign w:val="center"/>
          </w:tcPr>
          <w:p>
            <w:pPr>
              <w:pStyle w:val="2691"/>
            </w:pPr>
            <w:r>
              <w:t>5</w:t>
            </w:r>
          </w:p>
        </w:tc>
        <w:tc>
          <w:tcPr>
            <w:tcW w:w="604" w:type="pct"/>
            <w:tcBorders>
              <w:top w:val="single" w:color="auto" w:sz="12" w:space="0"/>
              <w:bottom w:val="single" w:color="auto" w:sz="4" w:space="0"/>
            </w:tcBorders>
            <w:shd w:val="clear" w:color="auto" w:fill="auto"/>
            <w:noWrap/>
            <w:vAlign w:val="center"/>
          </w:tcPr>
          <w:p>
            <w:pPr>
              <w:pStyle w:val="2691"/>
            </w:pPr>
            <w:r>
              <w:t>10</w:t>
            </w:r>
          </w:p>
        </w:tc>
        <w:tc>
          <w:tcPr>
            <w:tcW w:w="604" w:type="pct"/>
            <w:tcBorders>
              <w:top w:val="single" w:color="auto" w:sz="12" w:space="0"/>
              <w:bottom w:val="single" w:color="auto" w:sz="4" w:space="0"/>
            </w:tcBorders>
            <w:shd w:val="clear" w:color="auto" w:fill="auto"/>
            <w:noWrap/>
            <w:vAlign w:val="center"/>
          </w:tcPr>
          <w:p>
            <w:pPr>
              <w:pStyle w:val="2691"/>
            </w:pPr>
            <w:r>
              <w:t>20</w:t>
            </w:r>
          </w:p>
        </w:tc>
        <w:tc>
          <w:tcPr>
            <w:tcW w:w="601" w:type="pct"/>
            <w:tcBorders>
              <w:top w:val="single" w:color="auto" w:sz="12" w:space="0"/>
              <w:bottom w:val="single" w:color="auto" w:sz="4" w:space="0"/>
            </w:tcBorders>
            <w:shd w:val="clear" w:color="auto" w:fill="auto"/>
            <w:noWrap/>
            <w:vAlign w:val="center"/>
          </w:tcPr>
          <w:p>
            <w:pPr>
              <w:pStyle w:val="2691"/>
            </w:pPr>
            <w: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75" w:type="pct"/>
            <w:vAlign w:val="center"/>
          </w:tcPr>
          <w:p>
            <w:pPr>
              <w:pStyle w:val="2691"/>
            </w:pPr>
            <w:r>
              <w:t>水位（m）</w:t>
            </w:r>
          </w:p>
        </w:tc>
        <w:tc>
          <w:tcPr>
            <w:tcW w:w="604" w:type="pct"/>
            <w:tcBorders>
              <w:top w:val="single" w:color="auto" w:sz="4" w:space="0"/>
              <w:left w:val="single" w:color="auto" w:sz="4" w:space="0"/>
              <w:bottom w:val="single" w:color="auto" w:sz="12" w:space="0"/>
              <w:right w:val="single" w:color="auto" w:sz="4" w:space="0"/>
            </w:tcBorders>
            <w:shd w:val="clear" w:color="auto" w:fill="auto"/>
            <w:noWrap/>
            <w:vAlign w:val="center"/>
          </w:tcPr>
          <w:p>
            <w:pPr>
              <w:pStyle w:val="2691"/>
            </w:pPr>
            <w:r>
              <w:t>34.93</w:t>
            </w:r>
          </w:p>
        </w:tc>
        <w:tc>
          <w:tcPr>
            <w:tcW w:w="604" w:type="pct"/>
            <w:tcBorders>
              <w:top w:val="single" w:color="auto" w:sz="4" w:space="0"/>
              <w:left w:val="nil"/>
              <w:bottom w:val="single" w:color="auto" w:sz="12" w:space="0"/>
              <w:right w:val="single" w:color="auto" w:sz="4" w:space="0"/>
            </w:tcBorders>
            <w:shd w:val="clear" w:color="auto" w:fill="auto"/>
            <w:noWrap/>
            <w:vAlign w:val="center"/>
          </w:tcPr>
          <w:p>
            <w:pPr>
              <w:pStyle w:val="2691"/>
            </w:pPr>
            <w:r>
              <w:t>34.32</w:t>
            </w:r>
          </w:p>
        </w:tc>
        <w:tc>
          <w:tcPr>
            <w:tcW w:w="604" w:type="pct"/>
            <w:tcBorders>
              <w:top w:val="single" w:color="auto" w:sz="4" w:space="0"/>
              <w:left w:val="nil"/>
              <w:bottom w:val="single" w:color="auto" w:sz="12" w:space="0"/>
              <w:right w:val="single" w:color="auto" w:sz="4" w:space="0"/>
            </w:tcBorders>
            <w:shd w:val="clear" w:color="auto" w:fill="auto"/>
            <w:noWrap/>
            <w:vAlign w:val="center"/>
          </w:tcPr>
          <w:p>
            <w:pPr>
              <w:pStyle w:val="2691"/>
            </w:pPr>
            <w:r>
              <w:t>33.67</w:t>
            </w:r>
          </w:p>
        </w:tc>
        <w:tc>
          <w:tcPr>
            <w:tcW w:w="604" w:type="pct"/>
            <w:tcBorders>
              <w:top w:val="single" w:color="auto" w:sz="4" w:space="0"/>
              <w:left w:val="nil"/>
              <w:bottom w:val="single" w:color="auto" w:sz="12" w:space="0"/>
              <w:right w:val="single" w:color="auto" w:sz="4" w:space="0"/>
            </w:tcBorders>
            <w:shd w:val="clear" w:color="auto" w:fill="auto"/>
            <w:noWrap/>
            <w:vAlign w:val="center"/>
          </w:tcPr>
          <w:p>
            <w:pPr>
              <w:pStyle w:val="2691"/>
            </w:pPr>
            <w:r>
              <w:t>32.73</w:t>
            </w:r>
          </w:p>
        </w:tc>
        <w:tc>
          <w:tcPr>
            <w:tcW w:w="604" w:type="pct"/>
            <w:tcBorders>
              <w:top w:val="single" w:color="auto" w:sz="4" w:space="0"/>
              <w:left w:val="nil"/>
              <w:bottom w:val="single" w:color="auto" w:sz="12" w:space="0"/>
              <w:right w:val="single" w:color="auto" w:sz="4" w:space="0"/>
            </w:tcBorders>
            <w:shd w:val="clear" w:color="auto" w:fill="auto"/>
            <w:noWrap/>
            <w:vAlign w:val="center"/>
          </w:tcPr>
          <w:p>
            <w:pPr>
              <w:pStyle w:val="2691"/>
            </w:pPr>
            <w:r>
              <w:t>31.93</w:t>
            </w:r>
          </w:p>
        </w:tc>
        <w:tc>
          <w:tcPr>
            <w:tcW w:w="604" w:type="pct"/>
            <w:tcBorders>
              <w:top w:val="single" w:color="auto" w:sz="4" w:space="0"/>
              <w:left w:val="nil"/>
              <w:bottom w:val="single" w:color="auto" w:sz="12" w:space="0"/>
              <w:right w:val="single" w:color="auto" w:sz="4" w:space="0"/>
            </w:tcBorders>
            <w:shd w:val="clear" w:color="auto" w:fill="auto"/>
            <w:noWrap/>
            <w:vAlign w:val="center"/>
          </w:tcPr>
          <w:p>
            <w:pPr>
              <w:pStyle w:val="2691"/>
            </w:pPr>
            <w:r>
              <w:t>30.99</w:t>
            </w:r>
          </w:p>
        </w:tc>
        <w:tc>
          <w:tcPr>
            <w:tcW w:w="601" w:type="pct"/>
            <w:tcBorders>
              <w:top w:val="single" w:color="auto" w:sz="4" w:space="0"/>
              <w:left w:val="nil"/>
              <w:bottom w:val="single" w:color="auto" w:sz="12" w:space="0"/>
              <w:right w:val="single" w:color="auto" w:sz="12" w:space="0"/>
            </w:tcBorders>
            <w:shd w:val="clear" w:color="auto" w:fill="auto"/>
            <w:noWrap/>
            <w:vAlign w:val="center"/>
          </w:tcPr>
          <w:p>
            <w:pPr>
              <w:pStyle w:val="2691"/>
            </w:pPr>
            <w:r>
              <w:t>29.32</w:t>
            </w:r>
          </w:p>
        </w:tc>
      </w:tr>
    </w:tbl>
    <w:p>
      <w:pPr>
        <w:pStyle w:val="456"/>
        <w:ind w:firstLine="482"/>
      </w:pPr>
      <w:r>
        <w:t>水位</w:t>
      </w:r>
    </w:p>
    <w:p>
      <w:pPr>
        <w:ind w:firstLine="480"/>
      </w:pPr>
      <w:r>
        <w:t>采用莲花塘站及螺山站实测水位资料分不同时段计算得到日平均水位综合历史保证率水位结果如下表所示，并结合两个水文站实测的同时期比降按照距离内插得到码头处结果如下列各表所示。</w:t>
      </w:r>
    </w:p>
    <w:p>
      <w:pPr>
        <w:pStyle w:val="3583"/>
        <w:spacing w:line="240" w:lineRule="auto"/>
        <w:ind w:left="0"/>
      </w:pPr>
      <w:r>
        <w:t>莲花塘站日平均综合历时保证率水位表（m）</w:t>
      </w:r>
    </w:p>
    <w:tbl>
      <w:tblPr>
        <w:tblStyle w:val="8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46"/>
        <w:gridCol w:w="731"/>
        <w:gridCol w:w="726"/>
        <w:gridCol w:w="731"/>
        <w:gridCol w:w="731"/>
        <w:gridCol w:w="731"/>
        <w:gridCol w:w="731"/>
        <w:gridCol w:w="731"/>
        <w:gridCol w:w="731"/>
        <w:gridCol w:w="731"/>
        <w:gridCol w:w="731"/>
        <w:gridCol w:w="7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71" w:type="pct"/>
            <w:tcBorders>
              <w:bottom w:val="single" w:color="auto" w:sz="12" w:space="0"/>
            </w:tcBorders>
            <w:shd w:val="clear" w:color="auto" w:fill="auto"/>
            <w:vAlign w:val="center"/>
          </w:tcPr>
          <w:p>
            <w:pPr>
              <w:pStyle w:val="2691"/>
              <w:rPr>
                <w:b/>
                <w:bCs/>
              </w:rPr>
            </w:pPr>
            <w:r>
              <w:rPr>
                <w:b/>
                <w:bCs/>
              </w:rPr>
              <w:t>保证率</w:t>
            </w:r>
          </w:p>
        </w:tc>
        <w:tc>
          <w:tcPr>
            <w:tcW w:w="394" w:type="pct"/>
            <w:tcBorders>
              <w:bottom w:val="single" w:color="auto" w:sz="12" w:space="0"/>
            </w:tcBorders>
            <w:shd w:val="clear" w:color="auto" w:fill="auto"/>
            <w:noWrap/>
            <w:vAlign w:val="center"/>
          </w:tcPr>
          <w:p>
            <w:pPr>
              <w:pStyle w:val="2691"/>
              <w:rPr>
                <w:b/>
                <w:bCs/>
              </w:rPr>
            </w:pPr>
            <w:r>
              <w:rPr>
                <w:b/>
                <w:bCs/>
              </w:rPr>
              <w:t>10%</w:t>
            </w:r>
          </w:p>
        </w:tc>
        <w:tc>
          <w:tcPr>
            <w:tcW w:w="391" w:type="pct"/>
            <w:tcBorders>
              <w:bottom w:val="single" w:color="auto" w:sz="12" w:space="0"/>
            </w:tcBorders>
            <w:shd w:val="clear" w:color="auto" w:fill="auto"/>
            <w:noWrap/>
            <w:vAlign w:val="center"/>
          </w:tcPr>
          <w:p>
            <w:pPr>
              <w:pStyle w:val="2691"/>
              <w:rPr>
                <w:b/>
                <w:bCs/>
              </w:rPr>
            </w:pPr>
            <w:r>
              <w:rPr>
                <w:b/>
                <w:bCs/>
              </w:rPr>
              <w:t>20%</w:t>
            </w:r>
          </w:p>
        </w:tc>
        <w:tc>
          <w:tcPr>
            <w:tcW w:w="393" w:type="pct"/>
            <w:tcBorders>
              <w:bottom w:val="single" w:color="auto" w:sz="12" w:space="0"/>
            </w:tcBorders>
            <w:shd w:val="clear" w:color="auto" w:fill="auto"/>
            <w:noWrap/>
            <w:vAlign w:val="center"/>
          </w:tcPr>
          <w:p>
            <w:pPr>
              <w:pStyle w:val="2691"/>
              <w:rPr>
                <w:b/>
                <w:bCs/>
              </w:rPr>
            </w:pPr>
            <w:r>
              <w:rPr>
                <w:b/>
                <w:bCs/>
              </w:rPr>
              <w:t>33%</w:t>
            </w:r>
          </w:p>
        </w:tc>
        <w:tc>
          <w:tcPr>
            <w:tcW w:w="393" w:type="pct"/>
            <w:tcBorders>
              <w:bottom w:val="single" w:color="auto" w:sz="12" w:space="0"/>
            </w:tcBorders>
            <w:shd w:val="clear" w:color="auto" w:fill="auto"/>
            <w:noWrap/>
            <w:vAlign w:val="center"/>
          </w:tcPr>
          <w:p>
            <w:pPr>
              <w:pStyle w:val="2691"/>
              <w:rPr>
                <w:b/>
                <w:bCs/>
              </w:rPr>
            </w:pPr>
            <w:r>
              <w:rPr>
                <w:b/>
                <w:bCs/>
              </w:rPr>
              <w:t>50%</w:t>
            </w:r>
          </w:p>
        </w:tc>
        <w:tc>
          <w:tcPr>
            <w:tcW w:w="393" w:type="pct"/>
            <w:tcBorders>
              <w:bottom w:val="single" w:color="auto" w:sz="12" w:space="0"/>
            </w:tcBorders>
            <w:shd w:val="clear" w:color="auto" w:fill="auto"/>
            <w:noWrap/>
            <w:vAlign w:val="center"/>
          </w:tcPr>
          <w:p>
            <w:pPr>
              <w:pStyle w:val="2691"/>
              <w:rPr>
                <w:b/>
                <w:bCs/>
              </w:rPr>
            </w:pPr>
            <w:r>
              <w:rPr>
                <w:b/>
                <w:bCs/>
              </w:rPr>
              <w:t>75%</w:t>
            </w:r>
          </w:p>
        </w:tc>
        <w:tc>
          <w:tcPr>
            <w:tcW w:w="393" w:type="pct"/>
            <w:tcBorders>
              <w:bottom w:val="single" w:color="auto" w:sz="12" w:space="0"/>
            </w:tcBorders>
            <w:shd w:val="clear" w:color="auto" w:fill="auto"/>
            <w:noWrap/>
            <w:vAlign w:val="center"/>
          </w:tcPr>
          <w:p>
            <w:pPr>
              <w:pStyle w:val="2691"/>
              <w:rPr>
                <w:b/>
                <w:bCs/>
              </w:rPr>
            </w:pPr>
            <w:r>
              <w:rPr>
                <w:b/>
                <w:bCs/>
              </w:rPr>
              <w:t>80%</w:t>
            </w:r>
          </w:p>
        </w:tc>
        <w:tc>
          <w:tcPr>
            <w:tcW w:w="393" w:type="pct"/>
            <w:tcBorders>
              <w:bottom w:val="single" w:color="auto" w:sz="12" w:space="0"/>
            </w:tcBorders>
            <w:shd w:val="clear" w:color="auto" w:fill="auto"/>
            <w:noWrap/>
            <w:vAlign w:val="center"/>
          </w:tcPr>
          <w:p>
            <w:pPr>
              <w:pStyle w:val="2691"/>
              <w:rPr>
                <w:b/>
                <w:bCs/>
              </w:rPr>
            </w:pPr>
            <w:r>
              <w:rPr>
                <w:b/>
                <w:bCs/>
              </w:rPr>
              <w:t>90%</w:t>
            </w:r>
          </w:p>
        </w:tc>
        <w:tc>
          <w:tcPr>
            <w:tcW w:w="393" w:type="pct"/>
            <w:tcBorders>
              <w:bottom w:val="single" w:color="auto" w:sz="12" w:space="0"/>
            </w:tcBorders>
            <w:shd w:val="clear" w:color="auto" w:fill="auto"/>
            <w:noWrap/>
            <w:vAlign w:val="center"/>
          </w:tcPr>
          <w:p>
            <w:pPr>
              <w:pStyle w:val="2691"/>
              <w:rPr>
                <w:b/>
                <w:bCs/>
              </w:rPr>
            </w:pPr>
            <w:r>
              <w:rPr>
                <w:b/>
                <w:bCs/>
              </w:rPr>
              <w:t>95%</w:t>
            </w:r>
          </w:p>
        </w:tc>
        <w:tc>
          <w:tcPr>
            <w:tcW w:w="393" w:type="pct"/>
            <w:tcBorders>
              <w:bottom w:val="single" w:color="auto" w:sz="12" w:space="0"/>
            </w:tcBorders>
            <w:shd w:val="clear" w:color="auto" w:fill="auto"/>
            <w:noWrap/>
            <w:vAlign w:val="center"/>
          </w:tcPr>
          <w:p>
            <w:pPr>
              <w:pStyle w:val="2691"/>
              <w:rPr>
                <w:b/>
                <w:bCs/>
              </w:rPr>
            </w:pPr>
            <w:r>
              <w:rPr>
                <w:b/>
                <w:bCs/>
              </w:rPr>
              <w:t>98%</w:t>
            </w:r>
          </w:p>
        </w:tc>
        <w:tc>
          <w:tcPr>
            <w:tcW w:w="393" w:type="pct"/>
            <w:tcBorders>
              <w:bottom w:val="single" w:color="auto" w:sz="12" w:space="0"/>
            </w:tcBorders>
            <w:shd w:val="clear" w:color="auto" w:fill="auto"/>
            <w:noWrap/>
            <w:vAlign w:val="center"/>
          </w:tcPr>
          <w:p>
            <w:pPr>
              <w:pStyle w:val="2691"/>
              <w:rPr>
                <w:b/>
                <w:bCs/>
              </w:rPr>
            </w:pPr>
            <w:r>
              <w:rPr>
                <w:b/>
                <w:bCs/>
              </w:rPr>
              <w:t>99%</w:t>
            </w:r>
          </w:p>
        </w:tc>
        <w:tc>
          <w:tcPr>
            <w:tcW w:w="393" w:type="pct"/>
            <w:tcBorders>
              <w:bottom w:val="single" w:color="auto" w:sz="12" w:space="0"/>
            </w:tcBorders>
          </w:tcPr>
          <w:p>
            <w:pPr>
              <w:pStyle w:val="2691"/>
              <w:rPr>
                <w:b/>
                <w:bCs/>
              </w:rPr>
            </w:pPr>
            <w:r>
              <w:rPr>
                <w:b/>
                <w:bCs/>
              </w:rPr>
              <w:t>min</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671" w:type="pct"/>
            <w:tcBorders>
              <w:top w:val="single" w:color="auto" w:sz="12" w:space="0"/>
            </w:tcBorders>
            <w:shd w:val="clear" w:color="auto" w:fill="auto"/>
            <w:vAlign w:val="center"/>
          </w:tcPr>
          <w:p>
            <w:pPr>
              <w:pStyle w:val="2691"/>
            </w:pPr>
            <w:r>
              <w:t>1996-2021</w:t>
            </w:r>
          </w:p>
        </w:tc>
        <w:tc>
          <w:tcPr>
            <w:tcW w:w="394" w:type="pct"/>
            <w:tcBorders>
              <w:top w:val="single" w:color="auto" w:sz="12" w:space="0"/>
            </w:tcBorders>
            <w:shd w:val="clear" w:color="auto" w:fill="auto"/>
            <w:noWrap/>
            <w:vAlign w:val="center"/>
          </w:tcPr>
          <w:p>
            <w:pPr>
              <w:pStyle w:val="2691"/>
            </w:pPr>
            <w:r>
              <w:t>28.11</w:t>
            </w:r>
          </w:p>
        </w:tc>
        <w:tc>
          <w:tcPr>
            <w:tcW w:w="391" w:type="pct"/>
            <w:tcBorders>
              <w:top w:val="single" w:color="auto" w:sz="12" w:space="0"/>
            </w:tcBorders>
            <w:shd w:val="clear" w:color="auto" w:fill="auto"/>
            <w:noWrap/>
            <w:vAlign w:val="center"/>
          </w:tcPr>
          <w:p>
            <w:pPr>
              <w:pStyle w:val="2691"/>
            </w:pPr>
            <w:r>
              <w:t>27.03</w:t>
            </w:r>
          </w:p>
        </w:tc>
        <w:tc>
          <w:tcPr>
            <w:tcW w:w="393" w:type="pct"/>
            <w:tcBorders>
              <w:top w:val="single" w:color="auto" w:sz="12" w:space="0"/>
            </w:tcBorders>
            <w:shd w:val="clear" w:color="auto" w:fill="auto"/>
            <w:noWrap/>
            <w:vAlign w:val="center"/>
          </w:tcPr>
          <w:p>
            <w:pPr>
              <w:pStyle w:val="2691"/>
            </w:pPr>
            <w:r>
              <w:t>25.55</w:t>
            </w:r>
          </w:p>
        </w:tc>
        <w:tc>
          <w:tcPr>
            <w:tcW w:w="393" w:type="pct"/>
            <w:tcBorders>
              <w:top w:val="single" w:color="auto" w:sz="12" w:space="0"/>
            </w:tcBorders>
            <w:shd w:val="clear" w:color="auto" w:fill="auto"/>
            <w:noWrap/>
            <w:vAlign w:val="center"/>
          </w:tcPr>
          <w:p>
            <w:pPr>
              <w:pStyle w:val="2691"/>
            </w:pPr>
            <w:r>
              <w:t>22.46</w:t>
            </w:r>
          </w:p>
        </w:tc>
        <w:tc>
          <w:tcPr>
            <w:tcW w:w="393" w:type="pct"/>
            <w:tcBorders>
              <w:top w:val="single" w:color="auto" w:sz="12" w:space="0"/>
            </w:tcBorders>
            <w:shd w:val="clear" w:color="auto" w:fill="auto"/>
            <w:noWrap/>
            <w:vAlign w:val="center"/>
          </w:tcPr>
          <w:p>
            <w:pPr>
              <w:pStyle w:val="2691"/>
            </w:pPr>
            <w:r>
              <w:t>20.32</w:t>
            </w:r>
          </w:p>
        </w:tc>
        <w:tc>
          <w:tcPr>
            <w:tcW w:w="393" w:type="pct"/>
            <w:tcBorders>
              <w:top w:val="single" w:color="auto" w:sz="12" w:space="0"/>
            </w:tcBorders>
            <w:shd w:val="clear" w:color="auto" w:fill="auto"/>
            <w:noWrap/>
            <w:vAlign w:val="center"/>
          </w:tcPr>
          <w:p>
            <w:pPr>
              <w:pStyle w:val="2691"/>
            </w:pPr>
            <w:r>
              <w:t>19.88</w:t>
            </w:r>
          </w:p>
        </w:tc>
        <w:tc>
          <w:tcPr>
            <w:tcW w:w="393" w:type="pct"/>
            <w:tcBorders>
              <w:top w:val="single" w:color="auto" w:sz="12" w:space="0"/>
            </w:tcBorders>
            <w:shd w:val="clear" w:color="auto" w:fill="auto"/>
            <w:noWrap/>
            <w:vAlign w:val="center"/>
          </w:tcPr>
          <w:p>
            <w:pPr>
              <w:pStyle w:val="2691"/>
            </w:pPr>
            <w:r>
              <w:t>19.04</w:t>
            </w:r>
          </w:p>
        </w:tc>
        <w:tc>
          <w:tcPr>
            <w:tcW w:w="393" w:type="pct"/>
            <w:tcBorders>
              <w:top w:val="single" w:color="auto" w:sz="12" w:space="0"/>
            </w:tcBorders>
            <w:shd w:val="clear" w:color="auto" w:fill="auto"/>
            <w:noWrap/>
            <w:vAlign w:val="center"/>
          </w:tcPr>
          <w:p>
            <w:pPr>
              <w:pStyle w:val="2691"/>
            </w:pPr>
            <w:r>
              <w:t>18.44</w:t>
            </w:r>
          </w:p>
        </w:tc>
        <w:tc>
          <w:tcPr>
            <w:tcW w:w="393" w:type="pct"/>
            <w:tcBorders>
              <w:top w:val="single" w:color="auto" w:sz="12" w:space="0"/>
            </w:tcBorders>
            <w:shd w:val="clear" w:color="auto" w:fill="auto"/>
            <w:noWrap/>
            <w:vAlign w:val="center"/>
          </w:tcPr>
          <w:p>
            <w:pPr>
              <w:pStyle w:val="2691"/>
            </w:pPr>
            <w:r>
              <w:t>18.01</w:t>
            </w:r>
          </w:p>
        </w:tc>
        <w:tc>
          <w:tcPr>
            <w:tcW w:w="393" w:type="pct"/>
            <w:tcBorders>
              <w:top w:val="single" w:color="auto" w:sz="12" w:space="0"/>
            </w:tcBorders>
            <w:shd w:val="clear" w:color="auto" w:fill="auto"/>
            <w:noWrap/>
            <w:vAlign w:val="center"/>
          </w:tcPr>
          <w:p>
            <w:pPr>
              <w:pStyle w:val="2691"/>
            </w:pPr>
            <w:r>
              <w:t>17.83</w:t>
            </w:r>
          </w:p>
        </w:tc>
        <w:tc>
          <w:tcPr>
            <w:tcW w:w="393" w:type="pct"/>
            <w:tcBorders>
              <w:top w:val="single" w:color="auto" w:sz="12" w:space="0"/>
            </w:tcBorders>
            <w:shd w:val="clear" w:color="auto" w:fill="auto"/>
            <w:vAlign w:val="center"/>
          </w:tcPr>
          <w:p>
            <w:pPr>
              <w:pStyle w:val="2691"/>
            </w:pPr>
            <w:r>
              <w:t>17.28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671" w:type="pct"/>
            <w:shd w:val="clear" w:color="auto" w:fill="auto"/>
            <w:vAlign w:val="center"/>
          </w:tcPr>
          <w:p>
            <w:pPr>
              <w:pStyle w:val="2691"/>
            </w:pPr>
            <w:r>
              <w:t>2003-2021</w:t>
            </w:r>
          </w:p>
        </w:tc>
        <w:tc>
          <w:tcPr>
            <w:tcW w:w="394" w:type="pct"/>
            <w:shd w:val="clear" w:color="auto" w:fill="auto"/>
            <w:noWrap/>
            <w:vAlign w:val="center"/>
          </w:tcPr>
          <w:p>
            <w:pPr>
              <w:pStyle w:val="2691"/>
            </w:pPr>
            <w:r>
              <w:t>27.81</w:t>
            </w:r>
          </w:p>
        </w:tc>
        <w:tc>
          <w:tcPr>
            <w:tcW w:w="391" w:type="pct"/>
            <w:shd w:val="clear" w:color="auto" w:fill="auto"/>
            <w:noWrap/>
            <w:vAlign w:val="center"/>
          </w:tcPr>
          <w:p>
            <w:pPr>
              <w:pStyle w:val="2691"/>
            </w:pPr>
            <w:r>
              <w:t>26.71</w:t>
            </w:r>
          </w:p>
        </w:tc>
        <w:tc>
          <w:tcPr>
            <w:tcW w:w="393" w:type="pct"/>
            <w:shd w:val="clear" w:color="auto" w:fill="auto"/>
            <w:noWrap/>
            <w:vAlign w:val="center"/>
          </w:tcPr>
          <w:p>
            <w:pPr>
              <w:pStyle w:val="2691"/>
            </w:pPr>
            <w:r>
              <w:t>25.04</w:t>
            </w:r>
          </w:p>
        </w:tc>
        <w:tc>
          <w:tcPr>
            <w:tcW w:w="393" w:type="pct"/>
            <w:shd w:val="clear" w:color="auto" w:fill="auto"/>
            <w:noWrap/>
            <w:vAlign w:val="center"/>
          </w:tcPr>
          <w:p>
            <w:pPr>
              <w:pStyle w:val="2691"/>
            </w:pPr>
            <w:r>
              <w:t>22.39</w:t>
            </w:r>
          </w:p>
        </w:tc>
        <w:tc>
          <w:tcPr>
            <w:tcW w:w="393" w:type="pct"/>
            <w:shd w:val="clear" w:color="auto" w:fill="auto"/>
            <w:noWrap/>
            <w:vAlign w:val="center"/>
          </w:tcPr>
          <w:p>
            <w:pPr>
              <w:pStyle w:val="2691"/>
            </w:pPr>
            <w:r>
              <w:t>19.90</w:t>
            </w:r>
          </w:p>
        </w:tc>
        <w:tc>
          <w:tcPr>
            <w:tcW w:w="393" w:type="pct"/>
            <w:shd w:val="clear" w:color="auto" w:fill="auto"/>
            <w:noWrap/>
            <w:vAlign w:val="center"/>
          </w:tcPr>
          <w:p>
            <w:pPr>
              <w:pStyle w:val="2691"/>
            </w:pPr>
            <w:r>
              <w:t>19.57</w:t>
            </w:r>
          </w:p>
        </w:tc>
        <w:tc>
          <w:tcPr>
            <w:tcW w:w="393" w:type="pct"/>
            <w:shd w:val="clear" w:color="auto" w:fill="auto"/>
            <w:noWrap/>
            <w:vAlign w:val="center"/>
          </w:tcPr>
          <w:p>
            <w:pPr>
              <w:pStyle w:val="2691"/>
            </w:pPr>
            <w:r>
              <w:t>18.88</w:t>
            </w:r>
          </w:p>
        </w:tc>
        <w:tc>
          <w:tcPr>
            <w:tcW w:w="393" w:type="pct"/>
            <w:shd w:val="clear" w:color="auto" w:fill="auto"/>
            <w:noWrap/>
            <w:vAlign w:val="center"/>
          </w:tcPr>
          <w:p>
            <w:pPr>
              <w:pStyle w:val="2691"/>
            </w:pPr>
            <w:r>
              <w:t>18.57</w:t>
            </w:r>
          </w:p>
        </w:tc>
        <w:tc>
          <w:tcPr>
            <w:tcW w:w="393" w:type="pct"/>
            <w:shd w:val="clear" w:color="auto" w:fill="auto"/>
            <w:noWrap/>
            <w:vAlign w:val="center"/>
          </w:tcPr>
          <w:p>
            <w:pPr>
              <w:pStyle w:val="2691"/>
            </w:pPr>
            <w:r>
              <w:t>18.34</w:t>
            </w:r>
          </w:p>
        </w:tc>
        <w:tc>
          <w:tcPr>
            <w:tcW w:w="393" w:type="pct"/>
            <w:shd w:val="clear" w:color="auto" w:fill="auto"/>
            <w:noWrap/>
            <w:vAlign w:val="center"/>
          </w:tcPr>
          <w:p>
            <w:pPr>
              <w:pStyle w:val="2691"/>
            </w:pPr>
            <w:r>
              <w:t>18.05</w:t>
            </w:r>
          </w:p>
        </w:tc>
        <w:tc>
          <w:tcPr>
            <w:tcW w:w="393" w:type="pct"/>
            <w:shd w:val="clear" w:color="auto" w:fill="auto"/>
            <w:vAlign w:val="center"/>
          </w:tcPr>
          <w:p>
            <w:pPr>
              <w:pStyle w:val="2691"/>
            </w:pPr>
            <w:r>
              <w:t>17.28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671" w:type="pct"/>
            <w:shd w:val="clear" w:color="auto" w:fill="auto"/>
            <w:noWrap/>
            <w:vAlign w:val="center"/>
          </w:tcPr>
          <w:p>
            <w:pPr>
              <w:pStyle w:val="2691"/>
            </w:pPr>
            <w:r>
              <w:t>2008-2021</w:t>
            </w:r>
          </w:p>
        </w:tc>
        <w:tc>
          <w:tcPr>
            <w:tcW w:w="394" w:type="pct"/>
            <w:shd w:val="clear" w:color="auto" w:fill="auto"/>
            <w:noWrap/>
            <w:vAlign w:val="center"/>
          </w:tcPr>
          <w:p>
            <w:pPr>
              <w:pStyle w:val="2691"/>
            </w:pPr>
            <w:r>
              <w:t>27.64</w:t>
            </w:r>
          </w:p>
        </w:tc>
        <w:tc>
          <w:tcPr>
            <w:tcW w:w="391" w:type="pct"/>
            <w:shd w:val="clear" w:color="auto" w:fill="auto"/>
            <w:noWrap/>
            <w:vAlign w:val="center"/>
          </w:tcPr>
          <w:p>
            <w:pPr>
              <w:pStyle w:val="2691"/>
            </w:pPr>
            <w:r>
              <w:t>26.54</w:t>
            </w:r>
          </w:p>
        </w:tc>
        <w:tc>
          <w:tcPr>
            <w:tcW w:w="393" w:type="pct"/>
            <w:shd w:val="clear" w:color="auto" w:fill="auto"/>
            <w:noWrap/>
            <w:vAlign w:val="center"/>
          </w:tcPr>
          <w:p>
            <w:pPr>
              <w:pStyle w:val="2691"/>
            </w:pPr>
            <w:r>
              <w:t>24.79</w:t>
            </w:r>
          </w:p>
        </w:tc>
        <w:tc>
          <w:tcPr>
            <w:tcW w:w="393" w:type="pct"/>
            <w:shd w:val="clear" w:color="auto" w:fill="auto"/>
            <w:noWrap/>
            <w:vAlign w:val="center"/>
          </w:tcPr>
          <w:p>
            <w:pPr>
              <w:pStyle w:val="2691"/>
            </w:pPr>
            <w:r>
              <w:t>22.21</w:t>
            </w:r>
          </w:p>
        </w:tc>
        <w:tc>
          <w:tcPr>
            <w:tcW w:w="393" w:type="pct"/>
            <w:shd w:val="clear" w:color="auto" w:fill="auto"/>
            <w:noWrap/>
            <w:vAlign w:val="center"/>
          </w:tcPr>
          <w:p>
            <w:pPr>
              <w:pStyle w:val="2691"/>
            </w:pPr>
            <w:r>
              <w:t>19.71</w:t>
            </w:r>
          </w:p>
        </w:tc>
        <w:tc>
          <w:tcPr>
            <w:tcW w:w="393" w:type="pct"/>
            <w:shd w:val="clear" w:color="auto" w:fill="auto"/>
            <w:noWrap/>
            <w:vAlign w:val="center"/>
          </w:tcPr>
          <w:p>
            <w:pPr>
              <w:pStyle w:val="2691"/>
            </w:pPr>
            <w:r>
              <w:t>19.41</w:t>
            </w:r>
          </w:p>
        </w:tc>
        <w:tc>
          <w:tcPr>
            <w:tcW w:w="393" w:type="pct"/>
            <w:shd w:val="clear" w:color="auto" w:fill="auto"/>
            <w:noWrap/>
            <w:vAlign w:val="center"/>
          </w:tcPr>
          <w:p>
            <w:pPr>
              <w:pStyle w:val="2691"/>
            </w:pPr>
            <w:r>
              <w:t>18.79</w:t>
            </w:r>
          </w:p>
        </w:tc>
        <w:tc>
          <w:tcPr>
            <w:tcW w:w="393" w:type="pct"/>
            <w:shd w:val="clear" w:color="auto" w:fill="auto"/>
            <w:noWrap/>
            <w:vAlign w:val="center"/>
          </w:tcPr>
          <w:p>
            <w:pPr>
              <w:pStyle w:val="2691"/>
            </w:pPr>
            <w:r>
              <w:t>18.56</w:t>
            </w:r>
          </w:p>
        </w:tc>
        <w:tc>
          <w:tcPr>
            <w:tcW w:w="393" w:type="pct"/>
            <w:shd w:val="clear" w:color="auto" w:fill="auto"/>
            <w:noWrap/>
            <w:vAlign w:val="center"/>
          </w:tcPr>
          <w:p>
            <w:pPr>
              <w:pStyle w:val="2691"/>
            </w:pPr>
            <w:r>
              <w:t>18.40</w:t>
            </w:r>
          </w:p>
        </w:tc>
        <w:tc>
          <w:tcPr>
            <w:tcW w:w="393" w:type="pct"/>
            <w:shd w:val="clear" w:color="auto" w:fill="auto"/>
            <w:noWrap/>
            <w:vAlign w:val="center"/>
          </w:tcPr>
          <w:p>
            <w:pPr>
              <w:pStyle w:val="2691"/>
            </w:pPr>
            <w:r>
              <w:t>18.31</w:t>
            </w:r>
          </w:p>
        </w:tc>
        <w:tc>
          <w:tcPr>
            <w:tcW w:w="393" w:type="pct"/>
            <w:shd w:val="clear" w:color="auto" w:fill="auto"/>
            <w:vAlign w:val="center"/>
          </w:tcPr>
          <w:p>
            <w:pPr>
              <w:pStyle w:val="2691"/>
            </w:pPr>
            <w:r>
              <w:t>17.89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671" w:type="pct"/>
            <w:shd w:val="clear" w:color="auto" w:fill="auto"/>
            <w:noWrap/>
            <w:vAlign w:val="center"/>
          </w:tcPr>
          <w:p>
            <w:pPr>
              <w:pStyle w:val="2691"/>
            </w:pPr>
            <w:r>
              <w:t>2012-2021</w:t>
            </w:r>
          </w:p>
        </w:tc>
        <w:tc>
          <w:tcPr>
            <w:tcW w:w="394" w:type="pct"/>
            <w:shd w:val="clear" w:color="auto" w:fill="auto"/>
            <w:noWrap/>
            <w:vAlign w:val="center"/>
          </w:tcPr>
          <w:p>
            <w:pPr>
              <w:pStyle w:val="2691"/>
            </w:pPr>
            <w:r>
              <w:t>27.77</w:t>
            </w:r>
          </w:p>
        </w:tc>
        <w:tc>
          <w:tcPr>
            <w:tcW w:w="391" w:type="pct"/>
            <w:shd w:val="clear" w:color="auto" w:fill="auto"/>
            <w:noWrap/>
            <w:vAlign w:val="center"/>
          </w:tcPr>
          <w:p>
            <w:pPr>
              <w:pStyle w:val="2691"/>
            </w:pPr>
            <w:r>
              <w:t>26.57</w:t>
            </w:r>
          </w:p>
        </w:tc>
        <w:tc>
          <w:tcPr>
            <w:tcW w:w="393" w:type="pct"/>
            <w:shd w:val="clear" w:color="auto" w:fill="auto"/>
            <w:noWrap/>
            <w:vAlign w:val="center"/>
          </w:tcPr>
          <w:p>
            <w:pPr>
              <w:pStyle w:val="2691"/>
            </w:pPr>
            <w:r>
              <w:t>25.01</w:t>
            </w:r>
          </w:p>
        </w:tc>
        <w:tc>
          <w:tcPr>
            <w:tcW w:w="393" w:type="pct"/>
            <w:shd w:val="clear" w:color="auto" w:fill="auto"/>
            <w:noWrap/>
            <w:vAlign w:val="center"/>
          </w:tcPr>
          <w:p>
            <w:pPr>
              <w:pStyle w:val="2691"/>
            </w:pPr>
            <w:r>
              <w:t>22.59</w:t>
            </w:r>
          </w:p>
        </w:tc>
        <w:tc>
          <w:tcPr>
            <w:tcW w:w="393" w:type="pct"/>
            <w:shd w:val="clear" w:color="auto" w:fill="auto"/>
            <w:noWrap/>
            <w:vAlign w:val="center"/>
          </w:tcPr>
          <w:p>
            <w:pPr>
              <w:pStyle w:val="2691"/>
            </w:pPr>
            <w:r>
              <w:t>19.86</w:t>
            </w:r>
          </w:p>
        </w:tc>
        <w:tc>
          <w:tcPr>
            <w:tcW w:w="393" w:type="pct"/>
            <w:shd w:val="clear" w:color="auto" w:fill="auto"/>
            <w:noWrap/>
            <w:vAlign w:val="center"/>
          </w:tcPr>
          <w:p>
            <w:pPr>
              <w:pStyle w:val="2691"/>
            </w:pPr>
            <w:r>
              <w:t>19.59</w:t>
            </w:r>
          </w:p>
        </w:tc>
        <w:tc>
          <w:tcPr>
            <w:tcW w:w="393" w:type="pct"/>
            <w:shd w:val="clear" w:color="auto" w:fill="auto"/>
            <w:noWrap/>
            <w:vAlign w:val="center"/>
          </w:tcPr>
          <w:p>
            <w:pPr>
              <w:pStyle w:val="2691"/>
            </w:pPr>
            <w:r>
              <w:t>18.98</w:t>
            </w:r>
          </w:p>
        </w:tc>
        <w:tc>
          <w:tcPr>
            <w:tcW w:w="393" w:type="pct"/>
            <w:shd w:val="clear" w:color="auto" w:fill="auto"/>
            <w:noWrap/>
            <w:vAlign w:val="center"/>
          </w:tcPr>
          <w:p>
            <w:pPr>
              <w:pStyle w:val="2691"/>
            </w:pPr>
            <w:r>
              <w:t>18.64</w:t>
            </w:r>
          </w:p>
        </w:tc>
        <w:tc>
          <w:tcPr>
            <w:tcW w:w="393" w:type="pct"/>
            <w:shd w:val="clear" w:color="auto" w:fill="auto"/>
            <w:noWrap/>
            <w:vAlign w:val="center"/>
          </w:tcPr>
          <w:p>
            <w:pPr>
              <w:pStyle w:val="2691"/>
            </w:pPr>
            <w:r>
              <w:t>18.44</w:t>
            </w:r>
          </w:p>
        </w:tc>
        <w:tc>
          <w:tcPr>
            <w:tcW w:w="393" w:type="pct"/>
            <w:shd w:val="clear" w:color="auto" w:fill="auto"/>
            <w:noWrap/>
            <w:vAlign w:val="center"/>
          </w:tcPr>
          <w:p>
            <w:pPr>
              <w:pStyle w:val="2691"/>
            </w:pPr>
            <w:r>
              <w:t>18.35</w:t>
            </w:r>
          </w:p>
        </w:tc>
        <w:tc>
          <w:tcPr>
            <w:tcW w:w="393" w:type="pct"/>
            <w:shd w:val="clear" w:color="auto" w:fill="auto"/>
            <w:vAlign w:val="center"/>
          </w:tcPr>
          <w:p>
            <w:pPr>
              <w:pStyle w:val="2691"/>
            </w:pPr>
            <w:r>
              <w:t>17.89</w:t>
            </w:r>
          </w:p>
        </w:tc>
      </w:tr>
    </w:tbl>
    <w:p>
      <w:pPr>
        <w:ind w:firstLine="0" w:firstLineChars="0"/>
        <w:rPr>
          <w:b/>
          <w:bCs/>
          <w:sz w:val="21"/>
          <w:szCs w:val="21"/>
        </w:rPr>
      </w:pPr>
      <w:r>
        <w:rPr>
          <w:b/>
          <w:bCs/>
          <w:sz w:val="21"/>
          <w:szCs w:val="21"/>
        </w:rPr>
        <w:t>注：莲花塘站近年2008-2021年最低水位为17.89m，出现于2017年12月29日。</w:t>
      </w:r>
    </w:p>
    <w:p>
      <w:pPr>
        <w:pStyle w:val="3583"/>
        <w:spacing w:line="240" w:lineRule="auto"/>
        <w:ind w:left="0"/>
      </w:pPr>
      <w:r>
        <w:t>螺山站日平均综合历时保证率水位表（m）</w:t>
      </w:r>
    </w:p>
    <w:tbl>
      <w:tblPr>
        <w:tblStyle w:val="8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78"/>
        <w:gridCol w:w="736"/>
        <w:gridCol w:w="736"/>
        <w:gridCol w:w="736"/>
        <w:gridCol w:w="737"/>
        <w:gridCol w:w="737"/>
        <w:gridCol w:w="737"/>
        <w:gridCol w:w="737"/>
        <w:gridCol w:w="737"/>
        <w:gridCol w:w="737"/>
        <w:gridCol w:w="737"/>
        <w:gridCol w:w="73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634" w:type="pct"/>
            <w:tcBorders>
              <w:bottom w:val="single" w:color="auto" w:sz="12" w:space="0"/>
            </w:tcBorders>
            <w:shd w:val="clear" w:color="auto" w:fill="auto"/>
            <w:vAlign w:val="center"/>
          </w:tcPr>
          <w:p>
            <w:pPr>
              <w:widowControl/>
              <w:tabs>
                <w:tab w:val="clear" w:pos="480"/>
              </w:tabs>
              <w:spacing w:line="240" w:lineRule="auto"/>
              <w:ind w:firstLine="0" w:firstLineChars="0"/>
              <w:jc w:val="center"/>
              <w:rPr>
                <w:b/>
                <w:kern w:val="0"/>
                <w:sz w:val="21"/>
                <w:szCs w:val="21"/>
              </w:rPr>
            </w:pPr>
            <w:r>
              <w:rPr>
                <w:b/>
                <w:kern w:val="0"/>
                <w:sz w:val="21"/>
                <w:szCs w:val="21"/>
              </w:rPr>
              <w:t>保证率</w:t>
            </w:r>
          </w:p>
        </w:tc>
        <w:tc>
          <w:tcPr>
            <w:tcW w:w="396" w:type="pct"/>
            <w:tcBorders>
              <w:bottom w:val="single" w:color="auto" w:sz="12" w:space="0"/>
            </w:tcBorders>
            <w:shd w:val="clear" w:color="auto" w:fill="auto"/>
            <w:noWrap/>
            <w:vAlign w:val="center"/>
          </w:tcPr>
          <w:p>
            <w:pPr>
              <w:widowControl/>
              <w:tabs>
                <w:tab w:val="clear" w:pos="480"/>
              </w:tabs>
              <w:spacing w:line="240" w:lineRule="auto"/>
              <w:ind w:firstLine="0" w:firstLineChars="0"/>
              <w:jc w:val="center"/>
              <w:rPr>
                <w:b/>
                <w:kern w:val="0"/>
                <w:sz w:val="21"/>
                <w:szCs w:val="21"/>
              </w:rPr>
            </w:pPr>
            <w:r>
              <w:rPr>
                <w:b/>
                <w:kern w:val="0"/>
                <w:sz w:val="21"/>
                <w:szCs w:val="21"/>
              </w:rPr>
              <w:t>10%</w:t>
            </w:r>
          </w:p>
        </w:tc>
        <w:tc>
          <w:tcPr>
            <w:tcW w:w="396" w:type="pct"/>
            <w:tcBorders>
              <w:bottom w:val="single" w:color="auto" w:sz="12" w:space="0"/>
            </w:tcBorders>
            <w:shd w:val="clear" w:color="auto" w:fill="auto"/>
            <w:noWrap/>
            <w:vAlign w:val="center"/>
          </w:tcPr>
          <w:p>
            <w:pPr>
              <w:widowControl/>
              <w:tabs>
                <w:tab w:val="clear" w:pos="480"/>
              </w:tabs>
              <w:spacing w:line="240" w:lineRule="auto"/>
              <w:ind w:firstLine="0" w:firstLineChars="0"/>
              <w:jc w:val="center"/>
              <w:rPr>
                <w:b/>
                <w:kern w:val="0"/>
                <w:sz w:val="21"/>
                <w:szCs w:val="21"/>
              </w:rPr>
            </w:pPr>
            <w:r>
              <w:rPr>
                <w:b/>
                <w:kern w:val="0"/>
                <w:sz w:val="21"/>
                <w:szCs w:val="21"/>
              </w:rPr>
              <w:t>20%</w:t>
            </w:r>
          </w:p>
        </w:tc>
        <w:tc>
          <w:tcPr>
            <w:tcW w:w="396" w:type="pct"/>
            <w:tcBorders>
              <w:bottom w:val="single" w:color="auto" w:sz="12" w:space="0"/>
            </w:tcBorders>
            <w:shd w:val="clear" w:color="auto" w:fill="auto"/>
            <w:noWrap/>
            <w:vAlign w:val="center"/>
          </w:tcPr>
          <w:p>
            <w:pPr>
              <w:widowControl/>
              <w:tabs>
                <w:tab w:val="clear" w:pos="480"/>
              </w:tabs>
              <w:spacing w:line="240" w:lineRule="auto"/>
              <w:ind w:firstLine="0" w:firstLineChars="0"/>
              <w:jc w:val="center"/>
              <w:rPr>
                <w:b/>
                <w:kern w:val="0"/>
                <w:sz w:val="21"/>
                <w:szCs w:val="21"/>
              </w:rPr>
            </w:pPr>
            <w:r>
              <w:rPr>
                <w:b/>
                <w:kern w:val="0"/>
                <w:sz w:val="21"/>
                <w:szCs w:val="21"/>
              </w:rPr>
              <w:t>33%</w:t>
            </w:r>
          </w:p>
        </w:tc>
        <w:tc>
          <w:tcPr>
            <w:tcW w:w="396" w:type="pct"/>
            <w:tcBorders>
              <w:bottom w:val="single" w:color="auto" w:sz="12" w:space="0"/>
            </w:tcBorders>
            <w:shd w:val="clear" w:color="auto" w:fill="auto"/>
            <w:noWrap/>
            <w:vAlign w:val="center"/>
          </w:tcPr>
          <w:p>
            <w:pPr>
              <w:widowControl/>
              <w:tabs>
                <w:tab w:val="clear" w:pos="480"/>
              </w:tabs>
              <w:spacing w:line="240" w:lineRule="auto"/>
              <w:ind w:firstLine="0" w:firstLineChars="0"/>
              <w:jc w:val="center"/>
              <w:rPr>
                <w:b/>
                <w:kern w:val="0"/>
                <w:sz w:val="21"/>
                <w:szCs w:val="21"/>
              </w:rPr>
            </w:pPr>
            <w:r>
              <w:rPr>
                <w:b/>
                <w:kern w:val="0"/>
                <w:sz w:val="21"/>
                <w:szCs w:val="21"/>
              </w:rPr>
              <w:t>50%</w:t>
            </w:r>
          </w:p>
        </w:tc>
        <w:tc>
          <w:tcPr>
            <w:tcW w:w="396" w:type="pct"/>
            <w:tcBorders>
              <w:bottom w:val="single" w:color="auto" w:sz="12" w:space="0"/>
            </w:tcBorders>
            <w:shd w:val="clear" w:color="auto" w:fill="auto"/>
            <w:noWrap/>
            <w:vAlign w:val="center"/>
          </w:tcPr>
          <w:p>
            <w:pPr>
              <w:widowControl/>
              <w:tabs>
                <w:tab w:val="clear" w:pos="480"/>
              </w:tabs>
              <w:spacing w:line="240" w:lineRule="auto"/>
              <w:ind w:firstLine="0" w:firstLineChars="0"/>
              <w:jc w:val="center"/>
              <w:rPr>
                <w:b/>
                <w:kern w:val="0"/>
                <w:sz w:val="21"/>
                <w:szCs w:val="21"/>
              </w:rPr>
            </w:pPr>
            <w:r>
              <w:rPr>
                <w:b/>
                <w:kern w:val="0"/>
                <w:sz w:val="21"/>
                <w:szCs w:val="21"/>
              </w:rPr>
              <w:t>75%</w:t>
            </w:r>
          </w:p>
        </w:tc>
        <w:tc>
          <w:tcPr>
            <w:tcW w:w="396" w:type="pct"/>
            <w:tcBorders>
              <w:bottom w:val="single" w:color="auto" w:sz="12" w:space="0"/>
            </w:tcBorders>
            <w:shd w:val="clear" w:color="auto" w:fill="auto"/>
            <w:noWrap/>
            <w:vAlign w:val="center"/>
          </w:tcPr>
          <w:p>
            <w:pPr>
              <w:widowControl/>
              <w:tabs>
                <w:tab w:val="clear" w:pos="480"/>
              </w:tabs>
              <w:spacing w:line="240" w:lineRule="auto"/>
              <w:ind w:firstLine="0" w:firstLineChars="0"/>
              <w:jc w:val="center"/>
              <w:rPr>
                <w:b/>
                <w:kern w:val="0"/>
                <w:sz w:val="21"/>
                <w:szCs w:val="21"/>
              </w:rPr>
            </w:pPr>
            <w:r>
              <w:rPr>
                <w:b/>
                <w:kern w:val="0"/>
                <w:sz w:val="21"/>
                <w:szCs w:val="21"/>
              </w:rPr>
              <w:t>80%</w:t>
            </w:r>
          </w:p>
        </w:tc>
        <w:tc>
          <w:tcPr>
            <w:tcW w:w="396" w:type="pct"/>
            <w:tcBorders>
              <w:bottom w:val="single" w:color="auto" w:sz="12" w:space="0"/>
            </w:tcBorders>
            <w:shd w:val="clear" w:color="auto" w:fill="auto"/>
            <w:noWrap/>
            <w:vAlign w:val="center"/>
          </w:tcPr>
          <w:p>
            <w:pPr>
              <w:widowControl/>
              <w:tabs>
                <w:tab w:val="clear" w:pos="480"/>
              </w:tabs>
              <w:spacing w:line="240" w:lineRule="auto"/>
              <w:ind w:firstLine="0" w:firstLineChars="0"/>
              <w:jc w:val="center"/>
              <w:rPr>
                <w:b/>
                <w:kern w:val="0"/>
                <w:sz w:val="21"/>
                <w:szCs w:val="21"/>
              </w:rPr>
            </w:pPr>
            <w:r>
              <w:rPr>
                <w:b/>
                <w:kern w:val="0"/>
                <w:sz w:val="21"/>
                <w:szCs w:val="21"/>
              </w:rPr>
              <w:t>90%</w:t>
            </w:r>
          </w:p>
        </w:tc>
        <w:tc>
          <w:tcPr>
            <w:tcW w:w="396" w:type="pct"/>
            <w:tcBorders>
              <w:bottom w:val="single" w:color="auto" w:sz="12" w:space="0"/>
            </w:tcBorders>
            <w:shd w:val="clear" w:color="auto" w:fill="auto"/>
            <w:noWrap/>
            <w:vAlign w:val="center"/>
          </w:tcPr>
          <w:p>
            <w:pPr>
              <w:widowControl/>
              <w:tabs>
                <w:tab w:val="clear" w:pos="480"/>
              </w:tabs>
              <w:spacing w:line="240" w:lineRule="auto"/>
              <w:ind w:firstLine="0" w:firstLineChars="0"/>
              <w:jc w:val="center"/>
              <w:rPr>
                <w:b/>
                <w:kern w:val="0"/>
                <w:sz w:val="21"/>
                <w:szCs w:val="21"/>
              </w:rPr>
            </w:pPr>
            <w:r>
              <w:rPr>
                <w:b/>
                <w:kern w:val="0"/>
                <w:sz w:val="21"/>
                <w:szCs w:val="21"/>
              </w:rPr>
              <w:t>95%</w:t>
            </w:r>
          </w:p>
        </w:tc>
        <w:tc>
          <w:tcPr>
            <w:tcW w:w="396" w:type="pct"/>
            <w:tcBorders>
              <w:bottom w:val="single" w:color="auto" w:sz="12" w:space="0"/>
            </w:tcBorders>
            <w:shd w:val="clear" w:color="auto" w:fill="auto"/>
            <w:noWrap/>
            <w:vAlign w:val="center"/>
          </w:tcPr>
          <w:p>
            <w:pPr>
              <w:widowControl/>
              <w:tabs>
                <w:tab w:val="clear" w:pos="480"/>
              </w:tabs>
              <w:spacing w:line="240" w:lineRule="auto"/>
              <w:ind w:firstLine="0" w:firstLineChars="0"/>
              <w:jc w:val="center"/>
              <w:rPr>
                <w:b/>
                <w:kern w:val="0"/>
                <w:sz w:val="21"/>
                <w:szCs w:val="21"/>
              </w:rPr>
            </w:pPr>
            <w:r>
              <w:rPr>
                <w:b/>
                <w:kern w:val="0"/>
                <w:sz w:val="21"/>
                <w:szCs w:val="21"/>
              </w:rPr>
              <w:t>98%</w:t>
            </w:r>
          </w:p>
        </w:tc>
        <w:tc>
          <w:tcPr>
            <w:tcW w:w="396" w:type="pct"/>
            <w:tcBorders>
              <w:bottom w:val="single" w:color="auto" w:sz="12" w:space="0"/>
            </w:tcBorders>
            <w:shd w:val="clear" w:color="auto" w:fill="auto"/>
            <w:noWrap/>
            <w:vAlign w:val="center"/>
          </w:tcPr>
          <w:p>
            <w:pPr>
              <w:widowControl/>
              <w:tabs>
                <w:tab w:val="clear" w:pos="480"/>
              </w:tabs>
              <w:spacing w:line="240" w:lineRule="auto"/>
              <w:ind w:firstLine="0" w:firstLineChars="0"/>
              <w:jc w:val="center"/>
              <w:rPr>
                <w:b/>
                <w:kern w:val="0"/>
                <w:sz w:val="21"/>
                <w:szCs w:val="21"/>
              </w:rPr>
            </w:pPr>
            <w:r>
              <w:rPr>
                <w:b/>
                <w:kern w:val="0"/>
                <w:sz w:val="21"/>
                <w:szCs w:val="21"/>
              </w:rPr>
              <w:t>99%</w:t>
            </w:r>
          </w:p>
        </w:tc>
        <w:tc>
          <w:tcPr>
            <w:tcW w:w="396" w:type="pct"/>
            <w:tcBorders>
              <w:bottom w:val="single" w:color="auto" w:sz="12" w:space="0"/>
            </w:tcBorders>
          </w:tcPr>
          <w:p>
            <w:pPr>
              <w:widowControl/>
              <w:tabs>
                <w:tab w:val="clear" w:pos="480"/>
              </w:tabs>
              <w:spacing w:line="240" w:lineRule="auto"/>
              <w:ind w:firstLine="0" w:firstLineChars="0"/>
              <w:jc w:val="center"/>
              <w:rPr>
                <w:kern w:val="0"/>
                <w:sz w:val="21"/>
                <w:szCs w:val="21"/>
              </w:rPr>
            </w:pPr>
            <w:r>
              <w:rPr>
                <w:b/>
                <w:kern w:val="0"/>
                <w:sz w:val="21"/>
                <w:szCs w:val="21"/>
              </w:rPr>
              <w:t>min</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634" w:type="pct"/>
            <w:tcBorders>
              <w:top w:val="single" w:color="auto" w:sz="12" w:space="0"/>
            </w:tcBorders>
            <w:shd w:val="clear" w:color="auto" w:fill="auto"/>
            <w:vAlign w:val="center"/>
          </w:tcPr>
          <w:p>
            <w:pPr>
              <w:pStyle w:val="2691"/>
            </w:pPr>
            <w:r>
              <w:t>1996-2021</w:t>
            </w:r>
          </w:p>
        </w:tc>
        <w:tc>
          <w:tcPr>
            <w:tcW w:w="396" w:type="pct"/>
            <w:tcBorders>
              <w:top w:val="single" w:color="auto" w:sz="12" w:space="0"/>
            </w:tcBorders>
            <w:shd w:val="clear" w:color="auto" w:fill="auto"/>
            <w:noWrap/>
            <w:vAlign w:val="bottom"/>
          </w:tcPr>
          <w:p>
            <w:pPr>
              <w:widowControl/>
              <w:tabs>
                <w:tab w:val="clear" w:pos="480"/>
              </w:tabs>
              <w:spacing w:line="240" w:lineRule="auto"/>
              <w:ind w:firstLine="0" w:firstLineChars="0"/>
              <w:jc w:val="right"/>
              <w:rPr>
                <w:sz w:val="21"/>
                <w:szCs w:val="21"/>
              </w:rPr>
            </w:pPr>
            <w:r>
              <w:rPr>
                <w:sz w:val="21"/>
                <w:szCs w:val="21"/>
              </w:rPr>
              <w:t xml:space="preserve">27.01 </w:t>
            </w:r>
          </w:p>
        </w:tc>
        <w:tc>
          <w:tcPr>
            <w:tcW w:w="396" w:type="pct"/>
            <w:tcBorders>
              <w:top w:val="single" w:color="auto" w:sz="12" w:space="0"/>
            </w:tcBorders>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25.84 </w:t>
            </w:r>
          </w:p>
        </w:tc>
        <w:tc>
          <w:tcPr>
            <w:tcW w:w="396" w:type="pct"/>
            <w:tcBorders>
              <w:top w:val="single" w:color="auto" w:sz="12" w:space="0"/>
            </w:tcBorders>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24.10 </w:t>
            </w:r>
          </w:p>
        </w:tc>
        <w:tc>
          <w:tcPr>
            <w:tcW w:w="396" w:type="pct"/>
            <w:tcBorders>
              <w:top w:val="single" w:color="auto" w:sz="12" w:space="0"/>
            </w:tcBorders>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20.88 </w:t>
            </w:r>
          </w:p>
        </w:tc>
        <w:tc>
          <w:tcPr>
            <w:tcW w:w="396" w:type="pct"/>
            <w:tcBorders>
              <w:top w:val="single" w:color="auto" w:sz="12" w:space="0"/>
            </w:tcBorders>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18.82 </w:t>
            </w:r>
          </w:p>
        </w:tc>
        <w:tc>
          <w:tcPr>
            <w:tcW w:w="396" w:type="pct"/>
            <w:tcBorders>
              <w:top w:val="single" w:color="auto" w:sz="12" w:space="0"/>
            </w:tcBorders>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18.29 </w:t>
            </w:r>
          </w:p>
        </w:tc>
        <w:tc>
          <w:tcPr>
            <w:tcW w:w="396" w:type="pct"/>
            <w:tcBorders>
              <w:top w:val="single" w:color="auto" w:sz="12" w:space="0"/>
            </w:tcBorders>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17.30 </w:t>
            </w:r>
          </w:p>
        </w:tc>
        <w:tc>
          <w:tcPr>
            <w:tcW w:w="396" w:type="pct"/>
            <w:tcBorders>
              <w:top w:val="single" w:color="auto" w:sz="12" w:space="0"/>
            </w:tcBorders>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16.97 </w:t>
            </w:r>
          </w:p>
        </w:tc>
        <w:tc>
          <w:tcPr>
            <w:tcW w:w="396" w:type="pct"/>
            <w:tcBorders>
              <w:top w:val="single" w:color="auto" w:sz="12" w:space="0"/>
            </w:tcBorders>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16.66 </w:t>
            </w:r>
          </w:p>
        </w:tc>
        <w:tc>
          <w:tcPr>
            <w:tcW w:w="396" w:type="pct"/>
            <w:tcBorders>
              <w:top w:val="single" w:color="auto" w:sz="12" w:space="0"/>
            </w:tcBorders>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16.52 </w:t>
            </w:r>
          </w:p>
        </w:tc>
        <w:tc>
          <w:tcPr>
            <w:tcW w:w="396" w:type="pct"/>
            <w:tcBorders>
              <w:top w:val="single" w:color="auto" w:sz="12" w:space="0"/>
            </w:tcBorders>
            <w:shd w:val="clear" w:color="auto" w:fill="auto"/>
            <w:vAlign w:val="bottom"/>
          </w:tcPr>
          <w:p>
            <w:pPr>
              <w:tabs>
                <w:tab w:val="clear" w:pos="480"/>
              </w:tabs>
              <w:spacing w:line="240" w:lineRule="auto"/>
              <w:ind w:firstLine="0" w:firstLineChars="0"/>
              <w:jc w:val="center"/>
              <w:rPr>
                <w:sz w:val="21"/>
                <w:szCs w:val="21"/>
              </w:rPr>
            </w:pPr>
            <w:r>
              <w:rPr>
                <w:sz w:val="21"/>
                <w:szCs w:val="21"/>
              </w:rPr>
              <w:t xml:space="preserve">16.16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634" w:type="pct"/>
            <w:shd w:val="clear" w:color="auto" w:fill="auto"/>
            <w:vAlign w:val="center"/>
          </w:tcPr>
          <w:p>
            <w:pPr>
              <w:pStyle w:val="2691"/>
            </w:pPr>
            <w:r>
              <w:t>2003-2021</w:t>
            </w:r>
          </w:p>
        </w:tc>
        <w:tc>
          <w:tcPr>
            <w:tcW w:w="396" w:type="pct"/>
            <w:shd w:val="clear" w:color="auto" w:fill="auto"/>
            <w:noWrap/>
            <w:vAlign w:val="bottom"/>
          </w:tcPr>
          <w:p>
            <w:pPr>
              <w:widowControl/>
              <w:tabs>
                <w:tab w:val="clear" w:pos="480"/>
              </w:tabs>
              <w:spacing w:line="240" w:lineRule="auto"/>
              <w:ind w:firstLine="0" w:firstLineChars="0"/>
              <w:jc w:val="right"/>
              <w:rPr>
                <w:sz w:val="21"/>
                <w:szCs w:val="21"/>
              </w:rPr>
            </w:pPr>
            <w:r>
              <w:rPr>
                <w:sz w:val="21"/>
                <w:szCs w:val="21"/>
              </w:rPr>
              <w:t xml:space="preserve">26.78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25.61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23.87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21.22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18.70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18.28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17.54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17.20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16.93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16.73 </w:t>
            </w:r>
          </w:p>
        </w:tc>
        <w:tc>
          <w:tcPr>
            <w:tcW w:w="396" w:type="pct"/>
            <w:shd w:val="clear" w:color="auto" w:fill="auto"/>
            <w:vAlign w:val="bottom"/>
          </w:tcPr>
          <w:p>
            <w:pPr>
              <w:tabs>
                <w:tab w:val="clear" w:pos="480"/>
              </w:tabs>
              <w:spacing w:line="240" w:lineRule="auto"/>
              <w:ind w:firstLine="0" w:firstLineChars="0"/>
              <w:jc w:val="center"/>
              <w:rPr>
                <w:sz w:val="21"/>
                <w:szCs w:val="21"/>
              </w:rPr>
            </w:pPr>
            <w:r>
              <w:rPr>
                <w:sz w:val="21"/>
                <w:szCs w:val="21"/>
              </w:rPr>
              <w:t xml:space="preserve">16.16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634" w:type="pct"/>
            <w:shd w:val="clear" w:color="auto" w:fill="auto"/>
            <w:noWrap/>
            <w:vAlign w:val="center"/>
          </w:tcPr>
          <w:p>
            <w:pPr>
              <w:pStyle w:val="2691"/>
            </w:pPr>
            <w:r>
              <w:t>2008-2021</w:t>
            </w:r>
          </w:p>
        </w:tc>
        <w:tc>
          <w:tcPr>
            <w:tcW w:w="396" w:type="pct"/>
            <w:shd w:val="clear" w:color="auto" w:fill="auto"/>
            <w:noWrap/>
            <w:vAlign w:val="bottom"/>
          </w:tcPr>
          <w:p>
            <w:pPr>
              <w:widowControl/>
              <w:tabs>
                <w:tab w:val="clear" w:pos="480"/>
              </w:tabs>
              <w:spacing w:line="240" w:lineRule="auto"/>
              <w:ind w:firstLine="0" w:firstLineChars="0"/>
              <w:jc w:val="right"/>
              <w:rPr>
                <w:sz w:val="21"/>
                <w:szCs w:val="21"/>
              </w:rPr>
            </w:pPr>
            <w:r>
              <w:rPr>
                <w:sz w:val="21"/>
                <w:szCs w:val="21"/>
              </w:rPr>
              <w:t xml:space="preserve">26.64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25.53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23.76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21.30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18.59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18.22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17.55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17.28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17.10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17.01 </w:t>
            </w:r>
          </w:p>
        </w:tc>
        <w:tc>
          <w:tcPr>
            <w:tcW w:w="396" w:type="pct"/>
            <w:shd w:val="clear" w:color="auto" w:fill="auto"/>
            <w:vAlign w:val="bottom"/>
          </w:tcPr>
          <w:p>
            <w:pPr>
              <w:tabs>
                <w:tab w:val="clear" w:pos="480"/>
              </w:tabs>
              <w:spacing w:line="240" w:lineRule="auto"/>
              <w:ind w:firstLine="0" w:firstLineChars="0"/>
              <w:jc w:val="center"/>
              <w:rPr>
                <w:sz w:val="21"/>
                <w:szCs w:val="21"/>
              </w:rPr>
            </w:pPr>
            <w:r>
              <w:rPr>
                <w:sz w:val="21"/>
                <w:szCs w:val="21"/>
              </w:rPr>
              <w:t xml:space="preserve">16.77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634" w:type="pct"/>
            <w:shd w:val="clear" w:color="auto" w:fill="auto"/>
            <w:noWrap/>
            <w:vAlign w:val="center"/>
          </w:tcPr>
          <w:p>
            <w:pPr>
              <w:pStyle w:val="2691"/>
            </w:pPr>
            <w:r>
              <w:t>2012-2021</w:t>
            </w:r>
          </w:p>
        </w:tc>
        <w:tc>
          <w:tcPr>
            <w:tcW w:w="396" w:type="pct"/>
            <w:shd w:val="clear" w:color="auto" w:fill="auto"/>
            <w:noWrap/>
            <w:vAlign w:val="bottom"/>
          </w:tcPr>
          <w:p>
            <w:pPr>
              <w:widowControl/>
              <w:tabs>
                <w:tab w:val="clear" w:pos="480"/>
              </w:tabs>
              <w:spacing w:line="240" w:lineRule="auto"/>
              <w:ind w:firstLine="0" w:firstLineChars="0"/>
              <w:jc w:val="right"/>
              <w:rPr>
                <w:sz w:val="21"/>
                <w:szCs w:val="21"/>
              </w:rPr>
            </w:pPr>
            <w:r>
              <w:rPr>
                <w:sz w:val="21"/>
                <w:szCs w:val="21"/>
              </w:rPr>
              <w:t xml:space="preserve">26.81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25.60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24.05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21.87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18.87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18.50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17.87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17.44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17.23 </w:t>
            </w:r>
          </w:p>
        </w:tc>
        <w:tc>
          <w:tcPr>
            <w:tcW w:w="396" w:type="pct"/>
            <w:shd w:val="clear" w:color="auto" w:fill="auto"/>
            <w:noWrap/>
            <w:vAlign w:val="bottom"/>
          </w:tcPr>
          <w:p>
            <w:pPr>
              <w:tabs>
                <w:tab w:val="clear" w:pos="480"/>
              </w:tabs>
              <w:spacing w:line="240" w:lineRule="auto"/>
              <w:ind w:firstLine="0" w:firstLineChars="0"/>
              <w:jc w:val="right"/>
              <w:rPr>
                <w:sz w:val="21"/>
                <w:szCs w:val="21"/>
              </w:rPr>
            </w:pPr>
            <w:r>
              <w:rPr>
                <w:sz w:val="21"/>
                <w:szCs w:val="21"/>
              </w:rPr>
              <w:t xml:space="preserve">17.15 </w:t>
            </w:r>
          </w:p>
        </w:tc>
        <w:tc>
          <w:tcPr>
            <w:tcW w:w="396" w:type="pct"/>
            <w:shd w:val="clear" w:color="auto" w:fill="auto"/>
            <w:vAlign w:val="bottom"/>
          </w:tcPr>
          <w:p>
            <w:pPr>
              <w:tabs>
                <w:tab w:val="clear" w:pos="480"/>
              </w:tabs>
              <w:spacing w:line="240" w:lineRule="auto"/>
              <w:ind w:firstLine="0" w:firstLineChars="0"/>
              <w:jc w:val="center"/>
              <w:rPr>
                <w:sz w:val="21"/>
                <w:szCs w:val="21"/>
              </w:rPr>
            </w:pPr>
            <w:r>
              <w:rPr>
                <w:sz w:val="21"/>
                <w:szCs w:val="21"/>
              </w:rPr>
              <w:t xml:space="preserve">16.77 </w:t>
            </w:r>
          </w:p>
        </w:tc>
      </w:tr>
    </w:tbl>
    <w:p>
      <w:pPr>
        <w:pStyle w:val="3583"/>
        <w:numPr>
          <w:ilvl w:val="0"/>
          <w:numId w:val="0"/>
        </w:numPr>
        <w:jc w:val="both"/>
        <w:rPr>
          <w:b w:val="0"/>
          <w:szCs w:val="21"/>
        </w:rPr>
      </w:pPr>
      <w:r>
        <w:rPr>
          <w:bCs/>
          <w:szCs w:val="21"/>
        </w:rPr>
        <w:t>注：螺山站近年2008-2021年最低水位为16.60m，出现于2019年12月2日。</w:t>
      </w:r>
    </w:p>
    <w:p>
      <w:pPr>
        <w:pStyle w:val="3583"/>
        <w:spacing w:line="240" w:lineRule="auto"/>
        <w:ind w:left="0"/>
      </w:pPr>
      <w:r>
        <w:t>码头日平均综合历时保证率水位表（m）</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01"/>
        <w:gridCol w:w="735"/>
        <w:gridCol w:w="735"/>
        <w:gridCol w:w="735"/>
        <w:gridCol w:w="735"/>
        <w:gridCol w:w="735"/>
        <w:gridCol w:w="735"/>
        <w:gridCol w:w="735"/>
        <w:gridCol w:w="735"/>
        <w:gridCol w:w="735"/>
        <w:gridCol w:w="735"/>
        <w:gridCol w:w="73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0" w:type="auto"/>
            <w:tcBorders>
              <w:bottom w:val="single" w:color="auto" w:sz="12" w:space="0"/>
            </w:tcBorders>
            <w:shd w:val="clear" w:color="auto" w:fill="auto"/>
            <w:vAlign w:val="center"/>
          </w:tcPr>
          <w:p>
            <w:pPr>
              <w:widowControl/>
              <w:tabs>
                <w:tab w:val="clear" w:pos="480"/>
              </w:tabs>
              <w:snapToGrid w:val="0"/>
              <w:spacing w:line="240" w:lineRule="auto"/>
              <w:ind w:firstLine="0" w:firstLineChars="0"/>
              <w:jc w:val="center"/>
              <w:rPr>
                <w:b/>
                <w:kern w:val="0"/>
                <w:sz w:val="21"/>
                <w:szCs w:val="21"/>
              </w:rPr>
            </w:pPr>
            <w:r>
              <w:rPr>
                <w:b/>
                <w:kern w:val="0"/>
                <w:sz w:val="21"/>
                <w:szCs w:val="21"/>
              </w:rPr>
              <w:t>保证率</w:t>
            </w:r>
          </w:p>
        </w:tc>
        <w:tc>
          <w:tcPr>
            <w:tcW w:w="0" w:type="auto"/>
            <w:tcBorders>
              <w:bottom w:val="single" w:color="auto" w:sz="12" w:space="0"/>
            </w:tcBorders>
            <w:shd w:val="clear" w:color="auto" w:fill="auto"/>
            <w:noWrap/>
            <w:vAlign w:val="center"/>
          </w:tcPr>
          <w:p>
            <w:pPr>
              <w:widowControl/>
              <w:tabs>
                <w:tab w:val="clear" w:pos="480"/>
              </w:tabs>
              <w:snapToGrid w:val="0"/>
              <w:spacing w:line="240" w:lineRule="auto"/>
              <w:ind w:firstLine="0" w:firstLineChars="0"/>
              <w:jc w:val="center"/>
              <w:rPr>
                <w:b/>
                <w:kern w:val="0"/>
                <w:sz w:val="21"/>
                <w:szCs w:val="21"/>
              </w:rPr>
            </w:pPr>
            <w:r>
              <w:rPr>
                <w:b/>
                <w:kern w:val="0"/>
                <w:sz w:val="21"/>
                <w:szCs w:val="21"/>
              </w:rPr>
              <w:t>10%</w:t>
            </w:r>
          </w:p>
        </w:tc>
        <w:tc>
          <w:tcPr>
            <w:tcW w:w="0" w:type="auto"/>
            <w:tcBorders>
              <w:bottom w:val="single" w:color="auto" w:sz="12" w:space="0"/>
            </w:tcBorders>
            <w:shd w:val="clear" w:color="auto" w:fill="auto"/>
            <w:noWrap/>
            <w:vAlign w:val="center"/>
          </w:tcPr>
          <w:p>
            <w:pPr>
              <w:widowControl/>
              <w:tabs>
                <w:tab w:val="clear" w:pos="480"/>
              </w:tabs>
              <w:snapToGrid w:val="0"/>
              <w:spacing w:line="240" w:lineRule="auto"/>
              <w:ind w:firstLine="0" w:firstLineChars="0"/>
              <w:jc w:val="center"/>
              <w:rPr>
                <w:b/>
                <w:kern w:val="0"/>
                <w:sz w:val="21"/>
                <w:szCs w:val="21"/>
              </w:rPr>
            </w:pPr>
            <w:r>
              <w:rPr>
                <w:b/>
                <w:kern w:val="0"/>
                <w:sz w:val="21"/>
                <w:szCs w:val="21"/>
              </w:rPr>
              <w:t>20%</w:t>
            </w:r>
          </w:p>
        </w:tc>
        <w:tc>
          <w:tcPr>
            <w:tcW w:w="0" w:type="auto"/>
            <w:tcBorders>
              <w:bottom w:val="single" w:color="auto" w:sz="12" w:space="0"/>
            </w:tcBorders>
            <w:shd w:val="clear" w:color="auto" w:fill="auto"/>
            <w:noWrap/>
            <w:vAlign w:val="center"/>
          </w:tcPr>
          <w:p>
            <w:pPr>
              <w:widowControl/>
              <w:tabs>
                <w:tab w:val="clear" w:pos="480"/>
              </w:tabs>
              <w:snapToGrid w:val="0"/>
              <w:spacing w:line="240" w:lineRule="auto"/>
              <w:ind w:firstLine="0" w:firstLineChars="0"/>
              <w:jc w:val="center"/>
              <w:rPr>
                <w:b/>
                <w:kern w:val="0"/>
                <w:sz w:val="21"/>
                <w:szCs w:val="21"/>
              </w:rPr>
            </w:pPr>
            <w:r>
              <w:rPr>
                <w:b/>
                <w:kern w:val="0"/>
                <w:sz w:val="21"/>
                <w:szCs w:val="21"/>
              </w:rPr>
              <w:t>33%</w:t>
            </w:r>
          </w:p>
        </w:tc>
        <w:tc>
          <w:tcPr>
            <w:tcW w:w="0" w:type="auto"/>
            <w:tcBorders>
              <w:bottom w:val="single" w:color="auto" w:sz="12" w:space="0"/>
            </w:tcBorders>
            <w:shd w:val="clear" w:color="auto" w:fill="auto"/>
            <w:noWrap/>
            <w:vAlign w:val="center"/>
          </w:tcPr>
          <w:p>
            <w:pPr>
              <w:widowControl/>
              <w:tabs>
                <w:tab w:val="clear" w:pos="480"/>
              </w:tabs>
              <w:snapToGrid w:val="0"/>
              <w:spacing w:line="240" w:lineRule="auto"/>
              <w:ind w:firstLine="0" w:firstLineChars="0"/>
              <w:jc w:val="center"/>
              <w:rPr>
                <w:b/>
                <w:kern w:val="0"/>
                <w:sz w:val="21"/>
                <w:szCs w:val="21"/>
              </w:rPr>
            </w:pPr>
            <w:r>
              <w:rPr>
                <w:b/>
                <w:kern w:val="0"/>
                <w:sz w:val="21"/>
                <w:szCs w:val="21"/>
              </w:rPr>
              <w:t>50%</w:t>
            </w:r>
          </w:p>
        </w:tc>
        <w:tc>
          <w:tcPr>
            <w:tcW w:w="0" w:type="auto"/>
            <w:tcBorders>
              <w:bottom w:val="single" w:color="auto" w:sz="12" w:space="0"/>
            </w:tcBorders>
            <w:shd w:val="clear" w:color="auto" w:fill="auto"/>
            <w:noWrap/>
            <w:vAlign w:val="center"/>
          </w:tcPr>
          <w:p>
            <w:pPr>
              <w:widowControl/>
              <w:tabs>
                <w:tab w:val="clear" w:pos="480"/>
              </w:tabs>
              <w:snapToGrid w:val="0"/>
              <w:spacing w:line="240" w:lineRule="auto"/>
              <w:ind w:firstLine="0" w:firstLineChars="0"/>
              <w:jc w:val="center"/>
              <w:rPr>
                <w:b/>
                <w:kern w:val="0"/>
                <w:sz w:val="21"/>
                <w:szCs w:val="21"/>
              </w:rPr>
            </w:pPr>
            <w:r>
              <w:rPr>
                <w:b/>
                <w:kern w:val="0"/>
                <w:sz w:val="21"/>
                <w:szCs w:val="21"/>
              </w:rPr>
              <w:t>75%</w:t>
            </w:r>
          </w:p>
        </w:tc>
        <w:tc>
          <w:tcPr>
            <w:tcW w:w="0" w:type="auto"/>
            <w:tcBorders>
              <w:bottom w:val="single" w:color="auto" w:sz="12" w:space="0"/>
            </w:tcBorders>
            <w:shd w:val="clear" w:color="auto" w:fill="auto"/>
            <w:noWrap/>
            <w:vAlign w:val="center"/>
          </w:tcPr>
          <w:p>
            <w:pPr>
              <w:widowControl/>
              <w:tabs>
                <w:tab w:val="clear" w:pos="480"/>
              </w:tabs>
              <w:snapToGrid w:val="0"/>
              <w:spacing w:line="240" w:lineRule="auto"/>
              <w:ind w:firstLine="0" w:firstLineChars="0"/>
              <w:jc w:val="center"/>
              <w:rPr>
                <w:b/>
                <w:kern w:val="0"/>
                <w:sz w:val="21"/>
                <w:szCs w:val="21"/>
              </w:rPr>
            </w:pPr>
            <w:r>
              <w:rPr>
                <w:b/>
                <w:kern w:val="0"/>
                <w:sz w:val="21"/>
                <w:szCs w:val="21"/>
              </w:rPr>
              <w:t>80%</w:t>
            </w:r>
          </w:p>
        </w:tc>
        <w:tc>
          <w:tcPr>
            <w:tcW w:w="0" w:type="auto"/>
            <w:tcBorders>
              <w:bottom w:val="single" w:color="auto" w:sz="12" w:space="0"/>
            </w:tcBorders>
            <w:shd w:val="clear" w:color="auto" w:fill="auto"/>
            <w:noWrap/>
            <w:vAlign w:val="center"/>
          </w:tcPr>
          <w:p>
            <w:pPr>
              <w:widowControl/>
              <w:tabs>
                <w:tab w:val="clear" w:pos="480"/>
              </w:tabs>
              <w:snapToGrid w:val="0"/>
              <w:spacing w:line="240" w:lineRule="auto"/>
              <w:ind w:firstLine="0" w:firstLineChars="0"/>
              <w:jc w:val="center"/>
              <w:rPr>
                <w:b/>
                <w:kern w:val="0"/>
                <w:sz w:val="21"/>
                <w:szCs w:val="21"/>
              </w:rPr>
            </w:pPr>
            <w:r>
              <w:rPr>
                <w:b/>
                <w:kern w:val="0"/>
                <w:sz w:val="21"/>
                <w:szCs w:val="21"/>
              </w:rPr>
              <w:t>90%</w:t>
            </w:r>
          </w:p>
        </w:tc>
        <w:tc>
          <w:tcPr>
            <w:tcW w:w="0" w:type="auto"/>
            <w:tcBorders>
              <w:bottom w:val="single" w:color="auto" w:sz="12" w:space="0"/>
            </w:tcBorders>
            <w:shd w:val="clear" w:color="auto" w:fill="auto"/>
            <w:noWrap/>
            <w:vAlign w:val="center"/>
          </w:tcPr>
          <w:p>
            <w:pPr>
              <w:widowControl/>
              <w:tabs>
                <w:tab w:val="clear" w:pos="480"/>
              </w:tabs>
              <w:snapToGrid w:val="0"/>
              <w:spacing w:line="240" w:lineRule="auto"/>
              <w:ind w:firstLine="0" w:firstLineChars="0"/>
              <w:jc w:val="center"/>
              <w:rPr>
                <w:b/>
                <w:kern w:val="0"/>
                <w:sz w:val="21"/>
                <w:szCs w:val="21"/>
              </w:rPr>
            </w:pPr>
            <w:r>
              <w:rPr>
                <w:b/>
                <w:kern w:val="0"/>
                <w:sz w:val="21"/>
                <w:szCs w:val="21"/>
              </w:rPr>
              <w:t>95%</w:t>
            </w:r>
          </w:p>
        </w:tc>
        <w:tc>
          <w:tcPr>
            <w:tcW w:w="0" w:type="auto"/>
            <w:tcBorders>
              <w:bottom w:val="single" w:color="auto" w:sz="12" w:space="0"/>
            </w:tcBorders>
            <w:shd w:val="clear" w:color="auto" w:fill="auto"/>
            <w:noWrap/>
            <w:vAlign w:val="center"/>
          </w:tcPr>
          <w:p>
            <w:pPr>
              <w:widowControl/>
              <w:tabs>
                <w:tab w:val="clear" w:pos="480"/>
              </w:tabs>
              <w:snapToGrid w:val="0"/>
              <w:spacing w:line="240" w:lineRule="auto"/>
              <w:ind w:firstLine="0" w:firstLineChars="0"/>
              <w:jc w:val="center"/>
              <w:rPr>
                <w:b/>
                <w:kern w:val="0"/>
                <w:sz w:val="21"/>
                <w:szCs w:val="21"/>
              </w:rPr>
            </w:pPr>
            <w:r>
              <w:rPr>
                <w:b/>
                <w:kern w:val="0"/>
                <w:sz w:val="21"/>
                <w:szCs w:val="21"/>
              </w:rPr>
              <w:t>98%</w:t>
            </w:r>
          </w:p>
        </w:tc>
        <w:tc>
          <w:tcPr>
            <w:tcW w:w="0" w:type="auto"/>
            <w:tcBorders>
              <w:bottom w:val="single" w:color="auto" w:sz="12" w:space="0"/>
            </w:tcBorders>
            <w:shd w:val="clear" w:color="auto" w:fill="auto"/>
            <w:noWrap/>
            <w:vAlign w:val="center"/>
          </w:tcPr>
          <w:p>
            <w:pPr>
              <w:widowControl/>
              <w:tabs>
                <w:tab w:val="clear" w:pos="480"/>
              </w:tabs>
              <w:snapToGrid w:val="0"/>
              <w:spacing w:line="240" w:lineRule="auto"/>
              <w:ind w:firstLine="0" w:firstLineChars="0"/>
              <w:jc w:val="center"/>
              <w:rPr>
                <w:b/>
                <w:kern w:val="0"/>
                <w:sz w:val="21"/>
                <w:szCs w:val="21"/>
              </w:rPr>
            </w:pPr>
            <w:r>
              <w:rPr>
                <w:b/>
                <w:kern w:val="0"/>
                <w:sz w:val="21"/>
                <w:szCs w:val="21"/>
              </w:rPr>
              <w:t>99%</w:t>
            </w:r>
          </w:p>
        </w:tc>
        <w:tc>
          <w:tcPr>
            <w:tcW w:w="0" w:type="auto"/>
            <w:tcBorders>
              <w:bottom w:val="single" w:color="auto" w:sz="12" w:space="0"/>
            </w:tcBorders>
          </w:tcPr>
          <w:p>
            <w:pPr>
              <w:widowControl/>
              <w:tabs>
                <w:tab w:val="clear" w:pos="480"/>
              </w:tabs>
              <w:snapToGrid w:val="0"/>
              <w:spacing w:line="240" w:lineRule="auto"/>
              <w:ind w:firstLine="0" w:firstLineChars="0"/>
              <w:jc w:val="center"/>
              <w:rPr>
                <w:b/>
                <w:kern w:val="0"/>
                <w:sz w:val="21"/>
                <w:szCs w:val="21"/>
              </w:rPr>
            </w:pPr>
            <w:r>
              <w:rPr>
                <w:b/>
                <w:kern w:val="0"/>
                <w:sz w:val="21"/>
                <w:szCs w:val="21"/>
              </w:rPr>
              <w:t>Min</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0" w:type="auto"/>
            <w:tcBorders>
              <w:top w:val="single" w:color="auto" w:sz="12" w:space="0"/>
            </w:tcBorders>
            <w:shd w:val="clear" w:color="auto" w:fill="auto"/>
            <w:vAlign w:val="center"/>
          </w:tcPr>
          <w:p>
            <w:pPr>
              <w:pStyle w:val="2691"/>
            </w:pPr>
            <w:r>
              <w:t>1996-2021</w:t>
            </w:r>
          </w:p>
        </w:tc>
        <w:tc>
          <w:tcPr>
            <w:tcW w:w="0" w:type="auto"/>
            <w:tcBorders>
              <w:top w:val="single" w:color="auto" w:sz="12" w:space="0"/>
            </w:tcBorders>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27.37</w:t>
            </w:r>
          </w:p>
        </w:tc>
        <w:tc>
          <w:tcPr>
            <w:tcW w:w="0" w:type="auto"/>
            <w:tcBorders>
              <w:top w:val="single" w:color="auto" w:sz="12" w:space="0"/>
            </w:tcBorders>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26.22</w:t>
            </w:r>
          </w:p>
        </w:tc>
        <w:tc>
          <w:tcPr>
            <w:tcW w:w="0" w:type="auto"/>
            <w:tcBorders>
              <w:top w:val="single" w:color="auto" w:sz="12" w:space="0"/>
            </w:tcBorders>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24.57</w:t>
            </w:r>
          </w:p>
        </w:tc>
        <w:tc>
          <w:tcPr>
            <w:tcW w:w="0" w:type="auto"/>
            <w:tcBorders>
              <w:top w:val="single" w:color="auto" w:sz="12" w:space="0"/>
            </w:tcBorders>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21.39</w:t>
            </w:r>
          </w:p>
        </w:tc>
        <w:tc>
          <w:tcPr>
            <w:tcW w:w="0" w:type="auto"/>
            <w:tcBorders>
              <w:top w:val="single" w:color="auto" w:sz="12" w:space="0"/>
            </w:tcBorders>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19.30</w:t>
            </w:r>
          </w:p>
        </w:tc>
        <w:tc>
          <w:tcPr>
            <w:tcW w:w="0" w:type="auto"/>
            <w:tcBorders>
              <w:top w:val="single" w:color="auto" w:sz="12" w:space="0"/>
            </w:tcBorders>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18.80</w:t>
            </w:r>
          </w:p>
        </w:tc>
        <w:tc>
          <w:tcPr>
            <w:tcW w:w="0" w:type="auto"/>
            <w:tcBorders>
              <w:top w:val="single" w:color="auto" w:sz="12" w:space="0"/>
            </w:tcBorders>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17.86</w:t>
            </w:r>
          </w:p>
        </w:tc>
        <w:tc>
          <w:tcPr>
            <w:tcW w:w="0" w:type="auto"/>
            <w:tcBorders>
              <w:top w:val="single" w:color="auto" w:sz="12" w:space="0"/>
            </w:tcBorders>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17.44</w:t>
            </w:r>
          </w:p>
        </w:tc>
        <w:tc>
          <w:tcPr>
            <w:tcW w:w="0" w:type="auto"/>
            <w:tcBorders>
              <w:top w:val="single" w:color="auto" w:sz="12" w:space="0"/>
            </w:tcBorders>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17.09</w:t>
            </w:r>
          </w:p>
        </w:tc>
        <w:tc>
          <w:tcPr>
            <w:tcW w:w="0" w:type="auto"/>
            <w:tcBorders>
              <w:top w:val="single" w:color="auto" w:sz="12" w:space="0"/>
            </w:tcBorders>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16.94</w:t>
            </w:r>
          </w:p>
        </w:tc>
        <w:tc>
          <w:tcPr>
            <w:tcW w:w="0" w:type="auto"/>
            <w:tcBorders>
              <w:top w:val="single" w:color="auto" w:sz="12" w:space="0"/>
            </w:tcBorders>
            <w:shd w:val="clear" w:color="auto" w:fill="auto"/>
            <w:vAlign w:val="center"/>
          </w:tcPr>
          <w:p>
            <w:pPr>
              <w:widowControl/>
              <w:tabs>
                <w:tab w:val="clear" w:pos="480"/>
              </w:tabs>
              <w:spacing w:line="240" w:lineRule="auto"/>
              <w:ind w:firstLine="0" w:firstLineChars="0"/>
              <w:jc w:val="right"/>
              <w:rPr>
                <w:sz w:val="21"/>
                <w:szCs w:val="21"/>
              </w:rPr>
            </w:pPr>
            <w:r>
              <w:rPr>
                <w:sz w:val="21"/>
                <w:szCs w:val="21"/>
              </w:rPr>
              <w:t>16.52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0" w:type="auto"/>
            <w:shd w:val="clear" w:color="auto" w:fill="auto"/>
            <w:vAlign w:val="center"/>
          </w:tcPr>
          <w:p>
            <w:pPr>
              <w:pStyle w:val="2691"/>
            </w:pPr>
            <w:r>
              <w:t>2003-2021</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27.11</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25.96</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24.25</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21.60</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19.09</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18.70</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17.97</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17.64</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17.38</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17.16</w:t>
            </w:r>
          </w:p>
        </w:tc>
        <w:tc>
          <w:tcPr>
            <w:tcW w:w="0" w:type="auto"/>
            <w:shd w:val="clear" w:color="auto" w:fill="auto"/>
            <w:vAlign w:val="center"/>
          </w:tcPr>
          <w:p>
            <w:pPr>
              <w:widowControl/>
              <w:tabs>
                <w:tab w:val="clear" w:pos="480"/>
              </w:tabs>
              <w:spacing w:line="240" w:lineRule="auto"/>
              <w:ind w:firstLine="0" w:firstLineChars="0"/>
              <w:jc w:val="right"/>
              <w:rPr>
                <w:sz w:val="21"/>
                <w:szCs w:val="21"/>
              </w:rPr>
            </w:pPr>
            <w:r>
              <w:rPr>
                <w:sz w:val="21"/>
                <w:szCs w:val="21"/>
              </w:rPr>
              <w:t>16.52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0" w:type="auto"/>
            <w:shd w:val="clear" w:color="auto" w:fill="auto"/>
            <w:noWrap/>
            <w:vAlign w:val="center"/>
          </w:tcPr>
          <w:p>
            <w:pPr>
              <w:pStyle w:val="2691"/>
            </w:pPr>
            <w:r>
              <w:t>2008-2021</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26.96</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25.86</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24.09</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21.59</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18.95</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18.60</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17.95</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17.69</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17.52</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17.43</w:t>
            </w:r>
          </w:p>
        </w:tc>
        <w:tc>
          <w:tcPr>
            <w:tcW w:w="0" w:type="auto"/>
            <w:shd w:val="clear" w:color="auto" w:fill="auto"/>
            <w:vAlign w:val="center"/>
          </w:tcPr>
          <w:p>
            <w:pPr>
              <w:widowControl/>
              <w:tabs>
                <w:tab w:val="clear" w:pos="480"/>
              </w:tabs>
              <w:spacing w:line="240" w:lineRule="auto"/>
              <w:ind w:firstLine="0" w:firstLineChars="0"/>
              <w:jc w:val="right"/>
              <w:rPr>
                <w:sz w:val="21"/>
                <w:szCs w:val="21"/>
              </w:rPr>
            </w:pPr>
            <w:r>
              <w:rPr>
                <w:sz w:val="21"/>
                <w:szCs w:val="21"/>
              </w:rPr>
              <w:t>17.13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0" w:type="auto"/>
            <w:shd w:val="clear" w:color="auto" w:fill="auto"/>
            <w:noWrap/>
            <w:vAlign w:val="center"/>
          </w:tcPr>
          <w:p>
            <w:pPr>
              <w:pStyle w:val="2691"/>
            </w:pPr>
            <w:r>
              <w:t>2012-2021</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27.12</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25.91</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24.36</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22.10</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19.19</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18.85</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18.23</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17.83</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17.62</w:t>
            </w:r>
          </w:p>
        </w:tc>
        <w:tc>
          <w:tcPr>
            <w:tcW w:w="0" w:type="auto"/>
            <w:shd w:val="clear" w:color="auto" w:fill="auto"/>
            <w:noWrap/>
            <w:vAlign w:val="center"/>
          </w:tcPr>
          <w:p>
            <w:pPr>
              <w:widowControl/>
              <w:tabs>
                <w:tab w:val="clear" w:pos="480"/>
              </w:tabs>
              <w:spacing w:line="240" w:lineRule="auto"/>
              <w:ind w:firstLine="0" w:firstLineChars="0"/>
              <w:jc w:val="right"/>
              <w:rPr>
                <w:sz w:val="21"/>
                <w:szCs w:val="21"/>
              </w:rPr>
            </w:pPr>
            <w:r>
              <w:rPr>
                <w:sz w:val="21"/>
                <w:szCs w:val="21"/>
              </w:rPr>
              <w:t>17.54</w:t>
            </w:r>
          </w:p>
        </w:tc>
        <w:tc>
          <w:tcPr>
            <w:tcW w:w="0" w:type="auto"/>
            <w:shd w:val="clear" w:color="auto" w:fill="auto"/>
            <w:vAlign w:val="center"/>
          </w:tcPr>
          <w:p>
            <w:pPr>
              <w:widowControl/>
              <w:tabs>
                <w:tab w:val="clear" w:pos="480"/>
              </w:tabs>
              <w:spacing w:line="240" w:lineRule="auto"/>
              <w:ind w:firstLine="0" w:firstLineChars="0"/>
              <w:jc w:val="right"/>
              <w:rPr>
                <w:sz w:val="21"/>
                <w:szCs w:val="21"/>
              </w:rPr>
            </w:pPr>
            <w:r>
              <w:rPr>
                <w:sz w:val="21"/>
                <w:szCs w:val="21"/>
              </w:rPr>
              <w:t>17.13</w:t>
            </w:r>
          </w:p>
        </w:tc>
      </w:tr>
    </w:tbl>
    <w:p>
      <w:pPr>
        <w:spacing w:line="240" w:lineRule="auto"/>
        <w:ind w:firstLine="480"/>
        <w:jc w:val="center"/>
      </w:pPr>
      <w:r>
        <w:drawing>
          <wp:inline distT="0" distB="0" distL="0" distR="0">
            <wp:extent cx="4015740" cy="2301875"/>
            <wp:effectExtent l="0" t="0" r="3810" b="3175"/>
            <wp:docPr id="9062" name="图片 9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2" name="图片 906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4029184" cy="2309836"/>
                    </a:xfrm>
                    <a:prstGeom prst="rect">
                      <a:avLst/>
                    </a:prstGeom>
                    <a:noFill/>
                  </pic:spPr>
                </pic:pic>
              </a:graphicData>
            </a:graphic>
          </wp:inline>
        </w:drawing>
      </w:r>
    </w:p>
    <w:p>
      <w:pPr>
        <w:adjustRightInd w:val="0"/>
        <w:spacing w:line="240" w:lineRule="auto"/>
        <w:ind w:firstLine="422"/>
        <w:contextualSpacing/>
        <w:jc w:val="center"/>
      </w:pPr>
      <w:r>
        <w:rPr>
          <w:b/>
          <w:sz w:val="21"/>
        </w:rPr>
        <w:t>图3-3螺山站98%保证率水位历年变化曲线</w:t>
      </w:r>
      <w:r>
        <w:drawing>
          <wp:inline distT="0" distB="0" distL="0" distR="0">
            <wp:extent cx="3807460" cy="250317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3820408" cy="2512108"/>
                    </a:xfrm>
                    <a:prstGeom prst="rect">
                      <a:avLst/>
                    </a:prstGeom>
                    <a:noFill/>
                    <a:ln>
                      <a:noFill/>
                    </a:ln>
                  </pic:spPr>
                </pic:pic>
              </a:graphicData>
            </a:graphic>
          </wp:inline>
        </w:drawing>
      </w:r>
    </w:p>
    <w:p>
      <w:pPr>
        <w:adjustRightInd w:val="0"/>
        <w:spacing w:line="240" w:lineRule="auto"/>
        <w:ind w:firstLine="422"/>
        <w:contextualSpacing/>
        <w:jc w:val="center"/>
        <w:rPr>
          <w:b/>
          <w:sz w:val="21"/>
        </w:rPr>
      </w:pPr>
      <w:r>
        <w:rPr>
          <w:b/>
          <w:sz w:val="21"/>
        </w:rPr>
        <w:t>图3-4螺山站年最低水位历年变化曲线</w:t>
      </w:r>
    </w:p>
    <w:p>
      <w:pPr>
        <w:pStyle w:val="458"/>
        <w:ind w:firstLine="480"/>
        <w:rPr>
          <w:rFonts w:cs="Times New Roman"/>
          <w:bCs/>
          <w:color w:val="auto"/>
        </w:rPr>
      </w:pPr>
      <w:r>
        <w:rPr>
          <w:rFonts w:cs="Times New Roman"/>
          <w:bCs/>
          <w:color w:val="auto"/>
        </w:rPr>
        <w:t>由于葛洲坝水库和三峡水库的建成，长江中下游航道枯水流量有所增加，近年莲花塘水位站的低水位有所提高，如图3-3、3-4所示，给出了近十多年98%保证率水位及近二十多年螺山站年最低水位逐年变化曲线，整体上呈现上下波动且抬升的趋势（2017年为极枯年份）。但由于三峡水库引起下游河段冲淤也将使河水位较大变化，流量和冲淤对水位较长时期的综合作用将会如何发展，在工程界争议较大，仍然并不明朗有待观察。因此长江航道管理部门仍维持16.10m作为城陵矶航道通航低水位，维持14.72m作为螺山航道段通航低水位。</w:t>
      </w:r>
    </w:p>
    <w:p>
      <w:pPr>
        <w:pStyle w:val="458"/>
        <w:ind w:firstLine="480"/>
        <w:rPr>
          <w:rFonts w:cs="Times New Roman"/>
          <w:bCs/>
          <w:color w:val="auto"/>
        </w:rPr>
      </w:pPr>
      <w:r>
        <w:rPr>
          <w:rFonts w:cs="Times New Roman"/>
          <w:bCs/>
          <w:color w:val="auto"/>
        </w:rPr>
        <w:t>根据三峡建成后下游河床演变的大量专家预测（</w:t>
      </w:r>
      <w:r>
        <w:rPr>
          <w:rFonts w:cs="Times New Roman" w:asciiTheme="minorEastAsia" w:hAnsiTheme="minorEastAsia" w:eastAsiaTheme="minorEastAsia"/>
          <w:bCs/>
          <w:color w:val="auto"/>
        </w:rPr>
        <w:t>“</w:t>
      </w:r>
      <w:r>
        <w:rPr>
          <w:rFonts w:cs="Times New Roman"/>
          <w:bCs/>
          <w:color w:val="auto"/>
        </w:rPr>
        <w:t>三峡工程运用后长江中下游冲淤变化</w:t>
      </w:r>
      <w:r>
        <w:rPr>
          <w:rFonts w:cs="Times New Roman" w:asciiTheme="minorEastAsia" w:hAnsiTheme="minorEastAsia" w:eastAsiaTheme="minorEastAsia"/>
          <w:bCs/>
          <w:color w:val="auto"/>
        </w:rPr>
        <w:t>”</w:t>
      </w:r>
      <w:r>
        <w:rPr>
          <w:rFonts w:cs="Times New Roman"/>
          <w:bCs/>
          <w:color w:val="auto"/>
        </w:rPr>
        <w:t>2006年9月发表），三峡工程运行后，清水下泄将冲刷下游河床，城陵矶水位20年末将降低1.5m，30年末将降低2.2m。</w:t>
      </w:r>
    </w:p>
    <w:p>
      <w:pPr>
        <w:pStyle w:val="458"/>
        <w:ind w:firstLine="480"/>
        <w:rPr>
          <w:rFonts w:cs="Times New Roman"/>
          <w:bCs/>
          <w:color w:val="auto"/>
        </w:rPr>
      </w:pPr>
      <w:r>
        <w:rPr>
          <w:rFonts w:cs="Times New Roman"/>
          <w:bCs/>
          <w:color w:val="auto"/>
        </w:rPr>
        <w:t>比较上述各表中港址位置处的不同年份系列98%保证率水位可知，项目河段枯水位有整体抬升的趋势，但不排除远期枯水位下降的可能，为保守起见，本项目按照《港口与航道水文规范》（JTS145-2015）要求采用三峡建成后的近年水文站出现的最低水位按照码头位置内插，并参照邻近工程校验成果作为港口近期的设计低水位。码头设计水位如下所示：</w:t>
      </w:r>
    </w:p>
    <w:p>
      <w:pPr>
        <w:pStyle w:val="458"/>
        <w:ind w:firstLine="480"/>
        <w:rPr>
          <w:rFonts w:cs="Times New Roman"/>
          <w:bCs/>
          <w:color w:val="auto"/>
        </w:rPr>
      </w:pPr>
      <w:r>
        <w:rPr>
          <w:rFonts w:hint="eastAsia" w:cs="Times New Roman"/>
          <w:bCs/>
          <w:color w:val="auto"/>
        </w:rPr>
        <w:t>（</w:t>
      </w:r>
      <w:r>
        <w:rPr>
          <w:rFonts w:cs="Times New Roman"/>
          <w:bCs/>
          <w:color w:val="auto"/>
        </w:rPr>
        <w:t>1）设计高水位</w:t>
      </w:r>
    </w:p>
    <w:p>
      <w:pPr>
        <w:pStyle w:val="458"/>
        <w:ind w:firstLine="480"/>
        <w:rPr>
          <w:rFonts w:cs="Times New Roman"/>
          <w:bCs/>
          <w:color w:val="auto"/>
        </w:rPr>
      </w:pPr>
      <w:r>
        <w:rPr>
          <w:rFonts w:cs="Times New Roman"/>
          <w:bCs/>
          <w:color w:val="auto"/>
        </w:rPr>
        <w:t>根据《河港工程总体设计规范》（JTJ212-2006）的规定，本码头受淹损失为二类，所以设计高水位取20年一遇的设计洪水水位，为32.82m。</w:t>
      </w:r>
    </w:p>
    <w:p>
      <w:pPr>
        <w:pStyle w:val="458"/>
        <w:ind w:firstLine="480"/>
        <w:rPr>
          <w:rFonts w:cs="Times New Roman"/>
          <w:bCs/>
          <w:color w:val="auto"/>
        </w:rPr>
      </w:pPr>
      <w:r>
        <w:rPr>
          <w:rFonts w:hint="eastAsia" w:cs="Times New Roman"/>
          <w:bCs/>
          <w:color w:val="auto"/>
        </w:rPr>
        <w:t>（</w:t>
      </w:r>
      <w:r>
        <w:rPr>
          <w:rFonts w:cs="Times New Roman"/>
          <w:bCs/>
          <w:color w:val="auto"/>
        </w:rPr>
        <w:t>2）设计低水位</w:t>
      </w:r>
    </w:p>
    <w:p>
      <w:pPr>
        <w:pStyle w:val="458"/>
        <w:ind w:firstLine="480"/>
        <w:rPr>
          <w:rFonts w:cs="Times New Roman"/>
          <w:bCs/>
          <w:color w:val="auto"/>
        </w:rPr>
      </w:pPr>
      <w:r>
        <w:rPr>
          <w:rFonts w:cs="Times New Roman"/>
          <w:bCs/>
          <w:color w:val="auto"/>
        </w:rPr>
        <w:t>综合《河港工程总体设计规范》（JTJ212-2006）及上文论述，</w:t>
      </w:r>
      <w:r>
        <w:rPr>
          <w:rFonts w:hint="eastAsia" w:cs="Times New Roman"/>
          <w:bCs/>
          <w:color w:val="auto"/>
        </w:rPr>
        <w:t>近期设计低水位取为近年码头位置出现的最低水位</w:t>
      </w:r>
      <w:r>
        <w:rPr>
          <w:rFonts w:cs="Times New Roman"/>
          <w:bCs/>
          <w:color w:val="auto"/>
        </w:rPr>
        <w:t>17.30m</w:t>
      </w:r>
      <w:r>
        <w:rPr>
          <w:rFonts w:hint="eastAsia" w:cs="Times New Roman"/>
          <w:bCs/>
          <w:color w:val="auto"/>
        </w:rPr>
        <w:t>，远期设计低水位取为码头位置现行的航道航行基面</w:t>
      </w:r>
      <w:r>
        <w:rPr>
          <w:rFonts w:cs="Times New Roman"/>
          <w:bCs/>
          <w:color w:val="auto"/>
        </w:rPr>
        <w:t>15.61m。</w:t>
      </w:r>
    </w:p>
    <w:p>
      <w:pPr>
        <w:pStyle w:val="458"/>
        <w:ind w:firstLine="480"/>
        <w:rPr>
          <w:rFonts w:cs="Times New Roman"/>
          <w:bCs/>
          <w:color w:val="auto"/>
        </w:rPr>
      </w:pPr>
      <w:r>
        <w:rPr>
          <w:rFonts w:hint="eastAsia" w:cs="Times New Roman"/>
          <w:bCs/>
          <w:color w:val="auto"/>
        </w:rPr>
        <w:t>（</w:t>
      </w:r>
      <w:r>
        <w:rPr>
          <w:rFonts w:cs="Times New Roman"/>
          <w:bCs/>
          <w:color w:val="auto"/>
        </w:rPr>
        <w:t>3</w:t>
      </w:r>
      <w:r>
        <w:rPr>
          <w:rFonts w:hint="eastAsia" w:cs="Times New Roman"/>
          <w:bCs/>
          <w:color w:val="auto"/>
        </w:rPr>
        <w:t>）施工水位</w:t>
      </w:r>
    </w:p>
    <w:p>
      <w:pPr>
        <w:pStyle w:val="458"/>
        <w:ind w:firstLine="480"/>
        <w:rPr>
          <w:rFonts w:cs="Times New Roman"/>
          <w:bCs/>
          <w:color w:val="auto"/>
        </w:rPr>
      </w:pPr>
      <w:r>
        <w:rPr>
          <w:rFonts w:hint="eastAsia" w:cs="Times New Roman"/>
          <w:bCs/>
          <w:color w:val="auto"/>
        </w:rPr>
        <w:t>本码头施工水位取为近</w:t>
      </w:r>
      <w:r>
        <w:rPr>
          <w:rFonts w:cs="Times New Roman"/>
          <w:bCs/>
          <w:color w:val="auto"/>
        </w:rPr>
        <w:t>5</w:t>
      </w:r>
      <w:r>
        <w:rPr>
          <w:rFonts w:hint="eastAsia" w:cs="Times New Roman"/>
          <w:bCs/>
          <w:color w:val="auto"/>
        </w:rPr>
        <w:t>年</w:t>
      </w:r>
      <w:r>
        <w:rPr>
          <w:rFonts w:cs="Times New Roman"/>
          <w:bCs/>
          <w:color w:val="auto"/>
        </w:rPr>
        <w:t>11</w:t>
      </w:r>
      <w:r>
        <w:rPr>
          <w:rFonts w:hint="eastAsia" w:cs="Times New Roman"/>
          <w:bCs/>
          <w:color w:val="auto"/>
        </w:rPr>
        <w:t>月至次年</w:t>
      </w:r>
      <w:r>
        <w:rPr>
          <w:rFonts w:cs="Times New Roman"/>
          <w:bCs/>
          <w:color w:val="auto"/>
        </w:rPr>
        <w:t>2</w:t>
      </w:r>
      <w:r>
        <w:rPr>
          <w:rFonts w:hint="eastAsia" w:cs="Times New Roman"/>
          <w:bCs/>
          <w:color w:val="auto"/>
        </w:rPr>
        <w:t>月的平均水位</w:t>
      </w:r>
      <w:r>
        <w:rPr>
          <w:rFonts w:cs="Times New Roman"/>
          <w:bCs/>
          <w:color w:val="auto"/>
        </w:rPr>
        <w:t>19.70m</w:t>
      </w:r>
      <w:r>
        <w:rPr>
          <w:rFonts w:hint="eastAsia" w:cs="Times New Roman"/>
          <w:bCs/>
          <w:color w:val="auto"/>
        </w:rPr>
        <w:t>。</w:t>
      </w:r>
    </w:p>
    <w:p>
      <w:pPr>
        <w:pStyle w:val="456"/>
        <w:ind w:firstLine="482"/>
      </w:pPr>
      <w:r>
        <w:t>水系</w:t>
      </w:r>
    </w:p>
    <w:p>
      <w:pPr>
        <w:ind w:firstLine="480"/>
      </w:pPr>
      <w:r>
        <w:t>岳阳市水系发达，湖泊星罗棋布，河流网织，有大小湖泊165个，280多条大小河流直接流入洞庭湖和长江。洞庭湖是长江中游最重要的调蓄湖泊，湖泊面积2691km</w:t>
      </w:r>
      <w:r>
        <w:rPr>
          <w:vertAlign w:val="superscript"/>
        </w:rPr>
        <w:t>2</w:t>
      </w:r>
      <w:r>
        <w:t>，总容积170亿m</w:t>
      </w:r>
      <w:r>
        <w:rPr>
          <w:vertAlign w:val="superscript"/>
        </w:rPr>
        <w:t>3</w:t>
      </w:r>
      <w:r>
        <w:t>，分为东、西、南洞庭湖。岳阳市境内洞庭湖面积约1328km</w:t>
      </w:r>
      <w:r>
        <w:rPr>
          <w:vertAlign w:val="superscript"/>
        </w:rPr>
        <w:t>2</w:t>
      </w:r>
      <w:r>
        <w:t>。东洞庭湖是洞庭湖泊群落中最大、保存最完好的天然季节性湖泊，占洞庭湖总水面的49.35%，其水面大部分位于岳阳境内。在洞庭湖周边，沿东、南、西、北4个方向，分别有新墙河、汨罗江、湘江、资江、沅江、澧水、松滋河、虎渡河、藕池河等九条大中江河入湖，形成以洞庭湖为中心的辐射状水系，亦被称</w:t>
      </w:r>
      <w:r>
        <w:rPr>
          <w:rFonts w:asciiTheme="minorEastAsia" w:hAnsiTheme="minorEastAsia" w:eastAsiaTheme="minorEastAsia"/>
        </w:rPr>
        <w:t>“</w:t>
      </w:r>
      <w:r>
        <w:t>九龙闹洞庭</w:t>
      </w:r>
      <w:r>
        <w:rPr>
          <w:rFonts w:asciiTheme="minorEastAsia" w:hAnsiTheme="minorEastAsia" w:eastAsiaTheme="minorEastAsia"/>
        </w:rPr>
        <w:t>”</w:t>
      </w:r>
      <w:r>
        <w:t>；其中前六条统称为</w:t>
      </w:r>
      <w:r>
        <w:rPr>
          <w:rFonts w:asciiTheme="minorEastAsia" w:hAnsiTheme="minorEastAsia" w:eastAsiaTheme="minorEastAsia"/>
        </w:rPr>
        <w:t>“</w:t>
      </w:r>
      <w:r>
        <w:t>南水</w:t>
      </w:r>
      <w:r>
        <w:rPr>
          <w:rFonts w:asciiTheme="minorEastAsia" w:hAnsiTheme="minorEastAsia" w:eastAsiaTheme="minorEastAsia"/>
        </w:rPr>
        <w:t>”</w:t>
      </w:r>
      <w:r>
        <w:t>，后三条统称为</w:t>
      </w:r>
      <w:r>
        <w:rPr>
          <w:rFonts w:asciiTheme="minorEastAsia" w:hAnsiTheme="minorEastAsia" w:eastAsiaTheme="minorEastAsia"/>
        </w:rPr>
        <w:t>“</w:t>
      </w:r>
      <w:r>
        <w:t>北水</w:t>
      </w:r>
      <w:r>
        <w:rPr>
          <w:rFonts w:asciiTheme="minorEastAsia" w:hAnsiTheme="minorEastAsia" w:eastAsiaTheme="minorEastAsia"/>
        </w:rPr>
        <w:t>”</w:t>
      </w:r>
      <w:r>
        <w:t>，南、北两水在洞庭湖</w:t>
      </w:r>
      <w:r>
        <w:rPr>
          <w:rFonts w:asciiTheme="minorEastAsia" w:hAnsiTheme="minorEastAsia" w:eastAsiaTheme="minorEastAsia"/>
        </w:rPr>
        <w:t>“</w:t>
      </w:r>
      <w:r>
        <w:t>九九归一</w:t>
      </w:r>
      <w:r>
        <w:rPr>
          <w:rFonts w:asciiTheme="minorEastAsia" w:hAnsiTheme="minorEastAsia" w:eastAsiaTheme="minorEastAsia"/>
        </w:rPr>
        <w:t>”</w:t>
      </w:r>
      <w:r>
        <w:t>于城陵矶汇入长江。全市长5km以上河流有273条，流域面积100km</w:t>
      </w:r>
      <w:r>
        <w:rPr>
          <w:vertAlign w:val="superscript"/>
        </w:rPr>
        <w:t>2</w:t>
      </w:r>
      <w:r>
        <w:t>的河流有27条，流域面积2000km</w:t>
      </w:r>
      <w:r>
        <w:rPr>
          <w:vertAlign w:val="superscript"/>
        </w:rPr>
        <w:t>2</w:t>
      </w:r>
      <w:r>
        <w:t>以上的河流有两条：汨罗江发源于通城、修水、平江交界的黄龙山脉，长253km，流域面积5543km</w:t>
      </w:r>
      <w:r>
        <w:rPr>
          <w:vertAlign w:val="superscript"/>
        </w:rPr>
        <w:t>2</w:t>
      </w:r>
      <w:r>
        <w:t>；新墙河长108km，流域面积2370km</w:t>
      </w:r>
      <w:r>
        <w:rPr>
          <w:vertAlign w:val="superscript"/>
        </w:rPr>
        <w:t>2</w:t>
      </w:r>
      <w:r>
        <w:t>。</w:t>
      </w:r>
    </w:p>
    <w:p>
      <w:pPr>
        <w:pStyle w:val="454"/>
        <w:ind w:firstLine="602"/>
        <w:rPr>
          <w:color w:val="auto"/>
        </w:rPr>
      </w:pPr>
      <w:r>
        <w:rPr>
          <w:color w:val="auto"/>
        </w:rPr>
        <w:t>河道概况</w:t>
      </w:r>
    </w:p>
    <w:p>
      <w:pPr>
        <w:ind w:firstLine="480"/>
      </w:pPr>
      <w:r>
        <w:t>工程河段自上而下包括道仁矶、杨林岩两个水道。</w:t>
      </w:r>
    </w:p>
    <w:p>
      <w:pPr>
        <w:ind w:firstLine="480"/>
      </w:pPr>
      <w:r>
        <w:t>杨林岩水道位于长江中游，湖北省监利县、湖南省岳阳市境内。河段上起彭家湾、下至龙头山，全长约7km，前期为便于研究水沙条件，研究河段上延至擂鼓台，全长20km，整个河段为顺直分汊型河段。河段自上而下依次分布有白螺矶～道人矶、杨林山～龙头山对峙节点，使河段平面形态呈宽窄相间的藕节状。上游丁家洲边滩处最大河宽为2.49km，白螺矶～道仁矶节点处河宽1.75km，杨林山～龙头山节点处河宽1.12km，在上下节点中间，河段宽阔，江中有南阳洲分河道为两汊，汊道段最大河宽达3.2km。</w:t>
      </w:r>
    </w:p>
    <w:p>
      <w:pPr>
        <w:ind w:firstLine="480"/>
      </w:pPr>
      <w:r>
        <w:t>道仁矶水道左岸一侧有丁家洲大边滩，右岸一侧依次有仙峰礁、烟灯矶等礁石凸伸江中，磨盘石位于江心。该水道进口右岸有擂台节点，中段有仙峰礁节点，节点内水道整体较为顺直，河宽变幅不大。下段出口左岸有白螺矶、右岸有道仁矶对峙，有效地控制了该河段河型，河道较顺直，河宽变幅较小，一般保持在1900～2300m 之间（以大堤起算）。道仁矶水道河势格局及构成有两个特点：一是河床滩槽较为分明，左岸一侧为边滩或心滩，河心偏右岸一侧是深槽所在。二是水道所在河段属礁石河段，河段内自上而下有位于右岸一侧的擂鼓台、仙峰礁、烟灯矶等礁石。</w:t>
      </w:r>
    </w:p>
    <w:p>
      <w:pPr>
        <w:ind w:firstLine="480"/>
      </w:pPr>
      <w:r>
        <w:t>杨林岩水道为一顺直分汊水道。河道两头窄、中间宽。入口有道仁矶～白螺矶节点控制，出口有杨林山～龙头山节点控制，中间放宽，有江中南阳洲将河道分为左右两汊，左汊为支汊，右汊为主汊。左汊在九十年代以前水浅槽窄，九十年代以后，逐渐发展，水深改善，但左汊进口受丁家洲边滩滩尾冲淤变化，航槽易于出浅，且左汊入口和出口的航道弯曲、碍航礁石较多，不利于船舶安全航行，故多年来，主航道一直走右汊。</w:t>
      </w:r>
    </w:p>
    <w:p>
      <w:pPr>
        <w:pStyle w:val="453"/>
        <w:ind w:firstLine="643" w:firstLineChars="0"/>
        <w:rPr>
          <w:rFonts w:ascii="Times New Roman" w:cs="Times New Roman"/>
        </w:rPr>
      </w:pPr>
      <w:bookmarkStart w:id="103" w:name="_Toc15505"/>
      <w:bookmarkStart w:id="104" w:name="_Toc106697001"/>
      <w:bookmarkStart w:id="105" w:name="_Toc10703"/>
      <w:r>
        <w:rPr>
          <w:rFonts w:ascii="Times New Roman" w:cs="Times New Roman"/>
        </w:rPr>
        <w:t>港区概况</w:t>
      </w:r>
      <w:bookmarkEnd w:id="103"/>
      <w:bookmarkEnd w:id="104"/>
      <w:bookmarkEnd w:id="105"/>
    </w:p>
    <w:p>
      <w:pPr>
        <w:pStyle w:val="454"/>
        <w:ind w:firstLine="602"/>
        <w:rPr>
          <w:color w:val="auto"/>
        </w:rPr>
      </w:pPr>
      <w:r>
        <w:rPr>
          <w:rFonts w:hint="eastAsia"/>
          <w:color w:val="auto"/>
        </w:rPr>
        <w:t>岳阳港</w:t>
      </w:r>
      <w:r>
        <w:rPr>
          <w:color w:val="auto"/>
        </w:rPr>
        <w:t>发展历程及规划</w:t>
      </w:r>
    </w:p>
    <w:p>
      <w:pPr>
        <w:ind w:firstLine="480"/>
      </w:pPr>
      <w:r>
        <w:t>岳阳港是全国36个内河主要港口之一，是湖南省长江干线上唯一的对外贸易口岸和国家一类开放港口；岳阳港也是湖南省内唯一拥有长江深水岸线的港口，水路可与沿海港口实现3000t级船舶的江海直达。岳阳境内有大小港口分布在长江、湘江及其他河流岸边城镇，是古代</w:t>
      </w:r>
      <w:r>
        <w:rPr>
          <w:rFonts w:asciiTheme="minorEastAsia" w:hAnsiTheme="minorEastAsia" w:eastAsiaTheme="minorEastAsia"/>
        </w:rPr>
        <w:t>“</w:t>
      </w:r>
      <w:r>
        <w:t>城依水建，水助城兴</w:t>
      </w:r>
      <w:r>
        <w:rPr>
          <w:rFonts w:asciiTheme="minorEastAsia" w:hAnsiTheme="minorEastAsia" w:eastAsiaTheme="minorEastAsia"/>
        </w:rPr>
        <w:t>”</w:t>
      </w:r>
      <w:r>
        <w:t>的产物。</w:t>
      </w:r>
    </w:p>
    <w:p>
      <w:pPr>
        <w:ind w:firstLine="480"/>
      </w:pPr>
      <w:r>
        <w:t>岳阳建港历史悠久，春秋战国时即为湘水入江之古港，清末时期城陵矶港开埠，成为设有海关的通商口岸，依托</w:t>
      </w:r>
      <w:r>
        <w:rPr>
          <w:rFonts w:asciiTheme="minorEastAsia" w:hAnsiTheme="minorEastAsia" w:eastAsiaTheme="minorEastAsia"/>
        </w:rPr>
        <w:t>“</w:t>
      </w:r>
      <w:r>
        <w:t>鱼米之乡</w:t>
      </w:r>
      <w:r>
        <w:rPr>
          <w:rFonts w:asciiTheme="minorEastAsia" w:hAnsiTheme="minorEastAsia" w:eastAsiaTheme="minorEastAsia"/>
        </w:rPr>
        <w:t>”</w:t>
      </w:r>
      <w:r>
        <w:t>、</w:t>
      </w:r>
      <w:r>
        <w:rPr>
          <w:rFonts w:asciiTheme="minorEastAsia" w:hAnsiTheme="minorEastAsia" w:eastAsiaTheme="minorEastAsia"/>
        </w:rPr>
        <w:t>“</w:t>
      </w:r>
      <w:r>
        <w:t>商贸重镇</w:t>
      </w:r>
      <w:r>
        <w:rPr>
          <w:rFonts w:asciiTheme="minorEastAsia" w:hAnsiTheme="minorEastAsia" w:eastAsiaTheme="minorEastAsia"/>
        </w:rPr>
        <w:t>”</w:t>
      </w:r>
      <w:r>
        <w:t>、</w:t>
      </w:r>
      <w:r>
        <w:rPr>
          <w:rFonts w:asciiTheme="minorEastAsia" w:hAnsiTheme="minorEastAsia" w:eastAsiaTheme="minorEastAsia"/>
        </w:rPr>
        <w:t>“</w:t>
      </w:r>
      <w:r>
        <w:t>诗意之城</w:t>
      </w:r>
      <w:r>
        <w:rPr>
          <w:rFonts w:asciiTheme="minorEastAsia" w:hAnsiTheme="minorEastAsia" w:eastAsiaTheme="minorEastAsia"/>
        </w:rPr>
        <w:t>”</w:t>
      </w:r>
      <w:r>
        <w:t>，几经发展和衰落，曾带动岳阳发展成为中部地区煤、油、盐、米、茶、棉花等重要物资的商贸流通中心。新中国成立后，分设有隶属中央管理的城陵矶港和地方管理的岳阳港。</w:t>
      </w:r>
      <w:r>
        <w:rPr>
          <w:rFonts w:hint="eastAsia"/>
        </w:rPr>
        <w:t>近年来，岳阳港腹地经济社会快速发展，港口作用也进一步增强，吞吐量持续快速增长。至</w:t>
      </w:r>
      <w:r>
        <w:t>2012</w:t>
      </w:r>
      <w:r>
        <w:rPr>
          <w:rFonts w:hint="eastAsia"/>
        </w:rPr>
        <w:t>年岳阳港吞吐量破亿吨大关，跻身全国十大内河港口。</w:t>
      </w:r>
    </w:p>
    <w:p>
      <w:pPr>
        <w:ind w:firstLine="480"/>
      </w:pPr>
      <w:r>
        <w:t>2016</w:t>
      </w:r>
      <w:r>
        <w:rPr>
          <w:rFonts w:hint="eastAsia"/>
        </w:rPr>
        <w:t>年</w:t>
      </w:r>
      <w:r>
        <w:t>3</w:t>
      </w:r>
      <w:r>
        <w:rPr>
          <w:rFonts w:hint="eastAsia"/>
        </w:rPr>
        <w:t>月</w:t>
      </w:r>
      <w:r>
        <w:t>25</w:t>
      </w:r>
      <w:r>
        <w:rPr>
          <w:rFonts w:hint="eastAsia"/>
        </w:rPr>
        <w:t>日中共中央政治局审议通过《长江经济带发展规划纲要》。习近平在会议上指出长江经济带发展的战略定位必须坚持</w:t>
      </w:r>
      <w:r>
        <w:rPr>
          <w:rFonts w:asciiTheme="minorEastAsia" w:hAnsiTheme="minorEastAsia" w:eastAsiaTheme="minorEastAsia"/>
        </w:rPr>
        <w:t>“</w:t>
      </w:r>
      <w:r>
        <w:rPr>
          <w:rFonts w:hint="eastAsia"/>
        </w:rPr>
        <w:t>生态优先、绿色发展，共抓大保护，不搞大开发</w:t>
      </w:r>
      <w:r>
        <w:rPr>
          <w:rFonts w:asciiTheme="minorEastAsia" w:hAnsiTheme="minorEastAsia" w:eastAsiaTheme="minorEastAsia"/>
        </w:rPr>
        <w:t>”</w:t>
      </w:r>
      <w:r>
        <w:rPr>
          <w:rFonts w:hint="eastAsia"/>
        </w:rPr>
        <w:t>。</w:t>
      </w:r>
      <w:r>
        <w:t>2018</w:t>
      </w:r>
      <w:r>
        <w:rPr>
          <w:rFonts w:hint="eastAsia"/>
        </w:rPr>
        <w:t>年</w:t>
      </w:r>
      <w:r>
        <w:t>4</w:t>
      </w:r>
      <w:r>
        <w:rPr>
          <w:rFonts w:hint="eastAsia"/>
        </w:rPr>
        <w:t>月，习总书记在岳阳察看非法砂石码头专项治理情况时指出，修复长江生态环境，是新时代赋予我们的艰巨任务，也是人民群众的热切期盼，为贯彻落实重要精神，湖南省启动了长江岸线湖南段港口码头专项整治工作，全部或部分退出港口码头经营单位</w:t>
      </w:r>
      <w:r>
        <w:t>19</w:t>
      </w:r>
      <w:r>
        <w:rPr>
          <w:rFonts w:hint="eastAsia"/>
        </w:rPr>
        <w:t>家，关闭</w:t>
      </w:r>
      <w:r>
        <w:t>42</w:t>
      </w:r>
      <w:r>
        <w:rPr>
          <w:rFonts w:hint="eastAsia"/>
        </w:rPr>
        <w:t>个泊位。国家领导的重要指示精神对长江水运建设和岳阳港发展提出了新的更高要求。</w:t>
      </w:r>
    </w:p>
    <w:p>
      <w:pPr>
        <w:ind w:firstLine="480"/>
      </w:pPr>
      <w:r>
        <w:t>为适应新时代长江经济带发展的新形势和现代化强国建设的新要求，于2017年启动了新一轮的《岳阳港总体规划》修编工作。2019年1月，新版的《岳阳港总体规划</w:t>
      </w:r>
      <w:r>
        <w:rPr>
          <w:rFonts w:hint="eastAsia"/>
        </w:rPr>
        <w:t>（2</w:t>
      </w:r>
      <w:r>
        <w:t>035年</w:t>
      </w:r>
      <w:r>
        <w:rPr>
          <w:rFonts w:hint="eastAsia"/>
        </w:rPr>
        <w:t>）</w:t>
      </w:r>
      <w:r>
        <w:t>》通过了交通运输部和湖南省人民政府的联合审查，2020年11月22日交通运输部和湖南省人民政府联合批复实施。</w:t>
      </w:r>
    </w:p>
    <w:p>
      <w:pPr>
        <w:ind w:firstLine="480"/>
      </w:pPr>
      <w:r>
        <w:t>此轮《岳阳港总体规划》将岳阳港的性质和功能定位为：全国内河主要港口和长江集装箱重要支线港，湖南省综合交通运输体系的重要枢纽和融入长江经济带、</w:t>
      </w:r>
      <w:r>
        <w:rPr>
          <w:rFonts w:asciiTheme="minorEastAsia" w:hAnsiTheme="minorEastAsia" w:eastAsiaTheme="minorEastAsia"/>
        </w:rPr>
        <w:t>“</w:t>
      </w:r>
      <w:r>
        <w:t>一带一路</w:t>
      </w:r>
      <w:r>
        <w:rPr>
          <w:rFonts w:asciiTheme="minorEastAsia" w:hAnsiTheme="minorEastAsia" w:eastAsiaTheme="minorEastAsia"/>
        </w:rPr>
        <w:t>”</w:t>
      </w:r>
      <w:r>
        <w:t>的战略支点，是岳阳市实施</w:t>
      </w:r>
      <w:r>
        <w:rPr>
          <w:rFonts w:asciiTheme="minorEastAsia" w:hAnsiTheme="minorEastAsia" w:eastAsiaTheme="minorEastAsia"/>
        </w:rPr>
        <w:t>“</w:t>
      </w:r>
      <w:r>
        <w:t>以港兴市</w:t>
      </w:r>
      <w:r>
        <w:rPr>
          <w:rFonts w:asciiTheme="minorEastAsia" w:hAnsiTheme="minorEastAsia" w:eastAsiaTheme="minorEastAsia"/>
        </w:rPr>
        <w:t>”</w:t>
      </w:r>
      <w:r>
        <w:t>战略、打造全省区域经济增长极的重要支撑。岳阳港将以大宗散货、集装箱、件杂货、滚装汽车运输为主，兼有旅游客运功能，充分发挥长江黄金水道和国家一类水运口岸作用，大力发展现代物流和临港经济，逐步发展成为设施先进、功能完善、运行高效、安全绿色的现代化、枢纽型港口。应具备装卸储存、中转换装、运输组织、综合服务、临港开发、现代物流、旅游客运等功能。</w:t>
      </w:r>
    </w:p>
    <w:p>
      <w:pPr>
        <w:ind w:firstLine="480"/>
      </w:pPr>
      <w:r>
        <w:t>岳阳港原由11个港区组成，其中长江干线上有6个港区，湘江</w:t>
      </w:r>
      <w:r>
        <w:rPr>
          <w:rFonts w:hint="eastAsia"/>
        </w:rPr>
        <w:t>上有</w:t>
      </w:r>
      <w:r>
        <w:t>5个港区，另在华容河、新墙河等支流航道上分布了零星的码头作业点。以港口岸线利用规划为基础，基于促进港口资源整合与功能调整、强化港口属地化管理等原则，注重与岳阳市最新的城市总体规划、产业布局规划、土地利用规划、综合交通规划等相衔接，结合原有港区划分和资源分布特征，将岳阳港划分为华容、君山、城陵矶、云溪、临湘、岳阳县、汨罗（含屈原区港区）、湘阴等8个港区。其中原岳阳楼和七里山港区合并为岳阳楼港区；城陵矶港区下边界调整至白尾闸上游1000m；原道仁矶、陆城港区以及城陵矶港区白尾闸上游1000m至白尾闸合并为云溪港区。并按规模化、集约化、专业化的发展方向，对全港的集装箱、煤炭、金属矿石、危化品、砂石等主要货类运输系统进行了相应港口资源整合和码头功能布局规划。</w:t>
      </w:r>
    </w:p>
    <w:p>
      <w:pPr>
        <w:ind w:firstLine="480"/>
      </w:pPr>
      <w:r>
        <w:t>云溪港区是岳阳港的重要港区之一，规划港口岸线9440m。功能定位为：以液体散货、干散货运输为主，主要为沿江石化产业发展和海进江能源、原材料中转联运服务，规划为云溪工业园、道仁矶和陆城3个作业区和南洋洲货运港点。道仁矶作业区位于长江右岸白尾闸下游1830m至荆岳大桥下游1400m之间，港口岸线长2930m。</w:t>
      </w:r>
    </w:p>
    <w:p>
      <w:pPr>
        <w:pStyle w:val="454"/>
        <w:ind w:firstLine="602"/>
        <w:rPr>
          <w:color w:val="auto"/>
        </w:rPr>
      </w:pPr>
      <w:r>
        <w:rPr>
          <w:rFonts w:hint="eastAsia"/>
          <w:color w:val="auto"/>
        </w:rPr>
        <w:t>云溪港区概况</w:t>
      </w:r>
    </w:p>
    <w:p>
      <w:pPr>
        <w:ind w:firstLine="480"/>
      </w:pPr>
      <w:r>
        <w:rPr>
          <w:rFonts w:eastAsiaTheme="minorEastAsia"/>
        </w:rPr>
        <w:t>根据</w:t>
      </w:r>
      <w:r>
        <w:t>《岳阳港总体规划（2035年）》</w:t>
      </w:r>
      <w:r>
        <w:rPr>
          <w:rFonts w:hint="eastAsia"/>
        </w:rPr>
        <w:t>，</w:t>
      </w:r>
      <w:r>
        <w:rPr>
          <w:rFonts w:eastAsiaTheme="minorEastAsia"/>
        </w:rPr>
        <w:t>云溪港区位于长江右岸云溪区，上起白尾闸上游1000米，下至</w:t>
      </w:r>
      <w:r>
        <w:t>新港村，规划港口岸线9440米，以液体散货、干散货运输为主，主要为沿江石化企业的油品及石化产成品的运输、大宗散货中转运输服务</w:t>
      </w:r>
      <w:r>
        <w:rPr>
          <w:rFonts w:hint="eastAsia"/>
        </w:rPr>
        <w:t>，规划云溪工业园作业区、道仁矶作业区、陆城作业区等</w:t>
      </w:r>
      <w:r>
        <w:t>3</w:t>
      </w:r>
      <w:r>
        <w:rPr>
          <w:rFonts w:hint="eastAsia"/>
        </w:rPr>
        <w:t>个作业区和南洋州货运港点。</w:t>
      </w:r>
    </w:p>
    <w:p>
      <w:pPr>
        <w:ind w:firstLine="480"/>
      </w:pPr>
      <w:r>
        <w:t>道仁矶作业区上起白尾闸下游1830米处，下至荆岳大桥下游1400米，自然岸线长3830米，规划港口岸线长2930米，规划以金属矿石、煤炭、矿建材料、液体散货运输为主，主要为湖南省钢铁企业的金属矿石铁水联运和水水转运，煤炭铁水联运以及矿建材料运输服务。自上而下规划布置散货泊位一区、液体化工泊位区和散货泊位二区。散货泊位一区</w:t>
      </w:r>
      <w:r>
        <w:rPr>
          <w:rFonts w:hint="eastAsia"/>
        </w:rPr>
        <w:t>（本工程所在区）</w:t>
      </w:r>
      <w:r>
        <w:t>规划布置6个5000~10000吨级散货泊位，其中1个具备防汛物资码头功能，码头前沿线沿5米等深线布置，泊位长840米，形成通过能力1800万吨。</w:t>
      </w:r>
    </w:p>
    <w:p>
      <w:pPr>
        <w:pStyle w:val="453"/>
        <w:ind w:firstLine="643" w:firstLineChars="0"/>
        <w:rPr>
          <w:rFonts w:ascii="Times New Roman" w:cs="Times New Roman"/>
          <w:color w:val="auto"/>
        </w:rPr>
      </w:pPr>
      <w:bookmarkStart w:id="106" w:name="_Toc25544"/>
      <w:bookmarkStart w:id="107" w:name="_Toc4191"/>
      <w:r>
        <w:rPr>
          <w:rFonts w:hint="eastAsia" w:ascii="Times New Roman" w:cs="Times New Roman"/>
          <w:lang w:val="en-US" w:eastAsia="zh-CN"/>
        </w:rPr>
        <w:t>污染源调查</w:t>
      </w:r>
      <w:bookmarkEnd w:id="106"/>
      <w:bookmarkEnd w:id="107"/>
    </w:p>
    <w:p>
      <w:pPr>
        <w:ind w:firstLine="480"/>
        <w:rPr>
          <w:rFonts w:hint="eastAsia" w:ascii="Times New Roman" w:hAnsi="Times New Roman" w:cs="Times New Roman" w:eastAsiaTheme="minorEastAsia"/>
          <w:b w:val="0"/>
          <w:bCs w:val="0"/>
          <w:sz w:val="24"/>
          <w:szCs w:val="24"/>
          <w:lang w:val="en-US" w:eastAsia="zh-CN"/>
        </w:rPr>
      </w:pPr>
      <w:r>
        <w:rPr>
          <w:rFonts w:hint="default" w:ascii="Times New Roman" w:hAnsi="Times New Roman" w:cs="Times New Roman" w:eastAsiaTheme="minorEastAsia"/>
          <w:b w:val="0"/>
          <w:bCs w:val="0"/>
          <w:sz w:val="24"/>
          <w:szCs w:val="24"/>
          <w:lang w:val="en-US" w:eastAsia="zh-CN"/>
        </w:rPr>
        <w:t>根据现场调查情况，</w:t>
      </w:r>
      <w:r>
        <w:rPr>
          <w:rFonts w:hint="eastAsia" w:ascii="Times New Roman" w:hAnsi="Times New Roman" w:cs="Times New Roman" w:eastAsiaTheme="minorEastAsia"/>
          <w:b w:val="0"/>
          <w:bCs w:val="0"/>
          <w:sz w:val="24"/>
          <w:szCs w:val="24"/>
          <w:lang w:val="en-US" w:eastAsia="zh-CN"/>
        </w:rPr>
        <w:t>项目所在地周边有兴达码头堆场区，项目拟在2022年年底拆除</w:t>
      </w:r>
      <w:r>
        <w:rPr>
          <w:rFonts w:hint="default" w:ascii="Times New Roman" w:hAnsi="Times New Roman" w:cs="Times New Roman" w:eastAsiaTheme="minorEastAsia"/>
          <w:b w:val="0"/>
          <w:bCs w:val="0"/>
          <w:sz w:val="24"/>
          <w:szCs w:val="24"/>
        </w:rPr>
        <w:t>。</w:t>
      </w:r>
      <w:r>
        <w:rPr>
          <w:rFonts w:hint="eastAsia" w:ascii="Times New Roman" w:hAnsi="Times New Roman" w:cs="Times New Roman" w:eastAsiaTheme="minorEastAsia"/>
          <w:b w:val="0"/>
          <w:bCs w:val="0"/>
          <w:sz w:val="24"/>
          <w:szCs w:val="24"/>
          <w:lang w:val="en-US" w:eastAsia="zh-CN"/>
        </w:rPr>
        <w:t>堆场位置位于项目占地范围A地块范围内，项目地理位置图及环境现状图见下图所示。</w:t>
      </w:r>
    </w:p>
    <w:p>
      <w:pPr>
        <w:pStyle w:val="2"/>
        <w:ind w:firstLine="0" w:firstLineChars="0"/>
        <w:rPr>
          <w:rFonts w:ascii="Times New Roman" w:cs="Times New Roman"/>
          <w:color w:val="000000"/>
        </w:rPr>
      </w:pPr>
      <w:r>
        <w:rPr>
          <w:rFonts w:ascii="Times New Roman" w:cs="Times New Roman"/>
          <w:color w:val="000000"/>
        </w:rPr>
        <w:drawing>
          <wp:inline distT="0" distB="0" distL="114300" distR="114300">
            <wp:extent cx="5751195" cy="4446270"/>
            <wp:effectExtent l="0" t="0" r="1905" b="11430"/>
            <wp:docPr id="44" name="图片 44" descr="项目地理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项目地理位置图"/>
                    <pic:cNvPicPr>
                      <a:picLocks noChangeAspect="1"/>
                    </pic:cNvPicPr>
                  </pic:nvPicPr>
                  <pic:blipFill>
                    <a:blip r:embed="rId68"/>
                    <a:stretch>
                      <a:fillRect/>
                    </a:stretch>
                  </pic:blipFill>
                  <pic:spPr>
                    <a:xfrm>
                      <a:off x="0" y="0"/>
                      <a:ext cx="5751195" cy="4446270"/>
                    </a:xfrm>
                    <a:prstGeom prst="rect">
                      <a:avLst/>
                    </a:prstGeom>
                  </pic:spPr>
                </pic:pic>
              </a:graphicData>
            </a:graphic>
          </wp:inline>
        </w:drawing>
      </w:r>
    </w:p>
    <w:p>
      <w:pPr>
        <w:pStyle w:val="2"/>
        <w:ind w:firstLine="0" w:firstLineChars="0"/>
        <w:rPr>
          <w:rFonts w:hint="eastAsia" w:cs="Times New Roman"/>
          <w:b/>
          <w:bCs/>
          <w:color w:val="000000"/>
          <w:lang w:val="en-US" w:eastAsia="zh-CN"/>
        </w:rPr>
      </w:pPr>
      <w:r>
        <w:rPr>
          <w:rFonts w:hint="eastAsia" w:cs="Times New Roman"/>
          <w:b/>
          <w:bCs/>
          <w:color w:val="000000"/>
          <w:lang w:val="en-US" w:eastAsia="zh-CN"/>
        </w:rPr>
        <w:t>图3-5 兴达码头地理位置图</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16"/>
        <w:gridCol w:w="45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3" w:type="dxa"/>
            <w:vAlign w:val="center"/>
          </w:tcPr>
          <w:p>
            <w:pPr>
              <w:pStyle w:val="2"/>
              <w:tabs>
                <w:tab w:val="left" w:pos="480"/>
              </w:tabs>
              <w:spacing w:line="240" w:lineRule="atLeast"/>
              <w:ind w:firstLine="0" w:firstLineChars="0"/>
              <w:rPr>
                <w:rFonts w:hint="default" w:cs="Times New Roman"/>
                <w:color w:val="000000"/>
                <w:vertAlign w:val="baseline"/>
                <w:lang w:val="en-US" w:eastAsia="zh-CN"/>
              </w:rPr>
            </w:pPr>
            <w:r>
              <w:rPr>
                <w:rFonts w:hint="default" w:cs="Times New Roman"/>
                <w:color w:val="000000"/>
                <w:lang w:val="en-US" w:eastAsia="zh-CN"/>
              </w:rPr>
              <w:drawing>
                <wp:inline distT="0" distB="0" distL="114300" distR="114300">
                  <wp:extent cx="2940685" cy="2203450"/>
                  <wp:effectExtent l="0" t="0" r="12065" b="6350"/>
                  <wp:docPr id="50" name="图片 50" descr="现状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现状图2"/>
                          <pic:cNvPicPr>
                            <a:picLocks noChangeAspect="1"/>
                          </pic:cNvPicPr>
                        </pic:nvPicPr>
                        <pic:blipFill>
                          <a:blip r:embed="rId69"/>
                          <a:stretch>
                            <a:fillRect/>
                          </a:stretch>
                        </pic:blipFill>
                        <pic:spPr>
                          <a:xfrm>
                            <a:off x="0" y="0"/>
                            <a:ext cx="2940685" cy="2203450"/>
                          </a:xfrm>
                          <a:prstGeom prst="rect">
                            <a:avLst/>
                          </a:prstGeom>
                        </pic:spPr>
                      </pic:pic>
                    </a:graphicData>
                  </a:graphic>
                </wp:inline>
              </w:drawing>
            </w:r>
          </w:p>
        </w:tc>
        <w:tc>
          <w:tcPr>
            <w:tcW w:w="4643" w:type="dxa"/>
            <w:vAlign w:val="center"/>
          </w:tcPr>
          <w:p>
            <w:pPr>
              <w:pStyle w:val="2"/>
              <w:tabs>
                <w:tab w:val="left" w:pos="480"/>
              </w:tabs>
              <w:spacing w:line="240" w:lineRule="atLeast"/>
              <w:ind w:firstLine="0" w:firstLineChars="0"/>
              <w:rPr>
                <w:rFonts w:hint="default" w:cs="Times New Roman"/>
                <w:color w:val="000000"/>
                <w:vertAlign w:val="baseline"/>
                <w:lang w:val="en-US" w:eastAsia="zh-CN"/>
              </w:rPr>
            </w:pPr>
            <w:r>
              <w:rPr>
                <w:rFonts w:hint="default" w:cs="Times New Roman"/>
                <w:color w:val="000000"/>
                <w:vertAlign w:val="baseline"/>
                <w:lang w:val="en-US" w:eastAsia="zh-CN"/>
              </w:rPr>
              <w:drawing>
                <wp:inline distT="0" distB="0" distL="114300" distR="114300">
                  <wp:extent cx="2856865" cy="2140585"/>
                  <wp:effectExtent l="0" t="0" r="635" b="12065"/>
                  <wp:docPr id="55" name="图片 55" descr="现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现状图"/>
                          <pic:cNvPicPr>
                            <a:picLocks noChangeAspect="1"/>
                          </pic:cNvPicPr>
                        </pic:nvPicPr>
                        <pic:blipFill>
                          <a:blip r:embed="rId70"/>
                          <a:stretch>
                            <a:fillRect/>
                          </a:stretch>
                        </pic:blipFill>
                        <pic:spPr>
                          <a:xfrm>
                            <a:off x="0" y="0"/>
                            <a:ext cx="2856865" cy="2140585"/>
                          </a:xfrm>
                          <a:prstGeom prst="rect">
                            <a:avLst/>
                          </a:prstGeom>
                        </pic:spPr>
                      </pic:pic>
                    </a:graphicData>
                  </a:graphic>
                </wp:inline>
              </w:drawing>
            </w:r>
          </w:p>
        </w:tc>
      </w:tr>
    </w:tbl>
    <w:p>
      <w:pPr>
        <w:pStyle w:val="2"/>
        <w:ind w:firstLine="0" w:firstLineChars="0"/>
        <w:rPr>
          <w:rFonts w:hint="default" w:cs="Times New Roman"/>
          <w:color w:val="000000"/>
          <w:lang w:val="en-US" w:eastAsia="zh-CN"/>
        </w:rPr>
      </w:pPr>
    </w:p>
    <w:p>
      <w:pPr>
        <w:pStyle w:val="2"/>
        <w:ind w:firstLine="0" w:firstLineChars="0"/>
        <w:rPr>
          <w:rFonts w:hint="default" w:cs="Times New Roman"/>
          <w:b/>
          <w:bCs/>
          <w:color w:val="000000"/>
          <w:lang w:val="en-US" w:eastAsia="zh-CN"/>
        </w:rPr>
      </w:pPr>
      <w:r>
        <w:rPr>
          <w:rFonts w:hint="eastAsia" w:cs="Times New Roman"/>
          <w:b/>
          <w:bCs/>
          <w:color w:val="000000"/>
          <w:lang w:val="en-US" w:eastAsia="zh-CN"/>
        </w:rPr>
        <w:t>图3-6 兴达码头堆场现状图</w:t>
      </w:r>
    </w:p>
    <w:p>
      <w:pPr>
        <w:pStyle w:val="453"/>
        <w:ind w:firstLine="643" w:firstLineChars="0"/>
        <w:rPr>
          <w:rFonts w:ascii="Times New Roman" w:cs="Times New Roman"/>
        </w:rPr>
      </w:pPr>
      <w:bookmarkStart w:id="108" w:name="_Toc22543"/>
      <w:bookmarkStart w:id="109" w:name="_Toc29076"/>
      <w:bookmarkStart w:id="110" w:name="_Toc106697004"/>
      <w:bookmarkStart w:id="111" w:name="_Toc150492093"/>
      <w:bookmarkStart w:id="112" w:name="_Toc323193703"/>
      <w:bookmarkStart w:id="113" w:name="_Toc401255959"/>
      <w:bookmarkStart w:id="114" w:name="_Toc401255958"/>
      <w:bookmarkStart w:id="115" w:name="_Toc12959343"/>
      <w:bookmarkStart w:id="116" w:name="_Toc69118342"/>
      <w:bookmarkStart w:id="117" w:name="_Toc13308086"/>
      <w:r>
        <w:rPr>
          <w:rFonts w:hint="eastAsia" w:ascii="Times New Roman" w:cs="Times New Roman"/>
          <w:lang w:val="en-US" w:eastAsia="zh-CN"/>
        </w:rPr>
        <w:t>污水处理厂</w:t>
      </w:r>
      <w:bookmarkEnd w:id="108"/>
      <w:bookmarkEnd w:id="109"/>
    </w:p>
    <w:p>
      <w:pPr>
        <w:ind w:firstLine="480" w:firstLineChars="0"/>
        <w:rPr>
          <w:rFonts w:hint="default" w:ascii="Times New Roman" w:cs="Times New Roman"/>
        </w:rPr>
      </w:pPr>
      <w:r>
        <w:rPr>
          <w:rFonts w:ascii="Times New Roman" w:hAnsi="Times New Roman" w:eastAsia="宋体" w:cs="Times New Roman"/>
          <w:i w:val="0"/>
          <w:iCs w:val="0"/>
          <w:caps w:val="0"/>
          <w:color w:val="000000"/>
          <w:spacing w:val="0"/>
          <w:sz w:val="24"/>
          <w:szCs w:val="24"/>
        </w:rPr>
        <w:t>临港水质净化厂位于云港路与沿江路交界处，处理规模为3万吨/天，采用CASS污水处理工艺，规划服务面积160.63平方公里，出水执行一级A标准。</w:t>
      </w:r>
      <w:r>
        <w:rPr>
          <w:rFonts w:hint="eastAsia" w:cs="Times New Roman"/>
          <w:i w:val="0"/>
          <w:iCs w:val="0"/>
          <w:caps w:val="0"/>
          <w:spacing w:val="0"/>
          <w:sz w:val="24"/>
          <w:szCs w:val="24"/>
          <w:lang w:val="en-US" w:eastAsia="zh-CN"/>
        </w:rPr>
        <w:t>本项目位于临港水质净化厂服务范围内，且周围市政管网已铺设，项目生活污水经过化粪池处理后排入临港水质净化厂。</w:t>
      </w:r>
    </w:p>
    <w:p>
      <w:pPr>
        <w:pStyle w:val="453"/>
        <w:ind w:firstLine="643" w:firstLineChars="0"/>
        <w:rPr>
          <w:rFonts w:ascii="Times New Roman" w:cs="Times New Roman"/>
        </w:rPr>
      </w:pPr>
      <w:bookmarkStart w:id="118" w:name="_Toc9315"/>
      <w:bookmarkStart w:id="119" w:name="_Toc1336"/>
      <w:r>
        <w:rPr>
          <w:rFonts w:ascii="Times New Roman" w:cs="Times New Roman"/>
        </w:rPr>
        <w:t>地表水环境现状调查与评价</w:t>
      </w:r>
      <w:bookmarkEnd w:id="110"/>
      <w:bookmarkEnd w:id="118"/>
      <w:bookmarkEnd w:id="119"/>
    </w:p>
    <w:p>
      <w:pPr>
        <w:pStyle w:val="454"/>
        <w:ind w:firstLine="602"/>
        <w:rPr>
          <w:color w:val="auto"/>
        </w:rPr>
      </w:pPr>
      <w:r>
        <w:rPr>
          <w:color w:val="auto"/>
        </w:rPr>
        <w:t>水文情势现状调查</w:t>
      </w:r>
    </w:p>
    <w:p>
      <w:pPr>
        <w:pStyle w:val="456"/>
        <w:ind w:firstLine="482"/>
      </w:pPr>
      <w:r>
        <w:t>暴雨洪水特性</w:t>
      </w:r>
    </w:p>
    <w:p>
      <w:pPr>
        <w:ind w:firstLine="480"/>
      </w:pPr>
      <w:r>
        <w:t>1、暴雨特性</w:t>
      </w:r>
    </w:p>
    <w:p>
      <w:pPr>
        <w:ind w:firstLine="480"/>
      </w:pPr>
      <w:r>
        <w:t>长江是一条雨洪河流，洪水主要由暴雨形成。暴雨出现时间，一般江南早于江北，长江中下游早于长江上游。每当季风从东南海洋吹向大陆时，长江流域开始进入雨季，随着锋面的推移雨带由东南渐次移向西北。一般洞庭湖水系和湘江上游汛期为4~7月，长江上游大部和中游北岸（汉江）汛期为 6~9月，中下游干流因受两湖水系及上游来水影响，汛期为5~10月。最大 24h 点暴雨集中在6~8月，其中以7月最多。3d的雨量极值分布趋势和24h一致，具有长包短的特点。</w:t>
      </w:r>
    </w:p>
    <w:p>
      <w:pPr>
        <w:ind w:firstLine="480"/>
      </w:pPr>
      <w:r>
        <w:t xml:space="preserve">2、洪水特性 </w:t>
      </w:r>
    </w:p>
    <w:p>
      <w:pPr>
        <w:ind w:firstLine="480"/>
      </w:pPr>
      <w:r>
        <w:t>长江洪水主要由暴雨形成。工程所在河段汛期为5~10月，其中7月份出现年最大洪峰的次数最多，约占63%。洪水组成以宜昌以上来水占主导地位，洞庭湖水系、汉江的洪水也是其重要组成部份。工程所在河段具有流量大、水位高、高洪水位出现次数频繁、持续时间长等特点。工程下游的螺山站实测最大洪峰流量为78800m</w:t>
      </w:r>
      <w:r>
        <w:rPr>
          <w:vertAlign w:val="superscript"/>
        </w:rPr>
        <w:t>3</w:t>
      </w:r>
      <w:r>
        <w:t>/s（1954.8.7），实测最高洪水位为34.95m（1998.8.20，冻结基面）。</w:t>
      </w:r>
    </w:p>
    <w:p>
      <w:pPr>
        <w:pStyle w:val="456"/>
        <w:ind w:firstLine="482"/>
      </w:pPr>
      <w:r>
        <w:t>水文特性</w:t>
      </w:r>
    </w:p>
    <w:p>
      <w:pPr>
        <w:ind w:firstLine="480"/>
      </w:pPr>
      <w:r>
        <w:t>根据螺山站1954~2010年的资料统计，螺山站多年平均流量为20350 m</w:t>
      </w:r>
      <w:r>
        <w:rPr>
          <w:vertAlign w:val="superscript"/>
        </w:rPr>
        <w:t>3</w:t>
      </w:r>
      <w:r>
        <w:t>/s，历年最大流量为78800 m</w:t>
      </w:r>
      <w:r>
        <w:rPr>
          <w:vertAlign w:val="superscript"/>
        </w:rPr>
        <w:t>3</w:t>
      </w:r>
      <w:r>
        <w:t>/s（1954年8月7日），历年最小流量为4060 m</w:t>
      </w:r>
      <w:r>
        <w:rPr>
          <w:vertAlign w:val="superscript"/>
        </w:rPr>
        <w:t>3</w:t>
      </w:r>
      <w:r>
        <w:t>/s（1963年2月5 日）；多年平均径流量为6417亿m</w:t>
      </w:r>
      <w:r>
        <w:rPr>
          <w:vertAlign w:val="superscript"/>
        </w:rPr>
        <w:t>3</w:t>
      </w:r>
      <w:r>
        <w:t>，历年最大径流量为 8956亿m</w:t>
      </w:r>
      <w:r>
        <w:rPr>
          <w:vertAlign w:val="superscript"/>
        </w:rPr>
        <w:t>3</w:t>
      </w:r>
      <w:r>
        <w:t>，历年最小径流量为 5203亿m</w:t>
      </w:r>
      <w:r>
        <w:rPr>
          <w:vertAlign w:val="superscript"/>
        </w:rPr>
        <w:t>3</w:t>
      </w:r>
      <w:r>
        <w:t>。螺山站多年径流量统计表明，螺山站年内来水分配不均，全年来水量主要集中于汛期5~10月，其中，水量在汛期5~10月和主汛期7~9月分别占年总量的74.2%和43.1%。</w:t>
      </w:r>
    </w:p>
    <w:p>
      <w:pPr>
        <w:ind w:firstLine="480"/>
      </w:pPr>
      <w:r>
        <w:t>三峡水库蓄水后，汛期基本不改变下泄流量过程，来水量与天然情况相差不大，汛期流量过程线基本相似，汛末水库开始蓄水，当蓄水位为175m时，造成10月份流量减少约 40%，枯水期的1~5月份流量比建库前有所增大。据三峡水库蓄水后螺山站多年资料统计，螺山站一直出现中小水沙年份，年均来水量较蓄水前（1950~2002）减少约 8%。</w:t>
      </w:r>
    </w:p>
    <w:p>
      <w:pPr>
        <w:pStyle w:val="456"/>
        <w:ind w:firstLine="482"/>
      </w:pPr>
      <w:r>
        <w:t>岸线变化</w:t>
      </w:r>
    </w:p>
    <w:p>
      <w:pPr>
        <w:ind w:firstLine="480"/>
      </w:pPr>
      <w:r>
        <w:t>1998年9月以来，受其上游仙峰洲滩淤长并岸的影响，南阳洲左汊道有所淤积，左岸岸线基本稳定。1998年汛后，城螺河段右岸的北尾、塘湾至新设、鸭栏等地段出现了一定程度的崩岸现象，在1998年汛后至2000年汛前枯水期，岳阳市长江修防处对城螺河段的右岸险工段进行了综合整治，一定程度上加强了城螺河段的右岸的岸线稳定。</w:t>
      </w:r>
    </w:p>
    <w:p>
      <w:pPr>
        <w:ind w:firstLine="480"/>
      </w:pPr>
      <w:r>
        <w:t>2003年6月三峡工程蓄水运用以来，城螺河段河床总的情况是冲刷，冲刷主要发生的部位：江湖汇流区左岸荆河垴边滩冲刷、滩岸线崩塌；城陵矶至龙头山段的右岸近岸河床和龙头山至螺山段的左岸近岸河床冲刷，局部地段出现了少量的岸坡滑挫或枯水平台崩塌现象。2016年至2018年期间，在三峡后续工作长江中下游影响处理河道整治工程（湖南一期）项目中，已对北尾段（4+000~7+000）、道人矶段（10+700~12+500）、儒溪段（1+500~4+086）进行了抛石加固；在三峡后续工作长江中下游影响处理河道整治工程（湖南二期）项目中，已对南阳洲右汊（右岸）桩号 17+280~17+800段新护岸。从目前现状来看：除左岸的伍家路至螺山地段存在岸坡稳定隐患外，其余险工段已实施了护岸加固工程、岸线相对稳定。</w:t>
      </w:r>
    </w:p>
    <w:p>
      <w:pPr>
        <w:ind w:firstLine="480"/>
      </w:pPr>
      <w:r>
        <w:t>多年来，码头工程局部河段岸线基本稳定。</w:t>
      </w:r>
    </w:p>
    <w:p>
      <w:pPr>
        <w:pStyle w:val="456"/>
        <w:ind w:firstLine="482"/>
      </w:pPr>
      <w:r>
        <w:t>河床冲於变化</w:t>
      </w:r>
    </w:p>
    <w:p>
      <w:pPr>
        <w:ind w:firstLine="480"/>
      </w:pPr>
      <w:r>
        <w:t>三峡水库蓄水以后，2006年5月～2016年11月，工程局部区域河床总体表现为冲刷，累计冲刷量为 255.7万m</w:t>
      </w:r>
      <w:r>
        <w:rPr>
          <w:vertAlign w:val="superscript"/>
        </w:rPr>
        <w:t>3</w:t>
      </w:r>
      <w:r>
        <w:t>。</w:t>
      </w:r>
    </w:p>
    <w:p>
      <w:pPr>
        <w:ind w:firstLine="480"/>
      </w:pPr>
      <w:r>
        <w:t>从各时段冲淤量来看，除时段 2006年5月~2008年10月，工程局部河段河床淤积，淤积量为71.5万m</w:t>
      </w:r>
      <w:r>
        <w:rPr>
          <w:vertAlign w:val="superscript"/>
        </w:rPr>
        <w:t>3</w:t>
      </w:r>
      <w:r>
        <w:t xml:space="preserve"> 外，2008年后工程局部河段河床均有所冲刷，其中 2008.10~2011.11、2011.11~2014.02、2014.02~2016.11 冲刷量分别为178 万m</w:t>
      </w:r>
      <w:r>
        <w:rPr>
          <w:vertAlign w:val="superscript"/>
        </w:rPr>
        <w:t>3</w:t>
      </w:r>
      <w:r>
        <w:t>、32万 m</w:t>
      </w:r>
      <w:r>
        <w:rPr>
          <w:vertAlign w:val="superscript"/>
        </w:rPr>
        <w:t>3</w:t>
      </w:r>
      <w:r>
        <w:t>、117.2万m</w:t>
      </w:r>
      <w:r>
        <w:rPr>
          <w:vertAlign w:val="superscript"/>
        </w:rPr>
        <w:t>3</w:t>
      </w:r>
      <w:r>
        <w:t>，年均冲刷量分别为57.79万m</w:t>
      </w:r>
      <w:r>
        <w:rPr>
          <w:vertAlign w:val="superscript"/>
        </w:rPr>
        <w:t>3</w:t>
      </w:r>
      <w:r>
        <w:t>/年、14.22万m</w:t>
      </w:r>
      <w:r>
        <w:rPr>
          <w:vertAlign w:val="superscript"/>
        </w:rPr>
        <w:t>3</w:t>
      </w:r>
      <w:r>
        <w:t>/年、42.62万m</w:t>
      </w:r>
      <w:r>
        <w:rPr>
          <w:vertAlign w:val="superscript"/>
        </w:rPr>
        <w:t>3</w:t>
      </w:r>
      <w:r>
        <w:t>/年，可见 2011年~2014年冲刷幅度有所减缓外，2014年2月~2016年11月河道冲刷幅度有所增大。</w:t>
      </w:r>
    </w:p>
    <w:p>
      <w:pPr>
        <w:ind w:firstLine="480"/>
      </w:pPr>
      <w:r>
        <w:t>工程附近局部河床平面形态受两岸节点和堤防的控制作用多年来较为稳定，且深泓多年来较为稳定，深泓平面摆动较小，典型断面形态相对稳定。三峡工程蓄水运用以来，局部河段河床总体表现为冲刷。拟建工程位于所在的河道右岸，码头前沿位置近岸河床年际间有一定程度冲淤变化，码头前沿局部水深尚不满足设计要求，需局部疏浚。</w:t>
      </w:r>
    </w:p>
    <w:p>
      <w:pPr>
        <w:pStyle w:val="456"/>
        <w:ind w:firstLine="482"/>
      </w:pPr>
      <w:r>
        <w:t>河道演变趋势分析</w:t>
      </w:r>
    </w:p>
    <w:p>
      <w:pPr>
        <w:ind w:firstLine="480"/>
      </w:pPr>
      <w:r>
        <w:t>城螺河段（项目所在河段）近期河床演变特点可概括为：</w:t>
      </w:r>
    </w:p>
    <w:p>
      <w:pPr>
        <w:ind w:firstLine="480"/>
      </w:pPr>
      <w:r>
        <w:t>（1）城螺河段由于两岸边界对水流的控导作用较强，岸线基本稳定；主流线的平面位置年内变动范围基本稳定；该河段河道的总体河势相对稳定。</w:t>
      </w:r>
    </w:p>
    <w:p>
      <w:pPr>
        <w:ind w:firstLine="480"/>
      </w:pPr>
      <w:r>
        <w:t>（2）城螺河段河道变化主要表现为河床冲淤变化，总的情况是冲刷；冲刷的主要表现形式是枯水河床冲刷、高程相对较低的滩面被冲刷。</w:t>
      </w:r>
    </w:p>
    <w:p>
      <w:pPr>
        <w:ind w:firstLine="480"/>
      </w:pPr>
      <w:r>
        <w:t>（3）南阳洲主支汊地位关系相对稳定，左汊为支汊、右汊为主汊。仙峰洲的演变有一定的周期性：于丁家洲一带形成并淤长展宽，后逐年下移，直至在南阳洲左汊落淤，最终冲刷消失，后又进入下一演变周期。</w:t>
      </w:r>
    </w:p>
    <w:p>
      <w:pPr>
        <w:ind w:firstLine="480"/>
      </w:pPr>
      <w:r>
        <w:t>由于影响河床演变的来水来沙条件、江湖关系变化等自然因素长期存在；加之，三峡水库调蓄及岸线开发利用等人为因素的影响，局部河段河势仍会发生一定程度的调整；同时城螺河段两岸基本处于山地自然节点和护岸工程的控制之下，摆动的空间受限，河道整体将继续沿袭现有的特点演变。</w:t>
      </w:r>
    </w:p>
    <w:p>
      <w:pPr>
        <w:pStyle w:val="454"/>
        <w:ind w:firstLine="602"/>
        <w:rPr>
          <w:color w:val="auto"/>
        </w:rPr>
      </w:pPr>
      <w:r>
        <w:rPr>
          <w:color w:val="auto"/>
        </w:rPr>
        <w:t>地表水环境质量现状调查</w:t>
      </w:r>
    </w:p>
    <w:p>
      <w:pPr>
        <w:pStyle w:val="456"/>
        <w:ind w:firstLine="482"/>
      </w:pPr>
      <w:r>
        <w:t>水域功能</w:t>
      </w:r>
    </w:p>
    <w:p>
      <w:pPr>
        <w:pStyle w:val="458"/>
        <w:ind w:firstLine="480"/>
        <w:rPr>
          <w:rFonts w:cs="Times New Roman"/>
          <w:color w:val="auto"/>
        </w:rPr>
      </w:pPr>
      <w:r>
        <w:rPr>
          <w:rFonts w:cs="Times New Roman"/>
          <w:color w:val="auto"/>
        </w:rPr>
        <w:t>本项目涉及的水系为长江，通过查阅《湖南省主要水系地表水环境功能区划》（DB43/023-2005）可知，评价范围内的地表水功能为渔业用水区，全长163km，流经岳阳市、华容县和临湘市，水域范围从塔市驿（湖北省流入湖南省断面）至黄盖湖（湖南省流入湖北省断面），拟建码头所处水域位于该段水域，执行《地表水环境质量标准》（GB3838-2002）Ⅲ类水质标准。</w:t>
      </w:r>
    </w:p>
    <w:p>
      <w:pPr>
        <w:pStyle w:val="456"/>
        <w:ind w:firstLine="482"/>
      </w:pPr>
      <w:r>
        <w:t>饮用水源调查</w:t>
      </w:r>
    </w:p>
    <w:p>
      <w:pPr>
        <w:ind w:firstLine="480"/>
      </w:pPr>
      <w:r>
        <w:rPr>
          <w:rFonts w:hint="eastAsia"/>
        </w:rPr>
        <w:t>根据根据</w:t>
      </w:r>
      <w:r>
        <w:rPr>
          <w:rFonts w:hint="eastAsia"/>
          <w:lang w:val="en-US" w:eastAsia="zh-CN"/>
        </w:rPr>
        <w:t>湖南省人民政府</w:t>
      </w:r>
      <w:r>
        <w:t>20</w:t>
      </w:r>
      <w:r>
        <w:rPr>
          <w:rFonts w:hint="eastAsia"/>
          <w:lang w:val="en-US" w:eastAsia="zh-CN"/>
        </w:rPr>
        <w:t>22</w:t>
      </w:r>
      <w:r>
        <w:t>年</w:t>
      </w:r>
      <w:r>
        <w:rPr>
          <w:rFonts w:hint="eastAsia"/>
          <w:lang w:val="en-US" w:eastAsia="zh-CN"/>
        </w:rPr>
        <w:t>7</w:t>
      </w:r>
      <w:r>
        <w:t>月</w:t>
      </w:r>
      <w:r>
        <w:rPr>
          <w:rFonts w:hint="eastAsia"/>
          <w:lang w:val="en-US" w:eastAsia="zh-CN"/>
        </w:rPr>
        <w:t>26</w:t>
      </w:r>
      <w:r>
        <w:t>日</w:t>
      </w:r>
      <w:r>
        <w:rPr>
          <w:rFonts w:hint="eastAsia"/>
          <w:lang w:val="en-US" w:eastAsia="zh-CN"/>
        </w:rPr>
        <w:t>下发的</w:t>
      </w:r>
      <w:r>
        <w:t>《</w:t>
      </w:r>
      <w:r>
        <w:rPr>
          <w:rFonts w:hint="eastAsia"/>
          <w:lang w:val="en-US" w:eastAsia="zh-CN"/>
        </w:rPr>
        <w:t>湖南省县级以上城市集中式饮用水水源地名录</w:t>
      </w:r>
      <w:r>
        <w:t>》</w:t>
      </w:r>
      <w:r>
        <w:rPr>
          <w:rFonts w:hint="eastAsia"/>
        </w:rPr>
        <w:t>和《岳阳市县级及以上、“千吨万人”、“千人以上”集中式饮用水水源保护区划定及调整方案》，岳阳段距离码头最近的饮用水水源地为岳阳市长江君山段饮用水水源保护区，距离码头上游边界约47.68km，码头下游约14.54km处有</w:t>
      </w:r>
      <w:r>
        <w:t>临湘市工业园滨江产业示范区自来水厂（取水口）</w:t>
      </w:r>
      <w:r>
        <w:rPr>
          <w:rFonts w:hint="eastAsia"/>
        </w:rPr>
        <w:t>，</w:t>
      </w:r>
      <w:r>
        <w:t>该取水口取水主要作为临湘市儒溪工业区工业企业生产用水，兼顾规划区3万居民生活用水，</w:t>
      </w:r>
      <w:r>
        <w:rPr>
          <w:rFonts w:hint="eastAsia"/>
          <w:b/>
          <w:bCs/>
        </w:rPr>
        <w:t>尚未划定饮用水水源保护区</w:t>
      </w:r>
      <w:r>
        <w:rPr>
          <w:rFonts w:hint="eastAsia"/>
        </w:rPr>
        <w:t>。</w:t>
      </w:r>
      <w:r>
        <w:t>项目码头与饮用水水源保护区位置关系见下表。</w:t>
      </w:r>
    </w:p>
    <w:p>
      <w:pPr>
        <w:pStyle w:val="3583"/>
        <w:spacing w:line="240" w:lineRule="auto"/>
        <w:ind w:left="0"/>
      </w:pPr>
      <w:r>
        <w:t>本项目</w:t>
      </w:r>
      <w:r>
        <w:rPr>
          <w:rFonts w:hint="eastAsia"/>
        </w:rPr>
        <w:t>周边饮用水水源保护区</w:t>
      </w:r>
      <w:r>
        <w:t>分布情况一览表</w:t>
      </w:r>
    </w:p>
    <w:tbl>
      <w:tblPr>
        <w:tblStyle w:val="3596"/>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70"/>
        <w:gridCol w:w="1144"/>
        <w:gridCol w:w="2221"/>
        <w:gridCol w:w="3314"/>
        <w:gridCol w:w="21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3" w:type="pct"/>
            <w:vAlign w:val="center"/>
          </w:tcPr>
          <w:p>
            <w:pPr>
              <w:pStyle w:val="2691"/>
            </w:pPr>
            <w:r>
              <w:t>序号</w:t>
            </w:r>
          </w:p>
        </w:tc>
        <w:tc>
          <w:tcPr>
            <w:tcW w:w="616" w:type="pct"/>
            <w:vAlign w:val="center"/>
          </w:tcPr>
          <w:p>
            <w:pPr>
              <w:pStyle w:val="2691"/>
            </w:pPr>
            <w:r>
              <w:t>水源地名称</w:t>
            </w:r>
          </w:p>
        </w:tc>
        <w:tc>
          <w:tcPr>
            <w:tcW w:w="1196" w:type="pct"/>
            <w:vAlign w:val="center"/>
          </w:tcPr>
          <w:p>
            <w:pPr>
              <w:pStyle w:val="2691"/>
            </w:pPr>
            <w:r>
              <w:t>相对位置</w:t>
            </w:r>
          </w:p>
        </w:tc>
        <w:tc>
          <w:tcPr>
            <w:tcW w:w="2934" w:type="pct"/>
            <w:gridSpan w:val="2"/>
            <w:vAlign w:val="center"/>
          </w:tcPr>
          <w:p>
            <w:pPr>
              <w:pStyle w:val="2691"/>
            </w:pPr>
            <w:r>
              <w:rPr>
                <w:rFonts w:hint="eastAsia"/>
              </w:rPr>
              <w:t>保护区范围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253" w:type="pct"/>
            <w:vMerge w:val="restart"/>
            <w:vAlign w:val="center"/>
          </w:tcPr>
          <w:p>
            <w:pPr>
              <w:pStyle w:val="2691"/>
            </w:pPr>
            <w:r>
              <w:t>1</w:t>
            </w:r>
          </w:p>
        </w:tc>
        <w:tc>
          <w:tcPr>
            <w:tcW w:w="616" w:type="pct"/>
            <w:vMerge w:val="restart"/>
            <w:vAlign w:val="center"/>
          </w:tcPr>
          <w:p>
            <w:pPr>
              <w:pStyle w:val="2691"/>
            </w:pPr>
            <w:r>
              <w:rPr>
                <w:rFonts w:hint="eastAsia"/>
              </w:rPr>
              <w:t>岳阳市长江君山段饮用水水源保护区</w:t>
            </w:r>
          </w:p>
        </w:tc>
        <w:tc>
          <w:tcPr>
            <w:tcW w:w="1196" w:type="pct"/>
            <w:vMerge w:val="restart"/>
            <w:vAlign w:val="center"/>
          </w:tcPr>
          <w:p>
            <w:pPr>
              <w:spacing w:line="240" w:lineRule="auto"/>
              <w:ind w:firstLine="0" w:firstLineChars="0"/>
              <w:rPr>
                <w:sz w:val="21"/>
                <w:szCs w:val="21"/>
              </w:rPr>
            </w:pPr>
            <w:r>
              <w:rPr>
                <w:sz w:val="21"/>
                <w:szCs w:val="21"/>
              </w:rPr>
              <w:t>取水口坐标为E：</w:t>
            </w:r>
            <w:r>
              <w:rPr>
                <w:rFonts w:hint="eastAsia"/>
                <w:sz w:val="21"/>
                <w:szCs w:val="21"/>
              </w:rPr>
              <w:t>112°58′53.28″</w:t>
            </w:r>
            <w:r>
              <w:rPr>
                <w:sz w:val="21"/>
                <w:szCs w:val="21"/>
              </w:rPr>
              <w:t>，N：</w:t>
            </w:r>
            <w:r>
              <w:rPr>
                <w:rFonts w:hint="eastAsia"/>
                <w:sz w:val="21"/>
                <w:szCs w:val="21"/>
              </w:rPr>
              <w:t>29°28′50.32″</w:t>
            </w:r>
            <w:r>
              <w:rPr>
                <w:sz w:val="21"/>
                <w:szCs w:val="21"/>
              </w:rPr>
              <w:t>。</w:t>
            </w:r>
            <w:r>
              <w:rPr>
                <w:b/>
                <w:sz w:val="21"/>
                <w:szCs w:val="21"/>
              </w:rPr>
              <w:t>本项目</w:t>
            </w:r>
            <w:r>
              <w:rPr>
                <w:rFonts w:hint="eastAsia"/>
                <w:b/>
                <w:sz w:val="21"/>
                <w:szCs w:val="21"/>
              </w:rPr>
              <w:t>位于饮用水水源保护区下游，距离饮用水水源取水口距离约47.68km</w:t>
            </w:r>
            <w:r>
              <w:rPr>
                <w:b/>
                <w:sz w:val="21"/>
                <w:szCs w:val="21"/>
              </w:rPr>
              <w:t>，</w:t>
            </w:r>
            <w:r>
              <w:rPr>
                <w:rFonts w:hint="eastAsia"/>
                <w:b/>
                <w:sz w:val="21"/>
                <w:szCs w:val="21"/>
              </w:rPr>
              <w:t>项目</w:t>
            </w:r>
            <w:r>
              <w:rPr>
                <w:b/>
                <w:sz w:val="21"/>
              </w:rPr>
              <w:t>不涉及饮用水水源保护区</w:t>
            </w:r>
            <w:r>
              <w:rPr>
                <w:sz w:val="21"/>
              </w:rPr>
              <w:t>，见附图</w:t>
            </w:r>
            <w:r>
              <w:rPr>
                <w:rFonts w:hint="eastAsia"/>
                <w:sz w:val="21"/>
              </w:rPr>
              <w:t>17</w:t>
            </w:r>
          </w:p>
        </w:tc>
        <w:tc>
          <w:tcPr>
            <w:tcW w:w="1785" w:type="pct"/>
            <w:vAlign w:val="center"/>
          </w:tcPr>
          <w:p>
            <w:pPr>
              <w:spacing w:line="240" w:lineRule="auto"/>
              <w:ind w:firstLine="0" w:firstLineChars="0"/>
              <w:jc w:val="center"/>
              <w:rPr>
                <w:sz w:val="21"/>
                <w:szCs w:val="21"/>
              </w:rPr>
            </w:pPr>
            <w:r>
              <w:rPr>
                <w:rFonts w:hint="eastAsia"/>
                <w:sz w:val="21"/>
                <w:szCs w:val="21"/>
              </w:rPr>
              <w:t>水域保护区范围</w:t>
            </w:r>
          </w:p>
        </w:tc>
        <w:tc>
          <w:tcPr>
            <w:tcW w:w="1149" w:type="pct"/>
            <w:vAlign w:val="center"/>
          </w:tcPr>
          <w:p>
            <w:pPr>
              <w:spacing w:line="240" w:lineRule="auto"/>
              <w:ind w:firstLine="0" w:firstLineChars="0"/>
              <w:jc w:val="center"/>
              <w:rPr>
                <w:sz w:val="21"/>
              </w:rPr>
            </w:pPr>
            <w:r>
              <w:rPr>
                <w:rFonts w:hint="eastAsia"/>
                <w:sz w:val="21"/>
              </w:rPr>
              <w:t>陆域保护区范围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92" w:hRule="atLeast"/>
          <w:jc w:val="center"/>
        </w:trPr>
        <w:tc>
          <w:tcPr>
            <w:tcW w:w="253" w:type="pct"/>
            <w:vMerge w:val="continue"/>
            <w:vAlign w:val="center"/>
          </w:tcPr>
          <w:p>
            <w:pPr>
              <w:spacing w:line="240" w:lineRule="auto"/>
              <w:ind w:firstLine="0" w:firstLineChars="0"/>
            </w:pPr>
          </w:p>
        </w:tc>
        <w:tc>
          <w:tcPr>
            <w:tcW w:w="616" w:type="pct"/>
            <w:vMerge w:val="continue"/>
            <w:vAlign w:val="center"/>
          </w:tcPr>
          <w:p>
            <w:pPr>
              <w:spacing w:line="240" w:lineRule="auto"/>
              <w:ind w:firstLine="0" w:firstLineChars="0"/>
            </w:pPr>
          </w:p>
        </w:tc>
        <w:tc>
          <w:tcPr>
            <w:tcW w:w="1196" w:type="pct"/>
            <w:vMerge w:val="continue"/>
            <w:vAlign w:val="center"/>
          </w:tcPr>
          <w:p>
            <w:pPr>
              <w:spacing w:line="240" w:lineRule="auto"/>
              <w:ind w:firstLine="0" w:firstLineChars="0"/>
            </w:pPr>
          </w:p>
        </w:tc>
        <w:tc>
          <w:tcPr>
            <w:tcW w:w="1785" w:type="pct"/>
            <w:vAlign w:val="center"/>
          </w:tcPr>
          <w:p>
            <w:pPr>
              <w:spacing w:line="240" w:lineRule="auto"/>
              <w:ind w:firstLine="0" w:firstLineChars="0"/>
              <w:jc w:val="left"/>
              <w:rPr>
                <w:sz w:val="21"/>
                <w:szCs w:val="21"/>
              </w:rPr>
            </w:pPr>
            <w:r>
              <w:rPr>
                <w:rFonts w:hint="eastAsia"/>
                <w:b/>
                <w:bCs/>
                <w:sz w:val="21"/>
                <w:szCs w:val="21"/>
              </w:rPr>
              <w:t>一级</w:t>
            </w:r>
            <w:r>
              <w:rPr>
                <w:rFonts w:hint="eastAsia"/>
                <w:sz w:val="21"/>
                <w:szCs w:val="21"/>
              </w:rPr>
              <w:t>：取水口上游1000米至取水口下游100米,水域宽度为取水口侧长江航道边界线（不超过省界）至防洪堤内的水域。</w:t>
            </w:r>
          </w:p>
          <w:p>
            <w:pPr>
              <w:pStyle w:val="2"/>
              <w:ind w:firstLine="0" w:firstLineChars="0"/>
              <w:jc w:val="left"/>
              <w:rPr>
                <w:sz w:val="21"/>
                <w:szCs w:val="21"/>
              </w:rPr>
            </w:pPr>
            <w:r>
              <w:rPr>
                <w:rFonts w:hint="eastAsia"/>
                <w:b/>
                <w:bCs/>
                <w:sz w:val="21"/>
                <w:szCs w:val="21"/>
              </w:rPr>
              <w:t>二级</w:t>
            </w:r>
            <w:r>
              <w:rPr>
                <w:rFonts w:hint="eastAsia"/>
                <w:sz w:val="21"/>
                <w:szCs w:val="21"/>
              </w:rPr>
              <w:t>：一级保护区水域上边界上溯2000米,下边界下延200米，水域究度为取水口侧长江航道边界线（不超过省界）至防泯堤内的河道水域。</w:t>
            </w:r>
          </w:p>
        </w:tc>
        <w:tc>
          <w:tcPr>
            <w:tcW w:w="1149" w:type="pct"/>
            <w:vAlign w:val="center"/>
          </w:tcPr>
          <w:p>
            <w:pPr>
              <w:spacing w:line="240" w:lineRule="auto"/>
              <w:ind w:firstLine="0" w:firstLineChars="0"/>
              <w:jc w:val="left"/>
              <w:rPr>
                <w:sz w:val="21"/>
                <w:szCs w:val="21"/>
              </w:rPr>
            </w:pPr>
            <w:r>
              <w:rPr>
                <w:rFonts w:hint="eastAsia"/>
                <w:sz w:val="21"/>
                <w:szCs w:val="21"/>
              </w:rPr>
              <w:t>一级：─级保护区水域边界至右岸防洪堤迎水面堤肩之间的陆域。</w:t>
            </w:r>
          </w:p>
          <w:p>
            <w:pPr>
              <w:spacing w:line="240" w:lineRule="auto"/>
              <w:ind w:firstLine="0" w:firstLineChars="0"/>
              <w:jc w:val="left"/>
            </w:pPr>
            <w:r>
              <w:rPr>
                <w:rFonts w:hint="eastAsia"/>
                <w:sz w:val="21"/>
                <w:szCs w:val="21"/>
              </w:rPr>
              <w:t>二级：一、二级保护区水域边界线至右岸防洪堤背水坡脚之间的陆域（一级保护区陆域除外）。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92" w:hRule="atLeast"/>
          <w:jc w:val="center"/>
        </w:trPr>
        <w:tc>
          <w:tcPr>
            <w:tcW w:w="253" w:type="pct"/>
            <w:vAlign w:val="center"/>
          </w:tcPr>
          <w:p>
            <w:pPr>
              <w:spacing w:line="240" w:lineRule="auto"/>
              <w:ind w:firstLine="0" w:firstLineChars="0"/>
              <w:jc w:val="center"/>
            </w:pPr>
            <w:r>
              <w:rPr>
                <w:rFonts w:hint="eastAsia"/>
              </w:rPr>
              <w:t>2</w:t>
            </w:r>
          </w:p>
        </w:tc>
        <w:tc>
          <w:tcPr>
            <w:tcW w:w="616" w:type="pct"/>
            <w:vAlign w:val="center"/>
          </w:tcPr>
          <w:p>
            <w:pPr>
              <w:pStyle w:val="2691"/>
            </w:pPr>
            <w:r>
              <w:t>临湘市工业园滨江产业示范区自来水厂（取水口）</w:t>
            </w:r>
          </w:p>
        </w:tc>
        <w:tc>
          <w:tcPr>
            <w:tcW w:w="1196" w:type="pct"/>
            <w:vAlign w:val="center"/>
          </w:tcPr>
          <w:p>
            <w:pPr>
              <w:pStyle w:val="2691"/>
            </w:pPr>
            <w:r>
              <w:t>取水口坐标为E：113°19'12.06</w:t>
            </w:r>
            <w:r>
              <w:rPr>
                <w:rFonts w:asciiTheme="minorEastAsia" w:hAnsiTheme="minorEastAsia" w:eastAsiaTheme="minorEastAsia"/>
              </w:rPr>
              <w:t>"</w:t>
            </w:r>
            <w:r>
              <w:t>，N：29°37'42.95</w:t>
            </w:r>
            <w:r>
              <w:rPr>
                <w:rFonts w:asciiTheme="minorEastAsia" w:hAnsiTheme="minorEastAsia" w:eastAsiaTheme="minorEastAsia"/>
              </w:rPr>
              <w:t>"</w:t>
            </w:r>
            <w:r>
              <w:t>，该取水口位于本项目的下边界，最近直线距离约14.</w:t>
            </w:r>
            <w:r>
              <w:rPr>
                <w:rFonts w:hint="eastAsia"/>
              </w:rPr>
              <w:t>54</w:t>
            </w:r>
            <w:r>
              <w:t>km，见附图1</w:t>
            </w:r>
            <w:r>
              <w:rPr>
                <w:rFonts w:hint="eastAsia"/>
              </w:rPr>
              <w:t>7</w:t>
            </w:r>
          </w:p>
        </w:tc>
        <w:tc>
          <w:tcPr>
            <w:tcW w:w="2934" w:type="pct"/>
            <w:gridSpan w:val="2"/>
            <w:vAlign w:val="center"/>
          </w:tcPr>
          <w:p>
            <w:pPr>
              <w:spacing w:line="240" w:lineRule="auto"/>
              <w:ind w:firstLine="0" w:firstLineChars="0"/>
              <w:jc w:val="left"/>
              <w:rPr>
                <w:sz w:val="21"/>
                <w:szCs w:val="21"/>
              </w:rPr>
            </w:pPr>
            <w:r>
              <w:rPr>
                <w:sz w:val="21"/>
                <w:szCs w:val="21"/>
              </w:rPr>
              <w:t>该取水口取水主要作为临湘市儒溪工业区工业企业生产用水，兼顾规划区3万居民生活用水，</w:t>
            </w:r>
            <w:r>
              <w:rPr>
                <w:rFonts w:hint="eastAsia"/>
                <w:b/>
                <w:bCs/>
                <w:sz w:val="21"/>
                <w:szCs w:val="21"/>
              </w:rPr>
              <w:t>尚未划定饮用水水源保护区</w:t>
            </w:r>
            <w:r>
              <w:rPr>
                <w:rFonts w:hint="eastAsia"/>
                <w:sz w:val="21"/>
                <w:szCs w:val="21"/>
              </w:rPr>
              <w:t>，</w:t>
            </w:r>
            <w:r>
              <w:rPr>
                <w:rFonts w:hint="eastAsia"/>
                <w:b/>
                <w:bCs/>
                <w:sz w:val="21"/>
                <w:szCs w:val="21"/>
              </w:rPr>
              <w:t>已建成北控水务集公司团自来水厂，该自来水公司计划设计供水量5万m</w:t>
            </w:r>
            <w:r>
              <w:rPr>
                <w:rFonts w:hint="eastAsia"/>
                <w:b/>
                <w:bCs/>
                <w:sz w:val="21"/>
                <w:szCs w:val="21"/>
                <w:vertAlign w:val="superscript"/>
              </w:rPr>
              <w:t>3</w:t>
            </w:r>
            <w:r>
              <w:rPr>
                <w:rFonts w:hint="eastAsia"/>
                <w:b/>
                <w:bCs/>
                <w:sz w:val="21"/>
                <w:szCs w:val="21"/>
              </w:rPr>
              <w:t>/d，供水范围为儒溪工业规划区约3万人。</w:t>
            </w:r>
          </w:p>
        </w:tc>
      </w:tr>
    </w:tbl>
    <w:p>
      <w:pPr>
        <w:pStyle w:val="456"/>
        <w:ind w:firstLine="0" w:firstLineChars="0"/>
      </w:pPr>
      <w:r>
        <w:rPr>
          <w:position w:val="1"/>
        </w:rPr>
        <w:t>常规监测数据收集</w:t>
      </w:r>
    </w:p>
    <w:p>
      <w:pPr>
        <w:pStyle w:val="458"/>
        <w:ind w:firstLine="480"/>
        <w:rPr>
          <w:rFonts w:cs="Times New Roman"/>
          <w:color w:val="auto"/>
        </w:rPr>
      </w:pPr>
      <w:r>
        <w:rPr>
          <w:rFonts w:cs="Times New Roman"/>
          <w:color w:val="auto"/>
        </w:rPr>
        <w:t>本项目涉及的水体为长江岳阳段渔业用水区</w:t>
      </w:r>
      <w:r>
        <w:rPr>
          <w:rFonts w:cs="Times New Roman"/>
          <w:color w:val="auto"/>
          <w:spacing w:val="-51"/>
        </w:rPr>
        <w:t>。</w:t>
      </w:r>
      <w:r>
        <w:rPr>
          <w:rFonts w:cs="Times New Roman"/>
          <w:color w:val="auto"/>
        </w:rPr>
        <w:t>为了解项目所在地地表水环境质量状 况</w:t>
      </w:r>
      <w:r>
        <w:rPr>
          <w:rFonts w:cs="Times New Roman"/>
          <w:color w:val="auto"/>
          <w:spacing w:val="-26"/>
        </w:rPr>
        <w:t>，</w:t>
      </w:r>
      <w:r>
        <w:rPr>
          <w:rFonts w:cs="Times New Roman"/>
          <w:color w:val="auto"/>
        </w:rPr>
        <w:t>本评价收集了</w:t>
      </w:r>
      <w:r>
        <w:rPr>
          <w:rFonts w:cs="Times New Roman"/>
          <w:color w:val="auto"/>
          <w:spacing w:val="-60"/>
        </w:rPr>
        <w:t xml:space="preserve"> </w:t>
      </w:r>
      <w:r>
        <w:rPr>
          <w:rFonts w:hint="eastAsia" w:cs="Times New Roman"/>
          <w:color w:val="auto"/>
          <w:szCs w:val="24"/>
        </w:rPr>
        <w:t>《岳阳市二〇一九年度环境质量公报》</w:t>
      </w:r>
      <w:r>
        <w:rPr>
          <w:rFonts w:hint="eastAsia" w:cs="Times New Roman"/>
          <w:color w:val="auto"/>
        </w:rPr>
        <w:t>《岳阳市2020年度生态环境质量公报》《岳阳市2021年度生态环境质量公报》，</w:t>
      </w:r>
      <w:r>
        <w:rPr>
          <w:rFonts w:hint="eastAsia" w:cs="Times New Roman"/>
          <w:color w:val="auto"/>
          <w:szCs w:val="24"/>
        </w:rPr>
        <w:t>岳阳市环境保护监测站对长江干流岳阳段5个监测断面进行监测，分别为天字一号、君山长江取水口、荆江口、城陵矶、陆城断面，常规监测结果见下表</w:t>
      </w:r>
      <w:r>
        <w:rPr>
          <w:rFonts w:cs="Times New Roman"/>
          <w:color w:val="auto"/>
        </w:rPr>
        <w:t>。</w:t>
      </w:r>
    </w:p>
    <w:p>
      <w:pPr>
        <w:pStyle w:val="3583"/>
        <w:spacing w:line="240" w:lineRule="auto"/>
        <w:ind w:left="0"/>
      </w:pPr>
      <w:r>
        <w:rPr>
          <w:rFonts w:hint="eastAsia"/>
          <w:bCs/>
          <w:szCs w:val="21"/>
        </w:rPr>
        <w:t>常规</w:t>
      </w:r>
      <w:r>
        <w:rPr>
          <w:rFonts w:hint="eastAsia"/>
        </w:rPr>
        <w:t>监测</w:t>
      </w:r>
      <w:r>
        <w:rPr>
          <w:rFonts w:hint="eastAsia"/>
          <w:bCs/>
          <w:szCs w:val="21"/>
        </w:rPr>
        <w:t>断面水</w:t>
      </w:r>
      <w:r>
        <w:rPr>
          <w:rFonts w:hint="eastAsia"/>
        </w:rPr>
        <w:t>环境</w:t>
      </w:r>
      <w:r>
        <w:rPr>
          <w:rFonts w:hint="eastAsia"/>
          <w:bCs/>
          <w:szCs w:val="21"/>
        </w:rPr>
        <w:t>现状监测结果</w:t>
      </w:r>
    </w:p>
    <w:tbl>
      <w:tblPr>
        <w:tblStyle w:val="3597"/>
        <w:tblW w:w="493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95"/>
        <w:gridCol w:w="948"/>
        <w:gridCol w:w="1702"/>
        <w:gridCol w:w="948"/>
        <w:gridCol w:w="1751"/>
        <w:gridCol w:w="1671"/>
        <w:gridCol w:w="16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270" w:type="pct"/>
            <w:tcBorders>
              <w:bottom w:val="single" w:color="auto" w:sz="12" w:space="0"/>
            </w:tcBorders>
            <w:vAlign w:val="center"/>
          </w:tcPr>
          <w:p>
            <w:pPr>
              <w:pStyle w:val="2133"/>
              <w:adjustRightInd w:val="0"/>
              <w:snapToGrid w:val="0"/>
              <w:spacing w:line="240" w:lineRule="auto"/>
              <w:ind w:left="-120" w:leftChars="-50" w:right="-120" w:rightChars="-50" w:firstLine="0" w:firstLineChars="0"/>
              <w:jc w:val="center"/>
              <w:rPr>
                <w:rFonts w:cs="Times New Roman"/>
                <w:b/>
                <w:bCs/>
                <w:sz w:val="21"/>
                <w:szCs w:val="21"/>
              </w:rPr>
            </w:pPr>
            <w:r>
              <w:rPr>
                <w:rFonts w:cs="Times New Roman"/>
                <w:b/>
                <w:bCs/>
                <w:sz w:val="21"/>
                <w:szCs w:val="21"/>
              </w:rPr>
              <w:t>序号</w:t>
            </w:r>
          </w:p>
        </w:tc>
        <w:tc>
          <w:tcPr>
            <w:tcW w:w="517" w:type="pct"/>
            <w:tcBorders>
              <w:bottom w:val="single" w:color="auto" w:sz="12" w:space="0"/>
            </w:tcBorders>
            <w:vAlign w:val="center"/>
          </w:tcPr>
          <w:p>
            <w:pPr>
              <w:pStyle w:val="2133"/>
              <w:adjustRightInd w:val="0"/>
              <w:snapToGrid w:val="0"/>
              <w:spacing w:line="240" w:lineRule="auto"/>
              <w:ind w:left="-120" w:leftChars="-50" w:right="-120" w:rightChars="-50" w:firstLine="0" w:firstLineChars="0"/>
              <w:jc w:val="center"/>
              <w:rPr>
                <w:rFonts w:cs="Times New Roman"/>
                <w:b/>
                <w:bCs/>
                <w:sz w:val="21"/>
                <w:szCs w:val="21"/>
              </w:rPr>
            </w:pPr>
            <w:r>
              <w:rPr>
                <w:rFonts w:cs="Times New Roman"/>
                <w:b/>
                <w:bCs/>
                <w:sz w:val="21"/>
                <w:szCs w:val="21"/>
              </w:rPr>
              <w:t>河流名称</w:t>
            </w:r>
          </w:p>
        </w:tc>
        <w:tc>
          <w:tcPr>
            <w:tcW w:w="928" w:type="pct"/>
            <w:tcBorders>
              <w:bottom w:val="single" w:color="auto" w:sz="12" w:space="0"/>
            </w:tcBorders>
            <w:vAlign w:val="center"/>
          </w:tcPr>
          <w:p>
            <w:pPr>
              <w:pStyle w:val="2133"/>
              <w:adjustRightInd w:val="0"/>
              <w:snapToGrid w:val="0"/>
              <w:spacing w:line="240" w:lineRule="auto"/>
              <w:ind w:left="-120" w:leftChars="-50" w:right="-120" w:rightChars="-50" w:firstLine="0" w:firstLineChars="0"/>
              <w:jc w:val="center"/>
              <w:rPr>
                <w:rFonts w:cs="Times New Roman"/>
                <w:b/>
                <w:bCs/>
                <w:sz w:val="21"/>
                <w:szCs w:val="21"/>
              </w:rPr>
            </w:pPr>
            <w:r>
              <w:rPr>
                <w:rFonts w:cs="Times New Roman"/>
                <w:b/>
                <w:bCs/>
                <w:sz w:val="21"/>
                <w:szCs w:val="21"/>
              </w:rPr>
              <w:t>断面名称</w:t>
            </w:r>
          </w:p>
        </w:tc>
        <w:tc>
          <w:tcPr>
            <w:tcW w:w="517" w:type="pct"/>
            <w:tcBorders>
              <w:bottom w:val="single" w:color="auto" w:sz="12" w:space="0"/>
            </w:tcBorders>
            <w:vAlign w:val="center"/>
          </w:tcPr>
          <w:p>
            <w:pPr>
              <w:pStyle w:val="2133"/>
              <w:adjustRightInd w:val="0"/>
              <w:snapToGrid w:val="0"/>
              <w:spacing w:line="240" w:lineRule="auto"/>
              <w:ind w:left="-120" w:leftChars="-50" w:right="-120" w:rightChars="-50" w:firstLine="0" w:firstLineChars="0"/>
              <w:jc w:val="center"/>
              <w:rPr>
                <w:rFonts w:cs="Times New Roman"/>
                <w:b/>
                <w:bCs/>
                <w:sz w:val="21"/>
                <w:szCs w:val="21"/>
              </w:rPr>
            </w:pPr>
            <w:r>
              <w:rPr>
                <w:rFonts w:cs="Times New Roman"/>
                <w:b/>
                <w:bCs/>
                <w:sz w:val="21"/>
                <w:szCs w:val="21"/>
              </w:rPr>
              <w:t>水质目标</w:t>
            </w:r>
          </w:p>
        </w:tc>
        <w:tc>
          <w:tcPr>
            <w:tcW w:w="955" w:type="pct"/>
            <w:tcBorders>
              <w:bottom w:val="single" w:color="auto" w:sz="12" w:space="0"/>
            </w:tcBorders>
            <w:vAlign w:val="center"/>
          </w:tcPr>
          <w:p>
            <w:pPr>
              <w:pStyle w:val="2133"/>
              <w:adjustRightInd w:val="0"/>
              <w:snapToGrid w:val="0"/>
              <w:spacing w:line="240" w:lineRule="auto"/>
              <w:ind w:left="-120" w:leftChars="-50" w:right="-120" w:rightChars="-50" w:firstLine="0" w:firstLineChars="0"/>
              <w:jc w:val="center"/>
              <w:rPr>
                <w:rFonts w:cs="Times New Roman"/>
                <w:b/>
                <w:bCs/>
                <w:sz w:val="21"/>
                <w:szCs w:val="21"/>
              </w:rPr>
            </w:pPr>
            <w:r>
              <w:rPr>
                <w:rFonts w:cs="Times New Roman"/>
                <w:b/>
                <w:bCs/>
                <w:sz w:val="21"/>
                <w:szCs w:val="21"/>
              </w:rPr>
              <w:t>2019年监测结果</w:t>
            </w:r>
          </w:p>
        </w:tc>
        <w:tc>
          <w:tcPr>
            <w:tcW w:w="911" w:type="pct"/>
            <w:tcBorders>
              <w:bottom w:val="single" w:color="auto" w:sz="12" w:space="0"/>
            </w:tcBorders>
            <w:vAlign w:val="center"/>
          </w:tcPr>
          <w:p>
            <w:pPr>
              <w:pStyle w:val="2133"/>
              <w:adjustRightInd w:val="0"/>
              <w:snapToGrid w:val="0"/>
              <w:spacing w:line="240" w:lineRule="auto"/>
              <w:ind w:left="-120" w:leftChars="-50" w:right="-120" w:rightChars="-50" w:firstLine="0" w:firstLineChars="0"/>
              <w:jc w:val="center"/>
              <w:rPr>
                <w:rFonts w:cs="Times New Roman"/>
                <w:b/>
                <w:bCs/>
                <w:sz w:val="21"/>
                <w:szCs w:val="21"/>
              </w:rPr>
            </w:pPr>
            <w:r>
              <w:rPr>
                <w:rFonts w:cs="Times New Roman"/>
                <w:b/>
                <w:bCs/>
                <w:sz w:val="21"/>
                <w:szCs w:val="21"/>
              </w:rPr>
              <w:t>2020年监测结果</w:t>
            </w:r>
          </w:p>
        </w:tc>
        <w:tc>
          <w:tcPr>
            <w:tcW w:w="898" w:type="pct"/>
            <w:tcBorders>
              <w:bottom w:val="single" w:color="auto" w:sz="12" w:space="0"/>
            </w:tcBorders>
            <w:vAlign w:val="center"/>
          </w:tcPr>
          <w:p>
            <w:pPr>
              <w:pStyle w:val="2133"/>
              <w:adjustRightInd w:val="0"/>
              <w:snapToGrid w:val="0"/>
              <w:spacing w:line="240" w:lineRule="auto"/>
              <w:ind w:left="-120" w:leftChars="-50" w:right="-120" w:rightChars="-50" w:firstLine="0" w:firstLineChars="0"/>
              <w:jc w:val="center"/>
              <w:rPr>
                <w:rFonts w:cs="Times New Roman"/>
                <w:b/>
                <w:bCs/>
                <w:sz w:val="21"/>
                <w:szCs w:val="21"/>
              </w:rPr>
            </w:pPr>
            <w:r>
              <w:rPr>
                <w:rFonts w:cs="Times New Roman"/>
                <w:b/>
                <w:bCs/>
                <w:sz w:val="21"/>
                <w:szCs w:val="21"/>
              </w:rPr>
              <w:t>2021年监测结果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70" w:type="pct"/>
            <w:tcBorders>
              <w:top w:val="single" w:color="auto" w:sz="12" w:space="0"/>
            </w:tcBorders>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1</w:t>
            </w:r>
          </w:p>
        </w:tc>
        <w:tc>
          <w:tcPr>
            <w:tcW w:w="517" w:type="pct"/>
            <w:tcBorders>
              <w:top w:val="single" w:color="auto" w:sz="12" w:space="0"/>
            </w:tcBorders>
            <w:vAlign w:val="center"/>
          </w:tcPr>
          <w:p>
            <w:pPr>
              <w:adjustRightInd w:val="0"/>
              <w:snapToGrid w:val="0"/>
              <w:spacing w:line="240" w:lineRule="auto"/>
              <w:ind w:left="-120" w:leftChars="-50" w:right="-120" w:rightChars="-50" w:firstLine="0" w:firstLineChars="0"/>
              <w:jc w:val="center"/>
              <w:rPr>
                <w:sz w:val="21"/>
                <w:szCs w:val="21"/>
              </w:rPr>
            </w:pPr>
            <w:r>
              <w:rPr>
                <w:sz w:val="21"/>
                <w:szCs w:val="21"/>
              </w:rPr>
              <w:t>长江</w:t>
            </w:r>
          </w:p>
        </w:tc>
        <w:tc>
          <w:tcPr>
            <w:tcW w:w="928" w:type="pct"/>
            <w:tcBorders>
              <w:top w:val="single" w:color="auto" w:sz="12" w:space="0"/>
            </w:tcBorders>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天字一号</w:t>
            </w:r>
          </w:p>
        </w:tc>
        <w:tc>
          <w:tcPr>
            <w:tcW w:w="517" w:type="pct"/>
            <w:tcBorders>
              <w:top w:val="single" w:color="auto" w:sz="12" w:space="0"/>
            </w:tcBorders>
            <w:vAlign w:val="center"/>
          </w:tcPr>
          <w:p>
            <w:pPr>
              <w:adjustRightInd w:val="0"/>
              <w:snapToGrid w:val="0"/>
              <w:spacing w:line="240" w:lineRule="auto"/>
              <w:ind w:left="-120" w:leftChars="-50" w:right="-120" w:rightChars="-50" w:firstLine="0" w:firstLineChars="0"/>
              <w:jc w:val="center"/>
              <w:rPr>
                <w:sz w:val="21"/>
                <w:szCs w:val="21"/>
              </w:rPr>
            </w:pPr>
            <w:r>
              <w:rPr>
                <w:sz w:val="21"/>
                <w:szCs w:val="21"/>
              </w:rPr>
              <w:t>Ⅲ</w:t>
            </w:r>
          </w:p>
        </w:tc>
        <w:tc>
          <w:tcPr>
            <w:tcW w:w="955" w:type="pct"/>
            <w:tcBorders>
              <w:top w:val="single" w:color="auto" w:sz="12" w:space="0"/>
            </w:tcBorders>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Ⅱ</w:t>
            </w:r>
          </w:p>
        </w:tc>
        <w:tc>
          <w:tcPr>
            <w:tcW w:w="911" w:type="pct"/>
            <w:tcBorders>
              <w:top w:val="single" w:color="auto" w:sz="12" w:space="0"/>
            </w:tcBorders>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Ⅱ</w:t>
            </w:r>
          </w:p>
        </w:tc>
        <w:tc>
          <w:tcPr>
            <w:tcW w:w="898" w:type="pct"/>
            <w:tcBorders>
              <w:top w:val="single" w:color="auto" w:sz="12" w:space="0"/>
            </w:tcBorders>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70"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2</w:t>
            </w:r>
          </w:p>
        </w:tc>
        <w:tc>
          <w:tcPr>
            <w:tcW w:w="517" w:type="pct"/>
            <w:vAlign w:val="center"/>
          </w:tcPr>
          <w:p>
            <w:pPr>
              <w:adjustRightInd w:val="0"/>
              <w:snapToGrid w:val="0"/>
              <w:spacing w:line="240" w:lineRule="auto"/>
              <w:ind w:left="-120" w:leftChars="-50" w:right="-120" w:rightChars="-50" w:firstLine="0" w:firstLineChars="0"/>
              <w:jc w:val="center"/>
              <w:rPr>
                <w:sz w:val="21"/>
                <w:szCs w:val="21"/>
              </w:rPr>
            </w:pPr>
            <w:r>
              <w:rPr>
                <w:sz w:val="21"/>
                <w:szCs w:val="21"/>
              </w:rPr>
              <w:t>长江</w:t>
            </w:r>
          </w:p>
        </w:tc>
        <w:tc>
          <w:tcPr>
            <w:tcW w:w="92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君山长江取水口</w:t>
            </w:r>
          </w:p>
        </w:tc>
        <w:tc>
          <w:tcPr>
            <w:tcW w:w="517" w:type="pct"/>
            <w:vAlign w:val="center"/>
          </w:tcPr>
          <w:p>
            <w:pPr>
              <w:adjustRightInd w:val="0"/>
              <w:snapToGrid w:val="0"/>
              <w:spacing w:line="240" w:lineRule="auto"/>
              <w:ind w:left="-120" w:leftChars="-50" w:right="-120" w:rightChars="-50" w:firstLine="0" w:firstLineChars="0"/>
              <w:jc w:val="center"/>
              <w:rPr>
                <w:sz w:val="21"/>
                <w:szCs w:val="21"/>
              </w:rPr>
            </w:pPr>
            <w:r>
              <w:rPr>
                <w:sz w:val="21"/>
                <w:szCs w:val="21"/>
              </w:rPr>
              <w:t>Ⅲ</w:t>
            </w:r>
          </w:p>
        </w:tc>
        <w:tc>
          <w:tcPr>
            <w:tcW w:w="955"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Ⅱ</w:t>
            </w:r>
          </w:p>
        </w:tc>
        <w:tc>
          <w:tcPr>
            <w:tcW w:w="91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Ⅱ</w:t>
            </w:r>
          </w:p>
        </w:tc>
        <w:tc>
          <w:tcPr>
            <w:tcW w:w="89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70"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3</w:t>
            </w:r>
          </w:p>
        </w:tc>
        <w:tc>
          <w:tcPr>
            <w:tcW w:w="517" w:type="pct"/>
            <w:vAlign w:val="center"/>
          </w:tcPr>
          <w:p>
            <w:pPr>
              <w:adjustRightInd w:val="0"/>
              <w:snapToGrid w:val="0"/>
              <w:spacing w:line="240" w:lineRule="auto"/>
              <w:ind w:left="-120" w:leftChars="-50" w:right="-120" w:rightChars="-50" w:firstLine="0" w:firstLineChars="0"/>
              <w:jc w:val="center"/>
              <w:rPr>
                <w:sz w:val="21"/>
                <w:szCs w:val="21"/>
              </w:rPr>
            </w:pPr>
            <w:r>
              <w:rPr>
                <w:sz w:val="21"/>
                <w:szCs w:val="21"/>
              </w:rPr>
              <w:t>长江</w:t>
            </w:r>
          </w:p>
        </w:tc>
        <w:tc>
          <w:tcPr>
            <w:tcW w:w="92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荆江口</w:t>
            </w:r>
          </w:p>
        </w:tc>
        <w:tc>
          <w:tcPr>
            <w:tcW w:w="517"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Ⅲ</w:t>
            </w:r>
          </w:p>
        </w:tc>
        <w:tc>
          <w:tcPr>
            <w:tcW w:w="955"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Ⅲ</w:t>
            </w:r>
          </w:p>
        </w:tc>
        <w:tc>
          <w:tcPr>
            <w:tcW w:w="91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Ⅱ</w:t>
            </w:r>
          </w:p>
        </w:tc>
        <w:tc>
          <w:tcPr>
            <w:tcW w:w="89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70"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4</w:t>
            </w:r>
          </w:p>
        </w:tc>
        <w:tc>
          <w:tcPr>
            <w:tcW w:w="517" w:type="pct"/>
            <w:vAlign w:val="center"/>
          </w:tcPr>
          <w:p>
            <w:pPr>
              <w:adjustRightInd w:val="0"/>
              <w:snapToGrid w:val="0"/>
              <w:spacing w:line="240" w:lineRule="auto"/>
              <w:ind w:left="-120" w:leftChars="-50" w:right="-120" w:rightChars="-50" w:firstLine="0" w:firstLineChars="0"/>
              <w:jc w:val="center"/>
              <w:rPr>
                <w:sz w:val="21"/>
                <w:szCs w:val="21"/>
              </w:rPr>
            </w:pPr>
            <w:r>
              <w:rPr>
                <w:sz w:val="21"/>
                <w:szCs w:val="21"/>
              </w:rPr>
              <w:t>长江</w:t>
            </w:r>
          </w:p>
        </w:tc>
        <w:tc>
          <w:tcPr>
            <w:tcW w:w="92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城陵矶</w:t>
            </w:r>
          </w:p>
        </w:tc>
        <w:tc>
          <w:tcPr>
            <w:tcW w:w="517" w:type="pct"/>
            <w:vAlign w:val="center"/>
          </w:tcPr>
          <w:p>
            <w:pPr>
              <w:adjustRightInd w:val="0"/>
              <w:snapToGrid w:val="0"/>
              <w:spacing w:line="240" w:lineRule="auto"/>
              <w:ind w:left="-120" w:leftChars="-50" w:right="-120" w:rightChars="-50" w:firstLine="0" w:firstLineChars="0"/>
              <w:jc w:val="center"/>
              <w:rPr>
                <w:sz w:val="21"/>
                <w:szCs w:val="21"/>
              </w:rPr>
            </w:pPr>
            <w:r>
              <w:rPr>
                <w:sz w:val="21"/>
                <w:szCs w:val="21"/>
              </w:rPr>
              <w:t>Ⅲ</w:t>
            </w:r>
          </w:p>
        </w:tc>
        <w:tc>
          <w:tcPr>
            <w:tcW w:w="955"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Ⅱ</w:t>
            </w:r>
          </w:p>
        </w:tc>
        <w:tc>
          <w:tcPr>
            <w:tcW w:w="91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Ⅱ</w:t>
            </w:r>
          </w:p>
        </w:tc>
        <w:tc>
          <w:tcPr>
            <w:tcW w:w="89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70"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5</w:t>
            </w:r>
          </w:p>
        </w:tc>
        <w:tc>
          <w:tcPr>
            <w:tcW w:w="517"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长江</w:t>
            </w:r>
          </w:p>
        </w:tc>
        <w:tc>
          <w:tcPr>
            <w:tcW w:w="92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陆城断面</w:t>
            </w:r>
          </w:p>
        </w:tc>
        <w:tc>
          <w:tcPr>
            <w:tcW w:w="517" w:type="pct"/>
            <w:vAlign w:val="center"/>
          </w:tcPr>
          <w:p>
            <w:pPr>
              <w:adjustRightInd w:val="0"/>
              <w:snapToGrid w:val="0"/>
              <w:spacing w:line="240" w:lineRule="auto"/>
              <w:ind w:left="-120" w:leftChars="-50" w:right="-120" w:rightChars="-50" w:firstLine="0" w:firstLineChars="0"/>
              <w:jc w:val="center"/>
              <w:rPr>
                <w:sz w:val="21"/>
                <w:szCs w:val="21"/>
              </w:rPr>
            </w:pPr>
            <w:r>
              <w:rPr>
                <w:sz w:val="21"/>
                <w:szCs w:val="21"/>
              </w:rPr>
              <w:t>Ⅲ</w:t>
            </w:r>
          </w:p>
        </w:tc>
        <w:tc>
          <w:tcPr>
            <w:tcW w:w="955"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Ⅱ</w:t>
            </w:r>
          </w:p>
        </w:tc>
        <w:tc>
          <w:tcPr>
            <w:tcW w:w="911"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Ⅱ</w:t>
            </w:r>
          </w:p>
        </w:tc>
        <w:tc>
          <w:tcPr>
            <w:tcW w:w="898" w:type="pct"/>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cs="Times New Roman"/>
                <w:sz w:val="21"/>
                <w:szCs w:val="21"/>
              </w:rPr>
              <w:t>Ⅱ</w:t>
            </w:r>
          </w:p>
        </w:tc>
      </w:tr>
    </w:tbl>
    <w:p>
      <w:pPr>
        <w:pStyle w:val="2133"/>
        <w:spacing w:line="360" w:lineRule="auto"/>
        <w:rPr>
          <w:rFonts w:cs="Times New Roman"/>
        </w:rPr>
      </w:pPr>
      <w:r>
        <w:rPr>
          <w:rFonts w:cs="Times New Roman"/>
        </w:rPr>
        <w:t>根据引用长江干流5个监测断面监测数据，各监测断面均达到了《地表水环境质量标准》（GB3838-2002）III类标准，水质状况较好。</w:t>
      </w:r>
    </w:p>
    <w:p>
      <w:pPr>
        <w:pStyle w:val="454"/>
        <w:ind w:firstLine="602"/>
        <w:rPr>
          <w:color w:val="auto"/>
        </w:rPr>
      </w:pPr>
      <w:r>
        <w:rPr>
          <w:color w:val="auto"/>
        </w:rPr>
        <w:t>地表水环境质量现状监测</w:t>
      </w:r>
    </w:p>
    <w:p>
      <w:pPr>
        <w:ind w:firstLine="480"/>
      </w:pPr>
      <w:r>
        <w:t>本次评价委托湖南乾诚检测有限公司于</w:t>
      </w:r>
      <w:r>
        <w:rPr>
          <w:spacing w:val="-43"/>
        </w:rPr>
        <w:t xml:space="preserve"> </w:t>
      </w:r>
      <w:r>
        <w:t>2020年7月</w:t>
      </w:r>
      <w:r>
        <w:rPr>
          <w:spacing w:val="-44"/>
        </w:rPr>
        <w:t xml:space="preserve"> </w:t>
      </w:r>
      <w:r>
        <w:t>31日~8月</w:t>
      </w:r>
      <w:r>
        <w:rPr>
          <w:spacing w:val="-44"/>
        </w:rPr>
        <w:t xml:space="preserve"> </w:t>
      </w:r>
      <w:r>
        <w:t>2日期间针对项目 涉及河流进行了水质现状监测。</w:t>
      </w:r>
    </w:p>
    <w:p>
      <w:pPr>
        <w:pStyle w:val="458"/>
        <w:numPr>
          <w:ilvl w:val="0"/>
          <w:numId w:val="62"/>
        </w:numPr>
        <w:ind w:firstLineChars="0"/>
        <w:rPr>
          <w:rFonts w:cs="Times New Roman"/>
          <w:b/>
          <w:color w:val="auto"/>
        </w:rPr>
      </w:pPr>
      <w:r>
        <w:rPr>
          <w:rFonts w:cs="Times New Roman"/>
          <w:b/>
          <w:color w:val="auto"/>
        </w:rPr>
        <w:t>监测断面布设</w:t>
      </w:r>
    </w:p>
    <w:p>
      <w:pPr>
        <w:pStyle w:val="2700"/>
        <w:ind w:firstLine="480"/>
      </w:pPr>
      <w:r>
        <w:t>根据项目所在长江河段的现状，按照《环境影响评价技术导则—地面水》（HJ 2.3-2018）的要求，本次现状调查设置</w:t>
      </w:r>
      <w:r>
        <w:rPr>
          <w:rFonts w:hint="eastAsia"/>
        </w:rPr>
        <w:t>3</w:t>
      </w:r>
      <w:r>
        <w:t>个监测断面，监测断面布设详见下表。</w:t>
      </w:r>
    </w:p>
    <w:p>
      <w:pPr>
        <w:pStyle w:val="3583"/>
        <w:spacing w:line="240" w:lineRule="auto"/>
        <w:ind w:left="0"/>
      </w:pPr>
      <w:r>
        <w:t>地表水环境质量现状监测断面布设一览表</w:t>
      </w:r>
    </w:p>
    <w:tbl>
      <w:tblPr>
        <w:tblStyle w:val="3596"/>
        <w:tblW w:w="903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59"/>
        <w:gridCol w:w="771"/>
        <w:gridCol w:w="4590"/>
        <w:gridCol w:w="1590"/>
        <w:gridCol w:w="112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1730" w:type="dxa"/>
            <w:gridSpan w:val="2"/>
            <w:tcBorders>
              <w:bottom w:val="single" w:color="auto" w:sz="12" w:space="0"/>
            </w:tcBorders>
            <w:vAlign w:val="center"/>
          </w:tcPr>
          <w:p>
            <w:pPr>
              <w:pStyle w:val="2691"/>
              <w:rPr>
                <w:b/>
                <w:bCs/>
              </w:rPr>
            </w:pPr>
            <w:r>
              <w:rPr>
                <w:b/>
                <w:bCs/>
              </w:rPr>
              <w:t>监测断面（点）编号</w:t>
            </w:r>
          </w:p>
        </w:tc>
        <w:tc>
          <w:tcPr>
            <w:tcW w:w="4590" w:type="dxa"/>
            <w:tcBorders>
              <w:bottom w:val="single" w:color="auto" w:sz="12" w:space="0"/>
            </w:tcBorders>
            <w:vAlign w:val="center"/>
          </w:tcPr>
          <w:p>
            <w:pPr>
              <w:pStyle w:val="2691"/>
              <w:rPr>
                <w:b/>
                <w:bCs/>
              </w:rPr>
            </w:pPr>
            <w:r>
              <w:rPr>
                <w:b/>
                <w:bCs/>
              </w:rPr>
              <w:t>位置说明</w:t>
            </w:r>
          </w:p>
        </w:tc>
        <w:tc>
          <w:tcPr>
            <w:tcW w:w="1590" w:type="dxa"/>
            <w:tcBorders>
              <w:bottom w:val="single" w:color="auto" w:sz="12" w:space="0"/>
            </w:tcBorders>
            <w:vAlign w:val="center"/>
          </w:tcPr>
          <w:p>
            <w:pPr>
              <w:pStyle w:val="2691"/>
              <w:rPr>
                <w:b/>
                <w:bCs/>
              </w:rPr>
            </w:pPr>
            <w:r>
              <w:rPr>
                <w:rFonts w:hint="eastAsia"/>
                <w:b/>
                <w:bCs/>
              </w:rPr>
              <w:t>断面说明</w:t>
            </w:r>
          </w:p>
        </w:tc>
        <w:tc>
          <w:tcPr>
            <w:tcW w:w="1129" w:type="dxa"/>
            <w:tcBorders>
              <w:bottom w:val="single" w:color="auto" w:sz="12" w:space="0"/>
            </w:tcBorders>
            <w:vAlign w:val="center"/>
          </w:tcPr>
          <w:p>
            <w:pPr>
              <w:pStyle w:val="2691"/>
              <w:rPr>
                <w:b/>
                <w:bCs/>
              </w:rPr>
            </w:pPr>
            <w:r>
              <w:rPr>
                <w:b/>
                <w:bCs/>
              </w:rPr>
              <w:t>水体及水质目标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959" w:type="dxa"/>
            <w:vMerge w:val="restart"/>
            <w:tcBorders>
              <w:top w:val="single" w:color="auto" w:sz="12" w:space="0"/>
            </w:tcBorders>
            <w:vAlign w:val="center"/>
          </w:tcPr>
          <w:p>
            <w:pPr>
              <w:pStyle w:val="2691"/>
            </w:pPr>
            <w:r>
              <w:t>地表水</w:t>
            </w:r>
          </w:p>
        </w:tc>
        <w:tc>
          <w:tcPr>
            <w:tcW w:w="771" w:type="dxa"/>
            <w:tcBorders>
              <w:top w:val="single" w:color="auto" w:sz="12" w:space="0"/>
            </w:tcBorders>
            <w:vAlign w:val="center"/>
          </w:tcPr>
          <w:p>
            <w:pPr>
              <w:pStyle w:val="2691"/>
            </w:pPr>
            <w:r>
              <w:t>W1</w:t>
            </w:r>
          </w:p>
        </w:tc>
        <w:tc>
          <w:tcPr>
            <w:tcW w:w="4590" w:type="dxa"/>
            <w:tcBorders>
              <w:top w:val="single" w:color="auto" w:sz="12" w:space="0"/>
            </w:tcBorders>
            <w:vAlign w:val="center"/>
          </w:tcPr>
          <w:p>
            <w:pPr>
              <w:pStyle w:val="2691"/>
            </w:pPr>
            <w:r>
              <w:rPr>
                <w:rFonts w:hint="eastAsia"/>
              </w:rPr>
              <w:t>码头泊位上游约3km处拟建松阳湖码头泊位处</w:t>
            </w:r>
          </w:p>
        </w:tc>
        <w:tc>
          <w:tcPr>
            <w:tcW w:w="1590" w:type="dxa"/>
            <w:tcBorders>
              <w:top w:val="single" w:color="auto" w:sz="12" w:space="0"/>
            </w:tcBorders>
            <w:vAlign w:val="center"/>
          </w:tcPr>
          <w:p>
            <w:pPr>
              <w:pStyle w:val="2691"/>
            </w:pPr>
            <w:r>
              <w:rPr>
                <w:rFonts w:hint="eastAsia"/>
              </w:rPr>
              <w:t>上游参考断面</w:t>
            </w:r>
          </w:p>
        </w:tc>
        <w:tc>
          <w:tcPr>
            <w:tcW w:w="1129" w:type="dxa"/>
            <w:vMerge w:val="restart"/>
            <w:tcBorders>
              <w:top w:val="single" w:color="auto" w:sz="12" w:space="0"/>
            </w:tcBorders>
            <w:vAlign w:val="center"/>
          </w:tcPr>
          <w:p>
            <w:pPr>
              <w:pStyle w:val="2691"/>
            </w:pPr>
            <w:r>
              <w:t>Ⅲ类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959" w:type="dxa"/>
            <w:vMerge w:val="continue"/>
            <w:vAlign w:val="center"/>
          </w:tcPr>
          <w:p>
            <w:pPr>
              <w:pStyle w:val="2691"/>
            </w:pPr>
          </w:p>
        </w:tc>
        <w:tc>
          <w:tcPr>
            <w:tcW w:w="771" w:type="dxa"/>
            <w:vAlign w:val="center"/>
          </w:tcPr>
          <w:p>
            <w:pPr>
              <w:pStyle w:val="2691"/>
            </w:pPr>
            <w:r>
              <w:t>W2</w:t>
            </w:r>
          </w:p>
        </w:tc>
        <w:tc>
          <w:tcPr>
            <w:tcW w:w="4590" w:type="dxa"/>
            <w:vAlign w:val="center"/>
          </w:tcPr>
          <w:p>
            <w:pPr>
              <w:pStyle w:val="2691"/>
            </w:pPr>
            <w:r>
              <w:t>码头泊位处</w:t>
            </w:r>
          </w:p>
        </w:tc>
        <w:tc>
          <w:tcPr>
            <w:tcW w:w="1590" w:type="dxa"/>
            <w:vAlign w:val="center"/>
          </w:tcPr>
          <w:p>
            <w:pPr>
              <w:pStyle w:val="2691"/>
            </w:pPr>
            <w:r>
              <w:rPr>
                <w:rFonts w:hint="eastAsia"/>
              </w:rPr>
              <w:t>控制断面</w:t>
            </w:r>
          </w:p>
        </w:tc>
        <w:tc>
          <w:tcPr>
            <w:tcW w:w="1129"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959" w:type="dxa"/>
            <w:vMerge w:val="continue"/>
            <w:vAlign w:val="center"/>
          </w:tcPr>
          <w:p>
            <w:pPr>
              <w:pStyle w:val="2691"/>
            </w:pPr>
          </w:p>
        </w:tc>
        <w:tc>
          <w:tcPr>
            <w:tcW w:w="771" w:type="dxa"/>
            <w:vAlign w:val="center"/>
          </w:tcPr>
          <w:p>
            <w:pPr>
              <w:pStyle w:val="2691"/>
            </w:pPr>
            <w:r>
              <w:t>W</w:t>
            </w:r>
            <w:r>
              <w:rPr>
                <w:rFonts w:hint="eastAsia"/>
              </w:rPr>
              <w:t>3</w:t>
            </w:r>
          </w:p>
        </w:tc>
        <w:tc>
          <w:tcPr>
            <w:tcW w:w="4590" w:type="dxa"/>
            <w:vAlign w:val="center"/>
          </w:tcPr>
          <w:p>
            <w:pPr>
              <w:pStyle w:val="2691"/>
            </w:pPr>
            <w:r>
              <w:rPr>
                <w:rFonts w:hint="eastAsia"/>
              </w:rPr>
              <w:t>下游原有道人矶水厂</w:t>
            </w:r>
            <w:r>
              <w:t>水源地一级保护区边界处</w:t>
            </w:r>
          </w:p>
        </w:tc>
        <w:tc>
          <w:tcPr>
            <w:tcW w:w="1590" w:type="dxa"/>
            <w:vAlign w:val="center"/>
          </w:tcPr>
          <w:p>
            <w:pPr>
              <w:pStyle w:val="2691"/>
            </w:pPr>
            <w:r>
              <w:rPr>
                <w:rFonts w:hint="eastAsia"/>
              </w:rPr>
              <w:t>控制断面</w:t>
            </w:r>
          </w:p>
        </w:tc>
        <w:tc>
          <w:tcPr>
            <w:tcW w:w="1129" w:type="dxa"/>
            <w:vMerge w:val="continue"/>
            <w:vAlign w:val="center"/>
          </w:tcPr>
          <w:p>
            <w:pPr>
              <w:pStyle w:val="2691"/>
            </w:pPr>
          </w:p>
        </w:tc>
      </w:tr>
    </w:tbl>
    <w:p>
      <w:pPr>
        <w:pStyle w:val="458"/>
        <w:numPr>
          <w:ilvl w:val="0"/>
          <w:numId w:val="62"/>
        </w:numPr>
        <w:ind w:firstLineChars="0"/>
        <w:rPr>
          <w:rFonts w:cs="Times New Roman"/>
          <w:b/>
          <w:color w:val="auto"/>
        </w:rPr>
      </w:pPr>
      <w:r>
        <w:rPr>
          <w:rFonts w:cs="Times New Roman"/>
          <w:b/>
          <w:color w:val="auto"/>
        </w:rPr>
        <w:t>监测因子</w:t>
      </w:r>
    </w:p>
    <w:p>
      <w:pPr>
        <w:ind w:firstLine="480"/>
      </w:pPr>
      <w:r>
        <w:t>pH值、溶解氧、高锰酸盐指数、化学需氧量、五日生化需氧量、氨氮、总磷、总氮、石油类等9项指标。</w:t>
      </w:r>
    </w:p>
    <w:p>
      <w:pPr>
        <w:pStyle w:val="458"/>
        <w:numPr>
          <w:ilvl w:val="0"/>
          <w:numId w:val="62"/>
        </w:numPr>
        <w:ind w:firstLineChars="0"/>
        <w:rPr>
          <w:rFonts w:cs="Times New Roman"/>
          <w:b/>
          <w:color w:val="auto"/>
        </w:rPr>
      </w:pPr>
      <w:r>
        <w:rPr>
          <w:rFonts w:cs="Times New Roman"/>
          <w:b/>
          <w:color w:val="auto"/>
        </w:rPr>
        <w:t>监测时间与频次</w:t>
      </w:r>
    </w:p>
    <w:p>
      <w:pPr>
        <w:ind w:firstLine="480"/>
      </w:pPr>
      <w:r>
        <w:t>监测时间为2020年7月</w:t>
      </w:r>
      <w:r>
        <w:rPr>
          <w:spacing w:val="-44"/>
        </w:rPr>
        <w:t xml:space="preserve"> </w:t>
      </w:r>
      <w:r>
        <w:t>31日~8月</w:t>
      </w:r>
      <w:r>
        <w:rPr>
          <w:spacing w:val="-44"/>
        </w:rPr>
        <w:t xml:space="preserve"> </w:t>
      </w:r>
      <w:r>
        <w:t>2日采样一期，连续采样3天，每天采样一次。</w:t>
      </w:r>
    </w:p>
    <w:p>
      <w:pPr>
        <w:pStyle w:val="458"/>
        <w:numPr>
          <w:ilvl w:val="0"/>
          <w:numId w:val="62"/>
        </w:numPr>
        <w:ind w:firstLineChars="0"/>
        <w:rPr>
          <w:rFonts w:cs="Times New Roman"/>
          <w:b/>
          <w:color w:val="auto"/>
        </w:rPr>
      </w:pPr>
      <w:r>
        <w:rPr>
          <w:rFonts w:cs="Times New Roman"/>
          <w:b/>
          <w:color w:val="auto"/>
        </w:rPr>
        <w:t>分析方法及检出限</w:t>
      </w:r>
    </w:p>
    <w:p>
      <w:pPr>
        <w:pStyle w:val="458"/>
        <w:ind w:firstLine="480"/>
        <w:rPr>
          <w:rFonts w:cs="Times New Roman"/>
          <w:color w:val="auto"/>
        </w:rPr>
      </w:pPr>
      <w:r>
        <w:rPr>
          <w:rFonts w:cs="Times New Roman"/>
          <w:color w:val="auto"/>
        </w:rPr>
        <w:t>各监测因子的监测方法按相关的标准、规范或方法进行，详见下表。</w:t>
      </w:r>
    </w:p>
    <w:p>
      <w:pPr>
        <w:pStyle w:val="3583"/>
        <w:spacing w:line="240" w:lineRule="auto"/>
        <w:ind w:left="0"/>
      </w:pPr>
      <w:r>
        <w:t>水环境质量现状监测分析方法及最低检出浓度</w:t>
      </w:r>
    </w:p>
    <w:tbl>
      <w:tblPr>
        <w:tblStyle w:val="3596"/>
        <w:tblW w:w="911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03"/>
        <w:gridCol w:w="3969"/>
        <w:gridCol w:w="2410"/>
        <w:gridCol w:w="13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3" w:type="dxa"/>
            <w:tcBorders>
              <w:bottom w:val="single" w:color="auto" w:sz="12" w:space="0"/>
            </w:tcBorders>
            <w:vAlign w:val="center"/>
          </w:tcPr>
          <w:p>
            <w:pPr>
              <w:pStyle w:val="2691"/>
              <w:rPr>
                <w:b/>
                <w:bCs/>
              </w:rPr>
            </w:pPr>
            <w:r>
              <w:rPr>
                <w:b/>
                <w:bCs/>
              </w:rPr>
              <w:t>监测项目</w:t>
            </w:r>
          </w:p>
        </w:tc>
        <w:tc>
          <w:tcPr>
            <w:tcW w:w="3969" w:type="dxa"/>
            <w:tcBorders>
              <w:bottom w:val="single" w:color="auto" w:sz="12" w:space="0"/>
            </w:tcBorders>
            <w:vAlign w:val="center"/>
          </w:tcPr>
          <w:p>
            <w:pPr>
              <w:pStyle w:val="2691"/>
              <w:rPr>
                <w:b/>
                <w:bCs/>
              </w:rPr>
            </w:pPr>
            <w:r>
              <w:rPr>
                <w:b/>
                <w:bCs/>
              </w:rPr>
              <w:t>检测方法</w:t>
            </w:r>
          </w:p>
        </w:tc>
        <w:tc>
          <w:tcPr>
            <w:tcW w:w="2410" w:type="dxa"/>
            <w:tcBorders>
              <w:bottom w:val="single" w:color="auto" w:sz="12" w:space="0"/>
            </w:tcBorders>
            <w:vAlign w:val="center"/>
          </w:tcPr>
          <w:p>
            <w:pPr>
              <w:pStyle w:val="2691"/>
              <w:rPr>
                <w:b/>
                <w:bCs/>
              </w:rPr>
            </w:pPr>
            <w:r>
              <w:rPr>
                <w:b/>
                <w:bCs/>
              </w:rPr>
              <w:t>检测仪器</w:t>
            </w:r>
          </w:p>
        </w:tc>
        <w:tc>
          <w:tcPr>
            <w:tcW w:w="1333" w:type="dxa"/>
            <w:tcBorders>
              <w:bottom w:val="single" w:color="auto" w:sz="12" w:space="0"/>
            </w:tcBorders>
            <w:vAlign w:val="center"/>
          </w:tcPr>
          <w:p>
            <w:pPr>
              <w:pStyle w:val="2691"/>
              <w:rPr>
                <w:b/>
                <w:bCs/>
              </w:rPr>
            </w:pPr>
            <w:r>
              <w:rPr>
                <w:b/>
                <w:bCs/>
              </w:rPr>
              <w:t>最低检出限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3" w:type="dxa"/>
            <w:tcBorders>
              <w:top w:val="single" w:color="auto" w:sz="12" w:space="0"/>
            </w:tcBorders>
            <w:vAlign w:val="center"/>
          </w:tcPr>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pH值</w:t>
            </w:r>
          </w:p>
        </w:tc>
        <w:tc>
          <w:tcPr>
            <w:tcW w:w="3969" w:type="dxa"/>
            <w:tcBorders>
              <w:top w:val="single" w:color="auto" w:sz="12" w:space="0"/>
            </w:tcBorders>
            <w:vAlign w:val="center"/>
          </w:tcPr>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《水和废水监测分析方法》（第四版增补版）国家环境保护总局（2002年）</w:t>
            </w:r>
          </w:p>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便携式pH计法（B）</w:t>
            </w:r>
          </w:p>
        </w:tc>
        <w:tc>
          <w:tcPr>
            <w:tcW w:w="2410" w:type="dxa"/>
            <w:tcBorders>
              <w:top w:val="single" w:color="auto" w:sz="12" w:space="0"/>
            </w:tcBorders>
            <w:vAlign w:val="center"/>
          </w:tcPr>
          <w:p>
            <w:pPr>
              <w:spacing w:line="240" w:lineRule="auto"/>
              <w:ind w:firstLine="0" w:firstLineChars="0"/>
              <w:jc w:val="center"/>
              <w:rPr>
                <w:kern w:val="0"/>
                <w:sz w:val="21"/>
                <w:szCs w:val="21"/>
                <w:lang w:bidi="ar"/>
              </w:rPr>
            </w:pPr>
            <w:r>
              <w:rPr>
                <w:kern w:val="0"/>
                <w:sz w:val="21"/>
                <w:szCs w:val="21"/>
                <w:lang w:bidi="ar"/>
              </w:rPr>
              <w:t>SX836便携式pH计</w:t>
            </w:r>
          </w:p>
        </w:tc>
        <w:tc>
          <w:tcPr>
            <w:tcW w:w="1333" w:type="dxa"/>
            <w:tcBorders>
              <w:top w:val="single" w:color="auto" w:sz="12" w:space="0"/>
            </w:tcBorders>
            <w:vAlign w:val="center"/>
          </w:tcPr>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0.01pH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1403" w:type="dxa"/>
            <w:vAlign w:val="center"/>
          </w:tcPr>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溶解氧</w:t>
            </w:r>
          </w:p>
        </w:tc>
        <w:tc>
          <w:tcPr>
            <w:tcW w:w="3969" w:type="dxa"/>
            <w:vAlign w:val="center"/>
          </w:tcPr>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 xml:space="preserve"> 《水和废水监测分析方法》（第四版）</w:t>
            </w:r>
          </w:p>
        </w:tc>
        <w:tc>
          <w:tcPr>
            <w:tcW w:w="2410" w:type="dxa"/>
            <w:vAlign w:val="center"/>
          </w:tcPr>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溶解氧</w:t>
            </w:r>
          </w:p>
        </w:tc>
        <w:tc>
          <w:tcPr>
            <w:tcW w:w="1333" w:type="dxa"/>
            <w:vAlign w:val="center"/>
          </w:tcPr>
          <w:p>
            <w:pPr>
              <w:spacing w:line="240" w:lineRule="auto"/>
              <w:ind w:firstLine="0" w:firstLineChars="0"/>
              <w:jc w:val="center"/>
              <w:rPr>
                <w:sz w:val="21"/>
                <w:szCs w:val="21"/>
              </w:rPr>
            </w:pPr>
            <w:r>
              <w:rPr>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3" w:type="dxa"/>
            <w:vAlign w:val="center"/>
          </w:tcPr>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化学需氧量</w:t>
            </w:r>
          </w:p>
        </w:tc>
        <w:tc>
          <w:tcPr>
            <w:tcW w:w="3969" w:type="dxa"/>
            <w:vAlign w:val="center"/>
          </w:tcPr>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《水质 化学需氧量的测定 重铬酸盐法》HJ 828-2017</w:t>
            </w:r>
          </w:p>
        </w:tc>
        <w:tc>
          <w:tcPr>
            <w:tcW w:w="2410" w:type="dxa"/>
            <w:vAlign w:val="center"/>
          </w:tcPr>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HCA-100</w:t>
            </w:r>
          </w:p>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标准COD消解器</w:t>
            </w:r>
          </w:p>
        </w:tc>
        <w:tc>
          <w:tcPr>
            <w:tcW w:w="1333" w:type="dxa"/>
            <w:vAlign w:val="center"/>
          </w:tcPr>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4mg/L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3" w:type="dxa"/>
            <w:vAlign w:val="center"/>
          </w:tcPr>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五日生化</w:t>
            </w:r>
          </w:p>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需氧量</w:t>
            </w:r>
          </w:p>
        </w:tc>
        <w:tc>
          <w:tcPr>
            <w:tcW w:w="3969" w:type="dxa"/>
            <w:vAlign w:val="center"/>
          </w:tcPr>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《水质 五日生化需氧量(BOD</w:t>
            </w:r>
            <w:r>
              <w:rPr>
                <w:kern w:val="0"/>
                <w:sz w:val="21"/>
                <w:szCs w:val="21"/>
                <w:vertAlign w:val="subscript"/>
                <w:lang w:bidi="ar"/>
              </w:rPr>
              <w:t>5</w:t>
            </w:r>
            <w:r>
              <w:rPr>
                <w:kern w:val="0"/>
                <w:sz w:val="21"/>
                <w:szCs w:val="21"/>
                <w:lang w:bidi="ar"/>
              </w:rPr>
              <w:t>)的测定 稀释与接种法》HJ 505-2009</w:t>
            </w:r>
          </w:p>
        </w:tc>
        <w:tc>
          <w:tcPr>
            <w:tcW w:w="2410" w:type="dxa"/>
            <w:vAlign w:val="center"/>
          </w:tcPr>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滴定管</w:t>
            </w:r>
          </w:p>
        </w:tc>
        <w:tc>
          <w:tcPr>
            <w:tcW w:w="1333" w:type="dxa"/>
            <w:vAlign w:val="center"/>
          </w:tcPr>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0.5mg/L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3" w:type="dxa"/>
            <w:vAlign w:val="center"/>
          </w:tcPr>
          <w:p>
            <w:pPr>
              <w:spacing w:line="240" w:lineRule="auto"/>
              <w:ind w:firstLine="0" w:firstLineChars="0"/>
              <w:jc w:val="center"/>
              <w:rPr>
                <w:sz w:val="21"/>
                <w:szCs w:val="21"/>
              </w:rPr>
            </w:pPr>
            <w:r>
              <w:rPr>
                <w:sz w:val="21"/>
                <w:szCs w:val="21"/>
              </w:rPr>
              <w:t>高锰酸盐</w:t>
            </w:r>
          </w:p>
          <w:p>
            <w:pPr>
              <w:spacing w:line="240" w:lineRule="auto"/>
              <w:ind w:firstLine="0" w:firstLineChars="0"/>
              <w:jc w:val="center"/>
              <w:rPr>
                <w:sz w:val="21"/>
                <w:szCs w:val="21"/>
              </w:rPr>
            </w:pPr>
            <w:r>
              <w:rPr>
                <w:sz w:val="21"/>
                <w:szCs w:val="21"/>
              </w:rPr>
              <w:t>指数</w:t>
            </w:r>
          </w:p>
        </w:tc>
        <w:tc>
          <w:tcPr>
            <w:tcW w:w="3969" w:type="dxa"/>
            <w:vAlign w:val="center"/>
          </w:tcPr>
          <w:p>
            <w:pPr>
              <w:spacing w:line="240" w:lineRule="auto"/>
              <w:ind w:firstLine="0" w:firstLineChars="0"/>
              <w:jc w:val="center"/>
              <w:rPr>
                <w:sz w:val="21"/>
                <w:szCs w:val="21"/>
              </w:rPr>
            </w:pPr>
            <w:r>
              <w:rPr>
                <w:sz w:val="21"/>
                <w:szCs w:val="21"/>
              </w:rPr>
              <w:t>《水质 高锰酸盐指数的测定》</w:t>
            </w:r>
          </w:p>
          <w:p>
            <w:pPr>
              <w:spacing w:line="240" w:lineRule="auto"/>
              <w:ind w:firstLine="0" w:firstLineChars="0"/>
              <w:jc w:val="center"/>
              <w:rPr>
                <w:sz w:val="21"/>
                <w:szCs w:val="21"/>
              </w:rPr>
            </w:pPr>
            <w:r>
              <w:rPr>
                <w:sz w:val="21"/>
                <w:szCs w:val="21"/>
              </w:rPr>
              <w:t>GB 11892-1989</w:t>
            </w:r>
          </w:p>
        </w:tc>
        <w:tc>
          <w:tcPr>
            <w:tcW w:w="2410" w:type="dxa"/>
            <w:vAlign w:val="center"/>
          </w:tcPr>
          <w:p>
            <w:pPr>
              <w:spacing w:line="240" w:lineRule="auto"/>
              <w:ind w:firstLine="0" w:firstLineChars="0"/>
              <w:jc w:val="center"/>
              <w:rPr>
                <w:sz w:val="21"/>
                <w:szCs w:val="21"/>
              </w:rPr>
            </w:pPr>
            <w:r>
              <w:rPr>
                <w:sz w:val="21"/>
                <w:szCs w:val="21"/>
              </w:rPr>
              <w:t>滴定管</w:t>
            </w:r>
          </w:p>
        </w:tc>
        <w:tc>
          <w:tcPr>
            <w:tcW w:w="1333" w:type="dxa"/>
            <w:vAlign w:val="center"/>
          </w:tcPr>
          <w:p>
            <w:pPr>
              <w:spacing w:line="240" w:lineRule="auto"/>
              <w:ind w:firstLine="0" w:firstLineChars="0"/>
              <w:jc w:val="center"/>
              <w:rPr>
                <w:sz w:val="21"/>
                <w:szCs w:val="21"/>
              </w:rPr>
            </w:pPr>
            <w:r>
              <w:rPr>
                <w:sz w:val="21"/>
                <w:szCs w:val="21"/>
              </w:rPr>
              <w:t>0.5mg/L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3" w:type="dxa"/>
            <w:vAlign w:val="center"/>
          </w:tcPr>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氨氮</w:t>
            </w:r>
          </w:p>
        </w:tc>
        <w:tc>
          <w:tcPr>
            <w:tcW w:w="3969" w:type="dxa"/>
            <w:vAlign w:val="center"/>
          </w:tcPr>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《水质 氨氮的测定 纳氏试剂分光光度法》HJ 535-2009</w:t>
            </w:r>
          </w:p>
        </w:tc>
        <w:tc>
          <w:tcPr>
            <w:tcW w:w="2410" w:type="dxa"/>
            <w:vAlign w:val="center"/>
          </w:tcPr>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721G可见分光光度计</w:t>
            </w:r>
          </w:p>
        </w:tc>
        <w:tc>
          <w:tcPr>
            <w:tcW w:w="1333" w:type="dxa"/>
            <w:vAlign w:val="center"/>
          </w:tcPr>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0.025mg/L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3" w:type="dxa"/>
            <w:vAlign w:val="center"/>
          </w:tcPr>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总磷</w:t>
            </w:r>
          </w:p>
        </w:tc>
        <w:tc>
          <w:tcPr>
            <w:tcW w:w="3969" w:type="dxa"/>
            <w:vAlign w:val="center"/>
          </w:tcPr>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《水质 总磷的测定 钼酸铵分光光度法》GB/T 11893-1989</w:t>
            </w:r>
          </w:p>
        </w:tc>
        <w:tc>
          <w:tcPr>
            <w:tcW w:w="2410" w:type="dxa"/>
            <w:vAlign w:val="center"/>
          </w:tcPr>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721G可见分光光度计</w:t>
            </w:r>
          </w:p>
        </w:tc>
        <w:tc>
          <w:tcPr>
            <w:tcW w:w="1333" w:type="dxa"/>
            <w:vAlign w:val="center"/>
          </w:tcPr>
          <w:p>
            <w:pPr>
              <w:widowControl/>
              <w:spacing w:line="240" w:lineRule="auto"/>
              <w:ind w:left="-48" w:leftChars="-20" w:right="-48" w:rightChars="-20" w:firstLine="0" w:firstLineChars="0"/>
              <w:jc w:val="center"/>
              <w:textAlignment w:val="center"/>
              <w:rPr>
                <w:kern w:val="0"/>
                <w:sz w:val="21"/>
                <w:szCs w:val="21"/>
                <w:lang w:bidi="ar"/>
              </w:rPr>
            </w:pPr>
            <w:r>
              <w:rPr>
                <w:kern w:val="0"/>
                <w:sz w:val="21"/>
                <w:szCs w:val="21"/>
                <w:lang w:bidi="ar"/>
              </w:rPr>
              <w:t>0.01mg/L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3" w:type="dxa"/>
            <w:vAlign w:val="center"/>
          </w:tcPr>
          <w:p>
            <w:pPr>
              <w:spacing w:line="240" w:lineRule="auto"/>
              <w:ind w:firstLine="0" w:firstLineChars="0"/>
              <w:jc w:val="center"/>
              <w:rPr>
                <w:sz w:val="21"/>
                <w:szCs w:val="21"/>
              </w:rPr>
            </w:pPr>
            <w:r>
              <w:rPr>
                <w:sz w:val="21"/>
                <w:szCs w:val="21"/>
              </w:rPr>
              <w:t>总氮</w:t>
            </w:r>
          </w:p>
        </w:tc>
        <w:tc>
          <w:tcPr>
            <w:tcW w:w="3969" w:type="dxa"/>
            <w:vAlign w:val="center"/>
          </w:tcPr>
          <w:p>
            <w:pPr>
              <w:spacing w:line="240" w:lineRule="auto"/>
              <w:ind w:firstLine="0" w:firstLineChars="0"/>
              <w:jc w:val="center"/>
              <w:rPr>
                <w:sz w:val="21"/>
                <w:szCs w:val="21"/>
              </w:rPr>
            </w:pPr>
            <w:r>
              <w:rPr>
                <w:sz w:val="21"/>
                <w:szCs w:val="21"/>
              </w:rPr>
              <w:t xml:space="preserve"> 《水质 总氮的测定 碱性过硫酸钾消解紫外分光光度法》HJ 636-2012</w:t>
            </w:r>
          </w:p>
        </w:tc>
        <w:tc>
          <w:tcPr>
            <w:tcW w:w="2410" w:type="dxa"/>
            <w:vAlign w:val="center"/>
          </w:tcPr>
          <w:p>
            <w:pPr>
              <w:spacing w:line="240" w:lineRule="auto"/>
              <w:ind w:firstLine="0" w:firstLineChars="0"/>
              <w:jc w:val="center"/>
              <w:rPr>
                <w:sz w:val="21"/>
                <w:szCs w:val="21"/>
              </w:rPr>
            </w:pPr>
            <w:r>
              <w:rPr>
                <w:sz w:val="21"/>
                <w:szCs w:val="21"/>
              </w:rPr>
              <w:t>U-3010</w:t>
            </w:r>
          </w:p>
        </w:tc>
        <w:tc>
          <w:tcPr>
            <w:tcW w:w="1333" w:type="dxa"/>
            <w:vAlign w:val="center"/>
          </w:tcPr>
          <w:p>
            <w:pPr>
              <w:spacing w:line="240" w:lineRule="auto"/>
              <w:ind w:firstLine="0" w:firstLineChars="0"/>
              <w:jc w:val="center"/>
              <w:rPr>
                <w:sz w:val="21"/>
                <w:szCs w:val="21"/>
              </w:rPr>
            </w:pPr>
            <w:r>
              <w:rPr>
                <w:sz w:val="21"/>
                <w:szCs w:val="21"/>
              </w:rPr>
              <w:t>总氮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3" w:type="dxa"/>
            <w:vAlign w:val="center"/>
          </w:tcPr>
          <w:p>
            <w:pPr>
              <w:spacing w:line="240" w:lineRule="auto"/>
              <w:ind w:firstLine="0" w:firstLineChars="0"/>
              <w:jc w:val="center"/>
              <w:rPr>
                <w:sz w:val="21"/>
                <w:szCs w:val="21"/>
              </w:rPr>
            </w:pPr>
            <w:r>
              <w:rPr>
                <w:sz w:val="21"/>
                <w:szCs w:val="21"/>
              </w:rPr>
              <w:t>石油类</w:t>
            </w:r>
          </w:p>
        </w:tc>
        <w:tc>
          <w:tcPr>
            <w:tcW w:w="3969" w:type="dxa"/>
            <w:vAlign w:val="center"/>
          </w:tcPr>
          <w:p>
            <w:pPr>
              <w:spacing w:line="240" w:lineRule="auto"/>
              <w:ind w:firstLine="0" w:firstLineChars="0"/>
              <w:jc w:val="center"/>
              <w:rPr>
                <w:sz w:val="21"/>
                <w:szCs w:val="21"/>
              </w:rPr>
            </w:pPr>
            <w:r>
              <w:rPr>
                <w:sz w:val="21"/>
                <w:szCs w:val="21"/>
              </w:rPr>
              <w:t xml:space="preserve"> 《水质 石油类的测定 紫外分光光度法》HJ 970-2018</w:t>
            </w:r>
          </w:p>
        </w:tc>
        <w:tc>
          <w:tcPr>
            <w:tcW w:w="2410" w:type="dxa"/>
            <w:vAlign w:val="center"/>
          </w:tcPr>
          <w:p>
            <w:pPr>
              <w:widowControl/>
              <w:spacing w:line="240" w:lineRule="auto"/>
              <w:ind w:firstLine="0" w:firstLineChars="0"/>
              <w:jc w:val="center"/>
              <w:rPr>
                <w:sz w:val="21"/>
                <w:szCs w:val="21"/>
              </w:rPr>
            </w:pPr>
            <w:r>
              <w:rPr>
                <w:sz w:val="21"/>
                <w:szCs w:val="21"/>
              </w:rPr>
              <w:t>U-3010紫外分光光度计</w:t>
            </w:r>
          </w:p>
        </w:tc>
        <w:tc>
          <w:tcPr>
            <w:tcW w:w="1333" w:type="dxa"/>
            <w:vAlign w:val="center"/>
          </w:tcPr>
          <w:p>
            <w:pPr>
              <w:spacing w:line="240" w:lineRule="auto"/>
              <w:ind w:firstLine="0" w:firstLineChars="0"/>
              <w:jc w:val="center"/>
              <w:rPr>
                <w:sz w:val="21"/>
                <w:szCs w:val="21"/>
              </w:rPr>
            </w:pPr>
            <w:r>
              <w:rPr>
                <w:sz w:val="21"/>
                <w:szCs w:val="21"/>
              </w:rPr>
              <w:t>0.01mg/L</w:t>
            </w:r>
          </w:p>
        </w:tc>
      </w:tr>
    </w:tbl>
    <w:p>
      <w:pPr>
        <w:pStyle w:val="454"/>
        <w:ind w:firstLine="602"/>
        <w:rPr>
          <w:color w:val="auto"/>
        </w:rPr>
      </w:pPr>
      <w:r>
        <w:rPr>
          <w:color w:val="auto"/>
        </w:rPr>
        <w:t>地表水环境质量现状评价</w:t>
      </w:r>
    </w:p>
    <w:p>
      <w:pPr>
        <w:pStyle w:val="458"/>
        <w:numPr>
          <w:ilvl w:val="0"/>
          <w:numId w:val="63"/>
        </w:numPr>
        <w:ind w:firstLineChars="0"/>
        <w:rPr>
          <w:rFonts w:cs="Times New Roman"/>
          <w:b/>
          <w:color w:val="auto"/>
        </w:rPr>
      </w:pPr>
      <w:r>
        <w:rPr>
          <w:rFonts w:cs="Times New Roman"/>
          <w:b/>
          <w:color w:val="auto"/>
        </w:rPr>
        <w:t>评价标准</w:t>
      </w:r>
    </w:p>
    <w:p>
      <w:pPr>
        <w:pStyle w:val="458"/>
        <w:ind w:firstLine="480"/>
        <w:rPr>
          <w:rFonts w:cs="Times New Roman"/>
          <w:color w:val="auto"/>
          <w:kern w:val="0"/>
        </w:rPr>
      </w:pPr>
      <w:r>
        <w:rPr>
          <w:rFonts w:cs="Times New Roman"/>
          <w:color w:val="auto"/>
        </w:rPr>
        <w:t>根据项目所在区域的地表水功能区划，评价范围内的长江水质保护目标执行《地表水环境质量标准》（GB3838-2002）</w:t>
      </w:r>
      <w:r>
        <w:rPr>
          <w:rFonts w:cs="Times New Roman"/>
          <w:color w:val="auto"/>
          <w:kern w:val="0"/>
        </w:rPr>
        <w:t>Ⅲ类</w:t>
      </w:r>
      <w:r>
        <w:rPr>
          <w:rFonts w:cs="Times New Roman"/>
          <w:color w:val="auto"/>
        </w:rPr>
        <w:t>标准。</w:t>
      </w:r>
    </w:p>
    <w:p>
      <w:pPr>
        <w:pStyle w:val="458"/>
        <w:numPr>
          <w:ilvl w:val="0"/>
          <w:numId w:val="63"/>
        </w:numPr>
        <w:ind w:firstLineChars="0"/>
        <w:rPr>
          <w:rFonts w:cs="Times New Roman"/>
          <w:b/>
          <w:color w:val="auto"/>
        </w:rPr>
      </w:pPr>
      <w:r>
        <w:rPr>
          <w:rFonts w:cs="Times New Roman"/>
          <w:b/>
          <w:color w:val="auto"/>
        </w:rPr>
        <w:t>评价方法</w:t>
      </w:r>
    </w:p>
    <w:p>
      <w:pPr>
        <w:ind w:firstLine="480"/>
      </w:pPr>
      <w:r>
        <w:t>按照《环境影响评价技术导则——地表水环境》（HJ 2.3-2018）所推荐的单项评价标准指数法进行水质现状评价。</w:t>
      </w:r>
    </w:p>
    <w:p>
      <w:pPr>
        <w:ind w:firstLine="482"/>
        <w:rPr>
          <w:b/>
        </w:rPr>
      </w:pPr>
      <w:r>
        <w:rPr>
          <w:b/>
        </w:rPr>
        <w:t>一般性水质因子的指数计算公式：</w:t>
      </w:r>
    </w:p>
    <w:p>
      <w:pPr>
        <w:ind w:firstLine="480"/>
        <w:jc w:val="center"/>
      </w:pPr>
      <w:bookmarkStart w:id="120" w:name="_Toc152059058"/>
      <w:bookmarkStart w:id="121" w:name="_Toc152059327"/>
      <w:r>
        <w:t>S</w:t>
      </w:r>
      <w:r>
        <w:rPr>
          <w:vertAlign w:val="subscript"/>
        </w:rPr>
        <w:t>i,j</w:t>
      </w:r>
      <w:r>
        <w:t>=C</w:t>
      </w:r>
      <w:r>
        <w:rPr>
          <w:vertAlign w:val="subscript"/>
        </w:rPr>
        <w:t>i,j</w:t>
      </w:r>
      <w:r>
        <w:t>/C</w:t>
      </w:r>
      <w:r>
        <w:rPr>
          <w:vertAlign w:val="subscript"/>
        </w:rPr>
        <w:t>si</w:t>
      </w:r>
      <w:bookmarkEnd w:id="120"/>
      <w:bookmarkEnd w:id="121"/>
    </w:p>
    <w:p>
      <w:pPr>
        <w:ind w:firstLine="480"/>
      </w:pPr>
      <w:r>
        <w:t>式中：S</w:t>
      </w:r>
      <w:r>
        <w:rPr>
          <w:vertAlign w:val="subscript"/>
        </w:rPr>
        <w:t>i,j</w:t>
      </w:r>
      <w:r>
        <w:t>——评价因子i的水质指数，大于1表明该水质因子超标；</w:t>
      </w:r>
      <w:bookmarkStart w:id="122" w:name="_Toc152059328"/>
      <w:bookmarkStart w:id="123" w:name="_Toc152059059"/>
    </w:p>
    <w:p>
      <w:pPr>
        <w:ind w:firstLine="1200" w:firstLineChars="500"/>
      </w:pPr>
      <w:r>
        <w:t>C</w:t>
      </w:r>
      <w:r>
        <w:rPr>
          <w:vertAlign w:val="subscript"/>
        </w:rPr>
        <w:t>i,j</w:t>
      </w:r>
      <w:r>
        <w:t>——评价因子i在j点的实测统计代表值，mg/L；</w:t>
      </w:r>
      <w:bookmarkEnd w:id="122"/>
      <w:bookmarkEnd w:id="123"/>
    </w:p>
    <w:p>
      <w:pPr>
        <w:ind w:firstLine="1200" w:firstLineChars="500"/>
      </w:pPr>
      <w:r>
        <w:t>C</w:t>
      </w:r>
      <w:r>
        <w:rPr>
          <w:vertAlign w:val="subscript"/>
        </w:rPr>
        <w:t>si</w:t>
      </w:r>
      <w:r>
        <w:t>——评价因子i的水质评价标准限值，mg/L。</w:t>
      </w:r>
    </w:p>
    <w:p>
      <w:pPr>
        <w:ind w:firstLine="482"/>
        <w:rPr>
          <w:b/>
        </w:rPr>
      </w:pPr>
      <w:r>
        <w:rPr>
          <w:b/>
        </w:rPr>
        <w:t>溶解氧（DO）的标准指数计算公式：</w:t>
      </w:r>
    </w:p>
    <w:p>
      <w:pPr>
        <w:ind w:firstLine="480"/>
        <w:jc w:val="center"/>
      </w:pPr>
      <w:r>
        <w:t>S</w:t>
      </w:r>
      <w:r>
        <w:rPr>
          <w:vertAlign w:val="subscript"/>
        </w:rPr>
        <w:t>DO,j</w:t>
      </w:r>
      <w:r>
        <w:t>=DO</w:t>
      </w:r>
      <w:r>
        <w:rPr>
          <w:vertAlign w:val="subscript"/>
        </w:rPr>
        <w:t>S</w:t>
      </w:r>
      <w:r>
        <w:t>/ DO</w:t>
      </w:r>
      <w:r>
        <w:rPr>
          <w:vertAlign w:val="subscript"/>
        </w:rPr>
        <w:t>j</w:t>
      </w:r>
      <w:r>
        <w:t xml:space="preserve"> （DO</w:t>
      </w:r>
      <w:r>
        <w:rPr>
          <w:vertAlign w:val="subscript"/>
        </w:rPr>
        <w:t>j</w:t>
      </w:r>
      <w:r>
        <w:t>≤DO</w:t>
      </w:r>
      <w:r>
        <w:rPr>
          <w:vertAlign w:val="subscript"/>
        </w:rPr>
        <w:t>f</w:t>
      </w:r>
      <w:r>
        <w:t>）</w:t>
      </w:r>
    </w:p>
    <w:p>
      <w:pPr>
        <w:ind w:firstLine="480"/>
        <w:jc w:val="center"/>
      </w:pPr>
      <w:r>
        <w:t>S</w:t>
      </w:r>
      <w:r>
        <w:rPr>
          <w:vertAlign w:val="subscript"/>
        </w:rPr>
        <w:t>DO,j</w:t>
      </w:r>
      <w:r>
        <w:t>=</w:t>
      </w:r>
      <m:oMath>
        <m:f>
          <m:fPr>
            <m:ctrlPr>
              <w:rPr>
                <w:rFonts w:ascii="Cambria Math" w:hAnsi="Cambria Math" w:eastAsia="Cambria Math"/>
              </w:rPr>
            </m:ctrlPr>
          </m:fPr>
          <m:num>
            <m:r>
              <m:rPr>
                <m:sty m:val="p"/>
              </m:rPr>
              <w:rPr>
                <w:rFonts w:ascii="Cambria Math" w:hAnsi="Cambria Math" w:eastAsiaTheme="minorEastAsia"/>
              </w:rPr>
              <m:t>|</m:t>
            </m:r>
            <m:sSub>
              <m:sSubPr>
                <m:ctrlPr>
                  <w:rPr>
                    <w:rFonts w:ascii="Cambria Math" w:hAnsi="Cambria Math" w:eastAsiaTheme="minorEastAsia"/>
                  </w:rPr>
                </m:ctrlPr>
              </m:sSubPr>
              <m:e>
                <m:r>
                  <m:rPr>
                    <m:sty m:val="p"/>
                  </m:rPr>
                  <w:rPr>
                    <w:rFonts w:ascii="Cambria Math" w:hAnsi="Cambria Math"/>
                  </w:rPr>
                  <m:t>DO</m:t>
                </m:r>
                <m:ctrlPr>
                  <w:rPr>
                    <w:rFonts w:ascii="Cambria Math" w:hAnsi="Cambria Math" w:eastAsiaTheme="minorEastAsia"/>
                  </w:rPr>
                </m:ctrlPr>
              </m:e>
              <m:sub>
                <m:r>
                  <m:rPr>
                    <m:sty m:val="p"/>
                  </m:rPr>
                  <w:rPr>
                    <w:rFonts w:ascii="Cambria Math" w:hAnsi="Cambria Math"/>
                    <w:vertAlign w:val="subscript"/>
                  </w:rPr>
                  <m:t>f</m:t>
                </m:r>
                <m:ctrlPr>
                  <w:rPr>
                    <w:rFonts w:ascii="Cambria Math" w:hAnsi="Cambria Math" w:eastAsiaTheme="minorEastAsia"/>
                  </w:rPr>
                </m:ctrlPr>
              </m:sub>
            </m:sSub>
            <m:r>
              <m:rPr>
                <m:sty m:val="p"/>
              </m:rPr>
              <w:rPr>
                <w:rFonts w:ascii="Cambria Math" w:hAnsi="Cambria Math" w:eastAsia="Cambria Math"/>
              </w:rPr>
              <m:t>−</m:t>
            </m:r>
            <m:sSub>
              <m:sSubPr>
                <m:ctrlPr>
                  <w:rPr>
                    <w:rFonts w:ascii="Cambria Math" w:hAnsi="Cambria Math" w:eastAsia="Cambria Math"/>
                  </w:rPr>
                </m:ctrlPr>
              </m:sSubPr>
              <m:e>
                <m:r>
                  <m:rPr/>
                  <w:rPr>
                    <w:rFonts w:ascii="Cambria Math" w:hAnsi="Cambria Math" w:eastAsia="Cambria Math"/>
                  </w:rPr>
                  <m:t>DO</m:t>
                </m:r>
                <m:ctrlPr>
                  <w:rPr>
                    <w:rFonts w:ascii="Cambria Math" w:hAnsi="Cambria Math" w:eastAsia="Cambria Math"/>
                  </w:rPr>
                </m:ctrlPr>
              </m:e>
              <m:sub>
                <m:r>
                  <m:rPr/>
                  <w:rPr>
                    <w:rFonts w:ascii="Cambria Math" w:hAnsi="Cambria Math" w:eastAsia="Cambria Math"/>
                  </w:rPr>
                  <m:t>j</m:t>
                </m:r>
                <m:ctrlPr>
                  <w:rPr>
                    <w:rFonts w:ascii="Cambria Math" w:hAnsi="Cambria Math" w:eastAsia="Cambria Math"/>
                  </w:rPr>
                </m:ctrlPr>
              </m:sub>
            </m:sSub>
            <m:r>
              <m:rPr>
                <m:sty m:val="p"/>
              </m:rPr>
              <w:rPr>
                <w:rFonts w:ascii="Cambria Math" w:hAnsi="Cambria Math" w:eastAsia="Cambria Math"/>
              </w:rPr>
              <m:t>|</m:t>
            </m:r>
            <m:ctrlPr>
              <w:rPr>
                <w:rFonts w:ascii="Cambria Math" w:hAnsi="Cambria Math" w:eastAsia="Cambria Math"/>
              </w:rPr>
            </m:ctrlPr>
          </m:num>
          <m:den>
            <m:sSub>
              <m:sSubPr>
                <m:ctrlPr>
                  <w:rPr>
                    <w:rFonts w:ascii="Cambria Math" w:hAnsi="Cambria Math" w:eastAsiaTheme="minorEastAsia"/>
                  </w:rPr>
                </m:ctrlPr>
              </m:sSubPr>
              <m:e>
                <m:r>
                  <m:rPr>
                    <m:sty m:val="p"/>
                  </m:rPr>
                  <w:rPr>
                    <w:rFonts w:ascii="Cambria Math" w:hAnsi="Cambria Math"/>
                  </w:rPr>
                  <m:t>DO</m:t>
                </m:r>
                <m:ctrlPr>
                  <w:rPr>
                    <w:rFonts w:ascii="Cambria Math" w:hAnsi="Cambria Math" w:eastAsiaTheme="minorEastAsia"/>
                  </w:rPr>
                </m:ctrlPr>
              </m:e>
              <m:sub>
                <m:r>
                  <m:rPr>
                    <m:sty m:val="p"/>
                  </m:rPr>
                  <w:rPr>
                    <w:rFonts w:ascii="Cambria Math" w:hAnsi="Cambria Math"/>
                    <w:vertAlign w:val="subscript"/>
                  </w:rPr>
                  <m:t>f</m:t>
                </m:r>
                <m:ctrlPr>
                  <w:rPr>
                    <w:rFonts w:ascii="Cambria Math" w:hAnsi="Cambria Math" w:eastAsiaTheme="minorEastAsia"/>
                  </w:rPr>
                </m:ctrlPr>
              </m:sub>
            </m:sSub>
            <m:r>
              <m:rPr>
                <m:sty m:val="p"/>
              </m:rPr>
              <w:rPr>
                <w:rFonts w:ascii="Cambria Math" w:hAnsi="Cambria Math" w:eastAsia="Cambria Math"/>
              </w:rPr>
              <m:t>−</m:t>
            </m:r>
            <m:sSub>
              <m:sSubPr>
                <m:ctrlPr>
                  <w:rPr>
                    <w:rFonts w:ascii="Cambria Math" w:hAnsi="Cambria Math" w:eastAsia="Cambria Math"/>
                  </w:rPr>
                </m:ctrlPr>
              </m:sSubPr>
              <m:e>
                <m:r>
                  <m:rPr/>
                  <w:rPr>
                    <w:rFonts w:ascii="Cambria Math" w:hAnsi="Cambria Math" w:eastAsia="Cambria Math"/>
                  </w:rPr>
                  <m:t>DO</m:t>
                </m:r>
                <m:ctrlPr>
                  <w:rPr>
                    <w:rFonts w:ascii="Cambria Math" w:hAnsi="Cambria Math" w:eastAsia="Cambria Math"/>
                  </w:rPr>
                </m:ctrlPr>
              </m:e>
              <m:sub>
                <m:r>
                  <m:rPr/>
                  <w:rPr>
                    <w:rFonts w:ascii="Cambria Math" w:hAnsi="Cambria Math" w:eastAsia="Cambria Math"/>
                  </w:rPr>
                  <m:t>s</m:t>
                </m:r>
                <m:ctrlPr>
                  <w:rPr>
                    <w:rFonts w:ascii="Cambria Math" w:hAnsi="Cambria Math" w:eastAsia="Cambria Math"/>
                  </w:rPr>
                </m:ctrlPr>
              </m:sub>
            </m:sSub>
            <m:ctrlPr>
              <w:rPr>
                <w:rFonts w:ascii="Cambria Math" w:hAnsi="Cambria Math" w:eastAsia="Cambria Math"/>
              </w:rPr>
            </m:ctrlPr>
          </m:den>
        </m:f>
      </m:oMath>
      <w:r>
        <w:t xml:space="preserve"> （DO</w:t>
      </w:r>
      <w:r>
        <w:rPr>
          <w:vertAlign w:val="subscript"/>
        </w:rPr>
        <w:t>j</w:t>
      </w:r>
      <w:r>
        <w:t>＞DO</w:t>
      </w:r>
      <w:r>
        <w:rPr>
          <w:vertAlign w:val="subscript"/>
        </w:rPr>
        <w:t>f</w:t>
      </w:r>
      <w:r>
        <w:t>）</w:t>
      </w:r>
    </w:p>
    <w:p>
      <w:pPr>
        <w:ind w:firstLine="480"/>
      </w:pPr>
      <w:r>
        <w:t>式中：S</w:t>
      </w:r>
      <w:r>
        <w:rPr>
          <w:vertAlign w:val="subscript"/>
        </w:rPr>
        <w:t>DO,j</w:t>
      </w:r>
      <w:r>
        <w:t>——溶解氧的标准指数，大于1表明该水质因子超标；</w:t>
      </w:r>
    </w:p>
    <w:p>
      <w:pPr>
        <w:ind w:firstLine="1200" w:firstLineChars="500"/>
      </w:pPr>
      <w:r>
        <w:t>DO</w:t>
      </w:r>
      <w:r>
        <w:rPr>
          <w:vertAlign w:val="subscript"/>
        </w:rPr>
        <w:t>j</w:t>
      </w:r>
      <w:r>
        <w:t>——溶解氧在j点的实测统计代表值，mg/L；</w:t>
      </w:r>
    </w:p>
    <w:p>
      <w:pPr>
        <w:ind w:firstLine="1200" w:firstLineChars="500"/>
      </w:pPr>
      <w:r>
        <w:t>DO</w:t>
      </w:r>
      <w:r>
        <w:rPr>
          <w:vertAlign w:val="subscript"/>
        </w:rPr>
        <w:t>s</w:t>
      </w:r>
      <w:r>
        <w:t>——溶解氧的水质评价标准限值，mg/L；</w:t>
      </w:r>
    </w:p>
    <w:p>
      <w:pPr>
        <w:ind w:left="1920" w:leftChars="500" w:hanging="720" w:hangingChars="300"/>
      </w:pPr>
      <w:r>
        <w:t>DO</w:t>
      </w:r>
      <w:r>
        <w:rPr>
          <w:vertAlign w:val="subscript"/>
        </w:rPr>
        <w:t>f</w:t>
      </w:r>
      <w:r>
        <w:t>——饱和溶解氧浓度，mg/L，对于河流，DO</w:t>
      </w:r>
      <w:r>
        <w:rPr>
          <w:vertAlign w:val="subscript"/>
        </w:rPr>
        <w:t>f</w:t>
      </w:r>
      <w:r>
        <w:t>=468/(31.6+T)，对于盐度比较高的湖泊、水库及入海河口、近岸海域，DO</w:t>
      </w:r>
      <w:r>
        <w:rPr>
          <w:vertAlign w:val="subscript"/>
        </w:rPr>
        <w:t>f</w:t>
      </w:r>
      <w:r>
        <w:t>=(491﹣2.65S)/(31.6+T)；</w:t>
      </w:r>
    </w:p>
    <w:p>
      <w:pPr>
        <w:ind w:firstLine="1200" w:firstLineChars="500"/>
      </w:pPr>
      <w:r>
        <w:t>S——实用盐度符号，量纲一；</w:t>
      </w:r>
    </w:p>
    <w:p>
      <w:pPr>
        <w:ind w:firstLine="1200" w:firstLineChars="500"/>
      </w:pPr>
      <w:r>
        <w:t>T——水温，℃。</w:t>
      </w:r>
    </w:p>
    <w:p>
      <w:pPr>
        <w:ind w:firstLine="482"/>
        <w:rPr>
          <w:b/>
        </w:rPr>
      </w:pPr>
      <w:r>
        <w:rPr>
          <w:b/>
        </w:rPr>
        <w:t>pH值的指数计算公式：</w:t>
      </w:r>
    </w:p>
    <w:p>
      <w:pPr>
        <w:ind w:firstLine="480"/>
        <w:jc w:val="center"/>
      </w:pPr>
      <w:r>
        <w:t>S</w:t>
      </w:r>
      <w:r>
        <w:rPr>
          <w:vertAlign w:val="subscript"/>
        </w:rPr>
        <w:t>pH,j</w:t>
      </w:r>
      <w:r>
        <w:t>=</w:t>
      </w:r>
      <m:oMath>
        <m:f>
          <m:fPr>
            <m:ctrlPr>
              <w:rPr>
                <w:rFonts w:ascii="Cambria Math" w:hAnsi="Cambria Math" w:eastAsia="Cambria Math"/>
              </w:rPr>
            </m:ctrlPr>
          </m:fPr>
          <m:num>
            <m:r>
              <m:rPr/>
              <w:rPr>
                <w:rFonts w:ascii="Cambria Math" w:hAnsi="Cambria Math" w:eastAsiaTheme="minorEastAsia"/>
              </w:rPr>
              <m:t>7.0</m:t>
            </m:r>
            <m:r>
              <m:rPr/>
              <w:rPr>
                <w:rFonts w:ascii="Cambria Math" w:hAnsi="Cambria Math" w:eastAsia="Cambria Math"/>
              </w:rPr>
              <m:t>−</m:t>
            </m:r>
            <m:sSub>
              <m:sSubPr>
                <m:ctrlPr>
                  <w:rPr>
                    <w:rFonts w:ascii="Cambria Math" w:hAnsi="Cambria Math" w:eastAsia="Cambria Math"/>
                  </w:rPr>
                </m:ctrlPr>
              </m:sSubPr>
              <m:e>
                <m:r>
                  <m:rPr/>
                  <w:rPr>
                    <w:rFonts w:ascii="Cambria Math" w:hAnsi="Cambria Math" w:eastAsia="Cambria Math"/>
                  </w:rPr>
                  <m:t>pH</m:t>
                </m:r>
                <m:ctrlPr>
                  <w:rPr>
                    <w:rFonts w:ascii="Cambria Math" w:hAnsi="Cambria Math" w:eastAsia="Cambria Math"/>
                  </w:rPr>
                </m:ctrlPr>
              </m:e>
              <m:sub>
                <m:r>
                  <m:rPr/>
                  <w:rPr>
                    <w:rFonts w:ascii="Cambria Math" w:hAnsi="Cambria Math" w:eastAsia="Cambria Math"/>
                  </w:rPr>
                  <m:t>j</m:t>
                </m:r>
                <m:ctrlPr>
                  <w:rPr>
                    <w:rFonts w:ascii="Cambria Math" w:hAnsi="Cambria Math" w:eastAsia="Cambria Math"/>
                  </w:rPr>
                </m:ctrlPr>
              </m:sub>
            </m:sSub>
            <m:ctrlPr>
              <w:rPr>
                <w:rFonts w:ascii="Cambria Math" w:hAnsi="Cambria Math" w:eastAsia="Cambria Math"/>
              </w:rPr>
            </m:ctrlPr>
          </m:num>
          <m:den>
            <m:r>
              <m:rPr/>
              <w:rPr>
                <w:rFonts w:ascii="Cambria Math" w:hAnsi="Cambria Math" w:eastAsiaTheme="minorEastAsia"/>
              </w:rPr>
              <m:t>7.0</m:t>
            </m:r>
            <m:r>
              <m:rPr/>
              <w:rPr>
                <w:rFonts w:ascii="Cambria Math" w:hAnsi="Cambria Math" w:eastAsia="Cambria Math"/>
              </w:rPr>
              <m:t>−</m:t>
            </m:r>
            <m:sSub>
              <m:sSubPr>
                <m:ctrlPr>
                  <w:rPr>
                    <w:rFonts w:ascii="Cambria Math" w:hAnsi="Cambria Math" w:eastAsia="Cambria Math"/>
                  </w:rPr>
                </m:ctrlPr>
              </m:sSubPr>
              <m:e>
                <m:r>
                  <m:rPr/>
                  <w:rPr>
                    <w:rFonts w:ascii="Cambria Math" w:hAnsi="Cambria Math" w:eastAsia="Cambria Math"/>
                  </w:rPr>
                  <m:t>pH</m:t>
                </m:r>
                <m:ctrlPr>
                  <w:rPr>
                    <w:rFonts w:ascii="Cambria Math" w:hAnsi="Cambria Math" w:eastAsia="Cambria Math"/>
                  </w:rPr>
                </m:ctrlPr>
              </m:e>
              <m:sub>
                <m:r>
                  <m:rPr/>
                  <w:rPr>
                    <w:rFonts w:ascii="Cambria Math" w:hAnsi="Cambria Math" w:eastAsia="Cambria Math"/>
                  </w:rPr>
                  <m:t>sd</m:t>
                </m:r>
                <m:ctrlPr>
                  <w:rPr>
                    <w:rFonts w:ascii="Cambria Math" w:hAnsi="Cambria Math" w:eastAsia="Cambria Math"/>
                  </w:rPr>
                </m:ctrlPr>
              </m:sub>
            </m:sSub>
            <m:ctrlPr>
              <w:rPr>
                <w:rFonts w:ascii="Cambria Math" w:hAnsi="Cambria Math" w:eastAsia="Cambria Math"/>
              </w:rPr>
            </m:ctrlPr>
          </m:den>
        </m:f>
      </m:oMath>
      <w:r>
        <w:t xml:space="preserve"> （pH</w:t>
      </w:r>
      <w:r>
        <w:rPr>
          <w:vertAlign w:val="subscript"/>
        </w:rPr>
        <w:t>j</w:t>
      </w:r>
      <w:r>
        <w:t>≤7.0）</w:t>
      </w:r>
    </w:p>
    <w:p>
      <w:pPr>
        <w:ind w:firstLine="480"/>
        <w:jc w:val="center"/>
      </w:pPr>
      <w:r>
        <w:t>S</w:t>
      </w:r>
      <w:r>
        <w:rPr>
          <w:vertAlign w:val="subscript"/>
        </w:rPr>
        <w:t>pH,j</w:t>
      </w:r>
      <w:r>
        <w:t>=</w:t>
      </w:r>
      <m:oMath>
        <m:f>
          <m:fPr>
            <m:ctrlPr>
              <w:rPr>
                <w:rFonts w:ascii="Cambria Math" w:hAnsi="Cambria Math" w:eastAsia="Cambria Math"/>
              </w:rPr>
            </m:ctrlPr>
          </m:fPr>
          <m:num>
            <m:sSub>
              <m:sSubPr>
                <m:ctrlPr>
                  <w:rPr>
                    <w:rFonts w:ascii="Cambria Math" w:hAnsi="Cambria Math" w:eastAsia="Cambria Math"/>
                  </w:rPr>
                </m:ctrlPr>
              </m:sSubPr>
              <m:e>
                <m:r>
                  <m:rPr/>
                  <w:rPr>
                    <w:rFonts w:ascii="Cambria Math" w:hAnsi="Cambria Math" w:eastAsia="Cambria Math"/>
                  </w:rPr>
                  <m:t>pH</m:t>
                </m:r>
                <m:ctrlPr>
                  <w:rPr>
                    <w:rFonts w:ascii="Cambria Math" w:hAnsi="Cambria Math" w:eastAsia="Cambria Math"/>
                  </w:rPr>
                </m:ctrlPr>
              </m:e>
              <m:sub>
                <m:r>
                  <m:rPr/>
                  <w:rPr>
                    <w:rFonts w:ascii="Cambria Math" w:hAnsi="Cambria Math" w:eastAsia="Cambria Math"/>
                  </w:rPr>
                  <m:t>j</m:t>
                </m:r>
                <m:ctrlPr>
                  <w:rPr>
                    <w:rFonts w:ascii="Cambria Math" w:hAnsi="Cambria Math" w:eastAsia="Cambria Math"/>
                  </w:rPr>
                </m:ctrlPr>
              </m:sub>
            </m:sSub>
            <m:r>
              <m:rPr/>
              <w:rPr>
                <w:rFonts w:ascii="Cambria Math" w:hAnsi="Cambria Math" w:eastAsia="Cambria Math"/>
              </w:rPr>
              <m:t>−</m:t>
            </m:r>
            <m:r>
              <m:rPr/>
              <w:rPr>
                <w:rFonts w:ascii="Cambria Math" w:hAnsi="Cambria Math" w:eastAsiaTheme="minorEastAsia"/>
              </w:rPr>
              <m:t>7.0</m:t>
            </m:r>
            <m:ctrlPr>
              <w:rPr>
                <w:rFonts w:ascii="Cambria Math" w:hAnsi="Cambria Math" w:eastAsia="Cambria Math"/>
              </w:rPr>
            </m:ctrlPr>
          </m:num>
          <m:den>
            <m:sSub>
              <m:sSubPr>
                <m:ctrlPr>
                  <w:rPr>
                    <w:rFonts w:ascii="Cambria Math" w:hAnsi="Cambria Math" w:eastAsia="Cambria Math"/>
                  </w:rPr>
                </m:ctrlPr>
              </m:sSubPr>
              <m:e>
                <m:r>
                  <m:rPr/>
                  <w:rPr>
                    <w:rFonts w:ascii="Cambria Math" w:hAnsi="Cambria Math" w:eastAsia="Cambria Math"/>
                  </w:rPr>
                  <m:t>pH</m:t>
                </m:r>
                <m:ctrlPr>
                  <w:rPr>
                    <w:rFonts w:ascii="Cambria Math" w:hAnsi="Cambria Math" w:eastAsia="Cambria Math"/>
                  </w:rPr>
                </m:ctrlPr>
              </m:e>
              <m:sub>
                <m:r>
                  <m:rPr/>
                  <w:rPr>
                    <w:rFonts w:ascii="Cambria Math" w:hAnsi="Cambria Math" w:eastAsia="Cambria Math"/>
                  </w:rPr>
                  <m:t>su</m:t>
                </m:r>
                <m:ctrlPr>
                  <w:rPr>
                    <w:rFonts w:ascii="Cambria Math" w:hAnsi="Cambria Math" w:eastAsia="Cambria Math"/>
                  </w:rPr>
                </m:ctrlPr>
              </m:sub>
            </m:sSub>
            <m:r>
              <m:rPr/>
              <w:rPr>
                <w:rFonts w:ascii="Cambria Math" w:hAnsi="Cambria Math" w:eastAsia="Cambria Math"/>
              </w:rPr>
              <m:t>−</m:t>
            </m:r>
            <m:r>
              <m:rPr/>
              <w:rPr>
                <w:rFonts w:ascii="Cambria Math" w:hAnsi="Cambria Math" w:eastAsiaTheme="minorEastAsia"/>
              </w:rPr>
              <m:t>7.0</m:t>
            </m:r>
            <m:ctrlPr>
              <w:rPr>
                <w:rFonts w:ascii="Cambria Math" w:hAnsi="Cambria Math" w:eastAsia="Cambria Math"/>
              </w:rPr>
            </m:ctrlPr>
          </m:den>
        </m:f>
      </m:oMath>
      <w:r>
        <w:t xml:space="preserve"> （pH</w:t>
      </w:r>
      <w:r>
        <w:rPr>
          <w:vertAlign w:val="subscript"/>
        </w:rPr>
        <w:t>j</w:t>
      </w:r>
      <w:r>
        <w:t>＞7.0）</w:t>
      </w:r>
    </w:p>
    <w:p>
      <w:pPr>
        <w:ind w:firstLine="480"/>
      </w:pPr>
      <w:r>
        <w:t>式中：S</w:t>
      </w:r>
      <w:r>
        <w:rPr>
          <w:vertAlign w:val="subscript"/>
        </w:rPr>
        <w:t>pH,j</w:t>
      </w:r>
      <w:r>
        <w:t>——pH值的指数，大于1表明该水质因子超标；</w:t>
      </w:r>
    </w:p>
    <w:p>
      <w:pPr>
        <w:ind w:firstLine="1200" w:firstLineChars="500"/>
      </w:pPr>
      <w:r>
        <w:t>pH</w:t>
      </w:r>
      <w:r>
        <w:rPr>
          <w:vertAlign w:val="subscript"/>
        </w:rPr>
        <w:t xml:space="preserve">j </w:t>
      </w:r>
      <w:r>
        <w:t>——pH值实测统计代表值；</w:t>
      </w:r>
    </w:p>
    <w:p>
      <w:pPr>
        <w:ind w:firstLine="1200" w:firstLineChars="500"/>
      </w:pPr>
      <w:r>
        <w:t>pH</w:t>
      </w:r>
      <w:r>
        <w:rPr>
          <w:vertAlign w:val="subscript"/>
        </w:rPr>
        <w:t>sd</w:t>
      </w:r>
      <w:r>
        <w:t>——评价标准中pH值的下限值；</w:t>
      </w:r>
    </w:p>
    <w:p>
      <w:pPr>
        <w:ind w:firstLine="1200" w:firstLineChars="500"/>
      </w:pPr>
      <w:r>
        <w:t>pH</w:t>
      </w:r>
      <w:r>
        <w:rPr>
          <w:vertAlign w:val="subscript"/>
        </w:rPr>
        <w:t>su</w:t>
      </w:r>
      <w:r>
        <w:t>——评价标准中pH值的上限值。</w:t>
      </w:r>
    </w:p>
    <w:p>
      <w:pPr>
        <w:ind w:firstLine="480"/>
      </w:pPr>
      <w:r>
        <w:t>各断面现状监测因子标准指数统计结果见下表。</w:t>
      </w:r>
    </w:p>
    <w:p>
      <w:pPr>
        <w:pStyle w:val="458"/>
        <w:numPr>
          <w:ilvl w:val="0"/>
          <w:numId w:val="63"/>
        </w:numPr>
        <w:ind w:firstLineChars="0"/>
        <w:rPr>
          <w:rFonts w:cs="Times New Roman"/>
          <w:b/>
          <w:color w:val="auto"/>
        </w:rPr>
      </w:pPr>
      <w:r>
        <w:rPr>
          <w:rFonts w:cs="Times New Roman"/>
          <w:b/>
          <w:color w:val="auto"/>
        </w:rPr>
        <w:t>评价结果及小结</w:t>
      </w:r>
    </w:p>
    <w:p>
      <w:pPr>
        <w:pStyle w:val="3583"/>
        <w:spacing w:line="240" w:lineRule="auto"/>
        <w:ind w:left="0"/>
      </w:pPr>
      <w:r>
        <w:t>地表水环境质量现状监测结果</w:t>
      </w:r>
    </w:p>
    <w:tbl>
      <w:tblPr>
        <w:tblStyle w:val="8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69"/>
        <w:gridCol w:w="1937"/>
        <w:gridCol w:w="936"/>
        <w:gridCol w:w="1709"/>
        <w:gridCol w:w="1809"/>
        <w:gridCol w:w="182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restart"/>
            <w:vAlign w:val="center"/>
          </w:tcPr>
          <w:p>
            <w:pPr>
              <w:spacing w:line="260" w:lineRule="exact"/>
              <w:ind w:firstLine="0" w:firstLineChars="0"/>
              <w:jc w:val="center"/>
              <w:rPr>
                <w:b/>
                <w:bCs/>
                <w:sz w:val="21"/>
                <w:szCs w:val="21"/>
              </w:rPr>
            </w:pPr>
            <w:r>
              <w:rPr>
                <w:b/>
                <w:bCs/>
                <w:sz w:val="21"/>
                <w:szCs w:val="21"/>
              </w:rPr>
              <w:t>采样</w:t>
            </w:r>
            <w:r>
              <w:rPr>
                <w:rFonts w:hint="eastAsia"/>
                <w:b/>
                <w:bCs/>
                <w:sz w:val="21"/>
                <w:szCs w:val="21"/>
              </w:rPr>
              <w:t>点位</w:t>
            </w:r>
          </w:p>
        </w:tc>
        <w:tc>
          <w:tcPr>
            <w:tcW w:w="1043" w:type="pct"/>
            <w:vMerge w:val="restart"/>
            <w:vAlign w:val="center"/>
          </w:tcPr>
          <w:p>
            <w:pPr>
              <w:spacing w:line="260" w:lineRule="exact"/>
              <w:ind w:firstLine="0" w:firstLineChars="0"/>
              <w:jc w:val="center"/>
              <w:rPr>
                <w:b/>
                <w:bCs/>
                <w:sz w:val="21"/>
                <w:szCs w:val="21"/>
              </w:rPr>
            </w:pPr>
            <w:r>
              <w:rPr>
                <w:b/>
                <w:bCs/>
                <w:sz w:val="21"/>
                <w:szCs w:val="21"/>
              </w:rPr>
              <w:t>检测项目</w:t>
            </w:r>
          </w:p>
        </w:tc>
        <w:tc>
          <w:tcPr>
            <w:tcW w:w="504" w:type="pct"/>
            <w:vMerge w:val="restart"/>
            <w:vAlign w:val="center"/>
          </w:tcPr>
          <w:p>
            <w:pPr>
              <w:spacing w:line="260" w:lineRule="exact"/>
              <w:ind w:firstLine="0" w:firstLineChars="0"/>
              <w:jc w:val="center"/>
              <w:rPr>
                <w:b/>
                <w:bCs/>
                <w:sz w:val="21"/>
                <w:szCs w:val="21"/>
              </w:rPr>
            </w:pPr>
            <w:r>
              <w:rPr>
                <w:b/>
                <w:bCs/>
                <w:sz w:val="21"/>
                <w:szCs w:val="21"/>
              </w:rPr>
              <w:t>单位</w:t>
            </w:r>
          </w:p>
        </w:tc>
        <w:tc>
          <w:tcPr>
            <w:tcW w:w="2875" w:type="pct"/>
            <w:gridSpan w:val="3"/>
            <w:vAlign w:val="center"/>
          </w:tcPr>
          <w:p>
            <w:pPr>
              <w:spacing w:line="260" w:lineRule="exact"/>
              <w:ind w:firstLine="0" w:firstLineChars="0"/>
              <w:jc w:val="center"/>
              <w:rPr>
                <w:b/>
                <w:bCs/>
                <w:sz w:val="21"/>
                <w:szCs w:val="21"/>
              </w:rPr>
            </w:pPr>
            <w:r>
              <w:rPr>
                <w:rFonts w:hint="eastAsia"/>
                <w:b/>
                <w:bCs/>
                <w:sz w:val="21"/>
                <w:szCs w:val="21"/>
              </w:rPr>
              <w:t>采样时间及</w:t>
            </w:r>
            <w:r>
              <w:rPr>
                <w:b/>
                <w:bCs/>
                <w:sz w:val="21"/>
                <w:szCs w:val="21"/>
              </w:rPr>
              <w:t>检测结果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bottom w:val="single" w:color="auto" w:sz="12" w:space="0"/>
            </w:tcBorders>
            <w:vAlign w:val="center"/>
          </w:tcPr>
          <w:p>
            <w:pPr>
              <w:spacing w:line="260" w:lineRule="exact"/>
              <w:ind w:firstLine="0" w:firstLineChars="0"/>
              <w:jc w:val="center"/>
              <w:rPr>
                <w:b/>
                <w:bCs/>
                <w:sz w:val="21"/>
                <w:szCs w:val="21"/>
              </w:rPr>
            </w:pPr>
          </w:p>
        </w:tc>
        <w:tc>
          <w:tcPr>
            <w:tcW w:w="1043" w:type="pct"/>
            <w:vMerge w:val="continue"/>
            <w:tcBorders>
              <w:bottom w:val="single" w:color="auto" w:sz="12" w:space="0"/>
            </w:tcBorders>
            <w:vAlign w:val="center"/>
          </w:tcPr>
          <w:p>
            <w:pPr>
              <w:spacing w:line="260" w:lineRule="exact"/>
              <w:ind w:firstLine="0" w:firstLineChars="0"/>
              <w:jc w:val="center"/>
              <w:rPr>
                <w:b/>
                <w:bCs/>
                <w:sz w:val="21"/>
                <w:szCs w:val="21"/>
              </w:rPr>
            </w:pPr>
          </w:p>
        </w:tc>
        <w:tc>
          <w:tcPr>
            <w:tcW w:w="504" w:type="pct"/>
            <w:vMerge w:val="continue"/>
            <w:tcBorders>
              <w:bottom w:val="single" w:color="auto" w:sz="12" w:space="0"/>
            </w:tcBorders>
            <w:vAlign w:val="center"/>
          </w:tcPr>
          <w:p>
            <w:pPr>
              <w:spacing w:line="260" w:lineRule="exact"/>
              <w:ind w:firstLine="0" w:firstLineChars="0"/>
              <w:jc w:val="center"/>
              <w:rPr>
                <w:b/>
                <w:bCs/>
                <w:sz w:val="21"/>
                <w:szCs w:val="21"/>
              </w:rPr>
            </w:pPr>
          </w:p>
        </w:tc>
        <w:tc>
          <w:tcPr>
            <w:tcW w:w="920" w:type="pct"/>
            <w:tcBorders>
              <w:bottom w:val="single" w:color="auto" w:sz="12" w:space="0"/>
            </w:tcBorders>
            <w:vAlign w:val="center"/>
          </w:tcPr>
          <w:p>
            <w:pPr>
              <w:spacing w:line="260" w:lineRule="exact"/>
              <w:ind w:firstLine="0" w:firstLineChars="0"/>
              <w:jc w:val="center"/>
              <w:rPr>
                <w:b/>
                <w:bCs/>
                <w:sz w:val="21"/>
                <w:szCs w:val="21"/>
              </w:rPr>
            </w:pPr>
            <w:r>
              <w:rPr>
                <w:rFonts w:hint="eastAsia"/>
                <w:b/>
                <w:bCs/>
                <w:sz w:val="21"/>
                <w:szCs w:val="21"/>
              </w:rPr>
              <w:t>2020.07.31</w:t>
            </w:r>
          </w:p>
        </w:tc>
        <w:tc>
          <w:tcPr>
            <w:tcW w:w="974" w:type="pct"/>
            <w:tcBorders>
              <w:bottom w:val="single" w:color="auto" w:sz="12" w:space="0"/>
            </w:tcBorders>
            <w:vAlign w:val="center"/>
          </w:tcPr>
          <w:p>
            <w:pPr>
              <w:spacing w:line="260" w:lineRule="exact"/>
              <w:ind w:firstLine="0" w:firstLineChars="0"/>
              <w:jc w:val="center"/>
              <w:rPr>
                <w:b/>
                <w:bCs/>
                <w:sz w:val="21"/>
                <w:szCs w:val="21"/>
              </w:rPr>
            </w:pPr>
            <w:r>
              <w:rPr>
                <w:rFonts w:hint="eastAsia"/>
                <w:b/>
                <w:bCs/>
                <w:sz w:val="21"/>
                <w:szCs w:val="21"/>
              </w:rPr>
              <w:t>2020.08.01</w:t>
            </w:r>
          </w:p>
        </w:tc>
        <w:tc>
          <w:tcPr>
            <w:tcW w:w="981" w:type="pct"/>
            <w:tcBorders>
              <w:bottom w:val="single" w:color="auto" w:sz="12" w:space="0"/>
            </w:tcBorders>
            <w:vAlign w:val="center"/>
          </w:tcPr>
          <w:p>
            <w:pPr>
              <w:spacing w:line="260" w:lineRule="exact"/>
              <w:ind w:firstLine="0" w:firstLineChars="0"/>
              <w:jc w:val="center"/>
              <w:rPr>
                <w:b/>
                <w:bCs/>
                <w:sz w:val="21"/>
                <w:szCs w:val="21"/>
              </w:rPr>
            </w:pPr>
            <w:r>
              <w:rPr>
                <w:rFonts w:hint="eastAsia"/>
                <w:b/>
                <w:bCs/>
                <w:sz w:val="21"/>
                <w:szCs w:val="21"/>
              </w:rPr>
              <w:t>2020.08.02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restart"/>
            <w:tcBorders>
              <w:top w:val="single" w:color="auto" w:sz="12" w:space="0"/>
              <w:tl2br w:val="nil"/>
              <w:tr2bl w:val="nil"/>
            </w:tcBorders>
            <w:vAlign w:val="center"/>
          </w:tcPr>
          <w:p>
            <w:pPr>
              <w:spacing w:line="260" w:lineRule="exact"/>
              <w:ind w:firstLine="0" w:firstLineChars="0"/>
              <w:jc w:val="center"/>
              <w:rPr>
                <w:sz w:val="21"/>
                <w:szCs w:val="21"/>
              </w:rPr>
            </w:pPr>
            <w:r>
              <w:rPr>
                <w:sz w:val="21"/>
                <w:szCs w:val="21"/>
              </w:rPr>
              <w:t>W1</w:t>
            </w:r>
          </w:p>
          <w:p>
            <w:pPr>
              <w:spacing w:line="260" w:lineRule="exact"/>
              <w:ind w:firstLine="0" w:firstLineChars="0"/>
              <w:jc w:val="center"/>
              <w:rPr>
                <w:sz w:val="21"/>
                <w:szCs w:val="21"/>
              </w:rPr>
            </w:pPr>
            <w:r>
              <w:rPr>
                <w:sz w:val="21"/>
                <w:szCs w:val="21"/>
              </w:rPr>
              <w:t>（拟建码头上游</w:t>
            </w:r>
            <w:r>
              <w:rPr>
                <w:rFonts w:hint="eastAsia"/>
                <w:sz w:val="21"/>
                <w:szCs w:val="21"/>
              </w:rPr>
              <w:t>3000</w:t>
            </w:r>
            <w:r>
              <w:rPr>
                <w:sz w:val="21"/>
                <w:szCs w:val="21"/>
              </w:rPr>
              <w:t>m）</w:t>
            </w:r>
          </w:p>
        </w:tc>
        <w:tc>
          <w:tcPr>
            <w:tcW w:w="1043" w:type="pct"/>
            <w:tcBorders>
              <w:top w:val="single" w:color="auto" w:sz="12" w:space="0"/>
              <w:tl2br w:val="nil"/>
              <w:tr2bl w:val="nil"/>
            </w:tcBorders>
            <w:vAlign w:val="center"/>
          </w:tcPr>
          <w:p>
            <w:pPr>
              <w:spacing w:line="260" w:lineRule="exact"/>
              <w:ind w:firstLine="0" w:firstLineChars="0"/>
              <w:jc w:val="center"/>
              <w:rPr>
                <w:sz w:val="21"/>
                <w:szCs w:val="21"/>
              </w:rPr>
            </w:pPr>
            <w:r>
              <w:rPr>
                <w:sz w:val="21"/>
                <w:szCs w:val="21"/>
              </w:rPr>
              <w:t>pH 值</w:t>
            </w:r>
          </w:p>
        </w:tc>
        <w:tc>
          <w:tcPr>
            <w:tcW w:w="504" w:type="pct"/>
            <w:tcBorders>
              <w:top w:val="single" w:color="auto" w:sz="12" w:space="0"/>
              <w:tl2br w:val="nil"/>
              <w:tr2bl w:val="nil"/>
            </w:tcBorders>
            <w:vAlign w:val="center"/>
          </w:tcPr>
          <w:p>
            <w:pPr>
              <w:spacing w:line="260" w:lineRule="exact"/>
              <w:ind w:firstLine="0" w:firstLineChars="0"/>
              <w:jc w:val="center"/>
              <w:rPr>
                <w:sz w:val="21"/>
                <w:szCs w:val="21"/>
              </w:rPr>
            </w:pPr>
            <w:r>
              <w:rPr>
                <w:sz w:val="21"/>
                <w:szCs w:val="21"/>
              </w:rPr>
              <w:t>无量纲</w:t>
            </w:r>
          </w:p>
        </w:tc>
        <w:tc>
          <w:tcPr>
            <w:tcW w:w="920" w:type="pct"/>
            <w:tcBorders>
              <w:top w:val="single" w:color="auto" w:sz="12" w:space="0"/>
              <w:tl2br w:val="nil"/>
              <w:tr2bl w:val="nil"/>
            </w:tcBorders>
            <w:vAlign w:val="center"/>
          </w:tcPr>
          <w:p>
            <w:pPr>
              <w:spacing w:line="260" w:lineRule="exact"/>
              <w:ind w:firstLine="0" w:firstLineChars="0"/>
              <w:jc w:val="center"/>
              <w:rPr>
                <w:sz w:val="21"/>
                <w:szCs w:val="21"/>
              </w:rPr>
            </w:pPr>
            <w:r>
              <w:rPr>
                <w:rFonts w:hint="eastAsia"/>
                <w:sz w:val="21"/>
                <w:szCs w:val="21"/>
              </w:rPr>
              <w:t>6.73</w:t>
            </w:r>
          </w:p>
        </w:tc>
        <w:tc>
          <w:tcPr>
            <w:tcW w:w="974" w:type="pct"/>
            <w:tcBorders>
              <w:top w:val="single" w:color="auto" w:sz="12" w:space="0"/>
              <w:tl2br w:val="nil"/>
              <w:tr2bl w:val="nil"/>
            </w:tcBorders>
            <w:vAlign w:val="center"/>
          </w:tcPr>
          <w:p>
            <w:pPr>
              <w:spacing w:line="260" w:lineRule="exact"/>
              <w:ind w:firstLine="0" w:firstLineChars="0"/>
              <w:jc w:val="center"/>
              <w:rPr>
                <w:sz w:val="21"/>
                <w:szCs w:val="21"/>
              </w:rPr>
            </w:pPr>
            <w:r>
              <w:rPr>
                <w:rFonts w:hint="eastAsia"/>
                <w:sz w:val="21"/>
                <w:szCs w:val="21"/>
              </w:rPr>
              <w:t>6.77</w:t>
            </w:r>
          </w:p>
        </w:tc>
        <w:tc>
          <w:tcPr>
            <w:tcW w:w="981" w:type="pct"/>
            <w:tcBorders>
              <w:top w:val="single" w:color="auto" w:sz="12" w:space="0"/>
              <w:tl2br w:val="nil"/>
              <w:tr2bl w:val="nil"/>
            </w:tcBorders>
            <w:vAlign w:val="center"/>
          </w:tcPr>
          <w:p>
            <w:pPr>
              <w:spacing w:line="260" w:lineRule="exact"/>
              <w:ind w:firstLine="0" w:firstLineChars="0"/>
              <w:jc w:val="center"/>
              <w:rPr>
                <w:sz w:val="21"/>
                <w:szCs w:val="21"/>
              </w:rPr>
            </w:pPr>
            <w:r>
              <w:rPr>
                <w:rFonts w:hint="eastAsia"/>
                <w:sz w:val="21"/>
                <w:szCs w:val="21"/>
              </w:rPr>
              <w:t>6.81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spacing w:line="260" w:lineRule="exact"/>
              <w:ind w:firstLine="0" w:firstLineChars="0"/>
              <w:jc w:val="center"/>
              <w:rPr>
                <w:sz w:val="21"/>
                <w:szCs w:val="21"/>
              </w:rPr>
            </w:pP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溶解氧</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7.29</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7.34</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7.24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spacing w:line="260" w:lineRule="exact"/>
              <w:ind w:firstLine="0" w:firstLineChars="0"/>
              <w:jc w:val="center"/>
              <w:rPr>
                <w:sz w:val="21"/>
                <w:szCs w:val="21"/>
              </w:rPr>
            </w:pP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高锰酸盐指数</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1.8</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1.9</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spacing w:line="260" w:lineRule="exact"/>
              <w:ind w:firstLine="0" w:firstLineChars="0"/>
              <w:jc w:val="center"/>
              <w:rPr>
                <w:sz w:val="21"/>
                <w:szCs w:val="21"/>
              </w:rPr>
            </w:pP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化学需氧量</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7</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9</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spacing w:line="260" w:lineRule="exact"/>
              <w:ind w:firstLine="0" w:firstLineChars="0"/>
              <w:jc w:val="center"/>
              <w:rPr>
                <w:sz w:val="21"/>
                <w:szCs w:val="21"/>
              </w:rPr>
            </w:pP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五日生化需氧量</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1.5</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2.1</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1.7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spacing w:line="260" w:lineRule="exact"/>
              <w:ind w:firstLine="0" w:firstLineChars="0"/>
              <w:jc w:val="center"/>
              <w:rPr>
                <w:sz w:val="21"/>
                <w:szCs w:val="21"/>
              </w:rPr>
            </w:pP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氨氮</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0.374</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0.393</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0.407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spacing w:line="260" w:lineRule="exact"/>
              <w:ind w:firstLine="0" w:firstLineChars="0"/>
              <w:jc w:val="center"/>
              <w:rPr>
                <w:sz w:val="21"/>
                <w:szCs w:val="21"/>
              </w:rPr>
            </w:pP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总磷</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0.04</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0.04</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spacing w:line="260" w:lineRule="exact"/>
              <w:ind w:firstLine="0" w:firstLineChars="0"/>
              <w:jc w:val="center"/>
              <w:rPr>
                <w:sz w:val="21"/>
                <w:szCs w:val="21"/>
              </w:rPr>
            </w:pP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总氮</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0.89</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0.91</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0.95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spacing w:line="260" w:lineRule="exact"/>
              <w:ind w:firstLine="0" w:firstLineChars="0"/>
              <w:jc w:val="center"/>
              <w:rPr>
                <w:sz w:val="21"/>
                <w:szCs w:val="21"/>
              </w:rPr>
            </w:pPr>
          </w:p>
        </w:tc>
        <w:tc>
          <w:tcPr>
            <w:tcW w:w="1043" w:type="pct"/>
            <w:tcBorders>
              <w:tl2br w:val="nil"/>
              <w:tr2bl w:val="nil"/>
            </w:tcBorders>
            <w:vAlign w:val="center"/>
          </w:tcPr>
          <w:p>
            <w:pPr>
              <w:spacing w:line="260" w:lineRule="exact"/>
              <w:ind w:firstLine="0" w:firstLineChars="0"/>
              <w:jc w:val="center"/>
              <w:rPr>
                <w:sz w:val="21"/>
                <w:szCs w:val="21"/>
              </w:rPr>
            </w:pPr>
            <w:r>
              <w:rPr>
                <w:rFonts w:hint="eastAsia"/>
                <w:sz w:val="21"/>
                <w:szCs w:val="21"/>
              </w:rPr>
              <w:t>*石油类</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0.01</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0.02</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restart"/>
            <w:tcBorders>
              <w:tl2br w:val="nil"/>
              <w:tr2bl w:val="nil"/>
            </w:tcBorders>
            <w:vAlign w:val="center"/>
          </w:tcPr>
          <w:p>
            <w:pPr>
              <w:spacing w:line="260" w:lineRule="exact"/>
              <w:ind w:firstLine="0" w:firstLineChars="0"/>
              <w:jc w:val="center"/>
              <w:rPr>
                <w:sz w:val="21"/>
                <w:szCs w:val="21"/>
              </w:rPr>
            </w:pPr>
            <w:r>
              <w:rPr>
                <w:sz w:val="21"/>
                <w:szCs w:val="21"/>
              </w:rPr>
              <w:t>W2</w:t>
            </w:r>
          </w:p>
          <w:p>
            <w:pPr>
              <w:spacing w:line="260" w:lineRule="exact"/>
              <w:ind w:firstLine="0" w:firstLineChars="0"/>
              <w:jc w:val="center"/>
              <w:rPr>
                <w:sz w:val="21"/>
                <w:szCs w:val="21"/>
              </w:rPr>
            </w:pPr>
            <w:r>
              <w:rPr>
                <w:sz w:val="21"/>
                <w:szCs w:val="21"/>
              </w:rPr>
              <w:t>（拟建码头</w:t>
            </w:r>
            <w:r>
              <w:rPr>
                <w:rFonts w:hint="eastAsia"/>
                <w:sz w:val="21"/>
                <w:szCs w:val="21"/>
              </w:rPr>
              <w:t>泊位处</w:t>
            </w:r>
            <w:r>
              <w:rPr>
                <w:sz w:val="21"/>
                <w:szCs w:val="21"/>
              </w:rPr>
              <w:t>）</w:t>
            </w: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pH 值</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无量纲</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6.48</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6.53</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6.57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spacing w:line="260" w:lineRule="exact"/>
              <w:ind w:firstLine="0" w:firstLineChars="0"/>
              <w:jc w:val="center"/>
              <w:rPr>
                <w:sz w:val="21"/>
                <w:szCs w:val="21"/>
              </w:rPr>
            </w:pP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溶解氧</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7.29</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7.35</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7.3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spacing w:line="260" w:lineRule="exact"/>
              <w:ind w:firstLine="0" w:firstLineChars="0"/>
              <w:jc w:val="center"/>
              <w:rPr>
                <w:sz w:val="21"/>
                <w:szCs w:val="21"/>
              </w:rPr>
            </w:pP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高锰酸盐指数</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1.8</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1.7</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spacing w:line="260" w:lineRule="exact"/>
              <w:ind w:firstLine="0" w:firstLineChars="0"/>
              <w:jc w:val="center"/>
              <w:rPr>
                <w:sz w:val="21"/>
                <w:szCs w:val="21"/>
              </w:rPr>
            </w:pP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化学需氧量</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7</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7</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spacing w:line="260" w:lineRule="exact"/>
              <w:ind w:firstLine="0" w:firstLineChars="0"/>
              <w:jc w:val="center"/>
              <w:rPr>
                <w:sz w:val="21"/>
                <w:szCs w:val="21"/>
              </w:rPr>
            </w:pP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五日生化需氧量</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1.5</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1.5</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1.7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spacing w:line="260" w:lineRule="exact"/>
              <w:ind w:firstLine="0" w:firstLineChars="0"/>
              <w:jc w:val="center"/>
              <w:rPr>
                <w:sz w:val="21"/>
                <w:szCs w:val="21"/>
              </w:rPr>
            </w:pP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氨氮</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0.221</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0.238</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0.252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pStyle w:val="2057"/>
              <w:spacing w:after="156"/>
              <w:ind w:firstLine="480"/>
            </w:pP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总磷</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0.06</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0.07</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0.07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pStyle w:val="2057"/>
              <w:spacing w:after="156"/>
              <w:ind w:firstLine="480"/>
            </w:pP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总氮</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0.88</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0.85</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0.84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pStyle w:val="2057"/>
              <w:spacing w:after="156"/>
              <w:ind w:firstLine="480"/>
            </w:pPr>
          </w:p>
        </w:tc>
        <w:tc>
          <w:tcPr>
            <w:tcW w:w="1043" w:type="pct"/>
            <w:tcBorders>
              <w:tl2br w:val="nil"/>
              <w:tr2bl w:val="nil"/>
            </w:tcBorders>
            <w:vAlign w:val="center"/>
          </w:tcPr>
          <w:p>
            <w:pPr>
              <w:spacing w:line="260" w:lineRule="exact"/>
              <w:ind w:firstLine="0" w:firstLineChars="0"/>
              <w:jc w:val="center"/>
              <w:rPr>
                <w:sz w:val="21"/>
                <w:szCs w:val="21"/>
              </w:rPr>
            </w:pPr>
            <w:r>
              <w:rPr>
                <w:rFonts w:hint="eastAsia"/>
                <w:sz w:val="21"/>
                <w:szCs w:val="21"/>
              </w:rPr>
              <w:t>*石油类</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0.01</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0.02</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restart"/>
            <w:tcBorders>
              <w:tl2br w:val="nil"/>
              <w:tr2bl w:val="nil"/>
            </w:tcBorders>
            <w:vAlign w:val="center"/>
          </w:tcPr>
          <w:p>
            <w:pPr>
              <w:spacing w:line="260" w:lineRule="exact"/>
              <w:ind w:firstLine="0" w:firstLineChars="0"/>
              <w:jc w:val="center"/>
              <w:rPr>
                <w:sz w:val="21"/>
                <w:szCs w:val="21"/>
              </w:rPr>
            </w:pPr>
            <w:r>
              <w:rPr>
                <w:sz w:val="21"/>
                <w:szCs w:val="21"/>
              </w:rPr>
              <w:t>W3#长江</w:t>
            </w:r>
          </w:p>
          <w:p>
            <w:pPr>
              <w:spacing w:line="260" w:lineRule="exact"/>
              <w:ind w:firstLine="0" w:firstLineChars="0"/>
              <w:jc w:val="center"/>
              <w:rPr>
                <w:sz w:val="21"/>
                <w:szCs w:val="21"/>
              </w:rPr>
            </w:pPr>
            <w:r>
              <w:rPr>
                <w:sz w:val="21"/>
                <w:szCs w:val="21"/>
              </w:rPr>
              <w:t>（拟建码头下游500m）</w:t>
            </w: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pH 值</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无量纲</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6.59</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6.63</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6.69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spacing w:line="260" w:lineRule="exact"/>
              <w:ind w:firstLine="0" w:firstLineChars="0"/>
              <w:jc w:val="center"/>
              <w:rPr>
                <w:sz w:val="21"/>
                <w:szCs w:val="21"/>
              </w:rPr>
            </w:pP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溶解氧</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7.28</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7.21</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spacing w:line="260" w:lineRule="exact"/>
              <w:ind w:firstLine="0" w:firstLineChars="0"/>
              <w:jc w:val="center"/>
              <w:rPr>
                <w:sz w:val="21"/>
                <w:szCs w:val="21"/>
              </w:rPr>
            </w:pP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高锰酸盐指数</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2.8</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2.9</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spacing w:line="260" w:lineRule="exact"/>
              <w:ind w:firstLine="0" w:firstLineChars="0"/>
              <w:jc w:val="center"/>
              <w:rPr>
                <w:sz w:val="21"/>
                <w:szCs w:val="21"/>
              </w:rPr>
            </w:pP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化学需氧量</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9</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10</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spacing w:line="260" w:lineRule="exact"/>
              <w:ind w:firstLine="0" w:firstLineChars="0"/>
              <w:jc w:val="center"/>
              <w:rPr>
                <w:sz w:val="21"/>
                <w:szCs w:val="21"/>
              </w:rPr>
            </w:pP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五日生化需氧量</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2.1</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2.3</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1.7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spacing w:line="260" w:lineRule="exact"/>
              <w:ind w:firstLine="0" w:firstLineChars="0"/>
              <w:jc w:val="center"/>
              <w:rPr>
                <w:sz w:val="21"/>
                <w:szCs w:val="21"/>
              </w:rPr>
            </w:pP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氨氮</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0.286</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0.309</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0.323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spacing w:line="260" w:lineRule="exact"/>
              <w:ind w:firstLine="0" w:firstLineChars="0"/>
              <w:jc w:val="center"/>
              <w:rPr>
                <w:sz w:val="21"/>
                <w:szCs w:val="21"/>
              </w:rPr>
            </w:pP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总磷</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0.07</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0.07</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0.08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spacing w:line="260" w:lineRule="exact"/>
              <w:ind w:firstLine="0" w:firstLineChars="0"/>
              <w:jc w:val="center"/>
              <w:rPr>
                <w:sz w:val="21"/>
                <w:szCs w:val="21"/>
              </w:rPr>
            </w:pPr>
          </w:p>
        </w:tc>
        <w:tc>
          <w:tcPr>
            <w:tcW w:w="1043" w:type="pct"/>
            <w:tcBorders>
              <w:tl2br w:val="nil"/>
              <w:tr2bl w:val="nil"/>
            </w:tcBorders>
            <w:vAlign w:val="center"/>
          </w:tcPr>
          <w:p>
            <w:pPr>
              <w:spacing w:line="260" w:lineRule="exact"/>
              <w:ind w:firstLine="0" w:firstLineChars="0"/>
              <w:jc w:val="center"/>
              <w:rPr>
                <w:sz w:val="21"/>
                <w:szCs w:val="21"/>
              </w:rPr>
            </w:pPr>
            <w:r>
              <w:rPr>
                <w:sz w:val="21"/>
                <w:szCs w:val="21"/>
              </w:rPr>
              <w:t>总氮</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0.89</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0.92</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0.91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6" w:type="pct"/>
            <w:vMerge w:val="continue"/>
            <w:tcBorders>
              <w:tl2br w:val="nil"/>
              <w:tr2bl w:val="nil"/>
            </w:tcBorders>
            <w:vAlign w:val="center"/>
          </w:tcPr>
          <w:p>
            <w:pPr>
              <w:spacing w:line="260" w:lineRule="exact"/>
              <w:ind w:firstLine="0" w:firstLineChars="0"/>
              <w:jc w:val="center"/>
              <w:rPr>
                <w:sz w:val="21"/>
                <w:szCs w:val="21"/>
              </w:rPr>
            </w:pPr>
          </w:p>
        </w:tc>
        <w:tc>
          <w:tcPr>
            <w:tcW w:w="1043" w:type="pct"/>
            <w:tcBorders>
              <w:tl2br w:val="nil"/>
              <w:tr2bl w:val="nil"/>
            </w:tcBorders>
            <w:vAlign w:val="center"/>
          </w:tcPr>
          <w:p>
            <w:pPr>
              <w:spacing w:line="260" w:lineRule="exact"/>
              <w:ind w:firstLine="0" w:firstLineChars="0"/>
              <w:jc w:val="center"/>
              <w:rPr>
                <w:sz w:val="21"/>
                <w:szCs w:val="21"/>
              </w:rPr>
            </w:pPr>
            <w:r>
              <w:rPr>
                <w:rFonts w:hint="eastAsia"/>
                <w:sz w:val="21"/>
                <w:szCs w:val="21"/>
              </w:rPr>
              <w:t>*石油类</w:t>
            </w:r>
          </w:p>
        </w:tc>
        <w:tc>
          <w:tcPr>
            <w:tcW w:w="504" w:type="pct"/>
            <w:tcBorders>
              <w:tl2br w:val="nil"/>
              <w:tr2bl w:val="nil"/>
            </w:tcBorders>
            <w:vAlign w:val="center"/>
          </w:tcPr>
          <w:p>
            <w:pPr>
              <w:spacing w:line="260" w:lineRule="exact"/>
              <w:ind w:firstLine="0" w:firstLineChars="0"/>
              <w:jc w:val="center"/>
              <w:rPr>
                <w:sz w:val="21"/>
                <w:szCs w:val="21"/>
              </w:rPr>
            </w:pPr>
            <w:r>
              <w:rPr>
                <w:sz w:val="21"/>
                <w:szCs w:val="21"/>
              </w:rPr>
              <w:t>mg/L</w:t>
            </w:r>
          </w:p>
        </w:tc>
        <w:tc>
          <w:tcPr>
            <w:tcW w:w="920" w:type="pct"/>
            <w:tcBorders>
              <w:tl2br w:val="nil"/>
              <w:tr2bl w:val="nil"/>
            </w:tcBorders>
            <w:vAlign w:val="center"/>
          </w:tcPr>
          <w:p>
            <w:pPr>
              <w:spacing w:line="260" w:lineRule="exact"/>
              <w:ind w:firstLine="0" w:firstLineChars="0"/>
              <w:jc w:val="center"/>
              <w:rPr>
                <w:sz w:val="21"/>
                <w:szCs w:val="21"/>
              </w:rPr>
            </w:pPr>
            <w:r>
              <w:rPr>
                <w:rFonts w:hint="eastAsia"/>
                <w:sz w:val="21"/>
                <w:szCs w:val="21"/>
              </w:rPr>
              <w:t>0.02</w:t>
            </w:r>
          </w:p>
        </w:tc>
        <w:tc>
          <w:tcPr>
            <w:tcW w:w="974" w:type="pct"/>
            <w:tcBorders>
              <w:tl2br w:val="nil"/>
              <w:tr2bl w:val="nil"/>
            </w:tcBorders>
            <w:vAlign w:val="center"/>
          </w:tcPr>
          <w:p>
            <w:pPr>
              <w:spacing w:line="260" w:lineRule="exact"/>
              <w:ind w:firstLine="0" w:firstLineChars="0"/>
              <w:jc w:val="center"/>
              <w:rPr>
                <w:sz w:val="21"/>
                <w:szCs w:val="21"/>
              </w:rPr>
            </w:pPr>
            <w:r>
              <w:rPr>
                <w:rFonts w:hint="eastAsia"/>
                <w:sz w:val="21"/>
                <w:szCs w:val="21"/>
              </w:rPr>
              <w:t>0.01</w:t>
            </w:r>
          </w:p>
        </w:tc>
        <w:tc>
          <w:tcPr>
            <w:tcW w:w="981" w:type="pct"/>
            <w:tcBorders>
              <w:tl2br w:val="nil"/>
              <w:tr2bl w:val="nil"/>
            </w:tcBorders>
            <w:vAlign w:val="center"/>
          </w:tcPr>
          <w:p>
            <w:pPr>
              <w:spacing w:line="260" w:lineRule="exact"/>
              <w:ind w:firstLine="0" w:firstLineChars="0"/>
              <w:jc w:val="center"/>
              <w:rPr>
                <w:sz w:val="21"/>
                <w:szCs w:val="21"/>
              </w:rPr>
            </w:pPr>
            <w:r>
              <w:rPr>
                <w:rFonts w:hint="eastAsia"/>
                <w:sz w:val="21"/>
                <w:szCs w:val="21"/>
              </w:rPr>
              <w:t>0.02</w:t>
            </w:r>
          </w:p>
        </w:tc>
      </w:tr>
    </w:tbl>
    <w:p>
      <w:pPr>
        <w:pStyle w:val="3583"/>
        <w:spacing w:line="240" w:lineRule="auto"/>
        <w:ind w:left="0"/>
      </w:pPr>
      <w:r>
        <w:t>各评价因子单项指数一览表</w:t>
      </w:r>
    </w:p>
    <w:tbl>
      <w:tblPr>
        <w:tblStyle w:val="87"/>
        <w:tblW w:w="4998" w:type="pct"/>
        <w:jc w:val="center"/>
        <w:tblLayout w:type="autofit"/>
        <w:tblCellMar>
          <w:top w:w="0" w:type="dxa"/>
          <w:left w:w="0" w:type="dxa"/>
          <w:bottom w:w="0" w:type="dxa"/>
          <w:right w:w="0" w:type="dxa"/>
        </w:tblCellMar>
      </w:tblPr>
      <w:tblGrid>
        <w:gridCol w:w="1438"/>
        <w:gridCol w:w="2151"/>
        <w:gridCol w:w="1576"/>
        <w:gridCol w:w="1338"/>
        <w:gridCol w:w="1338"/>
        <w:gridCol w:w="1255"/>
      </w:tblGrid>
      <w:tr>
        <w:tblPrEx>
          <w:tblCellMar>
            <w:top w:w="0" w:type="dxa"/>
            <w:left w:w="0" w:type="dxa"/>
            <w:bottom w:w="0" w:type="dxa"/>
            <w:right w:w="0" w:type="dxa"/>
          </w:tblCellMar>
        </w:tblPrEx>
        <w:trPr>
          <w:trHeight w:val="359" w:hRule="exact"/>
          <w:jc w:val="center"/>
        </w:trPr>
        <w:tc>
          <w:tcPr>
            <w:tcW w:w="790" w:type="pct"/>
            <w:tcBorders>
              <w:top w:val="single" w:color="000000" w:sz="12" w:space="0"/>
              <w:left w:val="single" w:color="000000" w:sz="12" w:space="0"/>
              <w:bottom w:val="single" w:color="000000" w:sz="12" w:space="0"/>
              <w:right w:val="single" w:color="000000" w:sz="4" w:space="0"/>
            </w:tcBorders>
            <w:vAlign w:val="center"/>
          </w:tcPr>
          <w:p>
            <w:pPr>
              <w:spacing w:line="240" w:lineRule="atLeast"/>
              <w:ind w:firstLine="0" w:firstLineChars="0"/>
              <w:jc w:val="center"/>
              <w:rPr>
                <w:b/>
                <w:bCs/>
                <w:sz w:val="21"/>
                <w:szCs w:val="21"/>
              </w:rPr>
            </w:pPr>
            <w:r>
              <w:rPr>
                <w:rFonts w:hint="eastAsia"/>
                <w:b/>
                <w:bCs/>
                <w:sz w:val="21"/>
                <w:szCs w:val="21"/>
              </w:rPr>
              <w:t>监测断面</w:t>
            </w:r>
          </w:p>
        </w:tc>
        <w:tc>
          <w:tcPr>
            <w:tcW w:w="1182" w:type="pct"/>
            <w:tcBorders>
              <w:top w:val="single" w:color="000000" w:sz="12" w:space="0"/>
              <w:left w:val="single" w:color="000000" w:sz="4" w:space="0"/>
              <w:bottom w:val="single" w:color="000000" w:sz="12" w:space="0"/>
              <w:right w:val="single" w:color="000000" w:sz="4" w:space="0"/>
            </w:tcBorders>
            <w:vAlign w:val="center"/>
          </w:tcPr>
          <w:p>
            <w:pPr>
              <w:spacing w:line="240" w:lineRule="atLeast"/>
              <w:ind w:firstLine="0" w:firstLineChars="0"/>
              <w:jc w:val="center"/>
              <w:rPr>
                <w:b/>
                <w:bCs/>
                <w:sz w:val="21"/>
                <w:szCs w:val="21"/>
              </w:rPr>
            </w:pPr>
            <w:r>
              <w:rPr>
                <w:rFonts w:hint="eastAsia"/>
                <w:b/>
                <w:bCs/>
                <w:sz w:val="21"/>
                <w:szCs w:val="21"/>
              </w:rPr>
              <w:t>监测项目</w:t>
            </w:r>
          </w:p>
        </w:tc>
        <w:tc>
          <w:tcPr>
            <w:tcW w:w="866" w:type="pct"/>
            <w:tcBorders>
              <w:top w:val="single" w:color="000000" w:sz="12" w:space="0"/>
              <w:left w:val="single" w:color="000000" w:sz="4" w:space="0"/>
              <w:bottom w:val="single" w:color="000000" w:sz="12" w:space="0"/>
              <w:right w:val="single" w:color="000000" w:sz="4" w:space="0"/>
            </w:tcBorders>
            <w:vAlign w:val="center"/>
          </w:tcPr>
          <w:p>
            <w:pPr>
              <w:spacing w:line="240" w:lineRule="atLeast"/>
              <w:ind w:firstLine="0" w:firstLineChars="0"/>
              <w:jc w:val="center"/>
              <w:rPr>
                <w:b/>
                <w:bCs/>
                <w:sz w:val="21"/>
                <w:szCs w:val="21"/>
              </w:rPr>
            </w:pPr>
            <w:r>
              <w:rPr>
                <w:rFonts w:hint="eastAsia"/>
                <w:b/>
                <w:bCs/>
                <w:sz w:val="21"/>
                <w:szCs w:val="21"/>
              </w:rPr>
              <w:t>执行标准</w:t>
            </w:r>
          </w:p>
        </w:tc>
        <w:tc>
          <w:tcPr>
            <w:tcW w:w="735" w:type="pct"/>
            <w:tcBorders>
              <w:top w:val="single" w:color="000000" w:sz="12" w:space="0"/>
              <w:left w:val="single" w:color="000000" w:sz="4" w:space="0"/>
              <w:bottom w:val="single" w:color="000000" w:sz="12" w:space="0"/>
              <w:right w:val="single" w:color="000000" w:sz="4" w:space="0"/>
            </w:tcBorders>
          </w:tcPr>
          <w:p>
            <w:pPr>
              <w:spacing w:line="240" w:lineRule="atLeast"/>
              <w:ind w:firstLine="0" w:firstLineChars="0"/>
              <w:jc w:val="center"/>
              <w:rPr>
                <w:b/>
                <w:bCs/>
                <w:sz w:val="21"/>
                <w:szCs w:val="21"/>
              </w:rPr>
            </w:pPr>
            <w:r>
              <w:rPr>
                <w:rFonts w:hint="eastAsia"/>
                <w:b/>
                <w:bCs/>
                <w:sz w:val="21"/>
                <w:szCs w:val="21"/>
              </w:rPr>
              <w:t>监测结果</w:t>
            </w:r>
          </w:p>
        </w:tc>
        <w:tc>
          <w:tcPr>
            <w:tcW w:w="735" w:type="pct"/>
            <w:tcBorders>
              <w:top w:val="single" w:color="000000" w:sz="12" w:space="0"/>
              <w:left w:val="single" w:color="000000" w:sz="4" w:space="0"/>
              <w:bottom w:val="single" w:color="000000" w:sz="12" w:space="0"/>
              <w:right w:val="single" w:color="000000" w:sz="4" w:space="0"/>
            </w:tcBorders>
            <w:vAlign w:val="center"/>
          </w:tcPr>
          <w:p>
            <w:pPr>
              <w:spacing w:line="240" w:lineRule="atLeast"/>
              <w:ind w:firstLine="0" w:firstLineChars="0"/>
              <w:jc w:val="center"/>
              <w:rPr>
                <w:b/>
                <w:bCs/>
                <w:sz w:val="21"/>
                <w:szCs w:val="21"/>
              </w:rPr>
            </w:pPr>
            <w:r>
              <w:rPr>
                <w:rFonts w:hint="eastAsia"/>
                <w:b/>
                <w:bCs/>
                <w:sz w:val="21"/>
                <w:szCs w:val="21"/>
              </w:rPr>
              <w:t>标准指数</w:t>
            </w:r>
          </w:p>
        </w:tc>
        <w:tc>
          <w:tcPr>
            <w:tcW w:w="689" w:type="pct"/>
            <w:tcBorders>
              <w:top w:val="single" w:color="000000" w:sz="12" w:space="0"/>
              <w:left w:val="single" w:color="000000" w:sz="4" w:space="0"/>
              <w:bottom w:val="single" w:color="000000" w:sz="12" w:space="0"/>
              <w:right w:val="single" w:color="000000" w:sz="12" w:space="0"/>
            </w:tcBorders>
            <w:vAlign w:val="center"/>
          </w:tcPr>
          <w:p>
            <w:pPr>
              <w:spacing w:line="240" w:lineRule="atLeast"/>
              <w:ind w:firstLine="0" w:firstLineChars="0"/>
              <w:jc w:val="center"/>
              <w:rPr>
                <w:b/>
                <w:bCs/>
                <w:sz w:val="21"/>
                <w:szCs w:val="21"/>
              </w:rPr>
            </w:pPr>
            <w:r>
              <w:rPr>
                <w:rFonts w:hint="eastAsia"/>
                <w:b/>
                <w:bCs/>
                <w:sz w:val="21"/>
                <w:szCs w:val="21"/>
              </w:rPr>
              <w:t>达标情况</w:t>
            </w:r>
          </w:p>
        </w:tc>
      </w:tr>
      <w:tr>
        <w:tblPrEx>
          <w:tblCellMar>
            <w:top w:w="0" w:type="dxa"/>
            <w:left w:w="0" w:type="dxa"/>
            <w:bottom w:w="0" w:type="dxa"/>
            <w:right w:w="0" w:type="dxa"/>
          </w:tblCellMar>
        </w:tblPrEx>
        <w:trPr>
          <w:trHeight w:val="350" w:hRule="exact"/>
          <w:jc w:val="center"/>
        </w:trPr>
        <w:tc>
          <w:tcPr>
            <w:tcW w:w="790" w:type="pct"/>
            <w:vMerge w:val="restart"/>
            <w:tcBorders>
              <w:top w:val="single" w:color="000000" w:sz="12" w:space="0"/>
              <w:left w:val="single" w:color="000000" w:sz="12" w:space="0"/>
              <w:bottom w:val="single" w:color="000000" w:sz="12"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W1</w:t>
            </w:r>
          </w:p>
          <w:p>
            <w:pPr>
              <w:spacing w:line="240" w:lineRule="atLeast"/>
              <w:ind w:firstLine="0" w:firstLineChars="0"/>
              <w:jc w:val="center"/>
              <w:rPr>
                <w:sz w:val="21"/>
                <w:szCs w:val="21"/>
              </w:rPr>
            </w:pPr>
            <w:r>
              <w:rPr>
                <w:rFonts w:hint="eastAsia"/>
                <w:sz w:val="21"/>
                <w:szCs w:val="21"/>
              </w:rPr>
              <w:t>（拟建码头上游3000m）</w:t>
            </w:r>
          </w:p>
        </w:tc>
        <w:tc>
          <w:tcPr>
            <w:tcW w:w="1182" w:type="pct"/>
            <w:tcBorders>
              <w:top w:val="single" w:color="000000" w:sz="12"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pH 值</w:t>
            </w:r>
          </w:p>
        </w:tc>
        <w:tc>
          <w:tcPr>
            <w:tcW w:w="866" w:type="pct"/>
            <w:tcBorders>
              <w:top w:val="single" w:color="000000" w:sz="12"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6~9</w:t>
            </w:r>
          </w:p>
        </w:tc>
        <w:tc>
          <w:tcPr>
            <w:tcW w:w="735" w:type="pct"/>
            <w:tcBorders>
              <w:top w:val="single" w:color="000000" w:sz="12"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6.73-6.81</w:t>
            </w:r>
          </w:p>
        </w:tc>
        <w:tc>
          <w:tcPr>
            <w:tcW w:w="735" w:type="pct"/>
            <w:tcBorders>
              <w:top w:val="single" w:color="000000" w:sz="12"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0.19-0.27</w:t>
            </w:r>
          </w:p>
        </w:tc>
        <w:tc>
          <w:tcPr>
            <w:tcW w:w="689" w:type="pct"/>
            <w:tcBorders>
              <w:top w:val="single" w:color="000000" w:sz="12"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417" w:hRule="exact"/>
          <w:jc w:val="center"/>
        </w:trPr>
        <w:tc>
          <w:tcPr>
            <w:tcW w:w="790" w:type="pct"/>
            <w:vMerge w:val="continue"/>
            <w:tcBorders>
              <w:top w:val="single" w:color="000000" w:sz="4" w:space="0"/>
              <w:left w:val="single" w:color="000000" w:sz="12" w:space="0"/>
              <w:bottom w:val="single" w:color="000000" w:sz="12"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溶解氧</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≥5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7.24-7.34</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0.681-0.691</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0" w:hRule="exact"/>
          <w:jc w:val="center"/>
        </w:trPr>
        <w:tc>
          <w:tcPr>
            <w:tcW w:w="790" w:type="pct"/>
            <w:vMerge w:val="continue"/>
            <w:tcBorders>
              <w:top w:val="single" w:color="000000" w:sz="4" w:space="0"/>
              <w:left w:val="single" w:color="000000" w:sz="12" w:space="0"/>
              <w:bottom w:val="single" w:color="000000" w:sz="12"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高锰酸盐指数</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≤6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1.8-1.9</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0.3-0.317</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0" w:hRule="exact"/>
          <w:jc w:val="center"/>
        </w:trPr>
        <w:tc>
          <w:tcPr>
            <w:tcW w:w="790" w:type="pct"/>
            <w:vMerge w:val="continue"/>
            <w:tcBorders>
              <w:top w:val="single" w:color="000000" w:sz="4" w:space="0"/>
              <w:left w:val="single" w:color="000000" w:sz="12" w:space="0"/>
              <w:bottom w:val="single" w:color="000000" w:sz="12"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化学需氧量</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≤20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7-9</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0.35-0.45</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0" w:hRule="exact"/>
          <w:jc w:val="center"/>
        </w:trPr>
        <w:tc>
          <w:tcPr>
            <w:tcW w:w="790" w:type="pct"/>
            <w:vMerge w:val="continue"/>
            <w:tcBorders>
              <w:top w:val="single" w:color="000000" w:sz="4" w:space="0"/>
              <w:left w:val="single" w:color="000000" w:sz="12" w:space="0"/>
              <w:bottom w:val="single" w:color="000000" w:sz="12"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五日生化需氧量</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≤4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1.5-2.1</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0.375-0.525</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0" w:hRule="exact"/>
          <w:jc w:val="center"/>
        </w:trPr>
        <w:tc>
          <w:tcPr>
            <w:tcW w:w="790" w:type="pct"/>
            <w:vMerge w:val="continue"/>
            <w:tcBorders>
              <w:top w:val="single" w:color="000000" w:sz="4" w:space="0"/>
              <w:left w:val="single" w:color="000000" w:sz="12" w:space="0"/>
              <w:bottom w:val="single" w:color="000000" w:sz="12"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氨氮</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≤1.0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0.374-0.407</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0.374-0.407</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0" w:hRule="exact"/>
          <w:jc w:val="center"/>
        </w:trPr>
        <w:tc>
          <w:tcPr>
            <w:tcW w:w="790" w:type="pct"/>
            <w:vMerge w:val="continue"/>
            <w:tcBorders>
              <w:top w:val="single" w:color="000000" w:sz="4" w:space="0"/>
              <w:left w:val="single" w:color="000000" w:sz="12" w:space="0"/>
              <w:bottom w:val="single" w:color="000000" w:sz="12"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总磷</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≤0.2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0.03-0.04</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0.15-0.2</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0" w:hRule="exact"/>
          <w:jc w:val="center"/>
        </w:trPr>
        <w:tc>
          <w:tcPr>
            <w:tcW w:w="790" w:type="pct"/>
            <w:vMerge w:val="continue"/>
            <w:tcBorders>
              <w:top w:val="single" w:color="000000" w:sz="4" w:space="0"/>
              <w:left w:val="single" w:color="000000" w:sz="12" w:space="0"/>
              <w:bottom w:val="single" w:color="000000" w:sz="12"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总氮</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≤1.0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0.89-0.95</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0.89-0.95</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9" w:hRule="exact"/>
          <w:jc w:val="center"/>
        </w:trPr>
        <w:tc>
          <w:tcPr>
            <w:tcW w:w="790" w:type="pct"/>
            <w:vMerge w:val="continue"/>
            <w:tcBorders>
              <w:top w:val="single" w:color="000000" w:sz="4" w:space="0"/>
              <w:left w:val="single" w:color="000000" w:sz="12" w:space="0"/>
              <w:bottom w:val="single" w:color="000000" w:sz="4"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石油类</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≤0.05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0.01-0.02</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0.2-0.4</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9" w:hRule="exact"/>
          <w:jc w:val="center"/>
        </w:trPr>
        <w:tc>
          <w:tcPr>
            <w:tcW w:w="790" w:type="pct"/>
            <w:vMerge w:val="restart"/>
            <w:tcBorders>
              <w:top w:val="single" w:color="000000" w:sz="4" w:space="0"/>
              <w:left w:val="single" w:color="000000" w:sz="12"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W2</w:t>
            </w:r>
          </w:p>
          <w:p>
            <w:pPr>
              <w:spacing w:line="240" w:lineRule="atLeast"/>
              <w:ind w:firstLine="0" w:firstLineChars="0"/>
              <w:jc w:val="center"/>
              <w:rPr>
                <w:sz w:val="21"/>
                <w:szCs w:val="21"/>
              </w:rPr>
            </w:pPr>
            <w:r>
              <w:rPr>
                <w:rFonts w:hint="eastAsia"/>
                <w:sz w:val="21"/>
                <w:szCs w:val="21"/>
              </w:rPr>
              <w:t>（拟建码头泊位处）</w:t>
            </w: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pH 值</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6~9</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6.48-6.57</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0.43-0.52</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9" w:hRule="exact"/>
          <w:jc w:val="center"/>
        </w:trPr>
        <w:tc>
          <w:tcPr>
            <w:tcW w:w="790" w:type="pct"/>
            <w:vMerge w:val="continue"/>
            <w:tcBorders>
              <w:left w:val="single" w:color="000000" w:sz="12"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溶解氧</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≥5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7.29-7.35</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0.68-0.686</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9" w:hRule="exact"/>
          <w:jc w:val="center"/>
        </w:trPr>
        <w:tc>
          <w:tcPr>
            <w:tcW w:w="790" w:type="pct"/>
            <w:vMerge w:val="continue"/>
            <w:tcBorders>
              <w:left w:val="single" w:color="000000" w:sz="12"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高锰酸盐指数</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≤6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1.7-2.0</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0.283-0.333</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9" w:hRule="exact"/>
          <w:jc w:val="center"/>
        </w:trPr>
        <w:tc>
          <w:tcPr>
            <w:tcW w:w="790" w:type="pct"/>
            <w:vMerge w:val="continue"/>
            <w:tcBorders>
              <w:left w:val="single" w:color="000000" w:sz="12"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化学需氧量</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≤20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7-8</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0.35-0.4</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9" w:hRule="exact"/>
          <w:jc w:val="center"/>
        </w:trPr>
        <w:tc>
          <w:tcPr>
            <w:tcW w:w="790" w:type="pct"/>
            <w:vMerge w:val="continue"/>
            <w:tcBorders>
              <w:left w:val="single" w:color="000000" w:sz="12"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五日生化需氧量</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≤4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1.5-1.7</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0.375-0.425</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9" w:hRule="exact"/>
          <w:jc w:val="center"/>
        </w:trPr>
        <w:tc>
          <w:tcPr>
            <w:tcW w:w="790" w:type="pct"/>
            <w:vMerge w:val="continue"/>
            <w:tcBorders>
              <w:left w:val="single" w:color="000000" w:sz="12"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氨氮</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≤1.0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0.221-0.252</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0.221-0.252</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9" w:hRule="exact"/>
          <w:jc w:val="center"/>
        </w:trPr>
        <w:tc>
          <w:tcPr>
            <w:tcW w:w="790" w:type="pct"/>
            <w:vMerge w:val="continue"/>
            <w:tcBorders>
              <w:left w:val="single" w:color="000000" w:sz="12"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总磷</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≤0.2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0.06-0.07</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0.3-0.35</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9" w:hRule="exact"/>
          <w:jc w:val="center"/>
        </w:trPr>
        <w:tc>
          <w:tcPr>
            <w:tcW w:w="790" w:type="pct"/>
            <w:vMerge w:val="continue"/>
            <w:tcBorders>
              <w:left w:val="single" w:color="000000" w:sz="12"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总氮</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≤1.0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0.84-0.88</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0.84-0.88</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9" w:hRule="exact"/>
          <w:jc w:val="center"/>
        </w:trPr>
        <w:tc>
          <w:tcPr>
            <w:tcW w:w="790" w:type="pct"/>
            <w:vMerge w:val="continue"/>
            <w:tcBorders>
              <w:left w:val="single" w:color="000000" w:sz="12" w:space="0"/>
              <w:bottom w:val="single" w:color="000000" w:sz="4"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石油类</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≤0.05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0.01-0.02</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0.2-0.4</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9" w:hRule="exact"/>
          <w:jc w:val="center"/>
        </w:trPr>
        <w:tc>
          <w:tcPr>
            <w:tcW w:w="790" w:type="pct"/>
            <w:vMerge w:val="restart"/>
            <w:tcBorders>
              <w:top w:val="single" w:color="000000" w:sz="4" w:space="0"/>
              <w:left w:val="single" w:color="000000" w:sz="12"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W3长江</w:t>
            </w:r>
          </w:p>
          <w:p>
            <w:pPr>
              <w:spacing w:line="240" w:lineRule="atLeast"/>
              <w:ind w:firstLine="0" w:firstLineChars="0"/>
              <w:jc w:val="center"/>
              <w:rPr>
                <w:sz w:val="21"/>
                <w:szCs w:val="21"/>
              </w:rPr>
            </w:pPr>
            <w:r>
              <w:rPr>
                <w:rFonts w:hint="eastAsia"/>
                <w:sz w:val="21"/>
                <w:szCs w:val="21"/>
              </w:rPr>
              <w:t>（拟建码头下游500m）</w:t>
            </w: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pH 值</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6~9</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6.59-6.69</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0.31-0.41</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9" w:hRule="exact"/>
          <w:jc w:val="center"/>
        </w:trPr>
        <w:tc>
          <w:tcPr>
            <w:tcW w:w="790" w:type="pct"/>
            <w:vMerge w:val="continue"/>
            <w:tcBorders>
              <w:left w:val="single" w:color="000000" w:sz="12"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溶解氧</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≥5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7.2-7.28</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0.687-0.694</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9" w:hRule="exact"/>
          <w:jc w:val="center"/>
        </w:trPr>
        <w:tc>
          <w:tcPr>
            <w:tcW w:w="790" w:type="pct"/>
            <w:vMerge w:val="continue"/>
            <w:tcBorders>
              <w:left w:val="single" w:color="000000" w:sz="12"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高锰酸盐指数</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≤6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2.2-2.9</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0.367-0.483</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9" w:hRule="exact"/>
          <w:jc w:val="center"/>
        </w:trPr>
        <w:tc>
          <w:tcPr>
            <w:tcW w:w="790" w:type="pct"/>
            <w:vMerge w:val="continue"/>
            <w:tcBorders>
              <w:left w:val="single" w:color="000000" w:sz="12"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化学需氧量</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≤20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8-10</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0.4-0.5</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9" w:hRule="exact"/>
          <w:jc w:val="center"/>
        </w:trPr>
        <w:tc>
          <w:tcPr>
            <w:tcW w:w="790" w:type="pct"/>
            <w:vMerge w:val="continue"/>
            <w:tcBorders>
              <w:left w:val="single" w:color="000000" w:sz="12"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五日生化需氧量</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≤4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1.7-2.3</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0.425-0.575</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9" w:hRule="exact"/>
          <w:jc w:val="center"/>
        </w:trPr>
        <w:tc>
          <w:tcPr>
            <w:tcW w:w="790" w:type="pct"/>
            <w:vMerge w:val="continue"/>
            <w:tcBorders>
              <w:left w:val="single" w:color="000000" w:sz="12"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氨氮</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≤1.0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0.286-0.323</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0.232-0.286</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9" w:hRule="exact"/>
          <w:jc w:val="center"/>
        </w:trPr>
        <w:tc>
          <w:tcPr>
            <w:tcW w:w="790" w:type="pct"/>
            <w:vMerge w:val="continue"/>
            <w:tcBorders>
              <w:left w:val="single" w:color="000000" w:sz="12"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总磷</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≤0.2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0.07-0.08</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0.35-0.40</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9" w:hRule="exact"/>
          <w:jc w:val="center"/>
        </w:trPr>
        <w:tc>
          <w:tcPr>
            <w:tcW w:w="790" w:type="pct"/>
            <w:vMerge w:val="continue"/>
            <w:tcBorders>
              <w:left w:val="single" w:color="000000" w:sz="12"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总氮</w:t>
            </w:r>
          </w:p>
        </w:tc>
        <w:tc>
          <w:tcPr>
            <w:tcW w:w="866"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≤1.0 mg/L</w:t>
            </w:r>
          </w:p>
        </w:tc>
        <w:tc>
          <w:tcPr>
            <w:tcW w:w="735" w:type="pct"/>
            <w:tcBorders>
              <w:top w:val="single" w:color="000000" w:sz="4" w:space="0"/>
              <w:left w:val="single" w:color="000000" w:sz="4" w:space="0"/>
              <w:bottom w:val="single" w:color="000000" w:sz="4" w:space="0"/>
              <w:right w:val="single" w:color="000000" w:sz="4" w:space="0"/>
            </w:tcBorders>
          </w:tcPr>
          <w:p>
            <w:pPr>
              <w:spacing w:line="240" w:lineRule="atLeast"/>
              <w:ind w:firstLine="0" w:firstLineChars="0"/>
              <w:jc w:val="center"/>
              <w:rPr>
                <w:sz w:val="21"/>
                <w:szCs w:val="21"/>
              </w:rPr>
            </w:pPr>
            <w:r>
              <w:rPr>
                <w:rFonts w:hint="eastAsia"/>
                <w:sz w:val="21"/>
                <w:szCs w:val="21"/>
              </w:rPr>
              <w:t>0.89-0.92</w:t>
            </w:r>
          </w:p>
        </w:tc>
        <w:tc>
          <w:tcPr>
            <w:tcW w:w="735" w:type="pct"/>
            <w:tcBorders>
              <w:top w:val="single" w:color="000000" w:sz="4" w:space="0"/>
              <w:left w:val="single" w:color="000000" w:sz="4" w:space="0"/>
              <w:bottom w:val="single" w:color="000000" w:sz="4"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0.89-0.92</w:t>
            </w:r>
          </w:p>
        </w:tc>
        <w:tc>
          <w:tcPr>
            <w:tcW w:w="689" w:type="pct"/>
            <w:tcBorders>
              <w:top w:val="single" w:color="000000" w:sz="4" w:space="0"/>
              <w:left w:val="single" w:color="000000" w:sz="4" w:space="0"/>
              <w:bottom w:val="single" w:color="000000" w:sz="4"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r>
        <w:tblPrEx>
          <w:tblCellMar>
            <w:top w:w="0" w:type="dxa"/>
            <w:left w:w="0" w:type="dxa"/>
            <w:bottom w:w="0" w:type="dxa"/>
            <w:right w:w="0" w:type="dxa"/>
          </w:tblCellMar>
        </w:tblPrEx>
        <w:trPr>
          <w:trHeight w:val="359" w:hRule="exact"/>
          <w:jc w:val="center"/>
        </w:trPr>
        <w:tc>
          <w:tcPr>
            <w:tcW w:w="790" w:type="pct"/>
            <w:vMerge w:val="continue"/>
            <w:tcBorders>
              <w:left w:val="single" w:color="000000" w:sz="12" w:space="0"/>
              <w:bottom w:val="single" w:color="000000" w:sz="12" w:space="0"/>
              <w:right w:val="single" w:color="000000" w:sz="4" w:space="0"/>
            </w:tcBorders>
            <w:vAlign w:val="center"/>
          </w:tcPr>
          <w:p>
            <w:pPr>
              <w:spacing w:line="240" w:lineRule="atLeast"/>
              <w:ind w:firstLine="0" w:firstLineChars="0"/>
              <w:jc w:val="center"/>
              <w:rPr>
                <w:sz w:val="21"/>
                <w:szCs w:val="21"/>
              </w:rPr>
            </w:pPr>
          </w:p>
        </w:tc>
        <w:tc>
          <w:tcPr>
            <w:tcW w:w="1182" w:type="pct"/>
            <w:tcBorders>
              <w:top w:val="single" w:color="000000" w:sz="4" w:space="0"/>
              <w:left w:val="single" w:color="000000" w:sz="4" w:space="0"/>
              <w:bottom w:val="single" w:color="000000" w:sz="12"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石油类</w:t>
            </w:r>
          </w:p>
        </w:tc>
        <w:tc>
          <w:tcPr>
            <w:tcW w:w="866" w:type="pct"/>
            <w:tcBorders>
              <w:top w:val="single" w:color="000000" w:sz="4" w:space="0"/>
              <w:left w:val="single" w:color="000000" w:sz="4" w:space="0"/>
              <w:bottom w:val="single" w:color="000000" w:sz="12"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≤0.05 mg/L</w:t>
            </w:r>
          </w:p>
        </w:tc>
        <w:tc>
          <w:tcPr>
            <w:tcW w:w="735" w:type="pct"/>
            <w:tcBorders>
              <w:top w:val="single" w:color="000000" w:sz="4" w:space="0"/>
              <w:left w:val="single" w:color="000000" w:sz="4" w:space="0"/>
              <w:bottom w:val="single" w:color="000000" w:sz="12" w:space="0"/>
              <w:right w:val="single" w:color="000000" w:sz="4" w:space="0"/>
            </w:tcBorders>
          </w:tcPr>
          <w:p>
            <w:pPr>
              <w:spacing w:line="240" w:lineRule="atLeast"/>
              <w:ind w:firstLine="0" w:firstLineChars="0"/>
              <w:jc w:val="center"/>
              <w:rPr>
                <w:sz w:val="21"/>
                <w:szCs w:val="21"/>
              </w:rPr>
            </w:pPr>
            <w:r>
              <w:rPr>
                <w:rFonts w:hint="eastAsia"/>
                <w:sz w:val="21"/>
                <w:szCs w:val="21"/>
              </w:rPr>
              <w:t>0.01-0.02</w:t>
            </w:r>
          </w:p>
        </w:tc>
        <w:tc>
          <w:tcPr>
            <w:tcW w:w="735" w:type="pct"/>
            <w:tcBorders>
              <w:top w:val="single" w:color="000000" w:sz="4" w:space="0"/>
              <w:left w:val="single" w:color="000000" w:sz="4" w:space="0"/>
              <w:bottom w:val="single" w:color="000000" w:sz="12" w:space="0"/>
              <w:right w:val="single" w:color="000000" w:sz="4" w:space="0"/>
            </w:tcBorders>
            <w:vAlign w:val="center"/>
          </w:tcPr>
          <w:p>
            <w:pPr>
              <w:spacing w:line="240" w:lineRule="atLeast"/>
              <w:ind w:firstLine="0" w:firstLineChars="0"/>
              <w:jc w:val="center"/>
              <w:rPr>
                <w:sz w:val="21"/>
                <w:szCs w:val="21"/>
              </w:rPr>
            </w:pPr>
            <w:r>
              <w:rPr>
                <w:rFonts w:hint="eastAsia"/>
                <w:sz w:val="21"/>
                <w:szCs w:val="21"/>
              </w:rPr>
              <w:t>0.2-0.4</w:t>
            </w:r>
          </w:p>
        </w:tc>
        <w:tc>
          <w:tcPr>
            <w:tcW w:w="689" w:type="pct"/>
            <w:tcBorders>
              <w:top w:val="single" w:color="000000" w:sz="4" w:space="0"/>
              <w:left w:val="single" w:color="000000" w:sz="4" w:space="0"/>
              <w:bottom w:val="single" w:color="000000" w:sz="12" w:space="0"/>
              <w:right w:val="single" w:color="000000" w:sz="12" w:space="0"/>
            </w:tcBorders>
            <w:vAlign w:val="center"/>
          </w:tcPr>
          <w:p>
            <w:pPr>
              <w:spacing w:line="240" w:lineRule="atLeast"/>
              <w:ind w:firstLine="0" w:firstLineChars="0"/>
              <w:jc w:val="center"/>
              <w:rPr>
                <w:sz w:val="21"/>
                <w:szCs w:val="21"/>
              </w:rPr>
            </w:pPr>
            <w:r>
              <w:rPr>
                <w:rFonts w:hint="eastAsia"/>
                <w:sz w:val="21"/>
                <w:szCs w:val="21"/>
              </w:rPr>
              <w:t>达标</w:t>
            </w:r>
          </w:p>
        </w:tc>
      </w:tr>
    </w:tbl>
    <w:p>
      <w:pPr>
        <w:ind w:firstLine="480"/>
      </w:pPr>
      <w:r>
        <w:t>由上表可知，监测断面各项监测项目的标准指数值均小于1，表明评价范围内长江的水质达到《地表水环境质量标准》（GB3838-2002）</w:t>
      </w:r>
      <w:r>
        <w:rPr>
          <w:kern w:val="0"/>
        </w:rPr>
        <w:t>Ⅲ类</w:t>
      </w:r>
      <w:r>
        <w:t>标准要求。</w:t>
      </w:r>
    </w:p>
    <w:p>
      <w:pPr>
        <w:pStyle w:val="453"/>
        <w:ind w:firstLine="643" w:firstLineChars="0"/>
        <w:rPr>
          <w:rFonts w:ascii="Times New Roman" w:cs="Times New Roman"/>
        </w:rPr>
      </w:pPr>
      <w:bookmarkStart w:id="124" w:name="_Toc106697005"/>
      <w:bookmarkStart w:id="125" w:name="_Toc20254"/>
      <w:bookmarkStart w:id="126" w:name="_Toc693"/>
      <w:r>
        <w:rPr>
          <w:rFonts w:ascii="Times New Roman" w:cs="Times New Roman"/>
        </w:rPr>
        <w:t>河流底泥现状调查与评价</w:t>
      </w:r>
      <w:bookmarkEnd w:id="124"/>
      <w:bookmarkEnd w:id="125"/>
      <w:bookmarkEnd w:id="126"/>
    </w:p>
    <w:p>
      <w:pPr>
        <w:ind w:firstLine="480"/>
      </w:pPr>
      <w:r>
        <w:t>本次评价委托湖南乾诚检测有限公司于</w:t>
      </w:r>
      <w:r>
        <w:rPr>
          <w:spacing w:val="-43"/>
        </w:rPr>
        <w:t xml:space="preserve"> </w:t>
      </w:r>
      <w:r>
        <w:t>2020年7月</w:t>
      </w:r>
      <w:r>
        <w:rPr>
          <w:spacing w:val="-44"/>
        </w:rPr>
        <w:t xml:space="preserve"> </w:t>
      </w:r>
      <w:r>
        <w:t>31日针对码头拟建处底泥环境进行了环境现状监测。</w:t>
      </w:r>
    </w:p>
    <w:p>
      <w:pPr>
        <w:tabs>
          <w:tab w:val="clear" w:pos="480"/>
        </w:tabs>
        <w:kinsoku w:val="0"/>
        <w:overflowPunct w:val="0"/>
        <w:autoSpaceDE w:val="0"/>
        <w:autoSpaceDN w:val="0"/>
        <w:adjustRightInd w:val="0"/>
        <w:spacing w:line="240" w:lineRule="auto"/>
        <w:ind w:firstLine="482"/>
        <w:rPr>
          <w:b/>
          <w:kern w:val="0"/>
        </w:rPr>
      </w:pPr>
      <w:r>
        <w:rPr>
          <w:rFonts w:hint="eastAsia"/>
          <w:b/>
          <w:bCs/>
          <w:kern w:val="0"/>
        </w:rPr>
        <w:t>（1）</w:t>
      </w:r>
      <w:r>
        <w:rPr>
          <w:b/>
          <w:kern w:val="0"/>
        </w:rPr>
        <w:t>监测布点</w:t>
      </w:r>
    </w:p>
    <w:p>
      <w:pPr>
        <w:ind w:firstLine="480"/>
      </w:pPr>
      <w:r>
        <w:t>在长江上布设 1个监测点位。具体位置见附图 6。</w:t>
      </w:r>
    </w:p>
    <w:p>
      <w:pPr>
        <w:pStyle w:val="3583"/>
        <w:spacing w:line="240" w:lineRule="auto"/>
        <w:ind w:left="0"/>
      </w:pPr>
      <w:r>
        <w:t>底泥监测断面一览表</w:t>
      </w:r>
    </w:p>
    <w:p>
      <w:pPr>
        <w:tabs>
          <w:tab w:val="clear" w:pos="480"/>
        </w:tabs>
        <w:kinsoku w:val="0"/>
        <w:overflowPunct w:val="0"/>
        <w:autoSpaceDE w:val="0"/>
        <w:autoSpaceDN w:val="0"/>
        <w:adjustRightInd w:val="0"/>
        <w:spacing w:before="3" w:line="60" w:lineRule="exact"/>
        <w:ind w:firstLine="0" w:firstLineChars="0"/>
        <w:jc w:val="left"/>
        <w:rPr>
          <w:kern w:val="0"/>
          <w:sz w:val="6"/>
          <w:szCs w:val="6"/>
        </w:rPr>
      </w:pPr>
    </w:p>
    <w:tbl>
      <w:tblPr>
        <w:tblStyle w:val="87"/>
        <w:tblW w:w="0" w:type="auto"/>
        <w:tblInd w:w="152" w:type="dxa"/>
        <w:tblLayout w:type="fixed"/>
        <w:tblCellMar>
          <w:top w:w="0" w:type="dxa"/>
          <w:left w:w="0" w:type="dxa"/>
          <w:bottom w:w="0" w:type="dxa"/>
          <w:right w:w="0" w:type="dxa"/>
        </w:tblCellMar>
      </w:tblPr>
      <w:tblGrid>
        <w:gridCol w:w="1321"/>
        <w:gridCol w:w="1398"/>
        <w:gridCol w:w="2120"/>
        <w:gridCol w:w="4202"/>
      </w:tblGrid>
      <w:tr>
        <w:tblPrEx>
          <w:tblCellMar>
            <w:top w:w="0" w:type="dxa"/>
            <w:left w:w="0" w:type="dxa"/>
            <w:bottom w:w="0" w:type="dxa"/>
            <w:right w:w="0" w:type="dxa"/>
          </w:tblCellMar>
        </w:tblPrEx>
        <w:trPr>
          <w:trHeight w:val="401" w:hRule="exact"/>
        </w:trPr>
        <w:tc>
          <w:tcPr>
            <w:tcW w:w="1321" w:type="dxa"/>
            <w:tcBorders>
              <w:top w:val="single" w:color="000000" w:sz="12" w:space="0"/>
              <w:left w:val="single" w:color="000000" w:sz="12" w:space="0"/>
              <w:bottom w:val="single" w:color="000000" w:sz="4" w:space="0"/>
              <w:right w:val="single" w:color="000000" w:sz="4" w:space="0"/>
            </w:tcBorders>
          </w:tcPr>
          <w:p>
            <w:pPr>
              <w:tabs>
                <w:tab w:val="clear" w:pos="480"/>
              </w:tabs>
              <w:kinsoku w:val="0"/>
              <w:overflowPunct w:val="0"/>
              <w:autoSpaceDE w:val="0"/>
              <w:autoSpaceDN w:val="0"/>
              <w:adjustRightInd w:val="0"/>
              <w:spacing w:line="294" w:lineRule="exact"/>
              <w:ind w:firstLine="0" w:firstLineChars="0"/>
              <w:jc w:val="center"/>
              <w:rPr>
                <w:kern w:val="0"/>
              </w:rPr>
            </w:pPr>
            <w:r>
              <w:rPr>
                <w:spacing w:val="1"/>
                <w:kern w:val="0"/>
                <w:sz w:val="21"/>
                <w:szCs w:val="21"/>
              </w:rPr>
              <w:t>序号</w:t>
            </w:r>
          </w:p>
        </w:tc>
        <w:tc>
          <w:tcPr>
            <w:tcW w:w="1398" w:type="dxa"/>
            <w:tcBorders>
              <w:top w:val="single" w:color="000000" w:sz="12"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line="294" w:lineRule="exact"/>
              <w:ind w:left="270" w:firstLine="0" w:firstLineChars="0"/>
              <w:jc w:val="left"/>
              <w:rPr>
                <w:kern w:val="0"/>
              </w:rPr>
            </w:pPr>
            <w:r>
              <w:rPr>
                <w:spacing w:val="1"/>
                <w:kern w:val="0"/>
                <w:sz w:val="21"/>
                <w:szCs w:val="21"/>
              </w:rPr>
              <w:t>地表水体</w:t>
            </w:r>
          </w:p>
        </w:tc>
        <w:tc>
          <w:tcPr>
            <w:tcW w:w="2120" w:type="dxa"/>
            <w:tcBorders>
              <w:top w:val="single" w:color="000000" w:sz="12"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line="294" w:lineRule="exact"/>
              <w:ind w:left="631" w:firstLine="0" w:firstLineChars="0"/>
              <w:jc w:val="left"/>
              <w:rPr>
                <w:kern w:val="0"/>
              </w:rPr>
            </w:pPr>
            <w:r>
              <w:rPr>
                <w:spacing w:val="1"/>
                <w:kern w:val="0"/>
                <w:sz w:val="21"/>
                <w:szCs w:val="21"/>
              </w:rPr>
              <w:t>监测位置</w:t>
            </w:r>
          </w:p>
        </w:tc>
        <w:tc>
          <w:tcPr>
            <w:tcW w:w="4202" w:type="dxa"/>
            <w:tcBorders>
              <w:top w:val="single" w:color="000000" w:sz="12" w:space="0"/>
              <w:left w:val="single" w:color="000000" w:sz="4" w:space="0"/>
              <w:bottom w:val="single" w:color="000000" w:sz="4" w:space="0"/>
              <w:right w:val="single" w:color="000000" w:sz="12" w:space="0"/>
            </w:tcBorders>
          </w:tcPr>
          <w:p>
            <w:pPr>
              <w:tabs>
                <w:tab w:val="clear" w:pos="480"/>
              </w:tabs>
              <w:kinsoku w:val="0"/>
              <w:overflowPunct w:val="0"/>
              <w:autoSpaceDE w:val="0"/>
              <w:autoSpaceDN w:val="0"/>
              <w:adjustRightInd w:val="0"/>
              <w:spacing w:line="294" w:lineRule="exact"/>
              <w:ind w:right="2" w:firstLine="0" w:firstLineChars="0"/>
              <w:jc w:val="center"/>
              <w:rPr>
                <w:kern w:val="0"/>
              </w:rPr>
            </w:pPr>
            <w:r>
              <w:rPr>
                <w:spacing w:val="1"/>
                <w:kern w:val="0"/>
                <w:sz w:val="21"/>
                <w:szCs w:val="21"/>
              </w:rPr>
              <w:t>经纬度</w:t>
            </w:r>
            <w:r>
              <w:rPr>
                <w:kern w:val="0"/>
                <w:sz w:val="21"/>
                <w:szCs w:val="21"/>
              </w:rPr>
              <w:t>坐标</w:t>
            </w:r>
          </w:p>
        </w:tc>
      </w:tr>
      <w:tr>
        <w:tblPrEx>
          <w:tblCellMar>
            <w:top w:w="0" w:type="dxa"/>
            <w:left w:w="0" w:type="dxa"/>
            <w:bottom w:w="0" w:type="dxa"/>
            <w:right w:w="0" w:type="dxa"/>
          </w:tblCellMar>
        </w:tblPrEx>
        <w:trPr>
          <w:trHeight w:val="421" w:hRule="exact"/>
        </w:trPr>
        <w:tc>
          <w:tcPr>
            <w:tcW w:w="1321" w:type="dxa"/>
            <w:tcBorders>
              <w:top w:val="single" w:color="000000" w:sz="4" w:space="0"/>
              <w:left w:val="single" w:color="000000" w:sz="12" w:space="0"/>
              <w:bottom w:val="single" w:color="000000" w:sz="12" w:space="0"/>
              <w:right w:val="single" w:color="000000" w:sz="4" w:space="0"/>
            </w:tcBorders>
          </w:tcPr>
          <w:p>
            <w:pPr>
              <w:tabs>
                <w:tab w:val="clear" w:pos="480"/>
              </w:tabs>
              <w:kinsoku w:val="0"/>
              <w:overflowPunct w:val="0"/>
              <w:autoSpaceDE w:val="0"/>
              <w:autoSpaceDN w:val="0"/>
              <w:adjustRightInd w:val="0"/>
              <w:spacing w:before="77" w:line="240" w:lineRule="auto"/>
              <w:ind w:right="3" w:firstLine="0" w:firstLineChars="0"/>
              <w:jc w:val="center"/>
              <w:rPr>
                <w:kern w:val="0"/>
              </w:rPr>
            </w:pPr>
            <w:r>
              <w:rPr>
                <w:spacing w:val="-1"/>
                <w:kern w:val="0"/>
                <w:sz w:val="21"/>
                <w:szCs w:val="21"/>
              </w:rPr>
              <w:t>H1</w:t>
            </w:r>
          </w:p>
        </w:tc>
        <w:tc>
          <w:tcPr>
            <w:tcW w:w="1398" w:type="dxa"/>
            <w:tcBorders>
              <w:top w:val="single" w:color="000000" w:sz="4" w:space="0"/>
              <w:left w:val="single" w:color="000000" w:sz="4" w:space="0"/>
              <w:bottom w:val="single" w:color="000000" w:sz="12" w:space="0"/>
              <w:right w:val="single" w:color="000000" w:sz="4" w:space="0"/>
            </w:tcBorders>
          </w:tcPr>
          <w:p>
            <w:pPr>
              <w:tabs>
                <w:tab w:val="clear" w:pos="480"/>
              </w:tabs>
              <w:kinsoku w:val="0"/>
              <w:overflowPunct w:val="0"/>
              <w:autoSpaceDE w:val="0"/>
              <w:autoSpaceDN w:val="0"/>
              <w:adjustRightInd w:val="0"/>
              <w:spacing w:line="303" w:lineRule="exact"/>
              <w:ind w:right="3" w:firstLine="0" w:firstLineChars="0"/>
              <w:jc w:val="center"/>
              <w:rPr>
                <w:kern w:val="0"/>
              </w:rPr>
            </w:pPr>
            <w:r>
              <w:rPr>
                <w:kern w:val="0"/>
                <w:sz w:val="21"/>
                <w:szCs w:val="21"/>
              </w:rPr>
              <w:t>长江</w:t>
            </w:r>
          </w:p>
        </w:tc>
        <w:tc>
          <w:tcPr>
            <w:tcW w:w="2120" w:type="dxa"/>
            <w:tcBorders>
              <w:top w:val="single" w:color="000000" w:sz="4" w:space="0"/>
              <w:left w:val="single" w:color="000000" w:sz="4" w:space="0"/>
              <w:bottom w:val="single" w:color="000000" w:sz="12" w:space="0"/>
              <w:right w:val="single" w:color="000000" w:sz="4" w:space="0"/>
            </w:tcBorders>
          </w:tcPr>
          <w:p>
            <w:pPr>
              <w:tabs>
                <w:tab w:val="clear" w:pos="480"/>
              </w:tabs>
              <w:kinsoku w:val="0"/>
              <w:overflowPunct w:val="0"/>
              <w:autoSpaceDE w:val="0"/>
              <w:autoSpaceDN w:val="0"/>
              <w:adjustRightInd w:val="0"/>
              <w:spacing w:line="319" w:lineRule="exact"/>
              <w:ind w:left="632" w:firstLine="0" w:firstLineChars="0"/>
              <w:jc w:val="left"/>
              <w:rPr>
                <w:kern w:val="0"/>
              </w:rPr>
            </w:pPr>
            <w:r>
              <w:rPr>
                <w:kern w:val="0"/>
                <w:sz w:val="21"/>
                <w:szCs w:val="21"/>
              </w:rPr>
              <w:t>码头泊位处</w:t>
            </w:r>
          </w:p>
        </w:tc>
        <w:tc>
          <w:tcPr>
            <w:tcW w:w="4202" w:type="dxa"/>
            <w:tcBorders>
              <w:top w:val="single" w:color="000000" w:sz="4" w:space="0"/>
              <w:left w:val="single" w:color="000000" w:sz="4" w:space="0"/>
              <w:bottom w:val="single" w:color="000000" w:sz="12" w:space="0"/>
              <w:right w:val="single" w:color="000000" w:sz="12" w:space="0"/>
            </w:tcBorders>
          </w:tcPr>
          <w:p>
            <w:pPr>
              <w:tabs>
                <w:tab w:val="clear" w:pos="480"/>
              </w:tabs>
              <w:kinsoku w:val="0"/>
              <w:overflowPunct w:val="0"/>
              <w:autoSpaceDE w:val="0"/>
              <w:autoSpaceDN w:val="0"/>
              <w:adjustRightInd w:val="0"/>
              <w:spacing w:line="319" w:lineRule="exact"/>
              <w:ind w:left="581" w:firstLine="0" w:firstLineChars="0"/>
              <w:jc w:val="left"/>
              <w:rPr>
                <w:kern w:val="0"/>
              </w:rPr>
            </w:pPr>
            <w:r>
              <w:rPr>
                <w:kern w:val="0"/>
                <w:sz w:val="21"/>
                <w:szCs w:val="21"/>
              </w:rPr>
              <w:t>E: 113°16'08.17</w:t>
            </w:r>
            <w:r>
              <w:rPr>
                <w:rFonts w:asciiTheme="minorEastAsia" w:hAnsiTheme="minorEastAsia" w:eastAsiaTheme="minorEastAsia"/>
                <w:kern w:val="0"/>
                <w:sz w:val="21"/>
                <w:szCs w:val="21"/>
              </w:rPr>
              <w:t>"</w:t>
            </w:r>
            <w:r>
              <w:rPr>
                <w:kern w:val="0"/>
                <w:sz w:val="21"/>
                <w:szCs w:val="21"/>
              </w:rPr>
              <w:t>，N: 29°34'05.97</w:t>
            </w:r>
            <w:r>
              <w:rPr>
                <w:rFonts w:asciiTheme="minorEastAsia" w:hAnsiTheme="minorEastAsia" w:eastAsiaTheme="minorEastAsia"/>
                <w:kern w:val="0"/>
                <w:sz w:val="21"/>
                <w:szCs w:val="21"/>
              </w:rPr>
              <w:t>"</w:t>
            </w:r>
          </w:p>
        </w:tc>
      </w:tr>
    </w:tbl>
    <w:p>
      <w:pPr>
        <w:tabs>
          <w:tab w:val="clear" w:pos="480"/>
        </w:tabs>
        <w:kinsoku w:val="0"/>
        <w:overflowPunct w:val="0"/>
        <w:autoSpaceDE w:val="0"/>
        <w:autoSpaceDN w:val="0"/>
        <w:adjustRightInd w:val="0"/>
        <w:spacing w:before="8" w:line="140" w:lineRule="exact"/>
        <w:ind w:firstLine="0" w:firstLineChars="0"/>
        <w:jc w:val="left"/>
        <w:rPr>
          <w:kern w:val="0"/>
          <w:sz w:val="14"/>
          <w:szCs w:val="14"/>
        </w:rPr>
      </w:pPr>
    </w:p>
    <w:p>
      <w:pPr>
        <w:tabs>
          <w:tab w:val="clear" w:pos="480"/>
        </w:tabs>
        <w:kinsoku w:val="0"/>
        <w:overflowPunct w:val="0"/>
        <w:autoSpaceDE w:val="0"/>
        <w:autoSpaceDN w:val="0"/>
        <w:adjustRightInd w:val="0"/>
        <w:spacing w:line="240" w:lineRule="auto"/>
        <w:ind w:firstLine="482"/>
        <w:rPr>
          <w:b/>
          <w:bCs/>
          <w:kern w:val="0"/>
        </w:rPr>
      </w:pPr>
      <w:r>
        <w:rPr>
          <w:rFonts w:hint="eastAsia"/>
          <w:b/>
          <w:bCs/>
          <w:kern w:val="0"/>
        </w:rPr>
        <w:t>（2）监测因子</w:t>
      </w:r>
    </w:p>
    <w:p>
      <w:pPr>
        <w:pStyle w:val="2700"/>
        <w:ind w:firstLine="480"/>
      </w:pPr>
      <w:r>
        <w:t>pH值、镉、汞、砷、铅、铜、镍、锌、钴共 9项指标。</w:t>
      </w:r>
    </w:p>
    <w:p>
      <w:pPr>
        <w:tabs>
          <w:tab w:val="clear" w:pos="480"/>
        </w:tabs>
        <w:kinsoku w:val="0"/>
        <w:overflowPunct w:val="0"/>
        <w:autoSpaceDE w:val="0"/>
        <w:autoSpaceDN w:val="0"/>
        <w:adjustRightInd w:val="0"/>
        <w:spacing w:line="240" w:lineRule="auto"/>
        <w:ind w:firstLine="482"/>
        <w:rPr>
          <w:b/>
          <w:bCs/>
          <w:kern w:val="0"/>
        </w:rPr>
      </w:pPr>
      <w:r>
        <w:rPr>
          <w:rFonts w:hint="eastAsia"/>
          <w:b/>
          <w:bCs/>
          <w:kern w:val="0"/>
        </w:rPr>
        <w:t>（3）监测时间与频次</w:t>
      </w:r>
    </w:p>
    <w:p>
      <w:pPr>
        <w:pStyle w:val="2700"/>
        <w:ind w:firstLine="480"/>
      </w:pPr>
      <w:r>
        <w:t>2020年7月31日进行一次取样。</w:t>
      </w:r>
    </w:p>
    <w:p>
      <w:pPr>
        <w:tabs>
          <w:tab w:val="clear" w:pos="480"/>
        </w:tabs>
        <w:kinsoku w:val="0"/>
        <w:overflowPunct w:val="0"/>
        <w:autoSpaceDE w:val="0"/>
        <w:autoSpaceDN w:val="0"/>
        <w:adjustRightInd w:val="0"/>
        <w:spacing w:line="240" w:lineRule="auto"/>
        <w:ind w:firstLine="482"/>
        <w:rPr>
          <w:b/>
          <w:bCs/>
          <w:kern w:val="0"/>
        </w:rPr>
      </w:pPr>
      <w:r>
        <w:rPr>
          <w:rFonts w:hint="eastAsia"/>
          <w:b/>
          <w:bCs/>
          <w:kern w:val="0"/>
        </w:rPr>
        <w:t>（4）采样和分析方法</w:t>
      </w:r>
    </w:p>
    <w:p>
      <w:pPr>
        <w:pStyle w:val="2700"/>
        <w:ind w:firstLine="480"/>
      </w:pPr>
      <w:r>
        <w:t>采样分析方法按照原国家环保总局颁布的《环境监测技术规范》和《环境监测分析方法》有关规定执行。</w:t>
      </w:r>
    </w:p>
    <w:p>
      <w:pPr>
        <w:pStyle w:val="2700"/>
        <w:ind w:firstLine="482"/>
        <w:rPr>
          <w:b/>
        </w:rPr>
      </w:pPr>
      <w:r>
        <w:rPr>
          <w:b/>
        </w:rPr>
        <w:t>5、监测结果评价</w:t>
      </w:r>
    </w:p>
    <w:p>
      <w:pPr>
        <w:pStyle w:val="2700"/>
        <w:ind w:firstLine="480"/>
      </w:pPr>
      <w:r>
        <w:t>河流底泥现状监测结果见下表。</w:t>
      </w:r>
    </w:p>
    <w:p>
      <w:pPr>
        <w:pStyle w:val="3583"/>
        <w:spacing w:line="240" w:lineRule="auto"/>
        <w:ind w:left="0"/>
        <w:rPr>
          <w:lang w:val="zh-CN"/>
        </w:rPr>
      </w:pPr>
      <w:r>
        <w:t>河流底泥现状监测结果一览表</w:t>
      </w:r>
    </w:p>
    <w:tbl>
      <w:tblPr>
        <w:tblStyle w:val="3596"/>
        <w:tblW w:w="904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09"/>
        <w:gridCol w:w="2147"/>
        <w:gridCol w:w="1841"/>
        <w:gridCol w:w="1436"/>
        <w:gridCol w:w="18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5" w:hRule="exact"/>
          <w:jc w:val="center"/>
        </w:trPr>
        <w:tc>
          <w:tcPr>
            <w:tcW w:w="1809" w:type="dxa"/>
            <w:tcBorders>
              <w:bottom w:val="single" w:color="auto" w:sz="12" w:space="0"/>
            </w:tcBorders>
            <w:vAlign w:val="center"/>
          </w:tcPr>
          <w:p>
            <w:pPr>
              <w:pStyle w:val="2691"/>
              <w:spacing w:line="240" w:lineRule="atLeast"/>
              <w:rPr>
                <w:b/>
                <w:bCs/>
              </w:rPr>
            </w:pPr>
            <w:r>
              <w:rPr>
                <w:b/>
                <w:bCs/>
              </w:rPr>
              <w:t>监测点位</w:t>
            </w:r>
          </w:p>
        </w:tc>
        <w:tc>
          <w:tcPr>
            <w:tcW w:w="2147" w:type="dxa"/>
            <w:tcBorders>
              <w:bottom w:val="single" w:color="auto" w:sz="12" w:space="0"/>
            </w:tcBorders>
            <w:vAlign w:val="center"/>
          </w:tcPr>
          <w:p>
            <w:pPr>
              <w:pStyle w:val="2691"/>
              <w:spacing w:line="240" w:lineRule="atLeast"/>
              <w:rPr>
                <w:b/>
                <w:bCs/>
              </w:rPr>
            </w:pPr>
            <w:r>
              <w:rPr>
                <w:b/>
                <w:bCs/>
              </w:rPr>
              <w:t>监测项目</w:t>
            </w:r>
          </w:p>
        </w:tc>
        <w:tc>
          <w:tcPr>
            <w:tcW w:w="1841" w:type="dxa"/>
            <w:tcBorders>
              <w:bottom w:val="single" w:color="auto" w:sz="12" w:space="0"/>
            </w:tcBorders>
            <w:vAlign w:val="center"/>
          </w:tcPr>
          <w:p>
            <w:pPr>
              <w:pStyle w:val="2691"/>
              <w:spacing w:line="240" w:lineRule="atLeast"/>
              <w:rPr>
                <w:b/>
                <w:bCs/>
              </w:rPr>
            </w:pPr>
            <w:r>
              <w:rPr>
                <w:b/>
                <w:bCs/>
              </w:rPr>
              <w:t>标准值（mg/</w:t>
            </w:r>
            <w:r>
              <w:rPr>
                <w:b/>
                <w:bCs/>
                <w:spacing w:val="-2"/>
              </w:rPr>
              <w:t>k</w:t>
            </w:r>
            <w:r>
              <w:rPr>
                <w:b/>
                <w:bCs/>
              </w:rPr>
              <w:t>g）</w:t>
            </w:r>
          </w:p>
        </w:tc>
        <w:tc>
          <w:tcPr>
            <w:tcW w:w="1436" w:type="dxa"/>
            <w:tcBorders>
              <w:bottom w:val="single" w:color="auto" w:sz="12" w:space="0"/>
            </w:tcBorders>
            <w:vAlign w:val="center"/>
          </w:tcPr>
          <w:p>
            <w:pPr>
              <w:pStyle w:val="2691"/>
              <w:spacing w:line="240" w:lineRule="atLeast"/>
              <w:rPr>
                <w:b/>
                <w:bCs/>
              </w:rPr>
            </w:pPr>
            <w:r>
              <w:rPr>
                <w:b/>
                <w:bCs/>
              </w:rPr>
              <w:t>监测结果</w:t>
            </w:r>
          </w:p>
        </w:tc>
        <w:tc>
          <w:tcPr>
            <w:tcW w:w="1808" w:type="dxa"/>
            <w:tcBorders>
              <w:bottom w:val="single" w:color="auto" w:sz="12" w:space="0"/>
            </w:tcBorders>
            <w:vAlign w:val="center"/>
          </w:tcPr>
          <w:p>
            <w:pPr>
              <w:pStyle w:val="2691"/>
              <w:spacing w:line="240" w:lineRule="atLeast"/>
              <w:rPr>
                <w:b/>
                <w:bCs/>
              </w:rPr>
            </w:pPr>
            <w:r>
              <w:rPr>
                <w:b/>
                <w:bCs/>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exact"/>
          <w:jc w:val="center"/>
        </w:trPr>
        <w:tc>
          <w:tcPr>
            <w:tcW w:w="1809" w:type="dxa"/>
            <w:vMerge w:val="restart"/>
            <w:tcBorders>
              <w:top w:val="single" w:color="auto" w:sz="12" w:space="0"/>
            </w:tcBorders>
            <w:vAlign w:val="center"/>
          </w:tcPr>
          <w:p>
            <w:pPr>
              <w:pStyle w:val="2691"/>
              <w:spacing w:line="240" w:lineRule="atLeast"/>
            </w:pPr>
            <w:r>
              <w:t>H1码头泊位处</w:t>
            </w:r>
          </w:p>
        </w:tc>
        <w:tc>
          <w:tcPr>
            <w:tcW w:w="2147" w:type="dxa"/>
            <w:tcBorders>
              <w:top w:val="single" w:color="auto" w:sz="12" w:space="0"/>
            </w:tcBorders>
            <w:vAlign w:val="center"/>
          </w:tcPr>
          <w:p>
            <w:pPr>
              <w:pStyle w:val="2691"/>
              <w:spacing w:line="240" w:lineRule="atLeast"/>
            </w:pPr>
            <w:r>
              <w:t>pH</w:t>
            </w:r>
            <w:r>
              <w:rPr>
                <w:spacing w:val="-1"/>
              </w:rPr>
              <w:t xml:space="preserve"> </w:t>
            </w:r>
            <w:r>
              <w:t>值（无量纲）</w:t>
            </w:r>
          </w:p>
        </w:tc>
        <w:tc>
          <w:tcPr>
            <w:tcW w:w="1841" w:type="dxa"/>
            <w:tcBorders>
              <w:top w:val="single" w:color="auto" w:sz="12" w:space="0"/>
            </w:tcBorders>
            <w:vAlign w:val="center"/>
          </w:tcPr>
          <w:p>
            <w:pPr>
              <w:pStyle w:val="2691"/>
              <w:spacing w:line="240" w:lineRule="atLeast"/>
            </w:pPr>
            <w:r>
              <w:t>6.5</w:t>
            </w:r>
            <w:r>
              <w:rPr>
                <w:spacing w:val="-2"/>
              </w:rPr>
              <w:t>＜</w:t>
            </w:r>
            <w:r>
              <w:t>pH≤7</w:t>
            </w:r>
            <w:r>
              <w:rPr>
                <w:spacing w:val="-1"/>
              </w:rPr>
              <w:t>.</w:t>
            </w:r>
            <w:r>
              <w:t>5</w:t>
            </w:r>
          </w:p>
        </w:tc>
        <w:tc>
          <w:tcPr>
            <w:tcW w:w="1436" w:type="dxa"/>
            <w:tcBorders>
              <w:top w:val="single" w:color="auto" w:sz="12" w:space="0"/>
            </w:tcBorders>
            <w:vAlign w:val="center"/>
          </w:tcPr>
          <w:p>
            <w:pPr>
              <w:pStyle w:val="2691"/>
              <w:spacing w:line="240" w:lineRule="atLeast"/>
            </w:pPr>
            <w:r>
              <w:t>6.56</w:t>
            </w:r>
          </w:p>
        </w:tc>
        <w:tc>
          <w:tcPr>
            <w:tcW w:w="1808" w:type="dxa"/>
            <w:tcBorders>
              <w:top w:val="single" w:color="auto" w:sz="12" w:space="0"/>
            </w:tcBorders>
            <w:vAlign w:val="center"/>
          </w:tcPr>
          <w:p>
            <w:pPr>
              <w:pStyle w:val="2691"/>
              <w:spacing w:line="240" w:lineRule="atLeast"/>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exact"/>
          <w:jc w:val="center"/>
        </w:trPr>
        <w:tc>
          <w:tcPr>
            <w:tcW w:w="1809" w:type="dxa"/>
            <w:vMerge w:val="continue"/>
            <w:vAlign w:val="center"/>
          </w:tcPr>
          <w:p>
            <w:pPr>
              <w:pStyle w:val="2691"/>
              <w:spacing w:line="240" w:lineRule="atLeast"/>
              <w:rPr>
                <w:sz w:val="18"/>
                <w:szCs w:val="18"/>
              </w:rPr>
            </w:pPr>
          </w:p>
        </w:tc>
        <w:tc>
          <w:tcPr>
            <w:tcW w:w="2147" w:type="dxa"/>
            <w:vAlign w:val="center"/>
          </w:tcPr>
          <w:p>
            <w:pPr>
              <w:pStyle w:val="2691"/>
              <w:spacing w:line="240" w:lineRule="atLeast"/>
            </w:pPr>
            <w:r>
              <w:t>镉</w:t>
            </w:r>
          </w:p>
        </w:tc>
        <w:tc>
          <w:tcPr>
            <w:tcW w:w="1841" w:type="dxa"/>
            <w:vAlign w:val="center"/>
          </w:tcPr>
          <w:p>
            <w:pPr>
              <w:pStyle w:val="2691"/>
              <w:spacing w:line="240" w:lineRule="atLeast"/>
            </w:pPr>
            <w:r>
              <w:t>≤65</w:t>
            </w:r>
          </w:p>
        </w:tc>
        <w:tc>
          <w:tcPr>
            <w:tcW w:w="1436" w:type="dxa"/>
            <w:vAlign w:val="center"/>
          </w:tcPr>
          <w:p>
            <w:pPr>
              <w:pStyle w:val="2691"/>
              <w:spacing w:line="240" w:lineRule="atLeast"/>
            </w:pPr>
            <w:r>
              <w:t>0.21</w:t>
            </w:r>
          </w:p>
        </w:tc>
        <w:tc>
          <w:tcPr>
            <w:tcW w:w="1808" w:type="dxa"/>
            <w:vAlign w:val="center"/>
          </w:tcPr>
          <w:p>
            <w:pPr>
              <w:pStyle w:val="2691"/>
              <w:spacing w:line="240" w:lineRule="atLeast"/>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exact"/>
          <w:jc w:val="center"/>
        </w:trPr>
        <w:tc>
          <w:tcPr>
            <w:tcW w:w="1809" w:type="dxa"/>
            <w:vMerge w:val="continue"/>
            <w:vAlign w:val="center"/>
          </w:tcPr>
          <w:p>
            <w:pPr>
              <w:pStyle w:val="2691"/>
              <w:spacing w:line="240" w:lineRule="atLeast"/>
              <w:rPr>
                <w:sz w:val="18"/>
                <w:szCs w:val="18"/>
              </w:rPr>
            </w:pPr>
          </w:p>
        </w:tc>
        <w:tc>
          <w:tcPr>
            <w:tcW w:w="2147" w:type="dxa"/>
            <w:vAlign w:val="center"/>
          </w:tcPr>
          <w:p>
            <w:pPr>
              <w:pStyle w:val="2691"/>
              <w:spacing w:line="240" w:lineRule="atLeast"/>
            </w:pPr>
            <w:r>
              <w:t>汞</w:t>
            </w:r>
          </w:p>
        </w:tc>
        <w:tc>
          <w:tcPr>
            <w:tcW w:w="1841" w:type="dxa"/>
            <w:vAlign w:val="center"/>
          </w:tcPr>
          <w:p>
            <w:pPr>
              <w:pStyle w:val="2691"/>
              <w:spacing w:line="240" w:lineRule="atLeast"/>
            </w:pPr>
            <w:r>
              <w:t>≤38</w:t>
            </w:r>
          </w:p>
        </w:tc>
        <w:tc>
          <w:tcPr>
            <w:tcW w:w="1436" w:type="dxa"/>
            <w:vAlign w:val="center"/>
          </w:tcPr>
          <w:p>
            <w:pPr>
              <w:pStyle w:val="2691"/>
              <w:spacing w:line="240" w:lineRule="atLeast"/>
            </w:pPr>
            <w:r>
              <w:t>0.381</w:t>
            </w:r>
          </w:p>
        </w:tc>
        <w:tc>
          <w:tcPr>
            <w:tcW w:w="1808" w:type="dxa"/>
            <w:vAlign w:val="center"/>
          </w:tcPr>
          <w:p>
            <w:pPr>
              <w:pStyle w:val="2691"/>
              <w:spacing w:line="240" w:lineRule="atLeast"/>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exact"/>
          <w:jc w:val="center"/>
        </w:trPr>
        <w:tc>
          <w:tcPr>
            <w:tcW w:w="1809" w:type="dxa"/>
            <w:vMerge w:val="continue"/>
            <w:vAlign w:val="center"/>
          </w:tcPr>
          <w:p>
            <w:pPr>
              <w:pStyle w:val="2691"/>
              <w:spacing w:line="240" w:lineRule="atLeast"/>
              <w:rPr>
                <w:sz w:val="18"/>
                <w:szCs w:val="18"/>
              </w:rPr>
            </w:pPr>
          </w:p>
        </w:tc>
        <w:tc>
          <w:tcPr>
            <w:tcW w:w="2147" w:type="dxa"/>
            <w:vAlign w:val="center"/>
          </w:tcPr>
          <w:p>
            <w:pPr>
              <w:pStyle w:val="2691"/>
              <w:spacing w:line="240" w:lineRule="atLeast"/>
            </w:pPr>
            <w:r>
              <w:t>砷</w:t>
            </w:r>
          </w:p>
        </w:tc>
        <w:tc>
          <w:tcPr>
            <w:tcW w:w="1841" w:type="dxa"/>
            <w:vAlign w:val="center"/>
          </w:tcPr>
          <w:p>
            <w:pPr>
              <w:pStyle w:val="2691"/>
              <w:spacing w:line="240" w:lineRule="atLeast"/>
            </w:pPr>
            <w:r>
              <w:t>≤60</w:t>
            </w:r>
          </w:p>
        </w:tc>
        <w:tc>
          <w:tcPr>
            <w:tcW w:w="1436" w:type="dxa"/>
            <w:vAlign w:val="center"/>
          </w:tcPr>
          <w:p>
            <w:pPr>
              <w:pStyle w:val="2691"/>
              <w:spacing w:line="240" w:lineRule="atLeast"/>
            </w:pPr>
            <w:r>
              <w:t>8.75</w:t>
            </w:r>
          </w:p>
        </w:tc>
        <w:tc>
          <w:tcPr>
            <w:tcW w:w="1808" w:type="dxa"/>
            <w:vAlign w:val="center"/>
          </w:tcPr>
          <w:p>
            <w:pPr>
              <w:pStyle w:val="2691"/>
              <w:spacing w:line="240" w:lineRule="atLeast"/>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exact"/>
          <w:jc w:val="center"/>
        </w:trPr>
        <w:tc>
          <w:tcPr>
            <w:tcW w:w="1809" w:type="dxa"/>
            <w:vMerge w:val="continue"/>
            <w:vAlign w:val="center"/>
          </w:tcPr>
          <w:p>
            <w:pPr>
              <w:pStyle w:val="2691"/>
              <w:spacing w:line="240" w:lineRule="atLeast"/>
              <w:rPr>
                <w:sz w:val="18"/>
                <w:szCs w:val="18"/>
              </w:rPr>
            </w:pPr>
          </w:p>
        </w:tc>
        <w:tc>
          <w:tcPr>
            <w:tcW w:w="2147" w:type="dxa"/>
            <w:vAlign w:val="center"/>
          </w:tcPr>
          <w:p>
            <w:pPr>
              <w:pStyle w:val="2691"/>
              <w:spacing w:line="240" w:lineRule="atLeast"/>
            </w:pPr>
            <w:r>
              <w:t>铅</w:t>
            </w:r>
          </w:p>
        </w:tc>
        <w:tc>
          <w:tcPr>
            <w:tcW w:w="1841" w:type="dxa"/>
            <w:vAlign w:val="center"/>
          </w:tcPr>
          <w:p>
            <w:pPr>
              <w:pStyle w:val="2691"/>
              <w:spacing w:line="240" w:lineRule="atLeast"/>
            </w:pPr>
            <w:r>
              <w:t>≤800</w:t>
            </w:r>
          </w:p>
        </w:tc>
        <w:tc>
          <w:tcPr>
            <w:tcW w:w="1436" w:type="dxa"/>
            <w:vAlign w:val="center"/>
          </w:tcPr>
          <w:p>
            <w:pPr>
              <w:pStyle w:val="2691"/>
              <w:spacing w:line="240" w:lineRule="atLeast"/>
            </w:pPr>
            <w:r>
              <w:t>34.2</w:t>
            </w:r>
          </w:p>
        </w:tc>
        <w:tc>
          <w:tcPr>
            <w:tcW w:w="1808" w:type="dxa"/>
            <w:vAlign w:val="center"/>
          </w:tcPr>
          <w:p>
            <w:pPr>
              <w:pStyle w:val="2691"/>
              <w:spacing w:line="240" w:lineRule="atLeast"/>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exact"/>
          <w:jc w:val="center"/>
        </w:trPr>
        <w:tc>
          <w:tcPr>
            <w:tcW w:w="1809" w:type="dxa"/>
            <w:vMerge w:val="continue"/>
            <w:vAlign w:val="center"/>
          </w:tcPr>
          <w:p>
            <w:pPr>
              <w:pStyle w:val="2691"/>
              <w:spacing w:line="240" w:lineRule="atLeast"/>
              <w:rPr>
                <w:sz w:val="18"/>
                <w:szCs w:val="18"/>
              </w:rPr>
            </w:pPr>
          </w:p>
        </w:tc>
        <w:tc>
          <w:tcPr>
            <w:tcW w:w="2147" w:type="dxa"/>
            <w:vAlign w:val="center"/>
          </w:tcPr>
          <w:p>
            <w:pPr>
              <w:pStyle w:val="2691"/>
              <w:spacing w:line="240" w:lineRule="atLeast"/>
            </w:pPr>
            <w:r>
              <w:t>铜</w:t>
            </w:r>
          </w:p>
        </w:tc>
        <w:tc>
          <w:tcPr>
            <w:tcW w:w="1841" w:type="dxa"/>
            <w:vAlign w:val="center"/>
          </w:tcPr>
          <w:p>
            <w:pPr>
              <w:pStyle w:val="2691"/>
              <w:spacing w:line="240" w:lineRule="atLeast"/>
            </w:pPr>
            <w:r>
              <w:t>≤18000</w:t>
            </w:r>
          </w:p>
        </w:tc>
        <w:tc>
          <w:tcPr>
            <w:tcW w:w="1436" w:type="dxa"/>
            <w:vAlign w:val="center"/>
          </w:tcPr>
          <w:p>
            <w:pPr>
              <w:pStyle w:val="2691"/>
              <w:spacing w:line="240" w:lineRule="atLeast"/>
            </w:pPr>
            <w:r>
              <w:t>58.0</w:t>
            </w:r>
          </w:p>
        </w:tc>
        <w:tc>
          <w:tcPr>
            <w:tcW w:w="1808" w:type="dxa"/>
            <w:vAlign w:val="center"/>
          </w:tcPr>
          <w:p>
            <w:pPr>
              <w:pStyle w:val="2691"/>
              <w:spacing w:line="240" w:lineRule="atLeast"/>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exact"/>
          <w:jc w:val="center"/>
        </w:trPr>
        <w:tc>
          <w:tcPr>
            <w:tcW w:w="1809" w:type="dxa"/>
            <w:vMerge w:val="continue"/>
            <w:vAlign w:val="center"/>
          </w:tcPr>
          <w:p>
            <w:pPr>
              <w:pStyle w:val="2691"/>
              <w:spacing w:line="240" w:lineRule="atLeast"/>
            </w:pPr>
          </w:p>
        </w:tc>
        <w:tc>
          <w:tcPr>
            <w:tcW w:w="2147" w:type="dxa"/>
            <w:vAlign w:val="center"/>
          </w:tcPr>
          <w:p>
            <w:pPr>
              <w:pStyle w:val="2691"/>
              <w:spacing w:line="240" w:lineRule="atLeast"/>
            </w:pPr>
            <w:r>
              <w:t>镍</w:t>
            </w:r>
          </w:p>
        </w:tc>
        <w:tc>
          <w:tcPr>
            <w:tcW w:w="1841" w:type="dxa"/>
            <w:vAlign w:val="center"/>
          </w:tcPr>
          <w:p>
            <w:pPr>
              <w:pStyle w:val="2691"/>
              <w:spacing w:line="240" w:lineRule="atLeast"/>
            </w:pPr>
            <w:r>
              <w:rPr>
                <w:spacing w:val="-1"/>
              </w:rPr>
              <w:t>≤</w:t>
            </w:r>
            <w:r>
              <w:t>900</w:t>
            </w:r>
          </w:p>
        </w:tc>
        <w:tc>
          <w:tcPr>
            <w:tcW w:w="1436" w:type="dxa"/>
            <w:vAlign w:val="center"/>
          </w:tcPr>
          <w:p>
            <w:pPr>
              <w:pStyle w:val="2691"/>
              <w:spacing w:line="240" w:lineRule="atLeast"/>
            </w:pPr>
            <w:r>
              <w:t>34.5</w:t>
            </w:r>
          </w:p>
        </w:tc>
        <w:tc>
          <w:tcPr>
            <w:tcW w:w="1808" w:type="dxa"/>
            <w:vAlign w:val="center"/>
          </w:tcPr>
          <w:p>
            <w:pPr>
              <w:pStyle w:val="2691"/>
              <w:spacing w:line="240" w:lineRule="atLeast"/>
            </w:pPr>
            <w:r>
              <w:t>达标</w:t>
            </w:r>
          </w:p>
        </w:tc>
      </w:tr>
    </w:tbl>
    <w:p>
      <w:pPr>
        <w:ind w:firstLine="480"/>
      </w:pPr>
      <w:r>
        <w:t>由上表的监测结果可知，项目所在地水域底泥各个监测指标均可满足《土壤环境质量</w:t>
      </w:r>
      <w:r>
        <w:rPr>
          <w:rFonts w:hint="eastAsia"/>
        </w:rPr>
        <w:t xml:space="preserve">  </w:t>
      </w:r>
      <w:r>
        <w:t>建设用地土壤污染风险管控标准》（GB36600-2018）中第二类用地风险筛选值要求。</w:t>
      </w:r>
    </w:p>
    <w:p>
      <w:pPr>
        <w:pStyle w:val="453"/>
        <w:ind w:firstLine="643" w:firstLineChars="0"/>
        <w:rPr>
          <w:rFonts w:ascii="Times New Roman" w:cs="Times New Roman"/>
        </w:rPr>
      </w:pPr>
      <w:bookmarkStart w:id="127" w:name="_Toc15934"/>
      <w:bookmarkStart w:id="128" w:name="_Toc106697006"/>
      <w:bookmarkStart w:id="129" w:name="_Toc1646"/>
      <w:r>
        <w:rPr>
          <w:rFonts w:ascii="Times New Roman" w:cs="Times New Roman"/>
        </w:rPr>
        <w:t>环境空气现状</w:t>
      </w:r>
      <w:bookmarkEnd w:id="111"/>
      <w:bookmarkEnd w:id="112"/>
      <w:bookmarkEnd w:id="113"/>
      <w:r>
        <w:rPr>
          <w:rFonts w:ascii="Times New Roman" w:cs="Times New Roman"/>
        </w:rPr>
        <w:t>调查与评价</w:t>
      </w:r>
      <w:bookmarkEnd w:id="127"/>
      <w:bookmarkEnd w:id="128"/>
      <w:bookmarkEnd w:id="129"/>
    </w:p>
    <w:p>
      <w:pPr>
        <w:pStyle w:val="454"/>
        <w:ind w:firstLine="602"/>
        <w:rPr>
          <w:color w:val="auto"/>
        </w:rPr>
      </w:pPr>
      <w:r>
        <w:rPr>
          <w:color w:val="auto"/>
        </w:rPr>
        <w:t>环境空气质量现状调查</w:t>
      </w:r>
    </w:p>
    <w:p>
      <w:pPr>
        <w:pStyle w:val="456"/>
        <w:ind w:firstLine="486"/>
      </w:pPr>
      <w:r>
        <w:rPr>
          <w:spacing w:val="1"/>
          <w:position w:val="1"/>
        </w:rPr>
        <w:t>现状调查</w:t>
      </w:r>
    </w:p>
    <w:p>
      <w:pPr>
        <w:ind w:firstLine="480"/>
      </w:pPr>
      <w:r>
        <w:t>本项目沿线所经地区多为农村</w:t>
      </w:r>
      <w:r>
        <w:rPr>
          <w:spacing w:val="-26"/>
        </w:rPr>
        <w:t>、</w:t>
      </w:r>
      <w:r>
        <w:t>环境空气质量保持自然状况</w:t>
      </w:r>
      <w:r>
        <w:rPr>
          <w:spacing w:val="-26"/>
        </w:rPr>
        <w:t>。</w:t>
      </w:r>
      <w:r>
        <w:t>评价范围内无大型固 定污染源</w:t>
      </w:r>
      <w:r>
        <w:rPr>
          <w:spacing w:val="-17"/>
        </w:rPr>
        <w:t>，</w:t>
      </w:r>
      <w:r>
        <w:t>现有环境空气污染源主要来自道路汽车尾气</w:t>
      </w:r>
      <w:r>
        <w:rPr>
          <w:spacing w:val="-17"/>
        </w:rPr>
        <w:t>、</w:t>
      </w:r>
      <w:r>
        <w:t>二次扬尘</w:t>
      </w:r>
      <w:r>
        <w:rPr>
          <w:spacing w:val="-17"/>
        </w:rPr>
        <w:t>、</w:t>
      </w:r>
      <w:r>
        <w:t>人群生产生活所产生的一氧化碳和总悬浮颗粒物等，但排放量较小。</w:t>
      </w:r>
    </w:p>
    <w:p>
      <w:pPr>
        <w:pStyle w:val="456"/>
        <w:ind w:firstLine="482"/>
      </w:pPr>
      <w:r>
        <w:rPr>
          <w:position w:val="1"/>
        </w:rPr>
        <w:t>项目区污染气象特征</w:t>
      </w:r>
    </w:p>
    <w:p>
      <w:pPr>
        <w:ind w:firstLine="480"/>
      </w:pPr>
      <w:r>
        <w:t>（1）地面风</w:t>
      </w:r>
    </w:p>
    <w:p>
      <w:pPr>
        <w:ind w:firstLine="480"/>
      </w:pPr>
      <w:r>
        <w:t>根据相关资料，项目区多年平均风速</w:t>
      </w:r>
      <w:r>
        <w:rPr>
          <w:spacing w:val="-60"/>
        </w:rPr>
        <w:t xml:space="preserve"> </w:t>
      </w:r>
      <w:r>
        <w:t>3.</w:t>
      </w:r>
      <w:r>
        <w:rPr>
          <w:spacing w:val="1"/>
        </w:rPr>
        <w:t>0</w:t>
      </w:r>
      <w:r>
        <w:rPr>
          <w:spacing w:val="-2"/>
        </w:rPr>
        <w:t>m</w:t>
      </w:r>
      <w:r>
        <w:t>/s</w:t>
      </w:r>
      <w:r>
        <w:fldChar w:fldCharType="begin"/>
      </w:r>
      <w:r>
        <w:instrText xml:space="preserve"> HYPERLINK "http://wenwen.soso.com/z/Search.e?sp=S%E8%A5%BF%E5%8C%97%E9%A3%8E&amp;amp;ch=w.search.yjjlink&amp;amp;cid=w.search.yjjlink" </w:instrText>
      </w:r>
      <w:r>
        <w:fldChar w:fldCharType="separate"/>
      </w:r>
      <w:r>
        <w:t>。常年主导风向以东北风</w:t>
      </w:r>
      <w:r>
        <w:fldChar w:fldCharType="end"/>
      </w:r>
      <w:r>
        <w:t>为主。</w:t>
      </w:r>
    </w:p>
    <w:p>
      <w:pPr>
        <w:ind w:firstLine="480"/>
      </w:pPr>
      <w:r>
        <w:t>（2）大气稳定度的确定</w:t>
      </w:r>
    </w:p>
    <w:p>
      <w:pPr>
        <w:ind w:firstLine="480"/>
      </w:pPr>
      <w:r>
        <w:t>根据国家气象部门调查，项目区内大气稳定度以中性</w:t>
      </w:r>
      <w:r>
        <w:rPr>
          <w:spacing w:val="-60"/>
        </w:rPr>
        <w:t xml:space="preserve"> </w:t>
      </w:r>
      <w:r>
        <w:t>D类为主。</w:t>
      </w:r>
    </w:p>
    <w:p>
      <w:pPr>
        <w:pStyle w:val="456"/>
        <w:ind w:firstLine="482"/>
      </w:pPr>
      <w:r>
        <w:t>项目</w:t>
      </w:r>
      <w:r>
        <w:rPr>
          <w:rFonts w:hint="eastAsia"/>
          <w:lang w:val="en-US"/>
        </w:rPr>
        <w:t>达标区判定及国控监测点长期监测现状调查结果</w:t>
      </w:r>
    </w:p>
    <w:p>
      <w:pPr>
        <w:ind w:firstLine="480"/>
      </w:pPr>
      <w:r>
        <w:rPr>
          <w:rFonts w:hint="eastAsia"/>
        </w:rPr>
        <w:t>本项目大气评价范围涉及岳阳市云溪区，根据空气质量功能区类别划分的相关规定，本项目所在地环境空气功能区划为二类区，空气质量执行《环境空气质量标准》（GB 3095-2012）及其修改单二级标准。根据《环境影响评价技术导则大气环境》（HJ 2.2-2018），“二级评价项目，调查项目所在区域环境质量达标情况”。项目所在区域达标判定要求为：①城市环境空气质量达标情况评价指标为SO</w:t>
      </w:r>
      <w:r>
        <w:rPr>
          <w:rFonts w:hint="eastAsia"/>
          <w:vertAlign w:val="subscript"/>
        </w:rPr>
        <w:t>2</w:t>
      </w:r>
      <w:r>
        <w:rPr>
          <w:rFonts w:hint="eastAsia"/>
        </w:rPr>
        <w:t>、NO</w:t>
      </w:r>
      <w:r>
        <w:rPr>
          <w:rFonts w:hint="eastAsia"/>
          <w:vertAlign w:val="subscript"/>
        </w:rPr>
        <w:t>2</w:t>
      </w:r>
      <w:r>
        <w:rPr>
          <w:rFonts w:hint="eastAsia"/>
        </w:rPr>
        <w:t>、PM</w:t>
      </w:r>
      <w:r>
        <w:rPr>
          <w:rFonts w:hint="eastAsia"/>
          <w:vertAlign w:val="subscript"/>
        </w:rPr>
        <w:t>10</w:t>
      </w:r>
      <w:r>
        <w:rPr>
          <w:rFonts w:hint="eastAsia"/>
        </w:rPr>
        <w:t>、PM</w:t>
      </w:r>
      <w:r>
        <w:rPr>
          <w:rFonts w:hint="eastAsia"/>
          <w:vertAlign w:val="subscript"/>
        </w:rPr>
        <w:t>2.5</w:t>
      </w:r>
      <w:r>
        <w:rPr>
          <w:rFonts w:hint="eastAsia"/>
        </w:rPr>
        <w:t>、CO和O</w:t>
      </w:r>
      <w:r>
        <w:rPr>
          <w:rFonts w:hint="eastAsia"/>
          <w:vertAlign w:val="subscript"/>
        </w:rPr>
        <w:t>3</w:t>
      </w:r>
      <w:r>
        <w:rPr>
          <w:rFonts w:hint="eastAsia"/>
        </w:rPr>
        <w:t>，六项污染物全部达标即为城市环境空气质量达标；②根据国家或地方生态环境主管部门公开发布的城市环境空气质量达标情况，判断项目所在区域是否属于达标区。</w:t>
      </w:r>
    </w:p>
    <w:p>
      <w:pPr>
        <w:ind w:firstLine="480"/>
      </w:pPr>
      <w:r>
        <w:rPr>
          <w:rFonts w:hint="eastAsia"/>
        </w:rPr>
        <w:t>本项目环境空气质量现状引用岳阳市生态环境局发布的</w:t>
      </w:r>
      <w:r>
        <w:rPr>
          <w:rFonts w:hint="eastAsia"/>
          <w:color w:val="000000" w:themeColor="text1"/>
          <w14:textFill>
            <w14:solidFill>
              <w14:schemeClr w14:val="tx1"/>
            </w14:solidFill>
          </w14:textFill>
        </w:rPr>
        <w:t>《岳阳市2021年度生态环境质量公报》</w:t>
      </w:r>
      <w:r>
        <w:rPr>
          <w:rFonts w:hint="eastAsia"/>
        </w:rPr>
        <w:t>中岳阳市的数据对项目所地区域环境空气质量现状进行评价，并按导则附录 C 表格 要求汇总如下表3-18。</w:t>
      </w:r>
    </w:p>
    <w:p>
      <w:pPr>
        <w:pStyle w:val="3583"/>
        <w:spacing w:line="240" w:lineRule="auto"/>
        <w:ind w:left="0"/>
      </w:pPr>
      <w:r>
        <w:t xml:space="preserve"> 202</w:t>
      </w:r>
      <w:r>
        <w:rPr>
          <w:rFonts w:hint="eastAsia"/>
        </w:rPr>
        <w:t>1年岳阳市环境空气各项指标年均浓度结构统计表</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87"/>
        <w:gridCol w:w="987"/>
        <w:gridCol w:w="2697"/>
        <w:gridCol w:w="1280"/>
        <w:gridCol w:w="1273"/>
        <w:gridCol w:w="992"/>
        <w:gridCol w:w="10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531" w:type="pct"/>
            <w:tcBorders>
              <w:bottom w:val="single" w:color="auto" w:sz="12" w:space="0"/>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区域</w:t>
            </w:r>
          </w:p>
        </w:tc>
        <w:tc>
          <w:tcPr>
            <w:tcW w:w="531" w:type="pct"/>
            <w:tcBorders>
              <w:bottom w:val="single" w:color="auto" w:sz="12" w:space="0"/>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污染物</w:t>
            </w:r>
          </w:p>
        </w:tc>
        <w:tc>
          <w:tcPr>
            <w:tcW w:w="1451" w:type="pct"/>
            <w:tcBorders>
              <w:bottom w:val="single" w:color="auto" w:sz="12" w:space="0"/>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年评价指标</w:t>
            </w:r>
          </w:p>
        </w:tc>
        <w:tc>
          <w:tcPr>
            <w:tcW w:w="689" w:type="pct"/>
            <w:tcBorders>
              <w:bottom w:val="single" w:color="auto" w:sz="12" w:space="0"/>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现状浓度（μg/m</w:t>
            </w:r>
            <w:r>
              <w:rPr>
                <w:rFonts w:hint="eastAsia"/>
                <w:sz w:val="21"/>
                <w:szCs w:val="21"/>
                <w:vertAlign w:val="superscript"/>
              </w:rPr>
              <w:t>3</w:t>
            </w:r>
            <w:r>
              <w:rPr>
                <w:rFonts w:hint="eastAsia"/>
                <w:sz w:val="21"/>
                <w:szCs w:val="21"/>
              </w:rPr>
              <w:t>）</w:t>
            </w:r>
          </w:p>
        </w:tc>
        <w:tc>
          <w:tcPr>
            <w:tcW w:w="685" w:type="pct"/>
            <w:tcBorders>
              <w:bottom w:val="single" w:color="auto" w:sz="12" w:space="0"/>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标准值（μg/m</w:t>
            </w:r>
            <w:r>
              <w:rPr>
                <w:rFonts w:hint="eastAsia"/>
                <w:sz w:val="21"/>
                <w:szCs w:val="21"/>
                <w:vertAlign w:val="superscript"/>
              </w:rPr>
              <w:t>3</w:t>
            </w:r>
            <w:r>
              <w:rPr>
                <w:rFonts w:hint="eastAsia"/>
                <w:sz w:val="21"/>
                <w:szCs w:val="21"/>
              </w:rPr>
              <w:t>）</w:t>
            </w:r>
          </w:p>
        </w:tc>
        <w:tc>
          <w:tcPr>
            <w:tcW w:w="534" w:type="pct"/>
            <w:tcBorders>
              <w:bottom w:val="single" w:color="auto" w:sz="12" w:space="0"/>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占标率（%）</w:t>
            </w:r>
          </w:p>
        </w:tc>
        <w:tc>
          <w:tcPr>
            <w:tcW w:w="576" w:type="pct"/>
            <w:tcBorders>
              <w:bottom w:val="single" w:color="auto" w:sz="12" w:space="0"/>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31" w:type="pct"/>
            <w:vMerge w:val="restart"/>
            <w:tcBorders>
              <w:top w:val="single" w:color="auto" w:sz="12" w:space="0"/>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岳阳市</w:t>
            </w:r>
          </w:p>
        </w:tc>
        <w:tc>
          <w:tcPr>
            <w:tcW w:w="531" w:type="pct"/>
            <w:tcBorders>
              <w:top w:val="single" w:color="auto" w:sz="12" w:space="0"/>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SO</w:t>
            </w:r>
            <w:r>
              <w:rPr>
                <w:rFonts w:hint="eastAsia"/>
                <w:sz w:val="21"/>
                <w:szCs w:val="21"/>
                <w:vertAlign w:val="subscript"/>
              </w:rPr>
              <w:t>2</w:t>
            </w:r>
          </w:p>
        </w:tc>
        <w:tc>
          <w:tcPr>
            <w:tcW w:w="1451" w:type="pct"/>
            <w:tcBorders>
              <w:top w:val="single" w:color="auto" w:sz="12" w:space="0"/>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年平均质量浓度</w:t>
            </w:r>
          </w:p>
        </w:tc>
        <w:tc>
          <w:tcPr>
            <w:tcW w:w="689" w:type="pct"/>
            <w:tcBorders>
              <w:top w:val="single" w:color="auto" w:sz="12" w:space="0"/>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9</w:t>
            </w:r>
          </w:p>
        </w:tc>
        <w:tc>
          <w:tcPr>
            <w:tcW w:w="685" w:type="pct"/>
            <w:tcBorders>
              <w:top w:val="single" w:color="auto" w:sz="12" w:space="0"/>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60</w:t>
            </w:r>
          </w:p>
        </w:tc>
        <w:tc>
          <w:tcPr>
            <w:tcW w:w="534" w:type="pct"/>
            <w:tcBorders>
              <w:top w:val="single" w:color="auto" w:sz="12" w:space="0"/>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15</w:t>
            </w:r>
          </w:p>
        </w:tc>
        <w:tc>
          <w:tcPr>
            <w:tcW w:w="576" w:type="pct"/>
            <w:tcBorders>
              <w:top w:val="single" w:color="auto" w:sz="12" w:space="0"/>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31" w:type="pct"/>
            <w:vMerge w:val="continue"/>
            <w:tcBorders>
              <w:tl2br w:val="nil"/>
              <w:tr2bl w:val="nil"/>
            </w:tcBorders>
            <w:vAlign w:val="center"/>
          </w:tcPr>
          <w:p>
            <w:pPr>
              <w:tabs>
                <w:tab w:val="clear" w:pos="480"/>
              </w:tabs>
              <w:adjustRightInd w:val="0"/>
              <w:snapToGrid w:val="0"/>
              <w:spacing w:line="240" w:lineRule="auto"/>
              <w:ind w:firstLine="0" w:firstLineChars="0"/>
              <w:jc w:val="center"/>
              <w:rPr>
                <w:sz w:val="21"/>
                <w:szCs w:val="21"/>
              </w:rPr>
            </w:pPr>
          </w:p>
        </w:tc>
        <w:tc>
          <w:tcPr>
            <w:tcW w:w="531" w:type="pct"/>
            <w:tcBorders>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NO</w:t>
            </w:r>
            <w:r>
              <w:rPr>
                <w:rFonts w:hint="eastAsia"/>
                <w:sz w:val="21"/>
                <w:szCs w:val="21"/>
                <w:vertAlign w:val="subscript"/>
              </w:rPr>
              <w:t>2</w:t>
            </w:r>
          </w:p>
        </w:tc>
        <w:tc>
          <w:tcPr>
            <w:tcW w:w="1451" w:type="pct"/>
            <w:tcBorders>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年平均质量浓度</w:t>
            </w:r>
          </w:p>
        </w:tc>
        <w:tc>
          <w:tcPr>
            <w:tcW w:w="689" w:type="pct"/>
            <w:tcBorders>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25</w:t>
            </w:r>
          </w:p>
        </w:tc>
        <w:tc>
          <w:tcPr>
            <w:tcW w:w="685" w:type="pct"/>
            <w:tcBorders>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40</w:t>
            </w:r>
          </w:p>
        </w:tc>
        <w:tc>
          <w:tcPr>
            <w:tcW w:w="534" w:type="pct"/>
            <w:tcBorders>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62.5</w:t>
            </w:r>
          </w:p>
        </w:tc>
        <w:tc>
          <w:tcPr>
            <w:tcW w:w="576" w:type="pct"/>
            <w:tcBorders>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31" w:type="pct"/>
            <w:vMerge w:val="continue"/>
            <w:tcBorders>
              <w:tl2br w:val="nil"/>
              <w:tr2bl w:val="nil"/>
            </w:tcBorders>
            <w:shd w:val="clear" w:color="auto" w:fill="D0CECE" w:themeFill="background2" w:themeFillShade="E6"/>
            <w:vAlign w:val="center"/>
          </w:tcPr>
          <w:p>
            <w:pPr>
              <w:tabs>
                <w:tab w:val="clear" w:pos="480"/>
              </w:tabs>
              <w:adjustRightInd w:val="0"/>
              <w:snapToGrid w:val="0"/>
              <w:spacing w:line="240" w:lineRule="auto"/>
              <w:ind w:firstLine="0" w:firstLineChars="0"/>
              <w:jc w:val="center"/>
              <w:rPr>
                <w:sz w:val="21"/>
                <w:szCs w:val="21"/>
              </w:rPr>
            </w:pPr>
          </w:p>
        </w:tc>
        <w:tc>
          <w:tcPr>
            <w:tcW w:w="531" w:type="pct"/>
            <w:tcBorders>
              <w:tl2br w:val="nil"/>
              <w:tr2bl w:val="nil"/>
            </w:tcBorders>
            <w:shd w:val="clear" w:color="auto" w:fill="auto"/>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PM</w:t>
            </w:r>
            <w:r>
              <w:rPr>
                <w:rFonts w:hint="eastAsia"/>
                <w:sz w:val="21"/>
                <w:szCs w:val="21"/>
                <w:vertAlign w:val="subscript"/>
              </w:rPr>
              <w:t>10</w:t>
            </w:r>
          </w:p>
        </w:tc>
        <w:tc>
          <w:tcPr>
            <w:tcW w:w="1451" w:type="pct"/>
            <w:tcBorders>
              <w:tl2br w:val="nil"/>
              <w:tr2bl w:val="nil"/>
            </w:tcBorders>
            <w:shd w:val="clear" w:color="auto" w:fill="auto"/>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年平均质量浓度</w:t>
            </w:r>
          </w:p>
        </w:tc>
        <w:tc>
          <w:tcPr>
            <w:tcW w:w="689" w:type="pct"/>
            <w:tcBorders>
              <w:tl2br w:val="nil"/>
              <w:tr2bl w:val="nil"/>
            </w:tcBorders>
            <w:shd w:val="clear" w:color="auto" w:fill="auto"/>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54</w:t>
            </w:r>
          </w:p>
        </w:tc>
        <w:tc>
          <w:tcPr>
            <w:tcW w:w="685" w:type="pct"/>
            <w:tcBorders>
              <w:tl2br w:val="nil"/>
              <w:tr2bl w:val="nil"/>
            </w:tcBorders>
            <w:shd w:val="clear" w:color="auto" w:fill="auto"/>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70</w:t>
            </w:r>
          </w:p>
        </w:tc>
        <w:tc>
          <w:tcPr>
            <w:tcW w:w="534" w:type="pct"/>
            <w:tcBorders>
              <w:tl2br w:val="nil"/>
              <w:tr2bl w:val="nil"/>
            </w:tcBorders>
            <w:shd w:val="clear" w:color="auto" w:fill="auto"/>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77.14</w:t>
            </w:r>
          </w:p>
        </w:tc>
        <w:tc>
          <w:tcPr>
            <w:tcW w:w="576" w:type="pct"/>
            <w:tcBorders>
              <w:tl2br w:val="nil"/>
              <w:tr2bl w:val="nil"/>
            </w:tcBorders>
            <w:shd w:val="clear" w:color="auto" w:fill="auto"/>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31" w:type="pct"/>
            <w:vMerge w:val="continue"/>
            <w:tcBorders>
              <w:tl2br w:val="nil"/>
              <w:tr2bl w:val="nil"/>
            </w:tcBorders>
            <w:shd w:val="clear" w:color="auto" w:fill="D0CECE" w:themeFill="background2" w:themeFillShade="E6"/>
            <w:vAlign w:val="center"/>
          </w:tcPr>
          <w:p>
            <w:pPr>
              <w:tabs>
                <w:tab w:val="clear" w:pos="480"/>
              </w:tabs>
              <w:adjustRightInd w:val="0"/>
              <w:snapToGrid w:val="0"/>
              <w:spacing w:line="240" w:lineRule="auto"/>
              <w:ind w:firstLine="0" w:firstLineChars="0"/>
              <w:jc w:val="center"/>
              <w:rPr>
                <w:sz w:val="21"/>
                <w:szCs w:val="21"/>
              </w:rPr>
            </w:pPr>
          </w:p>
        </w:tc>
        <w:tc>
          <w:tcPr>
            <w:tcW w:w="531" w:type="pct"/>
            <w:tcBorders>
              <w:tl2br w:val="nil"/>
              <w:tr2bl w:val="nil"/>
            </w:tcBorders>
            <w:shd w:val="clear" w:color="auto" w:fill="D0CECE" w:themeFill="background2" w:themeFillShade="E6"/>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PM</w:t>
            </w:r>
            <w:r>
              <w:rPr>
                <w:rFonts w:hint="eastAsia"/>
                <w:sz w:val="21"/>
                <w:szCs w:val="21"/>
                <w:vertAlign w:val="subscript"/>
              </w:rPr>
              <w:t>2.5</w:t>
            </w:r>
          </w:p>
        </w:tc>
        <w:tc>
          <w:tcPr>
            <w:tcW w:w="1451" w:type="pct"/>
            <w:tcBorders>
              <w:tl2br w:val="nil"/>
              <w:tr2bl w:val="nil"/>
            </w:tcBorders>
            <w:shd w:val="clear" w:color="auto" w:fill="D0CECE" w:themeFill="background2" w:themeFillShade="E6"/>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年平均质量浓度</w:t>
            </w:r>
          </w:p>
        </w:tc>
        <w:tc>
          <w:tcPr>
            <w:tcW w:w="689" w:type="pct"/>
            <w:tcBorders>
              <w:tl2br w:val="nil"/>
              <w:tr2bl w:val="nil"/>
            </w:tcBorders>
            <w:shd w:val="clear" w:color="auto" w:fill="D0CECE" w:themeFill="background2" w:themeFillShade="E6"/>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36</w:t>
            </w:r>
          </w:p>
        </w:tc>
        <w:tc>
          <w:tcPr>
            <w:tcW w:w="685" w:type="pct"/>
            <w:tcBorders>
              <w:tl2br w:val="nil"/>
              <w:tr2bl w:val="nil"/>
            </w:tcBorders>
            <w:shd w:val="clear" w:color="auto" w:fill="D0CECE" w:themeFill="background2" w:themeFillShade="E6"/>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35</w:t>
            </w:r>
          </w:p>
        </w:tc>
        <w:tc>
          <w:tcPr>
            <w:tcW w:w="534" w:type="pct"/>
            <w:tcBorders>
              <w:tl2br w:val="nil"/>
              <w:tr2bl w:val="nil"/>
            </w:tcBorders>
            <w:shd w:val="clear" w:color="auto" w:fill="D0CECE" w:themeFill="background2" w:themeFillShade="E6"/>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102.86</w:t>
            </w:r>
          </w:p>
        </w:tc>
        <w:tc>
          <w:tcPr>
            <w:tcW w:w="576" w:type="pct"/>
            <w:tcBorders>
              <w:tl2br w:val="nil"/>
              <w:tr2bl w:val="nil"/>
            </w:tcBorders>
            <w:shd w:val="clear" w:color="auto" w:fill="D0CECE" w:themeFill="background2" w:themeFillShade="E6"/>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不达标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31" w:type="pct"/>
            <w:vMerge w:val="continue"/>
            <w:tcBorders>
              <w:tl2br w:val="nil"/>
              <w:tr2bl w:val="nil"/>
            </w:tcBorders>
            <w:vAlign w:val="center"/>
          </w:tcPr>
          <w:p>
            <w:pPr>
              <w:tabs>
                <w:tab w:val="clear" w:pos="480"/>
              </w:tabs>
              <w:adjustRightInd w:val="0"/>
              <w:snapToGrid w:val="0"/>
              <w:spacing w:line="240" w:lineRule="auto"/>
              <w:ind w:firstLine="0" w:firstLineChars="0"/>
              <w:jc w:val="center"/>
              <w:rPr>
                <w:sz w:val="21"/>
                <w:szCs w:val="21"/>
              </w:rPr>
            </w:pPr>
          </w:p>
        </w:tc>
        <w:tc>
          <w:tcPr>
            <w:tcW w:w="531" w:type="pct"/>
            <w:tcBorders>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CO</w:t>
            </w:r>
          </w:p>
        </w:tc>
        <w:tc>
          <w:tcPr>
            <w:tcW w:w="1451" w:type="pct"/>
            <w:tcBorders>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日均浓度的第95百分位数</w:t>
            </w:r>
          </w:p>
        </w:tc>
        <w:tc>
          <w:tcPr>
            <w:tcW w:w="689" w:type="pct"/>
            <w:tcBorders>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1100</w:t>
            </w:r>
          </w:p>
        </w:tc>
        <w:tc>
          <w:tcPr>
            <w:tcW w:w="685" w:type="pct"/>
            <w:tcBorders>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4000</w:t>
            </w:r>
          </w:p>
        </w:tc>
        <w:tc>
          <w:tcPr>
            <w:tcW w:w="534" w:type="pct"/>
            <w:tcBorders>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27.5</w:t>
            </w:r>
          </w:p>
        </w:tc>
        <w:tc>
          <w:tcPr>
            <w:tcW w:w="576" w:type="pct"/>
            <w:tcBorders>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31" w:type="pct"/>
            <w:vMerge w:val="continue"/>
            <w:tcBorders>
              <w:tl2br w:val="nil"/>
              <w:tr2bl w:val="nil"/>
            </w:tcBorders>
            <w:vAlign w:val="center"/>
          </w:tcPr>
          <w:p>
            <w:pPr>
              <w:tabs>
                <w:tab w:val="clear" w:pos="480"/>
              </w:tabs>
              <w:adjustRightInd w:val="0"/>
              <w:snapToGrid w:val="0"/>
              <w:spacing w:line="240" w:lineRule="auto"/>
              <w:ind w:firstLine="0" w:firstLineChars="0"/>
              <w:jc w:val="center"/>
              <w:rPr>
                <w:sz w:val="21"/>
                <w:szCs w:val="21"/>
              </w:rPr>
            </w:pPr>
          </w:p>
        </w:tc>
        <w:tc>
          <w:tcPr>
            <w:tcW w:w="531" w:type="pct"/>
            <w:tcBorders>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O</w:t>
            </w:r>
            <w:r>
              <w:rPr>
                <w:rFonts w:hint="eastAsia"/>
                <w:sz w:val="21"/>
                <w:szCs w:val="21"/>
                <w:vertAlign w:val="subscript"/>
              </w:rPr>
              <w:t>3</w:t>
            </w:r>
          </w:p>
        </w:tc>
        <w:tc>
          <w:tcPr>
            <w:tcW w:w="1451" w:type="pct"/>
            <w:tcBorders>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日最大8小时第90百分位</w:t>
            </w:r>
          </w:p>
        </w:tc>
        <w:tc>
          <w:tcPr>
            <w:tcW w:w="689" w:type="pct"/>
            <w:tcBorders>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138</w:t>
            </w:r>
          </w:p>
        </w:tc>
        <w:tc>
          <w:tcPr>
            <w:tcW w:w="685" w:type="pct"/>
            <w:tcBorders>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160</w:t>
            </w:r>
          </w:p>
        </w:tc>
        <w:tc>
          <w:tcPr>
            <w:tcW w:w="534" w:type="pct"/>
            <w:tcBorders>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86.25</w:t>
            </w:r>
          </w:p>
        </w:tc>
        <w:tc>
          <w:tcPr>
            <w:tcW w:w="576" w:type="pct"/>
            <w:tcBorders>
              <w:tl2br w:val="nil"/>
              <w:tr2bl w:val="nil"/>
            </w:tcBorders>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达标</w:t>
            </w:r>
          </w:p>
        </w:tc>
      </w:tr>
    </w:tbl>
    <w:p>
      <w:pPr>
        <w:pStyle w:val="458"/>
        <w:ind w:firstLine="480"/>
      </w:pPr>
      <w:r>
        <w:rPr>
          <w:rFonts w:cs="Times New Roman"/>
          <w:color w:val="auto"/>
        </w:rPr>
        <w:t>由上表可知，</w:t>
      </w:r>
      <w:r>
        <w:rPr>
          <w:rFonts w:hint="eastAsia" w:cs="Times New Roman"/>
          <w:color w:val="auto"/>
          <w:szCs w:val="24"/>
        </w:rPr>
        <w:t>项目所在区域的大气监测数据中，PM</w:t>
      </w:r>
      <w:r>
        <w:rPr>
          <w:rFonts w:hint="eastAsia" w:cs="Times New Roman"/>
          <w:color w:val="auto"/>
          <w:szCs w:val="24"/>
          <w:vertAlign w:val="subscript"/>
        </w:rPr>
        <w:t>2.5</w:t>
      </w:r>
      <w:r>
        <w:rPr>
          <w:rFonts w:hint="eastAsia" w:cs="Times New Roman"/>
          <w:color w:val="auto"/>
          <w:szCs w:val="24"/>
        </w:rPr>
        <w:t>有超标的情况存在，最大超标倍数0.286，因此</w:t>
      </w:r>
      <w:r>
        <w:rPr>
          <w:rFonts w:hint="eastAsia"/>
        </w:rPr>
        <w:t>2021年岳阳市为环境空气质量不达标区域。</w:t>
      </w:r>
    </w:p>
    <w:p>
      <w:pPr>
        <w:pStyle w:val="456"/>
        <w:ind w:firstLine="482"/>
      </w:pPr>
      <w:r>
        <w:t>项目</w:t>
      </w:r>
      <w:r>
        <w:rPr>
          <w:rFonts w:hint="eastAsia"/>
          <w:lang w:val="en-US"/>
        </w:rPr>
        <w:t>所在区域岳阳市近三年环境空气质量变化趋势</w:t>
      </w:r>
    </w:p>
    <w:p>
      <w:pPr>
        <w:pStyle w:val="458"/>
        <w:ind w:firstLine="480"/>
        <w:rPr>
          <w:rFonts w:cs="Times New Roman"/>
          <w:color w:val="auto"/>
        </w:rPr>
      </w:pPr>
      <w:r>
        <w:rPr>
          <w:rFonts w:cs="Times New Roman"/>
          <w:color w:val="auto"/>
        </w:rPr>
        <w:t>为了解本项目所在区域的</w:t>
      </w:r>
      <w:r>
        <w:rPr>
          <w:rFonts w:hint="eastAsia" w:cs="Times New Roman"/>
          <w:color w:val="auto"/>
        </w:rPr>
        <w:t>岳阳市近三年</w:t>
      </w:r>
      <w:r>
        <w:rPr>
          <w:rFonts w:cs="Times New Roman"/>
          <w:color w:val="auto"/>
        </w:rPr>
        <w:t>环境空气质量</w:t>
      </w:r>
      <w:r>
        <w:rPr>
          <w:rFonts w:hint="eastAsia" w:cs="Times New Roman"/>
          <w:color w:val="auto"/>
        </w:rPr>
        <w:t>变化趋势</w:t>
      </w:r>
      <w:r>
        <w:rPr>
          <w:rFonts w:cs="Times New Roman"/>
          <w:color w:val="auto"/>
        </w:rPr>
        <w:t>，本评价从岳阳市生态环境局收集了</w:t>
      </w:r>
      <w:r>
        <w:rPr>
          <w:rFonts w:hint="eastAsia" w:cs="Times New Roman"/>
          <w:color w:val="000000" w:themeColor="text1"/>
          <w:szCs w:val="24"/>
          <w14:textFill>
            <w14:solidFill>
              <w14:schemeClr w14:val="tx1"/>
            </w14:solidFill>
          </w14:textFill>
        </w:rPr>
        <w:t>《岳阳市二〇一九年度环境质量公报》</w:t>
      </w:r>
      <w:r>
        <w:rPr>
          <w:rFonts w:hint="eastAsia" w:cs="Times New Roman"/>
          <w:color w:val="000000" w:themeColor="text1"/>
          <w14:textFill>
            <w14:solidFill>
              <w14:schemeClr w14:val="tx1"/>
            </w14:solidFill>
          </w14:textFill>
        </w:rPr>
        <w:t>《岳阳市2020年度生态环境质量公报》《岳阳市2021年度生态环境质量公报》</w:t>
      </w:r>
      <w:r>
        <w:rPr>
          <w:rFonts w:cs="Times New Roman"/>
          <w:color w:val="000000" w:themeColor="text1"/>
          <w14:textFill>
            <w14:solidFill>
              <w14:schemeClr w14:val="tx1"/>
            </w14:solidFill>
          </w14:textFill>
        </w:rPr>
        <w:t>，符合导则相关要求。岳阳市空气质量</w:t>
      </w:r>
      <w:r>
        <w:rPr>
          <w:rFonts w:hint="eastAsia" w:cs="Times New Roman"/>
          <w:color w:val="000000" w:themeColor="text1"/>
          <w14:textFill>
            <w14:solidFill>
              <w14:schemeClr w14:val="tx1"/>
            </w14:solidFill>
          </w14:textFill>
        </w:rPr>
        <w:t>状况</w:t>
      </w:r>
      <w:r>
        <w:rPr>
          <w:rFonts w:cs="Times New Roman"/>
          <w:color w:val="000000" w:themeColor="text1"/>
          <w14:textFill>
            <w14:solidFill>
              <w14:schemeClr w14:val="tx1"/>
            </w14:solidFill>
          </w14:textFill>
        </w:rPr>
        <w:t>见下表。</w:t>
      </w:r>
    </w:p>
    <w:p>
      <w:pPr>
        <w:pStyle w:val="3583"/>
        <w:spacing w:line="240" w:lineRule="auto"/>
        <w:ind w:left="0"/>
      </w:pPr>
      <w:r>
        <w:t xml:space="preserve"> 区域基本污染物空气质量现状评价表</w:t>
      </w:r>
    </w:p>
    <w:tbl>
      <w:tblPr>
        <w:tblStyle w:val="3596"/>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96"/>
        <w:gridCol w:w="909"/>
        <w:gridCol w:w="909"/>
        <w:gridCol w:w="917"/>
        <w:gridCol w:w="909"/>
        <w:gridCol w:w="909"/>
        <w:gridCol w:w="910"/>
        <w:gridCol w:w="883"/>
        <w:gridCol w:w="883"/>
        <w:gridCol w:w="91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restart"/>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时间</w:t>
            </w:r>
          </w:p>
        </w:tc>
        <w:tc>
          <w:tcPr>
            <w:tcW w:w="909" w:type="dxa"/>
            <w:vAlign w:val="center"/>
          </w:tcPr>
          <w:p>
            <w:pPr>
              <w:tabs>
                <w:tab w:val="clear" w:pos="480"/>
              </w:tabs>
              <w:adjustRightInd w:val="0"/>
              <w:snapToGrid w:val="0"/>
              <w:spacing w:line="240" w:lineRule="auto"/>
              <w:ind w:firstLine="0" w:firstLineChars="0"/>
              <w:jc w:val="center"/>
              <w:rPr>
                <w:sz w:val="21"/>
                <w:szCs w:val="21"/>
              </w:rPr>
            </w:pPr>
            <w:r>
              <w:rPr>
                <w:sz w:val="21"/>
                <w:szCs w:val="21"/>
              </w:rPr>
              <w:t>SO</w:t>
            </w:r>
            <w:r>
              <w:rPr>
                <w:sz w:val="21"/>
                <w:szCs w:val="21"/>
                <w:vertAlign w:val="subscript"/>
              </w:rPr>
              <w:t>2</w:t>
            </w:r>
          </w:p>
        </w:tc>
        <w:tc>
          <w:tcPr>
            <w:tcW w:w="909" w:type="dxa"/>
            <w:vAlign w:val="center"/>
          </w:tcPr>
          <w:p>
            <w:pPr>
              <w:tabs>
                <w:tab w:val="clear" w:pos="480"/>
              </w:tabs>
              <w:adjustRightInd w:val="0"/>
              <w:snapToGrid w:val="0"/>
              <w:spacing w:line="240" w:lineRule="auto"/>
              <w:ind w:firstLine="0" w:firstLineChars="0"/>
              <w:jc w:val="center"/>
              <w:rPr>
                <w:sz w:val="21"/>
                <w:szCs w:val="21"/>
              </w:rPr>
            </w:pPr>
            <w:r>
              <w:rPr>
                <w:sz w:val="21"/>
                <w:szCs w:val="21"/>
              </w:rPr>
              <w:t>NO</w:t>
            </w:r>
            <w:r>
              <w:rPr>
                <w:sz w:val="21"/>
                <w:szCs w:val="21"/>
                <w:vertAlign w:val="subscript"/>
              </w:rPr>
              <w:t>2</w:t>
            </w:r>
          </w:p>
        </w:tc>
        <w:tc>
          <w:tcPr>
            <w:tcW w:w="917"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CO</w:t>
            </w:r>
          </w:p>
        </w:tc>
        <w:tc>
          <w:tcPr>
            <w:tcW w:w="909" w:type="dxa"/>
            <w:vAlign w:val="center"/>
          </w:tcPr>
          <w:p>
            <w:pPr>
              <w:tabs>
                <w:tab w:val="clear" w:pos="480"/>
              </w:tabs>
              <w:adjustRightInd w:val="0"/>
              <w:snapToGrid w:val="0"/>
              <w:spacing w:line="240" w:lineRule="auto"/>
              <w:ind w:firstLine="0" w:firstLineChars="0"/>
              <w:jc w:val="center"/>
              <w:rPr>
                <w:sz w:val="21"/>
                <w:szCs w:val="21"/>
              </w:rPr>
            </w:pPr>
            <w:r>
              <w:rPr>
                <w:sz w:val="21"/>
                <w:szCs w:val="21"/>
              </w:rPr>
              <w:t>O</w:t>
            </w:r>
            <w:r>
              <w:rPr>
                <w:sz w:val="21"/>
                <w:szCs w:val="21"/>
                <w:vertAlign w:val="subscript"/>
              </w:rPr>
              <w:t>3</w:t>
            </w:r>
          </w:p>
        </w:tc>
        <w:tc>
          <w:tcPr>
            <w:tcW w:w="909" w:type="dxa"/>
            <w:vAlign w:val="center"/>
          </w:tcPr>
          <w:p>
            <w:pPr>
              <w:tabs>
                <w:tab w:val="clear" w:pos="480"/>
              </w:tabs>
              <w:adjustRightInd w:val="0"/>
              <w:snapToGrid w:val="0"/>
              <w:spacing w:line="240" w:lineRule="auto"/>
              <w:ind w:firstLine="0" w:firstLineChars="0"/>
              <w:jc w:val="center"/>
              <w:rPr>
                <w:sz w:val="21"/>
                <w:szCs w:val="21"/>
              </w:rPr>
            </w:pPr>
            <w:r>
              <w:rPr>
                <w:sz w:val="21"/>
                <w:szCs w:val="21"/>
              </w:rPr>
              <w:t>PM</w:t>
            </w:r>
            <w:r>
              <w:rPr>
                <w:sz w:val="21"/>
                <w:szCs w:val="21"/>
                <w:vertAlign w:val="subscript"/>
              </w:rPr>
              <w:t>2.5</w:t>
            </w:r>
          </w:p>
        </w:tc>
        <w:tc>
          <w:tcPr>
            <w:tcW w:w="910" w:type="dxa"/>
            <w:vAlign w:val="center"/>
          </w:tcPr>
          <w:p>
            <w:pPr>
              <w:tabs>
                <w:tab w:val="clear" w:pos="480"/>
              </w:tabs>
              <w:adjustRightInd w:val="0"/>
              <w:snapToGrid w:val="0"/>
              <w:spacing w:line="240" w:lineRule="auto"/>
              <w:ind w:firstLine="0" w:firstLineChars="0"/>
              <w:jc w:val="center"/>
              <w:rPr>
                <w:sz w:val="21"/>
                <w:szCs w:val="21"/>
              </w:rPr>
            </w:pPr>
            <w:r>
              <w:rPr>
                <w:sz w:val="21"/>
                <w:szCs w:val="21"/>
              </w:rPr>
              <w:t>PM</w:t>
            </w:r>
            <w:r>
              <w:rPr>
                <w:sz w:val="21"/>
                <w:szCs w:val="21"/>
                <w:vertAlign w:val="subscript"/>
              </w:rPr>
              <w:t>10</w:t>
            </w:r>
          </w:p>
        </w:tc>
        <w:tc>
          <w:tcPr>
            <w:tcW w:w="883" w:type="dxa"/>
            <w:vMerge w:val="restart"/>
            <w:vAlign w:val="center"/>
          </w:tcPr>
          <w:p>
            <w:pPr>
              <w:tabs>
                <w:tab w:val="clear" w:pos="480"/>
              </w:tabs>
              <w:adjustRightInd w:val="0"/>
              <w:snapToGrid w:val="0"/>
              <w:spacing w:line="240" w:lineRule="auto"/>
              <w:ind w:left="-120" w:leftChars="-50" w:right="-120" w:rightChars="-50" w:firstLine="0" w:firstLineChars="0"/>
              <w:jc w:val="center"/>
              <w:rPr>
                <w:sz w:val="21"/>
                <w:szCs w:val="21"/>
              </w:rPr>
            </w:pPr>
            <w:r>
              <w:rPr>
                <w:rFonts w:hint="eastAsia"/>
                <w:sz w:val="21"/>
                <w:szCs w:val="21"/>
              </w:rPr>
              <w:t>达标天数</w:t>
            </w:r>
          </w:p>
        </w:tc>
        <w:tc>
          <w:tcPr>
            <w:tcW w:w="883" w:type="dxa"/>
            <w:vMerge w:val="restart"/>
            <w:vAlign w:val="center"/>
          </w:tcPr>
          <w:p>
            <w:pPr>
              <w:tabs>
                <w:tab w:val="clear" w:pos="480"/>
              </w:tabs>
              <w:adjustRightInd w:val="0"/>
              <w:snapToGrid w:val="0"/>
              <w:spacing w:line="240" w:lineRule="auto"/>
              <w:ind w:left="-120" w:leftChars="-50" w:right="-120" w:rightChars="-50" w:firstLine="0" w:firstLineChars="0"/>
              <w:jc w:val="center"/>
              <w:rPr>
                <w:sz w:val="21"/>
                <w:szCs w:val="21"/>
              </w:rPr>
            </w:pPr>
            <w:r>
              <w:rPr>
                <w:rFonts w:hint="eastAsia"/>
                <w:sz w:val="21"/>
                <w:szCs w:val="21"/>
              </w:rPr>
              <w:t>有效天数</w:t>
            </w:r>
          </w:p>
        </w:tc>
        <w:tc>
          <w:tcPr>
            <w:tcW w:w="915" w:type="dxa"/>
            <w:vMerge w:val="restart"/>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达标率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vAlign w:val="center"/>
          </w:tcPr>
          <w:p>
            <w:pPr>
              <w:tabs>
                <w:tab w:val="clear" w:pos="480"/>
              </w:tabs>
              <w:adjustRightInd w:val="0"/>
              <w:snapToGrid w:val="0"/>
              <w:spacing w:line="240" w:lineRule="auto"/>
              <w:ind w:firstLine="0" w:firstLineChars="0"/>
              <w:jc w:val="center"/>
              <w:rPr>
                <w:sz w:val="21"/>
                <w:szCs w:val="21"/>
              </w:rPr>
            </w:pPr>
          </w:p>
        </w:tc>
        <w:tc>
          <w:tcPr>
            <w:tcW w:w="909" w:type="dxa"/>
            <w:vAlign w:val="center"/>
          </w:tcPr>
          <w:p>
            <w:pPr>
              <w:tabs>
                <w:tab w:val="clear" w:pos="480"/>
              </w:tabs>
              <w:adjustRightInd w:val="0"/>
              <w:snapToGrid w:val="0"/>
              <w:spacing w:line="240" w:lineRule="auto"/>
              <w:ind w:firstLine="0" w:firstLineChars="0"/>
              <w:jc w:val="center"/>
              <w:rPr>
                <w:sz w:val="21"/>
                <w:szCs w:val="21"/>
              </w:rPr>
            </w:pPr>
            <w:r>
              <w:rPr>
                <w:sz w:val="21"/>
                <w:szCs w:val="21"/>
              </w:rPr>
              <w:t>ug/m</w:t>
            </w:r>
            <w:r>
              <w:rPr>
                <w:sz w:val="21"/>
                <w:szCs w:val="21"/>
                <w:vertAlign w:val="superscript"/>
              </w:rPr>
              <w:t>3</w:t>
            </w:r>
          </w:p>
        </w:tc>
        <w:tc>
          <w:tcPr>
            <w:tcW w:w="909" w:type="dxa"/>
            <w:vAlign w:val="center"/>
          </w:tcPr>
          <w:p>
            <w:pPr>
              <w:tabs>
                <w:tab w:val="clear" w:pos="480"/>
              </w:tabs>
              <w:adjustRightInd w:val="0"/>
              <w:snapToGrid w:val="0"/>
              <w:spacing w:line="240" w:lineRule="auto"/>
              <w:ind w:firstLine="0" w:firstLineChars="0"/>
              <w:jc w:val="center"/>
              <w:rPr>
                <w:sz w:val="21"/>
                <w:szCs w:val="21"/>
              </w:rPr>
            </w:pPr>
            <w:r>
              <w:rPr>
                <w:sz w:val="21"/>
                <w:szCs w:val="21"/>
              </w:rPr>
              <w:t>ug/m</w:t>
            </w:r>
            <w:r>
              <w:rPr>
                <w:sz w:val="21"/>
                <w:szCs w:val="21"/>
                <w:vertAlign w:val="superscript"/>
              </w:rPr>
              <w:t>3</w:t>
            </w:r>
          </w:p>
        </w:tc>
        <w:tc>
          <w:tcPr>
            <w:tcW w:w="917"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m</w:t>
            </w:r>
            <w:r>
              <w:rPr>
                <w:sz w:val="21"/>
                <w:szCs w:val="21"/>
              </w:rPr>
              <w:t>g/m</w:t>
            </w:r>
            <w:r>
              <w:rPr>
                <w:sz w:val="21"/>
                <w:szCs w:val="21"/>
                <w:vertAlign w:val="superscript"/>
              </w:rPr>
              <w:t>3</w:t>
            </w:r>
          </w:p>
        </w:tc>
        <w:tc>
          <w:tcPr>
            <w:tcW w:w="909" w:type="dxa"/>
            <w:vAlign w:val="center"/>
          </w:tcPr>
          <w:p>
            <w:pPr>
              <w:tabs>
                <w:tab w:val="clear" w:pos="480"/>
              </w:tabs>
              <w:adjustRightInd w:val="0"/>
              <w:snapToGrid w:val="0"/>
              <w:spacing w:line="240" w:lineRule="auto"/>
              <w:ind w:firstLine="0" w:firstLineChars="0"/>
              <w:jc w:val="center"/>
              <w:rPr>
                <w:sz w:val="21"/>
                <w:szCs w:val="21"/>
              </w:rPr>
            </w:pPr>
            <w:r>
              <w:rPr>
                <w:sz w:val="21"/>
                <w:szCs w:val="21"/>
              </w:rPr>
              <w:t>ug/m</w:t>
            </w:r>
            <w:r>
              <w:rPr>
                <w:sz w:val="21"/>
                <w:szCs w:val="21"/>
                <w:vertAlign w:val="superscript"/>
              </w:rPr>
              <w:t>3</w:t>
            </w:r>
          </w:p>
        </w:tc>
        <w:tc>
          <w:tcPr>
            <w:tcW w:w="909" w:type="dxa"/>
            <w:vAlign w:val="center"/>
          </w:tcPr>
          <w:p>
            <w:pPr>
              <w:tabs>
                <w:tab w:val="clear" w:pos="480"/>
              </w:tabs>
              <w:adjustRightInd w:val="0"/>
              <w:snapToGrid w:val="0"/>
              <w:spacing w:line="240" w:lineRule="auto"/>
              <w:ind w:firstLine="0" w:firstLineChars="0"/>
              <w:jc w:val="center"/>
              <w:rPr>
                <w:sz w:val="21"/>
                <w:szCs w:val="21"/>
              </w:rPr>
            </w:pPr>
            <w:r>
              <w:rPr>
                <w:sz w:val="21"/>
                <w:szCs w:val="21"/>
              </w:rPr>
              <w:t>ug/m</w:t>
            </w:r>
            <w:r>
              <w:rPr>
                <w:sz w:val="21"/>
                <w:szCs w:val="21"/>
                <w:vertAlign w:val="superscript"/>
              </w:rPr>
              <w:t>3</w:t>
            </w:r>
          </w:p>
        </w:tc>
        <w:tc>
          <w:tcPr>
            <w:tcW w:w="910" w:type="dxa"/>
            <w:vAlign w:val="center"/>
          </w:tcPr>
          <w:p>
            <w:pPr>
              <w:tabs>
                <w:tab w:val="clear" w:pos="480"/>
              </w:tabs>
              <w:adjustRightInd w:val="0"/>
              <w:snapToGrid w:val="0"/>
              <w:spacing w:line="240" w:lineRule="auto"/>
              <w:ind w:firstLine="0" w:firstLineChars="0"/>
              <w:jc w:val="center"/>
              <w:rPr>
                <w:sz w:val="21"/>
                <w:szCs w:val="21"/>
              </w:rPr>
            </w:pPr>
            <w:r>
              <w:rPr>
                <w:sz w:val="21"/>
                <w:szCs w:val="21"/>
              </w:rPr>
              <w:t>ug/m</w:t>
            </w:r>
            <w:r>
              <w:rPr>
                <w:sz w:val="21"/>
                <w:szCs w:val="21"/>
                <w:vertAlign w:val="superscript"/>
              </w:rPr>
              <w:t>3</w:t>
            </w:r>
          </w:p>
        </w:tc>
        <w:tc>
          <w:tcPr>
            <w:tcW w:w="883" w:type="dxa"/>
            <w:vMerge w:val="continue"/>
            <w:vAlign w:val="center"/>
          </w:tcPr>
          <w:p>
            <w:pPr>
              <w:tabs>
                <w:tab w:val="clear" w:pos="480"/>
              </w:tabs>
              <w:adjustRightInd w:val="0"/>
              <w:snapToGrid w:val="0"/>
              <w:spacing w:line="240" w:lineRule="auto"/>
              <w:ind w:firstLine="0" w:firstLineChars="0"/>
              <w:jc w:val="center"/>
              <w:rPr>
                <w:sz w:val="21"/>
                <w:szCs w:val="21"/>
              </w:rPr>
            </w:pPr>
          </w:p>
        </w:tc>
        <w:tc>
          <w:tcPr>
            <w:tcW w:w="883" w:type="dxa"/>
            <w:vMerge w:val="continue"/>
            <w:vAlign w:val="center"/>
          </w:tcPr>
          <w:p>
            <w:pPr>
              <w:tabs>
                <w:tab w:val="clear" w:pos="480"/>
              </w:tabs>
              <w:adjustRightInd w:val="0"/>
              <w:snapToGrid w:val="0"/>
              <w:spacing w:line="240" w:lineRule="auto"/>
              <w:ind w:firstLine="0" w:firstLineChars="0"/>
              <w:jc w:val="center"/>
              <w:rPr>
                <w:sz w:val="21"/>
                <w:szCs w:val="21"/>
              </w:rPr>
            </w:pPr>
          </w:p>
        </w:tc>
        <w:tc>
          <w:tcPr>
            <w:tcW w:w="915" w:type="dxa"/>
            <w:vMerge w:val="continue"/>
            <w:vAlign w:val="center"/>
          </w:tcPr>
          <w:p>
            <w:pPr>
              <w:tabs>
                <w:tab w:val="clear" w:pos="480"/>
              </w:tabs>
              <w:adjustRightInd w:val="0"/>
              <w:snapToGrid w:val="0"/>
              <w:spacing w:line="240" w:lineRule="auto"/>
              <w:ind w:firstLine="0" w:firstLineChars="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2019年</w:t>
            </w:r>
          </w:p>
        </w:tc>
        <w:tc>
          <w:tcPr>
            <w:tcW w:w="909"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9</w:t>
            </w:r>
          </w:p>
        </w:tc>
        <w:tc>
          <w:tcPr>
            <w:tcW w:w="909"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27</w:t>
            </w:r>
          </w:p>
        </w:tc>
        <w:tc>
          <w:tcPr>
            <w:tcW w:w="917"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1.4</w:t>
            </w:r>
          </w:p>
        </w:tc>
        <w:tc>
          <w:tcPr>
            <w:tcW w:w="909" w:type="dxa"/>
            <w:vAlign w:val="center"/>
          </w:tcPr>
          <w:p>
            <w:pPr>
              <w:tabs>
                <w:tab w:val="clear" w:pos="480"/>
              </w:tabs>
              <w:adjustRightInd w:val="0"/>
              <w:snapToGrid w:val="0"/>
              <w:spacing w:line="240" w:lineRule="auto"/>
              <w:ind w:firstLine="0" w:firstLineChars="0"/>
              <w:jc w:val="center"/>
              <w:rPr>
                <w:sz w:val="21"/>
                <w:szCs w:val="21"/>
              </w:rPr>
            </w:pPr>
            <w:r>
              <w:rPr>
                <w:rFonts w:hint="eastAsia"/>
                <w:b/>
                <w:bCs/>
                <w:sz w:val="21"/>
                <w:szCs w:val="21"/>
              </w:rPr>
              <w:t>164</w:t>
            </w:r>
          </w:p>
        </w:tc>
        <w:tc>
          <w:tcPr>
            <w:tcW w:w="909" w:type="dxa"/>
            <w:vAlign w:val="center"/>
          </w:tcPr>
          <w:p>
            <w:pPr>
              <w:tabs>
                <w:tab w:val="clear" w:pos="480"/>
              </w:tabs>
              <w:adjustRightInd w:val="0"/>
              <w:snapToGrid w:val="0"/>
              <w:spacing w:line="240" w:lineRule="auto"/>
              <w:ind w:firstLine="0" w:firstLineChars="0"/>
              <w:jc w:val="center"/>
              <w:rPr>
                <w:b/>
                <w:bCs/>
                <w:sz w:val="21"/>
                <w:szCs w:val="21"/>
              </w:rPr>
            </w:pPr>
            <w:r>
              <w:rPr>
                <w:rFonts w:hint="eastAsia"/>
                <w:b/>
                <w:bCs/>
                <w:sz w:val="21"/>
                <w:szCs w:val="21"/>
              </w:rPr>
              <w:t>43</w:t>
            </w:r>
          </w:p>
        </w:tc>
        <w:tc>
          <w:tcPr>
            <w:tcW w:w="910" w:type="dxa"/>
            <w:vAlign w:val="center"/>
          </w:tcPr>
          <w:p>
            <w:pPr>
              <w:tabs>
                <w:tab w:val="clear" w:pos="480"/>
              </w:tabs>
              <w:adjustRightInd w:val="0"/>
              <w:snapToGrid w:val="0"/>
              <w:spacing w:line="240" w:lineRule="auto"/>
              <w:ind w:firstLine="0" w:firstLineChars="0"/>
              <w:jc w:val="center"/>
              <w:rPr>
                <w:b/>
                <w:bCs/>
                <w:sz w:val="21"/>
                <w:szCs w:val="21"/>
              </w:rPr>
            </w:pPr>
            <w:r>
              <w:rPr>
                <w:rFonts w:hint="eastAsia"/>
                <w:sz w:val="21"/>
                <w:szCs w:val="21"/>
              </w:rPr>
              <w:t>68</w:t>
            </w:r>
          </w:p>
        </w:tc>
        <w:tc>
          <w:tcPr>
            <w:tcW w:w="883"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294</w:t>
            </w:r>
          </w:p>
        </w:tc>
        <w:tc>
          <w:tcPr>
            <w:tcW w:w="883"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365</w:t>
            </w:r>
          </w:p>
        </w:tc>
        <w:tc>
          <w:tcPr>
            <w:tcW w:w="915"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80.5%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2020年</w:t>
            </w:r>
          </w:p>
        </w:tc>
        <w:tc>
          <w:tcPr>
            <w:tcW w:w="909"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1</w:t>
            </w:r>
            <w:r>
              <w:rPr>
                <w:sz w:val="21"/>
                <w:szCs w:val="21"/>
              </w:rPr>
              <w:t>0</w:t>
            </w:r>
          </w:p>
        </w:tc>
        <w:tc>
          <w:tcPr>
            <w:tcW w:w="909"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2</w:t>
            </w:r>
            <w:r>
              <w:rPr>
                <w:sz w:val="21"/>
                <w:szCs w:val="21"/>
              </w:rPr>
              <w:t>5</w:t>
            </w:r>
          </w:p>
        </w:tc>
        <w:tc>
          <w:tcPr>
            <w:tcW w:w="917"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1</w:t>
            </w:r>
            <w:r>
              <w:rPr>
                <w:sz w:val="21"/>
                <w:szCs w:val="21"/>
              </w:rPr>
              <w:t>.2</w:t>
            </w:r>
          </w:p>
        </w:tc>
        <w:tc>
          <w:tcPr>
            <w:tcW w:w="909" w:type="dxa"/>
            <w:vAlign w:val="center"/>
          </w:tcPr>
          <w:p>
            <w:pPr>
              <w:tabs>
                <w:tab w:val="clear" w:pos="480"/>
              </w:tabs>
              <w:adjustRightInd w:val="0"/>
              <w:snapToGrid w:val="0"/>
              <w:spacing w:line="240" w:lineRule="auto"/>
              <w:ind w:firstLine="0" w:firstLineChars="0"/>
              <w:jc w:val="center"/>
              <w:rPr>
                <w:sz w:val="21"/>
                <w:szCs w:val="21"/>
              </w:rPr>
            </w:pPr>
            <w:r>
              <w:rPr>
                <w:rFonts w:hint="eastAsia"/>
                <w:bCs/>
                <w:sz w:val="21"/>
                <w:szCs w:val="21"/>
              </w:rPr>
              <w:t>1</w:t>
            </w:r>
            <w:r>
              <w:rPr>
                <w:bCs/>
                <w:sz w:val="21"/>
                <w:szCs w:val="21"/>
              </w:rPr>
              <w:t>34</w:t>
            </w:r>
          </w:p>
        </w:tc>
        <w:tc>
          <w:tcPr>
            <w:tcW w:w="909" w:type="dxa"/>
            <w:vAlign w:val="center"/>
          </w:tcPr>
          <w:p>
            <w:pPr>
              <w:tabs>
                <w:tab w:val="clear" w:pos="480"/>
              </w:tabs>
              <w:adjustRightInd w:val="0"/>
              <w:snapToGrid w:val="0"/>
              <w:spacing w:line="240" w:lineRule="auto"/>
              <w:ind w:firstLine="0" w:firstLineChars="0"/>
              <w:jc w:val="center"/>
              <w:rPr>
                <w:b/>
                <w:bCs/>
                <w:sz w:val="21"/>
                <w:szCs w:val="21"/>
              </w:rPr>
            </w:pPr>
            <w:r>
              <w:rPr>
                <w:rFonts w:hint="eastAsia"/>
                <w:b/>
                <w:bCs/>
                <w:sz w:val="21"/>
                <w:szCs w:val="21"/>
              </w:rPr>
              <w:t>3</w:t>
            </w:r>
            <w:r>
              <w:rPr>
                <w:b/>
                <w:bCs/>
                <w:sz w:val="21"/>
                <w:szCs w:val="21"/>
              </w:rPr>
              <w:t>7</w:t>
            </w:r>
          </w:p>
        </w:tc>
        <w:tc>
          <w:tcPr>
            <w:tcW w:w="910"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5</w:t>
            </w:r>
            <w:r>
              <w:rPr>
                <w:sz w:val="21"/>
                <w:szCs w:val="21"/>
              </w:rPr>
              <w:t>6</w:t>
            </w:r>
          </w:p>
        </w:tc>
        <w:tc>
          <w:tcPr>
            <w:tcW w:w="883"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3</w:t>
            </w:r>
            <w:r>
              <w:rPr>
                <w:sz w:val="21"/>
                <w:szCs w:val="21"/>
              </w:rPr>
              <w:t>32</w:t>
            </w:r>
          </w:p>
        </w:tc>
        <w:tc>
          <w:tcPr>
            <w:tcW w:w="883"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3</w:t>
            </w:r>
            <w:r>
              <w:rPr>
                <w:sz w:val="21"/>
                <w:szCs w:val="21"/>
              </w:rPr>
              <w:t>66</w:t>
            </w:r>
          </w:p>
        </w:tc>
        <w:tc>
          <w:tcPr>
            <w:tcW w:w="915" w:type="dxa"/>
            <w:vAlign w:val="center"/>
          </w:tcPr>
          <w:p>
            <w:pPr>
              <w:tabs>
                <w:tab w:val="clear" w:pos="480"/>
              </w:tabs>
              <w:adjustRightInd w:val="0"/>
              <w:snapToGrid w:val="0"/>
              <w:spacing w:line="240" w:lineRule="auto"/>
              <w:ind w:firstLine="0" w:firstLineChars="0"/>
              <w:jc w:val="center"/>
              <w:rPr>
                <w:sz w:val="21"/>
                <w:szCs w:val="21"/>
              </w:rPr>
            </w:pPr>
            <w:r>
              <w:rPr>
                <w:sz w:val="21"/>
                <w:szCs w:val="21"/>
              </w:rPr>
              <w:t>90.7</w:t>
            </w:r>
            <w:r>
              <w:rPr>
                <w:rFonts w:hint="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20</w:t>
            </w:r>
            <w:r>
              <w:rPr>
                <w:sz w:val="21"/>
                <w:szCs w:val="21"/>
              </w:rPr>
              <w:t>2</w:t>
            </w:r>
            <w:r>
              <w:rPr>
                <w:rFonts w:hint="eastAsia"/>
                <w:sz w:val="21"/>
                <w:szCs w:val="21"/>
              </w:rPr>
              <w:t>1年</w:t>
            </w:r>
          </w:p>
        </w:tc>
        <w:tc>
          <w:tcPr>
            <w:tcW w:w="909"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9</w:t>
            </w:r>
          </w:p>
        </w:tc>
        <w:tc>
          <w:tcPr>
            <w:tcW w:w="909"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25</w:t>
            </w:r>
          </w:p>
        </w:tc>
        <w:tc>
          <w:tcPr>
            <w:tcW w:w="917"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1.1</w:t>
            </w:r>
          </w:p>
        </w:tc>
        <w:tc>
          <w:tcPr>
            <w:tcW w:w="909" w:type="dxa"/>
            <w:vAlign w:val="center"/>
          </w:tcPr>
          <w:p>
            <w:pPr>
              <w:tabs>
                <w:tab w:val="clear" w:pos="480"/>
              </w:tabs>
              <w:adjustRightInd w:val="0"/>
              <w:snapToGrid w:val="0"/>
              <w:spacing w:line="240" w:lineRule="auto"/>
              <w:ind w:firstLine="0" w:firstLineChars="0"/>
              <w:jc w:val="center"/>
              <w:rPr>
                <w:bCs/>
                <w:sz w:val="21"/>
                <w:szCs w:val="21"/>
              </w:rPr>
            </w:pPr>
            <w:r>
              <w:rPr>
                <w:rFonts w:hint="eastAsia"/>
                <w:bCs/>
                <w:sz w:val="21"/>
                <w:szCs w:val="21"/>
              </w:rPr>
              <w:t>140</w:t>
            </w:r>
          </w:p>
        </w:tc>
        <w:tc>
          <w:tcPr>
            <w:tcW w:w="909" w:type="dxa"/>
            <w:vAlign w:val="center"/>
          </w:tcPr>
          <w:p>
            <w:pPr>
              <w:tabs>
                <w:tab w:val="clear" w:pos="480"/>
              </w:tabs>
              <w:adjustRightInd w:val="0"/>
              <w:snapToGrid w:val="0"/>
              <w:spacing w:line="240" w:lineRule="auto"/>
              <w:ind w:firstLine="0" w:firstLineChars="0"/>
              <w:jc w:val="center"/>
              <w:rPr>
                <w:b/>
                <w:bCs/>
                <w:sz w:val="21"/>
                <w:szCs w:val="21"/>
              </w:rPr>
            </w:pPr>
            <w:r>
              <w:rPr>
                <w:rFonts w:hint="eastAsia"/>
                <w:b/>
                <w:bCs/>
                <w:sz w:val="21"/>
                <w:szCs w:val="21"/>
              </w:rPr>
              <w:t>36</w:t>
            </w:r>
          </w:p>
        </w:tc>
        <w:tc>
          <w:tcPr>
            <w:tcW w:w="910"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54</w:t>
            </w:r>
          </w:p>
        </w:tc>
        <w:tc>
          <w:tcPr>
            <w:tcW w:w="883"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330</w:t>
            </w:r>
          </w:p>
        </w:tc>
        <w:tc>
          <w:tcPr>
            <w:tcW w:w="883"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365</w:t>
            </w:r>
          </w:p>
        </w:tc>
        <w:tc>
          <w:tcPr>
            <w:tcW w:w="915" w:type="dxa"/>
            <w:vAlign w:val="center"/>
          </w:tcPr>
          <w:p>
            <w:pPr>
              <w:tabs>
                <w:tab w:val="clear" w:pos="480"/>
              </w:tabs>
              <w:adjustRightInd w:val="0"/>
              <w:snapToGrid w:val="0"/>
              <w:spacing w:line="240" w:lineRule="auto"/>
              <w:ind w:firstLine="0" w:firstLineChars="0"/>
              <w:jc w:val="center"/>
              <w:rPr>
                <w:sz w:val="21"/>
                <w:szCs w:val="21"/>
              </w:rPr>
            </w:pPr>
            <w:r>
              <w:rPr>
                <w:sz w:val="21"/>
                <w:szCs w:val="21"/>
              </w:rPr>
              <w:t>90.</w:t>
            </w:r>
            <w:r>
              <w:rPr>
                <w:rFonts w:hint="eastAsia"/>
                <w:sz w:val="21"/>
                <w:szCs w:val="21"/>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标准值</w:t>
            </w:r>
          </w:p>
        </w:tc>
        <w:tc>
          <w:tcPr>
            <w:tcW w:w="909"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60</w:t>
            </w:r>
          </w:p>
        </w:tc>
        <w:tc>
          <w:tcPr>
            <w:tcW w:w="909"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40</w:t>
            </w:r>
          </w:p>
        </w:tc>
        <w:tc>
          <w:tcPr>
            <w:tcW w:w="917"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4</w:t>
            </w:r>
          </w:p>
        </w:tc>
        <w:tc>
          <w:tcPr>
            <w:tcW w:w="909"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160</w:t>
            </w:r>
          </w:p>
        </w:tc>
        <w:tc>
          <w:tcPr>
            <w:tcW w:w="909"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35</w:t>
            </w:r>
          </w:p>
        </w:tc>
        <w:tc>
          <w:tcPr>
            <w:tcW w:w="910"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70</w:t>
            </w:r>
          </w:p>
        </w:tc>
        <w:tc>
          <w:tcPr>
            <w:tcW w:w="883"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w:t>
            </w:r>
          </w:p>
        </w:tc>
        <w:tc>
          <w:tcPr>
            <w:tcW w:w="883"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w:t>
            </w:r>
          </w:p>
        </w:tc>
        <w:tc>
          <w:tcPr>
            <w:tcW w:w="915"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w:t>
            </w:r>
          </w:p>
        </w:tc>
      </w:tr>
    </w:tbl>
    <w:p>
      <w:pPr>
        <w:ind w:firstLine="480"/>
      </w:pPr>
      <w:r>
        <w:rPr>
          <w:rFonts w:hint="eastAsia"/>
        </w:rPr>
        <w:t>从上表可以看出，岳阳市近三年的环境空气质量总体是在逐步改善，空气质量越来越好。2019~20</w:t>
      </w:r>
      <w:r>
        <w:t>2</w:t>
      </w:r>
      <w:r>
        <w:rPr>
          <w:rFonts w:hint="eastAsia"/>
        </w:rPr>
        <w:t>1年的SO</w:t>
      </w:r>
      <w:r>
        <w:rPr>
          <w:rFonts w:hint="eastAsia"/>
          <w:vertAlign w:val="subscript"/>
        </w:rPr>
        <w:t>2</w:t>
      </w:r>
      <w:r>
        <w:rPr>
          <w:rFonts w:hint="eastAsia"/>
        </w:rPr>
        <w:t>、NO</w:t>
      </w:r>
      <w:r>
        <w:rPr>
          <w:rFonts w:hint="eastAsia"/>
          <w:vertAlign w:val="subscript"/>
        </w:rPr>
        <w:t>2</w:t>
      </w:r>
      <w:r>
        <w:rPr>
          <w:rFonts w:hint="eastAsia"/>
        </w:rPr>
        <w:t>、PM</w:t>
      </w:r>
      <w:r>
        <w:rPr>
          <w:rFonts w:hint="eastAsia"/>
          <w:vertAlign w:val="subscript"/>
        </w:rPr>
        <w:t>10</w:t>
      </w:r>
      <w:r>
        <w:rPr>
          <w:rFonts w:hint="eastAsia"/>
        </w:rPr>
        <w:t>、一氧化碳常规监测值能够满足《环境空气质量标准》（GB3095-2012）二级标准的要求。臭氧2019年常规监测值不能够满足《环境空气质量标准》（GB3095-2012）二级标准的要求，2020~2021年满足标准要求；PM</w:t>
      </w:r>
      <w:r>
        <w:rPr>
          <w:rFonts w:hint="eastAsia"/>
          <w:vertAlign w:val="subscript"/>
        </w:rPr>
        <w:t>2.5</w:t>
      </w:r>
      <w:r>
        <w:rPr>
          <w:rFonts w:hint="eastAsia"/>
        </w:rPr>
        <w:t>的年均浓度不能够满足《环境空气质量标准》（GB3095-2012）二级标准的要求，但整体呈逐年下降趋势。</w:t>
      </w:r>
    </w:p>
    <w:p>
      <w:pPr>
        <w:ind w:firstLine="480"/>
      </w:pPr>
      <w:r>
        <w:rPr>
          <w:rFonts w:hint="eastAsia"/>
        </w:rPr>
        <w:t>区域环境空气质量超标原因主要是因为城市环境管理粗放，监管能力不足：工业无组织排放，机动车、船舶、工程机械等移动源，以及扬尘、散煤和生物质燃烧、有机溶剂产品使用、农业生产过程等面源仍未得到有效防控，针对挥发性有机物、氨的控制尚处于起步阶段。移动源和面源量大面广、挥发性有机物和氨的排放来源极为分散。</w:t>
      </w:r>
    </w:p>
    <w:p>
      <w:pPr>
        <w:ind w:firstLine="480"/>
      </w:pPr>
      <w:r>
        <w:t>根据《中华人民共和国大气污染防治法》第十四条</w:t>
      </w:r>
      <w:r>
        <w:rPr>
          <w:rFonts w:asciiTheme="minorEastAsia" w:hAnsiTheme="minorEastAsia" w:eastAsiaTheme="minorEastAsia"/>
        </w:rPr>
        <w:t>“</w:t>
      </w:r>
      <w:r>
        <w:t>未达到国家大气环境质量标准城市的人民政府应当及时编制大气环境质量限期达标规划，采取措施，按照国务院或者省级人民政府规定的期限达到大气环境质量标准。</w:t>
      </w:r>
    </w:p>
    <w:p>
      <w:pPr>
        <w:numPr>
          <w:ilvl w:val="0"/>
          <w:numId w:val="0"/>
        </w:numPr>
        <w:autoSpaceDE/>
        <w:autoSpaceDN/>
        <w:ind w:firstLine="480"/>
        <w:rPr>
          <w:color w:val="000000" w:themeColor="text1"/>
          <w14:textFill>
            <w14:solidFill>
              <w14:schemeClr w14:val="tx1"/>
            </w14:solidFill>
          </w14:textFill>
        </w:rPr>
      </w:pPr>
      <w:r>
        <w:rPr>
          <w:rFonts w:hint="eastAsia" w:ascii="Times New Roman" w:hAnsi="Times New Roman" w:cs="Times New Roman"/>
        </w:rPr>
        <w:t>根据湖南省人民政府</w:t>
      </w:r>
      <w:r>
        <w:rPr>
          <w:rFonts w:hint="eastAsia" w:ascii="Times New Roman" w:hAnsi="Times New Roman" w:cs="Times New Roman"/>
          <w:lang w:val="en"/>
        </w:rPr>
        <w:t>办公厅</w:t>
      </w:r>
      <w:r>
        <w:rPr>
          <w:rFonts w:hint="eastAsia" w:ascii="Times New Roman" w:hAnsi="Times New Roman" w:cs="Times New Roman"/>
        </w:rPr>
        <w:t>关于印发《湖南省“十四五”生态环境保护规划》的通知，</w:t>
      </w:r>
      <w:bookmarkStart w:id="130" w:name="_Toc469775800"/>
      <w:bookmarkStart w:id="131" w:name="_Toc1282508934"/>
      <w:bookmarkStart w:id="132" w:name="_Toc9382"/>
      <w:bookmarkStart w:id="133" w:name="_Toc1327126940"/>
      <w:bookmarkStart w:id="134" w:name="_Toc2004306104"/>
      <w:bookmarkStart w:id="135" w:name="_Toc638245565"/>
      <w:r>
        <w:rPr>
          <w:rFonts w:hint="eastAsia" w:ascii="Times New Roman" w:hAnsi="Times New Roman" w:cs="Times New Roman"/>
        </w:rPr>
        <w:t>“十四五”具体目标：空气环境质量持续改善，地级及以上城市</w:t>
      </w:r>
      <w:r>
        <w:rPr>
          <w:rFonts w:hint="eastAsia" w:ascii="Times New Roman" w:hAnsi="Times New Roman" w:cs="Times New Roman"/>
          <w:lang w:val="en"/>
        </w:rPr>
        <w:t>PM</w:t>
      </w:r>
      <w:r>
        <w:rPr>
          <w:rFonts w:hint="eastAsia" w:ascii="Times New Roman" w:hAnsi="Times New Roman" w:cs="Times New Roman"/>
          <w:vertAlign w:val="subscript"/>
        </w:rPr>
        <w:t>2.5</w:t>
      </w:r>
      <w:r>
        <w:rPr>
          <w:rFonts w:hint="eastAsia" w:ascii="Times New Roman" w:hAnsi="Times New Roman" w:cs="Times New Roman"/>
        </w:rPr>
        <w:t>年平均浓度持续下降，基本消除重度及以上污染天数；</w:t>
      </w:r>
      <w:bookmarkEnd w:id="130"/>
      <w:bookmarkEnd w:id="131"/>
      <w:bookmarkEnd w:id="132"/>
      <w:bookmarkEnd w:id="133"/>
      <w:bookmarkEnd w:id="134"/>
      <w:bookmarkEnd w:id="135"/>
      <w:r>
        <w:rPr>
          <w:rFonts w:hint="eastAsia" w:ascii="Times New Roman" w:hAnsi="Times New Roman" w:cs="Times New Roman"/>
          <w:lang w:val="en-US" w:eastAsia="zh-CN"/>
        </w:rPr>
        <w:t>根据岳阳市生态环境局保护委员会</w:t>
      </w:r>
      <w:r>
        <w:rPr>
          <w:rFonts w:hint="eastAsia" w:ascii="Times New Roman" w:hAnsi="Times New Roman" w:cs="Times New Roman"/>
          <w:b w:val="0"/>
          <w:bCs w:val="0"/>
          <w:sz w:val="24"/>
          <w:szCs w:val="24"/>
          <w:lang w:val="en-US" w:eastAsia="zh-CN"/>
        </w:rPr>
        <w:t>岳阳市生态环境保护委员会下发的关于印发《岳阳市环境空气质量限期达标规划（2020-2026）》的通知（岳生环委发[2020]10号）,通过采取削减煤炭消费需求，推进清洁电力生产；优化产业结构；</w:t>
      </w:r>
      <w:r>
        <w:rPr>
          <w:rFonts w:hint="eastAsia" w:ascii="Times New Roman" w:hAnsi="Times New Roman" w:cs="Times New Roman"/>
          <w:lang w:val="en-US" w:eastAsia="zh-CN"/>
        </w:rPr>
        <w:t>强化扬尘污染治理；巩固燃煤锅炉淘汰成果；强化重点污染行业排污许可证监管；加强对柴油车、非道路移动源污染治理；开展VOCs重点企业治理；禁止露天焚烧秸秆等措施，</w:t>
      </w:r>
      <w:r>
        <w:rPr>
          <w:rFonts w:hint="eastAsia"/>
        </w:rPr>
        <w:t>通过采取以上措施，</w:t>
      </w:r>
      <w:r>
        <w:rPr>
          <w:rFonts w:hint="eastAsia"/>
          <w:color w:val="000000" w:themeColor="text1"/>
          <w14:textFill>
            <w14:solidFill>
              <w14:schemeClr w14:val="tx1"/>
            </w14:solidFill>
          </w14:textFill>
        </w:rPr>
        <w:t>项目区域环境空气质量将得到改善。</w:t>
      </w:r>
    </w:p>
    <w:p>
      <w:pPr>
        <w:pStyle w:val="454"/>
        <w:ind w:firstLine="602"/>
        <w:rPr>
          <w:color w:val="auto"/>
        </w:rPr>
      </w:pPr>
      <w:r>
        <w:rPr>
          <w:color w:val="auto"/>
        </w:rPr>
        <w:t>环境空气质量现状</w:t>
      </w:r>
      <w:r>
        <w:rPr>
          <w:rFonts w:hint="eastAsia"/>
          <w:color w:val="auto"/>
          <w:lang w:val="en-US"/>
        </w:rPr>
        <w:t>补充</w:t>
      </w:r>
      <w:r>
        <w:rPr>
          <w:color w:val="auto"/>
        </w:rPr>
        <w:t>监测</w:t>
      </w:r>
    </w:p>
    <w:p>
      <w:pPr>
        <w:pStyle w:val="458"/>
        <w:ind w:firstLine="480"/>
        <w:rPr>
          <w:rFonts w:cs="Times New Roman"/>
          <w:color w:val="auto"/>
        </w:rPr>
      </w:pPr>
      <w:r>
        <w:rPr>
          <w:rFonts w:cs="Times New Roman"/>
          <w:color w:val="auto"/>
        </w:rPr>
        <w:t>本次评价委托湖南乾诚检测有限公司于</w:t>
      </w:r>
      <w:r>
        <w:rPr>
          <w:rFonts w:cs="Times New Roman"/>
          <w:color w:val="auto"/>
          <w:spacing w:val="-43"/>
        </w:rPr>
        <w:t xml:space="preserve"> </w:t>
      </w:r>
      <w:r>
        <w:rPr>
          <w:rFonts w:cs="Times New Roman"/>
          <w:color w:val="auto"/>
        </w:rPr>
        <w:t>2020年7月</w:t>
      </w:r>
      <w:r>
        <w:rPr>
          <w:rFonts w:cs="Times New Roman"/>
          <w:color w:val="auto"/>
          <w:spacing w:val="-44"/>
        </w:rPr>
        <w:t xml:space="preserve"> </w:t>
      </w:r>
      <w:r>
        <w:rPr>
          <w:rFonts w:cs="Times New Roman"/>
          <w:color w:val="auto"/>
        </w:rPr>
        <w:t>31日~8月</w:t>
      </w:r>
      <w:r>
        <w:rPr>
          <w:rFonts w:cs="Times New Roman"/>
          <w:color w:val="auto"/>
          <w:spacing w:val="-44"/>
        </w:rPr>
        <w:t xml:space="preserve"> </w:t>
      </w:r>
      <w:r>
        <w:rPr>
          <w:rFonts w:cs="Times New Roman"/>
          <w:color w:val="auto"/>
        </w:rPr>
        <w:t>6日期间针对码头位置的大气环境进行了现状监测。</w:t>
      </w:r>
    </w:p>
    <w:p>
      <w:pPr>
        <w:pStyle w:val="458"/>
        <w:ind w:firstLine="482"/>
        <w:rPr>
          <w:rFonts w:cs="Times New Roman"/>
          <w:b/>
          <w:color w:val="auto"/>
        </w:rPr>
      </w:pPr>
      <w:r>
        <w:rPr>
          <w:rFonts w:hint="eastAsia" w:cs="Times New Roman"/>
          <w:b/>
          <w:color w:val="auto"/>
        </w:rPr>
        <w:t>（1）</w:t>
      </w:r>
      <w:r>
        <w:rPr>
          <w:rFonts w:cs="Times New Roman"/>
          <w:b/>
          <w:color w:val="auto"/>
        </w:rPr>
        <w:t>监测布点</w:t>
      </w:r>
    </w:p>
    <w:p>
      <w:pPr>
        <w:pStyle w:val="458"/>
        <w:ind w:firstLine="480"/>
        <w:rPr>
          <w:rFonts w:cs="Times New Roman"/>
          <w:color w:val="auto"/>
        </w:rPr>
      </w:pPr>
      <w:r>
        <w:rPr>
          <w:rFonts w:cs="Times New Roman"/>
          <w:color w:val="auto"/>
        </w:rPr>
        <w:t xml:space="preserve">本次现状调查共布设 </w:t>
      </w:r>
      <w:r>
        <w:rPr>
          <w:rFonts w:hint="eastAsia" w:cs="Times New Roman"/>
          <w:color w:val="auto"/>
        </w:rPr>
        <w:t>2</w:t>
      </w:r>
      <w:r>
        <w:rPr>
          <w:rFonts w:cs="Times New Roman"/>
          <w:color w:val="auto"/>
        </w:rPr>
        <w:t xml:space="preserve"> 个环境空气监测点，G1为厂址处。</w:t>
      </w:r>
    </w:p>
    <w:p>
      <w:pPr>
        <w:pStyle w:val="3583"/>
        <w:spacing w:line="240" w:lineRule="auto"/>
        <w:ind w:left="0"/>
      </w:pPr>
      <w:r>
        <w:t>大气质量现状监测点一览表</w:t>
      </w:r>
    </w:p>
    <w:tbl>
      <w:tblPr>
        <w:tblStyle w:val="87"/>
        <w:tblW w:w="9041" w:type="dxa"/>
        <w:tblInd w:w="152" w:type="dxa"/>
        <w:tblLayout w:type="fixed"/>
        <w:tblCellMar>
          <w:top w:w="0" w:type="dxa"/>
          <w:left w:w="0" w:type="dxa"/>
          <w:bottom w:w="0" w:type="dxa"/>
          <w:right w:w="0" w:type="dxa"/>
        </w:tblCellMar>
      </w:tblPr>
      <w:tblGrid>
        <w:gridCol w:w="1353"/>
        <w:gridCol w:w="4188"/>
        <w:gridCol w:w="3500"/>
      </w:tblGrid>
      <w:tr>
        <w:tblPrEx>
          <w:tblCellMar>
            <w:top w:w="0" w:type="dxa"/>
            <w:left w:w="0" w:type="dxa"/>
            <w:bottom w:w="0" w:type="dxa"/>
            <w:right w:w="0" w:type="dxa"/>
          </w:tblCellMar>
        </w:tblPrEx>
        <w:trPr>
          <w:trHeight w:val="360" w:hRule="exact"/>
        </w:trPr>
        <w:tc>
          <w:tcPr>
            <w:tcW w:w="1353" w:type="dxa"/>
            <w:tcBorders>
              <w:top w:val="single" w:color="000000" w:sz="12" w:space="0"/>
              <w:left w:val="single" w:color="000000" w:sz="12" w:space="0"/>
              <w:bottom w:val="single" w:color="000000" w:sz="4" w:space="0"/>
              <w:right w:val="single" w:color="000000" w:sz="4" w:space="0"/>
            </w:tcBorders>
            <w:vAlign w:val="center"/>
          </w:tcPr>
          <w:p>
            <w:pPr>
              <w:tabs>
                <w:tab w:val="clear" w:pos="480"/>
              </w:tabs>
              <w:kinsoku w:val="0"/>
              <w:overflowPunct w:val="0"/>
              <w:autoSpaceDE w:val="0"/>
              <w:autoSpaceDN w:val="0"/>
              <w:adjustRightInd w:val="0"/>
              <w:spacing w:line="267" w:lineRule="exact"/>
              <w:ind w:right="10" w:firstLine="0" w:firstLineChars="0"/>
              <w:jc w:val="center"/>
              <w:rPr>
                <w:kern w:val="0"/>
              </w:rPr>
            </w:pPr>
            <w:r>
              <w:rPr>
                <w:spacing w:val="1"/>
                <w:kern w:val="0"/>
                <w:sz w:val="21"/>
                <w:szCs w:val="21"/>
              </w:rPr>
              <w:t>序号</w:t>
            </w:r>
          </w:p>
        </w:tc>
        <w:tc>
          <w:tcPr>
            <w:tcW w:w="4188" w:type="dxa"/>
            <w:tcBorders>
              <w:top w:val="single" w:color="000000" w:sz="12" w:space="0"/>
              <w:left w:val="single" w:color="000000" w:sz="4" w:space="0"/>
              <w:bottom w:val="single" w:color="000000" w:sz="4" w:space="0"/>
              <w:right w:val="single" w:color="000000" w:sz="4" w:space="0"/>
            </w:tcBorders>
            <w:vAlign w:val="center"/>
          </w:tcPr>
          <w:p>
            <w:pPr>
              <w:tabs>
                <w:tab w:val="clear" w:pos="480"/>
              </w:tabs>
              <w:kinsoku w:val="0"/>
              <w:overflowPunct w:val="0"/>
              <w:autoSpaceDE w:val="0"/>
              <w:autoSpaceDN w:val="0"/>
              <w:adjustRightInd w:val="0"/>
              <w:spacing w:line="267" w:lineRule="exact"/>
              <w:ind w:firstLine="0" w:firstLineChars="0"/>
              <w:jc w:val="center"/>
              <w:rPr>
                <w:kern w:val="0"/>
              </w:rPr>
            </w:pPr>
            <w:r>
              <w:rPr>
                <w:spacing w:val="1"/>
                <w:kern w:val="0"/>
                <w:sz w:val="21"/>
                <w:szCs w:val="21"/>
              </w:rPr>
              <w:t>监测位置</w:t>
            </w:r>
          </w:p>
        </w:tc>
        <w:tc>
          <w:tcPr>
            <w:tcW w:w="3500" w:type="dxa"/>
            <w:tcBorders>
              <w:top w:val="single" w:color="000000" w:sz="12" w:space="0"/>
              <w:left w:val="single" w:color="000000" w:sz="4" w:space="0"/>
              <w:bottom w:val="single" w:color="000000" w:sz="4" w:space="0"/>
              <w:right w:val="single" w:color="000000" w:sz="12" w:space="0"/>
            </w:tcBorders>
            <w:vAlign w:val="center"/>
          </w:tcPr>
          <w:p>
            <w:pPr>
              <w:tabs>
                <w:tab w:val="clear" w:pos="480"/>
              </w:tabs>
              <w:kinsoku w:val="0"/>
              <w:overflowPunct w:val="0"/>
              <w:autoSpaceDE w:val="0"/>
              <w:autoSpaceDN w:val="0"/>
              <w:adjustRightInd w:val="0"/>
              <w:spacing w:line="267" w:lineRule="exact"/>
              <w:ind w:left="9" w:firstLine="0" w:firstLineChars="0"/>
              <w:jc w:val="center"/>
              <w:rPr>
                <w:kern w:val="0"/>
              </w:rPr>
            </w:pPr>
            <w:r>
              <w:rPr>
                <w:spacing w:val="1"/>
                <w:kern w:val="0"/>
                <w:sz w:val="21"/>
                <w:szCs w:val="21"/>
              </w:rPr>
              <w:t>经纬度</w:t>
            </w:r>
            <w:r>
              <w:rPr>
                <w:kern w:val="0"/>
                <w:sz w:val="21"/>
                <w:szCs w:val="21"/>
              </w:rPr>
              <w:t>坐标</w:t>
            </w:r>
          </w:p>
        </w:tc>
      </w:tr>
      <w:tr>
        <w:tblPrEx>
          <w:tblCellMar>
            <w:top w:w="0" w:type="dxa"/>
            <w:left w:w="0" w:type="dxa"/>
            <w:bottom w:w="0" w:type="dxa"/>
            <w:right w:w="0" w:type="dxa"/>
          </w:tblCellMar>
        </w:tblPrEx>
        <w:trPr>
          <w:trHeight w:val="361" w:hRule="exact"/>
        </w:trPr>
        <w:tc>
          <w:tcPr>
            <w:tcW w:w="1353" w:type="dxa"/>
            <w:tcBorders>
              <w:top w:val="single" w:color="000000" w:sz="4" w:space="0"/>
              <w:left w:val="single" w:color="000000" w:sz="12" w:space="0"/>
              <w:bottom w:val="single" w:color="000000" w:sz="4" w:space="0"/>
              <w:right w:val="single" w:color="000000" w:sz="4" w:space="0"/>
            </w:tcBorders>
            <w:vAlign w:val="center"/>
          </w:tcPr>
          <w:p>
            <w:pPr>
              <w:tabs>
                <w:tab w:val="clear" w:pos="480"/>
              </w:tabs>
              <w:kinsoku w:val="0"/>
              <w:overflowPunct w:val="0"/>
              <w:autoSpaceDE w:val="0"/>
              <w:autoSpaceDN w:val="0"/>
              <w:adjustRightInd w:val="0"/>
              <w:spacing w:before="42" w:line="240" w:lineRule="auto"/>
              <w:ind w:right="11" w:firstLine="0" w:firstLineChars="0"/>
              <w:jc w:val="center"/>
              <w:rPr>
                <w:kern w:val="0"/>
              </w:rPr>
            </w:pPr>
            <w:r>
              <w:rPr>
                <w:spacing w:val="-1"/>
                <w:kern w:val="0"/>
                <w:sz w:val="21"/>
                <w:szCs w:val="21"/>
              </w:rPr>
              <w:t>G1</w:t>
            </w:r>
          </w:p>
        </w:tc>
        <w:tc>
          <w:tcPr>
            <w:tcW w:w="4188" w:type="dxa"/>
            <w:tcBorders>
              <w:top w:val="single" w:color="000000" w:sz="4" w:space="0"/>
              <w:left w:val="single" w:color="000000" w:sz="4" w:space="0"/>
              <w:bottom w:val="single" w:color="000000" w:sz="4" w:space="0"/>
              <w:right w:val="single" w:color="000000" w:sz="4" w:space="0"/>
            </w:tcBorders>
            <w:vAlign w:val="center"/>
          </w:tcPr>
          <w:p>
            <w:pPr>
              <w:tabs>
                <w:tab w:val="clear" w:pos="480"/>
              </w:tabs>
              <w:kinsoku w:val="0"/>
              <w:overflowPunct w:val="0"/>
              <w:autoSpaceDE w:val="0"/>
              <w:autoSpaceDN w:val="0"/>
              <w:adjustRightInd w:val="0"/>
              <w:spacing w:line="268" w:lineRule="exact"/>
              <w:ind w:firstLine="0" w:firstLineChars="0"/>
              <w:jc w:val="center"/>
              <w:rPr>
                <w:kern w:val="0"/>
              </w:rPr>
            </w:pPr>
            <w:r>
              <w:rPr>
                <w:kern w:val="0"/>
                <w:sz w:val="21"/>
                <w:szCs w:val="21"/>
              </w:rPr>
              <w:t>厂址</w:t>
            </w:r>
          </w:p>
        </w:tc>
        <w:tc>
          <w:tcPr>
            <w:tcW w:w="3500" w:type="dxa"/>
            <w:tcBorders>
              <w:top w:val="single" w:color="000000" w:sz="4" w:space="0"/>
              <w:left w:val="single" w:color="000000" w:sz="4" w:space="0"/>
              <w:bottom w:val="single" w:color="000000" w:sz="4" w:space="0"/>
              <w:right w:val="single" w:color="000000" w:sz="12" w:space="0"/>
            </w:tcBorders>
            <w:vAlign w:val="center"/>
          </w:tcPr>
          <w:p>
            <w:pPr>
              <w:tabs>
                <w:tab w:val="clear" w:pos="480"/>
              </w:tabs>
              <w:kinsoku w:val="0"/>
              <w:overflowPunct w:val="0"/>
              <w:autoSpaceDE w:val="0"/>
              <w:autoSpaceDN w:val="0"/>
              <w:adjustRightInd w:val="0"/>
              <w:spacing w:line="284" w:lineRule="exact"/>
              <w:ind w:left="102" w:firstLine="0" w:firstLineChars="0"/>
              <w:jc w:val="center"/>
              <w:rPr>
                <w:kern w:val="0"/>
              </w:rPr>
            </w:pPr>
            <w:r>
              <w:rPr>
                <w:kern w:val="0"/>
                <w:sz w:val="21"/>
                <w:szCs w:val="21"/>
              </w:rPr>
              <w:t>E: 113°16'22.48</w:t>
            </w:r>
            <w:r>
              <w:rPr>
                <w:rFonts w:eastAsiaTheme="minorEastAsia"/>
                <w:kern w:val="0"/>
                <w:sz w:val="21"/>
                <w:szCs w:val="21"/>
              </w:rPr>
              <w:t>"</w:t>
            </w:r>
            <w:r>
              <w:rPr>
                <w:kern w:val="0"/>
                <w:sz w:val="21"/>
                <w:szCs w:val="21"/>
              </w:rPr>
              <w:t>，N: 29°33'51.21</w:t>
            </w:r>
            <w:r>
              <w:rPr>
                <w:rFonts w:eastAsiaTheme="minorEastAsia"/>
                <w:kern w:val="0"/>
                <w:sz w:val="21"/>
                <w:szCs w:val="21"/>
              </w:rPr>
              <w:t>"</w:t>
            </w:r>
          </w:p>
        </w:tc>
      </w:tr>
      <w:tr>
        <w:tblPrEx>
          <w:tblCellMar>
            <w:top w:w="0" w:type="dxa"/>
            <w:left w:w="0" w:type="dxa"/>
            <w:bottom w:w="0" w:type="dxa"/>
            <w:right w:w="0" w:type="dxa"/>
          </w:tblCellMar>
        </w:tblPrEx>
        <w:trPr>
          <w:trHeight w:val="301" w:hRule="exact"/>
        </w:trPr>
        <w:tc>
          <w:tcPr>
            <w:tcW w:w="1353" w:type="dxa"/>
            <w:tcBorders>
              <w:top w:val="single" w:color="000000" w:sz="4" w:space="0"/>
              <w:left w:val="single" w:color="000000" w:sz="12" w:space="0"/>
              <w:bottom w:val="single" w:color="000000" w:sz="12" w:space="0"/>
              <w:right w:val="single" w:color="000000" w:sz="4" w:space="0"/>
            </w:tcBorders>
            <w:vAlign w:val="center"/>
          </w:tcPr>
          <w:p>
            <w:pPr>
              <w:tabs>
                <w:tab w:val="clear" w:pos="480"/>
              </w:tabs>
              <w:kinsoku w:val="0"/>
              <w:overflowPunct w:val="0"/>
              <w:autoSpaceDE w:val="0"/>
              <w:autoSpaceDN w:val="0"/>
              <w:adjustRightInd w:val="0"/>
              <w:spacing w:before="42" w:line="240" w:lineRule="auto"/>
              <w:ind w:right="11" w:firstLine="0" w:firstLineChars="0"/>
              <w:jc w:val="center"/>
              <w:rPr>
                <w:spacing w:val="-1"/>
                <w:kern w:val="0"/>
                <w:sz w:val="21"/>
                <w:szCs w:val="21"/>
              </w:rPr>
            </w:pPr>
            <w:r>
              <w:rPr>
                <w:rFonts w:hint="eastAsia"/>
                <w:spacing w:val="-1"/>
                <w:kern w:val="0"/>
                <w:sz w:val="21"/>
                <w:szCs w:val="21"/>
              </w:rPr>
              <w:t>G2</w:t>
            </w:r>
          </w:p>
        </w:tc>
        <w:tc>
          <w:tcPr>
            <w:tcW w:w="4188" w:type="dxa"/>
            <w:tcBorders>
              <w:top w:val="single" w:color="000000" w:sz="4" w:space="0"/>
              <w:left w:val="single" w:color="000000" w:sz="4" w:space="0"/>
              <w:bottom w:val="single" w:color="000000" w:sz="12" w:space="0"/>
              <w:right w:val="single" w:color="000000" w:sz="4" w:space="0"/>
            </w:tcBorders>
            <w:vAlign w:val="center"/>
          </w:tcPr>
          <w:p>
            <w:pPr>
              <w:tabs>
                <w:tab w:val="clear" w:pos="480"/>
              </w:tabs>
              <w:kinsoku w:val="0"/>
              <w:overflowPunct w:val="0"/>
              <w:autoSpaceDE w:val="0"/>
              <w:autoSpaceDN w:val="0"/>
              <w:adjustRightInd w:val="0"/>
              <w:spacing w:line="268" w:lineRule="exact"/>
              <w:ind w:firstLine="0" w:firstLineChars="0"/>
              <w:jc w:val="center"/>
              <w:rPr>
                <w:kern w:val="0"/>
                <w:sz w:val="21"/>
                <w:szCs w:val="21"/>
              </w:rPr>
            </w:pPr>
            <w:r>
              <w:rPr>
                <w:rFonts w:hint="eastAsia"/>
                <w:kern w:val="0"/>
                <w:sz w:val="21"/>
                <w:szCs w:val="21"/>
              </w:rPr>
              <w:t>常年主导风向下风向距离本项目约2.7km</w:t>
            </w:r>
          </w:p>
        </w:tc>
        <w:tc>
          <w:tcPr>
            <w:tcW w:w="3500" w:type="dxa"/>
            <w:tcBorders>
              <w:top w:val="single" w:color="000000" w:sz="4" w:space="0"/>
              <w:left w:val="single" w:color="000000" w:sz="4" w:space="0"/>
              <w:bottom w:val="single" w:color="000000" w:sz="12" w:space="0"/>
              <w:right w:val="single" w:color="000000" w:sz="12" w:space="0"/>
            </w:tcBorders>
            <w:vAlign w:val="center"/>
          </w:tcPr>
          <w:p>
            <w:pPr>
              <w:tabs>
                <w:tab w:val="clear" w:pos="480"/>
              </w:tabs>
              <w:kinsoku w:val="0"/>
              <w:overflowPunct w:val="0"/>
              <w:autoSpaceDE w:val="0"/>
              <w:autoSpaceDN w:val="0"/>
              <w:adjustRightInd w:val="0"/>
              <w:spacing w:line="284" w:lineRule="exact"/>
              <w:ind w:left="102" w:firstLine="0" w:firstLineChars="0"/>
              <w:jc w:val="center"/>
              <w:rPr>
                <w:kern w:val="0"/>
                <w:sz w:val="21"/>
                <w:szCs w:val="21"/>
              </w:rPr>
            </w:pPr>
            <w:r>
              <w:rPr>
                <w:kern w:val="0"/>
                <w:sz w:val="21"/>
                <w:szCs w:val="21"/>
              </w:rPr>
              <w:t>E:113°12′25.04″，N: 29°29′41.79″</w:t>
            </w:r>
          </w:p>
        </w:tc>
      </w:tr>
    </w:tbl>
    <w:p>
      <w:pPr>
        <w:pStyle w:val="458"/>
        <w:ind w:firstLine="482"/>
        <w:rPr>
          <w:rFonts w:cs="Times New Roman"/>
          <w:b/>
          <w:color w:val="auto"/>
        </w:rPr>
      </w:pPr>
      <w:r>
        <w:rPr>
          <w:rFonts w:hint="eastAsia" w:cs="Times New Roman"/>
          <w:b/>
          <w:color w:val="auto"/>
        </w:rPr>
        <w:t>（2）监测因子</w:t>
      </w:r>
    </w:p>
    <w:p>
      <w:pPr>
        <w:pStyle w:val="458"/>
        <w:ind w:firstLine="480"/>
        <w:rPr>
          <w:rFonts w:cs="Times New Roman"/>
          <w:color w:val="auto"/>
        </w:rPr>
      </w:pPr>
      <w:r>
        <w:rPr>
          <w:rFonts w:cs="Times New Roman"/>
          <w:color w:val="auto"/>
        </w:rPr>
        <w:t>TSP。</w:t>
      </w:r>
    </w:p>
    <w:p>
      <w:pPr>
        <w:pStyle w:val="458"/>
        <w:ind w:firstLine="482"/>
        <w:rPr>
          <w:rFonts w:cs="Times New Roman"/>
          <w:b/>
          <w:color w:val="auto"/>
        </w:rPr>
      </w:pPr>
      <w:r>
        <w:rPr>
          <w:rFonts w:hint="eastAsia" w:cs="Times New Roman"/>
          <w:b/>
          <w:color w:val="auto"/>
        </w:rPr>
        <w:t>（3）执行标准</w:t>
      </w:r>
    </w:p>
    <w:p>
      <w:pPr>
        <w:pStyle w:val="458"/>
        <w:ind w:firstLine="480"/>
        <w:rPr>
          <w:rFonts w:cs="Times New Roman"/>
          <w:color w:val="auto"/>
        </w:rPr>
      </w:pPr>
      <w:r>
        <w:rPr>
          <w:rFonts w:cs="Times New Roman"/>
          <w:color w:val="auto"/>
        </w:rPr>
        <w:t>《环境空气质量标准》（GB3095-2012）中二级标准日均值。</w:t>
      </w:r>
    </w:p>
    <w:p>
      <w:pPr>
        <w:pStyle w:val="458"/>
        <w:ind w:firstLine="482"/>
        <w:rPr>
          <w:rFonts w:cs="Times New Roman"/>
          <w:b/>
          <w:color w:val="auto"/>
        </w:rPr>
      </w:pPr>
      <w:r>
        <w:rPr>
          <w:rFonts w:hint="eastAsia" w:cs="Times New Roman"/>
          <w:b/>
          <w:color w:val="auto"/>
        </w:rPr>
        <w:t>（4）监测时间、频次</w:t>
      </w:r>
    </w:p>
    <w:p>
      <w:pPr>
        <w:pStyle w:val="458"/>
        <w:ind w:firstLine="480"/>
        <w:rPr>
          <w:rFonts w:cs="Times New Roman"/>
          <w:color w:val="auto"/>
        </w:rPr>
      </w:pPr>
      <w:r>
        <w:rPr>
          <w:rFonts w:cs="Times New Roman"/>
          <w:color w:val="auto"/>
        </w:rPr>
        <w:t>2020年7月31日~8月6日连续监测7天，每天一次。</w:t>
      </w:r>
    </w:p>
    <w:p>
      <w:pPr>
        <w:pStyle w:val="458"/>
        <w:ind w:firstLine="482"/>
        <w:rPr>
          <w:rFonts w:cs="Times New Roman"/>
          <w:b/>
          <w:color w:val="auto"/>
        </w:rPr>
      </w:pPr>
      <w:r>
        <w:rPr>
          <w:rFonts w:hint="eastAsia" w:cs="Times New Roman"/>
          <w:b/>
          <w:color w:val="auto"/>
        </w:rPr>
        <w:t>（5）采样和分析方法</w:t>
      </w:r>
    </w:p>
    <w:p>
      <w:pPr>
        <w:pStyle w:val="458"/>
        <w:ind w:firstLine="480"/>
        <w:rPr>
          <w:rFonts w:cs="Times New Roman"/>
          <w:color w:val="auto"/>
        </w:rPr>
      </w:pPr>
      <w:r>
        <w:rPr>
          <w:rFonts w:cs="Times New Roman"/>
          <w:color w:val="auto"/>
        </w:rPr>
        <w:t>按国家《环境空气质量标准》（3095-2012）、《空气和废气监测分析方法（第四版）》等相关标准和规范进行，见下表。</w:t>
      </w:r>
    </w:p>
    <w:p>
      <w:pPr>
        <w:pStyle w:val="3583"/>
        <w:spacing w:line="240" w:lineRule="auto"/>
        <w:ind w:left="0"/>
      </w:pPr>
      <w:r>
        <w:t>大气污染物分析方法一览表</w:t>
      </w:r>
    </w:p>
    <w:tbl>
      <w:tblPr>
        <w:tblStyle w:val="3596"/>
        <w:tblW w:w="904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45"/>
        <w:gridCol w:w="3801"/>
        <w:gridCol w:w="2310"/>
        <w:gridCol w:w="13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1" w:hRule="exact"/>
          <w:jc w:val="center"/>
        </w:trPr>
        <w:tc>
          <w:tcPr>
            <w:tcW w:w="1545" w:type="dxa"/>
            <w:vAlign w:val="center"/>
          </w:tcPr>
          <w:p>
            <w:pPr>
              <w:pStyle w:val="2691"/>
            </w:pPr>
            <w:r>
              <w:t>分析项目</w:t>
            </w:r>
          </w:p>
        </w:tc>
        <w:tc>
          <w:tcPr>
            <w:tcW w:w="3801" w:type="dxa"/>
            <w:vAlign w:val="center"/>
          </w:tcPr>
          <w:p>
            <w:pPr>
              <w:pStyle w:val="2691"/>
            </w:pPr>
            <w:r>
              <w:t>分析方法名称及来源</w:t>
            </w:r>
          </w:p>
        </w:tc>
        <w:tc>
          <w:tcPr>
            <w:tcW w:w="2310" w:type="dxa"/>
            <w:vAlign w:val="center"/>
          </w:tcPr>
          <w:p>
            <w:pPr>
              <w:pStyle w:val="2691"/>
            </w:pPr>
            <w:r>
              <w:t>仪器型号</w:t>
            </w:r>
          </w:p>
        </w:tc>
        <w:tc>
          <w:tcPr>
            <w:tcW w:w="1385" w:type="dxa"/>
            <w:vAlign w:val="center"/>
          </w:tcPr>
          <w:p>
            <w:pPr>
              <w:pStyle w:val="2691"/>
              <w:rPr>
                <w:kern w:val="0"/>
              </w:rPr>
            </w:pPr>
            <w:r>
              <w:t>最低检出限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1" w:hRule="exact"/>
          <w:jc w:val="center"/>
        </w:trPr>
        <w:tc>
          <w:tcPr>
            <w:tcW w:w="1545" w:type="dxa"/>
            <w:vAlign w:val="center"/>
          </w:tcPr>
          <w:p>
            <w:pPr>
              <w:pStyle w:val="2691"/>
            </w:pPr>
            <w:r>
              <w:t>总悬浮颗粒物</w:t>
            </w:r>
          </w:p>
        </w:tc>
        <w:tc>
          <w:tcPr>
            <w:tcW w:w="3801" w:type="dxa"/>
            <w:vAlign w:val="center"/>
          </w:tcPr>
          <w:p>
            <w:pPr>
              <w:pStyle w:val="2691"/>
            </w:pPr>
            <w:r>
              <w:t>环境空气 总悬浮颗粒物的测定 重量法</w:t>
            </w:r>
          </w:p>
          <w:p>
            <w:pPr>
              <w:pStyle w:val="2691"/>
            </w:pPr>
            <w:r>
              <w:t>（GB/T 15432-1995）</w:t>
            </w:r>
          </w:p>
        </w:tc>
        <w:tc>
          <w:tcPr>
            <w:tcW w:w="2310" w:type="dxa"/>
            <w:vAlign w:val="center"/>
          </w:tcPr>
          <w:p>
            <w:pPr>
              <w:pStyle w:val="2691"/>
            </w:pPr>
            <w:r>
              <w:t>CP214万分之一天平</w:t>
            </w:r>
          </w:p>
        </w:tc>
        <w:tc>
          <w:tcPr>
            <w:tcW w:w="1385" w:type="dxa"/>
            <w:vAlign w:val="center"/>
          </w:tcPr>
          <w:p>
            <w:pPr>
              <w:tabs>
                <w:tab w:val="clear" w:pos="480"/>
              </w:tabs>
              <w:kinsoku w:val="0"/>
              <w:overflowPunct w:val="0"/>
              <w:autoSpaceDE w:val="0"/>
              <w:autoSpaceDN w:val="0"/>
              <w:adjustRightInd w:val="0"/>
              <w:spacing w:line="240" w:lineRule="auto"/>
              <w:ind w:firstLine="0" w:firstLineChars="0"/>
              <w:jc w:val="center"/>
              <w:rPr>
                <w:kern w:val="0"/>
                <w:sz w:val="21"/>
              </w:rPr>
            </w:pPr>
            <w:r>
              <w:rPr>
                <w:kern w:val="0"/>
                <w:sz w:val="21"/>
                <w:szCs w:val="21"/>
              </w:rPr>
              <w:t>0.001</w:t>
            </w:r>
            <w:r>
              <w:rPr>
                <w:spacing w:val="-2"/>
                <w:kern w:val="0"/>
                <w:sz w:val="21"/>
                <w:szCs w:val="21"/>
              </w:rPr>
              <w:t>m</w:t>
            </w:r>
            <w:r>
              <w:rPr>
                <w:kern w:val="0"/>
                <w:sz w:val="21"/>
                <w:szCs w:val="21"/>
              </w:rPr>
              <w:t>g</w:t>
            </w:r>
            <w:r>
              <w:rPr>
                <w:spacing w:val="2"/>
                <w:kern w:val="0"/>
                <w:sz w:val="21"/>
                <w:szCs w:val="21"/>
              </w:rPr>
              <w:t>/</w:t>
            </w:r>
            <w:r>
              <w:rPr>
                <w:spacing w:val="-3"/>
                <w:kern w:val="0"/>
                <w:sz w:val="21"/>
                <w:szCs w:val="21"/>
              </w:rPr>
              <w:t>m</w:t>
            </w:r>
            <w:r>
              <w:rPr>
                <w:kern w:val="0"/>
                <w:position w:val="6"/>
                <w:sz w:val="14"/>
                <w:szCs w:val="14"/>
              </w:rPr>
              <w:t>3</w:t>
            </w:r>
          </w:p>
        </w:tc>
      </w:tr>
    </w:tbl>
    <w:p>
      <w:pPr>
        <w:pStyle w:val="454"/>
        <w:ind w:firstLine="602"/>
        <w:rPr>
          <w:color w:val="auto"/>
        </w:rPr>
      </w:pPr>
      <w:r>
        <w:rPr>
          <w:color w:val="auto"/>
        </w:rPr>
        <w:t>环境空气质量现状</w:t>
      </w:r>
      <w:r>
        <w:rPr>
          <w:rFonts w:hint="eastAsia"/>
          <w:color w:val="auto"/>
          <w:lang w:val="en-US" w:eastAsia="zh-CN"/>
        </w:rPr>
        <w:t>补充监测结果</w:t>
      </w:r>
      <w:r>
        <w:rPr>
          <w:color w:val="auto"/>
        </w:rPr>
        <w:t>评价</w:t>
      </w:r>
    </w:p>
    <w:bookmarkEnd w:id="114"/>
    <w:bookmarkEnd w:id="115"/>
    <w:bookmarkEnd w:id="116"/>
    <w:bookmarkEnd w:id="117"/>
    <w:p>
      <w:pPr>
        <w:pStyle w:val="456"/>
        <w:ind w:firstLine="482"/>
      </w:pPr>
      <w:r>
        <w:t>评价标准</w:t>
      </w:r>
    </w:p>
    <w:p>
      <w:pPr>
        <w:pStyle w:val="458"/>
        <w:ind w:firstLine="480"/>
        <w:rPr>
          <w:rFonts w:cs="Times New Roman"/>
          <w:color w:val="auto"/>
        </w:rPr>
      </w:pPr>
      <w:r>
        <w:rPr>
          <w:rFonts w:cs="Times New Roman"/>
          <w:color w:val="auto"/>
        </w:rPr>
        <w:t>环境空气质量评价标准执行《环境空气质量标准》（GB3095-2012）中的二级标准。</w:t>
      </w:r>
    </w:p>
    <w:p>
      <w:pPr>
        <w:pStyle w:val="456"/>
        <w:ind w:firstLine="482"/>
      </w:pPr>
      <w:r>
        <w:t>评价方法</w:t>
      </w:r>
    </w:p>
    <w:p>
      <w:pPr>
        <w:ind w:firstLine="480"/>
      </w:pPr>
      <w:r>
        <w:t>根据《环境影响评价技术导则——大气环境》（HJ2.2-2008）第7.3.6.1条的规定，环境空气监测结果统计分析应以列表的方式给出各监测点大气污染物的不同取值时间的质量浓度变化范围，计算并列表给出各取值时间最大质量浓度值占相应标准质量浓度限值的百分比和超标率，并评价达标情况。</w:t>
      </w:r>
    </w:p>
    <w:p>
      <w:pPr>
        <w:ind w:firstLine="480"/>
      </w:pPr>
      <w:r>
        <w:t>最大质量浓度值占相应标准质量浓度限值的百分比按下式计算：</w:t>
      </w:r>
    </w:p>
    <w:p>
      <w:pPr>
        <w:ind w:firstLine="480"/>
        <w:jc w:val="center"/>
      </w:pPr>
      <w:r>
        <w:rPr>
          <w:position w:val="-30"/>
        </w:rPr>
        <w:object>
          <v:shape id="_x0000_i1028" o:spt="75" type="#_x0000_t75" style="height:36.45pt;width:72pt;" o:ole="t" filled="f" o:preferrelative="t" stroked="f" coordsize="21600,21600">
            <v:path/>
            <v:fill on="f" focussize="0,0"/>
            <v:stroke on="f" joinstyle="miter"/>
            <v:imagedata r:id="rId72" o:title=""/>
            <o:lock v:ext="edit" aspectratio="t"/>
            <w10:wrap type="none"/>
            <w10:anchorlock/>
          </v:shape>
          <o:OLEObject Type="Embed" ProgID="Equations" ShapeID="_x0000_i1028" DrawAspect="Content" ObjectID="_1468075728" r:id="rId71">
            <o:LockedField>false</o:LockedField>
          </o:OLEObject>
        </w:object>
      </w:r>
    </w:p>
    <w:p>
      <w:pPr>
        <w:ind w:firstLine="480"/>
      </w:pPr>
      <w:r>
        <w:t>式中：P</w:t>
      </w:r>
      <w:r>
        <w:rPr>
          <w:vertAlign w:val="subscript"/>
        </w:rPr>
        <w:t>i</w:t>
      </w:r>
      <w:r>
        <w:t>：最大质量浓度值占标准质量浓度限值的百分比，%；</w:t>
      </w:r>
    </w:p>
    <w:p>
      <w:pPr>
        <w:ind w:firstLine="1200" w:firstLineChars="500"/>
      </w:pPr>
      <w:r>
        <w:t>C</w:t>
      </w:r>
      <w:r>
        <w:rPr>
          <w:vertAlign w:val="subscript"/>
        </w:rPr>
        <w:t>i</w:t>
      </w:r>
      <w:r>
        <w:t>：监测项目的最大质量浓度值，mg/m</w:t>
      </w:r>
      <w:r>
        <w:rPr>
          <w:vertAlign w:val="superscript"/>
        </w:rPr>
        <w:t>3</w:t>
      </w:r>
      <w:r>
        <w:t>；</w:t>
      </w:r>
    </w:p>
    <w:p>
      <w:pPr>
        <w:ind w:firstLine="1200" w:firstLineChars="500"/>
      </w:pPr>
      <w:r>
        <w:t>C</w:t>
      </w:r>
      <w:r>
        <w:rPr>
          <w:vertAlign w:val="subscript"/>
        </w:rPr>
        <w:t>oi</w:t>
      </w:r>
      <w:r>
        <w:t>：测项目的相应的环境空气质量标准，mg/m</w:t>
      </w:r>
      <w:r>
        <w:rPr>
          <w:vertAlign w:val="superscript"/>
        </w:rPr>
        <w:t>3</w:t>
      </w:r>
      <w:r>
        <w:t>。</w:t>
      </w:r>
    </w:p>
    <w:p>
      <w:pPr>
        <w:pStyle w:val="458"/>
        <w:ind w:firstLine="480"/>
        <w:rPr>
          <w:rFonts w:cs="Times New Roman"/>
          <w:color w:val="auto"/>
        </w:rPr>
      </w:pPr>
      <w:r>
        <w:rPr>
          <w:rFonts w:cs="Times New Roman"/>
          <w:color w:val="auto"/>
        </w:rPr>
        <w:t>Pi&lt;100%表示污染物浓度未超评价标准，Pi&gt;100%表示污染物浓度超出评价标准。Pi越大，超标越严重。</w:t>
      </w:r>
    </w:p>
    <w:p>
      <w:pPr>
        <w:pStyle w:val="456"/>
        <w:ind w:firstLine="482"/>
      </w:pPr>
      <w:r>
        <w:t>评价结果及小结</w:t>
      </w:r>
    </w:p>
    <w:p>
      <w:pPr>
        <w:pStyle w:val="3583"/>
        <w:spacing w:line="240" w:lineRule="auto"/>
        <w:ind w:left="0"/>
      </w:pPr>
      <w:r>
        <w:t>TSP的24小时平均浓度监测结果    单位：mg/m</w:t>
      </w:r>
      <w:r>
        <w:rPr>
          <w:vertAlign w:val="superscript"/>
        </w:rPr>
        <w:t>3</w:t>
      </w:r>
    </w:p>
    <w:tbl>
      <w:tblPr>
        <w:tblStyle w:val="3596"/>
        <w:tblW w:w="494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53"/>
        <w:gridCol w:w="1961"/>
        <w:gridCol w:w="2736"/>
        <w:gridCol w:w="27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954" w:type="pct"/>
            <w:vMerge w:val="restart"/>
            <w:vAlign w:val="center"/>
          </w:tcPr>
          <w:p>
            <w:pPr>
              <w:pStyle w:val="2691"/>
              <w:spacing w:line="240" w:lineRule="atLeast"/>
              <w:rPr>
                <w:b/>
                <w:bCs/>
              </w:rPr>
            </w:pPr>
            <w:r>
              <w:rPr>
                <w:b/>
                <w:bCs/>
              </w:rPr>
              <w:t>检测项目</w:t>
            </w:r>
          </w:p>
        </w:tc>
        <w:tc>
          <w:tcPr>
            <w:tcW w:w="1067" w:type="pct"/>
            <w:vMerge w:val="restart"/>
            <w:vAlign w:val="center"/>
          </w:tcPr>
          <w:p>
            <w:pPr>
              <w:pStyle w:val="2691"/>
              <w:spacing w:line="240" w:lineRule="atLeast"/>
              <w:rPr>
                <w:b/>
                <w:bCs/>
              </w:rPr>
            </w:pPr>
            <w:r>
              <w:rPr>
                <w:b/>
                <w:bCs/>
              </w:rPr>
              <w:t>采样时间</w:t>
            </w:r>
          </w:p>
        </w:tc>
        <w:tc>
          <w:tcPr>
            <w:tcW w:w="2978" w:type="pct"/>
            <w:gridSpan w:val="2"/>
            <w:vAlign w:val="center"/>
          </w:tcPr>
          <w:p>
            <w:pPr>
              <w:pStyle w:val="2691"/>
              <w:spacing w:line="240" w:lineRule="atLeast"/>
              <w:rPr>
                <w:b/>
                <w:bCs/>
              </w:rPr>
            </w:pPr>
            <w:r>
              <w:rPr>
                <w:b/>
                <w:bCs/>
              </w:rPr>
              <w:t>检测结果（mg/m</w:t>
            </w:r>
            <w:r>
              <w:rPr>
                <w:b/>
                <w:bCs/>
                <w:vertAlign w:val="superscript"/>
              </w:rPr>
              <w:t>3</w:t>
            </w:r>
            <w:r>
              <w:rPr>
                <w:b/>
                <w:bCs/>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954" w:type="pct"/>
            <w:vMerge w:val="continue"/>
            <w:tcBorders>
              <w:bottom w:val="single" w:color="auto" w:sz="12" w:space="0"/>
            </w:tcBorders>
            <w:vAlign w:val="center"/>
          </w:tcPr>
          <w:p>
            <w:pPr>
              <w:pStyle w:val="2691"/>
              <w:spacing w:line="240" w:lineRule="atLeast"/>
              <w:rPr>
                <w:b/>
                <w:bCs/>
              </w:rPr>
            </w:pPr>
          </w:p>
        </w:tc>
        <w:tc>
          <w:tcPr>
            <w:tcW w:w="1067" w:type="pct"/>
            <w:vMerge w:val="continue"/>
            <w:tcBorders>
              <w:bottom w:val="single" w:color="auto" w:sz="12" w:space="0"/>
            </w:tcBorders>
            <w:vAlign w:val="center"/>
          </w:tcPr>
          <w:p>
            <w:pPr>
              <w:pStyle w:val="2691"/>
              <w:spacing w:line="240" w:lineRule="atLeast"/>
              <w:rPr>
                <w:b/>
                <w:bCs/>
              </w:rPr>
            </w:pPr>
          </w:p>
        </w:tc>
        <w:tc>
          <w:tcPr>
            <w:tcW w:w="1489" w:type="pct"/>
            <w:tcBorders>
              <w:bottom w:val="single" w:color="auto" w:sz="12" w:space="0"/>
            </w:tcBorders>
            <w:vAlign w:val="center"/>
          </w:tcPr>
          <w:p>
            <w:pPr>
              <w:pStyle w:val="2691"/>
              <w:spacing w:line="240" w:lineRule="atLeast"/>
              <w:rPr>
                <w:b/>
                <w:bCs/>
              </w:rPr>
            </w:pPr>
            <w:r>
              <w:rPr>
                <w:rFonts w:hint="eastAsia"/>
                <w:b/>
                <w:bCs/>
              </w:rPr>
              <w:t>G1厂址处</w:t>
            </w:r>
          </w:p>
        </w:tc>
        <w:tc>
          <w:tcPr>
            <w:tcW w:w="1489" w:type="pct"/>
            <w:tcBorders>
              <w:bottom w:val="single" w:color="auto" w:sz="12" w:space="0"/>
            </w:tcBorders>
            <w:vAlign w:val="center"/>
          </w:tcPr>
          <w:p>
            <w:pPr>
              <w:pStyle w:val="2691"/>
              <w:spacing w:line="240" w:lineRule="atLeast"/>
              <w:rPr>
                <w:b/>
                <w:bCs/>
              </w:rPr>
            </w:pPr>
            <w:r>
              <w:rPr>
                <w:rFonts w:hint="eastAsia"/>
                <w:b/>
                <w:bCs/>
                <w:spacing w:val="-1"/>
                <w:kern w:val="0"/>
              </w:rPr>
              <w:t>G2</w:t>
            </w:r>
            <w:r>
              <w:rPr>
                <w:rFonts w:hint="eastAsia"/>
                <w:b/>
                <w:bCs/>
                <w:kern w:val="0"/>
              </w:rPr>
              <w:t>常年主导风向下风向距离本项目约2.7km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4" w:type="pct"/>
            <w:vMerge w:val="restart"/>
            <w:tcBorders>
              <w:top w:val="single" w:color="auto" w:sz="12" w:space="0"/>
            </w:tcBorders>
            <w:vAlign w:val="center"/>
          </w:tcPr>
          <w:p>
            <w:pPr>
              <w:pStyle w:val="2691"/>
            </w:pPr>
            <w:r>
              <w:t>TSP</w:t>
            </w:r>
          </w:p>
        </w:tc>
        <w:tc>
          <w:tcPr>
            <w:tcW w:w="1067" w:type="pct"/>
            <w:tcBorders>
              <w:top w:val="single" w:color="auto" w:sz="12" w:space="0"/>
            </w:tcBorders>
            <w:vAlign w:val="center"/>
          </w:tcPr>
          <w:p>
            <w:pPr>
              <w:pStyle w:val="2691"/>
            </w:pPr>
            <w:r>
              <w:t>2020.07.31</w:t>
            </w:r>
          </w:p>
        </w:tc>
        <w:tc>
          <w:tcPr>
            <w:tcW w:w="1489" w:type="pct"/>
            <w:tcBorders>
              <w:top w:val="single" w:color="auto" w:sz="12" w:space="0"/>
            </w:tcBorders>
            <w:vAlign w:val="center"/>
          </w:tcPr>
          <w:p>
            <w:pPr>
              <w:pStyle w:val="2691"/>
            </w:pPr>
            <w:r>
              <w:t>0.10</w:t>
            </w:r>
            <w:r>
              <w:rPr>
                <w:rFonts w:hint="eastAsia"/>
              </w:rPr>
              <w:t>3</w:t>
            </w:r>
          </w:p>
        </w:tc>
        <w:tc>
          <w:tcPr>
            <w:tcW w:w="1489" w:type="pct"/>
            <w:tcBorders>
              <w:top w:val="single" w:color="auto" w:sz="12" w:space="0"/>
            </w:tcBorders>
            <w:vAlign w:val="center"/>
          </w:tcPr>
          <w:p>
            <w:pPr>
              <w:pStyle w:val="2691"/>
            </w:pPr>
            <w:r>
              <w:t>0.</w:t>
            </w:r>
            <w:r>
              <w:rPr>
                <w:rFonts w:hint="eastAsia"/>
              </w:rPr>
              <w:t>079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4" w:type="pct"/>
            <w:vMerge w:val="continue"/>
            <w:vAlign w:val="center"/>
          </w:tcPr>
          <w:p>
            <w:pPr>
              <w:pStyle w:val="2691"/>
            </w:pPr>
          </w:p>
        </w:tc>
        <w:tc>
          <w:tcPr>
            <w:tcW w:w="1067" w:type="pct"/>
            <w:vAlign w:val="center"/>
          </w:tcPr>
          <w:p>
            <w:pPr>
              <w:pStyle w:val="2691"/>
            </w:pPr>
            <w:r>
              <w:t>2020.08.01</w:t>
            </w:r>
          </w:p>
        </w:tc>
        <w:tc>
          <w:tcPr>
            <w:tcW w:w="1489" w:type="pct"/>
            <w:vAlign w:val="center"/>
          </w:tcPr>
          <w:p>
            <w:pPr>
              <w:pStyle w:val="2691"/>
            </w:pPr>
            <w:r>
              <w:t>0.10</w:t>
            </w:r>
            <w:r>
              <w:rPr>
                <w:rFonts w:hint="eastAsia"/>
              </w:rPr>
              <w:t>6</w:t>
            </w:r>
          </w:p>
        </w:tc>
        <w:tc>
          <w:tcPr>
            <w:tcW w:w="1489" w:type="pct"/>
            <w:vAlign w:val="center"/>
          </w:tcPr>
          <w:p>
            <w:pPr>
              <w:pStyle w:val="2691"/>
            </w:pPr>
            <w:r>
              <w:t>0.</w:t>
            </w:r>
            <w:r>
              <w:rPr>
                <w:rFonts w:hint="eastAsia"/>
              </w:rPr>
              <w:t>082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4" w:type="pct"/>
            <w:vMerge w:val="continue"/>
            <w:vAlign w:val="center"/>
          </w:tcPr>
          <w:p>
            <w:pPr>
              <w:pStyle w:val="2691"/>
            </w:pPr>
          </w:p>
        </w:tc>
        <w:tc>
          <w:tcPr>
            <w:tcW w:w="1067" w:type="pct"/>
            <w:vAlign w:val="center"/>
          </w:tcPr>
          <w:p>
            <w:pPr>
              <w:pStyle w:val="2691"/>
            </w:pPr>
            <w:r>
              <w:t>2020.08.02</w:t>
            </w:r>
          </w:p>
        </w:tc>
        <w:tc>
          <w:tcPr>
            <w:tcW w:w="1489" w:type="pct"/>
            <w:vAlign w:val="center"/>
          </w:tcPr>
          <w:p>
            <w:pPr>
              <w:pStyle w:val="2691"/>
            </w:pPr>
            <w:r>
              <w:t>0.10</w:t>
            </w:r>
            <w:r>
              <w:rPr>
                <w:rFonts w:hint="eastAsia"/>
              </w:rPr>
              <w:t>1</w:t>
            </w:r>
          </w:p>
        </w:tc>
        <w:tc>
          <w:tcPr>
            <w:tcW w:w="1489" w:type="pct"/>
            <w:vAlign w:val="center"/>
          </w:tcPr>
          <w:p>
            <w:pPr>
              <w:pStyle w:val="2691"/>
            </w:pPr>
            <w:r>
              <w:t>0.</w:t>
            </w:r>
            <w:r>
              <w:rPr>
                <w:rFonts w:hint="eastAsia"/>
              </w:rPr>
              <w:t>076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4" w:type="pct"/>
            <w:vMerge w:val="continue"/>
            <w:vAlign w:val="center"/>
          </w:tcPr>
          <w:p>
            <w:pPr>
              <w:pStyle w:val="2691"/>
            </w:pPr>
          </w:p>
        </w:tc>
        <w:tc>
          <w:tcPr>
            <w:tcW w:w="1067" w:type="pct"/>
            <w:vAlign w:val="center"/>
          </w:tcPr>
          <w:p>
            <w:pPr>
              <w:pStyle w:val="2691"/>
            </w:pPr>
            <w:r>
              <w:t>2020.08.03</w:t>
            </w:r>
          </w:p>
        </w:tc>
        <w:tc>
          <w:tcPr>
            <w:tcW w:w="1489" w:type="pct"/>
            <w:vAlign w:val="center"/>
          </w:tcPr>
          <w:p>
            <w:pPr>
              <w:pStyle w:val="2691"/>
            </w:pPr>
            <w:r>
              <w:t>0.10</w:t>
            </w:r>
            <w:r>
              <w:rPr>
                <w:rFonts w:hint="eastAsia"/>
              </w:rPr>
              <w:t>5</w:t>
            </w:r>
          </w:p>
        </w:tc>
        <w:tc>
          <w:tcPr>
            <w:tcW w:w="1489" w:type="pct"/>
            <w:vAlign w:val="center"/>
          </w:tcPr>
          <w:p>
            <w:pPr>
              <w:pStyle w:val="2691"/>
            </w:pPr>
            <w:r>
              <w:rPr>
                <w:rFonts w:hint="eastAsia"/>
              </w:rPr>
              <w:t>0.075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4" w:type="pct"/>
            <w:vMerge w:val="continue"/>
            <w:vAlign w:val="center"/>
          </w:tcPr>
          <w:p>
            <w:pPr>
              <w:pStyle w:val="2691"/>
            </w:pPr>
          </w:p>
        </w:tc>
        <w:tc>
          <w:tcPr>
            <w:tcW w:w="1067" w:type="pct"/>
            <w:vAlign w:val="center"/>
          </w:tcPr>
          <w:p>
            <w:pPr>
              <w:pStyle w:val="2691"/>
            </w:pPr>
            <w:r>
              <w:t>2020.08.04</w:t>
            </w:r>
          </w:p>
        </w:tc>
        <w:tc>
          <w:tcPr>
            <w:tcW w:w="1489" w:type="pct"/>
            <w:vAlign w:val="center"/>
          </w:tcPr>
          <w:p>
            <w:pPr>
              <w:pStyle w:val="2691"/>
            </w:pPr>
            <w:r>
              <w:t>0.10</w:t>
            </w:r>
            <w:r>
              <w:rPr>
                <w:rFonts w:hint="eastAsia"/>
              </w:rPr>
              <w:t>6</w:t>
            </w:r>
          </w:p>
        </w:tc>
        <w:tc>
          <w:tcPr>
            <w:tcW w:w="1489" w:type="pct"/>
            <w:vAlign w:val="center"/>
          </w:tcPr>
          <w:p>
            <w:pPr>
              <w:pStyle w:val="2691"/>
            </w:pPr>
            <w:r>
              <w:rPr>
                <w:rFonts w:hint="eastAsia"/>
              </w:rPr>
              <w:t>0.083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4" w:type="pct"/>
            <w:vMerge w:val="continue"/>
            <w:vAlign w:val="center"/>
          </w:tcPr>
          <w:p>
            <w:pPr>
              <w:pStyle w:val="2691"/>
            </w:pPr>
          </w:p>
        </w:tc>
        <w:tc>
          <w:tcPr>
            <w:tcW w:w="1067" w:type="pct"/>
            <w:vAlign w:val="center"/>
          </w:tcPr>
          <w:p>
            <w:pPr>
              <w:pStyle w:val="2691"/>
            </w:pPr>
            <w:r>
              <w:t>2020.08.05</w:t>
            </w:r>
          </w:p>
        </w:tc>
        <w:tc>
          <w:tcPr>
            <w:tcW w:w="1489" w:type="pct"/>
            <w:vAlign w:val="center"/>
          </w:tcPr>
          <w:p>
            <w:pPr>
              <w:pStyle w:val="2691"/>
            </w:pPr>
            <w:r>
              <w:t>0.10</w:t>
            </w:r>
            <w:r>
              <w:rPr>
                <w:rFonts w:hint="eastAsia"/>
              </w:rPr>
              <w:t>3</w:t>
            </w:r>
          </w:p>
        </w:tc>
        <w:tc>
          <w:tcPr>
            <w:tcW w:w="1489" w:type="pct"/>
            <w:vAlign w:val="center"/>
          </w:tcPr>
          <w:p>
            <w:pPr>
              <w:pStyle w:val="2691"/>
            </w:pPr>
            <w:r>
              <w:rPr>
                <w:rFonts w:hint="eastAsia"/>
              </w:rPr>
              <w:t>0.081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4" w:type="pct"/>
            <w:vMerge w:val="continue"/>
            <w:vAlign w:val="center"/>
          </w:tcPr>
          <w:p>
            <w:pPr>
              <w:pStyle w:val="2691"/>
            </w:pPr>
          </w:p>
        </w:tc>
        <w:tc>
          <w:tcPr>
            <w:tcW w:w="1067" w:type="pct"/>
            <w:vAlign w:val="center"/>
          </w:tcPr>
          <w:p>
            <w:pPr>
              <w:pStyle w:val="2691"/>
            </w:pPr>
            <w:r>
              <w:t>2020.08.06</w:t>
            </w:r>
          </w:p>
        </w:tc>
        <w:tc>
          <w:tcPr>
            <w:tcW w:w="1489" w:type="pct"/>
            <w:vAlign w:val="center"/>
          </w:tcPr>
          <w:p>
            <w:pPr>
              <w:pStyle w:val="2691"/>
            </w:pPr>
            <w:r>
              <w:t>0.10</w:t>
            </w:r>
            <w:r>
              <w:rPr>
                <w:rFonts w:hint="eastAsia"/>
              </w:rPr>
              <w:t>8</w:t>
            </w:r>
          </w:p>
        </w:tc>
        <w:tc>
          <w:tcPr>
            <w:tcW w:w="1489" w:type="pct"/>
            <w:vAlign w:val="center"/>
          </w:tcPr>
          <w:p>
            <w:pPr>
              <w:pStyle w:val="2691"/>
            </w:pPr>
            <w:r>
              <w:rPr>
                <w:rFonts w:hint="eastAsia"/>
              </w:rPr>
              <w:t>0.078</w:t>
            </w:r>
          </w:p>
        </w:tc>
      </w:tr>
    </w:tbl>
    <w:p>
      <w:pPr>
        <w:pStyle w:val="3583"/>
        <w:spacing w:line="240" w:lineRule="auto"/>
        <w:ind w:left="0"/>
      </w:pPr>
      <w:r>
        <w:t>特征因子监测数据统计结果汇总</w:t>
      </w:r>
    </w:p>
    <w:tbl>
      <w:tblPr>
        <w:tblStyle w:val="87"/>
        <w:tblW w:w="4968" w:type="pct"/>
        <w:jc w:val="center"/>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1023"/>
        <w:gridCol w:w="1817"/>
        <w:gridCol w:w="1652"/>
        <w:gridCol w:w="1082"/>
        <w:gridCol w:w="1308"/>
        <w:gridCol w:w="1080"/>
        <w:gridCol w:w="1080"/>
      </w:tblGrid>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754" w:hRule="exact"/>
          <w:jc w:val="center"/>
        </w:trPr>
        <w:tc>
          <w:tcPr>
            <w:tcW w:w="565" w:type="pct"/>
            <w:tcBorders>
              <w:bottom w:val="single" w:color="000000" w:sz="12" w:space="0"/>
            </w:tcBorders>
            <w:vAlign w:val="center"/>
          </w:tcPr>
          <w:p>
            <w:pPr>
              <w:tabs>
                <w:tab w:val="clear" w:pos="480"/>
              </w:tabs>
              <w:kinsoku w:val="0"/>
              <w:overflowPunct w:val="0"/>
              <w:autoSpaceDE w:val="0"/>
              <w:autoSpaceDN w:val="0"/>
              <w:adjustRightInd w:val="0"/>
              <w:spacing w:line="240" w:lineRule="auto"/>
              <w:ind w:firstLine="0" w:firstLineChars="0"/>
              <w:jc w:val="center"/>
              <w:rPr>
                <w:b/>
                <w:bCs/>
                <w:kern w:val="0"/>
              </w:rPr>
            </w:pPr>
            <w:r>
              <w:rPr>
                <w:b/>
                <w:bCs/>
                <w:spacing w:val="1"/>
                <w:kern w:val="0"/>
                <w:sz w:val="21"/>
                <w:szCs w:val="21"/>
              </w:rPr>
              <w:t>监测点位</w:t>
            </w:r>
          </w:p>
        </w:tc>
        <w:tc>
          <w:tcPr>
            <w:tcW w:w="1004" w:type="pct"/>
            <w:tcBorders>
              <w:bottom w:val="single" w:color="000000" w:sz="12" w:space="0"/>
            </w:tcBorders>
            <w:vAlign w:val="center"/>
          </w:tcPr>
          <w:p>
            <w:pPr>
              <w:tabs>
                <w:tab w:val="clear" w:pos="480"/>
              </w:tabs>
              <w:kinsoku w:val="0"/>
              <w:overflowPunct w:val="0"/>
              <w:autoSpaceDE w:val="0"/>
              <w:autoSpaceDN w:val="0"/>
              <w:adjustRightInd w:val="0"/>
              <w:spacing w:line="240" w:lineRule="auto"/>
              <w:ind w:firstLine="0" w:firstLineChars="0"/>
              <w:jc w:val="center"/>
              <w:rPr>
                <w:b/>
                <w:bCs/>
                <w:kern w:val="0"/>
              </w:rPr>
            </w:pPr>
            <w:r>
              <w:rPr>
                <w:b/>
                <w:bCs/>
                <w:spacing w:val="1"/>
                <w:kern w:val="0"/>
                <w:sz w:val="21"/>
                <w:szCs w:val="21"/>
              </w:rPr>
              <w:t>监测项目</w:t>
            </w:r>
          </w:p>
        </w:tc>
        <w:tc>
          <w:tcPr>
            <w:tcW w:w="913" w:type="pct"/>
            <w:tcBorders>
              <w:bottom w:val="single" w:color="000000" w:sz="12" w:space="0"/>
            </w:tcBorders>
            <w:vAlign w:val="center"/>
          </w:tcPr>
          <w:p>
            <w:pPr>
              <w:tabs>
                <w:tab w:val="clear" w:pos="480"/>
              </w:tabs>
              <w:kinsoku w:val="0"/>
              <w:overflowPunct w:val="0"/>
              <w:autoSpaceDE w:val="0"/>
              <w:autoSpaceDN w:val="0"/>
              <w:adjustRightInd w:val="0"/>
              <w:spacing w:line="239" w:lineRule="exact"/>
              <w:ind w:firstLine="0" w:firstLineChars="0"/>
              <w:jc w:val="center"/>
              <w:rPr>
                <w:b/>
                <w:bCs/>
                <w:kern w:val="0"/>
                <w:sz w:val="21"/>
                <w:szCs w:val="21"/>
              </w:rPr>
            </w:pPr>
            <w:r>
              <w:rPr>
                <w:b/>
                <w:bCs/>
                <w:spacing w:val="1"/>
                <w:kern w:val="0"/>
                <w:sz w:val="21"/>
                <w:szCs w:val="21"/>
              </w:rPr>
              <w:t>浓度范围</w:t>
            </w:r>
          </w:p>
          <w:p>
            <w:pPr>
              <w:tabs>
                <w:tab w:val="clear" w:pos="480"/>
              </w:tabs>
              <w:kinsoku w:val="0"/>
              <w:overflowPunct w:val="0"/>
              <w:autoSpaceDE w:val="0"/>
              <w:autoSpaceDN w:val="0"/>
              <w:adjustRightInd w:val="0"/>
              <w:spacing w:line="288" w:lineRule="exact"/>
              <w:ind w:firstLine="0" w:firstLineChars="0"/>
              <w:jc w:val="center"/>
              <w:rPr>
                <w:b/>
                <w:bCs/>
                <w:kern w:val="0"/>
              </w:rPr>
            </w:pPr>
            <w:r>
              <w:rPr>
                <w:b/>
                <w:bCs/>
                <w:spacing w:val="1"/>
                <w:kern w:val="0"/>
                <w:sz w:val="21"/>
                <w:szCs w:val="21"/>
              </w:rPr>
              <w:t>（</w:t>
            </w:r>
            <w:r>
              <w:rPr>
                <w:b/>
                <w:bCs/>
                <w:kern w:val="0"/>
                <w:sz w:val="21"/>
                <w:szCs w:val="21"/>
              </w:rPr>
              <w:t>mg</w:t>
            </w:r>
            <w:r>
              <w:rPr>
                <w:b/>
                <w:bCs/>
                <w:spacing w:val="-1"/>
                <w:kern w:val="0"/>
                <w:sz w:val="21"/>
                <w:szCs w:val="21"/>
              </w:rPr>
              <w:t>/</w:t>
            </w:r>
            <w:r>
              <w:rPr>
                <w:b/>
                <w:bCs/>
                <w:kern w:val="0"/>
                <w:sz w:val="21"/>
                <w:szCs w:val="21"/>
              </w:rPr>
              <w:t>m</w:t>
            </w:r>
            <w:r>
              <w:rPr>
                <w:b/>
                <w:bCs/>
                <w:spacing w:val="-1"/>
                <w:kern w:val="0"/>
                <w:position w:val="7"/>
                <w:sz w:val="14"/>
                <w:szCs w:val="14"/>
              </w:rPr>
              <w:t>3</w:t>
            </w:r>
            <w:r>
              <w:rPr>
                <w:b/>
                <w:bCs/>
                <w:kern w:val="0"/>
                <w:sz w:val="21"/>
                <w:szCs w:val="21"/>
              </w:rPr>
              <w:t>）</w:t>
            </w:r>
          </w:p>
        </w:tc>
        <w:tc>
          <w:tcPr>
            <w:tcW w:w="598" w:type="pct"/>
            <w:tcBorders>
              <w:bottom w:val="single" w:color="000000" w:sz="12" w:space="0"/>
            </w:tcBorders>
            <w:vAlign w:val="center"/>
          </w:tcPr>
          <w:p>
            <w:pPr>
              <w:tabs>
                <w:tab w:val="clear" w:pos="480"/>
              </w:tabs>
              <w:kinsoku w:val="0"/>
              <w:overflowPunct w:val="0"/>
              <w:autoSpaceDE w:val="0"/>
              <w:autoSpaceDN w:val="0"/>
              <w:adjustRightInd w:val="0"/>
              <w:spacing w:line="240" w:lineRule="auto"/>
              <w:ind w:firstLine="0" w:firstLineChars="0"/>
              <w:jc w:val="center"/>
              <w:rPr>
                <w:b/>
                <w:bCs/>
                <w:kern w:val="0"/>
              </w:rPr>
            </w:pPr>
            <w:r>
              <w:rPr>
                <w:b/>
                <w:bCs/>
                <w:spacing w:val="1"/>
                <w:kern w:val="0"/>
                <w:sz w:val="21"/>
                <w:szCs w:val="21"/>
              </w:rPr>
              <w:t>标准值</w:t>
            </w:r>
          </w:p>
        </w:tc>
        <w:tc>
          <w:tcPr>
            <w:tcW w:w="723" w:type="pct"/>
            <w:tcBorders>
              <w:bottom w:val="single" w:color="000000" w:sz="12" w:space="0"/>
            </w:tcBorders>
            <w:vAlign w:val="center"/>
          </w:tcPr>
          <w:p>
            <w:pPr>
              <w:tabs>
                <w:tab w:val="clear" w:pos="480"/>
              </w:tabs>
              <w:kinsoku w:val="0"/>
              <w:overflowPunct w:val="0"/>
              <w:autoSpaceDE w:val="0"/>
              <w:autoSpaceDN w:val="0"/>
              <w:adjustRightInd w:val="0"/>
              <w:spacing w:line="239" w:lineRule="exact"/>
              <w:ind w:firstLine="0" w:firstLineChars="0"/>
              <w:jc w:val="center"/>
              <w:rPr>
                <w:b/>
                <w:bCs/>
                <w:kern w:val="0"/>
                <w:sz w:val="21"/>
                <w:szCs w:val="21"/>
              </w:rPr>
            </w:pPr>
            <w:r>
              <w:rPr>
                <w:b/>
                <w:bCs/>
                <w:spacing w:val="1"/>
                <w:kern w:val="0"/>
                <w:sz w:val="21"/>
                <w:szCs w:val="21"/>
              </w:rPr>
              <w:t>最大浓</w:t>
            </w:r>
            <w:r>
              <w:rPr>
                <w:b/>
                <w:bCs/>
                <w:kern w:val="0"/>
                <w:sz w:val="21"/>
                <w:szCs w:val="21"/>
              </w:rPr>
              <w:t>度占</w:t>
            </w:r>
          </w:p>
          <w:p>
            <w:pPr>
              <w:tabs>
                <w:tab w:val="clear" w:pos="480"/>
              </w:tabs>
              <w:kinsoku w:val="0"/>
              <w:overflowPunct w:val="0"/>
              <w:autoSpaceDE w:val="0"/>
              <w:autoSpaceDN w:val="0"/>
              <w:adjustRightInd w:val="0"/>
              <w:spacing w:line="288" w:lineRule="exact"/>
              <w:ind w:firstLine="0" w:firstLineChars="0"/>
              <w:jc w:val="center"/>
              <w:rPr>
                <w:b/>
                <w:bCs/>
                <w:kern w:val="0"/>
              </w:rPr>
            </w:pPr>
            <w:r>
              <w:rPr>
                <w:b/>
                <w:bCs/>
                <w:spacing w:val="1"/>
                <w:kern w:val="0"/>
                <w:sz w:val="21"/>
                <w:szCs w:val="21"/>
              </w:rPr>
              <w:t>标率</w:t>
            </w:r>
            <w:r>
              <w:rPr>
                <w:b/>
                <w:bCs/>
                <w:kern w:val="0"/>
                <w:sz w:val="21"/>
                <w:szCs w:val="21"/>
              </w:rPr>
              <w:t>%</w:t>
            </w:r>
          </w:p>
        </w:tc>
        <w:tc>
          <w:tcPr>
            <w:tcW w:w="597" w:type="pct"/>
            <w:tcBorders>
              <w:bottom w:val="single" w:color="000000" w:sz="12" w:space="0"/>
            </w:tcBorders>
            <w:vAlign w:val="center"/>
          </w:tcPr>
          <w:p>
            <w:pPr>
              <w:tabs>
                <w:tab w:val="clear" w:pos="480"/>
              </w:tabs>
              <w:kinsoku w:val="0"/>
              <w:overflowPunct w:val="0"/>
              <w:autoSpaceDE w:val="0"/>
              <w:autoSpaceDN w:val="0"/>
              <w:adjustRightInd w:val="0"/>
              <w:spacing w:line="240" w:lineRule="auto"/>
              <w:ind w:firstLine="0" w:firstLineChars="0"/>
              <w:jc w:val="center"/>
              <w:rPr>
                <w:b/>
                <w:bCs/>
                <w:kern w:val="0"/>
              </w:rPr>
            </w:pPr>
            <w:r>
              <w:rPr>
                <w:b/>
                <w:bCs/>
                <w:spacing w:val="1"/>
                <w:kern w:val="0"/>
                <w:sz w:val="21"/>
                <w:szCs w:val="21"/>
              </w:rPr>
              <w:t>超标频率</w:t>
            </w:r>
            <w:r>
              <w:rPr>
                <w:b/>
                <w:bCs/>
                <w:kern w:val="0"/>
                <w:sz w:val="21"/>
                <w:szCs w:val="21"/>
              </w:rPr>
              <w:t>%</w:t>
            </w:r>
          </w:p>
        </w:tc>
        <w:tc>
          <w:tcPr>
            <w:tcW w:w="596" w:type="pct"/>
            <w:tcBorders>
              <w:bottom w:val="single" w:color="000000" w:sz="12" w:space="0"/>
            </w:tcBorders>
            <w:vAlign w:val="center"/>
          </w:tcPr>
          <w:p>
            <w:pPr>
              <w:tabs>
                <w:tab w:val="clear" w:pos="480"/>
              </w:tabs>
              <w:kinsoku w:val="0"/>
              <w:overflowPunct w:val="0"/>
              <w:autoSpaceDE w:val="0"/>
              <w:autoSpaceDN w:val="0"/>
              <w:adjustRightInd w:val="0"/>
              <w:spacing w:line="240" w:lineRule="auto"/>
              <w:ind w:firstLine="0" w:firstLineChars="0"/>
              <w:jc w:val="center"/>
              <w:rPr>
                <w:b/>
                <w:bCs/>
                <w:kern w:val="0"/>
              </w:rPr>
            </w:pPr>
            <w:r>
              <w:rPr>
                <w:b/>
                <w:bCs/>
                <w:spacing w:val="1"/>
                <w:kern w:val="0"/>
                <w:sz w:val="21"/>
                <w:szCs w:val="21"/>
              </w:rPr>
              <w:t>达标情况</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17" w:hRule="exact"/>
          <w:jc w:val="center"/>
        </w:trPr>
        <w:tc>
          <w:tcPr>
            <w:tcW w:w="565" w:type="pct"/>
            <w:tcBorders>
              <w:top w:val="single" w:color="000000" w:sz="12" w:space="0"/>
            </w:tcBorders>
            <w:vAlign w:val="center"/>
          </w:tcPr>
          <w:p>
            <w:pPr>
              <w:tabs>
                <w:tab w:val="clear" w:pos="480"/>
              </w:tabs>
              <w:kinsoku w:val="0"/>
              <w:overflowPunct w:val="0"/>
              <w:autoSpaceDE w:val="0"/>
              <w:autoSpaceDN w:val="0"/>
              <w:adjustRightInd w:val="0"/>
              <w:spacing w:line="240" w:lineRule="auto"/>
              <w:ind w:firstLine="0" w:firstLineChars="0"/>
              <w:jc w:val="center"/>
              <w:rPr>
                <w:kern w:val="0"/>
              </w:rPr>
            </w:pPr>
            <w:r>
              <w:rPr>
                <w:spacing w:val="-1"/>
                <w:kern w:val="0"/>
                <w:sz w:val="21"/>
                <w:szCs w:val="21"/>
              </w:rPr>
              <w:t>G1</w:t>
            </w:r>
          </w:p>
        </w:tc>
        <w:tc>
          <w:tcPr>
            <w:tcW w:w="1004" w:type="pct"/>
            <w:tcBorders>
              <w:top w:val="single" w:color="000000" w:sz="12" w:space="0"/>
            </w:tcBorders>
            <w:vAlign w:val="center"/>
          </w:tcPr>
          <w:p>
            <w:pPr>
              <w:tabs>
                <w:tab w:val="clear" w:pos="480"/>
              </w:tabs>
              <w:kinsoku w:val="0"/>
              <w:overflowPunct w:val="0"/>
              <w:autoSpaceDE w:val="0"/>
              <w:autoSpaceDN w:val="0"/>
              <w:adjustRightInd w:val="0"/>
              <w:spacing w:line="240" w:lineRule="auto"/>
              <w:ind w:firstLine="0" w:firstLineChars="0"/>
              <w:jc w:val="center"/>
              <w:rPr>
                <w:kern w:val="0"/>
              </w:rPr>
            </w:pPr>
            <w:r>
              <w:rPr>
                <w:kern w:val="0"/>
                <w:sz w:val="21"/>
                <w:szCs w:val="21"/>
              </w:rPr>
              <w:t>TSP</w:t>
            </w:r>
          </w:p>
        </w:tc>
        <w:tc>
          <w:tcPr>
            <w:tcW w:w="913" w:type="pct"/>
            <w:tcBorders>
              <w:top w:val="single" w:color="000000" w:sz="12" w:space="0"/>
            </w:tcBorders>
            <w:vAlign w:val="center"/>
          </w:tcPr>
          <w:p>
            <w:pPr>
              <w:tabs>
                <w:tab w:val="clear" w:pos="480"/>
              </w:tabs>
              <w:kinsoku w:val="0"/>
              <w:overflowPunct w:val="0"/>
              <w:autoSpaceDE w:val="0"/>
              <w:autoSpaceDN w:val="0"/>
              <w:adjustRightInd w:val="0"/>
              <w:spacing w:line="240" w:lineRule="auto"/>
              <w:ind w:firstLine="0" w:firstLineChars="0"/>
              <w:jc w:val="center"/>
              <w:rPr>
                <w:kern w:val="0"/>
              </w:rPr>
            </w:pPr>
            <w:r>
              <w:rPr>
                <w:kern w:val="0"/>
                <w:sz w:val="21"/>
                <w:szCs w:val="21"/>
              </w:rPr>
              <w:t>0.100</w:t>
            </w:r>
            <w:r>
              <w:rPr>
                <w:spacing w:val="-1"/>
                <w:kern w:val="0"/>
                <w:sz w:val="21"/>
                <w:szCs w:val="21"/>
              </w:rPr>
              <w:t>~</w:t>
            </w:r>
            <w:r>
              <w:rPr>
                <w:kern w:val="0"/>
                <w:sz w:val="21"/>
                <w:szCs w:val="21"/>
              </w:rPr>
              <w:t>0.109</w:t>
            </w:r>
          </w:p>
        </w:tc>
        <w:tc>
          <w:tcPr>
            <w:tcW w:w="598" w:type="pct"/>
            <w:tcBorders>
              <w:top w:val="single" w:color="000000" w:sz="12" w:space="0"/>
            </w:tcBorders>
            <w:vAlign w:val="center"/>
          </w:tcPr>
          <w:p>
            <w:pPr>
              <w:tabs>
                <w:tab w:val="clear" w:pos="480"/>
              </w:tabs>
              <w:kinsoku w:val="0"/>
              <w:overflowPunct w:val="0"/>
              <w:autoSpaceDE w:val="0"/>
              <w:autoSpaceDN w:val="0"/>
              <w:adjustRightInd w:val="0"/>
              <w:spacing w:line="240" w:lineRule="auto"/>
              <w:ind w:firstLine="0" w:firstLineChars="0"/>
              <w:jc w:val="center"/>
              <w:rPr>
                <w:kern w:val="0"/>
              </w:rPr>
            </w:pPr>
            <w:r>
              <w:rPr>
                <w:kern w:val="0"/>
                <w:sz w:val="21"/>
                <w:szCs w:val="21"/>
              </w:rPr>
              <w:t>0.3</w:t>
            </w:r>
          </w:p>
        </w:tc>
        <w:tc>
          <w:tcPr>
            <w:tcW w:w="723" w:type="pct"/>
            <w:tcBorders>
              <w:top w:val="single" w:color="000000" w:sz="12" w:space="0"/>
            </w:tcBorders>
            <w:vAlign w:val="center"/>
          </w:tcPr>
          <w:p>
            <w:pPr>
              <w:tabs>
                <w:tab w:val="clear" w:pos="480"/>
              </w:tabs>
              <w:kinsoku w:val="0"/>
              <w:overflowPunct w:val="0"/>
              <w:autoSpaceDE w:val="0"/>
              <w:autoSpaceDN w:val="0"/>
              <w:adjustRightInd w:val="0"/>
              <w:spacing w:line="240" w:lineRule="auto"/>
              <w:ind w:firstLine="0" w:firstLineChars="0"/>
              <w:jc w:val="center"/>
              <w:rPr>
                <w:kern w:val="0"/>
              </w:rPr>
            </w:pPr>
            <w:r>
              <w:rPr>
                <w:kern w:val="0"/>
                <w:sz w:val="21"/>
                <w:szCs w:val="21"/>
              </w:rPr>
              <w:t>3</w:t>
            </w:r>
            <w:r>
              <w:rPr>
                <w:spacing w:val="1"/>
                <w:kern w:val="0"/>
                <w:sz w:val="21"/>
                <w:szCs w:val="21"/>
              </w:rPr>
              <w:t>6</w:t>
            </w:r>
            <w:r>
              <w:rPr>
                <w:spacing w:val="-1"/>
                <w:kern w:val="0"/>
                <w:sz w:val="21"/>
                <w:szCs w:val="21"/>
              </w:rPr>
              <w:t>.</w:t>
            </w:r>
            <w:r>
              <w:rPr>
                <w:kern w:val="0"/>
                <w:sz w:val="21"/>
                <w:szCs w:val="21"/>
              </w:rPr>
              <w:t>3</w:t>
            </w:r>
          </w:p>
        </w:tc>
        <w:tc>
          <w:tcPr>
            <w:tcW w:w="597" w:type="pct"/>
            <w:tcBorders>
              <w:top w:val="single" w:color="000000" w:sz="12" w:space="0"/>
            </w:tcBorders>
            <w:vAlign w:val="center"/>
          </w:tcPr>
          <w:p>
            <w:pPr>
              <w:tabs>
                <w:tab w:val="clear" w:pos="480"/>
              </w:tabs>
              <w:kinsoku w:val="0"/>
              <w:overflowPunct w:val="0"/>
              <w:autoSpaceDE w:val="0"/>
              <w:autoSpaceDN w:val="0"/>
              <w:adjustRightInd w:val="0"/>
              <w:spacing w:line="240" w:lineRule="auto"/>
              <w:ind w:firstLine="0" w:firstLineChars="0"/>
              <w:jc w:val="center"/>
              <w:rPr>
                <w:kern w:val="0"/>
              </w:rPr>
            </w:pPr>
            <w:r>
              <w:rPr>
                <w:kern w:val="0"/>
                <w:sz w:val="21"/>
                <w:szCs w:val="21"/>
              </w:rPr>
              <w:t>0</w:t>
            </w:r>
          </w:p>
        </w:tc>
        <w:tc>
          <w:tcPr>
            <w:tcW w:w="596" w:type="pct"/>
            <w:tcBorders>
              <w:top w:val="single" w:color="000000" w:sz="12" w:space="0"/>
            </w:tcBorders>
            <w:vAlign w:val="center"/>
          </w:tcPr>
          <w:p>
            <w:pPr>
              <w:tabs>
                <w:tab w:val="clear" w:pos="480"/>
              </w:tabs>
              <w:kinsoku w:val="0"/>
              <w:overflowPunct w:val="0"/>
              <w:autoSpaceDE w:val="0"/>
              <w:autoSpaceDN w:val="0"/>
              <w:adjustRightInd w:val="0"/>
              <w:spacing w:line="272" w:lineRule="exact"/>
              <w:ind w:firstLine="0" w:firstLineChars="0"/>
              <w:jc w:val="center"/>
              <w:rPr>
                <w:kern w:val="0"/>
              </w:rPr>
            </w:pPr>
            <w:r>
              <w:rPr>
                <w:kern w:val="0"/>
                <w:sz w:val="21"/>
                <w:szCs w:val="21"/>
              </w:rPr>
              <w:t>达标</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2" w:hRule="exact"/>
          <w:jc w:val="center"/>
        </w:trPr>
        <w:tc>
          <w:tcPr>
            <w:tcW w:w="565" w:type="pct"/>
            <w:vAlign w:val="center"/>
          </w:tcPr>
          <w:p>
            <w:pPr>
              <w:tabs>
                <w:tab w:val="clear" w:pos="480"/>
              </w:tabs>
              <w:kinsoku w:val="0"/>
              <w:overflowPunct w:val="0"/>
              <w:autoSpaceDE w:val="0"/>
              <w:autoSpaceDN w:val="0"/>
              <w:adjustRightInd w:val="0"/>
              <w:spacing w:line="240" w:lineRule="auto"/>
              <w:ind w:firstLine="0" w:firstLineChars="0"/>
              <w:jc w:val="center"/>
              <w:rPr>
                <w:spacing w:val="-1"/>
                <w:kern w:val="0"/>
                <w:sz w:val="21"/>
                <w:szCs w:val="21"/>
              </w:rPr>
            </w:pPr>
            <w:r>
              <w:rPr>
                <w:rFonts w:hint="eastAsia"/>
                <w:spacing w:val="-1"/>
                <w:kern w:val="0"/>
                <w:sz w:val="21"/>
                <w:szCs w:val="21"/>
              </w:rPr>
              <w:t>G2</w:t>
            </w:r>
          </w:p>
        </w:tc>
        <w:tc>
          <w:tcPr>
            <w:tcW w:w="1004" w:type="pct"/>
            <w:vAlign w:val="center"/>
          </w:tcPr>
          <w:p>
            <w:pPr>
              <w:tabs>
                <w:tab w:val="clear" w:pos="480"/>
              </w:tabs>
              <w:kinsoku w:val="0"/>
              <w:overflowPunct w:val="0"/>
              <w:autoSpaceDE w:val="0"/>
              <w:autoSpaceDN w:val="0"/>
              <w:adjustRightInd w:val="0"/>
              <w:spacing w:line="240" w:lineRule="auto"/>
              <w:ind w:firstLine="0" w:firstLineChars="0"/>
              <w:jc w:val="center"/>
              <w:rPr>
                <w:kern w:val="0"/>
                <w:sz w:val="21"/>
                <w:szCs w:val="21"/>
              </w:rPr>
            </w:pPr>
            <w:r>
              <w:rPr>
                <w:kern w:val="0"/>
                <w:sz w:val="21"/>
                <w:szCs w:val="21"/>
              </w:rPr>
              <w:t>TSP</w:t>
            </w:r>
          </w:p>
        </w:tc>
        <w:tc>
          <w:tcPr>
            <w:tcW w:w="913" w:type="pct"/>
            <w:vAlign w:val="center"/>
          </w:tcPr>
          <w:p>
            <w:pPr>
              <w:tabs>
                <w:tab w:val="clear" w:pos="480"/>
              </w:tabs>
              <w:kinsoku w:val="0"/>
              <w:overflowPunct w:val="0"/>
              <w:autoSpaceDE w:val="0"/>
              <w:autoSpaceDN w:val="0"/>
              <w:adjustRightInd w:val="0"/>
              <w:spacing w:line="240" w:lineRule="auto"/>
              <w:ind w:firstLine="0" w:firstLineChars="0"/>
              <w:jc w:val="center"/>
              <w:rPr>
                <w:kern w:val="0"/>
                <w:sz w:val="21"/>
                <w:szCs w:val="21"/>
              </w:rPr>
            </w:pPr>
            <w:r>
              <w:rPr>
                <w:rFonts w:hint="eastAsia"/>
                <w:kern w:val="0"/>
                <w:sz w:val="21"/>
                <w:szCs w:val="21"/>
              </w:rPr>
              <w:t>0.075~0.083</w:t>
            </w:r>
          </w:p>
        </w:tc>
        <w:tc>
          <w:tcPr>
            <w:tcW w:w="598" w:type="pct"/>
            <w:vAlign w:val="center"/>
          </w:tcPr>
          <w:p>
            <w:pPr>
              <w:tabs>
                <w:tab w:val="clear" w:pos="480"/>
              </w:tabs>
              <w:kinsoku w:val="0"/>
              <w:overflowPunct w:val="0"/>
              <w:autoSpaceDE w:val="0"/>
              <w:autoSpaceDN w:val="0"/>
              <w:adjustRightInd w:val="0"/>
              <w:spacing w:line="240" w:lineRule="auto"/>
              <w:ind w:firstLine="0" w:firstLineChars="0"/>
              <w:jc w:val="center"/>
              <w:rPr>
                <w:kern w:val="0"/>
                <w:sz w:val="21"/>
                <w:szCs w:val="21"/>
              </w:rPr>
            </w:pPr>
            <w:r>
              <w:rPr>
                <w:rFonts w:hint="eastAsia"/>
                <w:kern w:val="0"/>
                <w:sz w:val="21"/>
                <w:szCs w:val="21"/>
              </w:rPr>
              <w:t>0.3</w:t>
            </w:r>
          </w:p>
        </w:tc>
        <w:tc>
          <w:tcPr>
            <w:tcW w:w="723" w:type="pct"/>
            <w:vAlign w:val="center"/>
          </w:tcPr>
          <w:p>
            <w:pPr>
              <w:tabs>
                <w:tab w:val="clear" w:pos="480"/>
              </w:tabs>
              <w:kinsoku w:val="0"/>
              <w:overflowPunct w:val="0"/>
              <w:autoSpaceDE w:val="0"/>
              <w:autoSpaceDN w:val="0"/>
              <w:adjustRightInd w:val="0"/>
              <w:spacing w:line="240" w:lineRule="auto"/>
              <w:ind w:firstLine="0" w:firstLineChars="0"/>
              <w:jc w:val="center"/>
              <w:rPr>
                <w:kern w:val="0"/>
                <w:sz w:val="21"/>
                <w:szCs w:val="21"/>
              </w:rPr>
            </w:pPr>
            <w:r>
              <w:rPr>
                <w:rFonts w:hint="eastAsia"/>
                <w:kern w:val="0"/>
                <w:sz w:val="21"/>
                <w:szCs w:val="21"/>
              </w:rPr>
              <w:t>27.6</w:t>
            </w:r>
          </w:p>
        </w:tc>
        <w:tc>
          <w:tcPr>
            <w:tcW w:w="597" w:type="pct"/>
            <w:vAlign w:val="center"/>
          </w:tcPr>
          <w:p>
            <w:pPr>
              <w:tabs>
                <w:tab w:val="clear" w:pos="480"/>
              </w:tabs>
              <w:kinsoku w:val="0"/>
              <w:overflowPunct w:val="0"/>
              <w:autoSpaceDE w:val="0"/>
              <w:autoSpaceDN w:val="0"/>
              <w:adjustRightInd w:val="0"/>
              <w:spacing w:line="240" w:lineRule="auto"/>
              <w:ind w:firstLine="0" w:firstLineChars="0"/>
              <w:jc w:val="center"/>
              <w:rPr>
                <w:kern w:val="0"/>
                <w:sz w:val="21"/>
                <w:szCs w:val="21"/>
              </w:rPr>
            </w:pPr>
            <w:r>
              <w:rPr>
                <w:kern w:val="0"/>
                <w:sz w:val="21"/>
                <w:szCs w:val="21"/>
              </w:rPr>
              <w:t>0</w:t>
            </w:r>
          </w:p>
        </w:tc>
        <w:tc>
          <w:tcPr>
            <w:tcW w:w="596" w:type="pct"/>
            <w:vAlign w:val="center"/>
          </w:tcPr>
          <w:p>
            <w:pPr>
              <w:tabs>
                <w:tab w:val="clear" w:pos="480"/>
              </w:tabs>
              <w:kinsoku w:val="0"/>
              <w:overflowPunct w:val="0"/>
              <w:autoSpaceDE w:val="0"/>
              <w:autoSpaceDN w:val="0"/>
              <w:adjustRightInd w:val="0"/>
              <w:spacing w:line="272" w:lineRule="exact"/>
              <w:ind w:firstLine="0" w:firstLineChars="0"/>
              <w:jc w:val="center"/>
              <w:rPr>
                <w:kern w:val="0"/>
                <w:sz w:val="21"/>
                <w:szCs w:val="21"/>
              </w:rPr>
            </w:pPr>
            <w:r>
              <w:rPr>
                <w:kern w:val="0"/>
                <w:sz w:val="21"/>
                <w:szCs w:val="21"/>
              </w:rPr>
              <w:t>达标</w:t>
            </w:r>
          </w:p>
        </w:tc>
      </w:tr>
    </w:tbl>
    <w:p>
      <w:pPr>
        <w:ind w:firstLine="480"/>
      </w:pPr>
      <w:r>
        <w:t>评价结果表明，项目所在区域监测点位的 TSP 满足《环境空气质量标准》（GB3095-2012）二级标准要求。</w:t>
      </w:r>
    </w:p>
    <w:p>
      <w:pPr>
        <w:pStyle w:val="453"/>
        <w:ind w:firstLine="643" w:firstLineChars="0"/>
        <w:rPr>
          <w:rFonts w:ascii="Times New Roman" w:cs="Times New Roman"/>
        </w:rPr>
      </w:pPr>
      <w:bookmarkStart w:id="136" w:name="_Toc152059102"/>
      <w:bookmarkStart w:id="137" w:name="_Toc150492094"/>
      <w:bookmarkStart w:id="138" w:name="_Toc401255960"/>
      <w:bookmarkStart w:id="139" w:name="_Toc106697007"/>
      <w:bookmarkStart w:id="140" w:name="_Toc1944"/>
      <w:bookmarkStart w:id="141" w:name="_Toc22115"/>
      <w:r>
        <w:rPr>
          <w:rFonts w:ascii="Times New Roman" w:cs="Times New Roman"/>
        </w:rPr>
        <w:t>声环境现状</w:t>
      </w:r>
      <w:bookmarkEnd w:id="136"/>
      <w:bookmarkEnd w:id="137"/>
      <w:bookmarkEnd w:id="138"/>
      <w:r>
        <w:rPr>
          <w:rFonts w:ascii="Times New Roman" w:cs="Times New Roman"/>
        </w:rPr>
        <w:t>调查与评价</w:t>
      </w:r>
      <w:bookmarkEnd w:id="139"/>
      <w:bookmarkEnd w:id="140"/>
      <w:bookmarkEnd w:id="141"/>
    </w:p>
    <w:p>
      <w:pPr>
        <w:pStyle w:val="454"/>
        <w:ind w:firstLine="602"/>
        <w:rPr>
          <w:color w:val="auto"/>
        </w:rPr>
      </w:pPr>
      <w:r>
        <w:rPr>
          <w:color w:val="auto"/>
        </w:rPr>
        <w:t>声环境质量现状调查</w:t>
      </w:r>
    </w:p>
    <w:p>
      <w:pPr>
        <w:ind w:firstLine="480"/>
      </w:pPr>
      <w:r>
        <w:rPr>
          <w:rFonts w:hint="eastAsia"/>
        </w:rPr>
        <w:t>（1）</w:t>
      </w:r>
      <w:r>
        <w:t>评价范围声功能区划</w:t>
      </w:r>
    </w:p>
    <w:p>
      <w:pPr>
        <w:pStyle w:val="458"/>
        <w:ind w:firstLine="480"/>
        <w:rPr>
          <w:rFonts w:cs="Times New Roman"/>
          <w:color w:val="auto"/>
          <w:szCs w:val="24"/>
          <w:lang w:val="zh-CN"/>
        </w:rPr>
      </w:pPr>
      <w:r>
        <w:rPr>
          <w:rFonts w:cs="Times New Roman"/>
          <w:color w:val="auto"/>
          <w:szCs w:val="24"/>
        </w:rPr>
        <w:t>本项目码头位于岳阳市云溪港区</w:t>
      </w:r>
      <w:r>
        <w:rPr>
          <w:rFonts w:hint="eastAsia" w:cs="Times New Roman"/>
          <w:color w:val="auto"/>
          <w:szCs w:val="24"/>
        </w:rPr>
        <w:t>道仁矶作业区</w:t>
      </w:r>
      <w:r>
        <w:rPr>
          <w:rFonts w:cs="Times New Roman"/>
          <w:color w:val="auto"/>
          <w:szCs w:val="24"/>
        </w:rPr>
        <w:t>，根据岳阳市人民政府关于印发《岳阳市中心城区声环境功能区划分（2019年修编稿）》的通知</w:t>
      </w:r>
      <w:r>
        <w:rPr>
          <w:rFonts w:hint="eastAsia" w:cs="Times New Roman"/>
          <w:color w:val="auto"/>
          <w:szCs w:val="24"/>
        </w:rPr>
        <w:t>附表1-3 云溪区声环境功能区划分结果，道仁矶港区边界外50m范围为</w:t>
      </w:r>
      <w:r>
        <w:rPr>
          <w:rFonts w:cs="Times New Roman"/>
          <w:color w:val="auto"/>
          <w:szCs w:val="24"/>
        </w:rPr>
        <w:t>4类功能区</w:t>
      </w:r>
      <w:r>
        <w:rPr>
          <w:rFonts w:hint="eastAsia" w:cs="Times New Roman"/>
          <w:color w:val="auto"/>
          <w:szCs w:val="24"/>
        </w:rPr>
        <w:t>，</w:t>
      </w:r>
      <w:r>
        <w:rPr>
          <w:rFonts w:cs="Times New Roman"/>
          <w:color w:val="auto"/>
          <w:szCs w:val="24"/>
        </w:rPr>
        <w:t>执行《声环境质量标准》（GB3096-2008）4a 类标准，（道仁矶物流园、道仁矶工业园）丁山路-沿堤路-扬帆路-仁和路区为声环境3类功能区，村庄原则上执行1类声环境功能区要求，工业活动较多的村庄以及有交通干线经过的村庄（指执行4类声环境功能区要求以外的地区）可局部或全部执行2类声环境功能区要求；</w:t>
      </w:r>
      <w:r>
        <w:rPr>
          <w:rFonts w:hint="eastAsia" w:cs="Times New Roman"/>
          <w:color w:val="auto"/>
          <w:szCs w:val="24"/>
        </w:rPr>
        <w:t>项目所在地属于工业活动较多的村庄，</w:t>
      </w:r>
      <w:r>
        <w:rPr>
          <w:rFonts w:cs="Times New Roman"/>
          <w:color w:val="auto"/>
          <w:szCs w:val="24"/>
        </w:rPr>
        <w:t>敏感点声环境质量执行《声环境质量标准》（GB3096-2008）2 类标准</w:t>
      </w:r>
      <w:r>
        <w:rPr>
          <w:rFonts w:cs="Times New Roman"/>
          <w:color w:val="auto"/>
          <w:szCs w:val="24"/>
          <w:lang w:val="zh-CN"/>
        </w:rPr>
        <w:t>。</w:t>
      </w:r>
    </w:p>
    <w:p>
      <w:pPr>
        <w:ind w:firstLine="480"/>
      </w:pPr>
      <w:r>
        <w:t>本项目</w:t>
      </w:r>
      <w:r>
        <w:rPr>
          <w:rFonts w:hint="eastAsia"/>
        </w:rPr>
        <w:t>前方水域和后方陆域A地块厂界四周</w:t>
      </w:r>
      <w:r>
        <w:t>声环境质量执行《声环境质量标准》（GB3096-2008）4a类标准，码头</w:t>
      </w:r>
      <w:r>
        <w:rPr>
          <w:rFonts w:hint="eastAsia"/>
        </w:rPr>
        <w:t>后方陆域B地块厂界</w:t>
      </w:r>
      <w:r>
        <w:t>声环境质量执行《声环境质量标准》（GB3096-2008）3类标准，</w:t>
      </w:r>
      <w:r>
        <w:rPr>
          <w:rFonts w:hint="eastAsia"/>
        </w:rPr>
        <w:t>四周声环境</w:t>
      </w:r>
      <w:r>
        <w:t>敏感点执行《声环境质量标准》（GB3096-2008）2类标准。</w:t>
      </w:r>
    </w:p>
    <w:p>
      <w:pPr>
        <w:ind w:firstLine="480"/>
      </w:pPr>
      <w:r>
        <w:rPr>
          <w:rFonts w:hint="eastAsia"/>
        </w:rPr>
        <w:t>（2）</w:t>
      </w:r>
      <w:r>
        <w:t>本项目周边主要噪声污染源</w:t>
      </w:r>
    </w:p>
    <w:p>
      <w:pPr>
        <w:ind w:firstLine="480"/>
      </w:pPr>
      <w:r>
        <w:t>本项目评价范围内均为农村，主要噪声源主要为现有交通噪声和居民生活噪声，其 中交通噪声为主要污染源。</w:t>
      </w:r>
    </w:p>
    <w:p>
      <w:pPr>
        <w:pStyle w:val="454"/>
        <w:ind w:firstLine="602"/>
        <w:rPr>
          <w:color w:val="auto"/>
        </w:rPr>
      </w:pPr>
      <w:r>
        <w:rPr>
          <w:color w:val="auto"/>
        </w:rPr>
        <w:t>声环境质量现状监测</w:t>
      </w:r>
    </w:p>
    <w:p>
      <w:pPr>
        <w:ind w:firstLine="480"/>
      </w:pPr>
      <w:r>
        <w:t>本次评价委托湖南乾诚检测有限公司于</w:t>
      </w:r>
      <w:r>
        <w:rPr>
          <w:spacing w:val="-43"/>
        </w:rPr>
        <w:t xml:space="preserve"> </w:t>
      </w:r>
      <w:r>
        <w:t>2020年7月</w:t>
      </w:r>
      <w:r>
        <w:rPr>
          <w:spacing w:val="-44"/>
        </w:rPr>
        <w:t xml:space="preserve"> </w:t>
      </w:r>
      <w:r>
        <w:t>31日~8月</w:t>
      </w:r>
      <w:r>
        <w:rPr>
          <w:spacing w:val="-44"/>
        </w:rPr>
        <w:t xml:space="preserve"> </w:t>
      </w:r>
      <w:r>
        <w:rPr>
          <w:rFonts w:hint="eastAsia"/>
        </w:rPr>
        <w:t>1</w:t>
      </w:r>
      <w:r>
        <w:t>日期间针对码头周边敏感点进行了声环境现状监测</w:t>
      </w:r>
      <w:r>
        <w:rPr>
          <w:rFonts w:hint="eastAsia"/>
        </w:rPr>
        <w:t>，后因设计变化，于</w:t>
      </w:r>
      <w:r>
        <w:rPr>
          <w:spacing w:val="-43"/>
        </w:rPr>
        <w:t xml:space="preserve"> </w:t>
      </w:r>
      <w:r>
        <w:t>202</w:t>
      </w:r>
      <w:r>
        <w:rPr>
          <w:rFonts w:hint="eastAsia"/>
        </w:rPr>
        <w:t>2</w:t>
      </w:r>
      <w:r>
        <w:t>年</w:t>
      </w:r>
      <w:r>
        <w:rPr>
          <w:rFonts w:hint="eastAsia"/>
        </w:rPr>
        <w:t>10</w:t>
      </w:r>
      <w:r>
        <w:t>月</w:t>
      </w:r>
      <w:r>
        <w:rPr>
          <w:rFonts w:hint="eastAsia"/>
          <w:spacing w:val="-44"/>
        </w:rPr>
        <w:t>19</w:t>
      </w:r>
      <w:r>
        <w:t>日~</w:t>
      </w:r>
      <w:r>
        <w:rPr>
          <w:rFonts w:hint="eastAsia"/>
        </w:rPr>
        <w:t>10</w:t>
      </w:r>
      <w:r>
        <w:t>月</w:t>
      </w:r>
      <w:r>
        <w:rPr>
          <w:spacing w:val="-44"/>
        </w:rPr>
        <w:t xml:space="preserve"> </w:t>
      </w:r>
      <w:r>
        <w:rPr>
          <w:rFonts w:hint="eastAsia"/>
        </w:rPr>
        <w:t>20</w:t>
      </w:r>
      <w:r>
        <w:t>日</w:t>
      </w:r>
      <w:r>
        <w:rPr>
          <w:rFonts w:hint="eastAsia"/>
        </w:rPr>
        <w:t>对码头后方陆域厂界和敏感点进行补充声环境质量现状检测，监测布点图详见附图6</w:t>
      </w:r>
      <w:r>
        <w:t>。</w:t>
      </w:r>
    </w:p>
    <w:p>
      <w:pPr>
        <w:ind w:firstLine="482"/>
        <w:rPr>
          <w:b/>
        </w:rPr>
      </w:pPr>
      <w:r>
        <w:rPr>
          <w:rFonts w:hint="eastAsia"/>
          <w:b/>
        </w:rPr>
        <w:t>（1）</w:t>
      </w:r>
      <w:r>
        <w:rPr>
          <w:b/>
        </w:rPr>
        <w:t>监测布点</w:t>
      </w:r>
    </w:p>
    <w:p>
      <w:pPr>
        <w:ind w:firstLine="480"/>
      </w:pPr>
      <w:r>
        <w:rPr>
          <w:rFonts w:hint="eastAsia"/>
        </w:rPr>
        <w:t>在项目四周厂界和200m范围内的声环境敏感点</w:t>
      </w:r>
      <w:r>
        <w:t>设置</w:t>
      </w:r>
      <w:r>
        <w:rPr>
          <w:rFonts w:hint="eastAsia"/>
        </w:rPr>
        <w:t>5</w:t>
      </w:r>
      <w:r>
        <w:t>个监测点，详见下表。</w:t>
      </w:r>
    </w:p>
    <w:p>
      <w:pPr>
        <w:pStyle w:val="3583"/>
        <w:spacing w:line="240" w:lineRule="auto"/>
        <w:ind w:left="0"/>
      </w:pPr>
      <w:r>
        <w:t>声环境现状监测布点一览表</w:t>
      </w:r>
    </w:p>
    <w:tbl>
      <w:tblPr>
        <w:tblStyle w:val="3596"/>
        <w:tblW w:w="904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45"/>
        <w:gridCol w:w="4740"/>
        <w:gridCol w:w="355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exact"/>
          <w:jc w:val="center"/>
        </w:trPr>
        <w:tc>
          <w:tcPr>
            <w:tcW w:w="745" w:type="dxa"/>
            <w:tcBorders>
              <w:bottom w:val="single" w:color="auto" w:sz="12" w:space="0"/>
            </w:tcBorders>
            <w:vAlign w:val="center"/>
          </w:tcPr>
          <w:p>
            <w:pPr>
              <w:pStyle w:val="2691"/>
              <w:rPr>
                <w:b/>
                <w:bCs/>
              </w:rPr>
            </w:pPr>
            <w:r>
              <w:rPr>
                <w:b/>
                <w:bCs/>
              </w:rPr>
              <w:t>序号</w:t>
            </w:r>
          </w:p>
        </w:tc>
        <w:tc>
          <w:tcPr>
            <w:tcW w:w="4740" w:type="dxa"/>
            <w:tcBorders>
              <w:bottom w:val="single" w:color="auto" w:sz="12" w:space="0"/>
            </w:tcBorders>
            <w:vAlign w:val="center"/>
          </w:tcPr>
          <w:p>
            <w:pPr>
              <w:pStyle w:val="2691"/>
              <w:rPr>
                <w:b/>
                <w:bCs/>
              </w:rPr>
            </w:pPr>
            <w:r>
              <w:rPr>
                <w:b/>
                <w:bCs/>
              </w:rPr>
              <w:t>监测点位</w:t>
            </w:r>
          </w:p>
        </w:tc>
        <w:tc>
          <w:tcPr>
            <w:tcW w:w="3556" w:type="dxa"/>
            <w:tcBorders>
              <w:bottom w:val="single" w:color="auto" w:sz="12" w:space="0"/>
            </w:tcBorders>
            <w:vAlign w:val="center"/>
          </w:tcPr>
          <w:p>
            <w:pPr>
              <w:pStyle w:val="2691"/>
              <w:rPr>
                <w:b/>
                <w:bCs/>
              </w:rPr>
            </w:pPr>
            <w:r>
              <w:rPr>
                <w:b/>
                <w:bCs/>
              </w:rPr>
              <w:t>经纬度坐标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4" w:hRule="exact"/>
          <w:jc w:val="center"/>
        </w:trPr>
        <w:tc>
          <w:tcPr>
            <w:tcW w:w="745" w:type="dxa"/>
            <w:tcBorders>
              <w:top w:val="single" w:color="auto" w:sz="12" w:space="0"/>
            </w:tcBorders>
            <w:vAlign w:val="center"/>
          </w:tcPr>
          <w:p>
            <w:pPr>
              <w:pStyle w:val="2691"/>
            </w:pPr>
            <w:r>
              <w:t>N1</w:t>
            </w:r>
          </w:p>
        </w:tc>
        <w:tc>
          <w:tcPr>
            <w:tcW w:w="4740" w:type="dxa"/>
            <w:tcBorders>
              <w:top w:val="single" w:color="auto" w:sz="12" w:space="0"/>
            </w:tcBorders>
            <w:vAlign w:val="center"/>
          </w:tcPr>
          <w:p>
            <w:pPr>
              <w:pStyle w:val="2691"/>
            </w:pPr>
            <w:r>
              <w:rPr>
                <w:rFonts w:hint="eastAsia"/>
              </w:rPr>
              <w:t>码头前沿水域西北</w:t>
            </w:r>
            <w:r>
              <w:t>厂界外</w:t>
            </w:r>
            <w:r>
              <w:rPr>
                <w:rFonts w:hint="eastAsia"/>
              </w:rPr>
              <w:t>1</w:t>
            </w:r>
            <w:r>
              <w:t>m处</w:t>
            </w:r>
          </w:p>
        </w:tc>
        <w:tc>
          <w:tcPr>
            <w:tcW w:w="3556" w:type="dxa"/>
            <w:tcBorders>
              <w:top w:val="single" w:color="auto" w:sz="12" w:space="0"/>
            </w:tcBorders>
            <w:vAlign w:val="center"/>
          </w:tcPr>
          <w:p>
            <w:pPr>
              <w:pStyle w:val="2691"/>
            </w:pPr>
            <w:r>
              <w:t>E: 113°13′18.69″，N: 29°31′31.07″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3" w:hRule="exact"/>
          <w:jc w:val="center"/>
        </w:trPr>
        <w:tc>
          <w:tcPr>
            <w:tcW w:w="745" w:type="dxa"/>
            <w:vAlign w:val="center"/>
          </w:tcPr>
          <w:p>
            <w:pPr>
              <w:pStyle w:val="2691"/>
            </w:pPr>
            <w:r>
              <w:t>N2</w:t>
            </w:r>
          </w:p>
        </w:tc>
        <w:tc>
          <w:tcPr>
            <w:tcW w:w="4740" w:type="dxa"/>
            <w:vAlign w:val="center"/>
          </w:tcPr>
          <w:p>
            <w:pPr>
              <w:pStyle w:val="2691"/>
            </w:pPr>
            <w:r>
              <w:rPr>
                <w:rFonts w:hint="eastAsia"/>
              </w:rPr>
              <w:t>码头后方陆域A地块东北</w:t>
            </w:r>
            <w:r>
              <w:t>厂界外</w:t>
            </w:r>
            <w:r>
              <w:rPr>
                <w:rFonts w:hint="eastAsia"/>
              </w:rPr>
              <w:t>1</w:t>
            </w:r>
            <w:r>
              <w:t>m处</w:t>
            </w:r>
          </w:p>
        </w:tc>
        <w:tc>
          <w:tcPr>
            <w:tcW w:w="3556" w:type="dxa"/>
            <w:vAlign w:val="center"/>
          </w:tcPr>
          <w:p>
            <w:pPr>
              <w:pStyle w:val="2691"/>
            </w:pPr>
            <w:r>
              <w:t>E: 113°13′29.69″，N: 29°31′32.85″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1" w:hRule="exact"/>
          <w:jc w:val="center"/>
        </w:trPr>
        <w:tc>
          <w:tcPr>
            <w:tcW w:w="745" w:type="dxa"/>
            <w:vAlign w:val="center"/>
          </w:tcPr>
          <w:p>
            <w:pPr>
              <w:pStyle w:val="2691"/>
            </w:pPr>
            <w:r>
              <w:t>N3</w:t>
            </w:r>
          </w:p>
        </w:tc>
        <w:tc>
          <w:tcPr>
            <w:tcW w:w="4740" w:type="dxa"/>
            <w:vAlign w:val="center"/>
          </w:tcPr>
          <w:p>
            <w:pPr>
              <w:pStyle w:val="2691"/>
            </w:pPr>
            <w:r>
              <w:rPr>
                <w:rFonts w:hint="eastAsia"/>
              </w:rPr>
              <w:t>码头后方陆域A地块东南</w:t>
            </w:r>
            <w:r>
              <w:t>厂界外</w:t>
            </w:r>
            <w:r>
              <w:rPr>
                <w:rFonts w:hint="eastAsia"/>
              </w:rPr>
              <w:t>1</w:t>
            </w:r>
            <w:r>
              <w:t>m处</w:t>
            </w:r>
          </w:p>
        </w:tc>
        <w:tc>
          <w:tcPr>
            <w:tcW w:w="3556" w:type="dxa"/>
            <w:vAlign w:val="center"/>
          </w:tcPr>
          <w:p>
            <w:pPr>
              <w:pStyle w:val="2691"/>
            </w:pPr>
            <w:r>
              <w:t>E: 113°13′24.83″，N: 29°31′20.38″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1" w:hRule="exact"/>
          <w:jc w:val="center"/>
        </w:trPr>
        <w:tc>
          <w:tcPr>
            <w:tcW w:w="745" w:type="dxa"/>
            <w:vAlign w:val="center"/>
          </w:tcPr>
          <w:p>
            <w:pPr>
              <w:pStyle w:val="2691"/>
            </w:pPr>
            <w:r>
              <w:t>N4</w:t>
            </w:r>
          </w:p>
        </w:tc>
        <w:tc>
          <w:tcPr>
            <w:tcW w:w="4740" w:type="dxa"/>
            <w:vAlign w:val="center"/>
          </w:tcPr>
          <w:p>
            <w:pPr>
              <w:pStyle w:val="2691"/>
            </w:pPr>
            <w:r>
              <w:rPr>
                <w:rFonts w:hint="eastAsia"/>
              </w:rPr>
              <w:t>码头后方陆域A地块西南</w:t>
            </w:r>
            <w:r>
              <w:t>厂界外</w:t>
            </w:r>
            <w:r>
              <w:rPr>
                <w:rFonts w:hint="eastAsia"/>
              </w:rPr>
              <w:t>1</w:t>
            </w:r>
            <w:r>
              <w:t>m处</w:t>
            </w:r>
          </w:p>
        </w:tc>
        <w:tc>
          <w:tcPr>
            <w:tcW w:w="3556" w:type="dxa"/>
            <w:vAlign w:val="center"/>
          </w:tcPr>
          <w:p>
            <w:pPr>
              <w:pStyle w:val="2691"/>
            </w:pPr>
            <w:r>
              <w:t>E: 113°13′16.06″，N: 29°31′13.22″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41" w:hRule="exact"/>
          <w:jc w:val="center"/>
        </w:trPr>
        <w:tc>
          <w:tcPr>
            <w:tcW w:w="745" w:type="dxa"/>
            <w:vAlign w:val="center"/>
          </w:tcPr>
          <w:p>
            <w:pPr>
              <w:pStyle w:val="2691"/>
            </w:pPr>
            <w:r>
              <w:t>N</w:t>
            </w:r>
            <w:r>
              <w:rPr>
                <w:rFonts w:hint="eastAsia"/>
              </w:rPr>
              <w:t>5</w:t>
            </w:r>
          </w:p>
        </w:tc>
        <w:tc>
          <w:tcPr>
            <w:tcW w:w="4740" w:type="dxa"/>
            <w:vAlign w:val="center"/>
          </w:tcPr>
          <w:p>
            <w:pPr>
              <w:pStyle w:val="2691"/>
            </w:pPr>
            <w:r>
              <w:rPr>
                <w:rFonts w:hint="eastAsia"/>
              </w:rPr>
              <w:t>码头后方陆域A地块周边200m范围环境敏感点七房村外1m</w:t>
            </w:r>
          </w:p>
        </w:tc>
        <w:tc>
          <w:tcPr>
            <w:tcW w:w="3556" w:type="dxa"/>
            <w:vAlign w:val="center"/>
          </w:tcPr>
          <w:p>
            <w:pPr>
              <w:pStyle w:val="2691"/>
            </w:pPr>
            <w:r>
              <w:t>E: 113°13′32.67″，N: 29°31′32.09″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exact"/>
          <w:jc w:val="center"/>
        </w:trPr>
        <w:tc>
          <w:tcPr>
            <w:tcW w:w="745" w:type="dxa"/>
            <w:vAlign w:val="center"/>
          </w:tcPr>
          <w:p>
            <w:pPr>
              <w:pStyle w:val="2691"/>
            </w:pPr>
            <w:r>
              <w:rPr>
                <w:rFonts w:hint="eastAsia"/>
              </w:rPr>
              <w:t>N6</w:t>
            </w:r>
          </w:p>
        </w:tc>
        <w:tc>
          <w:tcPr>
            <w:tcW w:w="4740" w:type="dxa"/>
            <w:vAlign w:val="center"/>
          </w:tcPr>
          <w:p>
            <w:pPr>
              <w:pStyle w:val="2691"/>
            </w:pPr>
            <w:r>
              <w:rPr>
                <w:rFonts w:hint="eastAsia"/>
              </w:rPr>
              <w:t>码头后方陆域B地块西北</w:t>
            </w:r>
            <w:r>
              <w:t>厂界外</w:t>
            </w:r>
            <w:r>
              <w:rPr>
                <w:rFonts w:hint="eastAsia"/>
              </w:rPr>
              <w:t>1</w:t>
            </w:r>
            <w:r>
              <w:t>m处</w:t>
            </w:r>
          </w:p>
        </w:tc>
        <w:tc>
          <w:tcPr>
            <w:tcW w:w="3556" w:type="dxa"/>
            <w:vAlign w:val="center"/>
          </w:tcPr>
          <w:p>
            <w:pPr>
              <w:pStyle w:val="2691"/>
            </w:pPr>
            <w:r>
              <w:t>E: 113°13′27.92″</w:t>
            </w:r>
            <w:r>
              <w:rPr>
                <w:rFonts w:hint="eastAsia"/>
              </w:rPr>
              <w:t>，</w:t>
            </w:r>
            <w:r>
              <w:t>N:29°31′22.47″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1" w:hRule="exact"/>
          <w:jc w:val="center"/>
        </w:trPr>
        <w:tc>
          <w:tcPr>
            <w:tcW w:w="745" w:type="dxa"/>
            <w:vAlign w:val="center"/>
          </w:tcPr>
          <w:p>
            <w:pPr>
              <w:pStyle w:val="2691"/>
            </w:pPr>
            <w:r>
              <w:rPr>
                <w:rFonts w:hint="eastAsia"/>
              </w:rPr>
              <w:t>N7</w:t>
            </w:r>
          </w:p>
        </w:tc>
        <w:tc>
          <w:tcPr>
            <w:tcW w:w="4740" w:type="dxa"/>
            <w:vAlign w:val="center"/>
          </w:tcPr>
          <w:p>
            <w:pPr>
              <w:pStyle w:val="2691"/>
            </w:pPr>
            <w:r>
              <w:rPr>
                <w:rFonts w:hint="eastAsia"/>
              </w:rPr>
              <w:t>码头后方陆域B地块东北</w:t>
            </w:r>
            <w:r>
              <w:t>厂界外</w:t>
            </w:r>
            <w:r>
              <w:rPr>
                <w:rFonts w:hint="eastAsia"/>
              </w:rPr>
              <w:t>1</w:t>
            </w:r>
            <w:r>
              <w:t>m处</w:t>
            </w:r>
          </w:p>
        </w:tc>
        <w:tc>
          <w:tcPr>
            <w:tcW w:w="3556" w:type="dxa"/>
            <w:vAlign w:val="center"/>
          </w:tcPr>
          <w:p>
            <w:pPr>
              <w:pStyle w:val="2691"/>
            </w:pPr>
            <w:r>
              <w:t>E: 113°13′34.99″</w:t>
            </w:r>
            <w:r>
              <w:rPr>
                <w:rFonts w:hint="eastAsia"/>
              </w:rPr>
              <w:t>，</w:t>
            </w:r>
            <w:r>
              <w:t>N:29°31′23.78″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1" w:hRule="exact"/>
          <w:jc w:val="center"/>
        </w:trPr>
        <w:tc>
          <w:tcPr>
            <w:tcW w:w="745" w:type="dxa"/>
            <w:vAlign w:val="center"/>
          </w:tcPr>
          <w:p>
            <w:pPr>
              <w:pStyle w:val="2691"/>
            </w:pPr>
            <w:r>
              <w:rPr>
                <w:rFonts w:hint="eastAsia"/>
              </w:rPr>
              <w:t>N8</w:t>
            </w:r>
          </w:p>
        </w:tc>
        <w:tc>
          <w:tcPr>
            <w:tcW w:w="4740" w:type="dxa"/>
            <w:vAlign w:val="center"/>
          </w:tcPr>
          <w:p>
            <w:pPr>
              <w:pStyle w:val="2691"/>
            </w:pPr>
            <w:r>
              <w:rPr>
                <w:rFonts w:hint="eastAsia"/>
              </w:rPr>
              <w:t>码头后方陆域B地块东南</w:t>
            </w:r>
            <w:r>
              <w:t>厂界外</w:t>
            </w:r>
            <w:r>
              <w:rPr>
                <w:rFonts w:hint="eastAsia"/>
              </w:rPr>
              <w:t>1</w:t>
            </w:r>
            <w:r>
              <w:t>m处</w:t>
            </w:r>
          </w:p>
        </w:tc>
        <w:tc>
          <w:tcPr>
            <w:tcW w:w="3556" w:type="dxa"/>
            <w:vAlign w:val="center"/>
          </w:tcPr>
          <w:p>
            <w:pPr>
              <w:pStyle w:val="2691"/>
            </w:pPr>
            <w:r>
              <w:t>E: 113°13′36.88″</w:t>
            </w:r>
            <w:r>
              <w:rPr>
                <w:rFonts w:hint="eastAsia"/>
              </w:rPr>
              <w:t>，</w:t>
            </w:r>
            <w:r>
              <w:t>N:29°31′17.42″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1" w:hRule="exact"/>
          <w:jc w:val="center"/>
        </w:trPr>
        <w:tc>
          <w:tcPr>
            <w:tcW w:w="745" w:type="dxa"/>
            <w:vAlign w:val="center"/>
          </w:tcPr>
          <w:p>
            <w:pPr>
              <w:pStyle w:val="2691"/>
            </w:pPr>
            <w:r>
              <w:rPr>
                <w:rFonts w:hint="eastAsia"/>
              </w:rPr>
              <w:t>N9</w:t>
            </w:r>
          </w:p>
        </w:tc>
        <w:tc>
          <w:tcPr>
            <w:tcW w:w="4740" w:type="dxa"/>
            <w:vAlign w:val="center"/>
          </w:tcPr>
          <w:p>
            <w:pPr>
              <w:pStyle w:val="2691"/>
            </w:pPr>
            <w:r>
              <w:rPr>
                <w:rFonts w:hint="eastAsia"/>
              </w:rPr>
              <w:t>码头后方陆域B地块西南</w:t>
            </w:r>
            <w:r>
              <w:t>厂界外</w:t>
            </w:r>
            <w:r>
              <w:rPr>
                <w:rFonts w:hint="eastAsia"/>
              </w:rPr>
              <w:t>1</w:t>
            </w:r>
            <w:r>
              <w:t>m处</w:t>
            </w:r>
          </w:p>
        </w:tc>
        <w:tc>
          <w:tcPr>
            <w:tcW w:w="3556" w:type="dxa"/>
            <w:vAlign w:val="center"/>
          </w:tcPr>
          <w:p>
            <w:pPr>
              <w:pStyle w:val="2691"/>
            </w:pPr>
            <w:r>
              <w:t>E: 113°13′28.11″</w:t>
            </w:r>
            <w:r>
              <w:rPr>
                <w:rFonts w:hint="eastAsia"/>
              </w:rPr>
              <w:t>，</w:t>
            </w:r>
            <w:r>
              <w:t>N:29°31′14.63″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56" w:hRule="exact"/>
          <w:jc w:val="center"/>
        </w:trPr>
        <w:tc>
          <w:tcPr>
            <w:tcW w:w="745" w:type="dxa"/>
            <w:vAlign w:val="center"/>
          </w:tcPr>
          <w:p>
            <w:pPr>
              <w:pStyle w:val="2691"/>
            </w:pPr>
            <w:r>
              <w:rPr>
                <w:rFonts w:hint="eastAsia"/>
              </w:rPr>
              <w:t>N10</w:t>
            </w:r>
          </w:p>
        </w:tc>
        <w:tc>
          <w:tcPr>
            <w:tcW w:w="4740" w:type="dxa"/>
            <w:vAlign w:val="center"/>
          </w:tcPr>
          <w:p>
            <w:pPr>
              <w:pStyle w:val="2691"/>
            </w:pPr>
            <w:r>
              <w:rPr>
                <w:rFonts w:hint="eastAsia"/>
              </w:rPr>
              <w:t>码头后方陆域B地块周边200m范围环境敏感点滨江村外1m</w:t>
            </w:r>
          </w:p>
        </w:tc>
        <w:tc>
          <w:tcPr>
            <w:tcW w:w="3556" w:type="dxa"/>
            <w:vAlign w:val="center"/>
          </w:tcPr>
          <w:p>
            <w:pPr>
              <w:pStyle w:val="2691"/>
            </w:pPr>
            <w:r>
              <w:t>E: 113°13′38.25″</w:t>
            </w:r>
            <w:r>
              <w:rPr>
                <w:rFonts w:hint="eastAsia"/>
              </w:rPr>
              <w:t>，</w:t>
            </w:r>
            <w:r>
              <w:t>N:29°31′18.77″</w:t>
            </w:r>
          </w:p>
        </w:tc>
      </w:tr>
    </w:tbl>
    <w:p>
      <w:pPr>
        <w:ind w:firstLine="482"/>
        <w:rPr>
          <w:b/>
          <w:kern w:val="0"/>
        </w:rPr>
      </w:pPr>
      <w:r>
        <w:rPr>
          <w:rFonts w:hint="eastAsia"/>
          <w:b/>
          <w:kern w:val="0"/>
        </w:rPr>
        <w:t>（2）</w:t>
      </w:r>
      <w:r>
        <w:rPr>
          <w:b/>
          <w:kern w:val="0"/>
        </w:rPr>
        <w:t>监测时间、频率</w:t>
      </w:r>
    </w:p>
    <w:p>
      <w:pPr>
        <w:ind w:firstLine="480"/>
      </w:pPr>
      <w:r>
        <w:rPr>
          <w:rFonts w:ascii="宋体" w:hAnsi="宋体"/>
        </w:rPr>
        <w:t>连续监测</w:t>
      </w:r>
      <w:r>
        <w:t>2</w:t>
      </w:r>
      <w:r>
        <w:rPr>
          <w:rFonts w:ascii="宋体" w:hAnsi="宋体"/>
        </w:rPr>
        <w:t>天，每天监测</w:t>
      </w:r>
      <w:r>
        <w:t>2</w:t>
      </w:r>
      <w:r>
        <w:rPr>
          <w:rFonts w:ascii="宋体" w:hAnsi="宋体"/>
        </w:rPr>
        <w:t>次，昼间、夜间各</w:t>
      </w:r>
      <w:r>
        <w:t>1</w:t>
      </w:r>
      <w:r>
        <w:rPr>
          <w:rFonts w:ascii="宋体" w:hAnsi="宋体"/>
        </w:rPr>
        <w:t>次（昼间</w:t>
      </w:r>
      <w:r>
        <w:t>6:00</w:t>
      </w:r>
      <w:r>
        <w:rPr>
          <w:rFonts w:ascii="宋体" w:hAnsi="宋体"/>
        </w:rPr>
        <w:t>～</w:t>
      </w:r>
      <w:r>
        <w:t>22:00</w:t>
      </w:r>
      <w:r>
        <w:rPr>
          <w:rFonts w:ascii="宋体" w:hAnsi="宋体"/>
        </w:rPr>
        <w:t>，</w:t>
      </w:r>
      <w:r>
        <w:t>1</w:t>
      </w:r>
      <w:r>
        <w:rPr>
          <w:rFonts w:ascii="宋体" w:hAnsi="宋体"/>
        </w:rPr>
        <w:t>次；夜间</w:t>
      </w:r>
      <w:r>
        <w:t>22:00</w:t>
      </w:r>
      <w:r>
        <w:rPr>
          <w:rFonts w:ascii="宋体" w:hAnsi="宋体"/>
        </w:rPr>
        <w:t>～次日</w:t>
      </w:r>
      <w:r>
        <w:t>2:00</w:t>
      </w:r>
      <w:r>
        <w:rPr>
          <w:rFonts w:ascii="宋体" w:hAnsi="宋体"/>
        </w:rPr>
        <w:t>，</w:t>
      </w:r>
      <w:r>
        <w:t>1</w:t>
      </w:r>
      <w:r>
        <w:rPr>
          <w:rFonts w:ascii="宋体" w:hAnsi="宋体"/>
        </w:rPr>
        <w:t>次）。</w:t>
      </w:r>
    </w:p>
    <w:p>
      <w:pPr>
        <w:ind w:firstLine="480"/>
      </w:pPr>
      <w:r>
        <w:rPr>
          <w:rFonts w:ascii="宋体" w:hAnsi="宋体"/>
        </w:rPr>
        <w:t>监测同时记录周围环境特征和主要噪声源等相关信息。</w:t>
      </w:r>
    </w:p>
    <w:p>
      <w:pPr>
        <w:ind w:firstLine="482"/>
        <w:rPr>
          <w:b/>
        </w:rPr>
      </w:pPr>
      <w:r>
        <w:rPr>
          <w:rFonts w:hint="eastAsia"/>
          <w:b/>
        </w:rPr>
        <w:t>（3）监测方法</w:t>
      </w:r>
    </w:p>
    <w:p>
      <w:pPr>
        <w:ind w:firstLine="480"/>
      </w:pPr>
      <w:r>
        <w:rPr>
          <w:rFonts w:ascii="宋体" w:hAnsi="宋体"/>
        </w:rPr>
        <w:t>监测方法和测量仪器按《声环境质量标准》（</w:t>
      </w:r>
      <w:r>
        <w:t>GB3096-2008</w:t>
      </w:r>
      <w:r>
        <w:rPr>
          <w:rFonts w:ascii="宋体" w:hAnsi="宋体"/>
        </w:rPr>
        <w:t>）、《环境噪声测量方法》</w:t>
      </w:r>
      <w:r>
        <w:t>(GB/T3222-94)</w:t>
      </w:r>
      <w:r>
        <w:rPr>
          <w:rFonts w:ascii="宋体" w:hAnsi="宋体"/>
        </w:rPr>
        <w:t>及《环境影响评价技术导则 声环境》</w:t>
      </w:r>
      <w:r>
        <w:t>(HJ/T2.4-</w:t>
      </w:r>
      <w:r>
        <w:rPr>
          <w:rFonts w:hint="eastAsia"/>
        </w:rPr>
        <w:t>2021</w:t>
      </w:r>
      <w:r>
        <w:t>)</w:t>
      </w:r>
      <w:r>
        <w:rPr>
          <w:rFonts w:ascii="宋体" w:hAnsi="宋体"/>
        </w:rPr>
        <w:t>的要求执行。</w:t>
      </w:r>
    </w:p>
    <w:p>
      <w:pPr>
        <w:ind w:firstLine="480"/>
      </w:pPr>
      <w:r>
        <w:t>采用符合国家计量规定的声级计进行监测</w:t>
      </w:r>
      <w:r>
        <w:rPr>
          <w:rFonts w:hint="eastAsia"/>
        </w:rPr>
        <w:t>，</w:t>
      </w:r>
      <w:r>
        <w:t>监测期间天气良好，无雨雪、无雷电天气，风速小于 5m/s，传声器设置户外1m 处，高度为 1.2m 以上。</w:t>
      </w:r>
    </w:p>
    <w:p>
      <w:pPr>
        <w:pStyle w:val="454"/>
        <w:ind w:firstLine="602"/>
        <w:rPr>
          <w:color w:val="auto"/>
        </w:rPr>
      </w:pPr>
      <w:r>
        <w:rPr>
          <w:color w:val="auto"/>
        </w:rPr>
        <w:t>声环境质量现状评价</w:t>
      </w:r>
    </w:p>
    <w:p>
      <w:pPr>
        <w:pStyle w:val="458"/>
        <w:ind w:firstLine="482"/>
        <w:rPr>
          <w:rFonts w:cs="Times New Roman"/>
          <w:b/>
          <w:color w:val="auto"/>
        </w:rPr>
      </w:pPr>
      <w:r>
        <w:rPr>
          <w:rFonts w:cs="Times New Roman"/>
          <w:b/>
          <w:color w:val="auto"/>
        </w:rPr>
        <w:t>1、评价标准及方法</w:t>
      </w:r>
    </w:p>
    <w:p>
      <w:pPr>
        <w:pStyle w:val="458"/>
        <w:ind w:firstLine="480"/>
        <w:rPr>
          <w:rFonts w:cs="Times New Roman"/>
          <w:color w:val="auto"/>
        </w:rPr>
      </w:pPr>
      <w:r>
        <w:rPr>
          <w:rFonts w:cs="Times New Roman"/>
          <w:color w:val="auto"/>
        </w:rPr>
        <w:t>采用等效声级与相应标准值比较的方法进行，本项目所在地声环境质量执行《声环境质量标准》（GB3096-2008）2类、</w:t>
      </w:r>
      <w:r>
        <w:rPr>
          <w:rFonts w:hint="eastAsia" w:cs="Times New Roman"/>
          <w:color w:val="auto"/>
        </w:rPr>
        <w:t>3类和4a</w:t>
      </w:r>
      <w:r>
        <w:rPr>
          <w:rFonts w:cs="Times New Roman"/>
          <w:color w:val="auto"/>
        </w:rPr>
        <w:t>类标准。</w:t>
      </w:r>
    </w:p>
    <w:p>
      <w:pPr>
        <w:pStyle w:val="458"/>
        <w:ind w:firstLine="482"/>
        <w:rPr>
          <w:rFonts w:cs="Times New Roman"/>
          <w:b/>
          <w:color w:val="auto"/>
        </w:rPr>
      </w:pPr>
      <w:r>
        <w:rPr>
          <w:rFonts w:cs="Times New Roman"/>
          <w:b/>
          <w:color w:val="auto"/>
        </w:rPr>
        <w:t>2、评价结果及分析</w:t>
      </w:r>
    </w:p>
    <w:p>
      <w:pPr>
        <w:pStyle w:val="458"/>
        <w:ind w:firstLine="480"/>
        <w:rPr>
          <w:rFonts w:cs="Times New Roman"/>
          <w:color w:val="auto"/>
        </w:rPr>
      </w:pPr>
      <w:r>
        <w:rPr>
          <w:rFonts w:cs="Times New Roman"/>
          <w:color w:val="auto"/>
        </w:rPr>
        <w:t>本项目各个噪声监测点声环境现状监测及评价结果见下表。</w:t>
      </w:r>
    </w:p>
    <w:p>
      <w:pPr>
        <w:pStyle w:val="3583"/>
        <w:spacing w:line="240" w:lineRule="auto"/>
        <w:ind w:left="0"/>
      </w:pPr>
      <w:r>
        <w:t>噪声监测结果一览表</w:t>
      </w:r>
    </w:p>
    <w:tbl>
      <w:tblPr>
        <w:tblStyle w:val="3596"/>
        <w:tblW w:w="904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550"/>
        <w:gridCol w:w="705"/>
        <w:gridCol w:w="750"/>
        <w:gridCol w:w="720"/>
        <w:gridCol w:w="660"/>
        <w:gridCol w:w="645"/>
        <w:gridCol w:w="660"/>
        <w:gridCol w:w="705"/>
        <w:gridCol w:w="6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1" w:hRule="exact"/>
          <w:jc w:val="center"/>
        </w:trPr>
        <w:tc>
          <w:tcPr>
            <w:tcW w:w="3550" w:type="dxa"/>
            <w:vMerge w:val="restart"/>
            <w:vAlign w:val="center"/>
          </w:tcPr>
          <w:p>
            <w:pPr>
              <w:pStyle w:val="2691"/>
              <w:rPr>
                <w:b/>
                <w:bCs/>
              </w:rPr>
            </w:pPr>
            <w:r>
              <w:rPr>
                <w:b/>
                <w:bCs/>
              </w:rPr>
              <w:t>检测点位</w:t>
            </w:r>
          </w:p>
        </w:tc>
        <w:tc>
          <w:tcPr>
            <w:tcW w:w="2835" w:type="dxa"/>
            <w:gridSpan w:val="4"/>
            <w:vAlign w:val="center"/>
          </w:tcPr>
          <w:p>
            <w:pPr>
              <w:pStyle w:val="2691"/>
              <w:rPr>
                <w:b/>
                <w:bCs/>
              </w:rPr>
            </w:pPr>
            <w:r>
              <w:rPr>
                <w:b/>
                <w:bCs/>
              </w:rPr>
              <w:t>检测结果 Leq（dB（A））</w:t>
            </w:r>
          </w:p>
        </w:tc>
        <w:tc>
          <w:tcPr>
            <w:tcW w:w="1305" w:type="dxa"/>
            <w:gridSpan w:val="2"/>
            <w:vMerge w:val="restart"/>
            <w:vAlign w:val="center"/>
          </w:tcPr>
          <w:p>
            <w:pPr>
              <w:pStyle w:val="2691"/>
              <w:rPr>
                <w:b/>
                <w:bCs/>
              </w:rPr>
            </w:pPr>
            <w:r>
              <w:rPr>
                <w:b/>
                <w:bCs/>
              </w:rPr>
              <w:t>标准值</w:t>
            </w:r>
          </w:p>
        </w:tc>
        <w:tc>
          <w:tcPr>
            <w:tcW w:w="1351" w:type="dxa"/>
            <w:gridSpan w:val="2"/>
            <w:vMerge w:val="restart"/>
            <w:vAlign w:val="center"/>
          </w:tcPr>
          <w:p>
            <w:pPr>
              <w:pStyle w:val="2691"/>
              <w:rPr>
                <w:b/>
                <w:bCs/>
              </w:rPr>
            </w:pPr>
            <w:r>
              <w:rPr>
                <w:b/>
                <w:bCs/>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9" w:hRule="exact"/>
          <w:jc w:val="center"/>
        </w:trPr>
        <w:tc>
          <w:tcPr>
            <w:tcW w:w="3550" w:type="dxa"/>
            <w:vMerge w:val="continue"/>
            <w:vAlign w:val="center"/>
          </w:tcPr>
          <w:p>
            <w:pPr>
              <w:pStyle w:val="2691"/>
              <w:rPr>
                <w:b/>
                <w:bCs/>
              </w:rPr>
            </w:pPr>
          </w:p>
        </w:tc>
        <w:tc>
          <w:tcPr>
            <w:tcW w:w="1455" w:type="dxa"/>
            <w:gridSpan w:val="2"/>
            <w:vAlign w:val="top"/>
          </w:tcPr>
          <w:p>
            <w:pPr>
              <w:pStyle w:val="2691"/>
              <w:rPr>
                <w:b/>
                <w:bCs/>
              </w:rPr>
            </w:pPr>
            <w:r>
              <w:rPr>
                <w:b/>
                <w:bCs/>
              </w:rPr>
              <w:t>2020.07.31</w:t>
            </w:r>
          </w:p>
        </w:tc>
        <w:tc>
          <w:tcPr>
            <w:tcW w:w="1380" w:type="dxa"/>
            <w:gridSpan w:val="2"/>
            <w:vAlign w:val="top"/>
          </w:tcPr>
          <w:p>
            <w:pPr>
              <w:pStyle w:val="2691"/>
              <w:rPr>
                <w:b/>
                <w:bCs/>
              </w:rPr>
            </w:pPr>
            <w:r>
              <w:rPr>
                <w:b/>
                <w:bCs/>
              </w:rPr>
              <w:t>2020.08.01</w:t>
            </w:r>
          </w:p>
        </w:tc>
        <w:tc>
          <w:tcPr>
            <w:tcW w:w="1305" w:type="dxa"/>
            <w:gridSpan w:val="2"/>
            <w:vMerge w:val="continue"/>
            <w:vAlign w:val="center"/>
          </w:tcPr>
          <w:p>
            <w:pPr>
              <w:pStyle w:val="2691"/>
              <w:rPr>
                <w:b/>
                <w:bCs/>
              </w:rPr>
            </w:pPr>
          </w:p>
        </w:tc>
        <w:tc>
          <w:tcPr>
            <w:tcW w:w="1351" w:type="dxa"/>
            <w:gridSpan w:val="2"/>
            <w:vMerge w:val="continue"/>
            <w:vAlign w:val="center"/>
          </w:tcPr>
          <w:p>
            <w:pPr>
              <w:pStyle w:val="2691"/>
              <w:rPr>
                <w:b/>
                <w:bC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exact"/>
          <w:jc w:val="center"/>
        </w:trPr>
        <w:tc>
          <w:tcPr>
            <w:tcW w:w="3550" w:type="dxa"/>
            <w:vMerge w:val="continue"/>
            <w:vAlign w:val="center"/>
          </w:tcPr>
          <w:p>
            <w:pPr>
              <w:pStyle w:val="2691"/>
              <w:rPr>
                <w:b/>
                <w:bCs/>
              </w:rPr>
            </w:pPr>
          </w:p>
        </w:tc>
        <w:tc>
          <w:tcPr>
            <w:tcW w:w="705" w:type="dxa"/>
            <w:vAlign w:val="center"/>
          </w:tcPr>
          <w:p>
            <w:pPr>
              <w:pStyle w:val="2691"/>
              <w:rPr>
                <w:b/>
                <w:bCs/>
              </w:rPr>
            </w:pPr>
            <w:r>
              <w:rPr>
                <w:b/>
                <w:bCs/>
              </w:rPr>
              <w:t>昼间</w:t>
            </w:r>
          </w:p>
        </w:tc>
        <w:tc>
          <w:tcPr>
            <w:tcW w:w="750" w:type="dxa"/>
            <w:vAlign w:val="center"/>
          </w:tcPr>
          <w:p>
            <w:pPr>
              <w:pStyle w:val="2691"/>
              <w:rPr>
                <w:b/>
                <w:bCs/>
              </w:rPr>
            </w:pPr>
            <w:r>
              <w:rPr>
                <w:b/>
                <w:bCs/>
              </w:rPr>
              <w:t>夜间</w:t>
            </w:r>
          </w:p>
        </w:tc>
        <w:tc>
          <w:tcPr>
            <w:tcW w:w="720" w:type="dxa"/>
            <w:vAlign w:val="center"/>
          </w:tcPr>
          <w:p>
            <w:pPr>
              <w:pStyle w:val="2691"/>
              <w:rPr>
                <w:b/>
                <w:bCs/>
              </w:rPr>
            </w:pPr>
            <w:r>
              <w:rPr>
                <w:b/>
                <w:bCs/>
              </w:rPr>
              <w:t>昼间</w:t>
            </w:r>
          </w:p>
        </w:tc>
        <w:tc>
          <w:tcPr>
            <w:tcW w:w="660" w:type="dxa"/>
            <w:vAlign w:val="center"/>
          </w:tcPr>
          <w:p>
            <w:pPr>
              <w:pStyle w:val="2691"/>
              <w:rPr>
                <w:b/>
                <w:bCs/>
              </w:rPr>
            </w:pPr>
            <w:r>
              <w:rPr>
                <w:b/>
                <w:bCs/>
              </w:rPr>
              <w:t>夜间</w:t>
            </w:r>
          </w:p>
        </w:tc>
        <w:tc>
          <w:tcPr>
            <w:tcW w:w="645" w:type="dxa"/>
            <w:vAlign w:val="center"/>
          </w:tcPr>
          <w:p>
            <w:pPr>
              <w:pStyle w:val="2691"/>
              <w:rPr>
                <w:b/>
                <w:bCs/>
              </w:rPr>
            </w:pPr>
            <w:r>
              <w:rPr>
                <w:b/>
                <w:bCs/>
              </w:rPr>
              <w:t>昼间</w:t>
            </w:r>
          </w:p>
        </w:tc>
        <w:tc>
          <w:tcPr>
            <w:tcW w:w="660" w:type="dxa"/>
            <w:vAlign w:val="center"/>
          </w:tcPr>
          <w:p>
            <w:pPr>
              <w:pStyle w:val="2691"/>
              <w:rPr>
                <w:b/>
                <w:bCs/>
              </w:rPr>
            </w:pPr>
            <w:r>
              <w:rPr>
                <w:b/>
                <w:bCs/>
              </w:rPr>
              <w:t>夜间</w:t>
            </w:r>
          </w:p>
        </w:tc>
        <w:tc>
          <w:tcPr>
            <w:tcW w:w="705" w:type="dxa"/>
            <w:vAlign w:val="center"/>
          </w:tcPr>
          <w:p>
            <w:pPr>
              <w:pStyle w:val="2691"/>
              <w:rPr>
                <w:b/>
                <w:bCs/>
              </w:rPr>
            </w:pPr>
            <w:r>
              <w:rPr>
                <w:b/>
                <w:bCs/>
              </w:rPr>
              <w:t>昼间</w:t>
            </w:r>
          </w:p>
        </w:tc>
        <w:tc>
          <w:tcPr>
            <w:tcW w:w="646" w:type="dxa"/>
            <w:vAlign w:val="center"/>
          </w:tcPr>
          <w:p>
            <w:pPr>
              <w:pStyle w:val="2691"/>
              <w:rPr>
                <w:b/>
                <w:bCs/>
              </w:rPr>
            </w:pPr>
            <w:r>
              <w:rPr>
                <w:b/>
                <w:bCs/>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exact"/>
          <w:jc w:val="center"/>
        </w:trPr>
        <w:tc>
          <w:tcPr>
            <w:tcW w:w="3550" w:type="dxa"/>
            <w:vAlign w:val="center"/>
          </w:tcPr>
          <w:p>
            <w:pPr>
              <w:pStyle w:val="2691"/>
            </w:pPr>
            <w:r>
              <w:rPr>
                <w:rFonts w:hint="eastAsia"/>
              </w:rPr>
              <w:t>码头前沿水域西北</w:t>
            </w:r>
            <w:r>
              <w:t>厂界外</w:t>
            </w:r>
            <w:r>
              <w:rPr>
                <w:rFonts w:hint="eastAsia"/>
              </w:rPr>
              <w:t>1</w:t>
            </w:r>
            <w:r>
              <w:t>m处</w:t>
            </w:r>
          </w:p>
        </w:tc>
        <w:tc>
          <w:tcPr>
            <w:tcW w:w="705" w:type="dxa"/>
            <w:vAlign w:val="center"/>
          </w:tcPr>
          <w:p>
            <w:pPr>
              <w:pStyle w:val="2691"/>
            </w:pPr>
            <w:r>
              <w:rPr>
                <w:rFonts w:hint="eastAsia"/>
              </w:rPr>
              <w:t>53.6</w:t>
            </w:r>
          </w:p>
        </w:tc>
        <w:tc>
          <w:tcPr>
            <w:tcW w:w="750" w:type="dxa"/>
            <w:vAlign w:val="center"/>
          </w:tcPr>
          <w:p>
            <w:pPr>
              <w:pStyle w:val="2691"/>
            </w:pPr>
            <w:r>
              <w:rPr>
                <w:rFonts w:hint="eastAsia"/>
              </w:rPr>
              <w:t>42.4</w:t>
            </w:r>
          </w:p>
        </w:tc>
        <w:tc>
          <w:tcPr>
            <w:tcW w:w="720" w:type="dxa"/>
            <w:vAlign w:val="center"/>
          </w:tcPr>
          <w:p>
            <w:pPr>
              <w:pStyle w:val="2691"/>
            </w:pPr>
            <w:r>
              <w:rPr>
                <w:rFonts w:hint="eastAsia"/>
              </w:rPr>
              <w:t>52.2</w:t>
            </w:r>
          </w:p>
        </w:tc>
        <w:tc>
          <w:tcPr>
            <w:tcW w:w="660" w:type="dxa"/>
            <w:vAlign w:val="center"/>
          </w:tcPr>
          <w:p>
            <w:pPr>
              <w:pStyle w:val="2691"/>
            </w:pPr>
            <w:r>
              <w:rPr>
                <w:rFonts w:hint="eastAsia"/>
              </w:rPr>
              <w:t>42.4</w:t>
            </w:r>
          </w:p>
        </w:tc>
        <w:tc>
          <w:tcPr>
            <w:tcW w:w="645" w:type="dxa"/>
            <w:vAlign w:val="center"/>
          </w:tcPr>
          <w:p>
            <w:pPr>
              <w:pStyle w:val="2691"/>
            </w:pPr>
            <w:r>
              <w:rPr>
                <w:rFonts w:hint="eastAsia"/>
              </w:rPr>
              <w:t>70</w:t>
            </w:r>
          </w:p>
        </w:tc>
        <w:tc>
          <w:tcPr>
            <w:tcW w:w="660" w:type="dxa"/>
            <w:vAlign w:val="center"/>
          </w:tcPr>
          <w:p>
            <w:pPr>
              <w:pStyle w:val="2691"/>
            </w:pPr>
            <w:r>
              <w:t>55</w:t>
            </w:r>
          </w:p>
        </w:tc>
        <w:tc>
          <w:tcPr>
            <w:tcW w:w="705" w:type="dxa"/>
            <w:vAlign w:val="center"/>
          </w:tcPr>
          <w:p>
            <w:pPr>
              <w:pStyle w:val="2691"/>
            </w:pPr>
            <w:r>
              <w:t>达标</w:t>
            </w:r>
          </w:p>
        </w:tc>
        <w:tc>
          <w:tcPr>
            <w:tcW w:w="646" w:type="dxa"/>
            <w:vAlign w:val="center"/>
          </w:tcPr>
          <w:p>
            <w:pPr>
              <w:pStyle w:val="2691"/>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550" w:type="dxa"/>
            <w:vAlign w:val="center"/>
          </w:tcPr>
          <w:p>
            <w:pPr>
              <w:pStyle w:val="2691"/>
            </w:pPr>
            <w:r>
              <w:rPr>
                <w:rFonts w:hint="eastAsia"/>
              </w:rPr>
              <w:t>码头后方陆域A地块东北</w:t>
            </w:r>
            <w:r>
              <w:t>厂界外</w:t>
            </w:r>
            <w:r>
              <w:rPr>
                <w:rFonts w:hint="eastAsia"/>
              </w:rPr>
              <w:t>1</w:t>
            </w:r>
            <w:r>
              <w:t>m处</w:t>
            </w:r>
          </w:p>
        </w:tc>
        <w:tc>
          <w:tcPr>
            <w:tcW w:w="705" w:type="dxa"/>
            <w:vAlign w:val="center"/>
          </w:tcPr>
          <w:p>
            <w:pPr>
              <w:pStyle w:val="2691"/>
            </w:pPr>
            <w:r>
              <w:rPr>
                <w:rFonts w:hint="eastAsia"/>
              </w:rPr>
              <w:t>52.9</w:t>
            </w:r>
          </w:p>
        </w:tc>
        <w:tc>
          <w:tcPr>
            <w:tcW w:w="750" w:type="dxa"/>
            <w:vAlign w:val="center"/>
          </w:tcPr>
          <w:p>
            <w:pPr>
              <w:pStyle w:val="2691"/>
            </w:pPr>
            <w:r>
              <w:rPr>
                <w:rFonts w:hint="eastAsia"/>
              </w:rPr>
              <w:t>43.1</w:t>
            </w:r>
          </w:p>
        </w:tc>
        <w:tc>
          <w:tcPr>
            <w:tcW w:w="720" w:type="dxa"/>
            <w:vAlign w:val="center"/>
          </w:tcPr>
          <w:p>
            <w:pPr>
              <w:pStyle w:val="2691"/>
            </w:pPr>
            <w:r>
              <w:rPr>
                <w:rFonts w:hint="eastAsia"/>
              </w:rPr>
              <w:t>52.3</w:t>
            </w:r>
          </w:p>
        </w:tc>
        <w:tc>
          <w:tcPr>
            <w:tcW w:w="660" w:type="dxa"/>
            <w:vAlign w:val="center"/>
          </w:tcPr>
          <w:p>
            <w:pPr>
              <w:pStyle w:val="2691"/>
            </w:pPr>
            <w:r>
              <w:rPr>
                <w:rFonts w:hint="eastAsia"/>
              </w:rPr>
              <w:t>42.7</w:t>
            </w:r>
          </w:p>
        </w:tc>
        <w:tc>
          <w:tcPr>
            <w:tcW w:w="645" w:type="dxa"/>
            <w:vAlign w:val="center"/>
          </w:tcPr>
          <w:p>
            <w:pPr>
              <w:pStyle w:val="2691"/>
            </w:pPr>
            <w:r>
              <w:rPr>
                <w:rFonts w:hint="eastAsia"/>
              </w:rPr>
              <w:t>70</w:t>
            </w:r>
          </w:p>
        </w:tc>
        <w:tc>
          <w:tcPr>
            <w:tcW w:w="660" w:type="dxa"/>
            <w:vAlign w:val="center"/>
          </w:tcPr>
          <w:p>
            <w:pPr>
              <w:pStyle w:val="2691"/>
            </w:pPr>
            <w:r>
              <w:t>55</w:t>
            </w:r>
          </w:p>
        </w:tc>
        <w:tc>
          <w:tcPr>
            <w:tcW w:w="705" w:type="dxa"/>
            <w:vAlign w:val="center"/>
          </w:tcPr>
          <w:p>
            <w:pPr>
              <w:pStyle w:val="2691"/>
            </w:pPr>
            <w:r>
              <w:t>达标</w:t>
            </w:r>
          </w:p>
        </w:tc>
        <w:tc>
          <w:tcPr>
            <w:tcW w:w="646" w:type="dxa"/>
            <w:vAlign w:val="center"/>
          </w:tcPr>
          <w:p>
            <w:pPr>
              <w:pStyle w:val="2691"/>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550" w:type="dxa"/>
            <w:vAlign w:val="center"/>
          </w:tcPr>
          <w:p>
            <w:pPr>
              <w:pStyle w:val="2691"/>
            </w:pPr>
            <w:r>
              <w:rPr>
                <w:rFonts w:hint="eastAsia"/>
              </w:rPr>
              <w:t>码头后方陆域A地块东南</w:t>
            </w:r>
            <w:r>
              <w:t>厂界外</w:t>
            </w:r>
            <w:r>
              <w:rPr>
                <w:rFonts w:hint="eastAsia"/>
              </w:rPr>
              <w:t>1</w:t>
            </w:r>
            <w:r>
              <w:t>m处</w:t>
            </w:r>
          </w:p>
        </w:tc>
        <w:tc>
          <w:tcPr>
            <w:tcW w:w="705" w:type="dxa"/>
            <w:vAlign w:val="center"/>
          </w:tcPr>
          <w:p>
            <w:pPr>
              <w:pStyle w:val="2691"/>
            </w:pPr>
            <w:r>
              <w:rPr>
                <w:rFonts w:hint="eastAsia"/>
              </w:rPr>
              <w:t>51.8</w:t>
            </w:r>
          </w:p>
        </w:tc>
        <w:tc>
          <w:tcPr>
            <w:tcW w:w="750" w:type="dxa"/>
            <w:vAlign w:val="center"/>
          </w:tcPr>
          <w:p>
            <w:pPr>
              <w:pStyle w:val="2691"/>
            </w:pPr>
            <w:r>
              <w:rPr>
                <w:rFonts w:hint="eastAsia"/>
              </w:rPr>
              <w:t>42.3</w:t>
            </w:r>
          </w:p>
        </w:tc>
        <w:tc>
          <w:tcPr>
            <w:tcW w:w="720" w:type="dxa"/>
            <w:vAlign w:val="center"/>
          </w:tcPr>
          <w:p>
            <w:pPr>
              <w:pStyle w:val="2691"/>
            </w:pPr>
            <w:r>
              <w:rPr>
                <w:rFonts w:hint="eastAsia"/>
              </w:rPr>
              <w:t>53.4</w:t>
            </w:r>
          </w:p>
        </w:tc>
        <w:tc>
          <w:tcPr>
            <w:tcW w:w="660" w:type="dxa"/>
            <w:vAlign w:val="center"/>
          </w:tcPr>
          <w:p>
            <w:pPr>
              <w:pStyle w:val="2691"/>
            </w:pPr>
            <w:r>
              <w:rPr>
                <w:rFonts w:hint="eastAsia"/>
              </w:rPr>
              <w:t>43.2</w:t>
            </w:r>
          </w:p>
        </w:tc>
        <w:tc>
          <w:tcPr>
            <w:tcW w:w="645" w:type="dxa"/>
            <w:vAlign w:val="center"/>
          </w:tcPr>
          <w:p>
            <w:pPr>
              <w:pStyle w:val="2691"/>
            </w:pPr>
            <w:r>
              <w:rPr>
                <w:rFonts w:hint="eastAsia"/>
              </w:rPr>
              <w:t>70</w:t>
            </w:r>
          </w:p>
        </w:tc>
        <w:tc>
          <w:tcPr>
            <w:tcW w:w="660" w:type="dxa"/>
            <w:vAlign w:val="center"/>
          </w:tcPr>
          <w:p>
            <w:pPr>
              <w:pStyle w:val="2691"/>
            </w:pPr>
            <w:r>
              <w:t>55</w:t>
            </w:r>
          </w:p>
        </w:tc>
        <w:tc>
          <w:tcPr>
            <w:tcW w:w="705" w:type="dxa"/>
            <w:vAlign w:val="center"/>
          </w:tcPr>
          <w:p>
            <w:pPr>
              <w:pStyle w:val="2691"/>
            </w:pPr>
            <w:r>
              <w:t>达标</w:t>
            </w:r>
          </w:p>
        </w:tc>
        <w:tc>
          <w:tcPr>
            <w:tcW w:w="646" w:type="dxa"/>
            <w:vAlign w:val="center"/>
          </w:tcPr>
          <w:p>
            <w:pPr>
              <w:pStyle w:val="2691"/>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550" w:type="dxa"/>
            <w:vAlign w:val="center"/>
          </w:tcPr>
          <w:p>
            <w:pPr>
              <w:pStyle w:val="2691"/>
            </w:pPr>
            <w:r>
              <w:rPr>
                <w:rFonts w:hint="eastAsia"/>
              </w:rPr>
              <w:t>码头后方陆域A地块西南</w:t>
            </w:r>
            <w:r>
              <w:t>厂界外</w:t>
            </w:r>
            <w:r>
              <w:rPr>
                <w:rFonts w:hint="eastAsia"/>
              </w:rPr>
              <w:t>1</w:t>
            </w:r>
            <w:r>
              <w:t>m处</w:t>
            </w:r>
          </w:p>
        </w:tc>
        <w:tc>
          <w:tcPr>
            <w:tcW w:w="705" w:type="dxa"/>
            <w:vAlign w:val="center"/>
          </w:tcPr>
          <w:p>
            <w:pPr>
              <w:pStyle w:val="2691"/>
            </w:pPr>
            <w:r>
              <w:rPr>
                <w:rFonts w:hint="eastAsia"/>
              </w:rPr>
              <w:t>51.6</w:t>
            </w:r>
          </w:p>
        </w:tc>
        <w:tc>
          <w:tcPr>
            <w:tcW w:w="750" w:type="dxa"/>
            <w:vAlign w:val="center"/>
          </w:tcPr>
          <w:p>
            <w:pPr>
              <w:pStyle w:val="2691"/>
            </w:pPr>
            <w:r>
              <w:rPr>
                <w:rFonts w:hint="eastAsia"/>
              </w:rPr>
              <w:t>42.6</w:t>
            </w:r>
          </w:p>
        </w:tc>
        <w:tc>
          <w:tcPr>
            <w:tcW w:w="720" w:type="dxa"/>
            <w:vAlign w:val="center"/>
          </w:tcPr>
          <w:p>
            <w:pPr>
              <w:pStyle w:val="2691"/>
            </w:pPr>
            <w:r>
              <w:rPr>
                <w:rFonts w:hint="eastAsia"/>
              </w:rPr>
              <w:t>53.1</w:t>
            </w:r>
          </w:p>
        </w:tc>
        <w:tc>
          <w:tcPr>
            <w:tcW w:w="660" w:type="dxa"/>
            <w:vAlign w:val="center"/>
          </w:tcPr>
          <w:p>
            <w:pPr>
              <w:pStyle w:val="2691"/>
            </w:pPr>
            <w:r>
              <w:rPr>
                <w:rFonts w:hint="eastAsia"/>
              </w:rPr>
              <w:t>43.5</w:t>
            </w:r>
          </w:p>
        </w:tc>
        <w:tc>
          <w:tcPr>
            <w:tcW w:w="645" w:type="dxa"/>
            <w:vAlign w:val="center"/>
          </w:tcPr>
          <w:p>
            <w:pPr>
              <w:pStyle w:val="2691"/>
            </w:pPr>
            <w:r>
              <w:rPr>
                <w:rFonts w:hint="eastAsia"/>
              </w:rPr>
              <w:t>70</w:t>
            </w:r>
          </w:p>
        </w:tc>
        <w:tc>
          <w:tcPr>
            <w:tcW w:w="660" w:type="dxa"/>
            <w:vAlign w:val="center"/>
          </w:tcPr>
          <w:p>
            <w:pPr>
              <w:pStyle w:val="2691"/>
            </w:pPr>
            <w:r>
              <w:t>55</w:t>
            </w:r>
          </w:p>
        </w:tc>
        <w:tc>
          <w:tcPr>
            <w:tcW w:w="705" w:type="dxa"/>
            <w:vAlign w:val="center"/>
          </w:tcPr>
          <w:p>
            <w:pPr>
              <w:pStyle w:val="2691"/>
            </w:pPr>
            <w:r>
              <w:t>达标</w:t>
            </w:r>
          </w:p>
        </w:tc>
        <w:tc>
          <w:tcPr>
            <w:tcW w:w="646" w:type="dxa"/>
            <w:vAlign w:val="center"/>
          </w:tcPr>
          <w:p>
            <w:pPr>
              <w:pStyle w:val="2691"/>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12" w:hRule="exact"/>
          <w:jc w:val="center"/>
        </w:trPr>
        <w:tc>
          <w:tcPr>
            <w:tcW w:w="3550" w:type="dxa"/>
            <w:vAlign w:val="center"/>
          </w:tcPr>
          <w:p>
            <w:pPr>
              <w:pStyle w:val="2691"/>
            </w:pPr>
            <w:r>
              <w:rPr>
                <w:rFonts w:hint="eastAsia"/>
              </w:rPr>
              <w:t>码头后方陆域A地块周边200m范围环境敏感点七房村外1m</w:t>
            </w:r>
          </w:p>
        </w:tc>
        <w:tc>
          <w:tcPr>
            <w:tcW w:w="705" w:type="dxa"/>
            <w:vAlign w:val="center"/>
          </w:tcPr>
          <w:p>
            <w:pPr>
              <w:pStyle w:val="2691"/>
            </w:pPr>
            <w:r>
              <w:rPr>
                <w:rFonts w:hint="eastAsia"/>
              </w:rPr>
              <w:t>52.4</w:t>
            </w:r>
          </w:p>
        </w:tc>
        <w:tc>
          <w:tcPr>
            <w:tcW w:w="750" w:type="dxa"/>
            <w:vAlign w:val="center"/>
          </w:tcPr>
          <w:p>
            <w:pPr>
              <w:pStyle w:val="2691"/>
            </w:pPr>
            <w:r>
              <w:rPr>
                <w:rFonts w:hint="eastAsia"/>
              </w:rPr>
              <w:t>43.2</w:t>
            </w:r>
          </w:p>
        </w:tc>
        <w:tc>
          <w:tcPr>
            <w:tcW w:w="720" w:type="dxa"/>
            <w:vAlign w:val="center"/>
          </w:tcPr>
          <w:p>
            <w:pPr>
              <w:pStyle w:val="2691"/>
            </w:pPr>
            <w:r>
              <w:rPr>
                <w:rFonts w:hint="eastAsia"/>
              </w:rPr>
              <w:t>51.8</w:t>
            </w:r>
          </w:p>
        </w:tc>
        <w:tc>
          <w:tcPr>
            <w:tcW w:w="660" w:type="dxa"/>
            <w:vAlign w:val="center"/>
          </w:tcPr>
          <w:p>
            <w:pPr>
              <w:pStyle w:val="2691"/>
            </w:pPr>
            <w:r>
              <w:rPr>
                <w:rFonts w:hint="eastAsia"/>
              </w:rPr>
              <w:t>42.5</w:t>
            </w:r>
          </w:p>
        </w:tc>
        <w:tc>
          <w:tcPr>
            <w:tcW w:w="645" w:type="dxa"/>
            <w:vAlign w:val="center"/>
          </w:tcPr>
          <w:p>
            <w:pPr>
              <w:pStyle w:val="2691"/>
            </w:pPr>
            <w:r>
              <w:t>60</w:t>
            </w:r>
          </w:p>
        </w:tc>
        <w:tc>
          <w:tcPr>
            <w:tcW w:w="660" w:type="dxa"/>
            <w:vAlign w:val="center"/>
          </w:tcPr>
          <w:p>
            <w:pPr>
              <w:pStyle w:val="2691"/>
            </w:pPr>
            <w:r>
              <w:t>50</w:t>
            </w:r>
          </w:p>
        </w:tc>
        <w:tc>
          <w:tcPr>
            <w:tcW w:w="705" w:type="dxa"/>
            <w:vAlign w:val="center"/>
          </w:tcPr>
          <w:p>
            <w:pPr>
              <w:pStyle w:val="2691"/>
            </w:pPr>
            <w:r>
              <w:t>达标</w:t>
            </w:r>
          </w:p>
        </w:tc>
        <w:tc>
          <w:tcPr>
            <w:tcW w:w="646" w:type="dxa"/>
            <w:vAlign w:val="center"/>
          </w:tcPr>
          <w:p>
            <w:pPr>
              <w:pStyle w:val="2691"/>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1" w:hRule="exact"/>
          <w:jc w:val="center"/>
        </w:trPr>
        <w:tc>
          <w:tcPr>
            <w:tcW w:w="3550" w:type="dxa"/>
            <w:vMerge w:val="restart"/>
            <w:vAlign w:val="center"/>
          </w:tcPr>
          <w:p>
            <w:pPr>
              <w:pStyle w:val="2691"/>
              <w:rPr>
                <w:b/>
                <w:bCs/>
              </w:rPr>
            </w:pPr>
            <w:r>
              <w:rPr>
                <w:b/>
                <w:bCs/>
              </w:rPr>
              <w:t>检测点位</w:t>
            </w:r>
          </w:p>
        </w:tc>
        <w:tc>
          <w:tcPr>
            <w:tcW w:w="2835" w:type="dxa"/>
            <w:gridSpan w:val="4"/>
            <w:vAlign w:val="center"/>
          </w:tcPr>
          <w:p>
            <w:pPr>
              <w:pStyle w:val="2691"/>
              <w:rPr>
                <w:b/>
                <w:bCs/>
              </w:rPr>
            </w:pPr>
            <w:r>
              <w:rPr>
                <w:b/>
                <w:bCs/>
              </w:rPr>
              <w:t>检测结果 Leq（dB（A））</w:t>
            </w:r>
          </w:p>
        </w:tc>
        <w:tc>
          <w:tcPr>
            <w:tcW w:w="1305" w:type="dxa"/>
            <w:gridSpan w:val="2"/>
            <w:vMerge w:val="restart"/>
            <w:vAlign w:val="center"/>
          </w:tcPr>
          <w:p>
            <w:pPr>
              <w:pStyle w:val="2691"/>
              <w:rPr>
                <w:b/>
                <w:bCs/>
              </w:rPr>
            </w:pPr>
            <w:r>
              <w:rPr>
                <w:b/>
                <w:bCs/>
              </w:rPr>
              <w:t>标准值</w:t>
            </w:r>
          </w:p>
        </w:tc>
        <w:tc>
          <w:tcPr>
            <w:tcW w:w="1351" w:type="dxa"/>
            <w:gridSpan w:val="2"/>
            <w:vMerge w:val="restart"/>
            <w:vAlign w:val="center"/>
          </w:tcPr>
          <w:p>
            <w:pPr>
              <w:pStyle w:val="2691"/>
              <w:rPr>
                <w:b/>
                <w:bCs/>
              </w:rPr>
            </w:pPr>
            <w:r>
              <w:rPr>
                <w:b/>
                <w:bCs/>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9" w:hRule="exact"/>
          <w:jc w:val="center"/>
        </w:trPr>
        <w:tc>
          <w:tcPr>
            <w:tcW w:w="3550" w:type="dxa"/>
            <w:vMerge w:val="continue"/>
            <w:vAlign w:val="center"/>
          </w:tcPr>
          <w:p>
            <w:pPr>
              <w:pStyle w:val="2691"/>
              <w:rPr>
                <w:b/>
                <w:bCs/>
              </w:rPr>
            </w:pPr>
          </w:p>
        </w:tc>
        <w:tc>
          <w:tcPr>
            <w:tcW w:w="1455" w:type="dxa"/>
            <w:gridSpan w:val="2"/>
            <w:vAlign w:val="top"/>
          </w:tcPr>
          <w:p>
            <w:pPr>
              <w:pStyle w:val="2691"/>
              <w:rPr>
                <w:b/>
                <w:bCs/>
              </w:rPr>
            </w:pPr>
            <w:r>
              <w:rPr>
                <w:b/>
                <w:bCs/>
              </w:rPr>
              <w:t>20</w:t>
            </w:r>
            <w:r>
              <w:rPr>
                <w:rFonts w:hint="eastAsia"/>
                <w:b/>
                <w:bCs/>
              </w:rPr>
              <w:t>22</w:t>
            </w:r>
            <w:r>
              <w:rPr>
                <w:b/>
                <w:bCs/>
              </w:rPr>
              <w:t>.</w:t>
            </w:r>
            <w:r>
              <w:rPr>
                <w:rFonts w:hint="eastAsia"/>
                <w:b/>
                <w:bCs/>
              </w:rPr>
              <w:t>10</w:t>
            </w:r>
            <w:r>
              <w:rPr>
                <w:b/>
                <w:bCs/>
              </w:rPr>
              <w:t>.</w:t>
            </w:r>
            <w:r>
              <w:rPr>
                <w:rFonts w:hint="eastAsia"/>
                <w:b/>
                <w:bCs/>
              </w:rPr>
              <w:t>19</w:t>
            </w:r>
          </w:p>
        </w:tc>
        <w:tc>
          <w:tcPr>
            <w:tcW w:w="1380" w:type="dxa"/>
            <w:gridSpan w:val="2"/>
            <w:vAlign w:val="top"/>
          </w:tcPr>
          <w:p>
            <w:pPr>
              <w:pStyle w:val="2691"/>
              <w:rPr>
                <w:b/>
                <w:bCs/>
              </w:rPr>
            </w:pPr>
            <w:r>
              <w:rPr>
                <w:b/>
                <w:bCs/>
              </w:rPr>
              <w:t>20</w:t>
            </w:r>
            <w:r>
              <w:rPr>
                <w:rFonts w:hint="eastAsia"/>
                <w:b/>
                <w:bCs/>
              </w:rPr>
              <w:t>22</w:t>
            </w:r>
            <w:r>
              <w:rPr>
                <w:b/>
                <w:bCs/>
              </w:rPr>
              <w:t>.</w:t>
            </w:r>
            <w:r>
              <w:rPr>
                <w:rFonts w:hint="eastAsia"/>
                <w:b/>
                <w:bCs/>
              </w:rPr>
              <w:t>10</w:t>
            </w:r>
            <w:r>
              <w:rPr>
                <w:b/>
                <w:bCs/>
              </w:rPr>
              <w:t>.</w:t>
            </w:r>
            <w:r>
              <w:rPr>
                <w:rFonts w:hint="eastAsia"/>
                <w:b/>
                <w:bCs/>
              </w:rPr>
              <w:t>20</w:t>
            </w:r>
          </w:p>
        </w:tc>
        <w:tc>
          <w:tcPr>
            <w:tcW w:w="1305" w:type="dxa"/>
            <w:gridSpan w:val="2"/>
            <w:vMerge w:val="continue"/>
            <w:vAlign w:val="center"/>
          </w:tcPr>
          <w:p>
            <w:pPr>
              <w:pStyle w:val="2691"/>
              <w:rPr>
                <w:b/>
                <w:bCs/>
              </w:rPr>
            </w:pPr>
          </w:p>
        </w:tc>
        <w:tc>
          <w:tcPr>
            <w:tcW w:w="1351" w:type="dxa"/>
            <w:gridSpan w:val="2"/>
            <w:vMerge w:val="continue"/>
            <w:vAlign w:val="center"/>
          </w:tcPr>
          <w:p>
            <w:pPr>
              <w:pStyle w:val="2691"/>
              <w:rPr>
                <w:b/>
                <w:bC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exact"/>
          <w:jc w:val="center"/>
        </w:trPr>
        <w:tc>
          <w:tcPr>
            <w:tcW w:w="3550" w:type="dxa"/>
            <w:vMerge w:val="continue"/>
            <w:vAlign w:val="center"/>
          </w:tcPr>
          <w:p>
            <w:pPr>
              <w:pStyle w:val="2691"/>
              <w:rPr>
                <w:b/>
                <w:bCs/>
              </w:rPr>
            </w:pPr>
          </w:p>
        </w:tc>
        <w:tc>
          <w:tcPr>
            <w:tcW w:w="705" w:type="dxa"/>
            <w:vAlign w:val="center"/>
          </w:tcPr>
          <w:p>
            <w:pPr>
              <w:pStyle w:val="2691"/>
              <w:rPr>
                <w:b/>
                <w:bCs/>
              </w:rPr>
            </w:pPr>
            <w:r>
              <w:rPr>
                <w:b/>
                <w:bCs/>
              </w:rPr>
              <w:t>昼间</w:t>
            </w:r>
          </w:p>
        </w:tc>
        <w:tc>
          <w:tcPr>
            <w:tcW w:w="750" w:type="dxa"/>
            <w:vAlign w:val="center"/>
          </w:tcPr>
          <w:p>
            <w:pPr>
              <w:pStyle w:val="2691"/>
              <w:rPr>
                <w:b/>
                <w:bCs/>
              </w:rPr>
            </w:pPr>
            <w:r>
              <w:rPr>
                <w:b/>
                <w:bCs/>
              </w:rPr>
              <w:t>夜间</w:t>
            </w:r>
          </w:p>
        </w:tc>
        <w:tc>
          <w:tcPr>
            <w:tcW w:w="720" w:type="dxa"/>
            <w:vAlign w:val="center"/>
          </w:tcPr>
          <w:p>
            <w:pPr>
              <w:pStyle w:val="2691"/>
              <w:rPr>
                <w:b/>
                <w:bCs/>
              </w:rPr>
            </w:pPr>
            <w:r>
              <w:rPr>
                <w:b/>
                <w:bCs/>
              </w:rPr>
              <w:t>昼间</w:t>
            </w:r>
          </w:p>
        </w:tc>
        <w:tc>
          <w:tcPr>
            <w:tcW w:w="660" w:type="dxa"/>
            <w:vAlign w:val="center"/>
          </w:tcPr>
          <w:p>
            <w:pPr>
              <w:pStyle w:val="2691"/>
              <w:rPr>
                <w:b/>
                <w:bCs/>
              </w:rPr>
            </w:pPr>
            <w:r>
              <w:rPr>
                <w:b/>
                <w:bCs/>
              </w:rPr>
              <w:t>夜间</w:t>
            </w:r>
          </w:p>
        </w:tc>
        <w:tc>
          <w:tcPr>
            <w:tcW w:w="645" w:type="dxa"/>
            <w:vAlign w:val="center"/>
          </w:tcPr>
          <w:p>
            <w:pPr>
              <w:pStyle w:val="2691"/>
              <w:rPr>
                <w:b/>
                <w:bCs/>
              </w:rPr>
            </w:pPr>
            <w:r>
              <w:rPr>
                <w:b/>
                <w:bCs/>
              </w:rPr>
              <w:t>昼间</w:t>
            </w:r>
          </w:p>
        </w:tc>
        <w:tc>
          <w:tcPr>
            <w:tcW w:w="660" w:type="dxa"/>
            <w:vAlign w:val="center"/>
          </w:tcPr>
          <w:p>
            <w:pPr>
              <w:pStyle w:val="2691"/>
              <w:rPr>
                <w:b/>
                <w:bCs/>
              </w:rPr>
            </w:pPr>
            <w:r>
              <w:rPr>
                <w:b/>
                <w:bCs/>
              </w:rPr>
              <w:t>夜间</w:t>
            </w:r>
          </w:p>
        </w:tc>
        <w:tc>
          <w:tcPr>
            <w:tcW w:w="705" w:type="dxa"/>
            <w:vAlign w:val="center"/>
          </w:tcPr>
          <w:p>
            <w:pPr>
              <w:pStyle w:val="2691"/>
              <w:rPr>
                <w:b/>
                <w:bCs/>
              </w:rPr>
            </w:pPr>
            <w:r>
              <w:rPr>
                <w:b/>
                <w:bCs/>
              </w:rPr>
              <w:t>昼间</w:t>
            </w:r>
          </w:p>
        </w:tc>
        <w:tc>
          <w:tcPr>
            <w:tcW w:w="646" w:type="dxa"/>
            <w:vAlign w:val="center"/>
          </w:tcPr>
          <w:p>
            <w:pPr>
              <w:pStyle w:val="2691"/>
              <w:rPr>
                <w:b/>
                <w:bCs/>
              </w:rPr>
            </w:pPr>
            <w:r>
              <w:rPr>
                <w:b/>
                <w:bCs/>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exact"/>
          <w:jc w:val="center"/>
        </w:trPr>
        <w:tc>
          <w:tcPr>
            <w:tcW w:w="3550" w:type="dxa"/>
            <w:vAlign w:val="center"/>
          </w:tcPr>
          <w:p>
            <w:pPr>
              <w:pStyle w:val="2691"/>
            </w:pPr>
            <w:r>
              <w:rPr>
                <w:rFonts w:hint="eastAsia"/>
              </w:rPr>
              <w:t>码头后方陆域B地块西北</w:t>
            </w:r>
            <w:r>
              <w:t>厂界外</w:t>
            </w:r>
            <w:r>
              <w:rPr>
                <w:rFonts w:hint="eastAsia"/>
              </w:rPr>
              <w:t>1</w:t>
            </w:r>
            <w:r>
              <w:t>m处</w:t>
            </w:r>
          </w:p>
        </w:tc>
        <w:tc>
          <w:tcPr>
            <w:tcW w:w="705" w:type="dxa"/>
            <w:vAlign w:val="center"/>
          </w:tcPr>
          <w:p>
            <w:pPr>
              <w:pStyle w:val="2691"/>
            </w:pPr>
            <w:r>
              <w:rPr>
                <w:rFonts w:hint="eastAsia"/>
              </w:rPr>
              <w:t>61</w:t>
            </w:r>
          </w:p>
        </w:tc>
        <w:tc>
          <w:tcPr>
            <w:tcW w:w="750" w:type="dxa"/>
            <w:vAlign w:val="center"/>
          </w:tcPr>
          <w:p>
            <w:pPr>
              <w:pStyle w:val="2691"/>
            </w:pPr>
            <w:r>
              <w:rPr>
                <w:rFonts w:hint="eastAsia"/>
              </w:rPr>
              <w:t>48</w:t>
            </w:r>
          </w:p>
        </w:tc>
        <w:tc>
          <w:tcPr>
            <w:tcW w:w="720" w:type="dxa"/>
            <w:vAlign w:val="center"/>
          </w:tcPr>
          <w:p>
            <w:pPr>
              <w:pStyle w:val="2691"/>
            </w:pPr>
            <w:r>
              <w:rPr>
                <w:rFonts w:hint="eastAsia"/>
              </w:rPr>
              <w:t>62</w:t>
            </w:r>
          </w:p>
        </w:tc>
        <w:tc>
          <w:tcPr>
            <w:tcW w:w="660" w:type="dxa"/>
            <w:vAlign w:val="center"/>
          </w:tcPr>
          <w:p>
            <w:pPr>
              <w:pStyle w:val="2691"/>
            </w:pPr>
            <w:r>
              <w:rPr>
                <w:rFonts w:hint="eastAsia"/>
              </w:rPr>
              <w:t>47</w:t>
            </w:r>
          </w:p>
        </w:tc>
        <w:tc>
          <w:tcPr>
            <w:tcW w:w="645" w:type="dxa"/>
            <w:vAlign w:val="center"/>
          </w:tcPr>
          <w:p>
            <w:pPr>
              <w:pStyle w:val="2691"/>
            </w:pPr>
            <w:r>
              <w:rPr>
                <w:rFonts w:hint="eastAsia"/>
              </w:rPr>
              <w:t>65</w:t>
            </w:r>
          </w:p>
        </w:tc>
        <w:tc>
          <w:tcPr>
            <w:tcW w:w="660" w:type="dxa"/>
            <w:vAlign w:val="center"/>
          </w:tcPr>
          <w:p>
            <w:pPr>
              <w:pStyle w:val="2691"/>
            </w:pPr>
            <w:r>
              <w:t>55</w:t>
            </w:r>
          </w:p>
        </w:tc>
        <w:tc>
          <w:tcPr>
            <w:tcW w:w="705" w:type="dxa"/>
            <w:vAlign w:val="center"/>
          </w:tcPr>
          <w:p>
            <w:pPr>
              <w:pStyle w:val="2691"/>
            </w:pPr>
            <w:r>
              <w:t>达标</w:t>
            </w:r>
          </w:p>
        </w:tc>
        <w:tc>
          <w:tcPr>
            <w:tcW w:w="646" w:type="dxa"/>
            <w:vAlign w:val="center"/>
          </w:tcPr>
          <w:p>
            <w:pPr>
              <w:pStyle w:val="2691"/>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550" w:type="dxa"/>
            <w:vAlign w:val="center"/>
          </w:tcPr>
          <w:p>
            <w:pPr>
              <w:pStyle w:val="2691"/>
            </w:pPr>
            <w:r>
              <w:rPr>
                <w:rFonts w:hint="eastAsia"/>
              </w:rPr>
              <w:t>码头后方陆域B地块东北</w:t>
            </w:r>
            <w:r>
              <w:t>厂界外</w:t>
            </w:r>
            <w:r>
              <w:rPr>
                <w:rFonts w:hint="eastAsia"/>
              </w:rPr>
              <w:t>1</w:t>
            </w:r>
            <w:r>
              <w:t>m处</w:t>
            </w:r>
          </w:p>
        </w:tc>
        <w:tc>
          <w:tcPr>
            <w:tcW w:w="705" w:type="dxa"/>
            <w:vAlign w:val="center"/>
          </w:tcPr>
          <w:p>
            <w:pPr>
              <w:pStyle w:val="2691"/>
            </w:pPr>
            <w:r>
              <w:rPr>
                <w:rFonts w:hint="eastAsia"/>
              </w:rPr>
              <w:t>61</w:t>
            </w:r>
          </w:p>
        </w:tc>
        <w:tc>
          <w:tcPr>
            <w:tcW w:w="750" w:type="dxa"/>
            <w:vAlign w:val="center"/>
          </w:tcPr>
          <w:p>
            <w:pPr>
              <w:pStyle w:val="2691"/>
            </w:pPr>
            <w:r>
              <w:rPr>
                <w:rFonts w:hint="eastAsia"/>
              </w:rPr>
              <w:t>46</w:t>
            </w:r>
          </w:p>
        </w:tc>
        <w:tc>
          <w:tcPr>
            <w:tcW w:w="720" w:type="dxa"/>
            <w:vAlign w:val="center"/>
          </w:tcPr>
          <w:p>
            <w:pPr>
              <w:pStyle w:val="2691"/>
            </w:pPr>
            <w:r>
              <w:rPr>
                <w:rFonts w:hint="eastAsia"/>
              </w:rPr>
              <w:t>62</w:t>
            </w:r>
          </w:p>
        </w:tc>
        <w:tc>
          <w:tcPr>
            <w:tcW w:w="660" w:type="dxa"/>
            <w:vAlign w:val="center"/>
          </w:tcPr>
          <w:p>
            <w:pPr>
              <w:pStyle w:val="2691"/>
            </w:pPr>
            <w:r>
              <w:rPr>
                <w:rFonts w:hint="eastAsia"/>
              </w:rPr>
              <w:t>47</w:t>
            </w:r>
          </w:p>
        </w:tc>
        <w:tc>
          <w:tcPr>
            <w:tcW w:w="645" w:type="dxa"/>
            <w:vAlign w:val="center"/>
          </w:tcPr>
          <w:p>
            <w:pPr>
              <w:pStyle w:val="2691"/>
            </w:pPr>
            <w:r>
              <w:rPr>
                <w:rFonts w:hint="eastAsia"/>
              </w:rPr>
              <w:t>65</w:t>
            </w:r>
          </w:p>
        </w:tc>
        <w:tc>
          <w:tcPr>
            <w:tcW w:w="660" w:type="dxa"/>
            <w:vAlign w:val="center"/>
          </w:tcPr>
          <w:p>
            <w:pPr>
              <w:pStyle w:val="2691"/>
            </w:pPr>
            <w:r>
              <w:t>55</w:t>
            </w:r>
          </w:p>
        </w:tc>
        <w:tc>
          <w:tcPr>
            <w:tcW w:w="705" w:type="dxa"/>
            <w:vAlign w:val="center"/>
          </w:tcPr>
          <w:p>
            <w:pPr>
              <w:pStyle w:val="2691"/>
            </w:pPr>
            <w:r>
              <w:t>达标</w:t>
            </w:r>
          </w:p>
        </w:tc>
        <w:tc>
          <w:tcPr>
            <w:tcW w:w="646" w:type="dxa"/>
            <w:vAlign w:val="center"/>
          </w:tcPr>
          <w:p>
            <w:pPr>
              <w:pStyle w:val="2691"/>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550" w:type="dxa"/>
            <w:vAlign w:val="center"/>
          </w:tcPr>
          <w:p>
            <w:pPr>
              <w:pStyle w:val="2691"/>
            </w:pPr>
            <w:r>
              <w:rPr>
                <w:rFonts w:hint="eastAsia"/>
              </w:rPr>
              <w:t>码头后方陆域B地块东南</w:t>
            </w:r>
            <w:r>
              <w:t>厂界外</w:t>
            </w:r>
            <w:r>
              <w:rPr>
                <w:rFonts w:hint="eastAsia"/>
              </w:rPr>
              <w:t>1</w:t>
            </w:r>
            <w:r>
              <w:t>m处</w:t>
            </w:r>
          </w:p>
        </w:tc>
        <w:tc>
          <w:tcPr>
            <w:tcW w:w="705" w:type="dxa"/>
            <w:vAlign w:val="center"/>
          </w:tcPr>
          <w:p>
            <w:pPr>
              <w:pStyle w:val="2691"/>
            </w:pPr>
            <w:r>
              <w:rPr>
                <w:rFonts w:hint="eastAsia"/>
              </w:rPr>
              <w:t>62</w:t>
            </w:r>
          </w:p>
        </w:tc>
        <w:tc>
          <w:tcPr>
            <w:tcW w:w="750" w:type="dxa"/>
            <w:vAlign w:val="center"/>
          </w:tcPr>
          <w:p>
            <w:pPr>
              <w:pStyle w:val="2691"/>
            </w:pPr>
            <w:r>
              <w:rPr>
                <w:rFonts w:hint="eastAsia"/>
              </w:rPr>
              <w:t>47</w:t>
            </w:r>
          </w:p>
        </w:tc>
        <w:tc>
          <w:tcPr>
            <w:tcW w:w="720" w:type="dxa"/>
            <w:vAlign w:val="center"/>
          </w:tcPr>
          <w:p>
            <w:pPr>
              <w:pStyle w:val="2691"/>
            </w:pPr>
            <w:r>
              <w:rPr>
                <w:rFonts w:hint="eastAsia"/>
              </w:rPr>
              <w:t>61</w:t>
            </w:r>
          </w:p>
        </w:tc>
        <w:tc>
          <w:tcPr>
            <w:tcW w:w="660" w:type="dxa"/>
            <w:vAlign w:val="center"/>
          </w:tcPr>
          <w:p>
            <w:pPr>
              <w:pStyle w:val="2691"/>
            </w:pPr>
            <w:r>
              <w:rPr>
                <w:rFonts w:hint="eastAsia"/>
              </w:rPr>
              <w:t>46</w:t>
            </w:r>
          </w:p>
        </w:tc>
        <w:tc>
          <w:tcPr>
            <w:tcW w:w="645" w:type="dxa"/>
            <w:vAlign w:val="center"/>
          </w:tcPr>
          <w:p>
            <w:pPr>
              <w:pStyle w:val="2691"/>
            </w:pPr>
            <w:r>
              <w:rPr>
                <w:rFonts w:hint="eastAsia"/>
              </w:rPr>
              <w:t>65</w:t>
            </w:r>
          </w:p>
        </w:tc>
        <w:tc>
          <w:tcPr>
            <w:tcW w:w="660" w:type="dxa"/>
            <w:vAlign w:val="center"/>
          </w:tcPr>
          <w:p>
            <w:pPr>
              <w:pStyle w:val="2691"/>
            </w:pPr>
            <w:r>
              <w:t>55</w:t>
            </w:r>
          </w:p>
        </w:tc>
        <w:tc>
          <w:tcPr>
            <w:tcW w:w="705" w:type="dxa"/>
            <w:vAlign w:val="center"/>
          </w:tcPr>
          <w:p>
            <w:pPr>
              <w:pStyle w:val="2691"/>
            </w:pPr>
            <w:r>
              <w:t>达标</w:t>
            </w:r>
          </w:p>
        </w:tc>
        <w:tc>
          <w:tcPr>
            <w:tcW w:w="646" w:type="dxa"/>
            <w:vAlign w:val="center"/>
          </w:tcPr>
          <w:p>
            <w:pPr>
              <w:pStyle w:val="2691"/>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550" w:type="dxa"/>
            <w:vAlign w:val="center"/>
          </w:tcPr>
          <w:p>
            <w:pPr>
              <w:pStyle w:val="2691"/>
            </w:pPr>
            <w:r>
              <w:rPr>
                <w:rFonts w:hint="eastAsia"/>
              </w:rPr>
              <w:t>码头后方陆域B地块西南</w:t>
            </w:r>
            <w:r>
              <w:t>厂界外</w:t>
            </w:r>
            <w:r>
              <w:rPr>
                <w:rFonts w:hint="eastAsia"/>
              </w:rPr>
              <w:t>1</w:t>
            </w:r>
            <w:r>
              <w:t>m处</w:t>
            </w:r>
          </w:p>
        </w:tc>
        <w:tc>
          <w:tcPr>
            <w:tcW w:w="705" w:type="dxa"/>
            <w:vAlign w:val="center"/>
          </w:tcPr>
          <w:p>
            <w:pPr>
              <w:pStyle w:val="2691"/>
            </w:pPr>
            <w:r>
              <w:rPr>
                <w:rFonts w:hint="eastAsia"/>
              </w:rPr>
              <w:t>61</w:t>
            </w:r>
          </w:p>
        </w:tc>
        <w:tc>
          <w:tcPr>
            <w:tcW w:w="750" w:type="dxa"/>
            <w:vAlign w:val="center"/>
          </w:tcPr>
          <w:p>
            <w:pPr>
              <w:pStyle w:val="2691"/>
            </w:pPr>
            <w:r>
              <w:rPr>
                <w:rFonts w:hint="eastAsia"/>
              </w:rPr>
              <w:t>47</w:t>
            </w:r>
          </w:p>
        </w:tc>
        <w:tc>
          <w:tcPr>
            <w:tcW w:w="720" w:type="dxa"/>
            <w:vAlign w:val="center"/>
          </w:tcPr>
          <w:p>
            <w:pPr>
              <w:pStyle w:val="2691"/>
            </w:pPr>
            <w:r>
              <w:rPr>
                <w:rFonts w:hint="eastAsia"/>
              </w:rPr>
              <w:t>61</w:t>
            </w:r>
          </w:p>
        </w:tc>
        <w:tc>
          <w:tcPr>
            <w:tcW w:w="660" w:type="dxa"/>
            <w:vAlign w:val="center"/>
          </w:tcPr>
          <w:p>
            <w:pPr>
              <w:pStyle w:val="2691"/>
            </w:pPr>
            <w:r>
              <w:rPr>
                <w:rFonts w:hint="eastAsia"/>
              </w:rPr>
              <w:t>47</w:t>
            </w:r>
          </w:p>
        </w:tc>
        <w:tc>
          <w:tcPr>
            <w:tcW w:w="645" w:type="dxa"/>
            <w:vAlign w:val="center"/>
          </w:tcPr>
          <w:p>
            <w:pPr>
              <w:pStyle w:val="2691"/>
            </w:pPr>
            <w:r>
              <w:rPr>
                <w:rFonts w:hint="eastAsia"/>
              </w:rPr>
              <w:t>65</w:t>
            </w:r>
          </w:p>
        </w:tc>
        <w:tc>
          <w:tcPr>
            <w:tcW w:w="660" w:type="dxa"/>
            <w:vAlign w:val="center"/>
          </w:tcPr>
          <w:p>
            <w:pPr>
              <w:pStyle w:val="2691"/>
            </w:pPr>
            <w:r>
              <w:t>55</w:t>
            </w:r>
          </w:p>
        </w:tc>
        <w:tc>
          <w:tcPr>
            <w:tcW w:w="705" w:type="dxa"/>
            <w:vAlign w:val="center"/>
          </w:tcPr>
          <w:p>
            <w:pPr>
              <w:pStyle w:val="2691"/>
            </w:pPr>
            <w:r>
              <w:t>达标</w:t>
            </w:r>
          </w:p>
        </w:tc>
        <w:tc>
          <w:tcPr>
            <w:tcW w:w="646" w:type="dxa"/>
            <w:vAlign w:val="center"/>
          </w:tcPr>
          <w:p>
            <w:pPr>
              <w:pStyle w:val="2691"/>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37" w:hRule="exact"/>
          <w:jc w:val="center"/>
        </w:trPr>
        <w:tc>
          <w:tcPr>
            <w:tcW w:w="3550" w:type="dxa"/>
            <w:vAlign w:val="center"/>
          </w:tcPr>
          <w:p>
            <w:pPr>
              <w:pStyle w:val="2691"/>
            </w:pPr>
            <w:r>
              <w:rPr>
                <w:rFonts w:hint="eastAsia"/>
              </w:rPr>
              <w:t>码头后方陆域B地块周边200m范围环境敏感点滨江村外1m</w:t>
            </w:r>
          </w:p>
        </w:tc>
        <w:tc>
          <w:tcPr>
            <w:tcW w:w="705" w:type="dxa"/>
            <w:vAlign w:val="center"/>
          </w:tcPr>
          <w:p>
            <w:pPr>
              <w:pStyle w:val="2691"/>
            </w:pPr>
            <w:r>
              <w:rPr>
                <w:rFonts w:hint="eastAsia"/>
              </w:rPr>
              <w:t>56</w:t>
            </w:r>
          </w:p>
        </w:tc>
        <w:tc>
          <w:tcPr>
            <w:tcW w:w="750" w:type="dxa"/>
            <w:vAlign w:val="center"/>
          </w:tcPr>
          <w:p>
            <w:pPr>
              <w:pStyle w:val="2691"/>
            </w:pPr>
            <w:r>
              <w:rPr>
                <w:rFonts w:hint="eastAsia"/>
              </w:rPr>
              <w:t>43</w:t>
            </w:r>
          </w:p>
        </w:tc>
        <w:tc>
          <w:tcPr>
            <w:tcW w:w="720" w:type="dxa"/>
            <w:vAlign w:val="center"/>
          </w:tcPr>
          <w:p>
            <w:pPr>
              <w:pStyle w:val="2691"/>
            </w:pPr>
            <w:r>
              <w:rPr>
                <w:rFonts w:hint="eastAsia"/>
              </w:rPr>
              <w:t>56</w:t>
            </w:r>
          </w:p>
        </w:tc>
        <w:tc>
          <w:tcPr>
            <w:tcW w:w="660" w:type="dxa"/>
            <w:vAlign w:val="center"/>
          </w:tcPr>
          <w:p>
            <w:pPr>
              <w:pStyle w:val="2691"/>
            </w:pPr>
            <w:r>
              <w:rPr>
                <w:rFonts w:hint="eastAsia"/>
              </w:rPr>
              <w:t>45</w:t>
            </w:r>
          </w:p>
        </w:tc>
        <w:tc>
          <w:tcPr>
            <w:tcW w:w="645" w:type="dxa"/>
            <w:vAlign w:val="center"/>
          </w:tcPr>
          <w:p>
            <w:pPr>
              <w:pStyle w:val="2691"/>
            </w:pPr>
            <w:r>
              <w:t>60</w:t>
            </w:r>
          </w:p>
        </w:tc>
        <w:tc>
          <w:tcPr>
            <w:tcW w:w="660" w:type="dxa"/>
            <w:vAlign w:val="center"/>
          </w:tcPr>
          <w:p>
            <w:pPr>
              <w:pStyle w:val="2691"/>
            </w:pPr>
            <w:r>
              <w:t>50</w:t>
            </w:r>
          </w:p>
        </w:tc>
        <w:tc>
          <w:tcPr>
            <w:tcW w:w="705" w:type="dxa"/>
            <w:vAlign w:val="center"/>
          </w:tcPr>
          <w:p>
            <w:pPr>
              <w:pStyle w:val="2691"/>
            </w:pPr>
            <w:r>
              <w:t>达标</w:t>
            </w:r>
          </w:p>
        </w:tc>
        <w:tc>
          <w:tcPr>
            <w:tcW w:w="646" w:type="dxa"/>
            <w:vAlign w:val="center"/>
          </w:tcPr>
          <w:p>
            <w:pPr>
              <w:pStyle w:val="2691"/>
            </w:pPr>
            <w:r>
              <w:t>达标</w:t>
            </w:r>
          </w:p>
        </w:tc>
      </w:tr>
    </w:tbl>
    <w:p>
      <w:pPr>
        <w:ind w:firstLine="480"/>
      </w:pPr>
      <w:r>
        <w:t>根据</w:t>
      </w:r>
      <w:r>
        <w:rPr>
          <w:rFonts w:hint="eastAsia"/>
        </w:rPr>
        <w:t>上</w:t>
      </w:r>
      <w:r>
        <w:t>表中监测分析结果：1#</w:t>
      </w:r>
      <w:r>
        <w:rPr>
          <w:rFonts w:hint="eastAsia"/>
        </w:rPr>
        <w:t>~4</w:t>
      </w:r>
      <w:r>
        <w:t>#点位</w:t>
      </w:r>
      <w:r>
        <w:rPr>
          <w:rFonts w:hint="eastAsia"/>
        </w:rPr>
        <w:t>昼间、夜间噪声均</w:t>
      </w:r>
      <w:r>
        <w:t>满足《声环境质量标准》(GB3096-2008)中</w:t>
      </w:r>
      <w:r>
        <w:rPr>
          <w:rFonts w:hint="eastAsia"/>
        </w:rPr>
        <w:t>4a</w:t>
      </w:r>
      <w:r>
        <w:t>类标准，</w:t>
      </w:r>
      <w:r>
        <w:rPr>
          <w:rFonts w:hint="eastAsia"/>
        </w:rPr>
        <w:t>6#~9#点位昼间、夜间噪声均</w:t>
      </w:r>
      <w:r>
        <w:t>满足</w:t>
      </w:r>
      <w:r>
        <w:rPr>
          <w:rFonts w:hint="eastAsia"/>
          <w:color w:val="000000"/>
        </w:rPr>
        <w:t>《声环境质量标准》（GB3096-2008）3类标准，</w:t>
      </w:r>
      <w:r>
        <w:rPr>
          <w:rFonts w:hint="eastAsia"/>
        </w:rPr>
        <w:t>5</w:t>
      </w:r>
      <w:r>
        <w:t>#</w:t>
      </w:r>
      <w:r>
        <w:rPr>
          <w:rFonts w:hint="eastAsia"/>
        </w:rPr>
        <w:t>、10#</w:t>
      </w:r>
      <w:r>
        <w:t>点位</w:t>
      </w:r>
      <w:r>
        <w:rPr>
          <w:rFonts w:hint="eastAsia"/>
        </w:rPr>
        <w:t>昼间、夜间噪声均</w:t>
      </w:r>
      <w:r>
        <w:t>满足</w:t>
      </w:r>
      <w:r>
        <w:rPr>
          <w:rFonts w:hint="eastAsia"/>
          <w:color w:val="000000"/>
        </w:rPr>
        <w:t>《声环境质量标准》（GB3096-2008）2类标准。</w:t>
      </w:r>
      <w:r>
        <w:t>工程所在区域声环境质量现状良好。</w:t>
      </w:r>
    </w:p>
    <w:p>
      <w:pPr>
        <w:pStyle w:val="453"/>
        <w:ind w:firstLine="643" w:firstLineChars="0"/>
        <w:rPr>
          <w:rFonts w:ascii="Times New Roman" w:cs="Times New Roman"/>
        </w:rPr>
      </w:pPr>
      <w:bookmarkStart w:id="142" w:name="_Toc106697008"/>
      <w:bookmarkStart w:id="143" w:name="_Toc31047"/>
      <w:bookmarkStart w:id="144" w:name="_Toc9750"/>
      <w:r>
        <w:rPr>
          <w:rFonts w:ascii="Times New Roman" w:cs="Times New Roman"/>
        </w:rPr>
        <w:t>生态环境现状调查与评价</w:t>
      </w:r>
      <w:bookmarkEnd w:id="142"/>
      <w:bookmarkEnd w:id="143"/>
      <w:bookmarkEnd w:id="144"/>
    </w:p>
    <w:p>
      <w:pPr>
        <w:pStyle w:val="454"/>
        <w:ind w:firstLine="602"/>
        <w:rPr>
          <w:color w:val="auto"/>
          <w:lang w:val="en-US"/>
        </w:rPr>
      </w:pPr>
      <w:r>
        <w:rPr>
          <w:rFonts w:hint="eastAsia"/>
          <w:color w:val="auto"/>
          <w:lang w:val="en-US"/>
        </w:rPr>
        <w:t>陆生生态环境现状调查与评价</w:t>
      </w:r>
    </w:p>
    <w:p>
      <w:pPr>
        <w:pStyle w:val="458"/>
        <w:ind w:firstLine="480"/>
        <w:rPr>
          <w:rFonts w:cs="Times New Roman"/>
          <w:color w:val="auto"/>
          <w:lang w:val="zh-CN"/>
        </w:rPr>
      </w:pPr>
      <w:r>
        <w:rPr>
          <w:rFonts w:cs="Times New Roman"/>
          <w:color w:val="auto"/>
          <w:lang w:val="zh-CN"/>
        </w:rPr>
        <w:t>根据现场调查，</w:t>
      </w:r>
      <w:r>
        <w:rPr>
          <w:rFonts w:cs="Times New Roman"/>
          <w:color w:val="auto"/>
        </w:rPr>
        <w:t>通过本项目选址位置与湖南省生态保护红线区域的位置关系对比，本项目不涉及生态红线保护区（详见附件4）</w:t>
      </w:r>
      <w:r>
        <w:rPr>
          <w:rFonts w:hint="eastAsia" w:cs="Times New Roman"/>
          <w:color w:val="auto"/>
          <w:lang w:eastAsia="zh-CN"/>
        </w:rPr>
        <w:t>，</w:t>
      </w:r>
      <w:r>
        <w:rPr>
          <w:rFonts w:cs="Times New Roman"/>
          <w:color w:val="auto"/>
          <w:lang w:val="zh-CN"/>
        </w:rPr>
        <w:t>未发现国家级和地方重点保护野生动植物和名木古树分布，不涉及基本农田，不涉及国家和省级生态公益林；。</w:t>
      </w:r>
    </w:p>
    <w:p>
      <w:pPr>
        <w:ind w:firstLine="480"/>
      </w:pPr>
      <w:r>
        <w:rPr>
          <w:rFonts w:hint="eastAsia"/>
        </w:rPr>
        <w:t>评价区内自然生态类型单一，大面积自然土壤和原生植被不复存在，残存的自然植被多系草本植物。在植被的制约下，自然动物群的原来面貌也已大为改观，区域内没有大型野生动物，以小型啮齿动物鼠类为主。</w:t>
      </w:r>
    </w:p>
    <w:p>
      <w:pPr>
        <w:ind w:firstLine="480"/>
        <w:rPr>
          <w:szCs w:val="24"/>
        </w:rPr>
      </w:pPr>
      <w:r>
        <w:rPr>
          <w:rFonts w:hint="eastAsia" w:ascii="宋体" w:hAnsi="宋体"/>
          <w:szCs w:val="24"/>
        </w:rPr>
        <w:t>（1）植物资源</w:t>
      </w:r>
    </w:p>
    <w:p>
      <w:pPr>
        <w:ind w:firstLine="480"/>
        <w:rPr>
          <w:szCs w:val="24"/>
        </w:rPr>
      </w:pPr>
      <w:r>
        <w:rPr>
          <w:rFonts w:ascii="宋体" w:hAnsi="宋体"/>
          <w:szCs w:val="24"/>
        </w:rPr>
        <w:t>评价范围原生植被基本上已经被破坏，评价区域目前空闲，原生的植被比较少，常见的种类有构树、接骨草，现存植被主要是人工栽培植被，长江大堤内外侧均有人工种植的意杨林，新建码头陆域内主要是灌草地，优势种有狗牙根、野胡萝卜、苍耳、白茅、一年蓬、狗尾草、空心莲子草等，伴生有苜蓿、天葵、苦苣菜、野苋菜、鬼针草、马鞭草等，层外植物主要有乌蔹莓、葎草、千金藤等。评价范围内未发现古树名木及国家重点保护野生植物资源的分布。</w:t>
      </w:r>
    </w:p>
    <w:p>
      <w:pPr>
        <w:ind w:firstLine="480"/>
        <w:rPr>
          <w:szCs w:val="24"/>
        </w:rPr>
      </w:pPr>
      <w:r>
        <w:rPr>
          <w:rFonts w:hint="eastAsia" w:ascii="宋体" w:hAnsi="宋体"/>
          <w:szCs w:val="24"/>
        </w:rPr>
        <w:t>（</w:t>
      </w:r>
      <w:r>
        <w:rPr>
          <w:rFonts w:ascii="宋体" w:hAnsi="宋体"/>
          <w:szCs w:val="24"/>
        </w:rPr>
        <w:t>2</w:t>
      </w:r>
      <w:r>
        <w:rPr>
          <w:rFonts w:hint="eastAsia" w:ascii="宋体" w:hAnsi="宋体"/>
          <w:szCs w:val="24"/>
        </w:rPr>
        <w:t>）</w:t>
      </w:r>
      <w:r>
        <w:rPr>
          <w:rFonts w:ascii="宋体" w:hAnsi="宋体"/>
          <w:szCs w:val="24"/>
        </w:rPr>
        <w:t>陆域动物资源</w:t>
      </w:r>
    </w:p>
    <w:p>
      <w:pPr>
        <w:ind w:firstLine="480"/>
        <w:rPr>
          <w:szCs w:val="24"/>
        </w:rPr>
      </w:pPr>
      <w:r>
        <w:rPr>
          <w:rFonts w:ascii="宋体" w:hAnsi="宋体"/>
          <w:szCs w:val="24"/>
        </w:rPr>
        <w:t>评价区域受人类活动的影响，区域生境变化大，野生动物种类和数量较少。</w:t>
      </w:r>
    </w:p>
    <w:p>
      <w:pPr>
        <w:ind w:firstLine="480"/>
        <w:rPr>
          <w:kern w:val="0"/>
          <w:szCs w:val="24"/>
        </w:rPr>
      </w:pPr>
      <w:r>
        <w:rPr>
          <w:rFonts w:ascii="宋体" w:hAnsi="宋体"/>
          <w:szCs w:val="24"/>
        </w:rPr>
        <w:t>区域内两栖类主要有中华蟾蜍</w:t>
      </w:r>
      <w:r>
        <w:rPr>
          <w:rFonts w:ascii="宋体" w:hAnsi="宋体"/>
          <w:kern w:val="0"/>
          <w:szCs w:val="24"/>
        </w:rPr>
        <w:t>、沼蛙、</w:t>
      </w:r>
      <w:r>
        <w:rPr>
          <w:rFonts w:ascii="宋体" w:hAnsi="宋体"/>
          <w:szCs w:val="24"/>
        </w:rPr>
        <w:t>泽蛙、黑斑蛙等。</w:t>
      </w:r>
      <w:r>
        <w:rPr>
          <w:rFonts w:ascii="宋体" w:hAnsi="宋体"/>
          <w:kern w:val="0"/>
          <w:szCs w:val="24"/>
        </w:rPr>
        <w:t>这些种类分布广，适应性强，在评价范围内广泛分布。</w:t>
      </w:r>
    </w:p>
    <w:p>
      <w:pPr>
        <w:ind w:firstLine="480"/>
        <w:rPr>
          <w:kern w:val="0"/>
          <w:szCs w:val="24"/>
        </w:rPr>
      </w:pPr>
      <w:r>
        <w:rPr>
          <w:rFonts w:ascii="宋体" w:hAnsi="宋体"/>
          <w:szCs w:val="24"/>
        </w:rPr>
        <w:t>爬行动物主要是一些小型的有鳞目类，如：多疣壁虎、石龙子、北草蜥、</w:t>
      </w:r>
      <w:r>
        <w:rPr>
          <w:rFonts w:ascii="宋体" w:hAnsi="宋体"/>
          <w:kern w:val="0"/>
          <w:szCs w:val="24"/>
        </w:rPr>
        <w:t>乌梢蛇</w:t>
      </w:r>
      <w:r>
        <w:rPr>
          <w:rFonts w:ascii="宋体" w:hAnsi="宋体"/>
          <w:iCs/>
          <w:kern w:val="0"/>
          <w:szCs w:val="24"/>
        </w:rPr>
        <w:t>，</w:t>
      </w:r>
      <w:r>
        <w:rPr>
          <w:rFonts w:ascii="宋体" w:hAnsi="宋体"/>
          <w:kern w:val="0"/>
          <w:szCs w:val="24"/>
        </w:rPr>
        <w:t>银环蛇</w:t>
      </w:r>
      <w:r>
        <w:rPr>
          <w:rFonts w:ascii="宋体" w:hAnsi="宋体"/>
          <w:szCs w:val="24"/>
        </w:rPr>
        <w:t>。这些种类</w:t>
      </w:r>
      <w:r>
        <w:rPr>
          <w:rFonts w:ascii="宋体" w:hAnsi="宋体"/>
          <w:kern w:val="0"/>
          <w:szCs w:val="24"/>
        </w:rPr>
        <w:t>常见于田野、林下、河岸旁、溪边、灌丛、草地等处。</w:t>
      </w:r>
    </w:p>
    <w:p>
      <w:pPr>
        <w:ind w:firstLine="480"/>
        <w:rPr>
          <w:szCs w:val="24"/>
        </w:rPr>
      </w:pPr>
      <w:r>
        <w:rPr>
          <w:rFonts w:ascii="宋体" w:hAnsi="宋体"/>
          <w:szCs w:val="24"/>
        </w:rPr>
        <w:t>鸟类都是比较常见的种类，如家燕、八哥、喜鹊、麻雀、斑鸠等鸟类。</w:t>
      </w:r>
    </w:p>
    <w:p>
      <w:pPr>
        <w:ind w:firstLine="480"/>
        <w:rPr>
          <w:kern w:val="0"/>
          <w:szCs w:val="24"/>
        </w:rPr>
      </w:pPr>
      <w:r>
        <w:rPr>
          <w:rFonts w:ascii="宋体" w:hAnsi="宋体"/>
          <w:szCs w:val="24"/>
        </w:rPr>
        <w:t>评价范围内的兽类主要为</w:t>
      </w:r>
      <w:r>
        <w:rPr>
          <w:rFonts w:ascii="宋体" w:hAnsi="宋体"/>
          <w:kern w:val="0"/>
          <w:szCs w:val="24"/>
        </w:rPr>
        <w:t>啮齿目的</w:t>
      </w:r>
      <w:r>
        <w:rPr>
          <w:rFonts w:ascii="宋体" w:hAnsi="宋体"/>
          <w:szCs w:val="24"/>
        </w:rPr>
        <w:t>鼠类如：</w:t>
      </w:r>
      <w:r>
        <w:rPr>
          <w:rFonts w:ascii="宋体" w:hAnsi="宋体"/>
          <w:kern w:val="0"/>
          <w:szCs w:val="24"/>
        </w:rPr>
        <w:t>小家鼠</w:t>
      </w:r>
      <w:r>
        <w:rPr>
          <w:rFonts w:ascii="宋体" w:hAnsi="宋体"/>
          <w:szCs w:val="24"/>
        </w:rPr>
        <w:t>、黄胸鼠</w:t>
      </w:r>
      <w:r>
        <w:rPr>
          <w:rFonts w:ascii="宋体" w:hAnsi="宋体"/>
          <w:kern w:val="0"/>
          <w:szCs w:val="24"/>
        </w:rPr>
        <w:t>、褐家鼠</w:t>
      </w:r>
      <w:r>
        <w:rPr>
          <w:rFonts w:ascii="宋体" w:hAnsi="宋体"/>
          <w:szCs w:val="24"/>
        </w:rPr>
        <w:t>等，</w:t>
      </w:r>
      <w:r>
        <w:rPr>
          <w:rFonts w:ascii="宋体" w:hAnsi="宋体"/>
          <w:iCs/>
          <w:kern w:val="0"/>
          <w:szCs w:val="24"/>
        </w:rPr>
        <w:t>喜栖于居民住宅、仓库以及田野、林地等处。</w:t>
      </w:r>
      <w:r>
        <w:rPr>
          <w:rFonts w:ascii="宋体" w:hAnsi="宋体"/>
          <w:szCs w:val="24"/>
        </w:rPr>
        <w:t>另有当地居民养殖的种类主要有鸡、鸭、猪、牛、羊、犬等。</w:t>
      </w:r>
    </w:p>
    <w:p>
      <w:pPr>
        <w:ind w:firstLine="480"/>
        <w:rPr>
          <w:rFonts w:cs="Times New Roman"/>
          <w:color w:val="auto"/>
          <w:lang w:val="zh-CN"/>
        </w:rPr>
      </w:pPr>
      <w:r>
        <w:rPr>
          <w:rFonts w:ascii="宋体" w:hAnsi="宋体"/>
          <w:szCs w:val="24"/>
        </w:rPr>
        <w:t>评价区域受到人类活动的影响，在其范围内都是一些常见的野生动物，从种类和数量来说，除</w:t>
      </w:r>
      <w:r>
        <w:rPr>
          <w:rFonts w:ascii="宋体" w:hAnsi="宋体"/>
          <w:kern w:val="0"/>
          <w:szCs w:val="24"/>
        </w:rPr>
        <w:t>啮齿目的一些</w:t>
      </w:r>
      <w:r>
        <w:rPr>
          <w:rFonts w:ascii="宋体" w:hAnsi="宋体"/>
          <w:szCs w:val="24"/>
        </w:rPr>
        <w:t>鼠类数量相对较多以外，其它的种类和数量均很少。未发现评价范围内有国家重点保护动物分布情况。</w:t>
      </w:r>
    </w:p>
    <w:p>
      <w:pPr>
        <w:pStyle w:val="454"/>
        <w:ind w:firstLine="602"/>
        <w:rPr>
          <w:color w:val="auto"/>
        </w:rPr>
      </w:pPr>
      <w:r>
        <w:rPr>
          <w:rFonts w:hint="eastAsia"/>
          <w:color w:val="auto"/>
          <w:lang w:val="en-US"/>
        </w:rPr>
        <w:t>水生生态环境现状调查与评价</w:t>
      </w:r>
    </w:p>
    <w:p>
      <w:pPr>
        <w:pStyle w:val="6"/>
        <w:spacing w:before="0" w:after="0"/>
        <w:ind w:firstLine="562"/>
      </w:pPr>
      <w:bookmarkStart w:id="145" w:name="_Toc18646"/>
      <w:bookmarkStart w:id="146" w:name="_Toc633684391"/>
      <w:bookmarkStart w:id="147" w:name="_Toc21012"/>
      <w:r>
        <w:t>采样点布设</w:t>
      </w:r>
      <w:bookmarkEnd w:id="145"/>
      <w:bookmarkEnd w:id="146"/>
      <w:bookmarkEnd w:id="147"/>
    </w:p>
    <w:p>
      <w:pPr>
        <w:ind w:firstLine="480"/>
      </w:pPr>
      <w:r>
        <w:t>为了较为全面准确地评价工程影响河段现有水生生物现状，2020</w:t>
      </w:r>
      <w:r>
        <w:rPr>
          <w:rFonts w:eastAsiaTheme="minorEastAsia"/>
        </w:rPr>
        <w:t>年11月技术人员对评价区内道仁矶码头下游河段进行了水生生物采样调查（码头下游5.3km、码头下游6.3km、码头下游7.3km、码头下游8.3km），该河段水生生境与道仁矶码头相似，均位于长江近右岸水道，水生生物组成与本工程区相似，因此将此次水生生物调查成果作为本项目</w:t>
      </w:r>
      <w:r>
        <w:rPr>
          <w:rFonts w:hint="eastAsia" w:eastAsiaTheme="minorEastAsia"/>
          <w:lang w:val="en-US" w:eastAsia="zh-CN"/>
        </w:rPr>
        <w:t>枯水期</w:t>
      </w:r>
      <w:r>
        <w:rPr>
          <w:rFonts w:eastAsiaTheme="minorEastAsia"/>
        </w:rPr>
        <w:t>调查成果。</w:t>
      </w:r>
      <w:r>
        <w:t>2021年6月调查组技术人员对本工程影响河段水生生物进行了实地调查，在评价区内共设3个调查点位（码头上游1km，拟建码头段，码头下游1km）。</w:t>
      </w:r>
    </w:p>
    <w:p>
      <w:pPr>
        <w:ind w:firstLine="480"/>
        <w:rPr>
          <w:b/>
          <w:bCs/>
          <w:color w:val="000000" w:themeColor="text1"/>
          <w:sz w:val="21"/>
          <w:szCs w:val="18"/>
          <w14:textFill>
            <w14:solidFill>
              <w14:schemeClr w14:val="tx1"/>
            </w14:solidFill>
          </w14:textFill>
        </w:rPr>
      </w:pPr>
      <w:r>
        <w:t>各调查点位环境因子见表</w:t>
      </w:r>
      <w:r>
        <w:rPr>
          <w:rFonts w:hint="eastAsia"/>
        </w:rPr>
        <w:t>3-26</w:t>
      </w:r>
      <w:r>
        <w:t>所示。</w:t>
      </w:r>
    </w:p>
    <w:p>
      <w:pPr>
        <w:pStyle w:val="3583"/>
        <w:ind w:left="0"/>
        <w:rPr>
          <w:bCs/>
          <w:color w:val="000000" w:themeColor="text1"/>
          <w:szCs w:val="18"/>
          <w14:textFill>
            <w14:solidFill>
              <w14:schemeClr w14:val="tx1"/>
            </w14:solidFill>
          </w14:textFill>
        </w:rPr>
      </w:pPr>
      <w:r>
        <w:rPr>
          <w:bCs/>
          <w:color w:val="000000" w:themeColor="text1"/>
          <w:szCs w:val="18"/>
          <w14:textFill>
            <w14:solidFill>
              <w14:schemeClr w14:val="tx1"/>
            </w14:solidFill>
          </w14:textFill>
        </w:rPr>
        <w:t>评价区水生生物调查点位环境因子表</w:t>
      </w:r>
    </w:p>
    <w:tbl>
      <w:tblPr>
        <w:tblStyle w:val="87"/>
        <w:tblW w:w="499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91"/>
        <w:gridCol w:w="549"/>
        <w:gridCol w:w="1398"/>
        <w:gridCol w:w="1781"/>
        <w:gridCol w:w="818"/>
        <w:gridCol w:w="840"/>
        <w:gridCol w:w="778"/>
        <w:gridCol w:w="803"/>
        <w:gridCol w:w="887"/>
        <w:gridCol w:w="7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3" w:type="pct"/>
            <w:tcBorders>
              <w:bottom w:val="single" w:color="auto" w:sz="12" w:space="0"/>
            </w:tcBorders>
            <w:vAlign w:val="center"/>
          </w:tcPr>
          <w:p>
            <w:pPr>
              <w:widowControl/>
              <w:spacing w:line="240" w:lineRule="auto"/>
              <w:ind w:firstLine="0" w:firstLineChars="0"/>
              <w:jc w:val="center"/>
              <w:rPr>
                <w:b/>
                <w:bCs/>
                <w:kern w:val="0"/>
                <w:sz w:val="21"/>
                <w:szCs w:val="21"/>
              </w:rPr>
            </w:pPr>
            <w:r>
              <w:rPr>
                <w:b/>
                <w:bCs/>
                <w:kern w:val="0"/>
                <w:sz w:val="21"/>
                <w:szCs w:val="21"/>
              </w:rPr>
              <w:t>时期</w:t>
            </w:r>
          </w:p>
        </w:tc>
        <w:tc>
          <w:tcPr>
            <w:tcW w:w="296" w:type="pct"/>
            <w:tcBorders>
              <w:bottom w:val="single" w:color="auto" w:sz="12" w:space="0"/>
            </w:tcBorders>
            <w:vAlign w:val="center"/>
          </w:tcPr>
          <w:p>
            <w:pPr>
              <w:widowControl/>
              <w:spacing w:line="240" w:lineRule="auto"/>
              <w:ind w:firstLine="0" w:firstLineChars="0"/>
              <w:jc w:val="center"/>
              <w:rPr>
                <w:b/>
                <w:bCs/>
                <w:kern w:val="0"/>
                <w:sz w:val="21"/>
                <w:szCs w:val="21"/>
              </w:rPr>
            </w:pPr>
            <w:r>
              <w:rPr>
                <w:b/>
                <w:bCs/>
                <w:kern w:val="0"/>
                <w:sz w:val="21"/>
                <w:szCs w:val="21"/>
              </w:rPr>
              <w:t>序号</w:t>
            </w:r>
          </w:p>
        </w:tc>
        <w:tc>
          <w:tcPr>
            <w:tcW w:w="753" w:type="pct"/>
            <w:tcBorders>
              <w:bottom w:val="single" w:color="auto" w:sz="12" w:space="0"/>
            </w:tcBorders>
            <w:vAlign w:val="center"/>
          </w:tcPr>
          <w:p>
            <w:pPr>
              <w:widowControl/>
              <w:spacing w:line="240" w:lineRule="auto"/>
              <w:ind w:firstLine="0" w:firstLineChars="0"/>
              <w:jc w:val="center"/>
              <w:rPr>
                <w:b/>
                <w:bCs/>
                <w:kern w:val="0"/>
                <w:sz w:val="21"/>
                <w:szCs w:val="21"/>
              </w:rPr>
            </w:pPr>
            <w:r>
              <w:rPr>
                <w:b/>
                <w:bCs/>
                <w:kern w:val="0"/>
                <w:sz w:val="21"/>
                <w:szCs w:val="21"/>
              </w:rPr>
              <w:t>采样点</w:t>
            </w:r>
          </w:p>
        </w:tc>
        <w:tc>
          <w:tcPr>
            <w:tcW w:w="959" w:type="pct"/>
            <w:tcBorders>
              <w:bottom w:val="single" w:color="auto" w:sz="12" w:space="0"/>
            </w:tcBorders>
            <w:vAlign w:val="center"/>
          </w:tcPr>
          <w:p>
            <w:pPr>
              <w:widowControl/>
              <w:spacing w:line="240" w:lineRule="auto"/>
              <w:ind w:firstLine="0" w:firstLineChars="0"/>
              <w:jc w:val="center"/>
              <w:rPr>
                <w:b/>
                <w:bCs/>
                <w:kern w:val="0"/>
                <w:sz w:val="21"/>
                <w:szCs w:val="21"/>
              </w:rPr>
            </w:pPr>
            <w:r>
              <w:rPr>
                <w:b/>
                <w:bCs/>
                <w:kern w:val="0"/>
                <w:sz w:val="21"/>
                <w:szCs w:val="21"/>
              </w:rPr>
              <w:t>经纬度</w:t>
            </w:r>
          </w:p>
        </w:tc>
        <w:tc>
          <w:tcPr>
            <w:tcW w:w="440" w:type="pct"/>
            <w:tcBorders>
              <w:bottom w:val="single" w:color="auto" w:sz="12" w:space="0"/>
            </w:tcBorders>
            <w:vAlign w:val="center"/>
          </w:tcPr>
          <w:p>
            <w:pPr>
              <w:widowControl/>
              <w:spacing w:line="240" w:lineRule="auto"/>
              <w:ind w:firstLine="0" w:firstLineChars="0"/>
              <w:jc w:val="center"/>
              <w:rPr>
                <w:b/>
                <w:bCs/>
                <w:kern w:val="0"/>
                <w:sz w:val="21"/>
                <w:szCs w:val="21"/>
              </w:rPr>
            </w:pPr>
            <w:r>
              <w:rPr>
                <w:b/>
                <w:bCs/>
                <w:kern w:val="0"/>
                <w:sz w:val="21"/>
                <w:szCs w:val="21"/>
              </w:rPr>
              <w:t>气温（℃）</w:t>
            </w:r>
          </w:p>
        </w:tc>
        <w:tc>
          <w:tcPr>
            <w:tcW w:w="452" w:type="pct"/>
            <w:tcBorders>
              <w:bottom w:val="single" w:color="auto" w:sz="12" w:space="0"/>
            </w:tcBorders>
            <w:vAlign w:val="center"/>
          </w:tcPr>
          <w:p>
            <w:pPr>
              <w:widowControl/>
              <w:spacing w:line="240" w:lineRule="auto"/>
              <w:ind w:firstLine="0" w:firstLineChars="0"/>
              <w:jc w:val="center"/>
              <w:rPr>
                <w:b/>
                <w:bCs/>
                <w:kern w:val="0"/>
                <w:sz w:val="21"/>
                <w:szCs w:val="21"/>
              </w:rPr>
            </w:pPr>
            <w:r>
              <w:rPr>
                <w:b/>
                <w:bCs/>
                <w:kern w:val="0"/>
                <w:sz w:val="21"/>
                <w:szCs w:val="21"/>
              </w:rPr>
              <w:t>水温（℃）</w:t>
            </w:r>
          </w:p>
        </w:tc>
        <w:tc>
          <w:tcPr>
            <w:tcW w:w="418" w:type="pct"/>
            <w:tcBorders>
              <w:bottom w:val="single" w:color="auto" w:sz="12" w:space="0"/>
            </w:tcBorders>
            <w:vAlign w:val="center"/>
          </w:tcPr>
          <w:p>
            <w:pPr>
              <w:widowControl/>
              <w:spacing w:line="240" w:lineRule="auto"/>
              <w:ind w:firstLine="0" w:firstLineChars="0"/>
              <w:jc w:val="center"/>
              <w:rPr>
                <w:b/>
                <w:bCs/>
                <w:kern w:val="0"/>
                <w:sz w:val="21"/>
                <w:szCs w:val="21"/>
              </w:rPr>
            </w:pPr>
            <w:r>
              <w:rPr>
                <w:b/>
                <w:bCs/>
                <w:kern w:val="0"/>
                <w:sz w:val="21"/>
                <w:szCs w:val="21"/>
              </w:rPr>
              <w:t>水深（m）</w:t>
            </w:r>
          </w:p>
        </w:tc>
        <w:tc>
          <w:tcPr>
            <w:tcW w:w="432" w:type="pct"/>
            <w:tcBorders>
              <w:bottom w:val="single" w:color="auto" w:sz="12" w:space="0"/>
            </w:tcBorders>
            <w:vAlign w:val="center"/>
          </w:tcPr>
          <w:p>
            <w:pPr>
              <w:widowControl/>
              <w:spacing w:line="240" w:lineRule="auto"/>
              <w:ind w:firstLine="0" w:firstLineChars="0"/>
              <w:jc w:val="center"/>
              <w:rPr>
                <w:b/>
                <w:bCs/>
                <w:kern w:val="0"/>
                <w:sz w:val="21"/>
                <w:szCs w:val="21"/>
              </w:rPr>
            </w:pPr>
            <w:r>
              <w:rPr>
                <w:b/>
                <w:bCs/>
                <w:kern w:val="0"/>
                <w:sz w:val="21"/>
                <w:szCs w:val="21"/>
              </w:rPr>
              <w:t>底质</w:t>
            </w:r>
          </w:p>
          <w:p>
            <w:pPr>
              <w:widowControl/>
              <w:spacing w:line="240" w:lineRule="auto"/>
              <w:ind w:firstLine="0" w:firstLineChars="0"/>
              <w:jc w:val="center"/>
              <w:rPr>
                <w:b/>
                <w:bCs/>
                <w:kern w:val="0"/>
                <w:sz w:val="21"/>
                <w:szCs w:val="21"/>
              </w:rPr>
            </w:pPr>
            <w:r>
              <w:rPr>
                <w:b/>
                <w:bCs/>
                <w:kern w:val="0"/>
                <w:sz w:val="21"/>
                <w:szCs w:val="21"/>
              </w:rPr>
              <w:t>类型</w:t>
            </w:r>
          </w:p>
        </w:tc>
        <w:tc>
          <w:tcPr>
            <w:tcW w:w="477" w:type="pct"/>
            <w:tcBorders>
              <w:bottom w:val="single" w:color="auto" w:sz="12" w:space="0"/>
            </w:tcBorders>
            <w:vAlign w:val="center"/>
          </w:tcPr>
          <w:p>
            <w:pPr>
              <w:widowControl/>
              <w:spacing w:line="240" w:lineRule="auto"/>
              <w:ind w:firstLine="0" w:firstLineChars="0"/>
              <w:jc w:val="center"/>
              <w:rPr>
                <w:b/>
                <w:bCs/>
                <w:kern w:val="0"/>
                <w:sz w:val="21"/>
                <w:szCs w:val="21"/>
              </w:rPr>
            </w:pPr>
            <w:r>
              <w:rPr>
                <w:b/>
                <w:bCs/>
                <w:kern w:val="0"/>
                <w:sz w:val="21"/>
                <w:szCs w:val="21"/>
              </w:rPr>
              <w:t>透明度（m）</w:t>
            </w:r>
          </w:p>
        </w:tc>
        <w:tc>
          <w:tcPr>
            <w:tcW w:w="394" w:type="pct"/>
            <w:tcBorders>
              <w:bottom w:val="single" w:color="auto" w:sz="12" w:space="0"/>
            </w:tcBorders>
            <w:vAlign w:val="center"/>
          </w:tcPr>
          <w:p>
            <w:pPr>
              <w:widowControl/>
              <w:spacing w:line="240" w:lineRule="auto"/>
              <w:ind w:firstLine="0" w:firstLineChars="0"/>
              <w:jc w:val="center"/>
              <w:rPr>
                <w:b/>
                <w:bCs/>
                <w:kern w:val="0"/>
                <w:sz w:val="21"/>
                <w:szCs w:val="21"/>
              </w:rPr>
            </w:pPr>
            <w:r>
              <w:rPr>
                <w:b/>
                <w:bCs/>
                <w:kern w:val="0"/>
                <w:sz w:val="21"/>
                <w:szCs w:val="21"/>
              </w:rPr>
              <w:t>流速(m/s)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3" w:type="pct"/>
            <w:vMerge w:val="restart"/>
            <w:tcBorders>
              <w:top w:val="single" w:color="auto" w:sz="12" w:space="0"/>
              <w:tl2br w:val="nil"/>
              <w:tr2bl w:val="nil"/>
            </w:tcBorders>
            <w:vAlign w:val="center"/>
          </w:tcPr>
          <w:p>
            <w:pPr>
              <w:widowControl/>
              <w:spacing w:line="240" w:lineRule="auto"/>
              <w:ind w:firstLine="0" w:firstLineChars="0"/>
              <w:jc w:val="center"/>
              <w:rPr>
                <w:kern w:val="0"/>
                <w:sz w:val="21"/>
                <w:szCs w:val="21"/>
              </w:rPr>
            </w:pPr>
            <w:r>
              <w:rPr>
                <w:kern w:val="0"/>
                <w:sz w:val="21"/>
                <w:szCs w:val="21"/>
              </w:rPr>
              <w:t>2021年6月</w:t>
            </w:r>
          </w:p>
        </w:tc>
        <w:tc>
          <w:tcPr>
            <w:tcW w:w="296" w:type="pct"/>
            <w:tcBorders>
              <w:top w:val="single" w:color="auto" w:sz="12" w:space="0"/>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A1</w:t>
            </w:r>
          </w:p>
        </w:tc>
        <w:tc>
          <w:tcPr>
            <w:tcW w:w="753" w:type="pct"/>
            <w:tcBorders>
              <w:top w:val="single" w:color="auto" w:sz="12" w:space="0"/>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码头下游1km</w:t>
            </w:r>
          </w:p>
        </w:tc>
        <w:tc>
          <w:tcPr>
            <w:tcW w:w="959" w:type="pct"/>
            <w:tcBorders>
              <w:top w:val="single" w:color="auto" w:sz="12" w:space="0"/>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113°13′23.24″E</w:t>
            </w:r>
          </w:p>
          <w:p>
            <w:pPr>
              <w:widowControl/>
              <w:spacing w:line="240" w:lineRule="auto"/>
              <w:ind w:firstLine="0" w:firstLineChars="0"/>
              <w:jc w:val="center"/>
              <w:rPr>
                <w:bCs/>
                <w:kern w:val="0"/>
                <w:sz w:val="21"/>
                <w:szCs w:val="21"/>
              </w:rPr>
            </w:pPr>
            <w:r>
              <w:rPr>
                <w:bCs/>
                <w:kern w:val="0"/>
                <w:sz w:val="21"/>
                <w:szCs w:val="21"/>
              </w:rPr>
              <w:t>29°31′46.66″N</w:t>
            </w:r>
          </w:p>
        </w:tc>
        <w:tc>
          <w:tcPr>
            <w:tcW w:w="440" w:type="pct"/>
            <w:tcBorders>
              <w:top w:val="single" w:color="auto" w:sz="12" w:space="0"/>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28</w:t>
            </w:r>
          </w:p>
        </w:tc>
        <w:tc>
          <w:tcPr>
            <w:tcW w:w="452" w:type="pct"/>
            <w:tcBorders>
              <w:top w:val="single" w:color="auto" w:sz="12" w:space="0"/>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22</w:t>
            </w:r>
          </w:p>
        </w:tc>
        <w:tc>
          <w:tcPr>
            <w:tcW w:w="418" w:type="pct"/>
            <w:tcBorders>
              <w:top w:val="single" w:color="auto" w:sz="12" w:space="0"/>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8</w:t>
            </w:r>
          </w:p>
        </w:tc>
        <w:tc>
          <w:tcPr>
            <w:tcW w:w="432" w:type="pct"/>
            <w:tcBorders>
              <w:top w:val="single" w:color="auto" w:sz="12" w:space="0"/>
              <w:tl2br w:val="nil"/>
              <w:tr2bl w:val="nil"/>
            </w:tcBorders>
            <w:vAlign w:val="center"/>
          </w:tcPr>
          <w:p>
            <w:pPr>
              <w:widowControl/>
              <w:spacing w:line="240" w:lineRule="auto"/>
              <w:ind w:firstLine="0" w:firstLineChars="0"/>
              <w:jc w:val="center"/>
              <w:rPr>
                <w:rFonts w:hint="default" w:eastAsiaTheme="minorEastAsia"/>
                <w:bCs/>
                <w:kern w:val="0"/>
                <w:sz w:val="21"/>
                <w:szCs w:val="21"/>
                <w:lang w:val="en-US" w:eastAsia="zh-CN"/>
              </w:rPr>
            </w:pPr>
            <w:r>
              <w:rPr>
                <w:rFonts w:hint="eastAsia" w:eastAsiaTheme="minorEastAsia"/>
                <w:bCs/>
                <w:kern w:val="0"/>
                <w:szCs w:val="21"/>
                <w:lang w:val="en-US" w:eastAsia="zh-CN"/>
              </w:rPr>
              <w:t>泥砂</w:t>
            </w:r>
          </w:p>
        </w:tc>
        <w:tc>
          <w:tcPr>
            <w:tcW w:w="477" w:type="pct"/>
            <w:tcBorders>
              <w:top w:val="single" w:color="auto" w:sz="12" w:space="0"/>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0.3</w:t>
            </w:r>
          </w:p>
        </w:tc>
        <w:tc>
          <w:tcPr>
            <w:tcW w:w="394" w:type="pct"/>
            <w:tcBorders>
              <w:top w:val="single" w:color="auto" w:sz="12" w:space="0"/>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3" w:type="pct"/>
            <w:vMerge w:val="continue"/>
            <w:tcBorders>
              <w:tl2br w:val="nil"/>
              <w:tr2bl w:val="nil"/>
            </w:tcBorders>
            <w:vAlign w:val="center"/>
          </w:tcPr>
          <w:p>
            <w:pPr>
              <w:widowControl/>
              <w:spacing w:line="240" w:lineRule="auto"/>
              <w:ind w:firstLine="0" w:firstLineChars="0"/>
              <w:jc w:val="center"/>
              <w:rPr>
                <w:kern w:val="0"/>
                <w:sz w:val="21"/>
                <w:szCs w:val="21"/>
              </w:rPr>
            </w:pPr>
          </w:p>
        </w:tc>
        <w:tc>
          <w:tcPr>
            <w:tcW w:w="296" w:type="pct"/>
            <w:tcBorders>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A2</w:t>
            </w:r>
          </w:p>
        </w:tc>
        <w:tc>
          <w:tcPr>
            <w:tcW w:w="753" w:type="pct"/>
            <w:tcBorders>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码头上游1km</w:t>
            </w:r>
          </w:p>
        </w:tc>
        <w:tc>
          <w:tcPr>
            <w:tcW w:w="959" w:type="pct"/>
            <w:tcBorders>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113°12′49.18″E</w:t>
            </w:r>
          </w:p>
          <w:p>
            <w:pPr>
              <w:widowControl/>
              <w:spacing w:line="240" w:lineRule="auto"/>
              <w:ind w:firstLine="0" w:firstLineChars="0"/>
              <w:jc w:val="center"/>
              <w:rPr>
                <w:bCs/>
                <w:kern w:val="0"/>
                <w:sz w:val="21"/>
                <w:szCs w:val="21"/>
              </w:rPr>
            </w:pPr>
            <w:r>
              <w:rPr>
                <w:bCs/>
                <w:kern w:val="0"/>
                <w:sz w:val="21"/>
                <w:szCs w:val="21"/>
              </w:rPr>
              <w:t>29°30′46.97″N</w:t>
            </w:r>
          </w:p>
        </w:tc>
        <w:tc>
          <w:tcPr>
            <w:tcW w:w="440" w:type="pct"/>
            <w:tcBorders>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28</w:t>
            </w:r>
          </w:p>
        </w:tc>
        <w:tc>
          <w:tcPr>
            <w:tcW w:w="452" w:type="pct"/>
            <w:tcBorders>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22</w:t>
            </w:r>
          </w:p>
        </w:tc>
        <w:tc>
          <w:tcPr>
            <w:tcW w:w="418" w:type="pct"/>
            <w:tcBorders>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7</w:t>
            </w:r>
          </w:p>
        </w:tc>
        <w:tc>
          <w:tcPr>
            <w:tcW w:w="432" w:type="pct"/>
            <w:tcBorders>
              <w:tl2br w:val="nil"/>
              <w:tr2bl w:val="nil"/>
            </w:tcBorders>
            <w:vAlign w:val="center"/>
          </w:tcPr>
          <w:p>
            <w:pPr>
              <w:widowControl/>
              <w:spacing w:line="240" w:lineRule="auto"/>
              <w:ind w:firstLine="0" w:firstLineChars="0"/>
              <w:jc w:val="center"/>
              <w:rPr>
                <w:bCs/>
                <w:kern w:val="0"/>
                <w:sz w:val="21"/>
                <w:szCs w:val="21"/>
              </w:rPr>
            </w:pPr>
            <w:r>
              <w:rPr>
                <w:rFonts w:hint="eastAsia" w:eastAsiaTheme="minorEastAsia"/>
                <w:bCs/>
                <w:kern w:val="0"/>
                <w:szCs w:val="21"/>
                <w:lang w:val="en-US" w:eastAsia="zh-CN"/>
              </w:rPr>
              <w:t>泥砂</w:t>
            </w:r>
          </w:p>
        </w:tc>
        <w:tc>
          <w:tcPr>
            <w:tcW w:w="477" w:type="pct"/>
            <w:tcBorders>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0.3</w:t>
            </w:r>
          </w:p>
        </w:tc>
        <w:tc>
          <w:tcPr>
            <w:tcW w:w="394" w:type="pct"/>
            <w:tcBorders>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3" w:type="pct"/>
            <w:vMerge w:val="continue"/>
            <w:tcBorders>
              <w:tl2br w:val="nil"/>
              <w:tr2bl w:val="nil"/>
            </w:tcBorders>
            <w:vAlign w:val="center"/>
          </w:tcPr>
          <w:p>
            <w:pPr>
              <w:widowControl/>
              <w:spacing w:line="240" w:lineRule="auto"/>
              <w:ind w:firstLine="0" w:firstLineChars="0"/>
              <w:jc w:val="center"/>
              <w:rPr>
                <w:kern w:val="0"/>
                <w:sz w:val="21"/>
                <w:szCs w:val="21"/>
              </w:rPr>
            </w:pPr>
          </w:p>
        </w:tc>
        <w:tc>
          <w:tcPr>
            <w:tcW w:w="296" w:type="pct"/>
            <w:tcBorders>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A3</w:t>
            </w:r>
          </w:p>
        </w:tc>
        <w:tc>
          <w:tcPr>
            <w:tcW w:w="753" w:type="pct"/>
            <w:tcBorders>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拟建码头处</w:t>
            </w:r>
          </w:p>
        </w:tc>
        <w:tc>
          <w:tcPr>
            <w:tcW w:w="959" w:type="pct"/>
            <w:tcBorders>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113°13′9.34″E</w:t>
            </w:r>
          </w:p>
          <w:p>
            <w:pPr>
              <w:widowControl/>
              <w:spacing w:line="240" w:lineRule="auto"/>
              <w:ind w:firstLine="0" w:firstLineChars="0"/>
              <w:jc w:val="center"/>
              <w:rPr>
                <w:bCs/>
                <w:kern w:val="0"/>
                <w:sz w:val="21"/>
                <w:szCs w:val="21"/>
              </w:rPr>
            </w:pPr>
            <w:r>
              <w:rPr>
                <w:bCs/>
                <w:kern w:val="0"/>
                <w:sz w:val="21"/>
                <w:szCs w:val="21"/>
              </w:rPr>
              <w:t>29°31′17.36″N</w:t>
            </w:r>
          </w:p>
        </w:tc>
        <w:tc>
          <w:tcPr>
            <w:tcW w:w="440" w:type="pct"/>
            <w:tcBorders>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27</w:t>
            </w:r>
          </w:p>
        </w:tc>
        <w:tc>
          <w:tcPr>
            <w:tcW w:w="452" w:type="pct"/>
            <w:tcBorders>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21</w:t>
            </w:r>
          </w:p>
        </w:tc>
        <w:tc>
          <w:tcPr>
            <w:tcW w:w="418" w:type="pct"/>
            <w:tcBorders>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8</w:t>
            </w:r>
          </w:p>
        </w:tc>
        <w:tc>
          <w:tcPr>
            <w:tcW w:w="432" w:type="pct"/>
            <w:tcBorders>
              <w:tl2br w:val="nil"/>
              <w:tr2bl w:val="nil"/>
            </w:tcBorders>
            <w:vAlign w:val="center"/>
          </w:tcPr>
          <w:p>
            <w:pPr>
              <w:widowControl/>
              <w:spacing w:line="240" w:lineRule="auto"/>
              <w:ind w:firstLine="0" w:firstLineChars="0"/>
              <w:jc w:val="center"/>
              <w:rPr>
                <w:bCs/>
                <w:kern w:val="0"/>
                <w:sz w:val="21"/>
                <w:szCs w:val="21"/>
              </w:rPr>
            </w:pPr>
            <w:r>
              <w:rPr>
                <w:rFonts w:hint="eastAsia" w:eastAsiaTheme="minorEastAsia"/>
                <w:bCs/>
                <w:kern w:val="0"/>
                <w:szCs w:val="21"/>
                <w:lang w:val="en-US" w:eastAsia="zh-CN"/>
              </w:rPr>
              <w:t>泥砂</w:t>
            </w:r>
          </w:p>
        </w:tc>
        <w:tc>
          <w:tcPr>
            <w:tcW w:w="477" w:type="pct"/>
            <w:tcBorders>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0.3</w:t>
            </w:r>
          </w:p>
        </w:tc>
        <w:tc>
          <w:tcPr>
            <w:tcW w:w="394" w:type="pct"/>
            <w:tcBorders>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373" w:type="pct"/>
            <w:vMerge w:val="restart"/>
            <w:tcBorders>
              <w:tl2br w:val="nil"/>
              <w:tr2bl w:val="nil"/>
            </w:tcBorders>
            <w:vAlign w:val="center"/>
          </w:tcPr>
          <w:p>
            <w:pPr>
              <w:widowControl/>
              <w:spacing w:line="240" w:lineRule="auto"/>
              <w:ind w:firstLine="0" w:firstLineChars="0"/>
              <w:jc w:val="center"/>
              <w:rPr>
                <w:kern w:val="0"/>
                <w:sz w:val="21"/>
                <w:szCs w:val="21"/>
              </w:rPr>
            </w:pPr>
            <w:r>
              <w:rPr>
                <w:kern w:val="0"/>
                <w:sz w:val="21"/>
                <w:szCs w:val="21"/>
              </w:rPr>
              <w:t>2020年11月</w:t>
            </w:r>
          </w:p>
        </w:tc>
        <w:tc>
          <w:tcPr>
            <w:tcW w:w="296" w:type="pct"/>
            <w:tcBorders>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B1</w:t>
            </w:r>
          </w:p>
        </w:tc>
        <w:tc>
          <w:tcPr>
            <w:tcW w:w="753" w:type="pct"/>
            <w:tcBorders>
              <w:tl2br w:val="nil"/>
              <w:tr2bl w:val="nil"/>
            </w:tcBorders>
            <w:vAlign w:val="center"/>
          </w:tcPr>
          <w:p>
            <w:pPr>
              <w:widowControl/>
              <w:spacing w:line="240" w:lineRule="auto"/>
              <w:ind w:firstLine="0" w:firstLineChars="0"/>
              <w:jc w:val="center"/>
              <w:rPr>
                <w:bCs/>
                <w:kern w:val="0"/>
                <w:sz w:val="21"/>
                <w:szCs w:val="21"/>
              </w:rPr>
            </w:pPr>
            <w:r>
              <w:rPr>
                <w:rFonts w:eastAsiaTheme="minorEastAsia"/>
                <w:sz w:val="21"/>
                <w:szCs w:val="21"/>
              </w:rPr>
              <w:t>码头下游5.3km</w:t>
            </w:r>
          </w:p>
        </w:tc>
        <w:tc>
          <w:tcPr>
            <w:tcW w:w="959" w:type="pct"/>
            <w:tcBorders>
              <w:tl2br w:val="nil"/>
              <w:tr2bl w:val="nil"/>
            </w:tcBorders>
            <w:vAlign w:val="center"/>
          </w:tcPr>
          <w:p>
            <w:pPr>
              <w:widowControl/>
              <w:spacing w:line="240" w:lineRule="auto"/>
              <w:ind w:firstLine="0" w:firstLineChars="0"/>
              <w:rPr>
                <w:rFonts w:eastAsiaTheme="minorEastAsia"/>
                <w:bCs/>
                <w:kern w:val="0"/>
                <w:sz w:val="21"/>
                <w:szCs w:val="21"/>
              </w:rPr>
            </w:pPr>
            <w:r>
              <w:rPr>
                <w:rFonts w:eastAsiaTheme="minorEastAsia"/>
                <w:bCs/>
                <w:kern w:val="0"/>
                <w:sz w:val="21"/>
                <w:szCs w:val="21"/>
              </w:rPr>
              <w:t>113°15′33.64″E</w:t>
            </w:r>
          </w:p>
          <w:p>
            <w:pPr>
              <w:widowControl/>
              <w:spacing w:line="240" w:lineRule="auto"/>
              <w:ind w:firstLine="0" w:firstLineChars="0"/>
              <w:jc w:val="center"/>
              <w:rPr>
                <w:bCs/>
                <w:kern w:val="0"/>
                <w:sz w:val="21"/>
                <w:szCs w:val="21"/>
              </w:rPr>
            </w:pPr>
            <w:r>
              <w:rPr>
                <w:rFonts w:eastAsiaTheme="minorEastAsia"/>
                <w:bCs/>
                <w:kern w:val="0"/>
                <w:sz w:val="21"/>
                <w:szCs w:val="21"/>
              </w:rPr>
              <w:t>29°33′42.52″N</w:t>
            </w:r>
          </w:p>
        </w:tc>
        <w:tc>
          <w:tcPr>
            <w:tcW w:w="440" w:type="pct"/>
            <w:tcBorders>
              <w:tl2br w:val="nil"/>
              <w:tr2bl w:val="nil"/>
            </w:tcBorders>
            <w:vAlign w:val="center"/>
          </w:tcPr>
          <w:p>
            <w:pPr>
              <w:widowControl/>
              <w:ind w:firstLine="0" w:firstLineChars="0"/>
              <w:jc w:val="center"/>
              <w:rPr>
                <w:bCs/>
                <w:kern w:val="0"/>
                <w:sz w:val="21"/>
                <w:szCs w:val="21"/>
              </w:rPr>
            </w:pPr>
            <w:r>
              <w:rPr>
                <w:rFonts w:eastAsiaTheme="minorEastAsia"/>
                <w:bCs/>
                <w:kern w:val="0"/>
                <w:szCs w:val="21"/>
              </w:rPr>
              <w:t>9</w:t>
            </w:r>
          </w:p>
        </w:tc>
        <w:tc>
          <w:tcPr>
            <w:tcW w:w="452" w:type="pct"/>
            <w:tcBorders>
              <w:tl2br w:val="nil"/>
              <w:tr2bl w:val="nil"/>
            </w:tcBorders>
            <w:vAlign w:val="center"/>
          </w:tcPr>
          <w:p>
            <w:pPr>
              <w:widowControl/>
              <w:ind w:firstLine="0" w:firstLineChars="0"/>
              <w:jc w:val="center"/>
              <w:rPr>
                <w:bCs/>
                <w:kern w:val="0"/>
                <w:sz w:val="21"/>
                <w:szCs w:val="21"/>
              </w:rPr>
            </w:pPr>
            <w:r>
              <w:rPr>
                <w:rFonts w:eastAsiaTheme="minorEastAsia"/>
                <w:bCs/>
                <w:kern w:val="0"/>
                <w:szCs w:val="21"/>
              </w:rPr>
              <w:t>13</w:t>
            </w:r>
          </w:p>
        </w:tc>
        <w:tc>
          <w:tcPr>
            <w:tcW w:w="418" w:type="pct"/>
            <w:tcBorders>
              <w:tl2br w:val="nil"/>
              <w:tr2bl w:val="nil"/>
            </w:tcBorders>
            <w:vAlign w:val="center"/>
          </w:tcPr>
          <w:p>
            <w:pPr>
              <w:widowControl/>
              <w:ind w:firstLine="0" w:firstLineChars="0"/>
              <w:jc w:val="center"/>
              <w:rPr>
                <w:bCs/>
                <w:kern w:val="0"/>
                <w:sz w:val="21"/>
                <w:szCs w:val="21"/>
              </w:rPr>
            </w:pPr>
            <w:r>
              <w:rPr>
                <w:rFonts w:eastAsiaTheme="minorEastAsia"/>
                <w:bCs/>
                <w:kern w:val="0"/>
                <w:szCs w:val="21"/>
              </w:rPr>
              <w:t>8</w:t>
            </w:r>
          </w:p>
        </w:tc>
        <w:tc>
          <w:tcPr>
            <w:tcW w:w="432" w:type="pct"/>
            <w:tcBorders>
              <w:tl2br w:val="nil"/>
              <w:tr2bl w:val="nil"/>
            </w:tcBorders>
            <w:vAlign w:val="center"/>
          </w:tcPr>
          <w:p>
            <w:pPr>
              <w:widowControl/>
              <w:spacing w:line="240" w:lineRule="auto"/>
              <w:ind w:firstLine="0" w:firstLineChars="0"/>
              <w:jc w:val="center"/>
              <w:rPr>
                <w:bCs/>
                <w:kern w:val="0"/>
                <w:sz w:val="21"/>
                <w:szCs w:val="21"/>
              </w:rPr>
            </w:pPr>
            <w:r>
              <w:rPr>
                <w:rFonts w:hint="eastAsia" w:eastAsiaTheme="minorEastAsia"/>
                <w:bCs/>
                <w:kern w:val="0"/>
                <w:szCs w:val="21"/>
                <w:lang w:val="en-US" w:eastAsia="zh-CN"/>
              </w:rPr>
              <w:t>泥砂</w:t>
            </w:r>
          </w:p>
        </w:tc>
        <w:tc>
          <w:tcPr>
            <w:tcW w:w="477" w:type="pct"/>
            <w:tcBorders>
              <w:tl2br w:val="nil"/>
              <w:tr2bl w:val="nil"/>
            </w:tcBorders>
            <w:vAlign w:val="center"/>
          </w:tcPr>
          <w:p>
            <w:pPr>
              <w:widowControl/>
              <w:ind w:firstLine="0" w:firstLineChars="0"/>
              <w:jc w:val="center"/>
              <w:rPr>
                <w:bCs/>
                <w:kern w:val="0"/>
                <w:sz w:val="21"/>
                <w:szCs w:val="21"/>
              </w:rPr>
            </w:pPr>
            <w:r>
              <w:rPr>
                <w:rFonts w:eastAsiaTheme="minorEastAsia"/>
                <w:bCs/>
                <w:kern w:val="0"/>
                <w:szCs w:val="21"/>
              </w:rPr>
              <w:t>0.4</w:t>
            </w:r>
          </w:p>
        </w:tc>
        <w:tc>
          <w:tcPr>
            <w:tcW w:w="394" w:type="pct"/>
            <w:tcBorders>
              <w:tl2br w:val="nil"/>
              <w:tr2bl w:val="nil"/>
            </w:tcBorders>
            <w:vAlign w:val="center"/>
          </w:tcPr>
          <w:p>
            <w:pPr>
              <w:widowControl/>
              <w:ind w:firstLine="0" w:firstLineChars="0"/>
              <w:jc w:val="center"/>
              <w:rPr>
                <w:bCs/>
                <w:kern w:val="0"/>
                <w:sz w:val="21"/>
                <w:szCs w:val="21"/>
              </w:rPr>
            </w:pPr>
            <w:r>
              <w:rPr>
                <w:rFonts w:eastAsiaTheme="minorEastAsia"/>
                <w:bCs/>
                <w:kern w:val="0"/>
                <w:szCs w:val="21"/>
              </w:rPr>
              <w:t>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3" w:type="pct"/>
            <w:vMerge w:val="continue"/>
            <w:tcBorders>
              <w:tl2br w:val="nil"/>
              <w:tr2bl w:val="nil"/>
            </w:tcBorders>
            <w:vAlign w:val="center"/>
          </w:tcPr>
          <w:p>
            <w:pPr>
              <w:widowControl/>
              <w:spacing w:line="240" w:lineRule="auto"/>
              <w:ind w:firstLine="0" w:firstLineChars="0"/>
              <w:jc w:val="center"/>
              <w:rPr>
                <w:kern w:val="0"/>
                <w:sz w:val="21"/>
                <w:szCs w:val="21"/>
              </w:rPr>
            </w:pPr>
          </w:p>
        </w:tc>
        <w:tc>
          <w:tcPr>
            <w:tcW w:w="296" w:type="pct"/>
            <w:tcBorders>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B2</w:t>
            </w:r>
          </w:p>
        </w:tc>
        <w:tc>
          <w:tcPr>
            <w:tcW w:w="753" w:type="pct"/>
            <w:tcBorders>
              <w:tl2br w:val="nil"/>
              <w:tr2bl w:val="nil"/>
            </w:tcBorders>
            <w:vAlign w:val="center"/>
          </w:tcPr>
          <w:p>
            <w:pPr>
              <w:widowControl/>
              <w:spacing w:line="240" w:lineRule="auto"/>
              <w:ind w:firstLine="0" w:firstLineChars="0"/>
              <w:jc w:val="center"/>
              <w:rPr>
                <w:bCs/>
                <w:kern w:val="0"/>
                <w:sz w:val="21"/>
                <w:szCs w:val="21"/>
              </w:rPr>
            </w:pPr>
            <w:r>
              <w:rPr>
                <w:rFonts w:eastAsiaTheme="minorEastAsia"/>
                <w:sz w:val="21"/>
                <w:szCs w:val="21"/>
              </w:rPr>
              <w:t>码头下游6.3km</w:t>
            </w:r>
          </w:p>
        </w:tc>
        <w:tc>
          <w:tcPr>
            <w:tcW w:w="959" w:type="pct"/>
            <w:tcBorders>
              <w:tl2br w:val="nil"/>
              <w:tr2bl w:val="nil"/>
            </w:tcBorders>
            <w:vAlign w:val="center"/>
          </w:tcPr>
          <w:p>
            <w:pPr>
              <w:widowControl/>
              <w:spacing w:line="240" w:lineRule="auto"/>
              <w:ind w:firstLine="0" w:firstLineChars="0"/>
              <w:jc w:val="center"/>
              <w:rPr>
                <w:rFonts w:eastAsiaTheme="minorEastAsia"/>
                <w:bCs/>
                <w:kern w:val="0"/>
                <w:sz w:val="21"/>
                <w:szCs w:val="21"/>
              </w:rPr>
            </w:pPr>
            <w:r>
              <w:rPr>
                <w:rFonts w:eastAsiaTheme="minorEastAsia"/>
                <w:bCs/>
                <w:kern w:val="0"/>
                <w:sz w:val="21"/>
                <w:szCs w:val="21"/>
              </w:rPr>
              <w:t>113°15′59.28″E</w:t>
            </w:r>
          </w:p>
          <w:p>
            <w:pPr>
              <w:widowControl/>
              <w:spacing w:line="240" w:lineRule="auto"/>
              <w:ind w:firstLine="0" w:firstLineChars="0"/>
              <w:jc w:val="center"/>
              <w:rPr>
                <w:bCs/>
                <w:kern w:val="0"/>
                <w:sz w:val="21"/>
                <w:szCs w:val="21"/>
              </w:rPr>
            </w:pPr>
            <w:r>
              <w:rPr>
                <w:rFonts w:eastAsiaTheme="minorEastAsia"/>
                <w:bCs/>
                <w:kern w:val="0"/>
                <w:sz w:val="21"/>
                <w:szCs w:val="21"/>
              </w:rPr>
              <w:t>29°34′8.05″N</w:t>
            </w:r>
          </w:p>
        </w:tc>
        <w:tc>
          <w:tcPr>
            <w:tcW w:w="440" w:type="pct"/>
            <w:tcBorders>
              <w:tl2br w:val="nil"/>
              <w:tr2bl w:val="nil"/>
            </w:tcBorders>
            <w:vAlign w:val="center"/>
          </w:tcPr>
          <w:p>
            <w:pPr>
              <w:widowControl/>
              <w:ind w:firstLine="0" w:firstLineChars="0"/>
              <w:jc w:val="center"/>
              <w:rPr>
                <w:bCs/>
                <w:kern w:val="0"/>
                <w:sz w:val="21"/>
                <w:szCs w:val="21"/>
              </w:rPr>
            </w:pPr>
            <w:r>
              <w:rPr>
                <w:rFonts w:eastAsiaTheme="minorEastAsia"/>
                <w:bCs/>
                <w:kern w:val="0"/>
                <w:szCs w:val="21"/>
              </w:rPr>
              <w:t>9</w:t>
            </w:r>
          </w:p>
        </w:tc>
        <w:tc>
          <w:tcPr>
            <w:tcW w:w="452" w:type="pct"/>
            <w:tcBorders>
              <w:tl2br w:val="nil"/>
              <w:tr2bl w:val="nil"/>
            </w:tcBorders>
            <w:vAlign w:val="center"/>
          </w:tcPr>
          <w:p>
            <w:pPr>
              <w:widowControl/>
              <w:ind w:firstLine="0" w:firstLineChars="0"/>
              <w:jc w:val="center"/>
              <w:rPr>
                <w:bCs/>
                <w:kern w:val="0"/>
                <w:sz w:val="21"/>
                <w:szCs w:val="21"/>
              </w:rPr>
            </w:pPr>
            <w:r>
              <w:rPr>
                <w:rFonts w:eastAsiaTheme="minorEastAsia"/>
                <w:bCs/>
                <w:kern w:val="0"/>
                <w:szCs w:val="21"/>
              </w:rPr>
              <w:t>13</w:t>
            </w:r>
          </w:p>
        </w:tc>
        <w:tc>
          <w:tcPr>
            <w:tcW w:w="418" w:type="pct"/>
            <w:tcBorders>
              <w:tl2br w:val="nil"/>
              <w:tr2bl w:val="nil"/>
            </w:tcBorders>
            <w:vAlign w:val="center"/>
          </w:tcPr>
          <w:p>
            <w:pPr>
              <w:widowControl/>
              <w:ind w:firstLine="0" w:firstLineChars="0"/>
              <w:jc w:val="center"/>
              <w:rPr>
                <w:bCs/>
                <w:kern w:val="0"/>
                <w:sz w:val="21"/>
                <w:szCs w:val="21"/>
              </w:rPr>
            </w:pPr>
            <w:r>
              <w:rPr>
                <w:rFonts w:eastAsiaTheme="minorEastAsia"/>
                <w:bCs/>
                <w:kern w:val="0"/>
                <w:szCs w:val="21"/>
              </w:rPr>
              <w:t>8</w:t>
            </w:r>
          </w:p>
        </w:tc>
        <w:tc>
          <w:tcPr>
            <w:tcW w:w="432" w:type="pct"/>
            <w:tcBorders>
              <w:tl2br w:val="nil"/>
              <w:tr2bl w:val="nil"/>
            </w:tcBorders>
            <w:vAlign w:val="center"/>
          </w:tcPr>
          <w:p>
            <w:pPr>
              <w:widowControl/>
              <w:spacing w:line="240" w:lineRule="auto"/>
              <w:ind w:firstLine="0" w:firstLineChars="0"/>
              <w:jc w:val="center"/>
              <w:rPr>
                <w:bCs/>
                <w:kern w:val="0"/>
                <w:sz w:val="21"/>
                <w:szCs w:val="21"/>
              </w:rPr>
            </w:pPr>
            <w:r>
              <w:rPr>
                <w:rFonts w:hint="eastAsia" w:eastAsiaTheme="minorEastAsia"/>
                <w:bCs/>
                <w:kern w:val="0"/>
                <w:szCs w:val="21"/>
                <w:lang w:val="en-US" w:eastAsia="zh-CN"/>
              </w:rPr>
              <w:t>泥砂</w:t>
            </w:r>
          </w:p>
        </w:tc>
        <w:tc>
          <w:tcPr>
            <w:tcW w:w="477" w:type="pct"/>
            <w:tcBorders>
              <w:tl2br w:val="nil"/>
              <w:tr2bl w:val="nil"/>
            </w:tcBorders>
            <w:vAlign w:val="center"/>
          </w:tcPr>
          <w:p>
            <w:pPr>
              <w:widowControl/>
              <w:ind w:firstLine="0" w:firstLineChars="0"/>
              <w:jc w:val="center"/>
              <w:rPr>
                <w:bCs/>
                <w:kern w:val="0"/>
                <w:sz w:val="21"/>
                <w:szCs w:val="21"/>
              </w:rPr>
            </w:pPr>
            <w:r>
              <w:rPr>
                <w:rFonts w:eastAsiaTheme="minorEastAsia"/>
                <w:bCs/>
                <w:kern w:val="0"/>
                <w:szCs w:val="21"/>
              </w:rPr>
              <w:t>0.4</w:t>
            </w:r>
          </w:p>
        </w:tc>
        <w:tc>
          <w:tcPr>
            <w:tcW w:w="394" w:type="pct"/>
            <w:tcBorders>
              <w:tl2br w:val="nil"/>
              <w:tr2bl w:val="nil"/>
            </w:tcBorders>
            <w:vAlign w:val="center"/>
          </w:tcPr>
          <w:p>
            <w:pPr>
              <w:widowControl/>
              <w:ind w:firstLine="0" w:firstLineChars="0"/>
              <w:jc w:val="center"/>
              <w:rPr>
                <w:bCs/>
                <w:kern w:val="0"/>
                <w:sz w:val="21"/>
                <w:szCs w:val="21"/>
              </w:rPr>
            </w:pPr>
            <w:r>
              <w:rPr>
                <w:rFonts w:eastAsiaTheme="minorEastAsia"/>
                <w:bCs/>
                <w:kern w:val="0"/>
                <w:szCs w:val="21"/>
              </w:rPr>
              <w:t>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3" w:type="pct"/>
            <w:vMerge w:val="continue"/>
            <w:tcBorders>
              <w:tl2br w:val="nil"/>
              <w:tr2bl w:val="nil"/>
            </w:tcBorders>
            <w:vAlign w:val="center"/>
          </w:tcPr>
          <w:p>
            <w:pPr>
              <w:widowControl/>
              <w:spacing w:line="240" w:lineRule="auto"/>
              <w:ind w:firstLine="0" w:firstLineChars="0"/>
              <w:jc w:val="center"/>
              <w:rPr>
                <w:kern w:val="0"/>
                <w:sz w:val="21"/>
                <w:szCs w:val="21"/>
              </w:rPr>
            </w:pPr>
          </w:p>
        </w:tc>
        <w:tc>
          <w:tcPr>
            <w:tcW w:w="296" w:type="pct"/>
            <w:tcBorders>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B3</w:t>
            </w:r>
          </w:p>
        </w:tc>
        <w:tc>
          <w:tcPr>
            <w:tcW w:w="753" w:type="pct"/>
            <w:tcBorders>
              <w:tl2br w:val="nil"/>
              <w:tr2bl w:val="nil"/>
            </w:tcBorders>
            <w:vAlign w:val="center"/>
          </w:tcPr>
          <w:p>
            <w:pPr>
              <w:widowControl/>
              <w:spacing w:line="240" w:lineRule="auto"/>
              <w:ind w:firstLine="0" w:firstLineChars="0"/>
              <w:jc w:val="center"/>
              <w:rPr>
                <w:bCs/>
                <w:kern w:val="0"/>
                <w:sz w:val="21"/>
                <w:szCs w:val="21"/>
              </w:rPr>
            </w:pPr>
            <w:r>
              <w:rPr>
                <w:rFonts w:eastAsiaTheme="minorEastAsia"/>
                <w:sz w:val="21"/>
                <w:szCs w:val="21"/>
              </w:rPr>
              <w:t>码头下游7.3km</w:t>
            </w:r>
          </w:p>
        </w:tc>
        <w:tc>
          <w:tcPr>
            <w:tcW w:w="959" w:type="pct"/>
            <w:tcBorders>
              <w:tl2br w:val="nil"/>
              <w:tr2bl w:val="nil"/>
            </w:tcBorders>
            <w:vAlign w:val="center"/>
          </w:tcPr>
          <w:p>
            <w:pPr>
              <w:widowControl/>
              <w:spacing w:line="240" w:lineRule="auto"/>
              <w:ind w:firstLine="0" w:firstLineChars="0"/>
              <w:jc w:val="center"/>
              <w:rPr>
                <w:rFonts w:eastAsiaTheme="minorEastAsia"/>
                <w:bCs/>
                <w:kern w:val="0"/>
                <w:sz w:val="21"/>
                <w:szCs w:val="21"/>
              </w:rPr>
            </w:pPr>
            <w:r>
              <w:rPr>
                <w:rFonts w:eastAsiaTheme="minorEastAsia"/>
                <w:bCs/>
                <w:kern w:val="0"/>
                <w:sz w:val="21"/>
                <w:szCs w:val="21"/>
              </w:rPr>
              <w:t>113°16′19.06″E</w:t>
            </w:r>
          </w:p>
          <w:p>
            <w:pPr>
              <w:widowControl/>
              <w:spacing w:line="240" w:lineRule="auto"/>
              <w:ind w:firstLine="0" w:firstLineChars="0"/>
              <w:jc w:val="center"/>
              <w:rPr>
                <w:bCs/>
                <w:kern w:val="0"/>
                <w:sz w:val="21"/>
                <w:szCs w:val="21"/>
              </w:rPr>
            </w:pPr>
            <w:r>
              <w:rPr>
                <w:rFonts w:eastAsiaTheme="minorEastAsia"/>
                <w:bCs/>
                <w:kern w:val="0"/>
                <w:sz w:val="21"/>
                <w:szCs w:val="21"/>
              </w:rPr>
              <w:t>29°34′34.66″N</w:t>
            </w:r>
          </w:p>
        </w:tc>
        <w:tc>
          <w:tcPr>
            <w:tcW w:w="440" w:type="pct"/>
            <w:tcBorders>
              <w:tl2br w:val="nil"/>
              <w:tr2bl w:val="nil"/>
            </w:tcBorders>
            <w:vAlign w:val="center"/>
          </w:tcPr>
          <w:p>
            <w:pPr>
              <w:widowControl/>
              <w:ind w:firstLine="0" w:firstLineChars="0"/>
              <w:jc w:val="center"/>
              <w:rPr>
                <w:bCs/>
                <w:kern w:val="0"/>
                <w:sz w:val="21"/>
                <w:szCs w:val="21"/>
              </w:rPr>
            </w:pPr>
            <w:r>
              <w:rPr>
                <w:rFonts w:eastAsiaTheme="minorEastAsia"/>
                <w:bCs/>
                <w:kern w:val="0"/>
                <w:szCs w:val="21"/>
              </w:rPr>
              <w:t>9</w:t>
            </w:r>
          </w:p>
        </w:tc>
        <w:tc>
          <w:tcPr>
            <w:tcW w:w="452" w:type="pct"/>
            <w:tcBorders>
              <w:tl2br w:val="nil"/>
              <w:tr2bl w:val="nil"/>
            </w:tcBorders>
            <w:vAlign w:val="center"/>
          </w:tcPr>
          <w:p>
            <w:pPr>
              <w:widowControl/>
              <w:ind w:firstLine="0" w:firstLineChars="0"/>
              <w:jc w:val="center"/>
              <w:rPr>
                <w:bCs/>
                <w:kern w:val="0"/>
                <w:sz w:val="21"/>
                <w:szCs w:val="21"/>
              </w:rPr>
            </w:pPr>
            <w:r>
              <w:rPr>
                <w:rFonts w:eastAsiaTheme="minorEastAsia"/>
                <w:bCs/>
                <w:kern w:val="0"/>
                <w:szCs w:val="21"/>
              </w:rPr>
              <w:t>13</w:t>
            </w:r>
          </w:p>
        </w:tc>
        <w:tc>
          <w:tcPr>
            <w:tcW w:w="418" w:type="pct"/>
            <w:tcBorders>
              <w:tl2br w:val="nil"/>
              <w:tr2bl w:val="nil"/>
            </w:tcBorders>
            <w:vAlign w:val="center"/>
          </w:tcPr>
          <w:p>
            <w:pPr>
              <w:widowControl/>
              <w:ind w:firstLine="0" w:firstLineChars="0"/>
              <w:jc w:val="center"/>
              <w:rPr>
                <w:bCs/>
                <w:kern w:val="0"/>
                <w:sz w:val="21"/>
                <w:szCs w:val="21"/>
              </w:rPr>
            </w:pPr>
            <w:r>
              <w:rPr>
                <w:rFonts w:eastAsiaTheme="minorEastAsia"/>
                <w:bCs/>
                <w:kern w:val="0"/>
                <w:szCs w:val="21"/>
              </w:rPr>
              <w:t>8</w:t>
            </w:r>
          </w:p>
        </w:tc>
        <w:tc>
          <w:tcPr>
            <w:tcW w:w="432" w:type="pct"/>
            <w:tcBorders>
              <w:tl2br w:val="nil"/>
              <w:tr2bl w:val="nil"/>
            </w:tcBorders>
            <w:vAlign w:val="center"/>
          </w:tcPr>
          <w:p>
            <w:pPr>
              <w:widowControl/>
              <w:spacing w:line="240" w:lineRule="auto"/>
              <w:ind w:firstLine="0" w:firstLineChars="0"/>
              <w:jc w:val="center"/>
              <w:rPr>
                <w:bCs/>
                <w:kern w:val="0"/>
                <w:sz w:val="21"/>
                <w:szCs w:val="21"/>
              </w:rPr>
            </w:pPr>
            <w:r>
              <w:rPr>
                <w:rFonts w:hint="eastAsia" w:eastAsiaTheme="minorEastAsia"/>
                <w:bCs/>
                <w:kern w:val="0"/>
                <w:szCs w:val="21"/>
                <w:lang w:val="en-US" w:eastAsia="zh-CN"/>
              </w:rPr>
              <w:t>泥砂</w:t>
            </w:r>
          </w:p>
        </w:tc>
        <w:tc>
          <w:tcPr>
            <w:tcW w:w="477" w:type="pct"/>
            <w:tcBorders>
              <w:tl2br w:val="nil"/>
              <w:tr2bl w:val="nil"/>
            </w:tcBorders>
            <w:vAlign w:val="center"/>
          </w:tcPr>
          <w:p>
            <w:pPr>
              <w:widowControl/>
              <w:ind w:firstLine="0" w:firstLineChars="0"/>
              <w:jc w:val="center"/>
              <w:rPr>
                <w:bCs/>
                <w:kern w:val="0"/>
                <w:sz w:val="21"/>
                <w:szCs w:val="21"/>
              </w:rPr>
            </w:pPr>
            <w:r>
              <w:rPr>
                <w:rFonts w:eastAsiaTheme="minorEastAsia"/>
                <w:bCs/>
                <w:kern w:val="0"/>
                <w:szCs w:val="21"/>
              </w:rPr>
              <w:t>0.4</w:t>
            </w:r>
          </w:p>
        </w:tc>
        <w:tc>
          <w:tcPr>
            <w:tcW w:w="394" w:type="pct"/>
            <w:tcBorders>
              <w:tl2br w:val="nil"/>
              <w:tr2bl w:val="nil"/>
            </w:tcBorders>
            <w:vAlign w:val="center"/>
          </w:tcPr>
          <w:p>
            <w:pPr>
              <w:widowControl/>
              <w:ind w:firstLine="0" w:firstLineChars="0"/>
              <w:jc w:val="center"/>
              <w:rPr>
                <w:bCs/>
                <w:kern w:val="0"/>
                <w:sz w:val="21"/>
                <w:szCs w:val="21"/>
              </w:rPr>
            </w:pPr>
            <w:r>
              <w:rPr>
                <w:rFonts w:eastAsiaTheme="minorEastAsia"/>
                <w:bCs/>
                <w:kern w:val="0"/>
                <w:szCs w:val="21"/>
              </w:rPr>
              <w:t>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3" w:type="pct"/>
            <w:vMerge w:val="continue"/>
            <w:tcBorders>
              <w:tl2br w:val="nil"/>
              <w:tr2bl w:val="nil"/>
            </w:tcBorders>
            <w:vAlign w:val="center"/>
          </w:tcPr>
          <w:p>
            <w:pPr>
              <w:widowControl/>
              <w:spacing w:line="240" w:lineRule="auto"/>
              <w:ind w:firstLine="0" w:firstLineChars="0"/>
              <w:jc w:val="center"/>
              <w:rPr>
                <w:kern w:val="0"/>
                <w:sz w:val="21"/>
                <w:szCs w:val="21"/>
              </w:rPr>
            </w:pPr>
          </w:p>
        </w:tc>
        <w:tc>
          <w:tcPr>
            <w:tcW w:w="296" w:type="pct"/>
            <w:tcBorders>
              <w:tl2br w:val="nil"/>
              <w:tr2bl w:val="nil"/>
            </w:tcBorders>
            <w:vAlign w:val="center"/>
          </w:tcPr>
          <w:p>
            <w:pPr>
              <w:widowControl/>
              <w:spacing w:line="240" w:lineRule="auto"/>
              <w:ind w:firstLine="0" w:firstLineChars="0"/>
              <w:jc w:val="center"/>
              <w:rPr>
                <w:bCs/>
                <w:kern w:val="0"/>
                <w:sz w:val="21"/>
                <w:szCs w:val="21"/>
              </w:rPr>
            </w:pPr>
            <w:r>
              <w:rPr>
                <w:bCs/>
                <w:kern w:val="0"/>
                <w:sz w:val="21"/>
                <w:szCs w:val="21"/>
              </w:rPr>
              <w:t>B4</w:t>
            </w:r>
          </w:p>
        </w:tc>
        <w:tc>
          <w:tcPr>
            <w:tcW w:w="753" w:type="pct"/>
            <w:tcBorders>
              <w:tl2br w:val="nil"/>
              <w:tr2bl w:val="nil"/>
            </w:tcBorders>
            <w:vAlign w:val="center"/>
          </w:tcPr>
          <w:p>
            <w:pPr>
              <w:widowControl/>
              <w:spacing w:line="240" w:lineRule="auto"/>
              <w:ind w:firstLine="0" w:firstLineChars="0"/>
              <w:jc w:val="center"/>
              <w:rPr>
                <w:bCs/>
                <w:kern w:val="0"/>
                <w:sz w:val="21"/>
                <w:szCs w:val="21"/>
              </w:rPr>
            </w:pPr>
            <w:r>
              <w:rPr>
                <w:rFonts w:eastAsiaTheme="minorEastAsia"/>
                <w:sz w:val="21"/>
                <w:szCs w:val="21"/>
              </w:rPr>
              <w:t>码头下游8.3km</w:t>
            </w:r>
          </w:p>
        </w:tc>
        <w:tc>
          <w:tcPr>
            <w:tcW w:w="959" w:type="pct"/>
            <w:tcBorders>
              <w:tl2br w:val="nil"/>
              <w:tr2bl w:val="nil"/>
            </w:tcBorders>
            <w:vAlign w:val="center"/>
          </w:tcPr>
          <w:p>
            <w:pPr>
              <w:widowControl/>
              <w:spacing w:line="240" w:lineRule="auto"/>
              <w:ind w:firstLine="0" w:firstLineChars="0"/>
              <w:jc w:val="center"/>
              <w:rPr>
                <w:rFonts w:eastAsiaTheme="minorEastAsia"/>
                <w:bCs/>
                <w:kern w:val="0"/>
                <w:sz w:val="21"/>
                <w:szCs w:val="21"/>
              </w:rPr>
            </w:pPr>
            <w:r>
              <w:rPr>
                <w:rFonts w:eastAsiaTheme="minorEastAsia"/>
                <w:bCs/>
                <w:kern w:val="0"/>
                <w:sz w:val="21"/>
                <w:szCs w:val="21"/>
              </w:rPr>
              <w:t>113°16′30.80″E</w:t>
            </w:r>
          </w:p>
          <w:p>
            <w:pPr>
              <w:widowControl/>
              <w:spacing w:line="240" w:lineRule="auto"/>
              <w:ind w:firstLine="0" w:firstLineChars="0"/>
              <w:jc w:val="center"/>
              <w:rPr>
                <w:bCs/>
                <w:kern w:val="0"/>
                <w:sz w:val="21"/>
                <w:szCs w:val="21"/>
              </w:rPr>
            </w:pPr>
            <w:r>
              <w:rPr>
                <w:rFonts w:eastAsiaTheme="minorEastAsia"/>
                <w:bCs/>
                <w:kern w:val="0"/>
                <w:sz w:val="21"/>
                <w:szCs w:val="21"/>
              </w:rPr>
              <w:t>29°35′5.56″N</w:t>
            </w:r>
          </w:p>
        </w:tc>
        <w:tc>
          <w:tcPr>
            <w:tcW w:w="440" w:type="pct"/>
            <w:tcBorders>
              <w:tl2br w:val="nil"/>
              <w:tr2bl w:val="nil"/>
            </w:tcBorders>
            <w:vAlign w:val="center"/>
          </w:tcPr>
          <w:p>
            <w:pPr>
              <w:widowControl/>
              <w:ind w:firstLine="0" w:firstLineChars="0"/>
              <w:jc w:val="center"/>
              <w:rPr>
                <w:bCs/>
                <w:kern w:val="0"/>
                <w:sz w:val="21"/>
                <w:szCs w:val="21"/>
              </w:rPr>
            </w:pPr>
            <w:r>
              <w:rPr>
                <w:rFonts w:eastAsiaTheme="minorEastAsia"/>
                <w:bCs/>
                <w:kern w:val="0"/>
                <w:szCs w:val="21"/>
              </w:rPr>
              <w:t>9</w:t>
            </w:r>
          </w:p>
        </w:tc>
        <w:tc>
          <w:tcPr>
            <w:tcW w:w="452" w:type="pct"/>
            <w:tcBorders>
              <w:tl2br w:val="nil"/>
              <w:tr2bl w:val="nil"/>
            </w:tcBorders>
            <w:vAlign w:val="center"/>
          </w:tcPr>
          <w:p>
            <w:pPr>
              <w:widowControl/>
              <w:ind w:firstLine="0" w:firstLineChars="0"/>
              <w:jc w:val="center"/>
              <w:rPr>
                <w:bCs/>
                <w:kern w:val="0"/>
                <w:sz w:val="21"/>
                <w:szCs w:val="21"/>
              </w:rPr>
            </w:pPr>
            <w:r>
              <w:rPr>
                <w:rFonts w:eastAsiaTheme="minorEastAsia"/>
                <w:bCs/>
                <w:kern w:val="0"/>
                <w:szCs w:val="21"/>
              </w:rPr>
              <w:t>13</w:t>
            </w:r>
          </w:p>
        </w:tc>
        <w:tc>
          <w:tcPr>
            <w:tcW w:w="418" w:type="pct"/>
            <w:tcBorders>
              <w:tl2br w:val="nil"/>
              <w:tr2bl w:val="nil"/>
            </w:tcBorders>
            <w:vAlign w:val="center"/>
          </w:tcPr>
          <w:p>
            <w:pPr>
              <w:widowControl/>
              <w:ind w:firstLine="0" w:firstLineChars="0"/>
              <w:jc w:val="center"/>
              <w:rPr>
                <w:bCs/>
                <w:kern w:val="0"/>
                <w:sz w:val="21"/>
                <w:szCs w:val="21"/>
              </w:rPr>
            </w:pPr>
            <w:r>
              <w:rPr>
                <w:rFonts w:eastAsiaTheme="minorEastAsia"/>
                <w:bCs/>
                <w:kern w:val="0"/>
                <w:szCs w:val="21"/>
              </w:rPr>
              <w:t>8</w:t>
            </w:r>
          </w:p>
        </w:tc>
        <w:tc>
          <w:tcPr>
            <w:tcW w:w="432" w:type="pct"/>
            <w:tcBorders>
              <w:tl2br w:val="nil"/>
              <w:tr2bl w:val="nil"/>
            </w:tcBorders>
            <w:vAlign w:val="center"/>
          </w:tcPr>
          <w:p>
            <w:pPr>
              <w:widowControl/>
              <w:spacing w:line="240" w:lineRule="auto"/>
              <w:ind w:firstLine="0" w:firstLineChars="0"/>
              <w:jc w:val="center"/>
              <w:rPr>
                <w:bCs/>
                <w:kern w:val="0"/>
                <w:sz w:val="21"/>
                <w:szCs w:val="21"/>
              </w:rPr>
            </w:pPr>
            <w:r>
              <w:rPr>
                <w:rFonts w:hint="eastAsia" w:eastAsiaTheme="minorEastAsia"/>
                <w:bCs/>
                <w:kern w:val="0"/>
                <w:szCs w:val="21"/>
                <w:lang w:val="en-US" w:eastAsia="zh-CN"/>
              </w:rPr>
              <w:t>泥砂</w:t>
            </w:r>
          </w:p>
        </w:tc>
        <w:tc>
          <w:tcPr>
            <w:tcW w:w="477" w:type="pct"/>
            <w:tcBorders>
              <w:tl2br w:val="nil"/>
              <w:tr2bl w:val="nil"/>
            </w:tcBorders>
            <w:vAlign w:val="center"/>
          </w:tcPr>
          <w:p>
            <w:pPr>
              <w:widowControl/>
              <w:ind w:firstLine="0" w:firstLineChars="0"/>
              <w:jc w:val="center"/>
              <w:rPr>
                <w:bCs/>
                <w:kern w:val="0"/>
                <w:sz w:val="21"/>
                <w:szCs w:val="21"/>
              </w:rPr>
            </w:pPr>
            <w:r>
              <w:rPr>
                <w:rFonts w:eastAsiaTheme="minorEastAsia"/>
                <w:bCs/>
                <w:kern w:val="0"/>
                <w:szCs w:val="21"/>
              </w:rPr>
              <w:t>0.4</w:t>
            </w:r>
          </w:p>
        </w:tc>
        <w:tc>
          <w:tcPr>
            <w:tcW w:w="394" w:type="pct"/>
            <w:tcBorders>
              <w:tl2br w:val="nil"/>
              <w:tr2bl w:val="nil"/>
            </w:tcBorders>
            <w:vAlign w:val="center"/>
          </w:tcPr>
          <w:p>
            <w:pPr>
              <w:widowControl/>
              <w:ind w:firstLine="0" w:firstLineChars="0"/>
              <w:jc w:val="center"/>
              <w:rPr>
                <w:bCs/>
                <w:kern w:val="0"/>
                <w:sz w:val="21"/>
                <w:szCs w:val="21"/>
              </w:rPr>
            </w:pPr>
            <w:r>
              <w:rPr>
                <w:rFonts w:eastAsiaTheme="minorEastAsia"/>
                <w:bCs/>
                <w:kern w:val="0"/>
                <w:szCs w:val="21"/>
              </w:rPr>
              <w:t>0.7</w:t>
            </w:r>
          </w:p>
        </w:tc>
      </w:tr>
    </w:tbl>
    <w:p>
      <w:pPr>
        <w:pStyle w:val="34"/>
        <w:ind w:firstLine="0" w:firstLineChars="0"/>
        <w:rPr>
          <w:rFonts w:ascii="Times New Roman" w:hAnsi="Times New Roman"/>
          <w:b/>
          <w:bCs/>
          <w:color w:val="000000" w:themeColor="text1"/>
          <w:szCs w:val="18"/>
          <w14:textFill>
            <w14:solidFill>
              <w14:schemeClr w14:val="tx1"/>
            </w14:solidFill>
          </w14:textFill>
        </w:rPr>
      </w:pPr>
    </w:p>
    <w:tbl>
      <w:tblPr>
        <w:tblStyle w:val="87"/>
        <w:tblW w:w="4999" w:type="pct"/>
        <w:jc w:val="center"/>
        <w:tblLayout w:type="autofit"/>
        <w:tblCellMar>
          <w:top w:w="0" w:type="dxa"/>
          <w:left w:w="108" w:type="dxa"/>
          <w:bottom w:w="0" w:type="dxa"/>
          <w:right w:w="108" w:type="dxa"/>
        </w:tblCellMar>
      </w:tblPr>
      <w:tblGrid>
        <w:gridCol w:w="4663"/>
        <w:gridCol w:w="4621"/>
      </w:tblGrid>
      <w:tr>
        <w:tblPrEx>
          <w:tblCellMar>
            <w:top w:w="0" w:type="dxa"/>
            <w:left w:w="108" w:type="dxa"/>
            <w:bottom w:w="0" w:type="dxa"/>
            <w:right w:w="108" w:type="dxa"/>
          </w:tblCellMar>
        </w:tblPrEx>
        <w:trPr>
          <w:jc w:val="center"/>
        </w:trPr>
        <w:tc>
          <w:tcPr>
            <w:tcW w:w="2511" w:type="pct"/>
            <w:tcBorders>
              <w:top w:val="single" w:color="auto" w:sz="8" w:space="0"/>
              <w:left w:val="single" w:color="auto" w:sz="8" w:space="0"/>
              <w:bottom w:val="single" w:color="auto" w:sz="8" w:space="0"/>
              <w:right w:val="single" w:color="auto" w:sz="8" w:space="0"/>
            </w:tcBorders>
          </w:tcPr>
          <w:p>
            <w:pPr>
              <w:spacing w:line="240" w:lineRule="auto"/>
              <w:ind w:firstLine="0" w:firstLineChars="0"/>
              <w:rPr>
                <w:sz w:val="21"/>
                <w:szCs w:val="21"/>
              </w:rPr>
            </w:pPr>
            <w:r>
              <w:rPr>
                <w:sz w:val="21"/>
              </w:rPr>
              <w:drawing>
                <wp:inline distT="0" distB="0" distL="0" distR="0">
                  <wp:extent cx="2686050" cy="1915160"/>
                  <wp:effectExtent l="0" t="0" r="0" b="889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73"/>
                          <a:stretch>
                            <a:fillRect/>
                          </a:stretch>
                        </pic:blipFill>
                        <pic:spPr>
                          <a:xfrm>
                            <a:off x="0" y="0"/>
                            <a:ext cx="2687965" cy="1917043"/>
                          </a:xfrm>
                          <a:prstGeom prst="rect">
                            <a:avLst/>
                          </a:prstGeom>
                        </pic:spPr>
                      </pic:pic>
                    </a:graphicData>
                  </a:graphic>
                </wp:inline>
              </w:drawing>
            </w:r>
          </w:p>
        </w:tc>
        <w:tc>
          <w:tcPr>
            <w:tcW w:w="2488" w:type="pct"/>
            <w:tcBorders>
              <w:top w:val="single" w:color="auto" w:sz="8" w:space="0"/>
              <w:left w:val="single" w:color="auto" w:sz="8" w:space="0"/>
              <w:bottom w:val="single" w:color="auto" w:sz="8" w:space="0"/>
              <w:right w:val="single" w:color="auto" w:sz="8" w:space="0"/>
            </w:tcBorders>
          </w:tcPr>
          <w:p>
            <w:pPr>
              <w:spacing w:line="240" w:lineRule="auto"/>
              <w:ind w:firstLine="0" w:firstLineChars="0"/>
              <w:rPr>
                <w:sz w:val="21"/>
                <w:szCs w:val="21"/>
              </w:rPr>
            </w:pPr>
            <w:r>
              <w:drawing>
                <wp:inline distT="0" distB="0" distL="0" distR="0">
                  <wp:extent cx="2600325" cy="1922145"/>
                  <wp:effectExtent l="0" t="0" r="9525" b="1905"/>
                  <wp:docPr id="29" name="图片 29" descr="IMG_20210601_16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20210601_16404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2600325" cy="1922145"/>
                          </a:xfrm>
                          <a:prstGeom prst="rect">
                            <a:avLst/>
                          </a:prstGeom>
                          <a:noFill/>
                          <a:ln>
                            <a:noFill/>
                          </a:ln>
                          <a:effectLst/>
                        </pic:spPr>
                      </pic:pic>
                    </a:graphicData>
                  </a:graphic>
                </wp:inline>
              </w:drawing>
            </w:r>
          </w:p>
        </w:tc>
      </w:tr>
      <w:tr>
        <w:tblPrEx>
          <w:tblCellMar>
            <w:top w:w="0" w:type="dxa"/>
            <w:left w:w="108" w:type="dxa"/>
            <w:bottom w:w="0" w:type="dxa"/>
            <w:right w:w="108" w:type="dxa"/>
          </w:tblCellMar>
        </w:tblPrEx>
        <w:trPr>
          <w:jc w:val="center"/>
        </w:trPr>
        <w:tc>
          <w:tcPr>
            <w:tcW w:w="2511" w:type="pct"/>
            <w:tcBorders>
              <w:top w:val="single" w:color="auto" w:sz="8" w:space="0"/>
              <w:left w:val="single" w:color="auto" w:sz="8" w:space="0"/>
              <w:bottom w:val="single" w:color="auto" w:sz="8" w:space="0"/>
              <w:right w:val="single" w:color="auto" w:sz="8" w:space="0"/>
            </w:tcBorders>
          </w:tcPr>
          <w:p>
            <w:pPr>
              <w:spacing w:line="240" w:lineRule="auto"/>
              <w:ind w:firstLine="0" w:firstLineChars="0"/>
              <w:jc w:val="center"/>
              <w:rPr>
                <w:sz w:val="21"/>
                <w:szCs w:val="21"/>
              </w:rPr>
            </w:pPr>
            <w:r>
              <w:rPr>
                <w:bCs/>
                <w:kern w:val="0"/>
                <w:sz w:val="21"/>
                <w:szCs w:val="21"/>
              </w:rPr>
              <w:t>码头下游1km处</w:t>
            </w:r>
          </w:p>
        </w:tc>
        <w:tc>
          <w:tcPr>
            <w:tcW w:w="2488" w:type="pct"/>
            <w:tcBorders>
              <w:top w:val="single" w:color="auto" w:sz="8" w:space="0"/>
              <w:left w:val="single" w:color="auto" w:sz="8" w:space="0"/>
              <w:bottom w:val="single" w:color="auto" w:sz="8" w:space="0"/>
              <w:right w:val="single" w:color="auto" w:sz="8" w:space="0"/>
            </w:tcBorders>
          </w:tcPr>
          <w:p>
            <w:pPr>
              <w:spacing w:line="240" w:lineRule="auto"/>
              <w:ind w:firstLine="0" w:firstLineChars="0"/>
              <w:jc w:val="center"/>
              <w:rPr>
                <w:sz w:val="21"/>
                <w:szCs w:val="21"/>
              </w:rPr>
            </w:pPr>
            <w:r>
              <w:rPr>
                <w:bCs/>
                <w:kern w:val="0"/>
                <w:sz w:val="21"/>
                <w:szCs w:val="21"/>
              </w:rPr>
              <w:t>码头上游1km</w:t>
            </w:r>
          </w:p>
        </w:tc>
      </w:tr>
      <w:tr>
        <w:tblPrEx>
          <w:tblCellMar>
            <w:top w:w="0" w:type="dxa"/>
            <w:left w:w="108" w:type="dxa"/>
            <w:bottom w:w="0" w:type="dxa"/>
            <w:right w:w="108" w:type="dxa"/>
          </w:tblCellMar>
        </w:tblPrEx>
        <w:trPr>
          <w:jc w:val="center"/>
        </w:trPr>
        <w:tc>
          <w:tcPr>
            <w:tcW w:w="2511" w:type="pct"/>
            <w:tcBorders>
              <w:top w:val="single" w:color="auto" w:sz="8" w:space="0"/>
              <w:left w:val="single" w:color="auto" w:sz="8" w:space="0"/>
              <w:bottom w:val="single" w:color="auto" w:sz="8" w:space="0"/>
              <w:right w:val="single" w:color="auto" w:sz="8" w:space="0"/>
            </w:tcBorders>
          </w:tcPr>
          <w:p>
            <w:pPr>
              <w:spacing w:line="240" w:lineRule="auto"/>
              <w:ind w:firstLine="0" w:firstLineChars="0"/>
              <w:rPr>
                <w:sz w:val="21"/>
                <w:szCs w:val="21"/>
              </w:rPr>
            </w:pPr>
            <w:r>
              <w:rPr>
                <w:sz w:val="21"/>
              </w:rPr>
              <w:drawing>
                <wp:inline distT="0" distB="0" distL="0" distR="0">
                  <wp:extent cx="2685415" cy="1905000"/>
                  <wp:effectExtent l="0" t="0" r="635"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75"/>
                          <a:stretch>
                            <a:fillRect/>
                          </a:stretch>
                        </pic:blipFill>
                        <pic:spPr>
                          <a:xfrm>
                            <a:off x="0" y="0"/>
                            <a:ext cx="2691651" cy="1909389"/>
                          </a:xfrm>
                          <a:prstGeom prst="rect">
                            <a:avLst/>
                          </a:prstGeom>
                        </pic:spPr>
                      </pic:pic>
                    </a:graphicData>
                  </a:graphic>
                </wp:inline>
              </w:drawing>
            </w:r>
          </w:p>
        </w:tc>
        <w:tc>
          <w:tcPr>
            <w:tcW w:w="2488" w:type="pct"/>
            <w:tcBorders>
              <w:top w:val="single" w:color="auto" w:sz="8" w:space="0"/>
              <w:left w:val="single" w:color="auto" w:sz="8" w:space="0"/>
              <w:bottom w:val="single" w:color="auto" w:sz="8" w:space="0"/>
              <w:right w:val="single" w:color="auto" w:sz="8" w:space="0"/>
            </w:tcBorders>
          </w:tcPr>
          <w:p>
            <w:pPr>
              <w:spacing w:line="240" w:lineRule="auto"/>
              <w:ind w:firstLine="0" w:firstLineChars="0"/>
              <w:rPr>
                <w:sz w:val="21"/>
                <w:szCs w:val="21"/>
              </w:rPr>
            </w:pPr>
            <w:r>
              <w:drawing>
                <wp:inline distT="0" distB="0" distL="0" distR="0">
                  <wp:extent cx="2636520" cy="1892935"/>
                  <wp:effectExtent l="0" t="0" r="11430" b="1206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76"/>
                          <a:stretch>
                            <a:fillRect/>
                          </a:stretch>
                        </pic:blipFill>
                        <pic:spPr>
                          <a:xfrm>
                            <a:off x="0" y="0"/>
                            <a:ext cx="2638165" cy="1892935"/>
                          </a:xfrm>
                          <a:prstGeom prst="rect">
                            <a:avLst/>
                          </a:prstGeom>
                        </pic:spPr>
                      </pic:pic>
                    </a:graphicData>
                  </a:graphic>
                </wp:inline>
              </w:drawing>
            </w:r>
          </w:p>
        </w:tc>
      </w:tr>
      <w:tr>
        <w:tblPrEx>
          <w:tblCellMar>
            <w:top w:w="0" w:type="dxa"/>
            <w:left w:w="108" w:type="dxa"/>
            <w:bottom w:w="0" w:type="dxa"/>
            <w:right w:w="108" w:type="dxa"/>
          </w:tblCellMar>
        </w:tblPrEx>
        <w:trPr>
          <w:jc w:val="center"/>
        </w:trPr>
        <w:tc>
          <w:tcPr>
            <w:tcW w:w="2511" w:type="pct"/>
            <w:tcBorders>
              <w:top w:val="single" w:color="auto" w:sz="8" w:space="0"/>
              <w:left w:val="single" w:color="auto" w:sz="8" w:space="0"/>
              <w:bottom w:val="single" w:color="auto" w:sz="8" w:space="0"/>
              <w:right w:val="single" w:color="auto" w:sz="8" w:space="0"/>
            </w:tcBorders>
          </w:tcPr>
          <w:p>
            <w:pPr>
              <w:spacing w:line="240" w:lineRule="auto"/>
              <w:ind w:firstLine="0" w:firstLineChars="0"/>
              <w:jc w:val="center"/>
              <w:rPr>
                <w:sz w:val="21"/>
                <w:szCs w:val="21"/>
              </w:rPr>
            </w:pPr>
            <w:r>
              <w:rPr>
                <w:bCs/>
                <w:kern w:val="0"/>
                <w:sz w:val="21"/>
                <w:szCs w:val="21"/>
              </w:rPr>
              <w:t>拟建码头处</w:t>
            </w:r>
          </w:p>
        </w:tc>
        <w:tc>
          <w:tcPr>
            <w:tcW w:w="2488" w:type="pct"/>
            <w:tcBorders>
              <w:top w:val="single" w:color="auto" w:sz="8" w:space="0"/>
              <w:left w:val="single" w:color="auto" w:sz="8" w:space="0"/>
              <w:bottom w:val="single" w:color="auto" w:sz="8" w:space="0"/>
              <w:right w:val="single" w:color="auto" w:sz="8" w:space="0"/>
            </w:tcBorders>
          </w:tcPr>
          <w:p>
            <w:pPr>
              <w:spacing w:line="240" w:lineRule="auto"/>
              <w:ind w:firstLine="0" w:firstLineChars="0"/>
              <w:jc w:val="center"/>
              <w:rPr>
                <w:sz w:val="21"/>
                <w:szCs w:val="21"/>
              </w:rPr>
            </w:pPr>
            <w:r>
              <w:rPr>
                <w:rFonts w:eastAsiaTheme="minorEastAsia"/>
                <w:sz w:val="21"/>
                <w:szCs w:val="21"/>
              </w:rPr>
              <w:t>码头下游5.3km</w:t>
            </w:r>
          </w:p>
        </w:tc>
      </w:tr>
      <w:tr>
        <w:tblPrEx>
          <w:tblCellMar>
            <w:top w:w="0" w:type="dxa"/>
            <w:left w:w="108" w:type="dxa"/>
            <w:bottom w:w="0" w:type="dxa"/>
            <w:right w:w="108" w:type="dxa"/>
          </w:tblCellMar>
        </w:tblPrEx>
        <w:trPr>
          <w:jc w:val="center"/>
        </w:trPr>
        <w:tc>
          <w:tcPr>
            <w:tcW w:w="2511" w:type="pct"/>
            <w:tcBorders>
              <w:top w:val="single" w:color="auto" w:sz="8" w:space="0"/>
              <w:left w:val="single" w:color="auto" w:sz="8" w:space="0"/>
              <w:bottom w:val="single" w:color="auto" w:sz="8" w:space="0"/>
              <w:right w:val="single" w:color="auto" w:sz="8" w:space="0"/>
            </w:tcBorders>
          </w:tcPr>
          <w:p>
            <w:pPr>
              <w:spacing w:line="240" w:lineRule="auto"/>
              <w:ind w:firstLine="0" w:firstLineChars="0"/>
              <w:jc w:val="center"/>
              <w:rPr>
                <w:bCs/>
                <w:kern w:val="0"/>
                <w:sz w:val="21"/>
                <w:szCs w:val="21"/>
              </w:rPr>
            </w:pPr>
            <w:r>
              <w:drawing>
                <wp:inline distT="0" distB="0" distL="0" distR="0">
                  <wp:extent cx="2687955" cy="1891665"/>
                  <wp:effectExtent l="0" t="0" r="17145" b="1333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77"/>
                          <a:stretch>
                            <a:fillRect/>
                          </a:stretch>
                        </pic:blipFill>
                        <pic:spPr>
                          <a:xfrm>
                            <a:off x="0" y="0"/>
                            <a:ext cx="2687955" cy="1891665"/>
                          </a:xfrm>
                          <a:prstGeom prst="rect">
                            <a:avLst/>
                          </a:prstGeom>
                        </pic:spPr>
                      </pic:pic>
                    </a:graphicData>
                  </a:graphic>
                </wp:inline>
              </w:drawing>
            </w:r>
          </w:p>
        </w:tc>
        <w:tc>
          <w:tcPr>
            <w:tcW w:w="2488" w:type="pct"/>
            <w:tcBorders>
              <w:top w:val="single" w:color="auto" w:sz="8" w:space="0"/>
              <w:left w:val="single" w:color="auto" w:sz="8" w:space="0"/>
              <w:bottom w:val="single" w:color="auto" w:sz="8" w:space="0"/>
              <w:right w:val="single" w:color="auto" w:sz="8" w:space="0"/>
            </w:tcBorders>
          </w:tcPr>
          <w:p>
            <w:pPr>
              <w:spacing w:line="240" w:lineRule="auto"/>
              <w:ind w:firstLine="0" w:firstLineChars="0"/>
              <w:jc w:val="center"/>
              <w:rPr>
                <w:sz w:val="21"/>
                <w:szCs w:val="21"/>
              </w:rPr>
            </w:pPr>
            <w:r>
              <w:drawing>
                <wp:inline distT="0" distB="0" distL="0" distR="0">
                  <wp:extent cx="2636520" cy="1891665"/>
                  <wp:effectExtent l="0" t="0" r="11430" b="1333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78"/>
                          <a:stretch>
                            <a:fillRect/>
                          </a:stretch>
                        </pic:blipFill>
                        <pic:spPr>
                          <a:xfrm>
                            <a:off x="0" y="0"/>
                            <a:ext cx="2636876" cy="1891665"/>
                          </a:xfrm>
                          <a:prstGeom prst="rect">
                            <a:avLst/>
                          </a:prstGeom>
                        </pic:spPr>
                      </pic:pic>
                    </a:graphicData>
                  </a:graphic>
                </wp:inline>
              </w:drawing>
            </w:r>
          </w:p>
        </w:tc>
      </w:tr>
      <w:tr>
        <w:tblPrEx>
          <w:tblCellMar>
            <w:top w:w="0" w:type="dxa"/>
            <w:left w:w="108" w:type="dxa"/>
            <w:bottom w:w="0" w:type="dxa"/>
            <w:right w:w="108" w:type="dxa"/>
          </w:tblCellMar>
        </w:tblPrEx>
        <w:trPr>
          <w:jc w:val="center"/>
        </w:trPr>
        <w:tc>
          <w:tcPr>
            <w:tcW w:w="2511" w:type="pct"/>
            <w:tcBorders>
              <w:top w:val="single" w:color="auto" w:sz="8" w:space="0"/>
              <w:left w:val="single" w:color="auto" w:sz="8" w:space="0"/>
              <w:bottom w:val="single" w:color="auto" w:sz="8" w:space="0"/>
              <w:right w:val="single" w:color="auto" w:sz="8" w:space="0"/>
            </w:tcBorders>
          </w:tcPr>
          <w:p>
            <w:pPr>
              <w:spacing w:line="240" w:lineRule="auto"/>
              <w:ind w:firstLine="0" w:firstLineChars="0"/>
              <w:jc w:val="center"/>
              <w:rPr>
                <w:bCs/>
                <w:kern w:val="0"/>
                <w:sz w:val="21"/>
                <w:szCs w:val="21"/>
              </w:rPr>
            </w:pPr>
            <w:r>
              <w:rPr>
                <w:rFonts w:eastAsiaTheme="minorEastAsia"/>
                <w:sz w:val="21"/>
                <w:szCs w:val="21"/>
              </w:rPr>
              <w:t>码头下游6.3km</w:t>
            </w:r>
          </w:p>
        </w:tc>
        <w:tc>
          <w:tcPr>
            <w:tcW w:w="2488" w:type="pct"/>
            <w:tcBorders>
              <w:top w:val="single" w:color="auto" w:sz="8" w:space="0"/>
              <w:left w:val="single" w:color="auto" w:sz="8" w:space="0"/>
              <w:bottom w:val="single" w:color="auto" w:sz="8" w:space="0"/>
              <w:right w:val="single" w:color="auto" w:sz="8" w:space="0"/>
            </w:tcBorders>
          </w:tcPr>
          <w:p>
            <w:pPr>
              <w:spacing w:line="240" w:lineRule="auto"/>
              <w:ind w:firstLine="0" w:firstLineChars="0"/>
              <w:jc w:val="center"/>
              <w:rPr>
                <w:sz w:val="21"/>
                <w:szCs w:val="21"/>
              </w:rPr>
            </w:pPr>
            <w:r>
              <w:rPr>
                <w:rFonts w:eastAsiaTheme="minorEastAsia"/>
                <w:sz w:val="21"/>
                <w:szCs w:val="21"/>
              </w:rPr>
              <w:t>码头下游7.3km</w:t>
            </w:r>
          </w:p>
        </w:tc>
      </w:tr>
      <w:tr>
        <w:tblPrEx>
          <w:tblCellMar>
            <w:top w:w="0" w:type="dxa"/>
            <w:left w:w="108" w:type="dxa"/>
            <w:bottom w:w="0" w:type="dxa"/>
            <w:right w:w="108" w:type="dxa"/>
          </w:tblCellMar>
        </w:tblPrEx>
        <w:trPr>
          <w:jc w:val="center"/>
        </w:trPr>
        <w:tc>
          <w:tcPr>
            <w:tcW w:w="2511" w:type="pct"/>
            <w:tcBorders>
              <w:top w:val="single" w:color="auto" w:sz="8" w:space="0"/>
              <w:left w:val="single" w:color="auto" w:sz="8" w:space="0"/>
              <w:bottom w:val="single" w:color="auto" w:sz="8" w:space="0"/>
              <w:right w:val="single" w:color="auto" w:sz="8" w:space="0"/>
            </w:tcBorders>
          </w:tcPr>
          <w:p>
            <w:pPr>
              <w:spacing w:line="240" w:lineRule="auto"/>
              <w:ind w:firstLine="0" w:firstLineChars="0"/>
              <w:jc w:val="center"/>
              <w:rPr>
                <w:bCs/>
                <w:kern w:val="0"/>
                <w:sz w:val="21"/>
                <w:szCs w:val="21"/>
              </w:rPr>
            </w:pPr>
            <w:r>
              <w:drawing>
                <wp:inline distT="0" distB="0" distL="0" distR="0">
                  <wp:extent cx="2679065" cy="1913890"/>
                  <wp:effectExtent l="0" t="0" r="6985" b="1016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78"/>
                          <a:stretch>
                            <a:fillRect/>
                          </a:stretch>
                        </pic:blipFill>
                        <pic:spPr>
                          <a:xfrm>
                            <a:off x="0" y="0"/>
                            <a:ext cx="2679065" cy="1913890"/>
                          </a:xfrm>
                          <a:prstGeom prst="rect">
                            <a:avLst/>
                          </a:prstGeom>
                        </pic:spPr>
                      </pic:pic>
                    </a:graphicData>
                  </a:graphic>
                </wp:inline>
              </w:drawing>
            </w:r>
          </w:p>
        </w:tc>
        <w:tc>
          <w:tcPr>
            <w:tcW w:w="2488" w:type="pct"/>
            <w:tcBorders>
              <w:top w:val="single" w:color="auto" w:sz="8" w:space="0"/>
              <w:left w:val="single" w:color="auto" w:sz="8" w:space="0"/>
              <w:bottom w:val="single" w:color="auto" w:sz="8" w:space="0"/>
              <w:right w:val="single" w:color="auto" w:sz="8" w:space="0"/>
            </w:tcBorders>
          </w:tcPr>
          <w:p>
            <w:pPr>
              <w:spacing w:line="240" w:lineRule="auto"/>
              <w:ind w:firstLine="0" w:firstLineChars="0"/>
              <w:jc w:val="center"/>
              <w:rPr>
                <w:sz w:val="21"/>
                <w:szCs w:val="21"/>
              </w:rPr>
            </w:pPr>
          </w:p>
        </w:tc>
      </w:tr>
      <w:tr>
        <w:tblPrEx>
          <w:tblCellMar>
            <w:top w:w="0" w:type="dxa"/>
            <w:left w:w="108" w:type="dxa"/>
            <w:bottom w:w="0" w:type="dxa"/>
            <w:right w:w="108" w:type="dxa"/>
          </w:tblCellMar>
        </w:tblPrEx>
        <w:trPr>
          <w:jc w:val="center"/>
        </w:trPr>
        <w:tc>
          <w:tcPr>
            <w:tcW w:w="2511" w:type="pct"/>
            <w:tcBorders>
              <w:top w:val="single" w:color="auto" w:sz="8" w:space="0"/>
              <w:left w:val="single" w:color="auto" w:sz="8" w:space="0"/>
              <w:bottom w:val="single" w:color="auto" w:sz="8" w:space="0"/>
              <w:right w:val="single" w:color="auto" w:sz="8" w:space="0"/>
            </w:tcBorders>
          </w:tcPr>
          <w:p>
            <w:pPr>
              <w:spacing w:line="240" w:lineRule="auto"/>
              <w:ind w:firstLine="0" w:firstLineChars="0"/>
              <w:jc w:val="center"/>
              <w:rPr>
                <w:bCs/>
                <w:kern w:val="0"/>
                <w:sz w:val="21"/>
                <w:szCs w:val="21"/>
              </w:rPr>
            </w:pPr>
            <w:r>
              <w:rPr>
                <w:rFonts w:eastAsiaTheme="minorEastAsia"/>
                <w:sz w:val="21"/>
                <w:szCs w:val="21"/>
              </w:rPr>
              <w:t>码头下游8.3km</w:t>
            </w:r>
          </w:p>
        </w:tc>
        <w:tc>
          <w:tcPr>
            <w:tcW w:w="2488" w:type="pct"/>
            <w:tcBorders>
              <w:top w:val="single" w:color="auto" w:sz="8" w:space="0"/>
              <w:left w:val="single" w:color="auto" w:sz="8" w:space="0"/>
              <w:bottom w:val="single" w:color="auto" w:sz="8" w:space="0"/>
              <w:right w:val="single" w:color="auto" w:sz="8" w:space="0"/>
            </w:tcBorders>
          </w:tcPr>
          <w:p>
            <w:pPr>
              <w:spacing w:line="240" w:lineRule="auto"/>
              <w:ind w:firstLine="0" w:firstLineChars="0"/>
              <w:jc w:val="center"/>
              <w:rPr>
                <w:sz w:val="21"/>
                <w:szCs w:val="21"/>
              </w:rPr>
            </w:pPr>
          </w:p>
        </w:tc>
      </w:tr>
    </w:tbl>
    <w:p>
      <w:pPr>
        <w:pStyle w:val="6"/>
        <w:spacing w:before="0" w:after="0"/>
        <w:ind w:firstLine="562"/>
      </w:pPr>
      <w:bookmarkStart w:id="148" w:name="_Toc18199"/>
      <w:bookmarkStart w:id="149" w:name="_Toc12062"/>
      <w:r>
        <w:t>浮游植物</w:t>
      </w:r>
      <w:bookmarkEnd w:id="148"/>
      <w:bookmarkEnd w:id="149"/>
    </w:p>
    <w:p>
      <w:pPr>
        <w:ind w:firstLine="482"/>
        <w:rPr>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一、</w:t>
      </w:r>
      <w:r>
        <w:rPr>
          <w:b/>
          <w:bCs/>
          <w:color w:val="000000" w:themeColor="text1"/>
          <w:kern w:val="0"/>
          <w14:textFill>
            <w14:solidFill>
              <w14:schemeClr w14:val="tx1"/>
            </w14:solidFill>
          </w14:textFill>
        </w:rPr>
        <w:t>种类组成</w:t>
      </w:r>
    </w:p>
    <w:p>
      <w:pPr>
        <w:ind w:firstLine="482"/>
        <w:rPr>
          <w:b/>
          <w:bCs/>
          <w:color w:val="000000" w:themeColor="text1"/>
          <w:kern w:val="0"/>
          <w14:textFill>
            <w14:solidFill>
              <w14:schemeClr w14:val="tx1"/>
            </w14:solidFill>
          </w14:textFill>
        </w:rPr>
      </w:pPr>
      <w:r>
        <w:rPr>
          <w:b/>
          <w:bCs/>
          <w:color w:val="000000" w:themeColor="text1"/>
          <w:kern w:val="0"/>
          <w14:textFill>
            <w14:solidFill>
              <w14:schemeClr w14:val="tx1"/>
            </w14:solidFill>
          </w14:textFill>
        </w:rPr>
        <w:t>（1）2021年6月</w:t>
      </w:r>
    </w:p>
    <w:p>
      <w:pPr>
        <w:ind w:firstLine="480"/>
        <w:rPr>
          <w:bCs/>
          <w:kern w:val="0"/>
        </w:rPr>
      </w:pPr>
      <w:r>
        <w:t>2021年6月，项目组技术人员</w:t>
      </w:r>
      <w:r>
        <w:rPr>
          <w:bCs/>
          <w:kern w:val="0"/>
        </w:rPr>
        <w:t>对评价区水域进行水生生态调查，评价区调查点位共检出浮游</w:t>
      </w:r>
      <w:r>
        <w:rPr>
          <w:rFonts w:hint="eastAsia"/>
          <w:bCs/>
          <w:kern w:val="0"/>
        </w:rPr>
        <w:t>植物</w:t>
      </w:r>
      <w:r>
        <w:rPr>
          <w:bCs/>
          <w:kern w:val="0"/>
        </w:rPr>
        <w:t>8门，51种（属）。</w:t>
      </w:r>
      <w:r>
        <w:rPr>
          <w:rFonts w:hint="eastAsia"/>
          <w:bCs/>
          <w:kern w:val="0"/>
        </w:rPr>
        <w:t>浮游植物</w:t>
      </w:r>
      <w:r>
        <w:rPr>
          <w:bCs/>
          <w:kern w:val="0"/>
        </w:rPr>
        <w:t>中硅藻门种（属）数最多，为28种（属），占54.90%；蓝藻门8种（属），占15.69%；绿藻门6种（属），占11.76%；裸藻门3种（属），占5.88%；甲藻门和隐藻门各2种（属），各占3.92%；黄藻门和金藻门各1种（属），各占1.96%。调查河段浮游植物以硅藻为主，蓝藻次之。评价区常见类群有颤藻（</w:t>
      </w:r>
      <w:r>
        <w:rPr>
          <w:i/>
          <w:iCs/>
          <w:color w:val="000000"/>
          <w:kern w:val="0"/>
          <w:lang w:bidi="ar"/>
        </w:rPr>
        <w:t xml:space="preserve">Oscillatoria </w:t>
      </w:r>
      <w:r>
        <w:rPr>
          <w:color w:val="000000"/>
          <w:kern w:val="0"/>
          <w:lang w:bidi="ar"/>
        </w:rPr>
        <w:t>sp.</w:t>
      </w:r>
      <w:r>
        <w:rPr>
          <w:bCs/>
          <w:kern w:val="0"/>
        </w:rPr>
        <w:t>）、鱼腥藻（</w:t>
      </w:r>
      <w:r>
        <w:rPr>
          <w:i/>
          <w:iCs/>
          <w:color w:val="000000"/>
          <w:kern w:val="0"/>
          <w:lang w:bidi="ar"/>
        </w:rPr>
        <w:t xml:space="preserve">Anabaena </w:t>
      </w:r>
      <w:r>
        <w:rPr>
          <w:color w:val="000000"/>
          <w:kern w:val="0"/>
          <w:lang w:bidi="ar"/>
        </w:rPr>
        <w:t>sp.</w:t>
      </w:r>
      <w:r>
        <w:rPr>
          <w:bCs/>
          <w:kern w:val="0"/>
        </w:rPr>
        <w:t>）、</w:t>
      </w:r>
      <w:r>
        <w:rPr>
          <w:color w:val="000000"/>
          <w:kern w:val="0"/>
        </w:rPr>
        <w:t>颗粒直链藻</w:t>
      </w:r>
      <w:r>
        <w:t>（</w:t>
      </w:r>
      <w:r>
        <w:rPr>
          <w:i/>
          <w:iCs/>
          <w:color w:val="000000"/>
          <w:kern w:val="0"/>
        </w:rPr>
        <w:t>Melosira granulata</w:t>
      </w:r>
      <w:r>
        <w:t>）、脆杆藻（</w:t>
      </w:r>
      <w:r>
        <w:rPr>
          <w:i/>
          <w:iCs/>
          <w:color w:val="000000"/>
          <w:kern w:val="0"/>
          <w:lang w:bidi="ar"/>
        </w:rPr>
        <w:t xml:space="preserve">Fragilaria </w:t>
      </w:r>
      <w:r>
        <w:rPr>
          <w:color w:val="000000"/>
          <w:kern w:val="0"/>
          <w:lang w:bidi="ar"/>
        </w:rPr>
        <w:t>sp.</w:t>
      </w:r>
      <w:r>
        <w:t>）、线形菱形藻（</w:t>
      </w:r>
      <w:r>
        <w:rPr>
          <w:i/>
          <w:iCs/>
          <w:color w:val="000000"/>
          <w:kern w:val="0"/>
          <w:lang w:bidi="ar"/>
        </w:rPr>
        <w:t>Nitzschia linearis</w:t>
      </w:r>
      <w:r>
        <w:t>）、</w:t>
      </w:r>
      <w:r>
        <w:rPr>
          <w:color w:val="000000"/>
          <w:kern w:val="0"/>
        </w:rPr>
        <w:t>二角盘星藻</w:t>
      </w:r>
      <w:r>
        <w:rPr>
          <w:lang w:bidi="ar"/>
        </w:rPr>
        <w:t>（</w:t>
      </w:r>
      <w:r>
        <w:rPr>
          <w:i/>
          <w:iCs/>
          <w:color w:val="000000"/>
          <w:kern w:val="0"/>
        </w:rPr>
        <w:t>Pediastrum duplex</w:t>
      </w:r>
      <w:r>
        <w:rPr>
          <w:lang w:bidi="ar"/>
        </w:rPr>
        <w:t>）、黄丝藻（</w:t>
      </w:r>
      <w:r>
        <w:rPr>
          <w:i/>
          <w:iCs/>
          <w:color w:val="000000"/>
          <w:kern w:val="0"/>
          <w:lang w:bidi="ar"/>
        </w:rPr>
        <w:t xml:space="preserve">Tribonema </w:t>
      </w:r>
      <w:r>
        <w:rPr>
          <w:color w:val="000000"/>
          <w:kern w:val="0"/>
          <w:lang w:bidi="ar"/>
        </w:rPr>
        <w:t>sp.</w:t>
      </w:r>
      <w:r>
        <w:rPr>
          <w:lang w:bidi="ar"/>
        </w:rPr>
        <w:t>）等。</w:t>
      </w:r>
    </w:p>
    <w:p>
      <w:pPr>
        <w:pStyle w:val="3583"/>
        <w:spacing w:line="240" w:lineRule="auto"/>
        <w:ind w:left="0"/>
        <w:rPr>
          <w:szCs w:val="21"/>
        </w:rPr>
      </w:pPr>
      <w:r>
        <w:rPr>
          <w:szCs w:val="21"/>
        </w:rPr>
        <w:t xml:space="preserve">  6月评价区各门</w:t>
      </w:r>
      <w:r>
        <w:rPr>
          <w:rFonts w:hint="eastAsia"/>
          <w:szCs w:val="21"/>
        </w:rPr>
        <w:t>浮游植物</w:t>
      </w:r>
      <w:r>
        <w:rPr>
          <w:szCs w:val="21"/>
        </w:rPr>
        <w:t>种数及比例</w:t>
      </w:r>
    </w:p>
    <w:tbl>
      <w:tblPr>
        <w:tblStyle w:val="87"/>
        <w:tblW w:w="4996"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430"/>
        <w:gridCol w:w="871"/>
        <w:gridCol w:w="871"/>
        <w:gridCol w:w="872"/>
        <w:gridCol w:w="872"/>
        <w:gridCol w:w="872"/>
        <w:gridCol w:w="872"/>
        <w:gridCol w:w="872"/>
        <w:gridCol w:w="872"/>
        <w:gridCol w:w="87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7" w:hRule="atLeast"/>
          <w:jc w:val="center"/>
        </w:trPr>
        <w:tc>
          <w:tcPr>
            <w:tcW w:w="770" w:type="pct"/>
            <w:tcBorders>
              <w:bottom w:val="single" w:color="000000" w:sz="12" w:space="0"/>
            </w:tcBorders>
            <w:vAlign w:val="center"/>
          </w:tcPr>
          <w:p>
            <w:pPr>
              <w:spacing w:line="240" w:lineRule="auto"/>
              <w:ind w:firstLine="0" w:firstLineChars="0"/>
              <w:jc w:val="center"/>
              <w:rPr>
                <w:b/>
                <w:bCs/>
                <w:color w:val="000000"/>
                <w:sz w:val="21"/>
                <w:szCs w:val="21"/>
              </w:rPr>
            </w:pPr>
            <w:r>
              <w:rPr>
                <w:b/>
                <w:bCs/>
                <w:color w:val="000000"/>
                <w:sz w:val="21"/>
                <w:szCs w:val="21"/>
              </w:rPr>
              <w:t>类别</w:t>
            </w:r>
          </w:p>
        </w:tc>
        <w:tc>
          <w:tcPr>
            <w:tcW w:w="469" w:type="pct"/>
            <w:tcBorders>
              <w:bottom w:val="single" w:color="000000" w:sz="12" w:space="0"/>
            </w:tcBorders>
            <w:vAlign w:val="center"/>
          </w:tcPr>
          <w:p>
            <w:pPr>
              <w:spacing w:line="240" w:lineRule="auto"/>
              <w:ind w:firstLine="0" w:firstLineChars="0"/>
              <w:jc w:val="center"/>
              <w:rPr>
                <w:b/>
                <w:bCs/>
                <w:color w:val="000000"/>
                <w:sz w:val="21"/>
                <w:szCs w:val="21"/>
              </w:rPr>
            </w:pPr>
            <w:r>
              <w:rPr>
                <w:b/>
                <w:bCs/>
                <w:color w:val="000000"/>
                <w:sz w:val="21"/>
                <w:szCs w:val="21"/>
              </w:rPr>
              <w:t>硅藻门</w:t>
            </w:r>
          </w:p>
        </w:tc>
        <w:tc>
          <w:tcPr>
            <w:tcW w:w="469" w:type="pct"/>
            <w:tcBorders>
              <w:bottom w:val="single" w:color="000000" w:sz="12" w:space="0"/>
            </w:tcBorders>
            <w:vAlign w:val="center"/>
          </w:tcPr>
          <w:p>
            <w:pPr>
              <w:spacing w:line="240" w:lineRule="auto"/>
              <w:ind w:firstLine="0" w:firstLineChars="0"/>
              <w:jc w:val="center"/>
              <w:rPr>
                <w:b/>
                <w:bCs/>
                <w:color w:val="000000"/>
                <w:sz w:val="21"/>
                <w:szCs w:val="21"/>
              </w:rPr>
            </w:pPr>
            <w:r>
              <w:rPr>
                <w:b/>
                <w:bCs/>
                <w:color w:val="000000"/>
                <w:sz w:val="21"/>
                <w:szCs w:val="21"/>
              </w:rPr>
              <w:t>蓝藻门</w:t>
            </w:r>
          </w:p>
        </w:tc>
        <w:tc>
          <w:tcPr>
            <w:tcW w:w="469" w:type="pct"/>
            <w:tcBorders>
              <w:bottom w:val="single" w:color="000000" w:sz="12" w:space="0"/>
            </w:tcBorders>
            <w:vAlign w:val="center"/>
          </w:tcPr>
          <w:p>
            <w:pPr>
              <w:spacing w:line="240" w:lineRule="auto"/>
              <w:ind w:firstLine="0" w:firstLineChars="0"/>
              <w:jc w:val="center"/>
              <w:rPr>
                <w:b/>
                <w:bCs/>
                <w:color w:val="000000"/>
                <w:sz w:val="21"/>
                <w:szCs w:val="21"/>
              </w:rPr>
            </w:pPr>
            <w:r>
              <w:rPr>
                <w:b/>
                <w:bCs/>
                <w:color w:val="000000"/>
                <w:sz w:val="21"/>
                <w:szCs w:val="21"/>
              </w:rPr>
              <w:t>绿藻门</w:t>
            </w:r>
          </w:p>
        </w:tc>
        <w:tc>
          <w:tcPr>
            <w:tcW w:w="469" w:type="pct"/>
            <w:tcBorders>
              <w:bottom w:val="single" w:color="000000" w:sz="12" w:space="0"/>
            </w:tcBorders>
            <w:vAlign w:val="center"/>
          </w:tcPr>
          <w:p>
            <w:pPr>
              <w:spacing w:line="240" w:lineRule="auto"/>
              <w:ind w:firstLine="0" w:firstLineChars="0"/>
              <w:jc w:val="center"/>
              <w:rPr>
                <w:b/>
                <w:bCs/>
                <w:color w:val="000000"/>
                <w:sz w:val="21"/>
                <w:szCs w:val="21"/>
              </w:rPr>
            </w:pPr>
            <w:r>
              <w:rPr>
                <w:b/>
                <w:bCs/>
                <w:color w:val="000000"/>
                <w:sz w:val="21"/>
                <w:szCs w:val="21"/>
              </w:rPr>
              <w:t>裸藻门</w:t>
            </w:r>
          </w:p>
        </w:tc>
        <w:tc>
          <w:tcPr>
            <w:tcW w:w="469" w:type="pct"/>
            <w:tcBorders>
              <w:bottom w:val="single" w:color="000000" w:sz="12" w:space="0"/>
            </w:tcBorders>
            <w:vAlign w:val="center"/>
          </w:tcPr>
          <w:p>
            <w:pPr>
              <w:spacing w:line="240" w:lineRule="auto"/>
              <w:ind w:firstLine="0" w:firstLineChars="0"/>
              <w:jc w:val="center"/>
              <w:rPr>
                <w:b/>
                <w:bCs/>
                <w:color w:val="000000"/>
                <w:sz w:val="21"/>
                <w:szCs w:val="21"/>
              </w:rPr>
            </w:pPr>
            <w:r>
              <w:rPr>
                <w:b/>
                <w:bCs/>
                <w:color w:val="000000"/>
                <w:sz w:val="21"/>
                <w:szCs w:val="21"/>
              </w:rPr>
              <w:t>甲藻门</w:t>
            </w:r>
          </w:p>
        </w:tc>
        <w:tc>
          <w:tcPr>
            <w:tcW w:w="469" w:type="pct"/>
            <w:tcBorders>
              <w:bottom w:val="single" w:color="000000" w:sz="12" w:space="0"/>
            </w:tcBorders>
            <w:vAlign w:val="center"/>
          </w:tcPr>
          <w:p>
            <w:pPr>
              <w:spacing w:line="240" w:lineRule="auto"/>
              <w:ind w:firstLine="0" w:firstLineChars="0"/>
              <w:jc w:val="center"/>
              <w:rPr>
                <w:b/>
                <w:bCs/>
                <w:color w:val="000000"/>
                <w:sz w:val="21"/>
                <w:szCs w:val="21"/>
              </w:rPr>
            </w:pPr>
            <w:r>
              <w:rPr>
                <w:b/>
                <w:bCs/>
                <w:color w:val="000000"/>
                <w:sz w:val="21"/>
                <w:szCs w:val="21"/>
              </w:rPr>
              <w:t>隐藻门</w:t>
            </w:r>
          </w:p>
        </w:tc>
        <w:tc>
          <w:tcPr>
            <w:tcW w:w="469" w:type="pct"/>
            <w:tcBorders>
              <w:bottom w:val="single" w:color="000000" w:sz="12" w:space="0"/>
            </w:tcBorders>
            <w:vAlign w:val="center"/>
          </w:tcPr>
          <w:p>
            <w:pPr>
              <w:spacing w:line="240" w:lineRule="auto"/>
              <w:ind w:firstLine="0" w:firstLineChars="0"/>
              <w:jc w:val="center"/>
              <w:rPr>
                <w:b/>
                <w:bCs/>
                <w:color w:val="000000"/>
                <w:sz w:val="21"/>
                <w:szCs w:val="21"/>
              </w:rPr>
            </w:pPr>
            <w:r>
              <w:rPr>
                <w:b/>
                <w:bCs/>
                <w:color w:val="000000"/>
                <w:sz w:val="21"/>
                <w:szCs w:val="21"/>
              </w:rPr>
              <w:t>黄藻门</w:t>
            </w:r>
          </w:p>
        </w:tc>
        <w:tc>
          <w:tcPr>
            <w:tcW w:w="469" w:type="pct"/>
            <w:tcBorders>
              <w:bottom w:val="single" w:color="000000" w:sz="12" w:space="0"/>
            </w:tcBorders>
            <w:vAlign w:val="center"/>
          </w:tcPr>
          <w:p>
            <w:pPr>
              <w:spacing w:line="240" w:lineRule="auto"/>
              <w:ind w:firstLine="0" w:firstLineChars="0"/>
              <w:jc w:val="center"/>
              <w:rPr>
                <w:b/>
                <w:bCs/>
                <w:color w:val="000000"/>
                <w:sz w:val="21"/>
                <w:szCs w:val="21"/>
              </w:rPr>
            </w:pPr>
            <w:r>
              <w:rPr>
                <w:b/>
                <w:bCs/>
                <w:color w:val="000000"/>
                <w:sz w:val="21"/>
                <w:szCs w:val="21"/>
              </w:rPr>
              <w:t>金藻门</w:t>
            </w:r>
          </w:p>
        </w:tc>
        <w:tc>
          <w:tcPr>
            <w:tcW w:w="470" w:type="pct"/>
            <w:tcBorders>
              <w:bottom w:val="single" w:color="000000" w:sz="12" w:space="0"/>
            </w:tcBorders>
            <w:vAlign w:val="center"/>
          </w:tcPr>
          <w:p>
            <w:pPr>
              <w:spacing w:line="240" w:lineRule="auto"/>
              <w:ind w:firstLine="0" w:firstLineChars="0"/>
              <w:jc w:val="center"/>
              <w:rPr>
                <w:b/>
                <w:bCs/>
                <w:color w:val="000000"/>
                <w:sz w:val="21"/>
                <w:szCs w:val="21"/>
              </w:rPr>
            </w:pPr>
            <w:r>
              <w:rPr>
                <w:b/>
                <w:bCs/>
                <w:color w:val="000000"/>
                <w:sz w:val="21"/>
                <w:szCs w:val="21"/>
              </w:rPr>
              <w:t>合计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770" w:type="pct"/>
            <w:tcBorders>
              <w:top w:val="single" w:color="000000" w:sz="12" w:space="0"/>
              <w:tl2br w:val="nil"/>
              <w:tr2bl w:val="nil"/>
            </w:tcBorders>
            <w:vAlign w:val="center"/>
          </w:tcPr>
          <w:p>
            <w:pPr>
              <w:spacing w:line="240" w:lineRule="auto"/>
              <w:ind w:firstLine="0" w:firstLineChars="0"/>
              <w:jc w:val="center"/>
              <w:rPr>
                <w:color w:val="000000"/>
                <w:sz w:val="21"/>
                <w:szCs w:val="21"/>
              </w:rPr>
            </w:pPr>
            <w:r>
              <w:rPr>
                <w:color w:val="000000"/>
                <w:sz w:val="21"/>
                <w:szCs w:val="21"/>
              </w:rPr>
              <w:t>种类数</w:t>
            </w:r>
          </w:p>
        </w:tc>
        <w:tc>
          <w:tcPr>
            <w:tcW w:w="469" w:type="pct"/>
            <w:tcBorders>
              <w:top w:val="single" w:color="000000" w:sz="12" w:space="0"/>
              <w:tl2br w:val="nil"/>
              <w:tr2bl w:val="nil"/>
            </w:tcBorders>
            <w:vAlign w:val="center"/>
          </w:tcPr>
          <w:p>
            <w:pPr>
              <w:spacing w:line="240" w:lineRule="auto"/>
              <w:ind w:firstLine="0" w:firstLineChars="0"/>
              <w:jc w:val="center"/>
              <w:rPr>
                <w:color w:val="000000"/>
                <w:sz w:val="21"/>
                <w:szCs w:val="21"/>
              </w:rPr>
            </w:pPr>
            <w:r>
              <w:rPr>
                <w:color w:val="000000"/>
                <w:kern w:val="0"/>
                <w:sz w:val="21"/>
                <w:szCs w:val="21"/>
              </w:rPr>
              <w:t>28</w:t>
            </w:r>
          </w:p>
        </w:tc>
        <w:tc>
          <w:tcPr>
            <w:tcW w:w="469" w:type="pct"/>
            <w:tcBorders>
              <w:top w:val="single" w:color="000000" w:sz="12" w:space="0"/>
              <w:tl2br w:val="nil"/>
              <w:tr2bl w:val="nil"/>
            </w:tcBorders>
            <w:vAlign w:val="center"/>
          </w:tcPr>
          <w:p>
            <w:pPr>
              <w:spacing w:line="240" w:lineRule="auto"/>
              <w:ind w:firstLine="0" w:firstLineChars="0"/>
              <w:jc w:val="center"/>
              <w:rPr>
                <w:color w:val="000000"/>
                <w:sz w:val="21"/>
                <w:szCs w:val="21"/>
              </w:rPr>
            </w:pPr>
            <w:r>
              <w:rPr>
                <w:color w:val="000000"/>
                <w:kern w:val="0"/>
                <w:sz w:val="21"/>
                <w:szCs w:val="21"/>
              </w:rPr>
              <w:t>8</w:t>
            </w:r>
          </w:p>
        </w:tc>
        <w:tc>
          <w:tcPr>
            <w:tcW w:w="469" w:type="pct"/>
            <w:tcBorders>
              <w:top w:val="single" w:color="000000" w:sz="12" w:space="0"/>
              <w:tl2br w:val="nil"/>
              <w:tr2bl w:val="nil"/>
            </w:tcBorders>
            <w:vAlign w:val="center"/>
          </w:tcPr>
          <w:p>
            <w:pPr>
              <w:spacing w:line="240" w:lineRule="auto"/>
              <w:ind w:firstLine="0" w:firstLineChars="0"/>
              <w:jc w:val="center"/>
              <w:rPr>
                <w:color w:val="000000"/>
                <w:sz w:val="21"/>
                <w:szCs w:val="21"/>
              </w:rPr>
            </w:pPr>
            <w:r>
              <w:rPr>
                <w:color w:val="000000"/>
                <w:kern w:val="0"/>
                <w:sz w:val="21"/>
                <w:szCs w:val="21"/>
              </w:rPr>
              <w:t>6</w:t>
            </w:r>
          </w:p>
        </w:tc>
        <w:tc>
          <w:tcPr>
            <w:tcW w:w="469" w:type="pct"/>
            <w:tcBorders>
              <w:top w:val="single" w:color="000000" w:sz="12" w:space="0"/>
              <w:tl2br w:val="nil"/>
              <w:tr2bl w:val="nil"/>
            </w:tcBorders>
            <w:vAlign w:val="center"/>
          </w:tcPr>
          <w:p>
            <w:pPr>
              <w:spacing w:line="240" w:lineRule="auto"/>
              <w:ind w:firstLine="0" w:firstLineChars="0"/>
              <w:jc w:val="center"/>
              <w:rPr>
                <w:color w:val="000000"/>
                <w:sz w:val="21"/>
                <w:szCs w:val="21"/>
              </w:rPr>
            </w:pPr>
            <w:r>
              <w:rPr>
                <w:color w:val="000000"/>
                <w:kern w:val="0"/>
                <w:sz w:val="21"/>
                <w:szCs w:val="21"/>
              </w:rPr>
              <w:t>3</w:t>
            </w:r>
          </w:p>
        </w:tc>
        <w:tc>
          <w:tcPr>
            <w:tcW w:w="469" w:type="pct"/>
            <w:tcBorders>
              <w:top w:val="single" w:color="000000" w:sz="12" w:space="0"/>
              <w:tl2br w:val="nil"/>
              <w:tr2bl w:val="nil"/>
            </w:tcBorders>
            <w:vAlign w:val="center"/>
          </w:tcPr>
          <w:p>
            <w:pPr>
              <w:spacing w:line="240" w:lineRule="auto"/>
              <w:ind w:firstLine="0" w:firstLineChars="0"/>
              <w:jc w:val="center"/>
              <w:rPr>
                <w:color w:val="000000"/>
                <w:sz w:val="21"/>
                <w:szCs w:val="21"/>
              </w:rPr>
            </w:pPr>
            <w:r>
              <w:rPr>
                <w:color w:val="000000"/>
                <w:kern w:val="0"/>
                <w:sz w:val="21"/>
                <w:szCs w:val="21"/>
              </w:rPr>
              <w:t>2</w:t>
            </w:r>
          </w:p>
        </w:tc>
        <w:tc>
          <w:tcPr>
            <w:tcW w:w="469" w:type="pct"/>
            <w:tcBorders>
              <w:top w:val="single" w:color="000000" w:sz="12" w:space="0"/>
              <w:tl2br w:val="nil"/>
              <w:tr2bl w:val="nil"/>
            </w:tcBorders>
            <w:vAlign w:val="center"/>
          </w:tcPr>
          <w:p>
            <w:pPr>
              <w:spacing w:line="240" w:lineRule="auto"/>
              <w:ind w:firstLine="0" w:firstLineChars="0"/>
              <w:jc w:val="center"/>
              <w:rPr>
                <w:color w:val="000000"/>
                <w:sz w:val="21"/>
                <w:szCs w:val="21"/>
              </w:rPr>
            </w:pPr>
            <w:r>
              <w:rPr>
                <w:color w:val="000000"/>
                <w:kern w:val="0"/>
                <w:sz w:val="21"/>
                <w:szCs w:val="21"/>
              </w:rPr>
              <w:t>2</w:t>
            </w:r>
          </w:p>
        </w:tc>
        <w:tc>
          <w:tcPr>
            <w:tcW w:w="469" w:type="pct"/>
            <w:tcBorders>
              <w:top w:val="single" w:color="000000" w:sz="12" w:space="0"/>
              <w:tl2br w:val="nil"/>
              <w:tr2bl w:val="nil"/>
            </w:tcBorders>
            <w:vAlign w:val="center"/>
          </w:tcPr>
          <w:p>
            <w:pPr>
              <w:spacing w:line="240" w:lineRule="auto"/>
              <w:ind w:firstLine="0" w:firstLineChars="0"/>
              <w:jc w:val="center"/>
              <w:rPr>
                <w:color w:val="000000"/>
                <w:sz w:val="21"/>
                <w:szCs w:val="21"/>
              </w:rPr>
            </w:pPr>
            <w:r>
              <w:rPr>
                <w:color w:val="000000"/>
                <w:kern w:val="0"/>
                <w:sz w:val="21"/>
                <w:szCs w:val="21"/>
              </w:rPr>
              <w:t>1</w:t>
            </w:r>
          </w:p>
        </w:tc>
        <w:tc>
          <w:tcPr>
            <w:tcW w:w="469" w:type="pct"/>
            <w:tcBorders>
              <w:top w:val="single" w:color="000000" w:sz="12" w:space="0"/>
              <w:tl2br w:val="nil"/>
              <w:tr2bl w:val="nil"/>
            </w:tcBorders>
            <w:vAlign w:val="center"/>
          </w:tcPr>
          <w:p>
            <w:pPr>
              <w:spacing w:line="240" w:lineRule="auto"/>
              <w:ind w:firstLine="0" w:firstLineChars="0"/>
              <w:jc w:val="center"/>
              <w:rPr>
                <w:color w:val="000000"/>
                <w:sz w:val="21"/>
                <w:szCs w:val="21"/>
              </w:rPr>
            </w:pPr>
            <w:r>
              <w:rPr>
                <w:color w:val="000000"/>
                <w:kern w:val="0"/>
                <w:sz w:val="21"/>
                <w:szCs w:val="21"/>
              </w:rPr>
              <w:t>1</w:t>
            </w:r>
          </w:p>
        </w:tc>
        <w:tc>
          <w:tcPr>
            <w:tcW w:w="470" w:type="pct"/>
            <w:tcBorders>
              <w:top w:val="single" w:color="000000" w:sz="12" w:space="0"/>
              <w:tl2br w:val="nil"/>
              <w:tr2bl w:val="nil"/>
            </w:tcBorders>
            <w:vAlign w:val="center"/>
          </w:tcPr>
          <w:p>
            <w:pPr>
              <w:spacing w:line="240" w:lineRule="auto"/>
              <w:ind w:firstLine="0" w:firstLineChars="0"/>
              <w:jc w:val="center"/>
              <w:rPr>
                <w:color w:val="000000"/>
                <w:sz w:val="21"/>
                <w:szCs w:val="21"/>
              </w:rPr>
            </w:pPr>
            <w:r>
              <w:rPr>
                <w:color w:val="000000"/>
                <w:kern w:val="0"/>
                <w:sz w:val="21"/>
                <w:szCs w:val="21"/>
              </w:rPr>
              <w:t>51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770" w:type="pct"/>
            <w:tcBorders>
              <w:tl2br w:val="nil"/>
              <w:tr2bl w:val="nil"/>
            </w:tcBorders>
            <w:vAlign w:val="center"/>
          </w:tcPr>
          <w:p>
            <w:pPr>
              <w:spacing w:line="240" w:lineRule="auto"/>
              <w:ind w:firstLine="0" w:firstLineChars="0"/>
              <w:jc w:val="center"/>
              <w:rPr>
                <w:color w:val="000000"/>
                <w:sz w:val="21"/>
                <w:szCs w:val="21"/>
              </w:rPr>
            </w:pPr>
            <w:r>
              <w:rPr>
                <w:color w:val="000000"/>
                <w:sz w:val="21"/>
                <w:szCs w:val="21"/>
              </w:rPr>
              <w:t>百分比</w:t>
            </w:r>
            <w:r>
              <w:rPr>
                <w:rFonts w:hint="eastAsia"/>
                <w:color w:val="000000"/>
                <w:sz w:val="21"/>
                <w:szCs w:val="21"/>
              </w:rPr>
              <w:t>（</w:t>
            </w:r>
            <w:r>
              <w:rPr>
                <w:color w:val="000000"/>
                <w:sz w:val="21"/>
                <w:szCs w:val="21"/>
              </w:rPr>
              <w:t>%）</w:t>
            </w:r>
          </w:p>
        </w:tc>
        <w:tc>
          <w:tcPr>
            <w:tcW w:w="469" w:type="pct"/>
            <w:tcBorders>
              <w:tl2br w:val="nil"/>
              <w:tr2bl w:val="nil"/>
            </w:tcBorders>
            <w:vAlign w:val="center"/>
          </w:tcPr>
          <w:p>
            <w:pPr>
              <w:spacing w:line="240" w:lineRule="auto"/>
              <w:ind w:firstLine="0" w:firstLineChars="0"/>
              <w:jc w:val="center"/>
              <w:rPr>
                <w:color w:val="000000"/>
                <w:sz w:val="21"/>
                <w:szCs w:val="21"/>
              </w:rPr>
            </w:pPr>
            <w:r>
              <w:rPr>
                <w:color w:val="000000"/>
                <w:kern w:val="0"/>
                <w:sz w:val="21"/>
                <w:szCs w:val="21"/>
              </w:rPr>
              <w:t xml:space="preserve">54.90 </w:t>
            </w:r>
          </w:p>
        </w:tc>
        <w:tc>
          <w:tcPr>
            <w:tcW w:w="469" w:type="pct"/>
            <w:tcBorders>
              <w:tl2br w:val="nil"/>
              <w:tr2bl w:val="nil"/>
            </w:tcBorders>
            <w:vAlign w:val="center"/>
          </w:tcPr>
          <w:p>
            <w:pPr>
              <w:spacing w:line="240" w:lineRule="auto"/>
              <w:ind w:firstLine="0" w:firstLineChars="0"/>
              <w:jc w:val="center"/>
              <w:rPr>
                <w:color w:val="000000"/>
                <w:sz w:val="21"/>
                <w:szCs w:val="21"/>
              </w:rPr>
            </w:pPr>
            <w:r>
              <w:rPr>
                <w:color w:val="000000"/>
                <w:kern w:val="0"/>
                <w:sz w:val="21"/>
                <w:szCs w:val="21"/>
              </w:rPr>
              <w:t xml:space="preserve">15.69 </w:t>
            </w:r>
          </w:p>
        </w:tc>
        <w:tc>
          <w:tcPr>
            <w:tcW w:w="469" w:type="pct"/>
            <w:tcBorders>
              <w:tl2br w:val="nil"/>
              <w:tr2bl w:val="nil"/>
            </w:tcBorders>
            <w:vAlign w:val="center"/>
          </w:tcPr>
          <w:p>
            <w:pPr>
              <w:spacing w:line="240" w:lineRule="auto"/>
              <w:ind w:firstLine="0" w:firstLineChars="0"/>
              <w:jc w:val="center"/>
              <w:rPr>
                <w:color w:val="000000"/>
                <w:sz w:val="21"/>
                <w:szCs w:val="21"/>
              </w:rPr>
            </w:pPr>
            <w:r>
              <w:rPr>
                <w:color w:val="000000"/>
                <w:kern w:val="0"/>
                <w:sz w:val="21"/>
                <w:szCs w:val="21"/>
              </w:rPr>
              <w:t xml:space="preserve">11.76 </w:t>
            </w:r>
          </w:p>
        </w:tc>
        <w:tc>
          <w:tcPr>
            <w:tcW w:w="469" w:type="pct"/>
            <w:tcBorders>
              <w:tl2br w:val="nil"/>
              <w:tr2bl w:val="nil"/>
            </w:tcBorders>
            <w:vAlign w:val="center"/>
          </w:tcPr>
          <w:p>
            <w:pPr>
              <w:spacing w:line="240" w:lineRule="auto"/>
              <w:ind w:firstLine="0" w:firstLineChars="0"/>
              <w:jc w:val="center"/>
              <w:rPr>
                <w:color w:val="000000"/>
                <w:sz w:val="21"/>
                <w:szCs w:val="21"/>
              </w:rPr>
            </w:pPr>
            <w:r>
              <w:rPr>
                <w:color w:val="000000"/>
                <w:kern w:val="0"/>
                <w:sz w:val="21"/>
                <w:szCs w:val="21"/>
              </w:rPr>
              <w:t xml:space="preserve">5.88 </w:t>
            </w:r>
          </w:p>
        </w:tc>
        <w:tc>
          <w:tcPr>
            <w:tcW w:w="469" w:type="pct"/>
            <w:tcBorders>
              <w:tl2br w:val="nil"/>
              <w:tr2bl w:val="nil"/>
            </w:tcBorders>
            <w:vAlign w:val="center"/>
          </w:tcPr>
          <w:p>
            <w:pPr>
              <w:spacing w:line="240" w:lineRule="auto"/>
              <w:ind w:firstLine="0" w:firstLineChars="0"/>
              <w:jc w:val="center"/>
              <w:rPr>
                <w:color w:val="000000"/>
                <w:sz w:val="21"/>
                <w:szCs w:val="21"/>
              </w:rPr>
            </w:pPr>
            <w:r>
              <w:rPr>
                <w:color w:val="000000"/>
                <w:kern w:val="0"/>
                <w:sz w:val="21"/>
                <w:szCs w:val="21"/>
              </w:rPr>
              <w:t xml:space="preserve">3.92 </w:t>
            </w:r>
          </w:p>
        </w:tc>
        <w:tc>
          <w:tcPr>
            <w:tcW w:w="469" w:type="pct"/>
            <w:tcBorders>
              <w:tl2br w:val="nil"/>
              <w:tr2bl w:val="nil"/>
            </w:tcBorders>
            <w:vAlign w:val="center"/>
          </w:tcPr>
          <w:p>
            <w:pPr>
              <w:spacing w:line="240" w:lineRule="auto"/>
              <w:ind w:firstLine="0" w:firstLineChars="0"/>
              <w:jc w:val="center"/>
              <w:rPr>
                <w:color w:val="000000"/>
                <w:sz w:val="21"/>
                <w:szCs w:val="21"/>
              </w:rPr>
            </w:pPr>
            <w:r>
              <w:rPr>
                <w:color w:val="000000"/>
                <w:kern w:val="0"/>
                <w:sz w:val="21"/>
                <w:szCs w:val="21"/>
              </w:rPr>
              <w:t xml:space="preserve">3.92 </w:t>
            </w:r>
          </w:p>
        </w:tc>
        <w:tc>
          <w:tcPr>
            <w:tcW w:w="469" w:type="pct"/>
            <w:tcBorders>
              <w:tl2br w:val="nil"/>
              <w:tr2bl w:val="nil"/>
            </w:tcBorders>
            <w:vAlign w:val="center"/>
          </w:tcPr>
          <w:p>
            <w:pPr>
              <w:spacing w:line="240" w:lineRule="auto"/>
              <w:ind w:firstLine="0" w:firstLineChars="0"/>
              <w:jc w:val="center"/>
              <w:rPr>
                <w:color w:val="000000"/>
                <w:sz w:val="21"/>
                <w:szCs w:val="21"/>
              </w:rPr>
            </w:pPr>
            <w:r>
              <w:rPr>
                <w:color w:val="000000"/>
                <w:kern w:val="0"/>
                <w:sz w:val="21"/>
                <w:szCs w:val="21"/>
              </w:rPr>
              <w:t xml:space="preserve">1.96 </w:t>
            </w:r>
          </w:p>
        </w:tc>
        <w:tc>
          <w:tcPr>
            <w:tcW w:w="469" w:type="pct"/>
            <w:tcBorders>
              <w:tl2br w:val="nil"/>
              <w:tr2bl w:val="nil"/>
            </w:tcBorders>
            <w:vAlign w:val="center"/>
          </w:tcPr>
          <w:p>
            <w:pPr>
              <w:spacing w:line="240" w:lineRule="auto"/>
              <w:ind w:firstLine="0" w:firstLineChars="0"/>
              <w:jc w:val="center"/>
              <w:rPr>
                <w:color w:val="000000"/>
                <w:sz w:val="21"/>
                <w:szCs w:val="21"/>
              </w:rPr>
            </w:pPr>
            <w:r>
              <w:rPr>
                <w:color w:val="000000"/>
                <w:kern w:val="0"/>
                <w:sz w:val="21"/>
                <w:szCs w:val="21"/>
              </w:rPr>
              <w:t xml:space="preserve">1.96 </w:t>
            </w:r>
          </w:p>
        </w:tc>
        <w:tc>
          <w:tcPr>
            <w:tcW w:w="470" w:type="pct"/>
            <w:tcBorders>
              <w:tl2br w:val="nil"/>
              <w:tr2bl w:val="nil"/>
            </w:tcBorders>
            <w:vAlign w:val="center"/>
          </w:tcPr>
          <w:p>
            <w:pPr>
              <w:spacing w:line="240" w:lineRule="auto"/>
              <w:ind w:firstLine="0" w:firstLineChars="0"/>
              <w:jc w:val="center"/>
              <w:rPr>
                <w:color w:val="000000"/>
                <w:sz w:val="21"/>
                <w:szCs w:val="21"/>
              </w:rPr>
            </w:pPr>
            <w:r>
              <w:rPr>
                <w:color w:val="000000"/>
                <w:kern w:val="0"/>
                <w:sz w:val="21"/>
                <w:szCs w:val="21"/>
              </w:rPr>
              <w:t>100</w:t>
            </w:r>
          </w:p>
        </w:tc>
      </w:tr>
    </w:tbl>
    <w:p>
      <w:pPr>
        <w:ind w:firstLine="482"/>
        <w:rPr>
          <w:b/>
          <w:bCs/>
          <w:color w:val="000000" w:themeColor="text1"/>
          <w:kern w:val="0"/>
          <w14:textFill>
            <w14:solidFill>
              <w14:schemeClr w14:val="tx1"/>
            </w14:solidFill>
          </w14:textFill>
        </w:rPr>
      </w:pPr>
      <w:r>
        <w:rPr>
          <w:b/>
          <w:bCs/>
          <w:color w:val="000000" w:themeColor="text1"/>
          <w:kern w:val="0"/>
          <w14:textFill>
            <w14:solidFill>
              <w14:schemeClr w14:val="tx1"/>
            </w14:solidFill>
          </w14:textFill>
        </w:rPr>
        <w:t>（2）2020年11月</w:t>
      </w:r>
    </w:p>
    <w:p>
      <w:pPr>
        <w:ind w:firstLine="480"/>
        <w:rPr>
          <w:lang w:bidi="ar"/>
        </w:rPr>
      </w:pPr>
      <w:r>
        <w:t>2020</w:t>
      </w:r>
      <w:r>
        <w:rPr>
          <w:rFonts w:eastAsiaTheme="minorEastAsia"/>
        </w:rPr>
        <w:t>年11月，</w:t>
      </w:r>
      <w:r>
        <w:rPr>
          <w:bCs/>
          <w:kern w:val="0"/>
        </w:rPr>
        <w:t>对评价区水域进行水生生态调查，评价区调查点位共检出浮游藻类6门77种（属）。浮游植物中硅藻门种（属）数最多，为41种（属），占53.25%；绿藻门24种（属），占31.17%；蓝藻门9种（属），占11.69%；裸藻门、甲藻门和黄藻门各1种（属），各占1.30%。调查河段浮游植物以硅藻为主，绿藻次之。评价区常见类群有</w:t>
      </w:r>
      <w:r>
        <w:rPr>
          <w:kern w:val="0"/>
        </w:rPr>
        <w:t>尖针杆藻（</w:t>
      </w:r>
      <w:r>
        <w:rPr>
          <w:i/>
          <w:iCs/>
          <w:kern w:val="0"/>
        </w:rPr>
        <w:t>Synedra acus</w:t>
      </w:r>
      <w:r>
        <w:rPr>
          <w:kern w:val="0"/>
        </w:rPr>
        <w:t>）、肘状针杆藻（</w:t>
      </w:r>
      <w:r>
        <w:rPr>
          <w:i/>
          <w:iCs/>
          <w:kern w:val="0"/>
        </w:rPr>
        <w:t>Synedra ulna</w:t>
      </w:r>
      <w:r>
        <w:rPr>
          <w:kern w:val="0"/>
        </w:rPr>
        <w:t>）</w:t>
      </w:r>
      <w:r>
        <w:rPr>
          <w:i/>
          <w:iCs/>
          <w:kern w:val="0"/>
        </w:rPr>
        <w:t>、</w:t>
      </w:r>
      <w:r>
        <w:rPr>
          <w:kern w:val="0"/>
        </w:rPr>
        <w:t>钝脆杆藻（</w:t>
      </w:r>
      <w:r>
        <w:rPr>
          <w:i/>
          <w:iCs/>
          <w:kern w:val="0"/>
        </w:rPr>
        <w:t>Fragilaria capucina</w:t>
      </w:r>
      <w:r>
        <w:rPr>
          <w:kern w:val="0"/>
        </w:rPr>
        <w:t>）、中型脆杆藻（</w:t>
      </w:r>
      <w:r>
        <w:rPr>
          <w:i/>
          <w:iCs/>
          <w:kern w:val="0"/>
        </w:rPr>
        <w:t>Fragilaria intermidia</w:t>
      </w:r>
      <w:r>
        <w:rPr>
          <w:kern w:val="0"/>
        </w:rPr>
        <w:t>）</w:t>
      </w:r>
      <w:r>
        <w:rPr>
          <w:i/>
          <w:iCs/>
          <w:kern w:val="0"/>
          <w:sz w:val="21"/>
          <w:szCs w:val="21"/>
        </w:rPr>
        <w:t>、</w:t>
      </w:r>
      <w:r>
        <w:rPr>
          <w:bCs/>
          <w:kern w:val="0"/>
        </w:rPr>
        <w:t>美丽星杆藻（</w:t>
      </w:r>
      <w:r>
        <w:rPr>
          <w:rFonts w:eastAsiaTheme="minorEastAsia"/>
          <w:i/>
          <w:iCs/>
          <w:kern w:val="0"/>
        </w:rPr>
        <w:t>Asterionella formosa</w:t>
      </w:r>
      <w:r>
        <w:rPr>
          <w:bCs/>
          <w:kern w:val="0"/>
        </w:rPr>
        <w:t>）、透明菱形藻（</w:t>
      </w:r>
      <w:r>
        <w:rPr>
          <w:bCs/>
          <w:i/>
          <w:iCs/>
          <w:kern w:val="0"/>
        </w:rPr>
        <w:t>Nitzschia pellucida</w:t>
      </w:r>
      <w:r>
        <w:rPr>
          <w:bCs/>
          <w:kern w:val="0"/>
        </w:rPr>
        <w:t>）、</w:t>
      </w:r>
      <w:r>
        <w:rPr>
          <w:rFonts w:eastAsiaTheme="minorEastAsia"/>
          <w:kern w:val="0"/>
        </w:rPr>
        <w:t>颗粒直链藻</w:t>
      </w:r>
      <w:r>
        <w:rPr>
          <w:rStyle w:val="3600"/>
          <w:rFonts w:hint="default" w:ascii="Times New Roman" w:hAnsi="Times New Roman" w:cs="Times New Roman"/>
          <w:color w:val="auto"/>
          <w:sz w:val="24"/>
          <w:szCs w:val="24"/>
        </w:rPr>
        <w:t>（</w:t>
      </w:r>
      <w:r>
        <w:rPr>
          <w:rFonts w:eastAsiaTheme="minorEastAsia"/>
          <w:i/>
          <w:iCs/>
          <w:kern w:val="0"/>
        </w:rPr>
        <w:t>Melosira granulata</w:t>
      </w:r>
      <w:r>
        <w:t>）、小环藻（</w:t>
      </w:r>
      <w:r>
        <w:rPr>
          <w:i/>
          <w:iCs/>
        </w:rPr>
        <w:t>Cyclotella</w:t>
      </w:r>
      <w:r>
        <w:t xml:space="preserve"> sp.）、巨颤藻（</w:t>
      </w:r>
      <w:r>
        <w:rPr>
          <w:i/>
          <w:iCs/>
        </w:rPr>
        <w:t>Osciliatoria princes</w:t>
      </w:r>
      <w:r>
        <w:t>）、</w:t>
      </w:r>
      <w:r>
        <w:rPr>
          <w:kern w:val="0"/>
        </w:rPr>
        <w:t>鼓藻（</w:t>
      </w:r>
      <w:r>
        <w:rPr>
          <w:i/>
          <w:iCs/>
          <w:kern w:val="0"/>
        </w:rPr>
        <w:t>Cosmarium</w:t>
      </w:r>
      <w:r>
        <w:rPr>
          <w:kern w:val="0"/>
        </w:rPr>
        <w:t xml:space="preserve"> sp.）</w:t>
      </w:r>
      <w:r>
        <w:rPr>
          <w:kern w:val="0"/>
          <w:sz w:val="21"/>
          <w:szCs w:val="21"/>
        </w:rPr>
        <w:t>、</w:t>
      </w:r>
      <w:r>
        <w:rPr>
          <w:rFonts w:eastAsiaTheme="minorEastAsia"/>
          <w:kern w:val="0"/>
        </w:rPr>
        <w:t>二角盘星藻</w:t>
      </w:r>
      <w:r>
        <w:rPr>
          <w:lang w:bidi="ar"/>
        </w:rPr>
        <w:t>（</w:t>
      </w:r>
      <w:r>
        <w:rPr>
          <w:rFonts w:eastAsiaTheme="minorEastAsia"/>
          <w:i/>
          <w:iCs/>
          <w:kern w:val="0"/>
        </w:rPr>
        <w:t>Pediastrum duplex</w:t>
      </w:r>
      <w:r>
        <w:rPr>
          <w:lang w:bidi="ar"/>
        </w:rPr>
        <w:t>）、</w:t>
      </w:r>
      <w:r>
        <w:rPr>
          <w:rFonts w:eastAsiaTheme="minorEastAsia"/>
          <w:kern w:val="0"/>
        </w:rPr>
        <w:t>单角盘星藻</w:t>
      </w:r>
      <w:r>
        <w:rPr>
          <w:lang w:bidi="ar"/>
        </w:rPr>
        <w:t>（</w:t>
      </w:r>
      <w:r>
        <w:rPr>
          <w:rFonts w:eastAsiaTheme="minorEastAsia"/>
          <w:i/>
          <w:iCs/>
          <w:kern w:val="0"/>
        </w:rPr>
        <w:t>Pediastrum simplex</w:t>
      </w:r>
      <w:r>
        <w:rPr>
          <w:lang w:bidi="ar"/>
        </w:rPr>
        <w:t>）、</w:t>
      </w:r>
      <w:r>
        <w:rPr>
          <w:rFonts w:eastAsiaTheme="minorEastAsia"/>
          <w:kern w:val="0"/>
        </w:rPr>
        <w:t>集星藻（</w:t>
      </w:r>
      <w:r>
        <w:rPr>
          <w:rFonts w:eastAsiaTheme="minorEastAsia"/>
          <w:i/>
          <w:iCs/>
          <w:kern w:val="0"/>
        </w:rPr>
        <w:t>Actinastrum hantzschii</w:t>
      </w:r>
      <w:r>
        <w:rPr>
          <w:rFonts w:eastAsiaTheme="minorEastAsia"/>
          <w:kern w:val="0"/>
        </w:rPr>
        <w:t>）</w:t>
      </w:r>
      <w:r>
        <w:rPr>
          <w:lang w:bidi="ar"/>
        </w:rPr>
        <w:t>等。</w:t>
      </w:r>
    </w:p>
    <w:p>
      <w:pPr>
        <w:pStyle w:val="3583"/>
        <w:spacing w:line="240" w:lineRule="auto"/>
        <w:ind w:left="0"/>
        <w:rPr>
          <w:szCs w:val="21"/>
        </w:rPr>
      </w:pPr>
      <w:r>
        <w:rPr>
          <w:szCs w:val="21"/>
        </w:rPr>
        <w:t>11月评价区</w:t>
      </w:r>
      <w:r>
        <w:t>各门</w:t>
      </w:r>
      <w:r>
        <w:rPr>
          <w:rFonts w:hint="eastAsia"/>
          <w:szCs w:val="21"/>
        </w:rPr>
        <w:t>浮游植物</w:t>
      </w:r>
      <w:r>
        <w:rPr>
          <w:szCs w:val="21"/>
        </w:rPr>
        <w:t>种数及</w:t>
      </w:r>
      <w:r>
        <w:t>比例</w:t>
      </w:r>
    </w:p>
    <w:tbl>
      <w:tblPr>
        <w:tblStyle w:val="87"/>
        <w:tblW w:w="499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523"/>
        <w:gridCol w:w="1107"/>
        <w:gridCol w:w="1108"/>
        <w:gridCol w:w="1108"/>
        <w:gridCol w:w="1108"/>
        <w:gridCol w:w="1108"/>
        <w:gridCol w:w="1108"/>
        <w:gridCol w:w="110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87" w:hRule="atLeast"/>
        </w:trPr>
        <w:tc>
          <w:tcPr>
            <w:tcW w:w="820" w:type="pct"/>
            <w:tcBorders>
              <w:bottom w:val="single" w:color="000000" w:sz="12" w:space="0"/>
            </w:tcBorders>
            <w:shd w:val="clear" w:color="auto" w:fill="auto"/>
            <w:vAlign w:val="center"/>
          </w:tcPr>
          <w:p>
            <w:pPr>
              <w:spacing w:line="240" w:lineRule="auto"/>
              <w:ind w:firstLine="0" w:firstLineChars="0"/>
              <w:jc w:val="center"/>
              <w:rPr>
                <w:rFonts w:eastAsiaTheme="minorEastAsia"/>
                <w:b/>
                <w:bCs/>
                <w:sz w:val="21"/>
                <w:szCs w:val="21"/>
              </w:rPr>
            </w:pPr>
            <w:r>
              <w:rPr>
                <w:rFonts w:eastAsiaTheme="minorEastAsia"/>
                <w:b/>
                <w:bCs/>
                <w:sz w:val="21"/>
                <w:szCs w:val="21"/>
              </w:rPr>
              <w:t>类别</w:t>
            </w:r>
          </w:p>
        </w:tc>
        <w:tc>
          <w:tcPr>
            <w:tcW w:w="596" w:type="pct"/>
            <w:tcBorders>
              <w:bottom w:val="single" w:color="000000" w:sz="12" w:space="0"/>
            </w:tcBorders>
            <w:shd w:val="clear" w:color="auto" w:fill="auto"/>
            <w:vAlign w:val="center"/>
          </w:tcPr>
          <w:p>
            <w:pPr>
              <w:spacing w:line="240" w:lineRule="auto"/>
              <w:ind w:firstLine="0" w:firstLineChars="0"/>
              <w:jc w:val="center"/>
              <w:rPr>
                <w:rFonts w:eastAsiaTheme="minorEastAsia"/>
                <w:b/>
                <w:bCs/>
                <w:sz w:val="21"/>
                <w:szCs w:val="21"/>
              </w:rPr>
            </w:pPr>
            <w:r>
              <w:rPr>
                <w:rFonts w:eastAsiaTheme="minorEastAsia"/>
                <w:b/>
                <w:bCs/>
                <w:sz w:val="21"/>
                <w:szCs w:val="21"/>
              </w:rPr>
              <w:t>硅藻门</w:t>
            </w:r>
          </w:p>
        </w:tc>
        <w:tc>
          <w:tcPr>
            <w:tcW w:w="596" w:type="pct"/>
            <w:tcBorders>
              <w:bottom w:val="single" w:color="000000" w:sz="12" w:space="0"/>
            </w:tcBorders>
            <w:shd w:val="clear" w:color="auto" w:fill="auto"/>
            <w:vAlign w:val="center"/>
          </w:tcPr>
          <w:p>
            <w:pPr>
              <w:spacing w:line="240" w:lineRule="auto"/>
              <w:ind w:firstLine="0" w:firstLineChars="0"/>
              <w:jc w:val="center"/>
              <w:rPr>
                <w:rFonts w:eastAsiaTheme="minorEastAsia"/>
                <w:b/>
                <w:bCs/>
                <w:sz w:val="21"/>
                <w:szCs w:val="21"/>
              </w:rPr>
            </w:pPr>
            <w:r>
              <w:rPr>
                <w:rFonts w:eastAsiaTheme="minorEastAsia"/>
                <w:b/>
                <w:bCs/>
                <w:sz w:val="21"/>
                <w:szCs w:val="21"/>
              </w:rPr>
              <w:t>蓝藻门</w:t>
            </w:r>
          </w:p>
        </w:tc>
        <w:tc>
          <w:tcPr>
            <w:tcW w:w="596" w:type="pct"/>
            <w:tcBorders>
              <w:bottom w:val="single" w:color="000000" w:sz="12" w:space="0"/>
            </w:tcBorders>
            <w:shd w:val="clear" w:color="auto" w:fill="auto"/>
            <w:vAlign w:val="center"/>
          </w:tcPr>
          <w:p>
            <w:pPr>
              <w:spacing w:line="240" w:lineRule="auto"/>
              <w:ind w:firstLine="0" w:firstLineChars="0"/>
              <w:jc w:val="center"/>
              <w:rPr>
                <w:rFonts w:eastAsiaTheme="minorEastAsia"/>
                <w:b/>
                <w:bCs/>
                <w:sz w:val="21"/>
                <w:szCs w:val="21"/>
              </w:rPr>
            </w:pPr>
            <w:r>
              <w:rPr>
                <w:rFonts w:eastAsiaTheme="minorEastAsia"/>
                <w:b/>
                <w:bCs/>
                <w:sz w:val="21"/>
                <w:szCs w:val="21"/>
              </w:rPr>
              <w:t>绿藻门</w:t>
            </w:r>
          </w:p>
        </w:tc>
        <w:tc>
          <w:tcPr>
            <w:tcW w:w="596" w:type="pct"/>
            <w:tcBorders>
              <w:bottom w:val="single" w:color="000000" w:sz="12" w:space="0"/>
            </w:tcBorders>
            <w:shd w:val="clear" w:color="auto" w:fill="auto"/>
            <w:vAlign w:val="center"/>
          </w:tcPr>
          <w:p>
            <w:pPr>
              <w:spacing w:line="240" w:lineRule="auto"/>
              <w:ind w:firstLine="0" w:firstLineChars="0"/>
              <w:jc w:val="center"/>
              <w:rPr>
                <w:rFonts w:eastAsiaTheme="minorEastAsia"/>
                <w:b/>
                <w:bCs/>
                <w:sz w:val="21"/>
                <w:szCs w:val="21"/>
              </w:rPr>
            </w:pPr>
            <w:r>
              <w:rPr>
                <w:rFonts w:eastAsiaTheme="minorEastAsia"/>
                <w:b/>
                <w:bCs/>
                <w:sz w:val="21"/>
                <w:szCs w:val="21"/>
              </w:rPr>
              <w:t>裸藻门</w:t>
            </w:r>
          </w:p>
        </w:tc>
        <w:tc>
          <w:tcPr>
            <w:tcW w:w="596" w:type="pct"/>
            <w:tcBorders>
              <w:bottom w:val="single" w:color="000000" w:sz="12" w:space="0"/>
            </w:tcBorders>
            <w:shd w:val="clear" w:color="auto" w:fill="auto"/>
            <w:vAlign w:val="center"/>
          </w:tcPr>
          <w:p>
            <w:pPr>
              <w:spacing w:line="240" w:lineRule="auto"/>
              <w:ind w:firstLine="0" w:firstLineChars="0"/>
              <w:jc w:val="center"/>
              <w:rPr>
                <w:rFonts w:eastAsiaTheme="minorEastAsia"/>
                <w:b/>
                <w:bCs/>
                <w:sz w:val="21"/>
                <w:szCs w:val="21"/>
              </w:rPr>
            </w:pPr>
            <w:r>
              <w:rPr>
                <w:rFonts w:eastAsiaTheme="minorEastAsia"/>
                <w:b/>
                <w:bCs/>
                <w:sz w:val="21"/>
                <w:szCs w:val="21"/>
              </w:rPr>
              <w:t>甲藻门</w:t>
            </w:r>
          </w:p>
        </w:tc>
        <w:tc>
          <w:tcPr>
            <w:tcW w:w="596" w:type="pct"/>
            <w:tcBorders>
              <w:bottom w:val="single" w:color="000000" w:sz="12" w:space="0"/>
            </w:tcBorders>
            <w:shd w:val="clear" w:color="auto" w:fill="auto"/>
            <w:vAlign w:val="center"/>
          </w:tcPr>
          <w:p>
            <w:pPr>
              <w:spacing w:line="240" w:lineRule="auto"/>
              <w:ind w:firstLine="0" w:firstLineChars="0"/>
              <w:jc w:val="center"/>
              <w:rPr>
                <w:rFonts w:eastAsiaTheme="minorEastAsia"/>
                <w:b/>
                <w:bCs/>
                <w:sz w:val="21"/>
                <w:szCs w:val="21"/>
              </w:rPr>
            </w:pPr>
            <w:r>
              <w:rPr>
                <w:rFonts w:eastAsiaTheme="minorEastAsia"/>
                <w:b/>
                <w:bCs/>
                <w:sz w:val="21"/>
                <w:szCs w:val="21"/>
              </w:rPr>
              <w:t>隐藻门</w:t>
            </w:r>
          </w:p>
        </w:tc>
        <w:tc>
          <w:tcPr>
            <w:tcW w:w="597" w:type="pct"/>
            <w:tcBorders>
              <w:bottom w:val="single" w:color="000000" w:sz="12" w:space="0"/>
            </w:tcBorders>
            <w:shd w:val="clear" w:color="auto" w:fill="auto"/>
            <w:vAlign w:val="center"/>
          </w:tcPr>
          <w:p>
            <w:pPr>
              <w:spacing w:line="240" w:lineRule="auto"/>
              <w:ind w:firstLine="0" w:firstLineChars="0"/>
              <w:jc w:val="center"/>
              <w:rPr>
                <w:rFonts w:eastAsiaTheme="minorEastAsia"/>
                <w:b/>
                <w:bCs/>
                <w:sz w:val="21"/>
                <w:szCs w:val="21"/>
              </w:rPr>
            </w:pPr>
            <w:r>
              <w:rPr>
                <w:rFonts w:eastAsiaTheme="minorEastAsia"/>
                <w:b/>
                <w:bCs/>
                <w:sz w:val="21"/>
                <w:szCs w:val="21"/>
              </w:rPr>
              <w:t>合计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1" w:hRule="atLeast"/>
        </w:trPr>
        <w:tc>
          <w:tcPr>
            <w:tcW w:w="820" w:type="pct"/>
            <w:tcBorders>
              <w:top w:val="single" w:color="000000" w:sz="12" w:space="0"/>
              <w:tl2br w:val="nil"/>
              <w:tr2bl w:val="nil"/>
            </w:tcBorders>
            <w:shd w:val="clear" w:color="auto" w:fill="auto"/>
            <w:vAlign w:val="center"/>
          </w:tcPr>
          <w:p>
            <w:pPr>
              <w:spacing w:line="240" w:lineRule="auto"/>
              <w:ind w:firstLine="0" w:firstLineChars="0"/>
              <w:jc w:val="center"/>
              <w:rPr>
                <w:rFonts w:eastAsiaTheme="minorEastAsia"/>
                <w:sz w:val="21"/>
                <w:szCs w:val="21"/>
              </w:rPr>
            </w:pPr>
            <w:r>
              <w:rPr>
                <w:rFonts w:eastAsiaTheme="minorEastAsia"/>
                <w:sz w:val="21"/>
                <w:szCs w:val="21"/>
              </w:rPr>
              <w:t>种类数</w:t>
            </w:r>
          </w:p>
        </w:tc>
        <w:tc>
          <w:tcPr>
            <w:tcW w:w="596" w:type="pct"/>
            <w:tcBorders>
              <w:top w:val="single" w:color="000000" w:sz="12" w:space="0"/>
              <w:tl2br w:val="nil"/>
              <w:tr2bl w:val="nil"/>
            </w:tcBorders>
            <w:shd w:val="clear" w:color="auto" w:fill="auto"/>
            <w:vAlign w:val="center"/>
          </w:tcPr>
          <w:p>
            <w:pPr>
              <w:spacing w:line="240" w:lineRule="auto"/>
              <w:ind w:firstLine="0" w:firstLineChars="0"/>
              <w:jc w:val="center"/>
              <w:rPr>
                <w:rFonts w:eastAsiaTheme="minorEastAsia"/>
                <w:sz w:val="21"/>
                <w:szCs w:val="21"/>
              </w:rPr>
            </w:pPr>
            <w:r>
              <w:rPr>
                <w:sz w:val="22"/>
              </w:rPr>
              <w:t>41</w:t>
            </w:r>
          </w:p>
        </w:tc>
        <w:tc>
          <w:tcPr>
            <w:tcW w:w="596" w:type="pct"/>
            <w:tcBorders>
              <w:top w:val="single" w:color="000000" w:sz="12" w:space="0"/>
              <w:tl2br w:val="nil"/>
              <w:tr2bl w:val="nil"/>
            </w:tcBorders>
            <w:shd w:val="clear" w:color="auto" w:fill="auto"/>
            <w:vAlign w:val="center"/>
          </w:tcPr>
          <w:p>
            <w:pPr>
              <w:spacing w:line="240" w:lineRule="auto"/>
              <w:ind w:firstLine="0" w:firstLineChars="0"/>
              <w:jc w:val="center"/>
              <w:rPr>
                <w:rFonts w:eastAsiaTheme="minorEastAsia"/>
                <w:sz w:val="21"/>
                <w:szCs w:val="21"/>
              </w:rPr>
            </w:pPr>
            <w:r>
              <w:rPr>
                <w:sz w:val="22"/>
              </w:rPr>
              <w:t>9</w:t>
            </w:r>
          </w:p>
        </w:tc>
        <w:tc>
          <w:tcPr>
            <w:tcW w:w="596" w:type="pct"/>
            <w:tcBorders>
              <w:top w:val="single" w:color="000000" w:sz="12" w:space="0"/>
              <w:tl2br w:val="nil"/>
              <w:tr2bl w:val="nil"/>
            </w:tcBorders>
            <w:shd w:val="clear" w:color="auto" w:fill="auto"/>
            <w:vAlign w:val="center"/>
          </w:tcPr>
          <w:p>
            <w:pPr>
              <w:spacing w:line="240" w:lineRule="auto"/>
              <w:ind w:firstLine="0" w:firstLineChars="0"/>
              <w:jc w:val="center"/>
              <w:rPr>
                <w:rFonts w:eastAsiaTheme="minorEastAsia"/>
                <w:sz w:val="21"/>
                <w:szCs w:val="21"/>
              </w:rPr>
            </w:pPr>
            <w:r>
              <w:rPr>
                <w:sz w:val="22"/>
              </w:rPr>
              <w:t>24</w:t>
            </w:r>
          </w:p>
        </w:tc>
        <w:tc>
          <w:tcPr>
            <w:tcW w:w="596" w:type="pct"/>
            <w:tcBorders>
              <w:top w:val="single" w:color="000000" w:sz="12" w:space="0"/>
              <w:tl2br w:val="nil"/>
              <w:tr2bl w:val="nil"/>
            </w:tcBorders>
            <w:shd w:val="clear" w:color="auto" w:fill="auto"/>
            <w:vAlign w:val="center"/>
          </w:tcPr>
          <w:p>
            <w:pPr>
              <w:spacing w:line="240" w:lineRule="auto"/>
              <w:ind w:firstLine="0" w:firstLineChars="0"/>
              <w:jc w:val="center"/>
              <w:rPr>
                <w:rFonts w:eastAsiaTheme="minorEastAsia"/>
                <w:sz w:val="21"/>
                <w:szCs w:val="21"/>
              </w:rPr>
            </w:pPr>
            <w:r>
              <w:rPr>
                <w:sz w:val="22"/>
              </w:rPr>
              <w:t>1</w:t>
            </w:r>
          </w:p>
        </w:tc>
        <w:tc>
          <w:tcPr>
            <w:tcW w:w="596" w:type="pct"/>
            <w:tcBorders>
              <w:top w:val="single" w:color="000000" w:sz="12" w:space="0"/>
              <w:tl2br w:val="nil"/>
              <w:tr2bl w:val="nil"/>
            </w:tcBorders>
            <w:shd w:val="clear" w:color="auto" w:fill="auto"/>
            <w:vAlign w:val="center"/>
          </w:tcPr>
          <w:p>
            <w:pPr>
              <w:spacing w:line="240" w:lineRule="auto"/>
              <w:ind w:firstLine="0" w:firstLineChars="0"/>
              <w:jc w:val="center"/>
              <w:rPr>
                <w:rFonts w:eastAsiaTheme="minorEastAsia"/>
                <w:sz w:val="21"/>
                <w:szCs w:val="21"/>
              </w:rPr>
            </w:pPr>
            <w:r>
              <w:rPr>
                <w:sz w:val="22"/>
              </w:rPr>
              <w:t>1</w:t>
            </w:r>
          </w:p>
        </w:tc>
        <w:tc>
          <w:tcPr>
            <w:tcW w:w="596" w:type="pct"/>
            <w:tcBorders>
              <w:top w:val="single" w:color="000000" w:sz="12" w:space="0"/>
              <w:tl2br w:val="nil"/>
              <w:tr2bl w:val="nil"/>
            </w:tcBorders>
            <w:shd w:val="clear" w:color="auto" w:fill="auto"/>
            <w:vAlign w:val="center"/>
          </w:tcPr>
          <w:p>
            <w:pPr>
              <w:spacing w:line="240" w:lineRule="auto"/>
              <w:ind w:firstLine="0" w:firstLineChars="0"/>
              <w:jc w:val="center"/>
              <w:rPr>
                <w:rFonts w:eastAsiaTheme="minorEastAsia"/>
                <w:sz w:val="21"/>
                <w:szCs w:val="21"/>
              </w:rPr>
            </w:pPr>
            <w:r>
              <w:rPr>
                <w:sz w:val="22"/>
              </w:rPr>
              <w:t>1</w:t>
            </w:r>
          </w:p>
        </w:tc>
        <w:tc>
          <w:tcPr>
            <w:tcW w:w="597" w:type="pct"/>
            <w:tcBorders>
              <w:top w:val="single" w:color="000000" w:sz="12" w:space="0"/>
              <w:tl2br w:val="nil"/>
              <w:tr2bl w:val="nil"/>
            </w:tcBorders>
            <w:shd w:val="clear" w:color="auto" w:fill="auto"/>
            <w:vAlign w:val="center"/>
          </w:tcPr>
          <w:p>
            <w:pPr>
              <w:spacing w:line="240" w:lineRule="auto"/>
              <w:ind w:firstLine="0" w:firstLineChars="0"/>
              <w:jc w:val="center"/>
              <w:rPr>
                <w:rFonts w:eastAsiaTheme="minorEastAsia"/>
                <w:sz w:val="21"/>
                <w:szCs w:val="21"/>
              </w:rPr>
            </w:pPr>
            <w:r>
              <w:rPr>
                <w:rFonts w:eastAsiaTheme="minorEastAsia"/>
                <w:sz w:val="21"/>
                <w:szCs w:val="21"/>
              </w:rPr>
              <w:t>77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4" w:hRule="atLeast"/>
        </w:trPr>
        <w:tc>
          <w:tcPr>
            <w:tcW w:w="820" w:type="pct"/>
            <w:tcBorders>
              <w:tl2br w:val="nil"/>
              <w:tr2bl w:val="nil"/>
            </w:tcBorders>
            <w:shd w:val="clear" w:color="auto" w:fill="auto"/>
            <w:vAlign w:val="center"/>
          </w:tcPr>
          <w:p>
            <w:pPr>
              <w:spacing w:line="240" w:lineRule="auto"/>
              <w:ind w:firstLine="0" w:firstLineChars="0"/>
              <w:jc w:val="center"/>
              <w:rPr>
                <w:rFonts w:eastAsiaTheme="minorEastAsia"/>
                <w:sz w:val="21"/>
                <w:szCs w:val="21"/>
              </w:rPr>
            </w:pPr>
            <w:r>
              <w:rPr>
                <w:rFonts w:eastAsiaTheme="minorEastAsia"/>
                <w:sz w:val="21"/>
                <w:szCs w:val="21"/>
              </w:rPr>
              <w:t>百分比（%）</w:t>
            </w:r>
          </w:p>
        </w:tc>
        <w:tc>
          <w:tcPr>
            <w:tcW w:w="596" w:type="pct"/>
            <w:tcBorders>
              <w:tl2br w:val="nil"/>
              <w:tr2bl w:val="nil"/>
            </w:tcBorders>
            <w:shd w:val="clear" w:color="auto" w:fill="auto"/>
            <w:vAlign w:val="center"/>
          </w:tcPr>
          <w:p>
            <w:pPr>
              <w:spacing w:line="240" w:lineRule="auto"/>
              <w:ind w:firstLine="0" w:firstLineChars="0"/>
              <w:jc w:val="center"/>
              <w:rPr>
                <w:rFonts w:eastAsiaTheme="minorEastAsia"/>
                <w:sz w:val="21"/>
                <w:szCs w:val="21"/>
              </w:rPr>
            </w:pPr>
            <w:r>
              <w:rPr>
                <w:sz w:val="22"/>
              </w:rPr>
              <w:t>53.25</w:t>
            </w:r>
          </w:p>
        </w:tc>
        <w:tc>
          <w:tcPr>
            <w:tcW w:w="596" w:type="pct"/>
            <w:tcBorders>
              <w:tl2br w:val="nil"/>
              <w:tr2bl w:val="nil"/>
            </w:tcBorders>
            <w:shd w:val="clear" w:color="auto" w:fill="auto"/>
            <w:vAlign w:val="center"/>
          </w:tcPr>
          <w:p>
            <w:pPr>
              <w:spacing w:line="240" w:lineRule="auto"/>
              <w:ind w:firstLine="0" w:firstLineChars="0"/>
              <w:jc w:val="center"/>
              <w:rPr>
                <w:rFonts w:eastAsiaTheme="minorEastAsia"/>
                <w:sz w:val="21"/>
                <w:szCs w:val="21"/>
              </w:rPr>
            </w:pPr>
            <w:r>
              <w:rPr>
                <w:sz w:val="22"/>
              </w:rPr>
              <w:t>11.69</w:t>
            </w:r>
          </w:p>
        </w:tc>
        <w:tc>
          <w:tcPr>
            <w:tcW w:w="596" w:type="pct"/>
            <w:tcBorders>
              <w:tl2br w:val="nil"/>
              <w:tr2bl w:val="nil"/>
            </w:tcBorders>
            <w:shd w:val="clear" w:color="auto" w:fill="auto"/>
            <w:vAlign w:val="center"/>
          </w:tcPr>
          <w:p>
            <w:pPr>
              <w:spacing w:line="240" w:lineRule="auto"/>
              <w:ind w:firstLine="0" w:firstLineChars="0"/>
              <w:jc w:val="center"/>
              <w:rPr>
                <w:rFonts w:eastAsiaTheme="minorEastAsia"/>
                <w:sz w:val="21"/>
                <w:szCs w:val="21"/>
              </w:rPr>
            </w:pPr>
            <w:r>
              <w:rPr>
                <w:sz w:val="22"/>
              </w:rPr>
              <w:t>31.17</w:t>
            </w:r>
          </w:p>
        </w:tc>
        <w:tc>
          <w:tcPr>
            <w:tcW w:w="596" w:type="pct"/>
            <w:tcBorders>
              <w:tl2br w:val="nil"/>
              <w:tr2bl w:val="nil"/>
            </w:tcBorders>
            <w:shd w:val="clear" w:color="auto" w:fill="auto"/>
            <w:vAlign w:val="center"/>
          </w:tcPr>
          <w:p>
            <w:pPr>
              <w:spacing w:line="240" w:lineRule="auto"/>
              <w:ind w:firstLine="0" w:firstLineChars="0"/>
              <w:jc w:val="center"/>
              <w:rPr>
                <w:rFonts w:eastAsiaTheme="minorEastAsia"/>
                <w:sz w:val="21"/>
                <w:szCs w:val="21"/>
              </w:rPr>
            </w:pPr>
            <w:r>
              <w:rPr>
                <w:sz w:val="22"/>
              </w:rPr>
              <w:t>1.30</w:t>
            </w:r>
          </w:p>
        </w:tc>
        <w:tc>
          <w:tcPr>
            <w:tcW w:w="596" w:type="pct"/>
            <w:tcBorders>
              <w:tl2br w:val="nil"/>
              <w:tr2bl w:val="nil"/>
            </w:tcBorders>
            <w:shd w:val="clear" w:color="auto" w:fill="auto"/>
            <w:vAlign w:val="center"/>
          </w:tcPr>
          <w:p>
            <w:pPr>
              <w:spacing w:line="240" w:lineRule="auto"/>
              <w:ind w:firstLine="0" w:firstLineChars="0"/>
              <w:jc w:val="center"/>
              <w:rPr>
                <w:rFonts w:eastAsiaTheme="minorEastAsia"/>
                <w:sz w:val="21"/>
                <w:szCs w:val="21"/>
              </w:rPr>
            </w:pPr>
            <w:r>
              <w:rPr>
                <w:sz w:val="22"/>
              </w:rPr>
              <w:t>1.30</w:t>
            </w:r>
          </w:p>
        </w:tc>
        <w:tc>
          <w:tcPr>
            <w:tcW w:w="596" w:type="pct"/>
            <w:tcBorders>
              <w:tl2br w:val="nil"/>
              <w:tr2bl w:val="nil"/>
            </w:tcBorders>
            <w:shd w:val="clear" w:color="auto" w:fill="auto"/>
            <w:vAlign w:val="center"/>
          </w:tcPr>
          <w:p>
            <w:pPr>
              <w:spacing w:line="240" w:lineRule="auto"/>
              <w:ind w:firstLine="0" w:firstLineChars="0"/>
              <w:jc w:val="center"/>
              <w:rPr>
                <w:rFonts w:eastAsiaTheme="minorEastAsia"/>
                <w:sz w:val="21"/>
                <w:szCs w:val="21"/>
              </w:rPr>
            </w:pPr>
            <w:r>
              <w:rPr>
                <w:sz w:val="22"/>
              </w:rPr>
              <w:t>1.30</w:t>
            </w:r>
          </w:p>
        </w:tc>
        <w:tc>
          <w:tcPr>
            <w:tcW w:w="597" w:type="pct"/>
            <w:tcBorders>
              <w:tl2br w:val="nil"/>
              <w:tr2bl w:val="nil"/>
            </w:tcBorders>
            <w:shd w:val="clear" w:color="auto" w:fill="auto"/>
            <w:vAlign w:val="center"/>
          </w:tcPr>
          <w:p>
            <w:pPr>
              <w:spacing w:line="240" w:lineRule="auto"/>
              <w:ind w:firstLine="0" w:firstLineChars="0"/>
              <w:jc w:val="center"/>
              <w:rPr>
                <w:rFonts w:eastAsiaTheme="minorEastAsia"/>
                <w:sz w:val="21"/>
                <w:szCs w:val="21"/>
              </w:rPr>
            </w:pPr>
            <w:r>
              <w:rPr>
                <w:rFonts w:eastAsiaTheme="minorEastAsia"/>
                <w:sz w:val="21"/>
                <w:szCs w:val="21"/>
              </w:rPr>
              <w:t>100</w:t>
            </w:r>
          </w:p>
        </w:tc>
      </w:tr>
    </w:tbl>
    <w:p>
      <w:pPr>
        <w:ind w:firstLine="482"/>
        <w:rPr>
          <w:b/>
          <w:bCs/>
          <w:color w:val="000000" w:themeColor="text1"/>
          <w:kern w:val="0"/>
          <w14:textFill>
            <w14:solidFill>
              <w14:schemeClr w14:val="tx1"/>
            </w14:solidFill>
          </w14:textFill>
        </w:rPr>
      </w:pPr>
      <w:r>
        <w:rPr>
          <w:b/>
          <w:bCs/>
          <w:color w:val="000000" w:themeColor="text1"/>
          <w:kern w:val="0"/>
          <w14:textFill>
            <w14:solidFill>
              <w14:schemeClr w14:val="tx1"/>
            </w14:solidFill>
          </w14:textFill>
        </w:rPr>
        <w:t>（3）小结</w:t>
      </w:r>
    </w:p>
    <w:p>
      <w:pPr>
        <w:pStyle w:val="34"/>
        <w:spacing w:line="360" w:lineRule="auto"/>
        <w:ind w:firstLine="480"/>
        <w:rPr>
          <w:rFonts w:ascii="Times New Roman" w:hAnsi="Times New Roman"/>
          <w:color w:val="000000" w:themeColor="text1"/>
          <w:kern w:val="0"/>
          <w:sz w:val="24"/>
          <w:szCs w:val="24"/>
          <w14:textFill>
            <w14:solidFill>
              <w14:schemeClr w14:val="tx1"/>
            </w14:solidFill>
          </w14:textFill>
        </w:rPr>
      </w:pPr>
      <w:r>
        <w:rPr>
          <w:rFonts w:ascii="Times New Roman" w:hAnsi="Times New Roman"/>
          <w:color w:val="000000" w:themeColor="text1"/>
          <w:kern w:val="0"/>
          <w:sz w:val="24"/>
          <w:szCs w:val="24"/>
          <w14:textFill>
            <w14:solidFill>
              <w14:schemeClr w14:val="tx1"/>
            </w14:solidFill>
          </w14:textFill>
        </w:rPr>
        <w:t>2021年6月和2020年11月，</w:t>
      </w:r>
      <w:r>
        <w:rPr>
          <w:rFonts w:ascii="Times New Roman" w:hAnsi="Times New Roman"/>
          <w:bCs/>
          <w:kern w:val="0"/>
          <w:sz w:val="24"/>
          <w:szCs w:val="24"/>
        </w:rPr>
        <w:t>评价区内共检出浮</w:t>
      </w:r>
      <w:r>
        <w:rPr>
          <w:rFonts w:hint="eastAsia" w:ascii="Times New Roman" w:hAnsi="Times New Roman"/>
          <w:bCs/>
          <w:kern w:val="0"/>
          <w:sz w:val="24"/>
          <w:szCs w:val="24"/>
        </w:rPr>
        <w:t>浮游植物</w:t>
      </w:r>
      <w:r>
        <w:rPr>
          <w:rFonts w:ascii="Times New Roman" w:hAnsi="Times New Roman"/>
          <w:bCs/>
          <w:kern w:val="0"/>
          <w:sz w:val="24"/>
          <w:szCs w:val="24"/>
        </w:rPr>
        <w:t>8门109种（属）。浮游植物中硅藻门种（属）数最多，为56种（属），占51.38%；绿藻门27种（属），占24.77%；蓝藻门15种（属），占13.76%；裸藻门4种（属），占3.67%；甲藻门3种（属），占2.75%；隐藻门2种（属），占1.83%；黄藻门和金藻门各1种（属），各占0.92%。评价区浮游植物以硅藻为主，绿藻次之。评价区常见类群有</w:t>
      </w:r>
      <w:r>
        <w:rPr>
          <w:rFonts w:ascii="Times New Roman" w:hAnsi="Times New Roman" w:eastAsiaTheme="minorEastAsia"/>
          <w:kern w:val="0"/>
          <w:sz w:val="24"/>
          <w:szCs w:val="24"/>
        </w:rPr>
        <w:t>颗粒直链藻</w:t>
      </w:r>
      <w:r>
        <w:rPr>
          <w:rStyle w:val="3600"/>
          <w:rFonts w:hint="default" w:ascii="Times New Roman" w:hAnsi="Times New Roman" w:cs="Times New Roman"/>
          <w:color w:val="auto"/>
          <w:sz w:val="24"/>
          <w:szCs w:val="24"/>
        </w:rPr>
        <w:t>（</w:t>
      </w:r>
      <w:r>
        <w:rPr>
          <w:rFonts w:ascii="Times New Roman" w:hAnsi="Times New Roman" w:eastAsiaTheme="minorEastAsia"/>
          <w:i/>
          <w:iCs/>
          <w:kern w:val="0"/>
          <w:sz w:val="24"/>
          <w:szCs w:val="24"/>
        </w:rPr>
        <w:t>Melosira granulata</w:t>
      </w:r>
      <w:r>
        <w:rPr>
          <w:rFonts w:ascii="Times New Roman" w:hAnsi="Times New Roman"/>
          <w:sz w:val="24"/>
          <w:szCs w:val="24"/>
        </w:rPr>
        <w:t>）、小环藻（</w:t>
      </w:r>
      <w:r>
        <w:rPr>
          <w:rFonts w:ascii="Times New Roman" w:hAnsi="Times New Roman"/>
          <w:i/>
          <w:iCs/>
          <w:sz w:val="24"/>
          <w:szCs w:val="24"/>
        </w:rPr>
        <w:t>Cyclotella</w:t>
      </w:r>
      <w:r>
        <w:rPr>
          <w:rFonts w:ascii="Times New Roman" w:hAnsi="Times New Roman"/>
          <w:sz w:val="24"/>
          <w:szCs w:val="24"/>
        </w:rPr>
        <w:t xml:space="preserve"> sp.）、</w:t>
      </w:r>
      <w:r>
        <w:rPr>
          <w:rFonts w:ascii="Times New Roman" w:hAnsi="Times New Roman"/>
          <w:kern w:val="0"/>
          <w:sz w:val="24"/>
          <w:szCs w:val="24"/>
        </w:rPr>
        <w:t>钝脆杆藻（</w:t>
      </w:r>
      <w:r>
        <w:rPr>
          <w:rFonts w:ascii="Times New Roman" w:hAnsi="Times New Roman"/>
          <w:i/>
          <w:iCs/>
          <w:kern w:val="0"/>
          <w:sz w:val="24"/>
          <w:szCs w:val="24"/>
        </w:rPr>
        <w:t>Fragilaria capucina</w:t>
      </w:r>
      <w:r>
        <w:rPr>
          <w:rFonts w:ascii="Times New Roman" w:hAnsi="Times New Roman"/>
          <w:kern w:val="0"/>
          <w:sz w:val="24"/>
          <w:szCs w:val="24"/>
        </w:rPr>
        <w:t>）、尖针杆藻（</w:t>
      </w:r>
      <w:r>
        <w:rPr>
          <w:rFonts w:ascii="Times New Roman" w:hAnsi="Times New Roman"/>
          <w:i/>
          <w:iCs/>
          <w:kern w:val="0"/>
          <w:sz w:val="24"/>
          <w:szCs w:val="24"/>
        </w:rPr>
        <w:t>Synedra acus</w:t>
      </w:r>
      <w:r>
        <w:rPr>
          <w:rFonts w:ascii="Times New Roman" w:hAnsi="Times New Roman"/>
          <w:kern w:val="0"/>
          <w:sz w:val="24"/>
          <w:szCs w:val="24"/>
        </w:rPr>
        <w:t>）、</w:t>
      </w:r>
      <w:r>
        <w:rPr>
          <w:rFonts w:ascii="Times New Roman" w:hAnsi="Times New Roman"/>
          <w:bCs/>
          <w:kern w:val="0"/>
          <w:sz w:val="24"/>
          <w:szCs w:val="24"/>
        </w:rPr>
        <w:t>美丽星杆藻（</w:t>
      </w:r>
      <w:r>
        <w:rPr>
          <w:rFonts w:ascii="Times New Roman" w:hAnsi="Times New Roman" w:eastAsiaTheme="minorEastAsia"/>
          <w:i/>
          <w:iCs/>
          <w:kern w:val="0"/>
          <w:sz w:val="24"/>
          <w:szCs w:val="24"/>
        </w:rPr>
        <w:t>Asterionella formosa</w:t>
      </w:r>
      <w:r>
        <w:rPr>
          <w:rFonts w:ascii="Times New Roman" w:hAnsi="Times New Roman"/>
          <w:bCs/>
          <w:kern w:val="0"/>
          <w:sz w:val="24"/>
          <w:szCs w:val="24"/>
        </w:rPr>
        <w:t>）、</w:t>
      </w:r>
      <w:r>
        <w:rPr>
          <w:rFonts w:ascii="Times New Roman" w:hAnsi="Times New Roman" w:eastAsiaTheme="minorEastAsia"/>
          <w:kern w:val="0"/>
          <w:sz w:val="24"/>
          <w:szCs w:val="24"/>
        </w:rPr>
        <w:t>二角盘星藻</w:t>
      </w:r>
      <w:r>
        <w:rPr>
          <w:rFonts w:ascii="Times New Roman" w:hAnsi="Times New Roman"/>
          <w:sz w:val="24"/>
          <w:szCs w:val="24"/>
          <w:lang w:bidi="ar"/>
        </w:rPr>
        <w:t>（</w:t>
      </w:r>
      <w:r>
        <w:rPr>
          <w:rFonts w:ascii="Times New Roman" w:hAnsi="Times New Roman" w:eastAsiaTheme="minorEastAsia"/>
          <w:i/>
          <w:iCs/>
          <w:kern w:val="0"/>
          <w:sz w:val="24"/>
          <w:szCs w:val="24"/>
        </w:rPr>
        <w:t>Pediastrum duplex</w:t>
      </w:r>
      <w:r>
        <w:rPr>
          <w:rFonts w:ascii="Times New Roman" w:hAnsi="Times New Roman"/>
          <w:sz w:val="24"/>
          <w:szCs w:val="24"/>
          <w:lang w:bidi="ar"/>
        </w:rPr>
        <w:t>）等。评价区藻类名录见附表1，各门藻类种数及比例见表</w:t>
      </w:r>
      <w:r>
        <w:rPr>
          <w:rFonts w:hint="eastAsia" w:ascii="Times New Roman" w:hAnsi="Times New Roman"/>
          <w:sz w:val="24"/>
          <w:szCs w:val="24"/>
          <w:lang w:bidi="ar"/>
        </w:rPr>
        <w:t>3-29</w:t>
      </w:r>
      <w:r>
        <w:rPr>
          <w:rFonts w:ascii="Times New Roman" w:hAnsi="Times New Roman"/>
          <w:sz w:val="24"/>
          <w:szCs w:val="24"/>
          <w:lang w:bidi="ar"/>
        </w:rPr>
        <w:t>。</w:t>
      </w:r>
    </w:p>
    <w:p>
      <w:pPr>
        <w:pStyle w:val="3583"/>
        <w:spacing w:line="240" w:lineRule="auto"/>
        <w:ind w:left="0"/>
        <w:rPr>
          <w:szCs w:val="21"/>
        </w:rPr>
      </w:pPr>
      <w:r>
        <w:rPr>
          <w:szCs w:val="21"/>
        </w:rPr>
        <w:t xml:space="preserve"> 评价区各门</w:t>
      </w:r>
      <w:r>
        <w:rPr>
          <w:rFonts w:hint="eastAsia"/>
        </w:rPr>
        <w:t>浮游</w:t>
      </w:r>
      <w:r>
        <w:rPr>
          <w:rFonts w:hint="eastAsia"/>
          <w:szCs w:val="21"/>
        </w:rPr>
        <w:t>植物</w:t>
      </w:r>
      <w:r>
        <w:rPr>
          <w:szCs w:val="21"/>
        </w:rPr>
        <w:t>种数及比例</w:t>
      </w:r>
    </w:p>
    <w:tbl>
      <w:tblPr>
        <w:tblStyle w:val="87"/>
        <w:tblW w:w="499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616"/>
        <w:gridCol w:w="851"/>
        <w:gridCol w:w="851"/>
        <w:gridCol w:w="851"/>
        <w:gridCol w:w="851"/>
        <w:gridCol w:w="851"/>
        <w:gridCol w:w="851"/>
        <w:gridCol w:w="851"/>
        <w:gridCol w:w="851"/>
        <w:gridCol w:w="85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7" w:hRule="atLeast"/>
        </w:trPr>
        <w:tc>
          <w:tcPr>
            <w:tcW w:w="870" w:type="pct"/>
            <w:tcBorders>
              <w:bottom w:val="single" w:color="000000" w:sz="12" w:space="0"/>
            </w:tcBorders>
            <w:shd w:val="clear" w:color="auto" w:fill="auto"/>
            <w:vAlign w:val="center"/>
          </w:tcPr>
          <w:p>
            <w:pPr>
              <w:spacing w:line="240" w:lineRule="auto"/>
              <w:ind w:firstLine="0" w:firstLineChars="0"/>
              <w:jc w:val="center"/>
              <w:rPr>
                <w:rFonts w:eastAsiaTheme="minorEastAsia"/>
                <w:b/>
                <w:bCs/>
                <w:sz w:val="21"/>
                <w:szCs w:val="21"/>
              </w:rPr>
            </w:pPr>
            <w:r>
              <w:rPr>
                <w:rFonts w:eastAsiaTheme="minorEastAsia"/>
                <w:b/>
                <w:bCs/>
                <w:sz w:val="21"/>
                <w:szCs w:val="21"/>
              </w:rPr>
              <w:t>类别</w:t>
            </w:r>
          </w:p>
        </w:tc>
        <w:tc>
          <w:tcPr>
            <w:tcW w:w="458" w:type="pct"/>
            <w:tcBorders>
              <w:bottom w:val="single" w:color="000000" w:sz="12" w:space="0"/>
            </w:tcBorders>
            <w:shd w:val="clear" w:color="auto" w:fill="auto"/>
            <w:vAlign w:val="center"/>
          </w:tcPr>
          <w:p>
            <w:pPr>
              <w:spacing w:line="240" w:lineRule="auto"/>
              <w:ind w:firstLine="0" w:firstLineChars="0"/>
              <w:jc w:val="center"/>
              <w:rPr>
                <w:rFonts w:eastAsiaTheme="minorEastAsia"/>
                <w:b/>
                <w:bCs/>
                <w:sz w:val="21"/>
                <w:szCs w:val="21"/>
              </w:rPr>
            </w:pPr>
            <w:r>
              <w:rPr>
                <w:rFonts w:eastAsiaTheme="minorEastAsia"/>
                <w:b/>
                <w:bCs/>
                <w:sz w:val="21"/>
                <w:szCs w:val="21"/>
              </w:rPr>
              <w:t>硅藻门</w:t>
            </w:r>
          </w:p>
        </w:tc>
        <w:tc>
          <w:tcPr>
            <w:tcW w:w="458" w:type="pct"/>
            <w:tcBorders>
              <w:bottom w:val="single" w:color="000000" w:sz="12" w:space="0"/>
            </w:tcBorders>
            <w:shd w:val="clear" w:color="auto" w:fill="auto"/>
            <w:vAlign w:val="center"/>
          </w:tcPr>
          <w:p>
            <w:pPr>
              <w:spacing w:line="240" w:lineRule="auto"/>
              <w:ind w:firstLine="0" w:firstLineChars="0"/>
              <w:jc w:val="center"/>
              <w:rPr>
                <w:rFonts w:eastAsiaTheme="minorEastAsia"/>
                <w:b/>
                <w:bCs/>
                <w:sz w:val="21"/>
                <w:szCs w:val="21"/>
              </w:rPr>
            </w:pPr>
            <w:r>
              <w:rPr>
                <w:rFonts w:eastAsiaTheme="minorEastAsia"/>
                <w:b/>
                <w:bCs/>
                <w:sz w:val="21"/>
                <w:szCs w:val="21"/>
              </w:rPr>
              <w:t>绿藻门</w:t>
            </w:r>
          </w:p>
        </w:tc>
        <w:tc>
          <w:tcPr>
            <w:tcW w:w="458" w:type="pct"/>
            <w:tcBorders>
              <w:bottom w:val="single" w:color="000000" w:sz="12" w:space="0"/>
            </w:tcBorders>
            <w:shd w:val="clear" w:color="auto" w:fill="auto"/>
            <w:vAlign w:val="center"/>
          </w:tcPr>
          <w:p>
            <w:pPr>
              <w:spacing w:line="240" w:lineRule="auto"/>
              <w:ind w:firstLine="0" w:firstLineChars="0"/>
              <w:jc w:val="center"/>
              <w:rPr>
                <w:rFonts w:eastAsiaTheme="minorEastAsia"/>
                <w:b/>
                <w:bCs/>
                <w:sz w:val="21"/>
                <w:szCs w:val="21"/>
              </w:rPr>
            </w:pPr>
            <w:r>
              <w:rPr>
                <w:rFonts w:eastAsiaTheme="minorEastAsia"/>
                <w:b/>
                <w:bCs/>
                <w:sz w:val="21"/>
                <w:szCs w:val="21"/>
              </w:rPr>
              <w:t>蓝藻门</w:t>
            </w:r>
          </w:p>
        </w:tc>
        <w:tc>
          <w:tcPr>
            <w:tcW w:w="458" w:type="pct"/>
            <w:tcBorders>
              <w:bottom w:val="single" w:color="000000" w:sz="12" w:space="0"/>
            </w:tcBorders>
            <w:shd w:val="clear" w:color="auto" w:fill="auto"/>
            <w:vAlign w:val="center"/>
          </w:tcPr>
          <w:p>
            <w:pPr>
              <w:spacing w:line="240" w:lineRule="auto"/>
              <w:ind w:firstLine="0" w:firstLineChars="0"/>
              <w:jc w:val="center"/>
              <w:rPr>
                <w:rFonts w:eastAsiaTheme="minorEastAsia"/>
                <w:b/>
                <w:bCs/>
                <w:sz w:val="21"/>
                <w:szCs w:val="21"/>
              </w:rPr>
            </w:pPr>
            <w:r>
              <w:rPr>
                <w:rFonts w:eastAsiaTheme="minorEastAsia"/>
                <w:b/>
                <w:bCs/>
                <w:sz w:val="21"/>
                <w:szCs w:val="21"/>
              </w:rPr>
              <w:t>裸藻门</w:t>
            </w:r>
          </w:p>
        </w:tc>
        <w:tc>
          <w:tcPr>
            <w:tcW w:w="458" w:type="pct"/>
            <w:tcBorders>
              <w:bottom w:val="single" w:color="000000" w:sz="12" w:space="0"/>
            </w:tcBorders>
            <w:shd w:val="clear" w:color="auto" w:fill="auto"/>
            <w:vAlign w:val="center"/>
          </w:tcPr>
          <w:p>
            <w:pPr>
              <w:spacing w:line="240" w:lineRule="auto"/>
              <w:ind w:firstLine="0" w:firstLineChars="0"/>
              <w:jc w:val="center"/>
              <w:rPr>
                <w:rFonts w:eastAsiaTheme="minorEastAsia"/>
                <w:b/>
                <w:bCs/>
                <w:sz w:val="21"/>
                <w:szCs w:val="21"/>
              </w:rPr>
            </w:pPr>
            <w:r>
              <w:rPr>
                <w:rFonts w:eastAsiaTheme="minorEastAsia"/>
                <w:b/>
                <w:bCs/>
                <w:sz w:val="21"/>
                <w:szCs w:val="21"/>
              </w:rPr>
              <w:t>甲藻门</w:t>
            </w:r>
          </w:p>
        </w:tc>
        <w:tc>
          <w:tcPr>
            <w:tcW w:w="458" w:type="pct"/>
            <w:tcBorders>
              <w:bottom w:val="single" w:color="000000" w:sz="12" w:space="0"/>
            </w:tcBorders>
            <w:shd w:val="clear" w:color="auto" w:fill="auto"/>
            <w:vAlign w:val="center"/>
          </w:tcPr>
          <w:p>
            <w:pPr>
              <w:spacing w:line="240" w:lineRule="auto"/>
              <w:ind w:firstLine="0" w:firstLineChars="0"/>
              <w:jc w:val="center"/>
              <w:rPr>
                <w:rFonts w:eastAsiaTheme="minorEastAsia"/>
                <w:b/>
                <w:bCs/>
                <w:sz w:val="21"/>
                <w:szCs w:val="21"/>
              </w:rPr>
            </w:pPr>
            <w:r>
              <w:rPr>
                <w:rFonts w:eastAsiaTheme="minorEastAsia"/>
                <w:b/>
                <w:bCs/>
                <w:sz w:val="21"/>
                <w:szCs w:val="21"/>
              </w:rPr>
              <w:t>隐藻门</w:t>
            </w:r>
          </w:p>
        </w:tc>
        <w:tc>
          <w:tcPr>
            <w:tcW w:w="458" w:type="pct"/>
            <w:tcBorders>
              <w:bottom w:val="single" w:color="000000" w:sz="12" w:space="0"/>
            </w:tcBorders>
            <w:shd w:val="clear" w:color="auto" w:fill="auto"/>
            <w:vAlign w:val="center"/>
          </w:tcPr>
          <w:p>
            <w:pPr>
              <w:spacing w:line="240" w:lineRule="auto"/>
              <w:ind w:firstLine="0" w:firstLineChars="0"/>
              <w:jc w:val="center"/>
              <w:rPr>
                <w:rFonts w:eastAsiaTheme="minorEastAsia"/>
                <w:b/>
                <w:bCs/>
                <w:sz w:val="21"/>
                <w:szCs w:val="21"/>
              </w:rPr>
            </w:pPr>
            <w:r>
              <w:rPr>
                <w:rFonts w:eastAsiaTheme="minorEastAsia"/>
                <w:b/>
                <w:bCs/>
                <w:sz w:val="21"/>
                <w:szCs w:val="21"/>
              </w:rPr>
              <w:t>黄藻门</w:t>
            </w:r>
          </w:p>
        </w:tc>
        <w:tc>
          <w:tcPr>
            <w:tcW w:w="458" w:type="pct"/>
            <w:tcBorders>
              <w:bottom w:val="single" w:color="000000" w:sz="12" w:space="0"/>
            </w:tcBorders>
            <w:shd w:val="clear" w:color="auto" w:fill="auto"/>
            <w:vAlign w:val="center"/>
          </w:tcPr>
          <w:p>
            <w:pPr>
              <w:spacing w:line="240" w:lineRule="auto"/>
              <w:ind w:firstLine="0" w:firstLineChars="0"/>
              <w:jc w:val="center"/>
              <w:rPr>
                <w:rFonts w:eastAsiaTheme="minorEastAsia"/>
                <w:b/>
                <w:bCs/>
                <w:sz w:val="21"/>
                <w:szCs w:val="21"/>
              </w:rPr>
            </w:pPr>
            <w:r>
              <w:rPr>
                <w:rFonts w:eastAsiaTheme="minorEastAsia"/>
                <w:b/>
                <w:bCs/>
                <w:sz w:val="21"/>
                <w:szCs w:val="21"/>
              </w:rPr>
              <w:t>金藻门</w:t>
            </w:r>
          </w:p>
        </w:tc>
        <w:tc>
          <w:tcPr>
            <w:tcW w:w="461" w:type="pct"/>
            <w:tcBorders>
              <w:bottom w:val="single" w:color="000000" w:sz="12" w:space="0"/>
            </w:tcBorders>
            <w:shd w:val="clear" w:color="auto" w:fill="auto"/>
            <w:vAlign w:val="center"/>
          </w:tcPr>
          <w:p>
            <w:pPr>
              <w:spacing w:line="240" w:lineRule="auto"/>
              <w:ind w:firstLine="0" w:firstLineChars="0"/>
              <w:jc w:val="center"/>
              <w:rPr>
                <w:rFonts w:eastAsiaTheme="minorEastAsia"/>
                <w:b/>
                <w:bCs/>
                <w:sz w:val="21"/>
                <w:szCs w:val="21"/>
              </w:rPr>
            </w:pPr>
            <w:r>
              <w:rPr>
                <w:rFonts w:eastAsiaTheme="minorEastAsia"/>
                <w:b/>
                <w:bCs/>
                <w:sz w:val="21"/>
                <w:szCs w:val="21"/>
              </w:rPr>
              <w:t>合计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1" w:hRule="atLeast"/>
        </w:trPr>
        <w:tc>
          <w:tcPr>
            <w:tcW w:w="870" w:type="pct"/>
            <w:tcBorders>
              <w:top w:val="single" w:color="000000" w:sz="12" w:space="0"/>
              <w:tl2br w:val="nil"/>
              <w:tr2bl w:val="nil"/>
            </w:tcBorders>
            <w:shd w:val="clear" w:color="auto" w:fill="auto"/>
            <w:vAlign w:val="center"/>
          </w:tcPr>
          <w:p>
            <w:pPr>
              <w:spacing w:line="240" w:lineRule="auto"/>
              <w:ind w:firstLine="0" w:firstLineChars="0"/>
              <w:jc w:val="center"/>
              <w:rPr>
                <w:rFonts w:eastAsiaTheme="minorEastAsia"/>
                <w:sz w:val="21"/>
                <w:szCs w:val="21"/>
              </w:rPr>
            </w:pPr>
            <w:r>
              <w:rPr>
                <w:rFonts w:eastAsiaTheme="minorEastAsia"/>
                <w:sz w:val="21"/>
                <w:szCs w:val="21"/>
              </w:rPr>
              <w:t>种类数</w:t>
            </w:r>
          </w:p>
        </w:tc>
        <w:tc>
          <w:tcPr>
            <w:tcW w:w="458" w:type="pct"/>
            <w:tcBorders>
              <w:top w:val="single" w:color="000000" w:sz="12" w:space="0"/>
              <w:tl2br w:val="nil"/>
              <w:tr2bl w:val="nil"/>
            </w:tcBorders>
            <w:shd w:val="clear" w:color="auto" w:fill="auto"/>
            <w:vAlign w:val="center"/>
          </w:tcPr>
          <w:p>
            <w:pPr>
              <w:spacing w:line="240" w:lineRule="auto"/>
              <w:ind w:firstLine="0" w:firstLineChars="0"/>
              <w:jc w:val="center"/>
              <w:rPr>
                <w:rFonts w:eastAsiaTheme="minorEastAsia"/>
                <w:sz w:val="21"/>
                <w:szCs w:val="21"/>
              </w:rPr>
            </w:pPr>
            <w:r>
              <w:rPr>
                <w:rFonts w:eastAsiaTheme="minorEastAsia"/>
                <w:sz w:val="21"/>
                <w:szCs w:val="21"/>
              </w:rPr>
              <w:t>56</w:t>
            </w:r>
          </w:p>
        </w:tc>
        <w:tc>
          <w:tcPr>
            <w:tcW w:w="458" w:type="pct"/>
            <w:tcBorders>
              <w:top w:val="single" w:color="000000" w:sz="12" w:space="0"/>
              <w:tl2br w:val="nil"/>
              <w:tr2bl w:val="nil"/>
            </w:tcBorders>
            <w:shd w:val="clear" w:color="auto" w:fill="auto"/>
            <w:vAlign w:val="center"/>
          </w:tcPr>
          <w:p>
            <w:pPr>
              <w:spacing w:line="240" w:lineRule="auto"/>
              <w:ind w:firstLine="0" w:firstLineChars="0"/>
              <w:jc w:val="center"/>
              <w:rPr>
                <w:rFonts w:eastAsiaTheme="minorEastAsia"/>
                <w:sz w:val="21"/>
                <w:szCs w:val="21"/>
              </w:rPr>
            </w:pPr>
            <w:r>
              <w:rPr>
                <w:rFonts w:eastAsiaTheme="minorEastAsia"/>
                <w:sz w:val="21"/>
                <w:szCs w:val="21"/>
              </w:rPr>
              <w:t>27</w:t>
            </w:r>
          </w:p>
        </w:tc>
        <w:tc>
          <w:tcPr>
            <w:tcW w:w="458" w:type="pct"/>
            <w:tcBorders>
              <w:top w:val="single" w:color="000000" w:sz="12" w:space="0"/>
              <w:tl2br w:val="nil"/>
              <w:tr2bl w:val="nil"/>
            </w:tcBorders>
            <w:shd w:val="clear" w:color="auto" w:fill="auto"/>
            <w:vAlign w:val="center"/>
          </w:tcPr>
          <w:p>
            <w:pPr>
              <w:spacing w:line="240" w:lineRule="auto"/>
              <w:ind w:firstLine="0" w:firstLineChars="0"/>
              <w:jc w:val="center"/>
              <w:rPr>
                <w:rFonts w:eastAsiaTheme="minorEastAsia"/>
                <w:sz w:val="21"/>
                <w:szCs w:val="21"/>
              </w:rPr>
            </w:pPr>
            <w:r>
              <w:rPr>
                <w:rFonts w:eastAsiaTheme="minorEastAsia"/>
                <w:sz w:val="21"/>
                <w:szCs w:val="21"/>
              </w:rPr>
              <w:t>15</w:t>
            </w:r>
          </w:p>
        </w:tc>
        <w:tc>
          <w:tcPr>
            <w:tcW w:w="458" w:type="pct"/>
            <w:tcBorders>
              <w:top w:val="single" w:color="000000" w:sz="12" w:space="0"/>
              <w:tl2br w:val="nil"/>
              <w:tr2bl w:val="nil"/>
            </w:tcBorders>
            <w:shd w:val="clear" w:color="auto" w:fill="auto"/>
            <w:vAlign w:val="center"/>
          </w:tcPr>
          <w:p>
            <w:pPr>
              <w:spacing w:line="240" w:lineRule="auto"/>
              <w:ind w:firstLine="0" w:firstLineChars="0"/>
              <w:jc w:val="center"/>
              <w:rPr>
                <w:rFonts w:eastAsiaTheme="minorEastAsia"/>
                <w:sz w:val="21"/>
                <w:szCs w:val="21"/>
              </w:rPr>
            </w:pPr>
            <w:r>
              <w:rPr>
                <w:rFonts w:eastAsiaTheme="minorEastAsia"/>
                <w:sz w:val="21"/>
                <w:szCs w:val="21"/>
              </w:rPr>
              <w:t>4</w:t>
            </w:r>
          </w:p>
        </w:tc>
        <w:tc>
          <w:tcPr>
            <w:tcW w:w="458" w:type="pct"/>
            <w:tcBorders>
              <w:top w:val="single" w:color="000000" w:sz="12" w:space="0"/>
              <w:tl2br w:val="nil"/>
              <w:tr2bl w:val="nil"/>
            </w:tcBorders>
            <w:shd w:val="clear" w:color="auto" w:fill="auto"/>
            <w:vAlign w:val="center"/>
          </w:tcPr>
          <w:p>
            <w:pPr>
              <w:spacing w:line="240" w:lineRule="auto"/>
              <w:ind w:firstLine="0" w:firstLineChars="0"/>
              <w:jc w:val="center"/>
              <w:rPr>
                <w:rFonts w:eastAsiaTheme="minorEastAsia"/>
                <w:sz w:val="21"/>
                <w:szCs w:val="21"/>
              </w:rPr>
            </w:pPr>
            <w:r>
              <w:rPr>
                <w:rFonts w:eastAsiaTheme="minorEastAsia"/>
                <w:sz w:val="21"/>
                <w:szCs w:val="21"/>
              </w:rPr>
              <w:t>3</w:t>
            </w:r>
          </w:p>
        </w:tc>
        <w:tc>
          <w:tcPr>
            <w:tcW w:w="458" w:type="pct"/>
            <w:tcBorders>
              <w:top w:val="single" w:color="000000" w:sz="12" w:space="0"/>
              <w:tl2br w:val="nil"/>
              <w:tr2bl w:val="nil"/>
            </w:tcBorders>
            <w:shd w:val="clear" w:color="auto" w:fill="auto"/>
            <w:vAlign w:val="center"/>
          </w:tcPr>
          <w:p>
            <w:pPr>
              <w:spacing w:line="240" w:lineRule="auto"/>
              <w:ind w:firstLine="0" w:firstLineChars="0"/>
              <w:jc w:val="center"/>
              <w:rPr>
                <w:rFonts w:eastAsiaTheme="minorEastAsia"/>
                <w:sz w:val="21"/>
                <w:szCs w:val="21"/>
              </w:rPr>
            </w:pPr>
            <w:r>
              <w:rPr>
                <w:rFonts w:eastAsiaTheme="minorEastAsia"/>
                <w:sz w:val="21"/>
                <w:szCs w:val="21"/>
              </w:rPr>
              <w:t>2</w:t>
            </w:r>
          </w:p>
        </w:tc>
        <w:tc>
          <w:tcPr>
            <w:tcW w:w="458" w:type="pct"/>
            <w:tcBorders>
              <w:top w:val="single" w:color="000000" w:sz="12" w:space="0"/>
              <w:tl2br w:val="nil"/>
              <w:tr2bl w:val="nil"/>
            </w:tcBorders>
            <w:shd w:val="clear" w:color="auto" w:fill="auto"/>
            <w:vAlign w:val="center"/>
          </w:tcPr>
          <w:p>
            <w:pPr>
              <w:spacing w:line="240" w:lineRule="auto"/>
              <w:ind w:firstLine="0" w:firstLineChars="0"/>
              <w:jc w:val="center"/>
              <w:rPr>
                <w:rFonts w:eastAsiaTheme="minorEastAsia"/>
                <w:sz w:val="21"/>
                <w:szCs w:val="21"/>
              </w:rPr>
            </w:pPr>
            <w:r>
              <w:rPr>
                <w:rFonts w:eastAsiaTheme="minorEastAsia"/>
                <w:sz w:val="21"/>
                <w:szCs w:val="21"/>
              </w:rPr>
              <w:t>1</w:t>
            </w:r>
          </w:p>
        </w:tc>
        <w:tc>
          <w:tcPr>
            <w:tcW w:w="458" w:type="pct"/>
            <w:tcBorders>
              <w:top w:val="single" w:color="000000" w:sz="12" w:space="0"/>
              <w:tl2br w:val="nil"/>
              <w:tr2bl w:val="nil"/>
            </w:tcBorders>
            <w:shd w:val="clear" w:color="auto" w:fill="auto"/>
            <w:vAlign w:val="center"/>
          </w:tcPr>
          <w:p>
            <w:pPr>
              <w:spacing w:line="240" w:lineRule="auto"/>
              <w:ind w:firstLine="0" w:firstLineChars="0"/>
              <w:jc w:val="center"/>
              <w:rPr>
                <w:rFonts w:eastAsiaTheme="minorEastAsia"/>
                <w:sz w:val="21"/>
                <w:szCs w:val="21"/>
              </w:rPr>
            </w:pPr>
            <w:r>
              <w:rPr>
                <w:rFonts w:eastAsiaTheme="minorEastAsia"/>
                <w:sz w:val="21"/>
                <w:szCs w:val="21"/>
              </w:rPr>
              <w:t>1</w:t>
            </w:r>
          </w:p>
        </w:tc>
        <w:tc>
          <w:tcPr>
            <w:tcW w:w="461" w:type="pct"/>
            <w:tcBorders>
              <w:top w:val="single" w:color="000000" w:sz="12" w:space="0"/>
              <w:tl2br w:val="nil"/>
              <w:tr2bl w:val="nil"/>
            </w:tcBorders>
            <w:shd w:val="clear" w:color="auto" w:fill="auto"/>
            <w:vAlign w:val="center"/>
          </w:tcPr>
          <w:p>
            <w:pPr>
              <w:spacing w:line="240" w:lineRule="auto"/>
              <w:ind w:firstLine="0" w:firstLineChars="0"/>
              <w:jc w:val="center"/>
              <w:rPr>
                <w:rFonts w:eastAsiaTheme="minorEastAsia"/>
                <w:sz w:val="21"/>
                <w:szCs w:val="21"/>
              </w:rPr>
            </w:pPr>
            <w:r>
              <w:rPr>
                <w:rFonts w:eastAsiaTheme="minorEastAsia"/>
                <w:sz w:val="21"/>
                <w:szCs w:val="21"/>
              </w:rPr>
              <w:t>109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53" w:hRule="atLeast"/>
        </w:trPr>
        <w:tc>
          <w:tcPr>
            <w:tcW w:w="870" w:type="pct"/>
            <w:tcBorders>
              <w:tl2br w:val="nil"/>
              <w:tr2bl w:val="nil"/>
            </w:tcBorders>
            <w:shd w:val="clear" w:color="auto" w:fill="auto"/>
            <w:vAlign w:val="center"/>
          </w:tcPr>
          <w:p>
            <w:pPr>
              <w:spacing w:line="240" w:lineRule="auto"/>
              <w:ind w:firstLine="0" w:firstLineChars="0"/>
              <w:jc w:val="center"/>
              <w:rPr>
                <w:rFonts w:eastAsiaTheme="minorEastAsia"/>
                <w:sz w:val="21"/>
                <w:szCs w:val="21"/>
              </w:rPr>
            </w:pPr>
            <w:r>
              <w:rPr>
                <w:rFonts w:eastAsiaTheme="minorEastAsia"/>
                <w:sz w:val="21"/>
                <w:szCs w:val="21"/>
              </w:rPr>
              <w:t>百分比（%）</w:t>
            </w:r>
          </w:p>
        </w:tc>
        <w:tc>
          <w:tcPr>
            <w:tcW w:w="458" w:type="pct"/>
            <w:tcBorders>
              <w:tl2br w:val="nil"/>
              <w:tr2bl w:val="nil"/>
            </w:tcBorders>
            <w:shd w:val="clear" w:color="auto" w:fill="auto"/>
            <w:vAlign w:val="center"/>
          </w:tcPr>
          <w:p>
            <w:pPr>
              <w:widowControl/>
              <w:spacing w:line="240" w:lineRule="atLeast"/>
              <w:ind w:firstLine="0" w:firstLineChars="0"/>
              <w:jc w:val="center"/>
              <w:textAlignment w:val="center"/>
              <w:rPr>
                <w:rFonts w:eastAsiaTheme="minorEastAsia"/>
                <w:sz w:val="21"/>
                <w:szCs w:val="21"/>
              </w:rPr>
            </w:pPr>
            <w:r>
              <w:rPr>
                <w:color w:val="000000"/>
                <w:kern w:val="0"/>
                <w:sz w:val="21"/>
                <w:szCs w:val="21"/>
                <w:lang w:bidi="ar"/>
              </w:rPr>
              <w:t xml:space="preserve">51.38 </w:t>
            </w:r>
          </w:p>
        </w:tc>
        <w:tc>
          <w:tcPr>
            <w:tcW w:w="458" w:type="pct"/>
            <w:tcBorders>
              <w:tl2br w:val="nil"/>
              <w:tr2bl w:val="nil"/>
            </w:tcBorders>
            <w:shd w:val="clear" w:color="auto" w:fill="auto"/>
            <w:vAlign w:val="center"/>
          </w:tcPr>
          <w:p>
            <w:pPr>
              <w:widowControl/>
              <w:spacing w:line="240" w:lineRule="atLeast"/>
              <w:ind w:firstLine="0" w:firstLineChars="0"/>
              <w:jc w:val="center"/>
              <w:textAlignment w:val="center"/>
              <w:rPr>
                <w:rFonts w:eastAsiaTheme="minorEastAsia"/>
                <w:sz w:val="21"/>
                <w:szCs w:val="21"/>
              </w:rPr>
            </w:pPr>
            <w:r>
              <w:rPr>
                <w:color w:val="000000"/>
                <w:kern w:val="0"/>
                <w:sz w:val="21"/>
                <w:szCs w:val="21"/>
                <w:lang w:bidi="ar"/>
              </w:rPr>
              <w:t xml:space="preserve">24.77 </w:t>
            </w:r>
          </w:p>
        </w:tc>
        <w:tc>
          <w:tcPr>
            <w:tcW w:w="458" w:type="pct"/>
            <w:tcBorders>
              <w:tl2br w:val="nil"/>
              <w:tr2bl w:val="nil"/>
            </w:tcBorders>
            <w:shd w:val="clear" w:color="auto" w:fill="auto"/>
            <w:vAlign w:val="center"/>
          </w:tcPr>
          <w:p>
            <w:pPr>
              <w:widowControl/>
              <w:spacing w:line="240" w:lineRule="atLeast"/>
              <w:ind w:firstLine="0" w:firstLineChars="0"/>
              <w:jc w:val="center"/>
              <w:textAlignment w:val="center"/>
              <w:rPr>
                <w:rFonts w:eastAsiaTheme="minorEastAsia"/>
                <w:sz w:val="21"/>
                <w:szCs w:val="21"/>
              </w:rPr>
            </w:pPr>
            <w:r>
              <w:rPr>
                <w:color w:val="000000"/>
                <w:kern w:val="0"/>
                <w:sz w:val="21"/>
                <w:szCs w:val="21"/>
                <w:lang w:bidi="ar"/>
              </w:rPr>
              <w:t xml:space="preserve">13.76 </w:t>
            </w:r>
          </w:p>
        </w:tc>
        <w:tc>
          <w:tcPr>
            <w:tcW w:w="458" w:type="pct"/>
            <w:tcBorders>
              <w:tl2br w:val="nil"/>
              <w:tr2bl w:val="nil"/>
            </w:tcBorders>
            <w:shd w:val="clear" w:color="auto" w:fill="auto"/>
            <w:vAlign w:val="center"/>
          </w:tcPr>
          <w:p>
            <w:pPr>
              <w:widowControl/>
              <w:spacing w:line="240" w:lineRule="atLeast"/>
              <w:ind w:firstLine="0" w:firstLineChars="0"/>
              <w:jc w:val="center"/>
              <w:textAlignment w:val="center"/>
              <w:rPr>
                <w:rFonts w:eastAsiaTheme="minorEastAsia"/>
                <w:sz w:val="21"/>
                <w:szCs w:val="21"/>
              </w:rPr>
            </w:pPr>
            <w:r>
              <w:rPr>
                <w:color w:val="000000"/>
                <w:kern w:val="0"/>
                <w:sz w:val="21"/>
                <w:szCs w:val="21"/>
                <w:lang w:bidi="ar"/>
              </w:rPr>
              <w:t xml:space="preserve">3.67 </w:t>
            </w:r>
          </w:p>
        </w:tc>
        <w:tc>
          <w:tcPr>
            <w:tcW w:w="458" w:type="pct"/>
            <w:tcBorders>
              <w:tl2br w:val="nil"/>
              <w:tr2bl w:val="nil"/>
            </w:tcBorders>
            <w:shd w:val="clear" w:color="auto" w:fill="auto"/>
            <w:vAlign w:val="center"/>
          </w:tcPr>
          <w:p>
            <w:pPr>
              <w:widowControl/>
              <w:spacing w:line="240" w:lineRule="atLeast"/>
              <w:ind w:firstLine="0" w:firstLineChars="0"/>
              <w:jc w:val="center"/>
              <w:textAlignment w:val="center"/>
              <w:rPr>
                <w:rFonts w:eastAsiaTheme="minorEastAsia"/>
                <w:sz w:val="21"/>
                <w:szCs w:val="21"/>
              </w:rPr>
            </w:pPr>
            <w:r>
              <w:rPr>
                <w:color w:val="000000"/>
                <w:kern w:val="0"/>
                <w:sz w:val="21"/>
                <w:szCs w:val="21"/>
                <w:lang w:bidi="ar"/>
              </w:rPr>
              <w:t xml:space="preserve">2.75 </w:t>
            </w:r>
          </w:p>
        </w:tc>
        <w:tc>
          <w:tcPr>
            <w:tcW w:w="458" w:type="pct"/>
            <w:tcBorders>
              <w:tl2br w:val="nil"/>
              <w:tr2bl w:val="nil"/>
            </w:tcBorders>
            <w:shd w:val="clear" w:color="auto" w:fill="auto"/>
            <w:vAlign w:val="center"/>
          </w:tcPr>
          <w:p>
            <w:pPr>
              <w:widowControl/>
              <w:spacing w:line="240" w:lineRule="atLeast"/>
              <w:ind w:firstLine="0" w:firstLineChars="0"/>
              <w:jc w:val="center"/>
              <w:textAlignment w:val="center"/>
              <w:rPr>
                <w:rFonts w:eastAsiaTheme="minorEastAsia"/>
                <w:sz w:val="21"/>
                <w:szCs w:val="21"/>
              </w:rPr>
            </w:pPr>
            <w:r>
              <w:rPr>
                <w:color w:val="000000"/>
                <w:kern w:val="0"/>
                <w:sz w:val="21"/>
                <w:szCs w:val="21"/>
                <w:lang w:bidi="ar"/>
              </w:rPr>
              <w:t xml:space="preserve">1.83 </w:t>
            </w:r>
          </w:p>
        </w:tc>
        <w:tc>
          <w:tcPr>
            <w:tcW w:w="458" w:type="pct"/>
            <w:tcBorders>
              <w:tl2br w:val="nil"/>
              <w:tr2bl w:val="nil"/>
            </w:tcBorders>
            <w:shd w:val="clear" w:color="auto" w:fill="auto"/>
            <w:vAlign w:val="center"/>
          </w:tcPr>
          <w:p>
            <w:pPr>
              <w:widowControl/>
              <w:spacing w:line="240" w:lineRule="atLeast"/>
              <w:ind w:firstLine="0" w:firstLineChars="0"/>
              <w:jc w:val="center"/>
              <w:textAlignment w:val="center"/>
              <w:rPr>
                <w:rFonts w:eastAsiaTheme="minorEastAsia"/>
                <w:sz w:val="21"/>
                <w:szCs w:val="21"/>
              </w:rPr>
            </w:pPr>
            <w:r>
              <w:rPr>
                <w:color w:val="000000"/>
                <w:kern w:val="0"/>
                <w:sz w:val="21"/>
                <w:szCs w:val="21"/>
                <w:lang w:bidi="ar"/>
              </w:rPr>
              <w:t xml:space="preserve">0.92 </w:t>
            </w:r>
          </w:p>
        </w:tc>
        <w:tc>
          <w:tcPr>
            <w:tcW w:w="458" w:type="pct"/>
            <w:tcBorders>
              <w:tl2br w:val="nil"/>
              <w:tr2bl w:val="nil"/>
            </w:tcBorders>
            <w:shd w:val="clear" w:color="auto" w:fill="auto"/>
            <w:vAlign w:val="center"/>
          </w:tcPr>
          <w:p>
            <w:pPr>
              <w:widowControl/>
              <w:spacing w:line="240" w:lineRule="atLeast"/>
              <w:ind w:firstLine="0" w:firstLineChars="0"/>
              <w:jc w:val="center"/>
              <w:textAlignment w:val="center"/>
              <w:rPr>
                <w:rFonts w:eastAsiaTheme="minorEastAsia"/>
                <w:sz w:val="21"/>
                <w:szCs w:val="21"/>
              </w:rPr>
            </w:pPr>
            <w:r>
              <w:rPr>
                <w:color w:val="000000"/>
                <w:kern w:val="0"/>
                <w:sz w:val="21"/>
                <w:szCs w:val="21"/>
                <w:lang w:bidi="ar"/>
              </w:rPr>
              <w:t xml:space="preserve">0.92 </w:t>
            </w:r>
          </w:p>
        </w:tc>
        <w:tc>
          <w:tcPr>
            <w:tcW w:w="461" w:type="pct"/>
            <w:tcBorders>
              <w:tl2br w:val="nil"/>
              <w:tr2bl w:val="nil"/>
            </w:tcBorders>
            <w:shd w:val="clear" w:color="auto" w:fill="auto"/>
            <w:vAlign w:val="center"/>
          </w:tcPr>
          <w:p>
            <w:pPr>
              <w:widowControl/>
              <w:spacing w:line="240" w:lineRule="atLeast"/>
              <w:ind w:firstLine="0" w:firstLineChars="0"/>
              <w:jc w:val="center"/>
              <w:textAlignment w:val="center"/>
              <w:rPr>
                <w:rFonts w:eastAsiaTheme="minorEastAsia"/>
                <w:sz w:val="21"/>
                <w:szCs w:val="21"/>
              </w:rPr>
            </w:pPr>
            <w:r>
              <w:rPr>
                <w:color w:val="000000"/>
                <w:kern w:val="0"/>
                <w:sz w:val="21"/>
                <w:szCs w:val="21"/>
                <w:lang w:bidi="ar"/>
              </w:rPr>
              <w:t>100</w:t>
            </w:r>
          </w:p>
        </w:tc>
      </w:tr>
    </w:tbl>
    <w:p>
      <w:pPr>
        <w:ind w:firstLine="482"/>
        <w:rPr>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二、密度和生物量</w:t>
      </w:r>
    </w:p>
    <w:p>
      <w:pPr>
        <w:ind w:firstLine="480"/>
        <w:rPr>
          <w:color w:val="000000" w:themeColor="text1"/>
          <w:kern w:val="0"/>
          <w14:textFill>
            <w14:solidFill>
              <w14:schemeClr w14:val="tx1"/>
            </w14:solidFill>
          </w14:textFill>
        </w:rPr>
      </w:pPr>
      <w:r>
        <w:rPr>
          <w:color w:val="000000" w:themeColor="text1"/>
          <w:kern w:val="0"/>
          <w14:textFill>
            <w14:solidFill>
              <w14:schemeClr w14:val="tx1"/>
            </w14:solidFill>
          </w14:textFill>
        </w:rPr>
        <w:t>根据镜检的浮游植物种类、数量和测量的大小，计算出各调查点位不同浮游植物的密度和生物量，结果见表</w:t>
      </w:r>
      <w:r>
        <w:rPr>
          <w:rFonts w:hint="eastAsia"/>
          <w:color w:val="000000" w:themeColor="text1"/>
          <w:kern w:val="0"/>
          <w14:textFill>
            <w14:solidFill>
              <w14:schemeClr w14:val="tx1"/>
            </w14:solidFill>
          </w14:textFill>
        </w:rPr>
        <w:t>3-30</w:t>
      </w:r>
      <w:r>
        <w:rPr>
          <w:color w:val="000000" w:themeColor="text1"/>
          <w:kern w:val="0"/>
          <w14:textFill>
            <w14:solidFill>
              <w14:schemeClr w14:val="tx1"/>
            </w14:solidFill>
          </w14:textFill>
        </w:rPr>
        <w:t>。调查水域浮游植物平均密度为44.00×10</w:t>
      </w:r>
      <w:r>
        <w:rPr>
          <w:color w:val="000000" w:themeColor="text1"/>
          <w:kern w:val="0"/>
          <w:vertAlign w:val="superscript"/>
          <w14:textFill>
            <w14:solidFill>
              <w14:schemeClr w14:val="tx1"/>
            </w14:solidFill>
          </w14:textFill>
        </w:rPr>
        <w:t>4</w:t>
      </w:r>
      <w:r>
        <w:rPr>
          <w:color w:val="000000" w:themeColor="text1"/>
          <w:kern w:val="0"/>
          <w14:textFill>
            <w14:solidFill>
              <w14:schemeClr w14:val="tx1"/>
            </w14:solidFill>
          </w14:textFill>
        </w:rPr>
        <w:t>ind./L，平均生物量为0.454mg/L。</w:t>
      </w:r>
    </w:p>
    <w:p>
      <w:pPr>
        <w:pStyle w:val="3583"/>
        <w:spacing w:line="240" w:lineRule="auto"/>
        <w:ind w:left="0"/>
        <w:rPr>
          <w:color w:val="000000" w:themeColor="text1"/>
          <w:szCs w:val="21"/>
          <w14:textFill>
            <w14:solidFill>
              <w14:schemeClr w14:val="tx1"/>
            </w14:solidFill>
          </w14:textFill>
        </w:rPr>
      </w:pPr>
      <w:r>
        <w:rPr>
          <w:color w:val="000000" w:themeColor="text1"/>
          <w:szCs w:val="21"/>
          <w14:textFill>
            <w14:solidFill>
              <w14:schemeClr w14:val="tx1"/>
            </w14:solidFill>
          </w14:textFill>
        </w:rPr>
        <w:t xml:space="preserve"> 评价区各调查点位浮游植物密度（×10</w:t>
      </w:r>
      <w:r>
        <w:rPr>
          <w:color w:val="000000" w:themeColor="text1"/>
          <w:szCs w:val="21"/>
          <w:vertAlign w:val="superscript"/>
          <w14:textFill>
            <w14:solidFill>
              <w14:schemeClr w14:val="tx1"/>
            </w14:solidFill>
          </w14:textFill>
        </w:rPr>
        <w:t>4</w:t>
      </w:r>
      <w:r>
        <w:rPr>
          <w:color w:val="000000" w:themeColor="text1"/>
          <w:szCs w:val="21"/>
          <w14:textFill>
            <w14:solidFill>
              <w14:schemeClr w14:val="tx1"/>
            </w14:solidFill>
          </w14:textFill>
        </w:rPr>
        <w:t>ind./L）和生物量（mg/L）</w:t>
      </w:r>
    </w:p>
    <w:tbl>
      <w:tblPr>
        <w:tblStyle w:val="87"/>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905"/>
        <w:gridCol w:w="1048"/>
        <w:gridCol w:w="915"/>
        <w:gridCol w:w="915"/>
        <w:gridCol w:w="915"/>
        <w:gridCol w:w="915"/>
        <w:gridCol w:w="915"/>
        <w:gridCol w:w="915"/>
        <w:gridCol w:w="915"/>
        <w:gridCol w:w="92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051" w:type="pct"/>
            <w:gridSpan w:val="2"/>
            <w:vMerge w:val="restart"/>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种类</w:t>
            </w:r>
          </w:p>
        </w:tc>
        <w:tc>
          <w:tcPr>
            <w:tcW w:w="1479" w:type="pct"/>
            <w:gridSpan w:val="3"/>
            <w:shd w:val="clear" w:color="auto" w:fill="auto"/>
            <w:vAlign w:val="bottom"/>
          </w:tcPr>
          <w:p>
            <w:pPr>
              <w:widowControl/>
              <w:spacing w:line="240" w:lineRule="auto"/>
              <w:ind w:firstLine="0" w:firstLineChars="0"/>
              <w:jc w:val="center"/>
              <w:textAlignment w:val="bottom"/>
              <w:rPr>
                <w:b/>
                <w:bCs/>
                <w:color w:val="000000"/>
                <w:kern w:val="0"/>
                <w:sz w:val="21"/>
                <w:szCs w:val="21"/>
                <w:lang w:bidi="ar"/>
              </w:rPr>
            </w:pPr>
            <w:r>
              <w:rPr>
                <w:b/>
                <w:bCs/>
                <w:color w:val="000000"/>
                <w:kern w:val="0"/>
                <w:sz w:val="21"/>
                <w:szCs w:val="21"/>
                <w:lang w:bidi="ar"/>
              </w:rPr>
              <w:t>2022年11月</w:t>
            </w:r>
          </w:p>
        </w:tc>
        <w:tc>
          <w:tcPr>
            <w:tcW w:w="1972" w:type="pct"/>
            <w:gridSpan w:val="4"/>
            <w:shd w:val="clear" w:color="auto" w:fill="auto"/>
            <w:vAlign w:val="center"/>
          </w:tcPr>
          <w:p>
            <w:pPr>
              <w:widowControl/>
              <w:spacing w:line="240" w:lineRule="auto"/>
              <w:ind w:firstLine="0" w:firstLineChars="0"/>
              <w:jc w:val="center"/>
              <w:textAlignment w:val="center"/>
              <w:rPr>
                <w:b/>
                <w:bCs/>
                <w:color w:val="000000"/>
                <w:kern w:val="0"/>
                <w:sz w:val="21"/>
                <w:szCs w:val="21"/>
                <w:lang w:bidi="ar"/>
              </w:rPr>
            </w:pPr>
            <w:r>
              <w:rPr>
                <w:b/>
                <w:bCs/>
                <w:color w:val="000000"/>
                <w:kern w:val="0"/>
                <w:sz w:val="21"/>
                <w:szCs w:val="21"/>
                <w:lang w:bidi="ar"/>
              </w:rPr>
              <w:t>2021年6月</w:t>
            </w:r>
          </w:p>
        </w:tc>
        <w:tc>
          <w:tcPr>
            <w:tcW w:w="497" w:type="pct"/>
            <w:vMerge w:val="restart"/>
            <w:tcBorders>
              <w:bottom w:val="single" w:color="000000" w:sz="12" w:space="0"/>
            </w:tcBorders>
            <w:shd w:val="clear" w:color="auto" w:fill="auto"/>
            <w:vAlign w:val="center"/>
          </w:tcPr>
          <w:p>
            <w:pPr>
              <w:widowControl/>
              <w:spacing w:line="240" w:lineRule="auto"/>
              <w:ind w:firstLine="0" w:firstLineChars="0"/>
              <w:jc w:val="center"/>
              <w:textAlignment w:val="bottom"/>
              <w:rPr>
                <w:b/>
                <w:bCs/>
                <w:color w:val="000000"/>
                <w:sz w:val="21"/>
                <w:szCs w:val="21"/>
              </w:rPr>
            </w:pPr>
            <w:r>
              <w:rPr>
                <w:b/>
                <w:bCs/>
                <w:color w:val="000000"/>
                <w:kern w:val="0"/>
                <w:sz w:val="21"/>
                <w:szCs w:val="21"/>
                <w:lang w:bidi="ar"/>
              </w:rPr>
              <w:t>平均值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7" w:hRule="atLeast"/>
        </w:trPr>
        <w:tc>
          <w:tcPr>
            <w:tcW w:w="1051" w:type="pct"/>
            <w:gridSpan w:val="2"/>
            <w:vMerge w:val="continue"/>
            <w:tcBorders>
              <w:bottom w:val="single" w:color="000000" w:sz="12" w:space="0"/>
            </w:tcBorders>
            <w:shd w:val="clear" w:color="auto" w:fill="auto"/>
            <w:vAlign w:val="center"/>
          </w:tcPr>
          <w:p>
            <w:pPr>
              <w:widowControl/>
              <w:spacing w:line="240" w:lineRule="auto"/>
              <w:ind w:firstLine="0" w:firstLineChars="0"/>
              <w:jc w:val="center"/>
              <w:rPr>
                <w:b/>
                <w:bCs/>
                <w:color w:val="000000"/>
                <w:sz w:val="21"/>
                <w:szCs w:val="21"/>
              </w:rPr>
            </w:pPr>
          </w:p>
        </w:tc>
        <w:tc>
          <w:tcPr>
            <w:tcW w:w="493" w:type="pct"/>
            <w:tcBorders>
              <w:bottom w:val="single" w:color="000000" w:sz="12" w:space="0"/>
            </w:tcBorders>
            <w:shd w:val="clear" w:color="auto" w:fill="auto"/>
            <w:vAlign w:val="bottom"/>
          </w:tcPr>
          <w:p>
            <w:pPr>
              <w:widowControl/>
              <w:spacing w:line="240" w:lineRule="auto"/>
              <w:ind w:firstLine="0" w:firstLineChars="0"/>
              <w:jc w:val="center"/>
              <w:textAlignment w:val="bottom"/>
              <w:rPr>
                <w:b/>
                <w:bCs/>
                <w:color w:val="000000"/>
                <w:sz w:val="21"/>
                <w:szCs w:val="21"/>
              </w:rPr>
            </w:pPr>
            <w:r>
              <w:rPr>
                <w:b/>
                <w:bCs/>
                <w:color w:val="000000"/>
                <w:kern w:val="0"/>
                <w:sz w:val="21"/>
                <w:szCs w:val="21"/>
                <w:lang w:bidi="ar"/>
              </w:rPr>
              <w:t>A1</w:t>
            </w:r>
          </w:p>
        </w:tc>
        <w:tc>
          <w:tcPr>
            <w:tcW w:w="493" w:type="pct"/>
            <w:tcBorders>
              <w:bottom w:val="single" w:color="000000" w:sz="12" w:space="0"/>
            </w:tcBorders>
            <w:shd w:val="clear" w:color="auto" w:fill="auto"/>
            <w:vAlign w:val="bottom"/>
          </w:tcPr>
          <w:p>
            <w:pPr>
              <w:widowControl/>
              <w:spacing w:line="240" w:lineRule="auto"/>
              <w:ind w:firstLine="0" w:firstLineChars="0"/>
              <w:jc w:val="center"/>
              <w:textAlignment w:val="bottom"/>
              <w:rPr>
                <w:b/>
                <w:bCs/>
                <w:color w:val="000000"/>
                <w:sz w:val="21"/>
                <w:szCs w:val="21"/>
              </w:rPr>
            </w:pPr>
            <w:r>
              <w:rPr>
                <w:b/>
                <w:bCs/>
                <w:color w:val="000000"/>
                <w:kern w:val="0"/>
                <w:sz w:val="21"/>
                <w:szCs w:val="21"/>
                <w:lang w:bidi="ar"/>
              </w:rPr>
              <w:t>A2</w:t>
            </w:r>
          </w:p>
        </w:tc>
        <w:tc>
          <w:tcPr>
            <w:tcW w:w="493" w:type="pct"/>
            <w:tcBorders>
              <w:bottom w:val="single" w:color="000000" w:sz="12" w:space="0"/>
            </w:tcBorders>
            <w:shd w:val="clear" w:color="auto" w:fill="auto"/>
            <w:vAlign w:val="bottom"/>
          </w:tcPr>
          <w:p>
            <w:pPr>
              <w:widowControl/>
              <w:spacing w:line="240" w:lineRule="auto"/>
              <w:ind w:firstLine="0" w:firstLineChars="0"/>
              <w:jc w:val="center"/>
              <w:textAlignment w:val="bottom"/>
              <w:rPr>
                <w:b/>
                <w:bCs/>
                <w:color w:val="000000"/>
                <w:sz w:val="21"/>
                <w:szCs w:val="21"/>
              </w:rPr>
            </w:pPr>
            <w:r>
              <w:rPr>
                <w:b/>
                <w:bCs/>
                <w:color w:val="000000"/>
                <w:kern w:val="0"/>
                <w:sz w:val="21"/>
                <w:szCs w:val="21"/>
                <w:lang w:bidi="ar"/>
              </w:rPr>
              <w:t>A3</w:t>
            </w:r>
          </w:p>
        </w:tc>
        <w:tc>
          <w:tcPr>
            <w:tcW w:w="493" w:type="pct"/>
            <w:tcBorders>
              <w:bottom w:val="single" w:color="000000" w:sz="12" w:space="0"/>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B1</w:t>
            </w:r>
          </w:p>
        </w:tc>
        <w:tc>
          <w:tcPr>
            <w:tcW w:w="493" w:type="pct"/>
            <w:tcBorders>
              <w:bottom w:val="single" w:color="000000" w:sz="12" w:space="0"/>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B2</w:t>
            </w:r>
          </w:p>
        </w:tc>
        <w:tc>
          <w:tcPr>
            <w:tcW w:w="493" w:type="pct"/>
            <w:tcBorders>
              <w:bottom w:val="single" w:color="000000" w:sz="12" w:space="0"/>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B3</w:t>
            </w:r>
          </w:p>
        </w:tc>
        <w:tc>
          <w:tcPr>
            <w:tcW w:w="493" w:type="pct"/>
            <w:tcBorders>
              <w:bottom w:val="single" w:color="000000" w:sz="12" w:space="0"/>
            </w:tcBorders>
            <w:shd w:val="clear" w:color="auto" w:fill="auto"/>
          </w:tcPr>
          <w:p>
            <w:pPr>
              <w:widowControl/>
              <w:spacing w:line="240" w:lineRule="auto"/>
              <w:ind w:firstLine="0" w:firstLineChars="0"/>
              <w:jc w:val="center"/>
              <w:textAlignment w:val="top"/>
              <w:rPr>
                <w:b/>
                <w:bCs/>
                <w:color w:val="000000"/>
                <w:sz w:val="21"/>
                <w:szCs w:val="21"/>
              </w:rPr>
            </w:pPr>
            <w:r>
              <w:rPr>
                <w:b/>
                <w:bCs/>
                <w:color w:val="000000"/>
                <w:kern w:val="0"/>
                <w:sz w:val="21"/>
                <w:szCs w:val="21"/>
                <w:lang w:bidi="ar"/>
              </w:rPr>
              <w:t>B4</w:t>
            </w:r>
          </w:p>
        </w:tc>
        <w:tc>
          <w:tcPr>
            <w:tcW w:w="497" w:type="pct"/>
            <w:vMerge w:val="continue"/>
            <w:tcBorders>
              <w:top w:val="single" w:color="000000" w:sz="12" w:space="0"/>
              <w:bottom w:val="single" w:color="000000" w:sz="12" w:space="0"/>
              <w:tl2br w:val="nil"/>
              <w:tr2bl w:val="nil"/>
            </w:tcBorders>
            <w:shd w:val="clear" w:color="auto" w:fill="auto"/>
            <w:vAlign w:val="bottom"/>
          </w:tcPr>
          <w:p>
            <w:pPr>
              <w:widowControl/>
              <w:spacing w:line="240" w:lineRule="auto"/>
              <w:ind w:firstLine="0" w:firstLineChars="0"/>
              <w:jc w:val="center"/>
              <w:rPr>
                <w:b/>
                <w:bCs/>
                <w:color w:val="000000"/>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87" w:type="pct"/>
            <w:vMerge w:val="restar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蓝藻门</w:t>
            </w:r>
          </w:p>
        </w:tc>
        <w:tc>
          <w:tcPr>
            <w:tcW w:w="564" w:type="pct"/>
            <w:tcBorders>
              <w:top w:val="single" w:color="000000" w:sz="12" w:space="0"/>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密度</w:t>
            </w:r>
          </w:p>
        </w:tc>
        <w:tc>
          <w:tcPr>
            <w:tcW w:w="493" w:type="pct"/>
            <w:tcBorders>
              <w:top w:val="single" w:color="000000" w:sz="12" w:space="0"/>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12.00</w:t>
            </w:r>
          </w:p>
        </w:tc>
        <w:tc>
          <w:tcPr>
            <w:tcW w:w="493" w:type="pct"/>
            <w:tcBorders>
              <w:top w:val="single" w:color="000000" w:sz="12" w:space="0"/>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6.74</w:t>
            </w:r>
          </w:p>
        </w:tc>
        <w:tc>
          <w:tcPr>
            <w:tcW w:w="493" w:type="pct"/>
            <w:tcBorders>
              <w:top w:val="single" w:color="000000" w:sz="12" w:space="0"/>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4.80</w:t>
            </w:r>
          </w:p>
        </w:tc>
        <w:tc>
          <w:tcPr>
            <w:tcW w:w="493" w:type="pct"/>
            <w:tcBorders>
              <w:top w:val="single" w:color="000000" w:sz="12" w:space="0"/>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33.15</w:t>
            </w:r>
          </w:p>
        </w:tc>
        <w:tc>
          <w:tcPr>
            <w:tcW w:w="493" w:type="pct"/>
            <w:tcBorders>
              <w:top w:val="single" w:color="000000" w:sz="12" w:space="0"/>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30.05</w:t>
            </w:r>
          </w:p>
        </w:tc>
        <w:tc>
          <w:tcPr>
            <w:tcW w:w="493" w:type="pct"/>
            <w:tcBorders>
              <w:top w:val="single" w:color="000000" w:sz="12" w:space="0"/>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27.20</w:t>
            </w:r>
          </w:p>
        </w:tc>
        <w:tc>
          <w:tcPr>
            <w:tcW w:w="493" w:type="pct"/>
            <w:tcBorders>
              <w:top w:val="single" w:color="000000" w:sz="12" w:space="0"/>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30.55</w:t>
            </w:r>
          </w:p>
        </w:tc>
        <w:tc>
          <w:tcPr>
            <w:tcW w:w="497" w:type="pct"/>
            <w:tcBorders>
              <w:top w:val="single" w:color="000000" w:sz="12" w:space="0"/>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 xml:space="preserve">20.64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487" w:type="pct"/>
            <w:vMerge w:val="continue"/>
            <w:tcBorders>
              <w:tl2br w:val="nil"/>
              <w:tr2bl w:val="nil"/>
            </w:tcBorders>
            <w:shd w:val="clear" w:color="auto" w:fill="auto"/>
            <w:vAlign w:val="center"/>
          </w:tcPr>
          <w:p>
            <w:pPr>
              <w:widowControl/>
              <w:spacing w:line="240" w:lineRule="auto"/>
              <w:ind w:firstLine="0" w:firstLineChars="0"/>
              <w:jc w:val="center"/>
              <w:rPr>
                <w:b/>
                <w:bCs/>
                <w:color w:val="000000"/>
                <w:sz w:val="21"/>
                <w:szCs w:val="21"/>
              </w:rPr>
            </w:pPr>
          </w:p>
        </w:tc>
        <w:tc>
          <w:tcPr>
            <w:tcW w:w="564"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生物量</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0.013</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0.003</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0.004</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0.476</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0.406</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0.518</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0.396</w:t>
            </w:r>
          </w:p>
        </w:tc>
        <w:tc>
          <w:tcPr>
            <w:tcW w:w="497"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rFonts w:hint="eastAsia"/>
                <w:color w:val="000000"/>
                <w:sz w:val="22"/>
              </w:rPr>
              <w:t>0.259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87" w:type="pct"/>
            <w:vMerge w:val="restart"/>
            <w:tcBorders>
              <w:tl2br w:val="nil"/>
              <w:tr2bl w:val="nil"/>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硅藻门</w:t>
            </w:r>
          </w:p>
        </w:tc>
        <w:tc>
          <w:tcPr>
            <w:tcW w:w="564"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密度</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1.72</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8.68</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28.63</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8.30</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0.75</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0.45</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38.00</w:t>
            </w:r>
          </w:p>
        </w:tc>
        <w:tc>
          <w:tcPr>
            <w:tcW w:w="497"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 xml:space="preserve">12.36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487" w:type="pct"/>
            <w:vMerge w:val="continue"/>
            <w:tcBorders>
              <w:tl2br w:val="nil"/>
              <w:tr2bl w:val="nil"/>
            </w:tcBorders>
            <w:shd w:val="clear" w:color="auto" w:fill="auto"/>
            <w:vAlign w:val="center"/>
          </w:tcPr>
          <w:p>
            <w:pPr>
              <w:widowControl/>
              <w:spacing w:line="240" w:lineRule="auto"/>
              <w:ind w:firstLine="0" w:firstLineChars="0"/>
              <w:jc w:val="center"/>
              <w:rPr>
                <w:b/>
                <w:bCs/>
                <w:color w:val="000000"/>
                <w:sz w:val="21"/>
                <w:szCs w:val="21"/>
              </w:rPr>
            </w:pPr>
          </w:p>
        </w:tc>
        <w:tc>
          <w:tcPr>
            <w:tcW w:w="564"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生物量</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0.016</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0.072</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0.228</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0.011</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0.011</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0.016</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0.126</w:t>
            </w:r>
          </w:p>
        </w:tc>
        <w:tc>
          <w:tcPr>
            <w:tcW w:w="497"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 xml:space="preserve">0.068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87" w:type="pct"/>
            <w:vMerge w:val="restart"/>
            <w:tcBorders>
              <w:tl2br w:val="nil"/>
              <w:tr2bl w:val="nil"/>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绿藻门</w:t>
            </w:r>
          </w:p>
        </w:tc>
        <w:tc>
          <w:tcPr>
            <w:tcW w:w="564"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密度</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2.25</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0.34</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0.96</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17.50</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11.50</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13.80</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19.40</w:t>
            </w:r>
          </w:p>
        </w:tc>
        <w:tc>
          <w:tcPr>
            <w:tcW w:w="497"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 xml:space="preserve">9.39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487" w:type="pct"/>
            <w:vMerge w:val="continue"/>
            <w:tcBorders>
              <w:tl2br w:val="nil"/>
              <w:tr2bl w:val="nil"/>
            </w:tcBorders>
            <w:shd w:val="clear" w:color="auto" w:fill="auto"/>
            <w:vAlign w:val="center"/>
          </w:tcPr>
          <w:p>
            <w:pPr>
              <w:widowControl/>
              <w:spacing w:line="240" w:lineRule="auto"/>
              <w:ind w:firstLine="0" w:firstLineChars="0"/>
              <w:jc w:val="center"/>
              <w:rPr>
                <w:b/>
                <w:bCs/>
                <w:color w:val="000000"/>
                <w:sz w:val="21"/>
                <w:szCs w:val="21"/>
              </w:rPr>
            </w:pPr>
          </w:p>
        </w:tc>
        <w:tc>
          <w:tcPr>
            <w:tcW w:w="564"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生物量</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0.004</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0.001</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0.001</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0.096</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0.066</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0.066</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0.164</w:t>
            </w:r>
          </w:p>
        </w:tc>
        <w:tc>
          <w:tcPr>
            <w:tcW w:w="497"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 xml:space="preserve">0.057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87" w:type="pct"/>
            <w:vMerge w:val="restart"/>
            <w:tcBorders>
              <w:tl2br w:val="nil"/>
              <w:tr2bl w:val="nil"/>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其他门</w:t>
            </w:r>
          </w:p>
        </w:tc>
        <w:tc>
          <w:tcPr>
            <w:tcW w:w="564"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密度</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5.13</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2.91</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2.29</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0.30</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0.15</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0.20</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0.22</w:t>
            </w:r>
          </w:p>
        </w:tc>
        <w:tc>
          <w:tcPr>
            <w:tcW w:w="497"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 xml:space="preserve">1.60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487" w:type="pct"/>
            <w:vMerge w:val="continue"/>
            <w:tcBorders>
              <w:tl2br w:val="nil"/>
              <w:tr2bl w:val="nil"/>
            </w:tcBorders>
            <w:shd w:val="clear" w:color="auto" w:fill="auto"/>
            <w:vAlign w:val="center"/>
          </w:tcPr>
          <w:p>
            <w:pPr>
              <w:widowControl/>
              <w:spacing w:line="240" w:lineRule="auto"/>
              <w:ind w:firstLine="0" w:firstLineChars="0"/>
              <w:jc w:val="center"/>
              <w:rPr>
                <w:b/>
                <w:bCs/>
                <w:color w:val="000000"/>
                <w:sz w:val="21"/>
                <w:szCs w:val="21"/>
              </w:rPr>
            </w:pPr>
          </w:p>
        </w:tc>
        <w:tc>
          <w:tcPr>
            <w:tcW w:w="564"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生物量</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0.106</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0.068</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0.051</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0.057</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0.051</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0.100</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0.053</w:t>
            </w:r>
          </w:p>
        </w:tc>
        <w:tc>
          <w:tcPr>
            <w:tcW w:w="497"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 xml:space="preserve">0.069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87" w:type="pct"/>
            <w:vMerge w:val="restart"/>
            <w:tcBorders>
              <w:tl2br w:val="nil"/>
              <w:tr2bl w:val="nil"/>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合计</w:t>
            </w:r>
          </w:p>
        </w:tc>
        <w:tc>
          <w:tcPr>
            <w:tcW w:w="564"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密度</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21.10</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18.67</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36.68</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59.25</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42.45</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41.65</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88.17</w:t>
            </w:r>
          </w:p>
        </w:tc>
        <w:tc>
          <w:tcPr>
            <w:tcW w:w="497"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 xml:space="preserve">44.00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87" w:type="pct"/>
            <w:vMerge w:val="continue"/>
            <w:tcBorders>
              <w:tl2br w:val="nil"/>
              <w:tr2bl w:val="nil"/>
            </w:tcBorders>
            <w:shd w:val="clear" w:color="auto" w:fill="auto"/>
            <w:vAlign w:val="center"/>
          </w:tcPr>
          <w:p>
            <w:pPr>
              <w:widowControl/>
              <w:spacing w:line="240" w:lineRule="auto"/>
              <w:ind w:firstLine="0" w:firstLineChars="0"/>
              <w:jc w:val="center"/>
              <w:rPr>
                <w:b/>
                <w:bCs/>
                <w:color w:val="000000"/>
                <w:sz w:val="21"/>
                <w:szCs w:val="21"/>
              </w:rPr>
            </w:pPr>
          </w:p>
        </w:tc>
        <w:tc>
          <w:tcPr>
            <w:tcW w:w="564"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生物量</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0.138</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0.144</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0.284</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0.64</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0.534</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0.700</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0.739</w:t>
            </w:r>
          </w:p>
        </w:tc>
        <w:tc>
          <w:tcPr>
            <w:tcW w:w="497"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2"/>
              </w:rPr>
            </w:pPr>
            <w:r>
              <w:rPr>
                <w:color w:val="000000"/>
                <w:kern w:val="0"/>
                <w:sz w:val="22"/>
                <w:lang w:bidi="ar"/>
              </w:rPr>
              <w:t xml:space="preserve">0.454 </w:t>
            </w:r>
          </w:p>
        </w:tc>
      </w:tr>
    </w:tbl>
    <w:p>
      <w:pPr>
        <w:ind w:firstLine="482"/>
        <w:rPr>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三、生物多样性</w:t>
      </w:r>
    </w:p>
    <w:p>
      <w:pPr>
        <w:ind w:firstLine="480"/>
      </w:pPr>
      <w:r>
        <w:t>生物多样性是生态系统中生物组成和结构的重要指标，它不仅反映生物群落的组织化水平，而且可以通过结构与功能的关系反映群落的本质属性。生物多样性采用Shannon-Wiener指数计算公式，评价区浮游植物多样性指数见表</w:t>
      </w:r>
      <w:r>
        <w:rPr>
          <w:rFonts w:hint="eastAsia"/>
        </w:rPr>
        <w:t>3-31</w:t>
      </w:r>
      <w:r>
        <w:t>。</w:t>
      </w:r>
    </w:p>
    <w:p>
      <w:pPr>
        <w:pStyle w:val="3583"/>
        <w:spacing w:line="240" w:lineRule="auto"/>
        <w:ind w:left="0"/>
      </w:pPr>
      <w:r>
        <w:rPr>
          <w:szCs w:val="18"/>
        </w:rPr>
        <w:t>评价区浮游植物生物</w:t>
      </w:r>
      <w:r>
        <w:t>多样性</w:t>
      </w:r>
      <w:r>
        <w:rPr>
          <w:szCs w:val="18"/>
        </w:rPr>
        <w:t>指数（Shannon指数</w:t>
      </w:r>
      <w:r>
        <w:rPr>
          <w:bCs/>
          <w:szCs w:val="18"/>
        </w:rPr>
        <w:t>Hˊ</w:t>
      </w:r>
      <w:r>
        <w:rPr>
          <w:szCs w:val="18"/>
        </w:rPr>
        <w:t>）</w:t>
      </w:r>
    </w:p>
    <w:tbl>
      <w:tblPr>
        <w:tblStyle w:val="87"/>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24"/>
        <w:gridCol w:w="943"/>
        <w:gridCol w:w="906"/>
        <w:gridCol w:w="897"/>
        <w:gridCol w:w="897"/>
        <w:gridCol w:w="897"/>
        <w:gridCol w:w="912"/>
        <w:gridCol w:w="954"/>
        <w:gridCol w:w="9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37" w:type="pct"/>
            <w:vMerge w:val="restart"/>
            <w:tcBorders>
              <w:tl2br w:val="nil"/>
              <w:tr2bl w:val="nil"/>
            </w:tcBorders>
            <w:shd w:val="clear" w:color="auto" w:fill="auto"/>
            <w:vAlign w:val="center"/>
          </w:tcPr>
          <w:p>
            <w:pPr>
              <w:spacing w:line="240" w:lineRule="auto"/>
              <w:ind w:firstLine="0" w:firstLineChars="0"/>
              <w:jc w:val="center"/>
              <w:rPr>
                <w:bCs/>
                <w:sz w:val="21"/>
                <w:szCs w:val="21"/>
              </w:rPr>
            </w:pPr>
            <w:r>
              <w:rPr>
                <w:bCs/>
                <w:sz w:val="21"/>
                <w:szCs w:val="21"/>
              </w:rPr>
              <w:t>生物多样性指数Hˊ</w:t>
            </w:r>
          </w:p>
        </w:tc>
        <w:tc>
          <w:tcPr>
            <w:tcW w:w="1479" w:type="pct"/>
            <w:gridSpan w:val="3"/>
            <w:tcBorders>
              <w:tl2br w:val="nil"/>
              <w:tr2bl w:val="nil"/>
            </w:tcBorders>
            <w:shd w:val="clear" w:color="auto" w:fill="auto"/>
          </w:tcPr>
          <w:p>
            <w:pPr>
              <w:spacing w:line="240" w:lineRule="auto"/>
              <w:ind w:firstLine="0" w:firstLineChars="0"/>
              <w:jc w:val="center"/>
              <w:rPr>
                <w:b/>
                <w:sz w:val="21"/>
                <w:szCs w:val="21"/>
              </w:rPr>
            </w:pPr>
            <w:r>
              <w:rPr>
                <w:b/>
                <w:color w:val="000000"/>
                <w:kern w:val="0"/>
                <w:sz w:val="21"/>
                <w:szCs w:val="21"/>
                <w:lang w:bidi="ar"/>
              </w:rPr>
              <w:t>2022年11月</w:t>
            </w:r>
          </w:p>
        </w:tc>
        <w:tc>
          <w:tcPr>
            <w:tcW w:w="1971" w:type="pct"/>
            <w:gridSpan w:val="4"/>
            <w:tcBorders>
              <w:tl2br w:val="nil"/>
              <w:tr2bl w:val="nil"/>
            </w:tcBorders>
            <w:shd w:val="clear" w:color="auto" w:fill="auto"/>
          </w:tcPr>
          <w:p>
            <w:pPr>
              <w:spacing w:line="240" w:lineRule="auto"/>
              <w:ind w:firstLine="0" w:firstLineChars="0"/>
              <w:jc w:val="center"/>
              <w:rPr>
                <w:b/>
                <w:sz w:val="21"/>
                <w:szCs w:val="21"/>
              </w:rPr>
            </w:pPr>
            <w:r>
              <w:rPr>
                <w:b/>
                <w:color w:val="000000"/>
                <w:kern w:val="0"/>
                <w:sz w:val="21"/>
                <w:szCs w:val="21"/>
                <w:lang w:bidi="ar"/>
              </w:rPr>
              <w:t>2021年6月</w:t>
            </w:r>
          </w:p>
        </w:tc>
        <w:tc>
          <w:tcPr>
            <w:tcW w:w="511" w:type="pct"/>
            <w:vMerge w:val="restart"/>
            <w:tcBorders>
              <w:tl2br w:val="nil"/>
              <w:tr2bl w:val="nil"/>
            </w:tcBorders>
            <w:shd w:val="clear" w:color="auto" w:fill="auto"/>
            <w:vAlign w:val="center"/>
          </w:tcPr>
          <w:p>
            <w:pPr>
              <w:spacing w:line="240" w:lineRule="auto"/>
              <w:ind w:firstLine="0" w:firstLineChars="0"/>
              <w:rPr>
                <w:b/>
                <w:sz w:val="21"/>
                <w:szCs w:val="21"/>
              </w:rPr>
            </w:pPr>
            <w:r>
              <w:rPr>
                <w:b/>
                <w:sz w:val="21"/>
                <w:szCs w:val="21"/>
              </w:rPr>
              <w:t>平均值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037" w:type="pct"/>
            <w:vMerge w:val="continue"/>
            <w:tcBorders>
              <w:tl2br w:val="nil"/>
              <w:tr2bl w:val="nil"/>
            </w:tcBorders>
            <w:shd w:val="clear" w:color="auto" w:fill="auto"/>
            <w:vAlign w:val="center"/>
          </w:tcPr>
          <w:p>
            <w:pPr>
              <w:spacing w:line="240" w:lineRule="auto"/>
              <w:ind w:firstLine="420"/>
              <w:jc w:val="center"/>
              <w:rPr>
                <w:sz w:val="21"/>
                <w:szCs w:val="21"/>
              </w:rPr>
            </w:pPr>
          </w:p>
        </w:tc>
        <w:tc>
          <w:tcPr>
            <w:tcW w:w="508" w:type="pct"/>
            <w:tcBorders>
              <w:bottom w:val="single" w:color="auto" w:sz="12" w:space="0"/>
              <w:tl2br w:val="nil"/>
              <w:tr2bl w:val="nil"/>
            </w:tcBorders>
            <w:shd w:val="clear" w:color="auto" w:fill="auto"/>
            <w:vAlign w:val="center"/>
          </w:tcPr>
          <w:p>
            <w:pPr>
              <w:widowControl/>
              <w:spacing w:line="240" w:lineRule="auto"/>
              <w:ind w:firstLine="0" w:firstLineChars="0"/>
              <w:jc w:val="center"/>
              <w:textAlignment w:val="center"/>
              <w:rPr>
                <w:b/>
                <w:color w:val="000000"/>
                <w:sz w:val="21"/>
                <w:szCs w:val="21"/>
              </w:rPr>
            </w:pPr>
            <w:r>
              <w:rPr>
                <w:b/>
                <w:color w:val="000000"/>
                <w:sz w:val="21"/>
                <w:szCs w:val="21"/>
              </w:rPr>
              <w:t>A1</w:t>
            </w:r>
          </w:p>
        </w:tc>
        <w:tc>
          <w:tcPr>
            <w:tcW w:w="488" w:type="pct"/>
            <w:tcBorders>
              <w:bottom w:val="single" w:color="auto" w:sz="12" w:space="0"/>
              <w:tl2br w:val="nil"/>
              <w:tr2bl w:val="nil"/>
            </w:tcBorders>
            <w:shd w:val="clear" w:color="auto" w:fill="auto"/>
            <w:vAlign w:val="center"/>
          </w:tcPr>
          <w:p>
            <w:pPr>
              <w:widowControl/>
              <w:spacing w:line="240" w:lineRule="auto"/>
              <w:ind w:firstLine="0" w:firstLineChars="0"/>
              <w:jc w:val="center"/>
              <w:textAlignment w:val="center"/>
              <w:rPr>
                <w:b/>
                <w:color w:val="000000"/>
                <w:sz w:val="21"/>
                <w:szCs w:val="21"/>
              </w:rPr>
            </w:pPr>
            <w:r>
              <w:rPr>
                <w:b/>
                <w:color w:val="000000"/>
                <w:sz w:val="21"/>
                <w:szCs w:val="21"/>
              </w:rPr>
              <w:t>A2</w:t>
            </w:r>
          </w:p>
        </w:tc>
        <w:tc>
          <w:tcPr>
            <w:tcW w:w="483" w:type="pct"/>
            <w:tcBorders>
              <w:bottom w:val="single" w:color="auto" w:sz="12" w:space="0"/>
              <w:tl2br w:val="nil"/>
              <w:tr2bl w:val="nil"/>
            </w:tcBorders>
            <w:shd w:val="clear" w:color="auto" w:fill="auto"/>
            <w:vAlign w:val="center"/>
          </w:tcPr>
          <w:p>
            <w:pPr>
              <w:widowControl/>
              <w:spacing w:line="240" w:lineRule="auto"/>
              <w:ind w:firstLine="0" w:firstLineChars="0"/>
              <w:jc w:val="center"/>
              <w:textAlignment w:val="center"/>
              <w:rPr>
                <w:b/>
                <w:color w:val="000000"/>
                <w:sz w:val="21"/>
                <w:szCs w:val="21"/>
              </w:rPr>
            </w:pPr>
            <w:r>
              <w:rPr>
                <w:b/>
                <w:color w:val="000000"/>
                <w:sz w:val="21"/>
                <w:szCs w:val="21"/>
              </w:rPr>
              <w:t>A3</w:t>
            </w:r>
          </w:p>
        </w:tc>
        <w:tc>
          <w:tcPr>
            <w:tcW w:w="483" w:type="pct"/>
            <w:tcBorders>
              <w:bottom w:val="single" w:color="auto" w:sz="12" w:space="0"/>
              <w:tl2br w:val="nil"/>
              <w:tr2bl w:val="nil"/>
            </w:tcBorders>
            <w:shd w:val="clear" w:color="auto" w:fill="auto"/>
            <w:vAlign w:val="center"/>
          </w:tcPr>
          <w:p>
            <w:pPr>
              <w:widowControl/>
              <w:spacing w:line="240" w:lineRule="auto"/>
              <w:ind w:firstLine="0" w:firstLineChars="0"/>
              <w:jc w:val="center"/>
              <w:textAlignment w:val="center"/>
              <w:rPr>
                <w:b/>
                <w:color w:val="000000"/>
                <w:sz w:val="21"/>
                <w:szCs w:val="21"/>
              </w:rPr>
            </w:pPr>
            <w:r>
              <w:rPr>
                <w:b/>
                <w:color w:val="000000"/>
                <w:sz w:val="21"/>
                <w:szCs w:val="21"/>
              </w:rPr>
              <w:t>B1</w:t>
            </w:r>
          </w:p>
        </w:tc>
        <w:tc>
          <w:tcPr>
            <w:tcW w:w="483" w:type="pct"/>
            <w:tcBorders>
              <w:bottom w:val="single" w:color="auto" w:sz="12" w:space="0"/>
              <w:tl2br w:val="nil"/>
              <w:tr2bl w:val="nil"/>
            </w:tcBorders>
            <w:shd w:val="clear" w:color="auto" w:fill="auto"/>
            <w:vAlign w:val="center"/>
          </w:tcPr>
          <w:p>
            <w:pPr>
              <w:widowControl/>
              <w:spacing w:line="240" w:lineRule="auto"/>
              <w:ind w:firstLine="0" w:firstLineChars="0"/>
              <w:jc w:val="center"/>
              <w:textAlignment w:val="center"/>
              <w:rPr>
                <w:b/>
                <w:color w:val="000000"/>
                <w:sz w:val="21"/>
                <w:szCs w:val="21"/>
              </w:rPr>
            </w:pPr>
            <w:r>
              <w:rPr>
                <w:b/>
                <w:color w:val="000000"/>
                <w:sz w:val="21"/>
                <w:szCs w:val="21"/>
              </w:rPr>
              <w:t>B2</w:t>
            </w:r>
          </w:p>
        </w:tc>
        <w:tc>
          <w:tcPr>
            <w:tcW w:w="491" w:type="pct"/>
            <w:tcBorders>
              <w:bottom w:val="single" w:color="auto" w:sz="12" w:space="0"/>
              <w:tl2br w:val="nil"/>
              <w:tr2bl w:val="nil"/>
            </w:tcBorders>
            <w:shd w:val="clear" w:color="auto" w:fill="auto"/>
            <w:vAlign w:val="center"/>
          </w:tcPr>
          <w:p>
            <w:pPr>
              <w:widowControl/>
              <w:spacing w:line="240" w:lineRule="auto"/>
              <w:ind w:firstLine="0" w:firstLineChars="0"/>
              <w:jc w:val="center"/>
              <w:textAlignment w:val="center"/>
              <w:rPr>
                <w:b/>
                <w:color w:val="000000"/>
                <w:sz w:val="21"/>
                <w:szCs w:val="21"/>
              </w:rPr>
            </w:pPr>
            <w:r>
              <w:rPr>
                <w:b/>
                <w:color w:val="000000"/>
                <w:sz w:val="21"/>
                <w:szCs w:val="21"/>
              </w:rPr>
              <w:t>B3</w:t>
            </w:r>
          </w:p>
        </w:tc>
        <w:tc>
          <w:tcPr>
            <w:tcW w:w="513" w:type="pct"/>
            <w:tcBorders>
              <w:bottom w:val="single" w:color="auto" w:sz="12" w:space="0"/>
              <w:tl2br w:val="nil"/>
              <w:tr2bl w:val="nil"/>
            </w:tcBorders>
            <w:shd w:val="clear" w:color="auto" w:fill="auto"/>
          </w:tcPr>
          <w:p>
            <w:pPr>
              <w:widowControl/>
              <w:numPr>
                <w:ilvl w:val="255"/>
                <w:numId w:val="0"/>
              </w:numPr>
              <w:spacing w:line="240" w:lineRule="auto"/>
              <w:jc w:val="center"/>
              <w:textAlignment w:val="center"/>
              <w:rPr>
                <w:b/>
                <w:color w:val="000000"/>
                <w:sz w:val="21"/>
                <w:szCs w:val="21"/>
              </w:rPr>
            </w:pPr>
            <w:r>
              <w:rPr>
                <w:b/>
                <w:color w:val="000000"/>
                <w:sz w:val="21"/>
                <w:szCs w:val="21"/>
              </w:rPr>
              <w:t>B4</w:t>
            </w:r>
          </w:p>
        </w:tc>
        <w:tc>
          <w:tcPr>
            <w:tcW w:w="511" w:type="pct"/>
            <w:vMerge w:val="continue"/>
            <w:tcBorders>
              <w:bottom w:val="single" w:color="auto" w:sz="12" w:space="0"/>
              <w:tl2br w:val="nil"/>
              <w:tr2bl w:val="nil"/>
            </w:tcBorders>
            <w:shd w:val="clear" w:color="auto" w:fill="auto"/>
          </w:tcPr>
          <w:p>
            <w:pPr>
              <w:widowControl/>
              <w:numPr>
                <w:ilvl w:val="255"/>
                <w:numId w:val="0"/>
              </w:numPr>
              <w:spacing w:line="240" w:lineRule="auto"/>
              <w:jc w:val="center"/>
              <w:textAlignment w:val="center"/>
              <w:rPr>
                <w:b/>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037" w:type="pct"/>
            <w:vMerge w:val="continue"/>
            <w:tcBorders>
              <w:tl2br w:val="nil"/>
              <w:tr2bl w:val="nil"/>
            </w:tcBorders>
            <w:shd w:val="clear" w:color="auto" w:fill="auto"/>
            <w:vAlign w:val="center"/>
          </w:tcPr>
          <w:p>
            <w:pPr>
              <w:pStyle w:val="34"/>
              <w:ind w:firstLine="0" w:firstLineChars="0"/>
              <w:rPr>
                <w:rFonts w:ascii="Times New Roman" w:hAnsi="Times New Roman"/>
              </w:rPr>
            </w:pPr>
          </w:p>
        </w:tc>
        <w:tc>
          <w:tcPr>
            <w:tcW w:w="508" w:type="pct"/>
            <w:tcBorders>
              <w:top w:val="single" w:color="auto" w:sz="12" w:space="0"/>
            </w:tcBorders>
            <w:shd w:val="clear" w:color="auto" w:fill="auto"/>
            <w:vAlign w:val="center"/>
          </w:tcPr>
          <w:p>
            <w:pPr>
              <w:widowControl/>
              <w:ind w:firstLine="0" w:firstLineChars="0"/>
              <w:jc w:val="center"/>
              <w:textAlignment w:val="center"/>
              <w:rPr>
                <w:color w:val="000000"/>
                <w:sz w:val="21"/>
                <w:szCs w:val="21"/>
              </w:rPr>
            </w:pPr>
            <w:r>
              <w:rPr>
                <w:color w:val="000000"/>
                <w:sz w:val="21"/>
                <w:szCs w:val="21"/>
              </w:rPr>
              <w:t>1.77</w:t>
            </w:r>
          </w:p>
        </w:tc>
        <w:tc>
          <w:tcPr>
            <w:tcW w:w="488" w:type="pct"/>
            <w:tcBorders>
              <w:top w:val="single" w:color="auto" w:sz="12" w:space="0"/>
            </w:tcBorders>
            <w:shd w:val="clear" w:color="auto" w:fill="auto"/>
            <w:vAlign w:val="center"/>
          </w:tcPr>
          <w:p>
            <w:pPr>
              <w:widowControl/>
              <w:ind w:firstLine="0" w:firstLineChars="0"/>
              <w:jc w:val="center"/>
              <w:textAlignment w:val="center"/>
              <w:rPr>
                <w:color w:val="000000"/>
                <w:sz w:val="21"/>
                <w:szCs w:val="21"/>
              </w:rPr>
            </w:pPr>
            <w:r>
              <w:rPr>
                <w:color w:val="000000"/>
                <w:sz w:val="21"/>
                <w:szCs w:val="21"/>
              </w:rPr>
              <w:t>1.69</w:t>
            </w:r>
          </w:p>
        </w:tc>
        <w:tc>
          <w:tcPr>
            <w:tcW w:w="483" w:type="pct"/>
            <w:tcBorders>
              <w:top w:val="single" w:color="auto" w:sz="12" w:space="0"/>
            </w:tcBorders>
            <w:shd w:val="clear" w:color="auto" w:fill="auto"/>
            <w:vAlign w:val="center"/>
          </w:tcPr>
          <w:p>
            <w:pPr>
              <w:widowControl/>
              <w:ind w:firstLine="0" w:firstLineChars="0"/>
              <w:jc w:val="center"/>
              <w:textAlignment w:val="center"/>
              <w:rPr>
                <w:color w:val="000000"/>
                <w:sz w:val="21"/>
                <w:szCs w:val="21"/>
              </w:rPr>
            </w:pPr>
            <w:r>
              <w:rPr>
                <w:color w:val="000000"/>
                <w:sz w:val="21"/>
                <w:szCs w:val="21"/>
              </w:rPr>
              <w:t>1.82</w:t>
            </w:r>
          </w:p>
        </w:tc>
        <w:tc>
          <w:tcPr>
            <w:tcW w:w="483" w:type="pct"/>
            <w:tcBorders>
              <w:top w:val="single" w:color="auto" w:sz="12" w:space="0"/>
            </w:tcBorders>
            <w:shd w:val="clear" w:color="auto" w:fill="auto"/>
            <w:vAlign w:val="center"/>
          </w:tcPr>
          <w:p>
            <w:pPr>
              <w:widowControl/>
              <w:ind w:firstLine="0" w:firstLineChars="0"/>
              <w:jc w:val="center"/>
              <w:textAlignment w:val="center"/>
              <w:rPr>
                <w:color w:val="000000"/>
                <w:sz w:val="21"/>
                <w:szCs w:val="21"/>
              </w:rPr>
            </w:pPr>
            <w:r>
              <w:rPr>
                <w:color w:val="000000"/>
                <w:sz w:val="21"/>
                <w:szCs w:val="21"/>
              </w:rPr>
              <w:t>2.18</w:t>
            </w:r>
          </w:p>
        </w:tc>
        <w:tc>
          <w:tcPr>
            <w:tcW w:w="483" w:type="pct"/>
            <w:tcBorders>
              <w:top w:val="single" w:color="auto" w:sz="12" w:space="0"/>
            </w:tcBorders>
            <w:shd w:val="clear" w:color="auto" w:fill="auto"/>
            <w:vAlign w:val="center"/>
          </w:tcPr>
          <w:p>
            <w:pPr>
              <w:widowControl/>
              <w:ind w:firstLine="0" w:firstLineChars="0"/>
              <w:jc w:val="center"/>
              <w:textAlignment w:val="center"/>
              <w:rPr>
                <w:color w:val="000000"/>
                <w:sz w:val="21"/>
                <w:szCs w:val="21"/>
              </w:rPr>
            </w:pPr>
            <w:r>
              <w:rPr>
                <w:color w:val="000000"/>
                <w:sz w:val="21"/>
                <w:szCs w:val="21"/>
              </w:rPr>
              <w:t>2.01</w:t>
            </w:r>
          </w:p>
        </w:tc>
        <w:tc>
          <w:tcPr>
            <w:tcW w:w="491" w:type="pct"/>
            <w:tcBorders>
              <w:top w:val="single" w:color="auto" w:sz="12" w:space="0"/>
            </w:tcBorders>
            <w:shd w:val="clear" w:color="auto" w:fill="auto"/>
            <w:vAlign w:val="center"/>
          </w:tcPr>
          <w:p>
            <w:pPr>
              <w:widowControl/>
              <w:ind w:firstLine="0" w:firstLineChars="0"/>
              <w:jc w:val="center"/>
              <w:textAlignment w:val="center"/>
              <w:rPr>
                <w:color w:val="000000"/>
                <w:sz w:val="21"/>
                <w:szCs w:val="21"/>
              </w:rPr>
            </w:pPr>
            <w:r>
              <w:rPr>
                <w:color w:val="000000"/>
                <w:sz w:val="21"/>
                <w:szCs w:val="21"/>
              </w:rPr>
              <w:t>1.94</w:t>
            </w:r>
          </w:p>
        </w:tc>
        <w:tc>
          <w:tcPr>
            <w:tcW w:w="513" w:type="pct"/>
            <w:tcBorders>
              <w:top w:val="single" w:color="auto" w:sz="12" w:space="0"/>
            </w:tcBorders>
            <w:shd w:val="clear" w:color="auto" w:fill="auto"/>
            <w:vAlign w:val="center"/>
          </w:tcPr>
          <w:p>
            <w:pPr>
              <w:widowControl/>
              <w:ind w:firstLine="0" w:firstLineChars="0"/>
              <w:jc w:val="center"/>
              <w:textAlignment w:val="center"/>
              <w:rPr>
                <w:color w:val="000000"/>
                <w:kern w:val="0"/>
                <w:sz w:val="21"/>
                <w:szCs w:val="21"/>
                <w:lang w:bidi="ar"/>
              </w:rPr>
            </w:pPr>
            <w:r>
              <w:rPr>
                <w:color w:val="000000"/>
                <w:kern w:val="0"/>
                <w:sz w:val="21"/>
                <w:szCs w:val="21"/>
                <w:lang w:bidi="ar"/>
              </w:rPr>
              <w:t>2.24</w:t>
            </w:r>
          </w:p>
        </w:tc>
        <w:tc>
          <w:tcPr>
            <w:tcW w:w="511" w:type="pct"/>
            <w:tcBorders>
              <w:top w:val="single" w:color="auto" w:sz="12" w:space="0"/>
            </w:tcBorders>
            <w:shd w:val="clear" w:color="auto" w:fill="auto"/>
            <w:vAlign w:val="center"/>
          </w:tcPr>
          <w:p>
            <w:pPr>
              <w:widowControl/>
              <w:ind w:firstLine="0" w:firstLineChars="0"/>
              <w:jc w:val="center"/>
              <w:textAlignment w:val="center"/>
              <w:rPr>
                <w:color w:val="000000"/>
                <w:kern w:val="0"/>
                <w:sz w:val="21"/>
                <w:szCs w:val="21"/>
                <w:lang w:bidi="ar"/>
              </w:rPr>
            </w:pPr>
            <w:r>
              <w:rPr>
                <w:color w:val="000000"/>
                <w:kern w:val="0"/>
                <w:sz w:val="21"/>
                <w:szCs w:val="21"/>
                <w:lang w:bidi="ar"/>
              </w:rPr>
              <w:t>1.95</w:t>
            </w:r>
          </w:p>
        </w:tc>
      </w:tr>
    </w:tbl>
    <w:p>
      <w:pPr>
        <w:wordWrap w:val="0"/>
        <w:ind w:firstLine="480"/>
      </w:pPr>
      <w:r>
        <w:t>生物多样性指数主要反映生态系统中生物的丰富度和均匀度。评价区浮游植物的生物多样性指数处于相对较高水平。</w:t>
      </w:r>
    </w:p>
    <w:p>
      <w:pPr>
        <w:pStyle w:val="6"/>
        <w:spacing w:before="0" w:after="0"/>
        <w:ind w:firstLine="562"/>
      </w:pPr>
      <w:bookmarkStart w:id="150" w:name="_Toc353"/>
      <w:bookmarkStart w:id="151" w:name="_Toc8180"/>
      <w:r>
        <w:t>浮游动物</w:t>
      </w:r>
      <w:bookmarkEnd w:id="150"/>
      <w:bookmarkEnd w:id="151"/>
    </w:p>
    <w:p>
      <w:pPr>
        <w:ind w:firstLine="482"/>
        <w:rPr>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一、种类组成</w:t>
      </w:r>
    </w:p>
    <w:p>
      <w:pPr>
        <w:ind w:firstLine="482"/>
        <w:rPr>
          <w:b/>
          <w:bCs/>
          <w:color w:val="000000" w:themeColor="text1"/>
          <w:kern w:val="0"/>
          <w14:textFill>
            <w14:solidFill>
              <w14:schemeClr w14:val="tx1"/>
            </w14:solidFill>
          </w14:textFill>
        </w:rPr>
      </w:pPr>
      <w:r>
        <w:rPr>
          <w:b/>
          <w:bCs/>
          <w:color w:val="000000" w:themeColor="text1"/>
          <w:kern w:val="0"/>
          <w14:textFill>
            <w14:solidFill>
              <w14:schemeClr w14:val="tx1"/>
            </w14:solidFill>
          </w14:textFill>
        </w:rPr>
        <w:t>（1）2021年6月</w:t>
      </w:r>
    </w:p>
    <w:p>
      <w:pPr>
        <w:adjustRightInd w:val="0"/>
        <w:ind w:firstLine="480"/>
      </w:pPr>
      <w:r>
        <w:t>共检出浮游动物47种（属）</w:t>
      </w:r>
      <w:r>
        <w:rPr>
          <w:lang w:val="zh-CN"/>
        </w:rPr>
        <w:t>。其中原生动物</w:t>
      </w:r>
      <w:r>
        <w:t>10</w:t>
      </w:r>
      <w:r>
        <w:rPr>
          <w:lang w:val="zh-CN"/>
        </w:rPr>
        <w:t>种（属），占</w:t>
      </w:r>
      <w:r>
        <w:t>21.28</w:t>
      </w:r>
      <w:r>
        <w:rPr>
          <w:lang w:val="zh-CN"/>
        </w:rPr>
        <w:t>%；轮虫</w:t>
      </w:r>
      <w:r>
        <w:t>21</w:t>
      </w:r>
      <w:r>
        <w:rPr>
          <w:lang w:val="zh-CN"/>
        </w:rPr>
        <w:t>种（属），占浮游动物种类的</w:t>
      </w:r>
      <w:r>
        <w:t>44.68</w:t>
      </w:r>
      <w:r>
        <w:rPr>
          <w:lang w:val="zh-CN"/>
        </w:rPr>
        <w:t>%；桡足类和枝角类各</w:t>
      </w:r>
      <w:r>
        <w:t>8</w:t>
      </w:r>
      <w:r>
        <w:rPr>
          <w:lang w:val="zh-CN"/>
        </w:rPr>
        <w:t>种（属），各占</w:t>
      </w:r>
      <w:r>
        <w:t>17.02</w:t>
      </w:r>
      <w:r>
        <w:rPr>
          <w:lang w:val="zh-CN"/>
        </w:rPr>
        <w:t>%。各采样点浮游动物常见种类有</w:t>
      </w:r>
      <w:r>
        <w:t>普通表壳虫（</w:t>
      </w:r>
      <w:r>
        <w:rPr>
          <w:i/>
          <w:iCs/>
          <w:color w:val="000000"/>
          <w:kern w:val="0"/>
          <w:lang w:bidi="ar"/>
        </w:rPr>
        <w:t>Arcella vulgaric</w:t>
      </w:r>
      <w:r>
        <w:t>）、球形砂壳虫（</w:t>
      </w:r>
      <w:r>
        <w:rPr>
          <w:i/>
          <w:iCs/>
          <w:color w:val="000000"/>
          <w:kern w:val="0"/>
          <w:lang w:bidi="ar"/>
        </w:rPr>
        <w:t>Difflugia uminata</w:t>
      </w:r>
      <w:r>
        <w:t>）、角突臂尾轮虫（</w:t>
      </w:r>
      <w:r>
        <w:rPr>
          <w:i/>
          <w:iCs/>
        </w:rPr>
        <w:t>Brachionus angularis</w:t>
      </w:r>
      <w:r>
        <w:t>）、</w:t>
      </w:r>
      <w:r>
        <w:rPr>
          <w:color w:val="000000"/>
          <w:kern w:val="0"/>
          <w:szCs w:val="21"/>
          <w:lang w:bidi="ar"/>
        </w:rPr>
        <w:t>螺形龟甲轮虫（</w:t>
      </w:r>
      <w:r>
        <w:rPr>
          <w:i/>
          <w:iCs/>
          <w:color w:val="000000"/>
          <w:kern w:val="0"/>
          <w:szCs w:val="21"/>
          <w:lang w:bidi="ar"/>
        </w:rPr>
        <w:t>Keratella cochlearis</w:t>
      </w:r>
      <w:r>
        <w:rPr>
          <w:color w:val="000000"/>
          <w:kern w:val="0"/>
          <w:szCs w:val="21"/>
          <w:lang w:bidi="ar"/>
        </w:rPr>
        <w:t>）、</w:t>
      </w:r>
      <w:r>
        <w:rPr>
          <w:color w:val="000000"/>
          <w:kern w:val="0"/>
        </w:rPr>
        <w:t>针簇多肢轮虫（</w:t>
      </w:r>
      <w:r>
        <w:rPr>
          <w:i/>
          <w:color w:val="000000"/>
          <w:kern w:val="0"/>
        </w:rPr>
        <w:t>Polyarthra</w:t>
      </w:r>
      <w:r>
        <w:rPr>
          <w:i/>
          <w:iCs/>
          <w:color w:val="000000"/>
          <w:kern w:val="0"/>
        </w:rPr>
        <w:t xml:space="preserve"> trigla</w:t>
      </w:r>
      <w:r>
        <w:rPr>
          <w:color w:val="000000"/>
          <w:kern w:val="0"/>
        </w:rPr>
        <w:t>）、长额象鼻溞（</w:t>
      </w:r>
      <w:r>
        <w:rPr>
          <w:i/>
          <w:color w:val="000000"/>
          <w:kern w:val="0"/>
        </w:rPr>
        <w:t>Bosmina</w:t>
      </w:r>
      <w:r>
        <w:rPr>
          <w:color w:val="000000"/>
          <w:kern w:val="0"/>
        </w:rPr>
        <w:t xml:space="preserve"> </w:t>
      </w:r>
      <w:r>
        <w:rPr>
          <w:i/>
          <w:color w:val="000000"/>
          <w:kern w:val="0"/>
        </w:rPr>
        <w:t>longirostris</w:t>
      </w:r>
      <w:r>
        <w:rPr>
          <w:color w:val="000000"/>
          <w:kern w:val="0"/>
        </w:rPr>
        <w:t>）、无节幼体（Nauplius）、广布中剑水蚤（</w:t>
      </w:r>
      <w:r>
        <w:rPr>
          <w:i/>
          <w:iCs/>
          <w:color w:val="000000"/>
          <w:kern w:val="0"/>
          <w:lang w:bidi="ar"/>
        </w:rPr>
        <w:t>Mesocyclops leuckarti</w:t>
      </w:r>
      <w:r>
        <w:rPr>
          <w:color w:val="000000"/>
          <w:kern w:val="0"/>
        </w:rPr>
        <w:t>）等。</w:t>
      </w:r>
    </w:p>
    <w:p>
      <w:pPr>
        <w:pStyle w:val="3583"/>
        <w:spacing w:line="240" w:lineRule="auto"/>
        <w:ind w:left="0"/>
        <w:rPr>
          <w:szCs w:val="21"/>
        </w:rPr>
      </w:pPr>
      <w:r>
        <w:rPr>
          <w:szCs w:val="21"/>
        </w:rPr>
        <w:t>6月评价区</w:t>
      </w:r>
      <w:r>
        <w:t>浮游</w:t>
      </w:r>
      <w:r>
        <w:rPr>
          <w:szCs w:val="21"/>
        </w:rPr>
        <w:t>动物各门种类数及所占比例</w:t>
      </w:r>
    </w:p>
    <w:tbl>
      <w:tblPr>
        <w:tblStyle w:val="8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45"/>
        <w:gridCol w:w="1616"/>
        <w:gridCol w:w="1506"/>
        <w:gridCol w:w="1506"/>
        <w:gridCol w:w="1506"/>
        <w:gridCol w:w="15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86" w:type="pct"/>
            <w:tcBorders>
              <w:bottom w:val="single" w:color="auto" w:sz="12" w:space="0"/>
            </w:tcBorders>
            <w:vAlign w:val="center"/>
          </w:tcPr>
          <w:p>
            <w:pPr>
              <w:widowControl/>
              <w:spacing w:line="240" w:lineRule="auto"/>
              <w:ind w:firstLine="0" w:firstLineChars="0"/>
              <w:jc w:val="center"/>
              <w:textAlignment w:val="center"/>
              <w:rPr>
                <w:b/>
                <w:bCs/>
                <w:color w:val="000000"/>
                <w:kern w:val="0"/>
                <w:sz w:val="21"/>
                <w:szCs w:val="21"/>
                <w:lang w:bidi="ar"/>
              </w:rPr>
            </w:pPr>
            <w:r>
              <w:rPr>
                <w:b/>
                <w:bCs/>
                <w:color w:val="000000"/>
                <w:kern w:val="0"/>
                <w:sz w:val="21"/>
                <w:szCs w:val="21"/>
                <w:lang w:bidi="ar"/>
              </w:rPr>
              <w:t>类别</w:t>
            </w:r>
          </w:p>
        </w:tc>
        <w:tc>
          <w:tcPr>
            <w:tcW w:w="870" w:type="pct"/>
            <w:tcBorders>
              <w:bottom w:val="single" w:color="auto" w:sz="12" w:space="0"/>
            </w:tcBorders>
            <w:vAlign w:val="center"/>
          </w:tcPr>
          <w:p>
            <w:pPr>
              <w:widowControl/>
              <w:spacing w:line="240" w:lineRule="auto"/>
              <w:ind w:firstLine="0" w:firstLineChars="0"/>
              <w:jc w:val="center"/>
              <w:textAlignment w:val="center"/>
              <w:rPr>
                <w:b/>
                <w:bCs/>
                <w:color w:val="000000"/>
                <w:kern w:val="0"/>
                <w:sz w:val="21"/>
                <w:szCs w:val="21"/>
                <w:lang w:bidi="ar"/>
              </w:rPr>
            </w:pPr>
            <w:r>
              <w:rPr>
                <w:b/>
                <w:bCs/>
                <w:color w:val="000000"/>
                <w:kern w:val="0"/>
                <w:sz w:val="21"/>
                <w:szCs w:val="21"/>
                <w:lang w:bidi="ar"/>
              </w:rPr>
              <w:t>原生动物</w:t>
            </w:r>
          </w:p>
        </w:tc>
        <w:tc>
          <w:tcPr>
            <w:tcW w:w="811" w:type="pct"/>
            <w:tcBorders>
              <w:bottom w:val="single" w:color="auto" w:sz="12" w:space="0"/>
            </w:tcBorders>
            <w:vAlign w:val="center"/>
          </w:tcPr>
          <w:p>
            <w:pPr>
              <w:widowControl/>
              <w:spacing w:line="240" w:lineRule="auto"/>
              <w:ind w:firstLine="0" w:firstLineChars="0"/>
              <w:jc w:val="center"/>
              <w:textAlignment w:val="center"/>
              <w:rPr>
                <w:b/>
                <w:bCs/>
                <w:color w:val="000000"/>
                <w:kern w:val="0"/>
                <w:sz w:val="21"/>
                <w:szCs w:val="21"/>
                <w:lang w:bidi="ar"/>
              </w:rPr>
            </w:pPr>
            <w:r>
              <w:rPr>
                <w:b/>
                <w:bCs/>
                <w:color w:val="000000"/>
                <w:kern w:val="0"/>
                <w:sz w:val="21"/>
                <w:szCs w:val="21"/>
                <w:lang w:bidi="ar"/>
              </w:rPr>
              <w:t>轮虫</w:t>
            </w:r>
          </w:p>
        </w:tc>
        <w:tc>
          <w:tcPr>
            <w:tcW w:w="811" w:type="pct"/>
            <w:tcBorders>
              <w:bottom w:val="single" w:color="auto" w:sz="12" w:space="0"/>
            </w:tcBorders>
            <w:vAlign w:val="center"/>
          </w:tcPr>
          <w:p>
            <w:pPr>
              <w:widowControl/>
              <w:spacing w:line="240" w:lineRule="auto"/>
              <w:ind w:firstLine="0" w:firstLineChars="0"/>
              <w:jc w:val="center"/>
              <w:textAlignment w:val="center"/>
              <w:rPr>
                <w:b/>
                <w:bCs/>
                <w:color w:val="000000"/>
                <w:kern w:val="0"/>
                <w:sz w:val="21"/>
                <w:szCs w:val="21"/>
                <w:lang w:bidi="ar"/>
              </w:rPr>
            </w:pPr>
            <w:r>
              <w:rPr>
                <w:b/>
                <w:bCs/>
                <w:color w:val="000000"/>
                <w:kern w:val="0"/>
                <w:sz w:val="21"/>
                <w:szCs w:val="21"/>
                <w:lang w:bidi="ar"/>
              </w:rPr>
              <w:t>枝角类</w:t>
            </w:r>
          </w:p>
        </w:tc>
        <w:tc>
          <w:tcPr>
            <w:tcW w:w="811" w:type="pct"/>
            <w:tcBorders>
              <w:bottom w:val="single" w:color="auto" w:sz="12" w:space="0"/>
            </w:tcBorders>
            <w:vAlign w:val="center"/>
          </w:tcPr>
          <w:p>
            <w:pPr>
              <w:widowControl/>
              <w:spacing w:line="240" w:lineRule="auto"/>
              <w:ind w:firstLine="0" w:firstLineChars="0"/>
              <w:jc w:val="center"/>
              <w:textAlignment w:val="center"/>
              <w:rPr>
                <w:b/>
                <w:bCs/>
                <w:color w:val="000000"/>
                <w:kern w:val="0"/>
                <w:sz w:val="21"/>
                <w:szCs w:val="21"/>
                <w:lang w:bidi="ar"/>
              </w:rPr>
            </w:pPr>
            <w:r>
              <w:rPr>
                <w:b/>
                <w:bCs/>
                <w:color w:val="000000"/>
                <w:kern w:val="0"/>
                <w:sz w:val="21"/>
                <w:szCs w:val="21"/>
                <w:lang w:bidi="ar"/>
              </w:rPr>
              <w:t>桡足类</w:t>
            </w:r>
          </w:p>
        </w:tc>
        <w:tc>
          <w:tcPr>
            <w:tcW w:w="811" w:type="pct"/>
            <w:tcBorders>
              <w:bottom w:val="single" w:color="auto" w:sz="12" w:space="0"/>
            </w:tcBorders>
            <w:vAlign w:val="center"/>
          </w:tcPr>
          <w:p>
            <w:pPr>
              <w:widowControl/>
              <w:spacing w:line="240" w:lineRule="auto"/>
              <w:ind w:firstLine="0" w:firstLineChars="0"/>
              <w:jc w:val="center"/>
              <w:textAlignment w:val="center"/>
              <w:rPr>
                <w:b/>
                <w:bCs/>
                <w:color w:val="000000"/>
                <w:kern w:val="0"/>
                <w:sz w:val="21"/>
                <w:szCs w:val="21"/>
                <w:lang w:bidi="ar"/>
              </w:rPr>
            </w:pPr>
            <w:r>
              <w:rPr>
                <w:b/>
                <w:bCs/>
                <w:color w:val="000000"/>
                <w:kern w:val="0"/>
                <w:sz w:val="21"/>
                <w:szCs w:val="21"/>
                <w:lang w:bidi="ar"/>
              </w:rPr>
              <w:t>合计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86" w:type="pct"/>
            <w:tcBorders>
              <w:top w:val="single" w:color="auto" w:sz="12" w:space="0"/>
              <w:tl2br w:val="nil"/>
              <w:tr2bl w:val="nil"/>
            </w:tcBorders>
            <w:vAlign w:val="center"/>
          </w:tcPr>
          <w:p>
            <w:pPr>
              <w:widowControl/>
              <w:spacing w:line="240" w:lineRule="auto"/>
              <w:ind w:firstLine="0" w:firstLineChars="0"/>
              <w:jc w:val="center"/>
              <w:textAlignment w:val="center"/>
              <w:rPr>
                <w:color w:val="000000"/>
                <w:kern w:val="0"/>
                <w:sz w:val="21"/>
                <w:szCs w:val="21"/>
                <w:lang w:bidi="ar"/>
              </w:rPr>
            </w:pPr>
            <w:r>
              <w:rPr>
                <w:color w:val="000000"/>
                <w:kern w:val="0"/>
                <w:sz w:val="21"/>
                <w:szCs w:val="21"/>
                <w:lang w:bidi="ar"/>
              </w:rPr>
              <w:t>种类数</w:t>
            </w:r>
          </w:p>
        </w:tc>
        <w:tc>
          <w:tcPr>
            <w:tcW w:w="1483" w:type="dxa"/>
            <w:tcBorders>
              <w:top w:val="single" w:color="auto" w:sz="12" w:space="0"/>
              <w:tl2br w:val="nil"/>
              <w:tr2bl w:val="nil"/>
            </w:tcBorders>
            <w:vAlign w:val="center"/>
          </w:tcPr>
          <w:p>
            <w:pPr>
              <w:widowControl/>
              <w:spacing w:line="240" w:lineRule="auto"/>
              <w:ind w:firstLine="0" w:firstLineChars="0"/>
              <w:jc w:val="center"/>
              <w:textAlignment w:val="center"/>
              <w:rPr>
                <w:color w:val="000000"/>
                <w:kern w:val="0"/>
                <w:sz w:val="21"/>
                <w:szCs w:val="21"/>
                <w:lang w:bidi="ar"/>
              </w:rPr>
            </w:pPr>
            <w:r>
              <w:rPr>
                <w:color w:val="000000"/>
                <w:kern w:val="0"/>
                <w:sz w:val="21"/>
                <w:szCs w:val="21"/>
                <w:lang w:bidi="ar"/>
              </w:rPr>
              <w:t>10</w:t>
            </w:r>
          </w:p>
        </w:tc>
        <w:tc>
          <w:tcPr>
            <w:tcW w:w="1382" w:type="dxa"/>
            <w:tcBorders>
              <w:top w:val="single" w:color="auto" w:sz="12" w:space="0"/>
              <w:tl2br w:val="nil"/>
              <w:tr2bl w:val="nil"/>
            </w:tcBorders>
            <w:vAlign w:val="center"/>
          </w:tcPr>
          <w:p>
            <w:pPr>
              <w:widowControl/>
              <w:spacing w:line="240" w:lineRule="auto"/>
              <w:ind w:firstLine="0" w:firstLineChars="0"/>
              <w:jc w:val="center"/>
              <w:textAlignment w:val="center"/>
              <w:rPr>
                <w:color w:val="000000"/>
                <w:kern w:val="0"/>
                <w:sz w:val="21"/>
                <w:szCs w:val="21"/>
                <w:lang w:bidi="ar"/>
              </w:rPr>
            </w:pPr>
            <w:r>
              <w:rPr>
                <w:color w:val="000000"/>
                <w:kern w:val="0"/>
                <w:sz w:val="21"/>
                <w:szCs w:val="21"/>
                <w:lang w:bidi="ar"/>
              </w:rPr>
              <w:t>21</w:t>
            </w:r>
          </w:p>
        </w:tc>
        <w:tc>
          <w:tcPr>
            <w:tcW w:w="1382" w:type="dxa"/>
            <w:tcBorders>
              <w:top w:val="single" w:color="auto" w:sz="12" w:space="0"/>
              <w:tl2br w:val="nil"/>
              <w:tr2bl w:val="nil"/>
            </w:tcBorders>
            <w:vAlign w:val="center"/>
          </w:tcPr>
          <w:p>
            <w:pPr>
              <w:widowControl/>
              <w:spacing w:line="240" w:lineRule="auto"/>
              <w:ind w:firstLine="0" w:firstLineChars="0"/>
              <w:jc w:val="center"/>
              <w:textAlignment w:val="center"/>
              <w:rPr>
                <w:color w:val="000000"/>
                <w:kern w:val="0"/>
                <w:sz w:val="21"/>
                <w:szCs w:val="21"/>
                <w:lang w:bidi="ar"/>
              </w:rPr>
            </w:pPr>
            <w:r>
              <w:rPr>
                <w:color w:val="000000"/>
                <w:kern w:val="0"/>
                <w:sz w:val="21"/>
                <w:szCs w:val="21"/>
                <w:lang w:bidi="ar"/>
              </w:rPr>
              <w:t>8</w:t>
            </w:r>
          </w:p>
        </w:tc>
        <w:tc>
          <w:tcPr>
            <w:tcW w:w="1382" w:type="dxa"/>
            <w:tcBorders>
              <w:top w:val="single" w:color="auto" w:sz="12" w:space="0"/>
              <w:tl2br w:val="nil"/>
              <w:tr2bl w:val="nil"/>
            </w:tcBorders>
            <w:vAlign w:val="center"/>
          </w:tcPr>
          <w:p>
            <w:pPr>
              <w:widowControl/>
              <w:spacing w:line="240" w:lineRule="auto"/>
              <w:ind w:firstLine="0" w:firstLineChars="0"/>
              <w:jc w:val="center"/>
              <w:textAlignment w:val="center"/>
              <w:rPr>
                <w:color w:val="000000"/>
                <w:kern w:val="0"/>
                <w:sz w:val="21"/>
                <w:szCs w:val="21"/>
                <w:lang w:bidi="ar"/>
              </w:rPr>
            </w:pPr>
            <w:r>
              <w:rPr>
                <w:color w:val="000000"/>
                <w:kern w:val="0"/>
                <w:sz w:val="21"/>
                <w:szCs w:val="21"/>
                <w:lang w:bidi="ar"/>
              </w:rPr>
              <w:t>8</w:t>
            </w:r>
          </w:p>
        </w:tc>
        <w:tc>
          <w:tcPr>
            <w:tcW w:w="1383" w:type="dxa"/>
            <w:tcBorders>
              <w:top w:val="single" w:color="auto" w:sz="12" w:space="0"/>
              <w:tl2br w:val="nil"/>
              <w:tr2bl w:val="nil"/>
            </w:tcBorders>
            <w:vAlign w:val="center"/>
          </w:tcPr>
          <w:p>
            <w:pPr>
              <w:widowControl/>
              <w:spacing w:line="240" w:lineRule="auto"/>
              <w:ind w:firstLine="0" w:firstLineChars="0"/>
              <w:jc w:val="center"/>
              <w:textAlignment w:val="center"/>
              <w:rPr>
                <w:color w:val="000000"/>
                <w:kern w:val="0"/>
                <w:sz w:val="21"/>
                <w:szCs w:val="21"/>
                <w:lang w:bidi="ar"/>
              </w:rPr>
            </w:pPr>
            <w:r>
              <w:rPr>
                <w:color w:val="000000"/>
                <w:kern w:val="0"/>
                <w:sz w:val="21"/>
                <w:szCs w:val="21"/>
                <w:lang w:bidi="ar"/>
              </w:rPr>
              <w:t>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886" w:type="pct"/>
            <w:tcBorders>
              <w:tl2br w:val="nil"/>
              <w:tr2bl w:val="nil"/>
            </w:tcBorders>
            <w:vAlign w:val="center"/>
          </w:tcPr>
          <w:p>
            <w:pPr>
              <w:widowControl/>
              <w:spacing w:line="240" w:lineRule="auto"/>
              <w:ind w:firstLine="0" w:firstLineChars="0"/>
              <w:jc w:val="center"/>
              <w:textAlignment w:val="center"/>
              <w:rPr>
                <w:color w:val="000000"/>
                <w:kern w:val="0"/>
                <w:sz w:val="21"/>
                <w:szCs w:val="21"/>
                <w:lang w:bidi="ar"/>
              </w:rPr>
            </w:pPr>
            <w:r>
              <w:rPr>
                <w:color w:val="000000"/>
                <w:kern w:val="0"/>
                <w:sz w:val="21"/>
                <w:szCs w:val="21"/>
                <w:lang w:bidi="ar"/>
              </w:rPr>
              <w:t>百分比（%）</w:t>
            </w:r>
          </w:p>
        </w:tc>
        <w:tc>
          <w:tcPr>
            <w:tcW w:w="1483" w:type="dxa"/>
            <w:tcBorders>
              <w:tl2br w:val="nil"/>
              <w:tr2bl w:val="nil"/>
            </w:tcBorders>
            <w:vAlign w:val="center"/>
          </w:tcPr>
          <w:p>
            <w:pPr>
              <w:widowControl/>
              <w:spacing w:line="240" w:lineRule="auto"/>
              <w:ind w:firstLine="0" w:firstLineChars="0"/>
              <w:jc w:val="center"/>
              <w:textAlignment w:val="center"/>
              <w:rPr>
                <w:color w:val="000000"/>
                <w:kern w:val="0"/>
                <w:sz w:val="21"/>
                <w:szCs w:val="21"/>
                <w:lang w:bidi="ar"/>
              </w:rPr>
            </w:pPr>
            <w:r>
              <w:rPr>
                <w:color w:val="000000"/>
                <w:kern w:val="0"/>
                <w:sz w:val="21"/>
                <w:szCs w:val="21"/>
                <w:lang w:bidi="ar"/>
              </w:rPr>
              <w:t>21.28</w:t>
            </w:r>
          </w:p>
        </w:tc>
        <w:tc>
          <w:tcPr>
            <w:tcW w:w="1382" w:type="dxa"/>
            <w:tcBorders>
              <w:tl2br w:val="nil"/>
              <w:tr2bl w:val="nil"/>
            </w:tcBorders>
            <w:vAlign w:val="center"/>
          </w:tcPr>
          <w:p>
            <w:pPr>
              <w:widowControl/>
              <w:spacing w:line="240" w:lineRule="auto"/>
              <w:ind w:firstLine="0" w:firstLineChars="0"/>
              <w:jc w:val="center"/>
              <w:textAlignment w:val="center"/>
              <w:rPr>
                <w:color w:val="000000"/>
                <w:kern w:val="0"/>
                <w:sz w:val="21"/>
                <w:szCs w:val="21"/>
                <w:lang w:bidi="ar"/>
              </w:rPr>
            </w:pPr>
            <w:r>
              <w:rPr>
                <w:color w:val="000000"/>
                <w:kern w:val="0"/>
                <w:sz w:val="21"/>
                <w:szCs w:val="21"/>
                <w:lang w:bidi="ar"/>
              </w:rPr>
              <w:t>44.68</w:t>
            </w:r>
          </w:p>
        </w:tc>
        <w:tc>
          <w:tcPr>
            <w:tcW w:w="1382" w:type="dxa"/>
            <w:tcBorders>
              <w:tl2br w:val="nil"/>
              <w:tr2bl w:val="nil"/>
            </w:tcBorders>
            <w:vAlign w:val="center"/>
          </w:tcPr>
          <w:p>
            <w:pPr>
              <w:widowControl/>
              <w:spacing w:line="240" w:lineRule="auto"/>
              <w:ind w:firstLine="0" w:firstLineChars="0"/>
              <w:jc w:val="center"/>
              <w:textAlignment w:val="center"/>
              <w:rPr>
                <w:color w:val="000000"/>
                <w:kern w:val="0"/>
                <w:sz w:val="21"/>
                <w:szCs w:val="21"/>
                <w:lang w:bidi="ar"/>
              </w:rPr>
            </w:pPr>
            <w:r>
              <w:rPr>
                <w:color w:val="000000"/>
                <w:kern w:val="0"/>
                <w:sz w:val="21"/>
                <w:szCs w:val="21"/>
                <w:lang w:bidi="ar"/>
              </w:rPr>
              <w:t>17.02</w:t>
            </w:r>
          </w:p>
        </w:tc>
        <w:tc>
          <w:tcPr>
            <w:tcW w:w="1382" w:type="dxa"/>
            <w:tcBorders>
              <w:tl2br w:val="nil"/>
              <w:tr2bl w:val="nil"/>
            </w:tcBorders>
            <w:vAlign w:val="center"/>
          </w:tcPr>
          <w:p>
            <w:pPr>
              <w:widowControl/>
              <w:spacing w:line="240" w:lineRule="auto"/>
              <w:ind w:firstLine="0" w:firstLineChars="0"/>
              <w:jc w:val="center"/>
              <w:textAlignment w:val="center"/>
              <w:rPr>
                <w:color w:val="000000"/>
                <w:kern w:val="0"/>
                <w:sz w:val="21"/>
                <w:szCs w:val="21"/>
                <w:lang w:bidi="ar"/>
              </w:rPr>
            </w:pPr>
            <w:r>
              <w:rPr>
                <w:color w:val="000000"/>
                <w:kern w:val="0"/>
                <w:sz w:val="21"/>
                <w:szCs w:val="21"/>
                <w:lang w:bidi="ar"/>
              </w:rPr>
              <w:t>17.02</w:t>
            </w:r>
          </w:p>
        </w:tc>
        <w:tc>
          <w:tcPr>
            <w:tcW w:w="1383" w:type="dxa"/>
            <w:tcBorders>
              <w:tl2br w:val="nil"/>
              <w:tr2bl w:val="nil"/>
            </w:tcBorders>
            <w:vAlign w:val="center"/>
          </w:tcPr>
          <w:p>
            <w:pPr>
              <w:widowControl/>
              <w:spacing w:line="240" w:lineRule="auto"/>
              <w:ind w:firstLine="0" w:firstLineChars="0"/>
              <w:jc w:val="center"/>
              <w:textAlignment w:val="center"/>
              <w:rPr>
                <w:color w:val="000000"/>
                <w:kern w:val="0"/>
                <w:sz w:val="21"/>
                <w:szCs w:val="21"/>
                <w:lang w:bidi="ar"/>
              </w:rPr>
            </w:pPr>
            <w:r>
              <w:rPr>
                <w:color w:val="000000"/>
                <w:kern w:val="0"/>
                <w:sz w:val="21"/>
                <w:szCs w:val="21"/>
                <w:lang w:bidi="ar"/>
              </w:rPr>
              <w:t>100</w:t>
            </w:r>
          </w:p>
        </w:tc>
      </w:tr>
    </w:tbl>
    <w:p>
      <w:pPr>
        <w:ind w:firstLine="482"/>
        <w:rPr>
          <w:b/>
          <w:bCs/>
          <w:color w:val="000000" w:themeColor="text1"/>
          <w:kern w:val="0"/>
          <w14:textFill>
            <w14:solidFill>
              <w14:schemeClr w14:val="tx1"/>
            </w14:solidFill>
          </w14:textFill>
        </w:rPr>
      </w:pPr>
      <w:r>
        <w:rPr>
          <w:b/>
          <w:bCs/>
          <w:color w:val="000000" w:themeColor="text1"/>
          <w:kern w:val="0"/>
          <w14:textFill>
            <w14:solidFill>
              <w14:schemeClr w14:val="tx1"/>
            </w14:solidFill>
          </w14:textFill>
        </w:rPr>
        <w:t>（2）2020年11月</w:t>
      </w:r>
    </w:p>
    <w:p>
      <w:pPr>
        <w:autoSpaceDE w:val="0"/>
        <w:autoSpaceDN w:val="0"/>
        <w:adjustRightInd w:val="0"/>
        <w:ind w:firstLine="480"/>
        <w:rPr>
          <w:rFonts w:eastAsiaTheme="minorEastAsia"/>
        </w:rPr>
      </w:pPr>
      <w:r>
        <w:rPr>
          <w:rFonts w:eastAsiaTheme="minorEastAsia"/>
        </w:rPr>
        <w:t>共检出浮游动物65种（属）</w:t>
      </w:r>
      <w:r>
        <w:rPr>
          <w:rFonts w:eastAsiaTheme="minorEastAsia"/>
          <w:lang w:val="zh-CN"/>
        </w:rPr>
        <w:t>。其中原生动物26种，占</w:t>
      </w:r>
      <w:r>
        <w:rPr>
          <w:rFonts w:eastAsiaTheme="minorEastAsia"/>
        </w:rPr>
        <w:t>40.00</w:t>
      </w:r>
      <w:r>
        <w:rPr>
          <w:rFonts w:eastAsiaTheme="minorEastAsia"/>
          <w:lang w:val="zh-CN"/>
        </w:rPr>
        <w:t>%；轮虫</w:t>
      </w:r>
      <w:r>
        <w:rPr>
          <w:rFonts w:eastAsiaTheme="minorEastAsia"/>
        </w:rPr>
        <w:t>19</w:t>
      </w:r>
      <w:r>
        <w:rPr>
          <w:rFonts w:eastAsiaTheme="minorEastAsia"/>
          <w:lang w:val="zh-CN"/>
        </w:rPr>
        <w:t>种，占浮游动物种类的</w:t>
      </w:r>
      <w:r>
        <w:rPr>
          <w:rFonts w:eastAsiaTheme="minorEastAsia"/>
        </w:rPr>
        <w:t>29.23</w:t>
      </w:r>
      <w:r>
        <w:rPr>
          <w:rFonts w:eastAsiaTheme="minorEastAsia"/>
          <w:lang w:val="zh-CN"/>
        </w:rPr>
        <w:t>%；桡足类11种，占</w:t>
      </w:r>
      <w:r>
        <w:rPr>
          <w:rFonts w:eastAsiaTheme="minorEastAsia"/>
        </w:rPr>
        <w:t>16.92</w:t>
      </w:r>
      <w:r>
        <w:rPr>
          <w:rFonts w:eastAsiaTheme="minorEastAsia"/>
          <w:lang w:val="zh-CN"/>
        </w:rPr>
        <w:t>%；枝角类9种，占</w:t>
      </w:r>
      <w:r>
        <w:rPr>
          <w:rFonts w:eastAsiaTheme="minorEastAsia"/>
        </w:rPr>
        <w:t>13.85</w:t>
      </w:r>
      <w:r>
        <w:rPr>
          <w:rFonts w:eastAsiaTheme="minorEastAsia"/>
          <w:lang w:val="zh-CN"/>
        </w:rPr>
        <w:t>%。各采样点位，浮游动物常见种类有</w:t>
      </w:r>
      <w:r>
        <w:rPr>
          <w:kern w:val="0"/>
        </w:rPr>
        <w:t>球形砂壳虫（</w:t>
      </w:r>
      <w:r>
        <w:rPr>
          <w:i/>
          <w:iCs/>
          <w:kern w:val="0"/>
        </w:rPr>
        <w:t>Difflugia uminata</w:t>
      </w:r>
      <w:r>
        <w:rPr>
          <w:kern w:val="0"/>
        </w:rPr>
        <w:t>）、冠砂壳虫（</w:t>
      </w:r>
      <w:r>
        <w:rPr>
          <w:i/>
          <w:iCs/>
          <w:kern w:val="0"/>
        </w:rPr>
        <w:t>Difflugia coroma</w:t>
      </w:r>
      <w:r>
        <w:rPr>
          <w:kern w:val="0"/>
        </w:rPr>
        <w:t>）</w:t>
      </w:r>
      <w:r>
        <w:rPr>
          <w:rFonts w:eastAsiaTheme="minorEastAsia"/>
          <w:lang w:val="zh-CN"/>
        </w:rPr>
        <w:t>、</w:t>
      </w:r>
      <w:r>
        <w:rPr>
          <w:rFonts w:eastAsiaTheme="minorEastAsia"/>
          <w:kern w:val="0"/>
        </w:rPr>
        <w:t>旋回侠盗虫（</w:t>
      </w:r>
      <w:r>
        <w:rPr>
          <w:rFonts w:eastAsiaTheme="minorEastAsia"/>
          <w:i/>
          <w:kern w:val="0"/>
        </w:rPr>
        <w:t>Strobilidium gyrans</w:t>
      </w:r>
      <w:r>
        <w:rPr>
          <w:rFonts w:eastAsiaTheme="minorEastAsia"/>
          <w:kern w:val="0"/>
        </w:rPr>
        <w:t>）、曲腿龟甲轮虫（</w:t>
      </w:r>
      <w:r>
        <w:rPr>
          <w:rFonts w:eastAsiaTheme="minorEastAsia"/>
          <w:i/>
          <w:kern w:val="0"/>
        </w:rPr>
        <w:t>Keratella</w:t>
      </w:r>
      <w:r>
        <w:rPr>
          <w:rFonts w:eastAsiaTheme="minorEastAsia"/>
          <w:kern w:val="0"/>
        </w:rPr>
        <w:t xml:space="preserve"> </w:t>
      </w:r>
      <w:r>
        <w:rPr>
          <w:rFonts w:eastAsiaTheme="minorEastAsia"/>
          <w:i/>
          <w:kern w:val="0"/>
        </w:rPr>
        <w:t>valga</w:t>
      </w:r>
      <w:r>
        <w:rPr>
          <w:rFonts w:eastAsiaTheme="minorEastAsia"/>
          <w:kern w:val="0"/>
        </w:rPr>
        <w:t>）、针簇多肢轮虫（</w:t>
      </w:r>
      <w:r>
        <w:rPr>
          <w:rFonts w:eastAsiaTheme="minorEastAsia"/>
          <w:i/>
          <w:kern w:val="0"/>
        </w:rPr>
        <w:t>Polyarthra</w:t>
      </w:r>
      <w:r>
        <w:rPr>
          <w:rFonts w:eastAsiaTheme="minorEastAsia"/>
          <w:i/>
          <w:iCs/>
          <w:kern w:val="0"/>
        </w:rPr>
        <w:t xml:space="preserve"> trigla</w:t>
      </w:r>
      <w:r>
        <w:rPr>
          <w:rFonts w:eastAsiaTheme="minorEastAsia"/>
          <w:kern w:val="0"/>
        </w:rPr>
        <w:t>）、</w:t>
      </w:r>
      <w:r>
        <w:rPr>
          <w:kern w:val="0"/>
        </w:rPr>
        <w:t>萼花臂尾轮虫 （</w:t>
      </w:r>
      <w:r>
        <w:rPr>
          <w:i/>
          <w:iCs/>
          <w:kern w:val="0"/>
        </w:rPr>
        <w:t>Branchionus calyciflorus</w:t>
      </w:r>
      <w:r>
        <w:rPr>
          <w:kern w:val="0"/>
        </w:rPr>
        <w:t>）、</w:t>
      </w:r>
      <w:r>
        <w:rPr>
          <w:rFonts w:eastAsiaTheme="minorEastAsia"/>
          <w:kern w:val="0"/>
        </w:rPr>
        <w:t>长额象鼻溞（</w:t>
      </w:r>
      <w:r>
        <w:rPr>
          <w:rFonts w:eastAsiaTheme="minorEastAsia"/>
          <w:i/>
          <w:kern w:val="0"/>
        </w:rPr>
        <w:t>Bosmina</w:t>
      </w:r>
      <w:r>
        <w:rPr>
          <w:rFonts w:eastAsiaTheme="minorEastAsia"/>
          <w:kern w:val="0"/>
        </w:rPr>
        <w:t xml:space="preserve"> </w:t>
      </w:r>
      <w:r>
        <w:rPr>
          <w:rFonts w:eastAsiaTheme="minorEastAsia"/>
          <w:i/>
          <w:kern w:val="0"/>
        </w:rPr>
        <w:t>longirostris</w:t>
      </w:r>
      <w:r>
        <w:rPr>
          <w:rFonts w:eastAsiaTheme="minorEastAsia"/>
          <w:kern w:val="0"/>
        </w:rPr>
        <w:t>）、汤匙华哲水蚤 （</w:t>
      </w:r>
      <w:r>
        <w:rPr>
          <w:rFonts w:eastAsiaTheme="minorEastAsia"/>
          <w:i/>
          <w:kern w:val="0"/>
        </w:rPr>
        <w:t>Sinocalanus</w:t>
      </w:r>
      <w:r>
        <w:rPr>
          <w:rFonts w:eastAsiaTheme="minorEastAsia"/>
          <w:kern w:val="0"/>
        </w:rPr>
        <w:t xml:space="preserve"> </w:t>
      </w:r>
      <w:r>
        <w:rPr>
          <w:rFonts w:eastAsiaTheme="minorEastAsia"/>
          <w:i/>
          <w:kern w:val="0"/>
        </w:rPr>
        <w:t>dorrii</w:t>
      </w:r>
      <w:r>
        <w:rPr>
          <w:rFonts w:eastAsiaTheme="minorEastAsia"/>
          <w:kern w:val="0"/>
        </w:rPr>
        <w:t>）、台湾温剑水蚤（</w:t>
      </w:r>
      <w:r>
        <w:rPr>
          <w:rFonts w:eastAsiaTheme="minorEastAsia"/>
          <w:i/>
          <w:kern w:val="0"/>
        </w:rPr>
        <w:t>Thermocyclops</w:t>
      </w:r>
      <w:r>
        <w:rPr>
          <w:rFonts w:eastAsiaTheme="minorEastAsia"/>
          <w:kern w:val="0"/>
        </w:rPr>
        <w:t xml:space="preserve"> </w:t>
      </w:r>
      <w:r>
        <w:rPr>
          <w:rFonts w:eastAsiaTheme="minorEastAsia"/>
          <w:i/>
          <w:kern w:val="0"/>
        </w:rPr>
        <w:t>taihokuensis</w:t>
      </w:r>
      <w:r>
        <w:rPr>
          <w:rFonts w:eastAsiaTheme="minorEastAsia"/>
          <w:kern w:val="0"/>
        </w:rPr>
        <w:t>）等。</w:t>
      </w:r>
    </w:p>
    <w:p>
      <w:pPr>
        <w:pStyle w:val="3583"/>
        <w:spacing w:line="240" w:lineRule="auto"/>
        <w:ind w:left="0"/>
        <w:rPr>
          <w:szCs w:val="21"/>
        </w:rPr>
      </w:pPr>
      <w:r>
        <w:rPr>
          <w:szCs w:val="21"/>
        </w:rPr>
        <w:t xml:space="preserve"> 11月评价区浮游动物各门种类数及所占比例</w:t>
      </w:r>
    </w:p>
    <w:tbl>
      <w:tblPr>
        <w:tblStyle w:val="87"/>
        <w:tblW w:w="491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646"/>
        <w:gridCol w:w="1617"/>
        <w:gridCol w:w="1505"/>
        <w:gridCol w:w="1505"/>
        <w:gridCol w:w="1505"/>
        <w:gridCol w:w="134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901" w:type="pct"/>
            <w:tcBorders>
              <w:bottom w:val="single" w:color="000000" w:sz="12" w:space="0"/>
            </w:tcBorders>
            <w:shd w:val="clear" w:color="auto" w:fill="auto"/>
            <w:vAlign w:val="center"/>
          </w:tcPr>
          <w:p>
            <w:pPr>
              <w:spacing w:line="240" w:lineRule="auto"/>
              <w:ind w:firstLine="0" w:firstLineChars="0"/>
              <w:jc w:val="center"/>
              <w:rPr>
                <w:b/>
                <w:bCs/>
                <w:sz w:val="21"/>
                <w:szCs w:val="21"/>
              </w:rPr>
            </w:pPr>
            <w:r>
              <w:rPr>
                <w:b/>
                <w:bCs/>
                <w:sz w:val="21"/>
                <w:szCs w:val="21"/>
              </w:rPr>
              <w:t>类别</w:t>
            </w:r>
          </w:p>
        </w:tc>
        <w:tc>
          <w:tcPr>
            <w:tcW w:w="885" w:type="pct"/>
            <w:tcBorders>
              <w:bottom w:val="single" w:color="000000" w:sz="12" w:space="0"/>
            </w:tcBorders>
            <w:shd w:val="clear" w:color="auto" w:fill="auto"/>
            <w:vAlign w:val="center"/>
          </w:tcPr>
          <w:p>
            <w:pPr>
              <w:spacing w:line="240" w:lineRule="auto"/>
              <w:ind w:firstLine="0" w:firstLineChars="0"/>
              <w:jc w:val="center"/>
              <w:rPr>
                <w:b/>
                <w:bCs/>
                <w:sz w:val="21"/>
                <w:szCs w:val="21"/>
              </w:rPr>
            </w:pPr>
            <w:r>
              <w:rPr>
                <w:b/>
                <w:bCs/>
                <w:sz w:val="21"/>
                <w:szCs w:val="21"/>
              </w:rPr>
              <w:t>原生动物</w:t>
            </w:r>
          </w:p>
        </w:tc>
        <w:tc>
          <w:tcPr>
            <w:tcW w:w="824" w:type="pct"/>
            <w:tcBorders>
              <w:bottom w:val="single" w:color="000000" w:sz="12" w:space="0"/>
            </w:tcBorders>
            <w:shd w:val="clear" w:color="auto" w:fill="auto"/>
            <w:vAlign w:val="center"/>
          </w:tcPr>
          <w:p>
            <w:pPr>
              <w:spacing w:line="240" w:lineRule="auto"/>
              <w:ind w:firstLine="0" w:firstLineChars="0"/>
              <w:jc w:val="center"/>
              <w:rPr>
                <w:b/>
                <w:bCs/>
                <w:sz w:val="21"/>
                <w:szCs w:val="21"/>
              </w:rPr>
            </w:pPr>
            <w:r>
              <w:rPr>
                <w:b/>
                <w:bCs/>
                <w:sz w:val="21"/>
                <w:szCs w:val="21"/>
              </w:rPr>
              <w:t>轮虫</w:t>
            </w:r>
          </w:p>
        </w:tc>
        <w:tc>
          <w:tcPr>
            <w:tcW w:w="824" w:type="pct"/>
            <w:tcBorders>
              <w:bottom w:val="single" w:color="000000" w:sz="12" w:space="0"/>
            </w:tcBorders>
            <w:shd w:val="clear" w:color="auto" w:fill="auto"/>
            <w:vAlign w:val="center"/>
          </w:tcPr>
          <w:p>
            <w:pPr>
              <w:spacing w:line="240" w:lineRule="auto"/>
              <w:ind w:firstLine="0" w:firstLineChars="0"/>
              <w:jc w:val="center"/>
              <w:rPr>
                <w:b/>
                <w:bCs/>
                <w:sz w:val="21"/>
                <w:szCs w:val="21"/>
              </w:rPr>
            </w:pPr>
            <w:r>
              <w:rPr>
                <w:b/>
                <w:bCs/>
                <w:sz w:val="21"/>
                <w:szCs w:val="21"/>
              </w:rPr>
              <w:t>枝角类</w:t>
            </w:r>
          </w:p>
        </w:tc>
        <w:tc>
          <w:tcPr>
            <w:tcW w:w="824" w:type="pct"/>
            <w:tcBorders>
              <w:bottom w:val="single" w:color="000000" w:sz="12" w:space="0"/>
            </w:tcBorders>
            <w:shd w:val="clear" w:color="auto" w:fill="auto"/>
            <w:vAlign w:val="center"/>
          </w:tcPr>
          <w:p>
            <w:pPr>
              <w:spacing w:line="240" w:lineRule="auto"/>
              <w:ind w:firstLine="0" w:firstLineChars="0"/>
              <w:jc w:val="center"/>
              <w:rPr>
                <w:b/>
                <w:bCs/>
                <w:sz w:val="21"/>
                <w:szCs w:val="21"/>
              </w:rPr>
            </w:pPr>
            <w:r>
              <w:rPr>
                <w:b/>
                <w:bCs/>
                <w:sz w:val="21"/>
                <w:szCs w:val="21"/>
              </w:rPr>
              <w:t>桡足类</w:t>
            </w:r>
          </w:p>
        </w:tc>
        <w:tc>
          <w:tcPr>
            <w:tcW w:w="738" w:type="pct"/>
            <w:tcBorders>
              <w:bottom w:val="single" w:color="000000" w:sz="12" w:space="0"/>
            </w:tcBorders>
            <w:shd w:val="clear" w:color="auto" w:fill="auto"/>
            <w:vAlign w:val="center"/>
          </w:tcPr>
          <w:p>
            <w:pPr>
              <w:spacing w:line="240" w:lineRule="auto"/>
              <w:ind w:firstLine="0" w:firstLineChars="0"/>
              <w:jc w:val="center"/>
              <w:rPr>
                <w:b/>
                <w:bCs/>
                <w:sz w:val="21"/>
                <w:szCs w:val="21"/>
              </w:rPr>
            </w:pPr>
            <w:r>
              <w:rPr>
                <w:b/>
                <w:bCs/>
                <w:sz w:val="21"/>
                <w:szCs w:val="21"/>
              </w:rPr>
              <w:t>合计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901" w:type="pct"/>
            <w:tcBorders>
              <w:top w:val="single" w:color="000000" w:sz="12" w:space="0"/>
              <w:tl2br w:val="nil"/>
              <w:tr2bl w:val="nil"/>
            </w:tcBorders>
            <w:shd w:val="clear" w:color="auto" w:fill="auto"/>
            <w:vAlign w:val="center"/>
          </w:tcPr>
          <w:p>
            <w:pPr>
              <w:spacing w:line="240" w:lineRule="auto"/>
              <w:ind w:firstLine="0" w:firstLineChars="0"/>
              <w:jc w:val="center"/>
              <w:rPr>
                <w:sz w:val="21"/>
                <w:szCs w:val="21"/>
              </w:rPr>
            </w:pPr>
            <w:r>
              <w:rPr>
                <w:sz w:val="21"/>
                <w:szCs w:val="21"/>
              </w:rPr>
              <w:t>种类数</w:t>
            </w:r>
          </w:p>
        </w:tc>
        <w:tc>
          <w:tcPr>
            <w:tcW w:w="885" w:type="pct"/>
            <w:tcBorders>
              <w:top w:val="single" w:color="000000" w:sz="12" w:space="0"/>
              <w:tl2br w:val="nil"/>
              <w:tr2bl w:val="nil"/>
            </w:tcBorders>
            <w:shd w:val="clear" w:color="auto" w:fill="auto"/>
            <w:vAlign w:val="center"/>
          </w:tcPr>
          <w:p>
            <w:pPr>
              <w:spacing w:line="240" w:lineRule="auto"/>
              <w:ind w:firstLine="0" w:firstLineChars="0"/>
              <w:jc w:val="center"/>
              <w:rPr>
                <w:sz w:val="21"/>
                <w:szCs w:val="21"/>
              </w:rPr>
            </w:pPr>
            <w:r>
              <w:rPr>
                <w:sz w:val="21"/>
                <w:szCs w:val="21"/>
              </w:rPr>
              <w:t>26</w:t>
            </w:r>
          </w:p>
        </w:tc>
        <w:tc>
          <w:tcPr>
            <w:tcW w:w="824" w:type="pct"/>
            <w:tcBorders>
              <w:top w:val="single" w:color="000000" w:sz="12" w:space="0"/>
              <w:tl2br w:val="nil"/>
              <w:tr2bl w:val="nil"/>
            </w:tcBorders>
            <w:shd w:val="clear" w:color="auto" w:fill="auto"/>
            <w:vAlign w:val="center"/>
          </w:tcPr>
          <w:p>
            <w:pPr>
              <w:spacing w:line="240" w:lineRule="auto"/>
              <w:ind w:firstLine="0" w:firstLineChars="0"/>
              <w:jc w:val="center"/>
              <w:rPr>
                <w:sz w:val="21"/>
                <w:szCs w:val="21"/>
              </w:rPr>
            </w:pPr>
            <w:r>
              <w:rPr>
                <w:sz w:val="21"/>
                <w:szCs w:val="21"/>
              </w:rPr>
              <w:t>19</w:t>
            </w:r>
          </w:p>
        </w:tc>
        <w:tc>
          <w:tcPr>
            <w:tcW w:w="824" w:type="pct"/>
            <w:tcBorders>
              <w:top w:val="single" w:color="000000" w:sz="12" w:space="0"/>
              <w:tl2br w:val="nil"/>
              <w:tr2bl w:val="nil"/>
            </w:tcBorders>
            <w:shd w:val="clear" w:color="auto" w:fill="auto"/>
            <w:vAlign w:val="center"/>
          </w:tcPr>
          <w:p>
            <w:pPr>
              <w:spacing w:line="240" w:lineRule="auto"/>
              <w:ind w:firstLine="0" w:firstLineChars="0"/>
              <w:jc w:val="center"/>
              <w:rPr>
                <w:sz w:val="21"/>
                <w:szCs w:val="21"/>
              </w:rPr>
            </w:pPr>
            <w:r>
              <w:rPr>
                <w:sz w:val="21"/>
                <w:szCs w:val="21"/>
              </w:rPr>
              <w:t>9</w:t>
            </w:r>
          </w:p>
        </w:tc>
        <w:tc>
          <w:tcPr>
            <w:tcW w:w="824" w:type="pct"/>
            <w:tcBorders>
              <w:top w:val="single" w:color="000000" w:sz="12" w:space="0"/>
              <w:tl2br w:val="nil"/>
              <w:tr2bl w:val="nil"/>
            </w:tcBorders>
            <w:shd w:val="clear" w:color="auto" w:fill="auto"/>
            <w:vAlign w:val="center"/>
          </w:tcPr>
          <w:p>
            <w:pPr>
              <w:spacing w:line="240" w:lineRule="auto"/>
              <w:ind w:firstLine="0" w:firstLineChars="0"/>
              <w:jc w:val="center"/>
              <w:rPr>
                <w:sz w:val="21"/>
                <w:szCs w:val="21"/>
              </w:rPr>
            </w:pPr>
            <w:r>
              <w:rPr>
                <w:sz w:val="21"/>
                <w:szCs w:val="21"/>
              </w:rPr>
              <w:t>11</w:t>
            </w:r>
          </w:p>
        </w:tc>
        <w:tc>
          <w:tcPr>
            <w:tcW w:w="738" w:type="pct"/>
            <w:tcBorders>
              <w:top w:val="single" w:color="000000" w:sz="12" w:space="0"/>
              <w:tl2br w:val="nil"/>
              <w:tr2bl w:val="nil"/>
            </w:tcBorders>
            <w:shd w:val="clear" w:color="auto" w:fill="auto"/>
            <w:vAlign w:val="center"/>
          </w:tcPr>
          <w:p>
            <w:pPr>
              <w:spacing w:line="240" w:lineRule="auto"/>
              <w:ind w:firstLine="0" w:firstLineChars="0"/>
              <w:jc w:val="center"/>
              <w:rPr>
                <w:sz w:val="21"/>
                <w:szCs w:val="21"/>
              </w:rPr>
            </w:pPr>
            <w:r>
              <w:rPr>
                <w:sz w:val="21"/>
                <w:szCs w:val="21"/>
              </w:rPr>
              <w:t>65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901" w:type="pct"/>
            <w:tcBorders>
              <w:tl2br w:val="nil"/>
              <w:tr2bl w:val="nil"/>
            </w:tcBorders>
            <w:shd w:val="clear" w:color="auto" w:fill="auto"/>
            <w:vAlign w:val="center"/>
          </w:tcPr>
          <w:p>
            <w:pPr>
              <w:widowControl/>
              <w:spacing w:line="240" w:lineRule="auto"/>
              <w:ind w:firstLine="0" w:firstLineChars="0"/>
              <w:jc w:val="center"/>
              <w:textAlignment w:val="center"/>
              <w:rPr>
                <w:color w:val="000000"/>
                <w:kern w:val="0"/>
                <w:sz w:val="21"/>
                <w:szCs w:val="21"/>
                <w:lang w:bidi="ar"/>
              </w:rPr>
            </w:pPr>
            <w:r>
              <w:rPr>
                <w:color w:val="000000"/>
                <w:kern w:val="0"/>
                <w:sz w:val="21"/>
                <w:szCs w:val="21"/>
                <w:lang w:bidi="ar"/>
              </w:rPr>
              <w:t>百分比（%）</w:t>
            </w:r>
          </w:p>
        </w:tc>
        <w:tc>
          <w:tcPr>
            <w:tcW w:w="885" w:type="pct"/>
            <w:tcBorders>
              <w:tl2br w:val="nil"/>
              <w:tr2bl w:val="nil"/>
            </w:tcBorders>
            <w:shd w:val="clear" w:color="auto" w:fill="auto"/>
            <w:vAlign w:val="center"/>
          </w:tcPr>
          <w:p>
            <w:pPr>
              <w:widowControl/>
              <w:spacing w:line="240" w:lineRule="auto"/>
              <w:ind w:firstLine="0" w:firstLineChars="0"/>
              <w:jc w:val="center"/>
              <w:textAlignment w:val="center"/>
              <w:rPr>
                <w:color w:val="000000"/>
                <w:kern w:val="0"/>
                <w:sz w:val="21"/>
                <w:szCs w:val="21"/>
                <w:lang w:bidi="ar"/>
              </w:rPr>
            </w:pPr>
            <w:r>
              <w:rPr>
                <w:color w:val="000000"/>
                <w:kern w:val="0"/>
                <w:sz w:val="21"/>
                <w:szCs w:val="21"/>
                <w:lang w:bidi="ar"/>
              </w:rPr>
              <w:t>40.00</w:t>
            </w:r>
          </w:p>
        </w:tc>
        <w:tc>
          <w:tcPr>
            <w:tcW w:w="824" w:type="pct"/>
            <w:tcBorders>
              <w:tl2br w:val="nil"/>
              <w:tr2bl w:val="nil"/>
            </w:tcBorders>
            <w:shd w:val="clear" w:color="auto" w:fill="auto"/>
            <w:vAlign w:val="center"/>
          </w:tcPr>
          <w:p>
            <w:pPr>
              <w:widowControl/>
              <w:spacing w:line="240" w:lineRule="auto"/>
              <w:ind w:firstLine="0" w:firstLineChars="0"/>
              <w:jc w:val="center"/>
              <w:textAlignment w:val="center"/>
              <w:rPr>
                <w:color w:val="000000"/>
                <w:kern w:val="0"/>
                <w:sz w:val="21"/>
                <w:szCs w:val="21"/>
                <w:lang w:bidi="ar"/>
              </w:rPr>
            </w:pPr>
            <w:r>
              <w:rPr>
                <w:color w:val="000000"/>
                <w:kern w:val="0"/>
                <w:sz w:val="21"/>
                <w:szCs w:val="21"/>
                <w:lang w:bidi="ar"/>
              </w:rPr>
              <w:t>29.23</w:t>
            </w:r>
          </w:p>
        </w:tc>
        <w:tc>
          <w:tcPr>
            <w:tcW w:w="824" w:type="pct"/>
            <w:tcBorders>
              <w:tl2br w:val="nil"/>
              <w:tr2bl w:val="nil"/>
            </w:tcBorders>
            <w:shd w:val="clear" w:color="auto" w:fill="auto"/>
            <w:vAlign w:val="center"/>
          </w:tcPr>
          <w:p>
            <w:pPr>
              <w:widowControl/>
              <w:spacing w:line="240" w:lineRule="auto"/>
              <w:ind w:firstLine="0" w:firstLineChars="0"/>
              <w:jc w:val="center"/>
              <w:textAlignment w:val="center"/>
              <w:rPr>
                <w:color w:val="000000"/>
                <w:kern w:val="0"/>
                <w:sz w:val="21"/>
                <w:szCs w:val="21"/>
                <w:lang w:bidi="ar"/>
              </w:rPr>
            </w:pPr>
            <w:r>
              <w:rPr>
                <w:color w:val="000000"/>
                <w:kern w:val="0"/>
                <w:sz w:val="21"/>
                <w:szCs w:val="21"/>
                <w:lang w:bidi="ar"/>
              </w:rPr>
              <w:t>13.85</w:t>
            </w:r>
          </w:p>
        </w:tc>
        <w:tc>
          <w:tcPr>
            <w:tcW w:w="824" w:type="pct"/>
            <w:tcBorders>
              <w:tl2br w:val="nil"/>
              <w:tr2bl w:val="nil"/>
            </w:tcBorders>
            <w:shd w:val="clear" w:color="auto" w:fill="auto"/>
            <w:vAlign w:val="center"/>
          </w:tcPr>
          <w:p>
            <w:pPr>
              <w:widowControl/>
              <w:spacing w:line="240" w:lineRule="auto"/>
              <w:ind w:firstLine="0" w:firstLineChars="0"/>
              <w:jc w:val="center"/>
              <w:textAlignment w:val="center"/>
              <w:rPr>
                <w:color w:val="000000"/>
                <w:kern w:val="0"/>
                <w:sz w:val="21"/>
                <w:szCs w:val="21"/>
                <w:lang w:bidi="ar"/>
              </w:rPr>
            </w:pPr>
            <w:r>
              <w:rPr>
                <w:color w:val="000000"/>
                <w:kern w:val="0"/>
                <w:sz w:val="21"/>
                <w:szCs w:val="21"/>
                <w:lang w:bidi="ar"/>
              </w:rPr>
              <w:t>16.92</w:t>
            </w:r>
          </w:p>
        </w:tc>
        <w:tc>
          <w:tcPr>
            <w:tcW w:w="738" w:type="pct"/>
            <w:tcBorders>
              <w:tl2br w:val="nil"/>
              <w:tr2bl w:val="nil"/>
            </w:tcBorders>
            <w:shd w:val="clear" w:color="auto" w:fill="auto"/>
            <w:vAlign w:val="center"/>
          </w:tcPr>
          <w:p>
            <w:pPr>
              <w:widowControl/>
              <w:spacing w:line="240" w:lineRule="auto"/>
              <w:ind w:firstLine="0" w:firstLineChars="0"/>
              <w:jc w:val="center"/>
              <w:textAlignment w:val="center"/>
              <w:rPr>
                <w:color w:val="000000"/>
                <w:kern w:val="0"/>
                <w:sz w:val="21"/>
                <w:szCs w:val="21"/>
                <w:lang w:bidi="ar"/>
              </w:rPr>
            </w:pPr>
            <w:r>
              <w:rPr>
                <w:color w:val="000000"/>
                <w:kern w:val="0"/>
                <w:sz w:val="21"/>
                <w:szCs w:val="21"/>
                <w:lang w:bidi="ar"/>
              </w:rPr>
              <w:t>100</w:t>
            </w:r>
          </w:p>
        </w:tc>
      </w:tr>
    </w:tbl>
    <w:p>
      <w:pPr>
        <w:ind w:firstLine="482"/>
        <w:rPr>
          <w:b/>
          <w:bCs/>
          <w:color w:val="000000" w:themeColor="text1"/>
          <w:kern w:val="0"/>
          <w14:textFill>
            <w14:solidFill>
              <w14:schemeClr w14:val="tx1"/>
            </w14:solidFill>
          </w14:textFill>
        </w:rPr>
      </w:pPr>
      <w:r>
        <w:rPr>
          <w:b/>
          <w:bCs/>
          <w:color w:val="000000" w:themeColor="text1"/>
          <w:kern w:val="0"/>
          <w14:textFill>
            <w14:solidFill>
              <w14:schemeClr w14:val="tx1"/>
            </w14:solidFill>
          </w14:textFill>
        </w:rPr>
        <w:t>（3）小结</w:t>
      </w:r>
    </w:p>
    <w:p>
      <w:pPr>
        <w:pStyle w:val="34"/>
        <w:spacing w:line="360" w:lineRule="auto"/>
        <w:ind w:firstLine="480"/>
        <w:rPr>
          <w:rFonts w:ascii="Times New Roman" w:hAnsi="Times New Roman"/>
          <w:bCs/>
          <w:kern w:val="0"/>
          <w:sz w:val="24"/>
          <w:szCs w:val="24"/>
        </w:rPr>
      </w:pPr>
      <w:r>
        <w:rPr>
          <w:rFonts w:ascii="Times New Roman" w:hAnsi="Times New Roman"/>
          <w:color w:val="000000" w:themeColor="text1"/>
          <w:kern w:val="0"/>
          <w:sz w:val="24"/>
          <w:szCs w:val="24"/>
          <w14:textFill>
            <w14:solidFill>
              <w14:schemeClr w14:val="tx1"/>
            </w14:solidFill>
          </w14:textFill>
        </w:rPr>
        <w:t>2021年6月和2020年11月，</w:t>
      </w:r>
      <w:r>
        <w:rPr>
          <w:rFonts w:ascii="Times New Roman" w:hAnsi="Times New Roman"/>
          <w:bCs/>
          <w:kern w:val="0"/>
          <w:sz w:val="24"/>
          <w:szCs w:val="24"/>
        </w:rPr>
        <w:t>评价区内共检出浮游动物</w:t>
      </w:r>
      <w:r>
        <w:rPr>
          <w:rFonts w:ascii="Times New Roman" w:hAnsi="Times New Roman"/>
          <w:color w:val="000000" w:themeColor="text1"/>
          <w:sz w:val="24"/>
          <w:szCs w:val="24"/>
          <w14:textFill>
            <w14:solidFill>
              <w14:schemeClr w14:val="tx1"/>
            </w14:solidFill>
          </w14:textFill>
        </w:rPr>
        <w:t>4类86种（属）。其中，</w:t>
      </w:r>
      <w:r>
        <w:rPr>
          <w:rFonts w:ascii="Times New Roman" w:hAnsi="Times New Roman"/>
          <w:sz w:val="24"/>
          <w:szCs w:val="24"/>
          <w:lang w:val="zh-CN"/>
        </w:rPr>
        <w:t>原生动物</w:t>
      </w:r>
      <w:r>
        <w:rPr>
          <w:rFonts w:ascii="Times New Roman" w:hAnsi="Times New Roman"/>
          <w:sz w:val="24"/>
          <w:szCs w:val="24"/>
        </w:rPr>
        <w:t>30</w:t>
      </w:r>
      <w:r>
        <w:rPr>
          <w:rFonts w:ascii="Times New Roman" w:hAnsi="Times New Roman"/>
          <w:sz w:val="24"/>
          <w:szCs w:val="24"/>
          <w:lang w:val="zh-CN"/>
        </w:rPr>
        <w:t>种（属），占浮游动物种类的</w:t>
      </w:r>
      <w:r>
        <w:rPr>
          <w:rFonts w:ascii="Times New Roman" w:hAnsi="Times New Roman"/>
          <w:sz w:val="24"/>
          <w:szCs w:val="24"/>
        </w:rPr>
        <w:t>34.88</w:t>
      </w:r>
      <w:r>
        <w:rPr>
          <w:rFonts w:ascii="Times New Roman" w:hAnsi="Times New Roman"/>
          <w:sz w:val="24"/>
          <w:szCs w:val="24"/>
          <w:lang w:val="zh-CN"/>
        </w:rPr>
        <w:t>%；轮虫</w:t>
      </w:r>
      <w:r>
        <w:rPr>
          <w:rFonts w:ascii="Times New Roman" w:hAnsi="Times New Roman"/>
          <w:sz w:val="24"/>
          <w:szCs w:val="24"/>
        </w:rPr>
        <w:t>31</w:t>
      </w:r>
      <w:r>
        <w:rPr>
          <w:rFonts w:ascii="Times New Roman" w:hAnsi="Times New Roman"/>
          <w:sz w:val="24"/>
          <w:szCs w:val="24"/>
          <w:lang w:val="zh-CN"/>
        </w:rPr>
        <w:t>种（属），占</w:t>
      </w:r>
      <w:r>
        <w:rPr>
          <w:rFonts w:ascii="Times New Roman" w:hAnsi="Times New Roman"/>
          <w:sz w:val="24"/>
          <w:szCs w:val="24"/>
        </w:rPr>
        <w:t>36.05</w:t>
      </w:r>
      <w:r>
        <w:rPr>
          <w:rFonts w:ascii="Times New Roman" w:hAnsi="Times New Roman"/>
          <w:sz w:val="24"/>
          <w:szCs w:val="24"/>
          <w:lang w:val="zh-CN"/>
        </w:rPr>
        <w:t>%；桡足类</w:t>
      </w:r>
      <w:r>
        <w:rPr>
          <w:rFonts w:ascii="Times New Roman" w:hAnsi="Times New Roman"/>
          <w:sz w:val="24"/>
          <w:szCs w:val="24"/>
        </w:rPr>
        <w:t>13</w:t>
      </w:r>
      <w:r>
        <w:rPr>
          <w:rFonts w:ascii="Times New Roman" w:hAnsi="Times New Roman"/>
          <w:sz w:val="24"/>
          <w:szCs w:val="24"/>
          <w:lang w:val="zh-CN"/>
        </w:rPr>
        <w:t>种（属），占</w:t>
      </w:r>
      <w:r>
        <w:rPr>
          <w:rFonts w:ascii="Times New Roman" w:hAnsi="Times New Roman"/>
          <w:sz w:val="24"/>
          <w:szCs w:val="24"/>
        </w:rPr>
        <w:t>15.12</w:t>
      </w:r>
      <w:r>
        <w:rPr>
          <w:rFonts w:ascii="Times New Roman" w:hAnsi="Times New Roman"/>
          <w:sz w:val="24"/>
          <w:szCs w:val="24"/>
          <w:lang w:val="zh-CN"/>
        </w:rPr>
        <w:t>%；桡足类</w:t>
      </w:r>
      <w:r>
        <w:rPr>
          <w:rFonts w:ascii="Times New Roman" w:hAnsi="Times New Roman"/>
          <w:sz w:val="24"/>
          <w:szCs w:val="24"/>
        </w:rPr>
        <w:t>12</w:t>
      </w:r>
      <w:r>
        <w:rPr>
          <w:rFonts w:ascii="Times New Roman" w:hAnsi="Times New Roman"/>
          <w:sz w:val="24"/>
          <w:szCs w:val="24"/>
          <w:lang w:val="zh-CN"/>
        </w:rPr>
        <w:t>种（属），占</w:t>
      </w:r>
      <w:r>
        <w:rPr>
          <w:rFonts w:ascii="Times New Roman" w:hAnsi="Times New Roman"/>
          <w:sz w:val="24"/>
          <w:szCs w:val="24"/>
        </w:rPr>
        <w:t>13.95</w:t>
      </w:r>
      <w:r>
        <w:rPr>
          <w:rFonts w:ascii="Times New Roman" w:hAnsi="Times New Roman"/>
          <w:sz w:val="24"/>
          <w:szCs w:val="24"/>
          <w:lang w:val="zh-CN"/>
        </w:rPr>
        <w:t>%。各采样点浮游动物常见种类有</w:t>
      </w:r>
      <w:r>
        <w:rPr>
          <w:rFonts w:ascii="Times New Roman" w:hAnsi="Times New Roman"/>
          <w:sz w:val="24"/>
          <w:szCs w:val="24"/>
        </w:rPr>
        <w:t>球形砂壳虫（</w:t>
      </w:r>
      <w:r>
        <w:rPr>
          <w:rFonts w:ascii="Times New Roman" w:hAnsi="Times New Roman"/>
          <w:i/>
          <w:iCs/>
          <w:color w:val="000000"/>
          <w:kern w:val="0"/>
          <w:sz w:val="24"/>
          <w:szCs w:val="24"/>
          <w:lang w:bidi="ar"/>
        </w:rPr>
        <w:t>Difflugia uminata</w:t>
      </w:r>
      <w:r>
        <w:rPr>
          <w:rFonts w:ascii="Times New Roman" w:hAnsi="Times New Roman"/>
          <w:sz w:val="24"/>
          <w:szCs w:val="24"/>
        </w:rPr>
        <w:t>）、曲腿龟甲轮虫（</w:t>
      </w:r>
      <w:r>
        <w:rPr>
          <w:rFonts w:ascii="Times New Roman" w:hAnsi="Times New Roman"/>
          <w:i/>
          <w:iCs/>
          <w:color w:val="000000"/>
          <w:kern w:val="0"/>
          <w:sz w:val="24"/>
          <w:szCs w:val="24"/>
          <w:lang w:bidi="ar"/>
        </w:rPr>
        <w:t>Keratella valga</w:t>
      </w:r>
      <w:r>
        <w:rPr>
          <w:rFonts w:ascii="Times New Roman" w:hAnsi="Times New Roman"/>
          <w:sz w:val="24"/>
          <w:szCs w:val="24"/>
        </w:rPr>
        <w:t>）、</w:t>
      </w:r>
      <w:r>
        <w:rPr>
          <w:rFonts w:ascii="Times New Roman" w:hAnsi="Times New Roman"/>
          <w:color w:val="000000"/>
          <w:kern w:val="0"/>
          <w:sz w:val="24"/>
          <w:szCs w:val="24"/>
          <w:lang w:bidi="ar"/>
        </w:rPr>
        <w:t>前节晶囊轮虫（</w:t>
      </w:r>
      <w:r>
        <w:rPr>
          <w:rFonts w:ascii="Times New Roman" w:hAnsi="Times New Roman"/>
          <w:i/>
          <w:iCs/>
          <w:color w:val="000000"/>
          <w:kern w:val="0"/>
          <w:sz w:val="24"/>
          <w:szCs w:val="24"/>
          <w:lang w:bidi="ar"/>
        </w:rPr>
        <w:t>Asplanchna prosdonta</w:t>
      </w:r>
      <w:r>
        <w:rPr>
          <w:rFonts w:ascii="Times New Roman" w:hAnsi="Times New Roman"/>
          <w:color w:val="000000"/>
          <w:kern w:val="0"/>
          <w:sz w:val="24"/>
          <w:szCs w:val="24"/>
          <w:lang w:bidi="ar"/>
        </w:rPr>
        <w:t>）、</w:t>
      </w:r>
      <w:r>
        <w:rPr>
          <w:rFonts w:ascii="Times New Roman" w:hAnsi="Times New Roman"/>
          <w:color w:val="000000"/>
          <w:kern w:val="0"/>
          <w:sz w:val="24"/>
          <w:szCs w:val="24"/>
        </w:rPr>
        <w:t>长额象鼻溞（</w:t>
      </w:r>
      <w:r>
        <w:rPr>
          <w:rFonts w:ascii="Times New Roman" w:hAnsi="Times New Roman"/>
          <w:i/>
          <w:color w:val="000000"/>
          <w:kern w:val="0"/>
          <w:sz w:val="24"/>
          <w:szCs w:val="24"/>
        </w:rPr>
        <w:t>Bosmina</w:t>
      </w:r>
      <w:r>
        <w:rPr>
          <w:rFonts w:ascii="Times New Roman" w:hAnsi="Times New Roman"/>
          <w:color w:val="000000"/>
          <w:kern w:val="0"/>
          <w:sz w:val="24"/>
          <w:szCs w:val="24"/>
        </w:rPr>
        <w:t xml:space="preserve"> </w:t>
      </w:r>
      <w:r>
        <w:rPr>
          <w:rFonts w:ascii="Times New Roman" w:hAnsi="Times New Roman"/>
          <w:i/>
          <w:color w:val="000000"/>
          <w:kern w:val="0"/>
          <w:sz w:val="24"/>
          <w:szCs w:val="24"/>
        </w:rPr>
        <w:t>longirostris</w:t>
      </w:r>
      <w:r>
        <w:rPr>
          <w:rFonts w:ascii="Times New Roman" w:hAnsi="Times New Roman"/>
          <w:color w:val="000000"/>
          <w:kern w:val="0"/>
          <w:sz w:val="24"/>
          <w:szCs w:val="24"/>
        </w:rPr>
        <w:t>）、</w:t>
      </w:r>
      <w:r>
        <w:rPr>
          <w:rFonts w:ascii="Times New Roman" w:hAnsi="Times New Roman"/>
          <w:color w:val="000000"/>
          <w:kern w:val="0"/>
          <w:sz w:val="24"/>
          <w:szCs w:val="24"/>
          <w:lang w:bidi="ar"/>
        </w:rPr>
        <w:t>直额裸腹溞（</w:t>
      </w:r>
      <w:r>
        <w:rPr>
          <w:rFonts w:ascii="Times New Roman" w:hAnsi="Times New Roman"/>
          <w:i/>
          <w:iCs/>
          <w:color w:val="000000"/>
          <w:kern w:val="0"/>
          <w:sz w:val="24"/>
          <w:szCs w:val="24"/>
          <w:lang w:bidi="ar"/>
        </w:rPr>
        <w:t>Moina rectirorstris</w:t>
      </w:r>
      <w:r>
        <w:rPr>
          <w:rFonts w:ascii="Times New Roman" w:hAnsi="Times New Roman"/>
          <w:color w:val="000000"/>
          <w:kern w:val="0"/>
          <w:sz w:val="24"/>
          <w:szCs w:val="24"/>
          <w:lang w:bidi="ar"/>
        </w:rPr>
        <w:t>）、</w:t>
      </w:r>
      <w:r>
        <w:rPr>
          <w:rFonts w:ascii="Times New Roman" w:hAnsi="Times New Roman"/>
          <w:color w:val="000000"/>
          <w:kern w:val="0"/>
          <w:sz w:val="24"/>
          <w:szCs w:val="24"/>
        </w:rPr>
        <w:t>无节幼体（Nauplius）、广布中剑水蚤（</w:t>
      </w:r>
      <w:r>
        <w:rPr>
          <w:rFonts w:ascii="Times New Roman" w:hAnsi="Times New Roman"/>
          <w:i/>
          <w:iCs/>
          <w:color w:val="000000"/>
          <w:kern w:val="0"/>
          <w:sz w:val="24"/>
          <w:szCs w:val="24"/>
          <w:lang w:bidi="ar"/>
        </w:rPr>
        <w:t>Mesocyclops leuckarti</w:t>
      </w:r>
      <w:r>
        <w:rPr>
          <w:rFonts w:ascii="Times New Roman" w:hAnsi="Times New Roman"/>
          <w:color w:val="000000"/>
          <w:kern w:val="0"/>
          <w:sz w:val="24"/>
          <w:szCs w:val="24"/>
        </w:rPr>
        <w:t>）等。</w:t>
      </w:r>
      <w:r>
        <w:rPr>
          <w:rFonts w:ascii="Times New Roman" w:hAnsi="Times New Roman"/>
          <w:color w:val="000000" w:themeColor="text1"/>
          <w:sz w:val="24"/>
          <w:szCs w:val="24"/>
          <w14:textFill>
            <w14:solidFill>
              <w14:schemeClr w14:val="tx1"/>
            </w14:solidFill>
          </w14:textFill>
        </w:rPr>
        <w:t>评价区浮游动物名录见附表2，</w:t>
      </w:r>
      <w:r>
        <w:rPr>
          <w:rFonts w:ascii="Times New Roman" w:hAnsi="Times New Roman"/>
          <w:sz w:val="24"/>
          <w:szCs w:val="24"/>
          <w:lang w:bidi="ar"/>
        </w:rPr>
        <w:t>各类浮游动物种数及比例见表</w:t>
      </w:r>
      <w:r>
        <w:rPr>
          <w:rFonts w:hint="eastAsia" w:ascii="Times New Roman" w:hAnsi="Times New Roman"/>
          <w:sz w:val="24"/>
          <w:szCs w:val="24"/>
          <w:lang w:bidi="ar"/>
        </w:rPr>
        <w:t>3-34</w:t>
      </w:r>
      <w:r>
        <w:rPr>
          <w:rFonts w:ascii="Times New Roman" w:hAnsi="Times New Roman"/>
          <w:sz w:val="24"/>
          <w:szCs w:val="24"/>
          <w:lang w:bidi="ar"/>
        </w:rPr>
        <w:t>。</w:t>
      </w:r>
    </w:p>
    <w:p>
      <w:pPr>
        <w:pStyle w:val="3583"/>
        <w:spacing w:line="240" w:lineRule="auto"/>
        <w:ind w:left="0"/>
        <w:rPr>
          <w:color w:val="000000" w:themeColor="text1"/>
          <w:szCs w:val="20"/>
          <w14:textFill>
            <w14:solidFill>
              <w14:schemeClr w14:val="tx1"/>
            </w14:solidFill>
          </w14:textFill>
        </w:rPr>
      </w:pPr>
      <w:r>
        <w:rPr>
          <w:color w:val="000000" w:themeColor="text1"/>
          <w:szCs w:val="20"/>
          <w14:textFill>
            <w14:solidFill>
              <w14:schemeClr w14:val="tx1"/>
            </w14:solidFill>
          </w14:textFill>
        </w:rPr>
        <w:t>评价区各类浮游动物种数及所占比例</w:t>
      </w:r>
    </w:p>
    <w:tbl>
      <w:tblPr>
        <w:tblStyle w:val="87"/>
        <w:tblW w:w="4813" w:type="pct"/>
        <w:tblInd w:w="14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447"/>
        <w:gridCol w:w="1533"/>
        <w:gridCol w:w="1538"/>
        <w:gridCol w:w="1538"/>
        <w:gridCol w:w="1539"/>
        <w:gridCol w:w="134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809" w:type="pct"/>
            <w:tcBorders>
              <w:bottom w:val="single" w:color="000000" w:sz="12" w:space="0"/>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类别</w:t>
            </w:r>
          </w:p>
        </w:tc>
        <w:tc>
          <w:tcPr>
            <w:tcW w:w="857" w:type="pct"/>
            <w:tcBorders>
              <w:bottom w:val="single" w:color="000000" w:sz="12" w:space="0"/>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原生动物</w:t>
            </w:r>
          </w:p>
        </w:tc>
        <w:tc>
          <w:tcPr>
            <w:tcW w:w="860" w:type="pct"/>
            <w:tcBorders>
              <w:bottom w:val="single" w:color="000000" w:sz="12" w:space="0"/>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轮虫</w:t>
            </w:r>
          </w:p>
        </w:tc>
        <w:tc>
          <w:tcPr>
            <w:tcW w:w="860" w:type="pct"/>
            <w:tcBorders>
              <w:bottom w:val="single" w:color="000000" w:sz="12" w:space="0"/>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枝角类</w:t>
            </w:r>
          </w:p>
        </w:tc>
        <w:tc>
          <w:tcPr>
            <w:tcW w:w="860" w:type="pct"/>
            <w:tcBorders>
              <w:bottom w:val="single" w:color="000000" w:sz="12" w:space="0"/>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桡足类</w:t>
            </w:r>
          </w:p>
        </w:tc>
        <w:tc>
          <w:tcPr>
            <w:tcW w:w="751" w:type="pct"/>
            <w:tcBorders>
              <w:bottom w:val="single" w:color="000000" w:sz="12" w:space="0"/>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合计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809"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种类数</w:t>
            </w:r>
          </w:p>
        </w:tc>
        <w:tc>
          <w:tcPr>
            <w:tcW w:w="857"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30</w:t>
            </w:r>
          </w:p>
        </w:tc>
        <w:tc>
          <w:tcPr>
            <w:tcW w:w="860"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31</w:t>
            </w:r>
          </w:p>
        </w:tc>
        <w:tc>
          <w:tcPr>
            <w:tcW w:w="860"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13</w:t>
            </w:r>
          </w:p>
        </w:tc>
        <w:tc>
          <w:tcPr>
            <w:tcW w:w="860"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12</w:t>
            </w:r>
          </w:p>
        </w:tc>
        <w:tc>
          <w:tcPr>
            <w:tcW w:w="751"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86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809"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百分比（%）</w:t>
            </w:r>
          </w:p>
        </w:tc>
        <w:tc>
          <w:tcPr>
            <w:tcW w:w="857"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 xml:space="preserve">34.88 </w:t>
            </w:r>
          </w:p>
        </w:tc>
        <w:tc>
          <w:tcPr>
            <w:tcW w:w="86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 xml:space="preserve">36.05 </w:t>
            </w:r>
          </w:p>
        </w:tc>
        <w:tc>
          <w:tcPr>
            <w:tcW w:w="86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 xml:space="preserve">15.12 </w:t>
            </w:r>
          </w:p>
        </w:tc>
        <w:tc>
          <w:tcPr>
            <w:tcW w:w="86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 xml:space="preserve">13.95 </w:t>
            </w:r>
          </w:p>
        </w:tc>
        <w:tc>
          <w:tcPr>
            <w:tcW w:w="751"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100</w:t>
            </w:r>
          </w:p>
        </w:tc>
      </w:tr>
    </w:tbl>
    <w:p>
      <w:pPr>
        <w:ind w:firstLine="482"/>
        <w:rPr>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二、密度和生物量</w:t>
      </w:r>
    </w:p>
    <w:p>
      <w:pPr>
        <w:ind w:firstLine="480"/>
        <w:rPr>
          <w:kern w:val="0"/>
        </w:rPr>
      </w:pPr>
      <w:r>
        <w:rPr>
          <w:kern w:val="0"/>
        </w:rPr>
        <w:t>根据镜检的浮游动物种类、数量和测量的大小，计算出各调查点位不同浮游动物的密度和生物量，结果见表</w:t>
      </w:r>
      <w:r>
        <w:rPr>
          <w:rFonts w:hint="eastAsia"/>
          <w:kern w:val="0"/>
        </w:rPr>
        <w:t>3-35</w:t>
      </w:r>
      <w:r>
        <w:rPr>
          <w:kern w:val="0"/>
        </w:rPr>
        <w:t>。调查水域浮游动物平均密度为222ind./</w:t>
      </w:r>
      <w:r>
        <w:rPr>
          <w:kern w:val="0"/>
          <w:szCs w:val="28"/>
        </w:rPr>
        <w:t>L</w:t>
      </w:r>
      <w:r>
        <w:rPr>
          <w:kern w:val="0"/>
        </w:rPr>
        <w:t>，平均生物量0.452mg/</w:t>
      </w:r>
      <w:r>
        <w:rPr>
          <w:kern w:val="0"/>
          <w:szCs w:val="28"/>
        </w:rPr>
        <w:t>L</w:t>
      </w:r>
      <w:r>
        <w:rPr>
          <w:kern w:val="0"/>
        </w:rPr>
        <w:t>。</w:t>
      </w:r>
    </w:p>
    <w:p>
      <w:pPr>
        <w:pStyle w:val="3583"/>
        <w:spacing w:line="240" w:lineRule="auto"/>
        <w:ind w:left="0"/>
        <w:rPr>
          <w:color w:val="000000" w:themeColor="text1"/>
          <w:szCs w:val="18"/>
          <w14:textFill>
            <w14:solidFill>
              <w14:schemeClr w14:val="tx1"/>
            </w14:solidFill>
          </w14:textFill>
        </w:rPr>
      </w:pPr>
      <w:r>
        <w:rPr>
          <w:color w:val="000000" w:themeColor="text1"/>
          <w:szCs w:val="20"/>
          <w14:textFill>
            <w14:solidFill>
              <w14:schemeClr w14:val="tx1"/>
            </w14:solidFill>
          </w14:textFill>
        </w:rPr>
        <w:t>评价区</w:t>
      </w:r>
      <w:r>
        <w:rPr>
          <w:color w:val="000000" w:themeColor="text1"/>
          <w:szCs w:val="18"/>
          <w14:textFill>
            <w14:solidFill>
              <w14:schemeClr w14:val="tx1"/>
            </w14:solidFill>
          </w14:textFill>
        </w:rPr>
        <w:t>各调查点位浮游</w:t>
      </w:r>
      <w:r>
        <w:t>动物</w:t>
      </w:r>
      <w:r>
        <w:rPr>
          <w:color w:val="000000" w:themeColor="text1"/>
          <w:szCs w:val="18"/>
          <w14:textFill>
            <w14:solidFill>
              <w14:schemeClr w14:val="tx1"/>
            </w14:solidFill>
          </w14:textFill>
        </w:rPr>
        <w:t>密度（ind./L）和生物量（mg/L）</w:t>
      </w:r>
    </w:p>
    <w:tbl>
      <w:tblPr>
        <w:tblStyle w:val="87"/>
        <w:tblW w:w="499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889"/>
        <w:gridCol w:w="1084"/>
        <w:gridCol w:w="912"/>
        <w:gridCol w:w="912"/>
        <w:gridCol w:w="917"/>
        <w:gridCol w:w="912"/>
        <w:gridCol w:w="910"/>
        <w:gridCol w:w="910"/>
        <w:gridCol w:w="919"/>
        <w:gridCol w:w="91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063" w:type="pct"/>
            <w:gridSpan w:val="2"/>
            <w:vMerge w:val="restart"/>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种类</w:t>
            </w:r>
          </w:p>
        </w:tc>
        <w:tc>
          <w:tcPr>
            <w:tcW w:w="1476" w:type="pct"/>
            <w:gridSpan w:val="3"/>
            <w:shd w:val="clear" w:color="auto" w:fill="auto"/>
          </w:tcPr>
          <w:p>
            <w:pPr>
              <w:spacing w:line="240" w:lineRule="auto"/>
              <w:ind w:firstLine="0" w:firstLineChars="0"/>
              <w:jc w:val="center"/>
              <w:rPr>
                <w:bCs/>
                <w:sz w:val="21"/>
                <w:szCs w:val="21"/>
              </w:rPr>
            </w:pPr>
            <w:r>
              <w:rPr>
                <w:b/>
                <w:bCs/>
                <w:color w:val="000000"/>
                <w:kern w:val="0"/>
                <w:sz w:val="21"/>
                <w:szCs w:val="21"/>
                <w:lang w:bidi="ar"/>
              </w:rPr>
              <w:t>2022年11月</w:t>
            </w:r>
          </w:p>
        </w:tc>
        <w:tc>
          <w:tcPr>
            <w:tcW w:w="1966" w:type="pct"/>
            <w:gridSpan w:val="4"/>
            <w:shd w:val="clear" w:color="auto" w:fill="auto"/>
            <w:noWrap/>
          </w:tcPr>
          <w:p>
            <w:pPr>
              <w:spacing w:line="240" w:lineRule="auto"/>
              <w:ind w:firstLine="0" w:firstLineChars="0"/>
              <w:jc w:val="center"/>
              <w:rPr>
                <w:bCs/>
                <w:sz w:val="21"/>
                <w:szCs w:val="21"/>
              </w:rPr>
            </w:pPr>
            <w:r>
              <w:rPr>
                <w:b/>
                <w:bCs/>
                <w:color w:val="000000"/>
                <w:kern w:val="0"/>
                <w:sz w:val="21"/>
                <w:szCs w:val="21"/>
                <w:lang w:bidi="ar"/>
              </w:rPr>
              <w:t>2021年6月</w:t>
            </w:r>
          </w:p>
        </w:tc>
        <w:tc>
          <w:tcPr>
            <w:tcW w:w="493" w:type="pct"/>
            <w:vMerge w:val="restart"/>
            <w:tcBorders>
              <w:tl2br w:val="nil"/>
              <w:tr2bl w:val="nil"/>
            </w:tcBorders>
            <w:shd w:val="clear" w:color="auto" w:fill="auto"/>
            <w:noWrap/>
            <w:vAlign w:val="center"/>
          </w:tcPr>
          <w:p>
            <w:pPr>
              <w:widowControl/>
              <w:spacing w:line="240" w:lineRule="auto"/>
              <w:ind w:firstLine="0" w:firstLineChars="0"/>
              <w:jc w:val="center"/>
              <w:textAlignment w:val="center"/>
              <w:rPr>
                <w:color w:val="000000"/>
                <w:sz w:val="21"/>
                <w:szCs w:val="21"/>
              </w:rPr>
            </w:pPr>
            <w:r>
              <w:rPr>
                <w:b/>
                <w:bCs/>
                <w:color w:val="000000"/>
                <w:kern w:val="0"/>
                <w:sz w:val="21"/>
                <w:szCs w:val="21"/>
                <w:lang w:bidi="ar"/>
              </w:rPr>
              <w:t>平均值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063" w:type="pct"/>
            <w:gridSpan w:val="2"/>
            <w:vMerge w:val="continue"/>
            <w:tcBorders>
              <w:bottom w:val="single" w:color="000000" w:sz="12" w:space="0"/>
            </w:tcBorders>
            <w:shd w:val="clear" w:color="auto" w:fill="auto"/>
            <w:vAlign w:val="center"/>
          </w:tcPr>
          <w:p>
            <w:pPr>
              <w:widowControl/>
              <w:spacing w:line="240" w:lineRule="auto"/>
              <w:ind w:firstLine="0" w:firstLineChars="0"/>
              <w:jc w:val="center"/>
              <w:rPr>
                <w:b/>
                <w:bCs/>
                <w:color w:val="000000"/>
                <w:sz w:val="21"/>
                <w:szCs w:val="21"/>
              </w:rPr>
            </w:pPr>
          </w:p>
        </w:tc>
        <w:tc>
          <w:tcPr>
            <w:tcW w:w="491" w:type="pct"/>
            <w:tcBorders>
              <w:bottom w:val="single" w:color="000000" w:sz="12" w:space="0"/>
            </w:tcBorders>
            <w:shd w:val="clear" w:color="auto" w:fill="auto"/>
            <w:vAlign w:val="bottom"/>
          </w:tcPr>
          <w:p>
            <w:pPr>
              <w:widowControl/>
              <w:spacing w:line="240" w:lineRule="auto"/>
              <w:ind w:firstLine="0" w:firstLineChars="0"/>
              <w:jc w:val="center"/>
              <w:textAlignment w:val="bottom"/>
              <w:rPr>
                <w:b/>
                <w:bCs/>
                <w:color w:val="000000"/>
                <w:sz w:val="21"/>
                <w:szCs w:val="21"/>
              </w:rPr>
            </w:pPr>
            <w:r>
              <w:rPr>
                <w:b/>
                <w:bCs/>
                <w:color w:val="000000"/>
                <w:kern w:val="0"/>
                <w:sz w:val="21"/>
                <w:szCs w:val="21"/>
                <w:lang w:bidi="ar"/>
              </w:rPr>
              <w:t>A1</w:t>
            </w:r>
          </w:p>
        </w:tc>
        <w:tc>
          <w:tcPr>
            <w:tcW w:w="491" w:type="pct"/>
            <w:tcBorders>
              <w:bottom w:val="single" w:color="000000" w:sz="12" w:space="0"/>
            </w:tcBorders>
            <w:shd w:val="clear" w:color="auto" w:fill="auto"/>
            <w:vAlign w:val="bottom"/>
          </w:tcPr>
          <w:p>
            <w:pPr>
              <w:widowControl/>
              <w:spacing w:line="240" w:lineRule="auto"/>
              <w:ind w:firstLine="0" w:firstLineChars="0"/>
              <w:jc w:val="center"/>
              <w:textAlignment w:val="bottom"/>
              <w:rPr>
                <w:b/>
                <w:bCs/>
                <w:color w:val="000000"/>
                <w:sz w:val="21"/>
                <w:szCs w:val="21"/>
              </w:rPr>
            </w:pPr>
            <w:r>
              <w:rPr>
                <w:b/>
                <w:bCs/>
                <w:color w:val="000000"/>
                <w:kern w:val="0"/>
                <w:sz w:val="21"/>
                <w:szCs w:val="21"/>
                <w:lang w:bidi="ar"/>
              </w:rPr>
              <w:t>A2</w:t>
            </w:r>
          </w:p>
        </w:tc>
        <w:tc>
          <w:tcPr>
            <w:tcW w:w="493" w:type="pct"/>
            <w:tcBorders>
              <w:bottom w:val="single" w:color="000000" w:sz="12" w:space="0"/>
            </w:tcBorders>
            <w:shd w:val="clear" w:color="auto" w:fill="auto"/>
            <w:vAlign w:val="bottom"/>
          </w:tcPr>
          <w:p>
            <w:pPr>
              <w:widowControl/>
              <w:spacing w:line="240" w:lineRule="auto"/>
              <w:ind w:firstLine="0" w:firstLineChars="0"/>
              <w:jc w:val="center"/>
              <w:textAlignment w:val="bottom"/>
              <w:rPr>
                <w:b/>
                <w:bCs/>
                <w:color w:val="000000"/>
                <w:sz w:val="21"/>
                <w:szCs w:val="21"/>
              </w:rPr>
            </w:pPr>
            <w:r>
              <w:rPr>
                <w:b/>
                <w:bCs/>
                <w:color w:val="000000"/>
                <w:kern w:val="0"/>
                <w:sz w:val="21"/>
                <w:szCs w:val="21"/>
                <w:lang w:bidi="ar"/>
              </w:rPr>
              <w:t>A3</w:t>
            </w:r>
          </w:p>
        </w:tc>
        <w:tc>
          <w:tcPr>
            <w:tcW w:w="491" w:type="pct"/>
            <w:tcBorders>
              <w:bottom w:val="single" w:color="000000" w:sz="12" w:space="0"/>
            </w:tcBorders>
            <w:shd w:val="clear" w:color="auto" w:fill="auto"/>
            <w:noWrap/>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B1</w:t>
            </w:r>
          </w:p>
        </w:tc>
        <w:tc>
          <w:tcPr>
            <w:tcW w:w="490" w:type="pct"/>
            <w:tcBorders>
              <w:bottom w:val="single" w:color="000000" w:sz="12" w:space="0"/>
            </w:tcBorders>
            <w:shd w:val="clear" w:color="auto" w:fill="auto"/>
            <w:noWrap/>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B2</w:t>
            </w:r>
          </w:p>
        </w:tc>
        <w:tc>
          <w:tcPr>
            <w:tcW w:w="490" w:type="pct"/>
            <w:tcBorders>
              <w:bottom w:val="single" w:color="000000" w:sz="12" w:space="0"/>
            </w:tcBorders>
            <w:shd w:val="clear" w:color="auto" w:fill="auto"/>
            <w:noWrap/>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B3</w:t>
            </w:r>
          </w:p>
        </w:tc>
        <w:tc>
          <w:tcPr>
            <w:tcW w:w="495" w:type="pct"/>
            <w:tcBorders>
              <w:bottom w:val="single" w:color="000000" w:sz="12" w:space="0"/>
            </w:tcBorders>
            <w:shd w:val="clear" w:color="auto" w:fill="auto"/>
            <w:noWrap/>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B4</w:t>
            </w:r>
          </w:p>
        </w:tc>
        <w:tc>
          <w:tcPr>
            <w:tcW w:w="493" w:type="pct"/>
            <w:vMerge w:val="continue"/>
            <w:tcBorders>
              <w:bottom w:val="single" w:color="000000" w:sz="12" w:space="0"/>
              <w:tl2br w:val="nil"/>
              <w:tr2bl w:val="nil"/>
            </w:tcBorders>
            <w:shd w:val="clear" w:color="auto" w:fill="auto"/>
            <w:noWrap/>
            <w:vAlign w:val="center"/>
          </w:tcPr>
          <w:p>
            <w:pPr>
              <w:widowControl/>
              <w:spacing w:line="240" w:lineRule="auto"/>
              <w:ind w:firstLine="0" w:firstLineChars="0"/>
              <w:jc w:val="center"/>
              <w:rPr>
                <w:color w:val="000000"/>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79" w:type="pct"/>
            <w:vMerge w:val="restar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原生动物</w:t>
            </w:r>
          </w:p>
        </w:tc>
        <w:tc>
          <w:tcPr>
            <w:tcW w:w="583"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密度</w:t>
            </w:r>
          </w:p>
        </w:tc>
        <w:tc>
          <w:tcPr>
            <w:tcW w:w="491" w:type="pct"/>
            <w:tcBorders>
              <w:top w:val="single" w:color="000000" w:sz="12" w:space="0"/>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177</w:t>
            </w:r>
          </w:p>
        </w:tc>
        <w:tc>
          <w:tcPr>
            <w:tcW w:w="491" w:type="pct"/>
            <w:tcBorders>
              <w:top w:val="single" w:color="000000" w:sz="12" w:space="0"/>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110</w:t>
            </w:r>
          </w:p>
        </w:tc>
        <w:tc>
          <w:tcPr>
            <w:tcW w:w="493" w:type="pct"/>
            <w:tcBorders>
              <w:top w:val="single" w:color="000000" w:sz="12" w:space="0"/>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170</w:t>
            </w:r>
          </w:p>
        </w:tc>
        <w:tc>
          <w:tcPr>
            <w:tcW w:w="491"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101.2</w:t>
            </w:r>
          </w:p>
        </w:tc>
        <w:tc>
          <w:tcPr>
            <w:tcW w:w="490"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94</w:t>
            </w:r>
          </w:p>
        </w:tc>
        <w:tc>
          <w:tcPr>
            <w:tcW w:w="490"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74</w:t>
            </w:r>
          </w:p>
        </w:tc>
        <w:tc>
          <w:tcPr>
            <w:tcW w:w="495" w:type="pct"/>
            <w:tcBorders>
              <w:top w:val="single" w:color="000000" w:sz="12" w:space="0"/>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126</w:t>
            </w:r>
          </w:p>
        </w:tc>
        <w:tc>
          <w:tcPr>
            <w:tcW w:w="493" w:type="pct"/>
            <w:tcBorders>
              <w:top w:val="single" w:color="000000" w:sz="12" w:space="0"/>
            </w:tcBorders>
            <w:shd w:val="clear" w:color="auto" w:fill="auto"/>
            <w:noWrap/>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 xml:space="preserve">122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79" w:type="pct"/>
            <w:vMerge w:val="continue"/>
            <w:tcBorders>
              <w:tl2br w:val="nil"/>
              <w:tr2bl w:val="nil"/>
            </w:tcBorders>
            <w:shd w:val="clear" w:color="auto" w:fill="auto"/>
            <w:vAlign w:val="center"/>
          </w:tcPr>
          <w:p>
            <w:pPr>
              <w:widowControl/>
              <w:spacing w:line="240" w:lineRule="auto"/>
              <w:ind w:firstLine="0" w:firstLineChars="0"/>
              <w:jc w:val="center"/>
              <w:rPr>
                <w:b/>
                <w:bCs/>
                <w:color w:val="000000"/>
                <w:sz w:val="21"/>
                <w:szCs w:val="21"/>
              </w:rPr>
            </w:pPr>
          </w:p>
        </w:tc>
        <w:tc>
          <w:tcPr>
            <w:tcW w:w="58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生物量</w:t>
            </w:r>
          </w:p>
        </w:tc>
        <w:tc>
          <w:tcPr>
            <w:tcW w:w="491"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0.006</w:t>
            </w:r>
          </w:p>
        </w:tc>
        <w:tc>
          <w:tcPr>
            <w:tcW w:w="491"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0.003</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0.005</w:t>
            </w:r>
          </w:p>
        </w:tc>
        <w:tc>
          <w:tcPr>
            <w:tcW w:w="491"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0.004</w:t>
            </w:r>
          </w:p>
        </w:tc>
        <w:tc>
          <w:tcPr>
            <w:tcW w:w="49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0.003</w:t>
            </w:r>
          </w:p>
        </w:tc>
        <w:tc>
          <w:tcPr>
            <w:tcW w:w="49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0.003</w:t>
            </w:r>
          </w:p>
        </w:tc>
        <w:tc>
          <w:tcPr>
            <w:tcW w:w="495"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0.004</w:t>
            </w:r>
          </w:p>
        </w:tc>
        <w:tc>
          <w:tcPr>
            <w:tcW w:w="493" w:type="pct"/>
            <w:tcBorders>
              <w:tl2br w:val="nil"/>
              <w:tr2bl w:val="nil"/>
            </w:tcBorders>
            <w:shd w:val="clear" w:color="auto" w:fill="auto"/>
            <w:noWrap/>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 xml:space="preserve">0.004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79" w:type="pct"/>
            <w:vMerge w:val="restart"/>
            <w:tcBorders>
              <w:tl2br w:val="nil"/>
              <w:tr2bl w:val="nil"/>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轮虫</w:t>
            </w:r>
          </w:p>
        </w:tc>
        <w:tc>
          <w:tcPr>
            <w:tcW w:w="58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密度</w:t>
            </w:r>
          </w:p>
        </w:tc>
        <w:tc>
          <w:tcPr>
            <w:tcW w:w="491"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118</w:t>
            </w:r>
          </w:p>
        </w:tc>
        <w:tc>
          <w:tcPr>
            <w:tcW w:w="491"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93</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69</w:t>
            </w:r>
          </w:p>
        </w:tc>
        <w:tc>
          <w:tcPr>
            <w:tcW w:w="491"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66</w:t>
            </w:r>
          </w:p>
        </w:tc>
        <w:tc>
          <w:tcPr>
            <w:tcW w:w="49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67</w:t>
            </w:r>
          </w:p>
        </w:tc>
        <w:tc>
          <w:tcPr>
            <w:tcW w:w="49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50</w:t>
            </w:r>
          </w:p>
        </w:tc>
        <w:tc>
          <w:tcPr>
            <w:tcW w:w="495"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72</w:t>
            </w:r>
          </w:p>
        </w:tc>
        <w:tc>
          <w:tcPr>
            <w:tcW w:w="493" w:type="pct"/>
            <w:tcBorders>
              <w:tl2br w:val="nil"/>
              <w:tr2bl w:val="nil"/>
            </w:tcBorders>
            <w:shd w:val="clear" w:color="auto" w:fill="auto"/>
            <w:noWrap/>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 xml:space="preserve">76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79" w:type="pct"/>
            <w:vMerge w:val="continue"/>
            <w:tcBorders>
              <w:tl2br w:val="nil"/>
              <w:tr2bl w:val="nil"/>
            </w:tcBorders>
            <w:shd w:val="clear" w:color="auto" w:fill="auto"/>
            <w:vAlign w:val="center"/>
          </w:tcPr>
          <w:p>
            <w:pPr>
              <w:widowControl/>
              <w:spacing w:line="240" w:lineRule="auto"/>
              <w:ind w:firstLine="0" w:firstLineChars="0"/>
              <w:jc w:val="center"/>
              <w:rPr>
                <w:b/>
                <w:bCs/>
                <w:color w:val="000000"/>
                <w:sz w:val="21"/>
                <w:szCs w:val="21"/>
              </w:rPr>
            </w:pPr>
          </w:p>
        </w:tc>
        <w:tc>
          <w:tcPr>
            <w:tcW w:w="58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生物量</w:t>
            </w:r>
          </w:p>
        </w:tc>
        <w:tc>
          <w:tcPr>
            <w:tcW w:w="491"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0.218</w:t>
            </w:r>
          </w:p>
        </w:tc>
        <w:tc>
          <w:tcPr>
            <w:tcW w:w="491"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0.282</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0.237</w:t>
            </w:r>
          </w:p>
        </w:tc>
        <w:tc>
          <w:tcPr>
            <w:tcW w:w="491"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0.057</w:t>
            </w:r>
          </w:p>
        </w:tc>
        <w:tc>
          <w:tcPr>
            <w:tcW w:w="49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0.037</w:t>
            </w:r>
          </w:p>
        </w:tc>
        <w:tc>
          <w:tcPr>
            <w:tcW w:w="49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0.047</w:t>
            </w:r>
          </w:p>
        </w:tc>
        <w:tc>
          <w:tcPr>
            <w:tcW w:w="495"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0.043</w:t>
            </w:r>
          </w:p>
        </w:tc>
        <w:tc>
          <w:tcPr>
            <w:tcW w:w="493" w:type="pct"/>
            <w:tcBorders>
              <w:tl2br w:val="nil"/>
              <w:tr2bl w:val="nil"/>
            </w:tcBorders>
            <w:shd w:val="clear" w:color="auto" w:fill="auto"/>
            <w:noWrap/>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 xml:space="preserve">0.132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79" w:type="pct"/>
            <w:vMerge w:val="restart"/>
            <w:tcBorders>
              <w:tl2br w:val="nil"/>
              <w:tr2bl w:val="nil"/>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枝角类</w:t>
            </w:r>
          </w:p>
        </w:tc>
        <w:tc>
          <w:tcPr>
            <w:tcW w:w="58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密度</w:t>
            </w:r>
          </w:p>
        </w:tc>
        <w:tc>
          <w:tcPr>
            <w:tcW w:w="491"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15</w:t>
            </w:r>
          </w:p>
        </w:tc>
        <w:tc>
          <w:tcPr>
            <w:tcW w:w="491"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5</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13</w:t>
            </w:r>
          </w:p>
        </w:tc>
        <w:tc>
          <w:tcPr>
            <w:tcW w:w="491"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4</w:t>
            </w:r>
          </w:p>
        </w:tc>
        <w:tc>
          <w:tcPr>
            <w:tcW w:w="49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3</w:t>
            </w:r>
          </w:p>
        </w:tc>
        <w:tc>
          <w:tcPr>
            <w:tcW w:w="49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1</w:t>
            </w:r>
          </w:p>
        </w:tc>
        <w:tc>
          <w:tcPr>
            <w:tcW w:w="495"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8</w:t>
            </w:r>
          </w:p>
        </w:tc>
        <w:tc>
          <w:tcPr>
            <w:tcW w:w="493" w:type="pct"/>
            <w:tcBorders>
              <w:tl2br w:val="nil"/>
              <w:tr2bl w:val="nil"/>
            </w:tcBorders>
            <w:shd w:val="clear" w:color="auto" w:fill="auto"/>
            <w:noWrap/>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 xml:space="preserve">7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79" w:type="pct"/>
            <w:vMerge w:val="continue"/>
            <w:tcBorders>
              <w:tl2br w:val="nil"/>
              <w:tr2bl w:val="nil"/>
            </w:tcBorders>
            <w:shd w:val="clear" w:color="auto" w:fill="auto"/>
            <w:vAlign w:val="center"/>
          </w:tcPr>
          <w:p>
            <w:pPr>
              <w:widowControl/>
              <w:spacing w:line="240" w:lineRule="auto"/>
              <w:ind w:firstLine="0" w:firstLineChars="0"/>
              <w:jc w:val="center"/>
              <w:rPr>
                <w:b/>
                <w:bCs/>
                <w:color w:val="000000"/>
                <w:sz w:val="21"/>
                <w:szCs w:val="21"/>
              </w:rPr>
            </w:pPr>
          </w:p>
        </w:tc>
        <w:tc>
          <w:tcPr>
            <w:tcW w:w="58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生物量</w:t>
            </w:r>
          </w:p>
        </w:tc>
        <w:tc>
          <w:tcPr>
            <w:tcW w:w="491"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0.241</w:t>
            </w:r>
          </w:p>
        </w:tc>
        <w:tc>
          <w:tcPr>
            <w:tcW w:w="491"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0.103</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0.271</w:t>
            </w:r>
          </w:p>
        </w:tc>
        <w:tc>
          <w:tcPr>
            <w:tcW w:w="491"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0.156</w:t>
            </w:r>
          </w:p>
        </w:tc>
        <w:tc>
          <w:tcPr>
            <w:tcW w:w="49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0.08</w:t>
            </w:r>
          </w:p>
        </w:tc>
        <w:tc>
          <w:tcPr>
            <w:tcW w:w="49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0.018</w:t>
            </w:r>
          </w:p>
        </w:tc>
        <w:tc>
          <w:tcPr>
            <w:tcW w:w="495"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0.2</w:t>
            </w:r>
          </w:p>
        </w:tc>
        <w:tc>
          <w:tcPr>
            <w:tcW w:w="493" w:type="pct"/>
            <w:tcBorders>
              <w:tl2br w:val="nil"/>
              <w:tr2bl w:val="nil"/>
            </w:tcBorders>
            <w:shd w:val="clear" w:color="auto" w:fill="auto"/>
            <w:noWrap/>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 xml:space="preserve">0.153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79" w:type="pct"/>
            <w:vMerge w:val="restart"/>
            <w:tcBorders>
              <w:tl2br w:val="nil"/>
              <w:tr2bl w:val="nil"/>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桡足类</w:t>
            </w:r>
          </w:p>
        </w:tc>
        <w:tc>
          <w:tcPr>
            <w:tcW w:w="58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密度</w:t>
            </w:r>
          </w:p>
        </w:tc>
        <w:tc>
          <w:tcPr>
            <w:tcW w:w="491"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39</w:t>
            </w:r>
          </w:p>
        </w:tc>
        <w:tc>
          <w:tcPr>
            <w:tcW w:w="491"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38</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36</w:t>
            </w:r>
          </w:p>
        </w:tc>
        <w:tc>
          <w:tcPr>
            <w:tcW w:w="491"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1</w:t>
            </w:r>
          </w:p>
        </w:tc>
        <w:tc>
          <w:tcPr>
            <w:tcW w:w="49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1</w:t>
            </w:r>
          </w:p>
        </w:tc>
        <w:tc>
          <w:tcPr>
            <w:tcW w:w="49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1</w:t>
            </w:r>
          </w:p>
        </w:tc>
        <w:tc>
          <w:tcPr>
            <w:tcW w:w="495"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2</w:t>
            </w:r>
          </w:p>
        </w:tc>
        <w:tc>
          <w:tcPr>
            <w:tcW w:w="493" w:type="pct"/>
            <w:tcBorders>
              <w:tl2br w:val="nil"/>
              <w:tr2bl w:val="nil"/>
            </w:tcBorders>
            <w:shd w:val="clear" w:color="auto" w:fill="auto"/>
            <w:noWrap/>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 xml:space="preserve">17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79" w:type="pct"/>
            <w:vMerge w:val="continue"/>
            <w:tcBorders>
              <w:tl2br w:val="nil"/>
              <w:tr2bl w:val="nil"/>
            </w:tcBorders>
            <w:shd w:val="clear" w:color="auto" w:fill="auto"/>
            <w:vAlign w:val="center"/>
          </w:tcPr>
          <w:p>
            <w:pPr>
              <w:widowControl/>
              <w:spacing w:line="240" w:lineRule="auto"/>
              <w:ind w:firstLine="0" w:firstLineChars="0"/>
              <w:jc w:val="center"/>
              <w:rPr>
                <w:b/>
                <w:bCs/>
                <w:color w:val="000000"/>
                <w:sz w:val="21"/>
                <w:szCs w:val="21"/>
              </w:rPr>
            </w:pPr>
          </w:p>
        </w:tc>
        <w:tc>
          <w:tcPr>
            <w:tcW w:w="58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生物量</w:t>
            </w:r>
          </w:p>
        </w:tc>
        <w:tc>
          <w:tcPr>
            <w:tcW w:w="491"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0.456</w:t>
            </w:r>
          </w:p>
        </w:tc>
        <w:tc>
          <w:tcPr>
            <w:tcW w:w="491"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0.209</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0.346</w:t>
            </w:r>
          </w:p>
        </w:tc>
        <w:tc>
          <w:tcPr>
            <w:tcW w:w="491"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0.027</w:t>
            </w:r>
          </w:p>
        </w:tc>
        <w:tc>
          <w:tcPr>
            <w:tcW w:w="49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0.017</w:t>
            </w:r>
          </w:p>
        </w:tc>
        <w:tc>
          <w:tcPr>
            <w:tcW w:w="49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0.018</w:t>
            </w:r>
          </w:p>
        </w:tc>
        <w:tc>
          <w:tcPr>
            <w:tcW w:w="495"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0.072</w:t>
            </w:r>
          </w:p>
        </w:tc>
        <w:tc>
          <w:tcPr>
            <w:tcW w:w="493" w:type="pct"/>
            <w:tcBorders>
              <w:tl2br w:val="nil"/>
              <w:tr2bl w:val="nil"/>
            </w:tcBorders>
            <w:shd w:val="clear" w:color="auto" w:fill="auto"/>
            <w:noWrap/>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 xml:space="preserve">0.164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79" w:type="pct"/>
            <w:vMerge w:val="restart"/>
            <w:tcBorders>
              <w:tl2br w:val="nil"/>
              <w:tr2bl w:val="nil"/>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合计</w:t>
            </w:r>
          </w:p>
        </w:tc>
        <w:tc>
          <w:tcPr>
            <w:tcW w:w="58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密度</w:t>
            </w:r>
          </w:p>
        </w:tc>
        <w:tc>
          <w:tcPr>
            <w:tcW w:w="491"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349</w:t>
            </w:r>
          </w:p>
        </w:tc>
        <w:tc>
          <w:tcPr>
            <w:tcW w:w="491"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246</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288</w:t>
            </w:r>
          </w:p>
        </w:tc>
        <w:tc>
          <w:tcPr>
            <w:tcW w:w="491"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 xml:space="preserve">172 </w:t>
            </w:r>
          </w:p>
        </w:tc>
        <w:tc>
          <w:tcPr>
            <w:tcW w:w="49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 xml:space="preserve">165 </w:t>
            </w:r>
          </w:p>
        </w:tc>
        <w:tc>
          <w:tcPr>
            <w:tcW w:w="49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 xml:space="preserve">126 </w:t>
            </w:r>
          </w:p>
        </w:tc>
        <w:tc>
          <w:tcPr>
            <w:tcW w:w="495"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 xml:space="preserve">208 </w:t>
            </w:r>
          </w:p>
        </w:tc>
        <w:tc>
          <w:tcPr>
            <w:tcW w:w="493" w:type="pct"/>
            <w:tcBorders>
              <w:tl2br w:val="nil"/>
              <w:tr2bl w:val="nil"/>
            </w:tcBorders>
            <w:shd w:val="clear" w:color="auto" w:fill="auto"/>
            <w:noWrap/>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 xml:space="preserve">222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79" w:type="pct"/>
            <w:vMerge w:val="continue"/>
            <w:tcBorders>
              <w:tl2br w:val="nil"/>
              <w:tr2bl w:val="nil"/>
            </w:tcBorders>
            <w:shd w:val="clear" w:color="auto" w:fill="auto"/>
            <w:vAlign w:val="center"/>
          </w:tcPr>
          <w:p>
            <w:pPr>
              <w:widowControl/>
              <w:spacing w:line="240" w:lineRule="auto"/>
              <w:ind w:firstLine="0" w:firstLineChars="0"/>
              <w:jc w:val="center"/>
              <w:rPr>
                <w:b/>
                <w:bCs/>
                <w:color w:val="000000"/>
                <w:sz w:val="21"/>
                <w:szCs w:val="21"/>
              </w:rPr>
            </w:pPr>
          </w:p>
        </w:tc>
        <w:tc>
          <w:tcPr>
            <w:tcW w:w="58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生物量</w:t>
            </w:r>
          </w:p>
        </w:tc>
        <w:tc>
          <w:tcPr>
            <w:tcW w:w="491"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0.921</w:t>
            </w:r>
          </w:p>
        </w:tc>
        <w:tc>
          <w:tcPr>
            <w:tcW w:w="491"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0.597</w:t>
            </w:r>
          </w:p>
        </w:tc>
        <w:tc>
          <w:tcPr>
            <w:tcW w:w="493" w:type="pct"/>
            <w:tcBorders>
              <w:tl2br w:val="nil"/>
              <w:tr2bl w:val="nil"/>
            </w:tcBorders>
            <w:shd w:val="clear" w:color="auto" w:fill="auto"/>
            <w:vAlign w:val="bottom"/>
          </w:tcPr>
          <w:p>
            <w:pPr>
              <w:widowControl/>
              <w:spacing w:line="240" w:lineRule="auto"/>
              <w:ind w:firstLine="0" w:firstLineChars="0"/>
              <w:jc w:val="center"/>
              <w:textAlignment w:val="bottom"/>
              <w:rPr>
                <w:color w:val="000000"/>
                <w:sz w:val="21"/>
                <w:szCs w:val="21"/>
              </w:rPr>
            </w:pPr>
            <w:r>
              <w:rPr>
                <w:color w:val="000000"/>
                <w:kern w:val="0"/>
                <w:sz w:val="21"/>
                <w:szCs w:val="21"/>
                <w:lang w:bidi="ar"/>
              </w:rPr>
              <w:t>0.859</w:t>
            </w:r>
          </w:p>
        </w:tc>
        <w:tc>
          <w:tcPr>
            <w:tcW w:w="491"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 xml:space="preserve">0.244 </w:t>
            </w:r>
          </w:p>
        </w:tc>
        <w:tc>
          <w:tcPr>
            <w:tcW w:w="49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 xml:space="preserve">0.137 </w:t>
            </w:r>
          </w:p>
        </w:tc>
        <w:tc>
          <w:tcPr>
            <w:tcW w:w="49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 xml:space="preserve">0.086 </w:t>
            </w:r>
          </w:p>
        </w:tc>
        <w:tc>
          <w:tcPr>
            <w:tcW w:w="495"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 xml:space="preserve">0.319 </w:t>
            </w:r>
          </w:p>
        </w:tc>
        <w:tc>
          <w:tcPr>
            <w:tcW w:w="493" w:type="pct"/>
            <w:tcBorders>
              <w:tl2br w:val="nil"/>
              <w:tr2bl w:val="nil"/>
            </w:tcBorders>
            <w:shd w:val="clear" w:color="auto" w:fill="auto"/>
            <w:noWrap/>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 xml:space="preserve">0.452 </w:t>
            </w:r>
          </w:p>
        </w:tc>
      </w:tr>
    </w:tbl>
    <w:p>
      <w:pPr>
        <w:ind w:firstLine="482"/>
        <w:rPr>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三、生物多样性</w:t>
      </w:r>
    </w:p>
    <w:p>
      <w:pPr>
        <w:ind w:firstLine="480"/>
      </w:pPr>
      <w:r>
        <w:t>浮游动物的生物多样性也采用Shannon-Wiener指数计算公式，调查水域各断面浮游动物多样性指数见表</w:t>
      </w:r>
      <w:r>
        <w:rPr>
          <w:rFonts w:hint="eastAsia"/>
        </w:rPr>
        <w:t>3-36</w:t>
      </w:r>
      <w:r>
        <w:t>。</w:t>
      </w:r>
    </w:p>
    <w:p>
      <w:pPr>
        <w:pStyle w:val="3583"/>
        <w:spacing w:line="240" w:lineRule="auto"/>
        <w:ind w:left="0"/>
        <w:rPr>
          <w:szCs w:val="18"/>
        </w:rPr>
      </w:pPr>
      <w:r>
        <w:rPr>
          <w:szCs w:val="18"/>
        </w:rPr>
        <w:t xml:space="preserve"> 评价区</w:t>
      </w:r>
      <w:r>
        <w:t>浮游</w:t>
      </w:r>
      <w:r>
        <w:rPr>
          <w:szCs w:val="18"/>
        </w:rPr>
        <w:t>动物生物多样性指数（Shannon指数</w:t>
      </w:r>
      <w:r>
        <w:rPr>
          <w:bCs/>
          <w:szCs w:val="18"/>
        </w:rPr>
        <w:t>Hˊ</w:t>
      </w:r>
      <w:r>
        <w:rPr>
          <w:szCs w:val="18"/>
        </w:rPr>
        <w:t>）</w:t>
      </w:r>
    </w:p>
    <w:tbl>
      <w:tblPr>
        <w:tblStyle w:val="87"/>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26"/>
        <w:gridCol w:w="943"/>
        <w:gridCol w:w="906"/>
        <w:gridCol w:w="897"/>
        <w:gridCol w:w="897"/>
        <w:gridCol w:w="897"/>
        <w:gridCol w:w="912"/>
        <w:gridCol w:w="953"/>
        <w:gridCol w:w="9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37" w:type="pct"/>
            <w:vMerge w:val="restart"/>
            <w:tcBorders>
              <w:tl2br w:val="nil"/>
              <w:tr2bl w:val="nil"/>
            </w:tcBorders>
            <w:shd w:val="clear" w:color="auto" w:fill="auto"/>
            <w:vAlign w:val="center"/>
          </w:tcPr>
          <w:p>
            <w:pPr>
              <w:spacing w:line="240" w:lineRule="auto"/>
              <w:ind w:firstLine="0" w:firstLineChars="0"/>
              <w:jc w:val="center"/>
              <w:rPr>
                <w:bCs/>
                <w:sz w:val="21"/>
                <w:szCs w:val="21"/>
              </w:rPr>
            </w:pPr>
            <w:r>
              <w:rPr>
                <w:bCs/>
                <w:sz w:val="21"/>
                <w:szCs w:val="21"/>
              </w:rPr>
              <w:t>生物多样性指数Hˊ</w:t>
            </w:r>
          </w:p>
        </w:tc>
        <w:tc>
          <w:tcPr>
            <w:tcW w:w="1479" w:type="pct"/>
            <w:gridSpan w:val="3"/>
            <w:tcBorders>
              <w:tl2br w:val="nil"/>
              <w:tr2bl w:val="nil"/>
            </w:tcBorders>
            <w:shd w:val="clear" w:color="auto" w:fill="auto"/>
          </w:tcPr>
          <w:p>
            <w:pPr>
              <w:spacing w:line="240" w:lineRule="auto"/>
              <w:ind w:firstLine="0" w:firstLineChars="0"/>
              <w:jc w:val="center"/>
              <w:rPr>
                <w:b/>
                <w:sz w:val="21"/>
                <w:szCs w:val="21"/>
              </w:rPr>
            </w:pPr>
            <w:r>
              <w:rPr>
                <w:b/>
                <w:color w:val="000000"/>
                <w:kern w:val="0"/>
                <w:sz w:val="21"/>
                <w:szCs w:val="21"/>
                <w:lang w:bidi="ar"/>
              </w:rPr>
              <w:t>2022年11月</w:t>
            </w:r>
          </w:p>
        </w:tc>
        <w:tc>
          <w:tcPr>
            <w:tcW w:w="1970" w:type="pct"/>
            <w:gridSpan w:val="4"/>
            <w:tcBorders>
              <w:tl2br w:val="nil"/>
              <w:tr2bl w:val="nil"/>
            </w:tcBorders>
            <w:shd w:val="clear" w:color="auto" w:fill="auto"/>
          </w:tcPr>
          <w:p>
            <w:pPr>
              <w:spacing w:line="240" w:lineRule="auto"/>
              <w:ind w:firstLine="0" w:firstLineChars="0"/>
              <w:jc w:val="center"/>
              <w:rPr>
                <w:b/>
                <w:sz w:val="21"/>
                <w:szCs w:val="21"/>
              </w:rPr>
            </w:pPr>
            <w:r>
              <w:rPr>
                <w:b/>
                <w:color w:val="000000"/>
                <w:kern w:val="0"/>
                <w:sz w:val="21"/>
                <w:szCs w:val="21"/>
                <w:lang w:bidi="ar"/>
              </w:rPr>
              <w:t>2021年6月</w:t>
            </w:r>
          </w:p>
        </w:tc>
        <w:tc>
          <w:tcPr>
            <w:tcW w:w="511" w:type="pct"/>
            <w:vMerge w:val="restart"/>
            <w:tcBorders>
              <w:tl2br w:val="nil"/>
              <w:tr2bl w:val="nil"/>
            </w:tcBorders>
            <w:shd w:val="clear" w:color="auto" w:fill="auto"/>
            <w:vAlign w:val="center"/>
          </w:tcPr>
          <w:p>
            <w:pPr>
              <w:spacing w:line="240" w:lineRule="auto"/>
              <w:ind w:firstLine="0" w:firstLineChars="0"/>
              <w:rPr>
                <w:b/>
                <w:sz w:val="21"/>
                <w:szCs w:val="21"/>
              </w:rPr>
            </w:pPr>
            <w:r>
              <w:rPr>
                <w:b/>
                <w:sz w:val="21"/>
                <w:szCs w:val="21"/>
              </w:rPr>
              <w:t>平均值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037" w:type="pct"/>
            <w:vMerge w:val="continue"/>
            <w:tcBorders>
              <w:tl2br w:val="nil"/>
              <w:tr2bl w:val="nil"/>
            </w:tcBorders>
            <w:shd w:val="clear" w:color="auto" w:fill="auto"/>
            <w:vAlign w:val="center"/>
          </w:tcPr>
          <w:p>
            <w:pPr>
              <w:spacing w:line="240" w:lineRule="auto"/>
              <w:ind w:firstLine="420"/>
              <w:jc w:val="center"/>
              <w:rPr>
                <w:sz w:val="21"/>
                <w:szCs w:val="21"/>
              </w:rPr>
            </w:pPr>
          </w:p>
        </w:tc>
        <w:tc>
          <w:tcPr>
            <w:tcW w:w="508" w:type="pct"/>
            <w:tcBorders>
              <w:bottom w:val="single" w:color="auto" w:sz="12" w:space="0"/>
              <w:tl2br w:val="nil"/>
              <w:tr2bl w:val="nil"/>
            </w:tcBorders>
            <w:shd w:val="clear" w:color="auto" w:fill="auto"/>
            <w:vAlign w:val="center"/>
          </w:tcPr>
          <w:p>
            <w:pPr>
              <w:widowControl/>
              <w:spacing w:line="240" w:lineRule="auto"/>
              <w:ind w:firstLine="0" w:firstLineChars="0"/>
              <w:jc w:val="center"/>
              <w:textAlignment w:val="center"/>
              <w:rPr>
                <w:b/>
                <w:color w:val="000000"/>
                <w:sz w:val="21"/>
                <w:szCs w:val="21"/>
              </w:rPr>
            </w:pPr>
            <w:r>
              <w:rPr>
                <w:b/>
                <w:color w:val="000000"/>
                <w:sz w:val="21"/>
                <w:szCs w:val="21"/>
              </w:rPr>
              <w:t>A1</w:t>
            </w:r>
          </w:p>
        </w:tc>
        <w:tc>
          <w:tcPr>
            <w:tcW w:w="488" w:type="pct"/>
            <w:tcBorders>
              <w:bottom w:val="single" w:color="auto" w:sz="12" w:space="0"/>
              <w:tl2br w:val="nil"/>
              <w:tr2bl w:val="nil"/>
            </w:tcBorders>
            <w:shd w:val="clear" w:color="auto" w:fill="auto"/>
            <w:vAlign w:val="center"/>
          </w:tcPr>
          <w:p>
            <w:pPr>
              <w:widowControl/>
              <w:spacing w:line="240" w:lineRule="auto"/>
              <w:ind w:firstLine="0" w:firstLineChars="0"/>
              <w:jc w:val="center"/>
              <w:textAlignment w:val="center"/>
              <w:rPr>
                <w:b/>
                <w:color w:val="000000"/>
                <w:sz w:val="21"/>
                <w:szCs w:val="21"/>
              </w:rPr>
            </w:pPr>
            <w:r>
              <w:rPr>
                <w:b/>
                <w:color w:val="000000"/>
                <w:sz w:val="21"/>
                <w:szCs w:val="21"/>
              </w:rPr>
              <w:t>A2</w:t>
            </w:r>
          </w:p>
        </w:tc>
        <w:tc>
          <w:tcPr>
            <w:tcW w:w="483" w:type="pct"/>
            <w:tcBorders>
              <w:bottom w:val="single" w:color="auto" w:sz="12" w:space="0"/>
              <w:tl2br w:val="nil"/>
              <w:tr2bl w:val="nil"/>
            </w:tcBorders>
            <w:shd w:val="clear" w:color="auto" w:fill="auto"/>
            <w:vAlign w:val="center"/>
          </w:tcPr>
          <w:p>
            <w:pPr>
              <w:widowControl/>
              <w:spacing w:line="240" w:lineRule="auto"/>
              <w:ind w:firstLine="0" w:firstLineChars="0"/>
              <w:jc w:val="center"/>
              <w:textAlignment w:val="center"/>
              <w:rPr>
                <w:b/>
                <w:color w:val="000000"/>
                <w:sz w:val="21"/>
                <w:szCs w:val="21"/>
              </w:rPr>
            </w:pPr>
            <w:r>
              <w:rPr>
                <w:b/>
                <w:color w:val="000000"/>
                <w:sz w:val="21"/>
                <w:szCs w:val="21"/>
              </w:rPr>
              <w:t>A3</w:t>
            </w:r>
          </w:p>
        </w:tc>
        <w:tc>
          <w:tcPr>
            <w:tcW w:w="483" w:type="pct"/>
            <w:tcBorders>
              <w:bottom w:val="single" w:color="auto" w:sz="12" w:space="0"/>
              <w:tl2br w:val="nil"/>
              <w:tr2bl w:val="nil"/>
            </w:tcBorders>
            <w:shd w:val="clear" w:color="auto" w:fill="auto"/>
            <w:vAlign w:val="center"/>
          </w:tcPr>
          <w:p>
            <w:pPr>
              <w:widowControl/>
              <w:spacing w:line="240" w:lineRule="auto"/>
              <w:ind w:firstLine="0" w:firstLineChars="0"/>
              <w:jc w:val="center"/>
              <w:textAlignment w:val="center"/>
              <w:rPr>
                <w:b/>
                <w:color w:val="000000"/>
                <w:sz w:val="21"/>
                <w:szCs w:val="21"/>
              </w:rPr>
            </w:pPr>
            <w:r>
              <w:rPr>
                <w:b/>
                <w:color w:val="000000"/>
                <w:sz w:val="21"/>
                <w:szCs w:val="21"/>
              </w:rPr>
              <w:t>B1</w:t>
            </w:r>
          </w:p>
        </w:tc>
        <w:tc>
          <w:tcPr>
            <w:tcW w:w="483" w:type="pct"/>
            <w:tcBorders>
              <w:bottom w:val="single" w:color="auto" w:sz="12" w:space="0"/>
              <w:tl2br w:val="nil"/>
              <w:tr2bl w:val="nil"/>
            </w:tcBorders>
            <w:shd w:val="clear" w:color="auto" w:fill="auto"/>
            <w:vAlign w:val="center"/>
          </w:tcPr>
          <w:p>
            <w:pPr>
              <w:widowControl/>
              <w:spacing w:line="240" w:lineRule="auto"/>
              <w:ind w:firstLine="0" w:firstLineChars="0"/>
              <w:jc w:val="center"/>
              <w:textAlignment w:val="center"/>
              <w:rPr>
                <w:b/>
                <w:color w:val="000000"/>
                <w:sz w:val="21"/>
                <w:szCs w:val="21"/>
              </w:rPr>
            </w:pPr>
            <w:r>
              <w:rPr>
                <w:b/>
                <w:color w:val="000000"/>
                <w:sz w:val="21"/>
                <w:szCs w:val="21"/>
              </w:rPr>
              <w:t>B2</w:t>
            </w:r>
          </w:p>
        </w:tc>
        <w:tc>
          <w:tcPr>
            <w:tcW w:w="491" w:type="pct"/>
            <w:tcBorders>
              <w:bottom w:val="single" w:color="auto" w:sz="12" w:space="0"/>
              <w:tl2br w:val="nil"/>
              <w:tr2bl w:val="nil"/>
            </w:tcBorders>
            <w:shd w:val="clear" w:color="auto" w:fill="auto"/>
            <w:vAlign w:val="center"/>
          </w:tcPr>
          <w:p>
            <w:pPr>
              <w:widowControl/>
              <w:spacing w:line="240" w:lineRule="auto"/>
              <w:ind w:firstLine="0" w:firstLineChars="0"/>
              <w:jc w:val="center"/>
              <w:textAlignment w:val="center"/>
              <w:rPr>
                <w:b/>
                <w:color w:val="000000"/>
                <w:sz w:val="21"/>
                <w:szCs w:val="21"/>
              </w:rPr>
            </w:pPr>
            <w:r>
              <w:rPr>
                <w:b/>
                <w:color w:val="000000"/>
                <w:sz w:val="21"/>
                <w:szCs w:val="21"/>
              </w:rPr>
              <w:t>B3</w:t>
            </w:r>
          </w:p>
        </w:tc>
        <w:tc>
          <w:tcPr>
            <w:tcW w:w="513" w:type="pct"/>
            <w:tcBorders>
              <w:bottom w:val="single" w:color="auto" w:sz="12" w:space="0"/>
              <w:tl2br w:val="nil"/>
              <w:tr2bl w:val="nil"/>
            </w:tcBorders>
            <w:shd w:val="clear" w:color="auto" w:fill="auto"/>
          </w:tcPr>
          <w:p>
            <w:pPr>
              <w:widowControl/>
              <w:numPr>
                <w:ilvl w:val="255"/>
                <w:numId w:val="0"/>
              </w:numPr>
              <w:spacing w:line="240" w:lineRule="auto"/>
              <w:jc w:val="center"/>
              <w:textAlignment w:val="center"/>
              <w:rPr>
                <w:b/>
                <w:color w:val="000000"/>
                <w:sz w:val="21"/>
                <w:szCs w:val="21"/>
              </w:rPr>
            </w:pPr>
            <w:r>
              <w:rPr>
                <w:b/>
                <w:color w:val="000000"/>
                <w:sz w:val="21"/>
                <w:szCs w:val="21"/>
              </w:rPr>
              <w:t>B4</w:t>
            </w:r>
          </w:p>
        </w:tc>
        <w:tc>
          <w:tcPr>
            <w:tcW w:w="511" w:type="pct"/>
            <w:vMerge w:val="continue"/>
            <w:tcBorders>
              <w:bottom w:val="single" w:color="auto" w:sz="12" w:space="0"/>
              <w:tl2br w:val="nil"/>
              <w:tr2bl w:val="nil"/>
            </w:tcBorders>
            <w:shd w:val="clear" w:color="auto" w:fill="auto"/>
          </w:tcPr>
          <w:p>
            <w:pPr>
              <w:widowControl/>
              <w:numPr>
                <w:ilvl w:val="255"/>
                <w:numId w:val="0"/>
              </w:numPr>
              <w:spacing w:line="240" w:lineRule="auto"/>
              <w:jc w:val="center"/>
              <w:textAlignment w:val="center"/>
              <w:rPr>
                <w:b/>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037" w:type="pct"/>
            <w:vMerge w:val="continue"/>
            <w:tcBorders>
              <w:tl2br w:val="nil"/>
              <w:tr2bl w:val="nil"/>
            </w:tcBorders>
            <w:shd w:val="clear" w:color="auto" w:fill="auto"/>
            <w:vAlign w:val="center"/>
          </w:tcPr>
          <w:p>
            <w:pPr>
              <w:pStyle w:val="34"/>
              <w:ind w:firstLine="0" w:firstLineChars="0"/>
              <w:rPr>
                <w:rFonts w:ascii="Times New Roman" w:hAnsi="Times New Roman"/>
              </w:rPr>
            </w:pPr>
          </w:p>
        </w:tc>
        <w:tc>
          <w:tcPr>
            <w:tcW w:w="866" w:type="dxa"/>
            <w:tcBorders>
              <w:top w:val="single" w:color="auto" w:sz="12" w:space="0"/>
            </w:tcBorders>
            <w:shd w:val="clear" w:color="auto" w:fill="auto"/>
            <w:vAlign w:val="center"/>
          </w:tcPr>
          <w:p>
            <w:pPr>
              <w:widowControl/>
              <w:spacing w:line="240" w:lineRule="auto"/>
              <w:ind w:firstLine="0" w:firstLineChars="0"/>
              <w:jc w:val="center"/>
              <w:textAlignment w:val="center"/>
              <w:rPr>
                <w:color w:val="FF0000"/>
                <w:sz w:val="21"/>
                <w:szCs w:val="21"/>
              </w:rPr>
            </w:pPr>
            <w:r>
              <w:rPr>
                <w:color w:val="000000"/>
                <w:kern w:val="0"/>
                <w:sz w:val="21"/>
                <w:szCs w:val="21"/>
                <w:lang w:bidi="ar"/>
              </w:rPr>
              <w:t>2.11</w:t>
            </w:r>
          </w:p>
        </w:tc>
        <w:tc>
          <w:tcPr>
            <w:tcW w:w="832" w:type="dxa"/>
            <w:tcBorders>
              <w:top w:val="single" w:color="auto" w:sz="12" w:space="0"/>
            </w:tcBorders>
            <w:shd w:val="clear" w:color="auto" w:fill="auto"/>
            <w:vAlign w:val="center"/>
          </w:tcPr>
          <w:p>
            <w:pPr>
              <w:widowControl/>
              <w:spacing w:line="240" w:lineRule="auto"/>
              <w:ind w:firstLine="0" w:firstLineChars="0"/>
              <w:jc w:val="center"/>
              <w:textAlignment w:val="center"/>
              <w:rPr>
                <w:color w:val="FF0000"/>
                <w:sz w:val="21"/>
                <w:szCs w:val="21"/>
              </w:rPr>
            </w:pPr>
            <w:r>
              <w:rPr>
                <w:color w:val="000000"/>
                <w:kern w:val="0"/>
                <w:sz w:val="21"/>
                <w:szCs w:val="21"/>
                <w:lang w:bidi="ar"/>
              </w:rPr>
              <w:t>2.37</w:t>
            </w:r>
          </w:p>
        </w:tc>
        <w:tc>
          <w:tcPr>
            <w:tcW w:w="823" w:type="dxa"/>
            <w:tcBorders>
              <w:top w:val="single" w:color="auto" w:sz="12" w:space="0"/>
            </w:tcBorders>
            <w:shd w:val="clear" w:color="auto" w:fill="auto"/>
            <w:vAlign w:val="center"/>
          </w:tcPr>
          <w:p>
            <w:pPr>
              <w:widowControl/>
              <w:spacing w:line="240" w:lineRule="auto"/>
              <w:ind w:firstLine="0" w:firstLineChars="0"/>
              <w:jc w:val="center"/>
              <w:textAlignment w:val="center"/>
              <w:rPr>
                <w:color w:val="FF0000"/>
                <w:sz w:val="21"/>
                <w:szCs w:val="21"/>
              </w:rPr>
            </w:pPr>
            <w:r>
              <w:rPr>
                <w:color w:val="000000"/>
                <w:kern w:val="0"/>
                <w:sz w:val="21"/>
                <w:szCs w:val="21"/>
                <w:lang w:bidi="ar"/>
              </w:rPr>
              <w:t>2.49</w:t>
            </w:r>
          </w:p>
        </w:tc>
        <w:tc>
          <w:tcPr>
            <w:tcW w:w="823" w:type="dxa"/>
            <w:tcBorders>
              <w:top w:val="single" w:color="auto" w:sz="12" w:space="0"/>
            </w:tcBorders>
            <w:shd w:val="clear" w:color="auto" w:fill="auto"/>
            <w:vAlign w:val="center"/>
          </w:tcPr>
          <w:p>
            <w:pPr>
              <w:widowControl/>
              <w:spacing w:line="240" w:lineRule="auto"/>
              <w:ind w:firstLine="0" w:firstLineChars="0"/>
              <w:jc w:val="center"/>
              <w:textAlignment w:val="center"/>
              <w:rPr>
                <w:color w:val="FF0000"/>
                <w:sz w:val="21"/>
                <w:szCs w:val="21"/>
              </w:rPr>
            </w:pPr>
            <w:r>
              <w:rPr>
                <w:color w:val="000000"/>
                <w:kern w:val="0"/>
                <w:sz w:val="21"/>
                <w:szCs w:val="21"/>
                <w:lang w:bidi="ar"/>
              </w:rPr>
              <w:t>2.53</w:t>
            </w:r>
          </w:p>
        </w:tc>
        <w:tc>
          <w:tcPr>
            <w:tcW w:w="823" w:type="dxa"/>
            <w:tcBorders>
              <w:top w:val="single" w:color="auto" w:sz="12" w:space="0"/>
            </w:tcBorders>
            <w:shd w:val="clear" w:color="auto" w:fill="auto"/>
            <w:vAlign w:val="center"/>
          </w:tcPr>
          <w:p>
            <w:pPr>
              <w:widowControl/>
              <w:spacing w:line="240" w:lineRule="auto"/>
              <w:ind w:firstLine="0" w:firstLineChars="0"/>
              <w:jc w:val="center"/>
              <w:textAlignment w:val="center"/>
              <w:rPr>
                <w:color w:val="FF0000"/>
                <w:sz w:val="21"/>
                <w:szCs w:val="21"/>
              </w:rPr>
            </w:pPr>
            <w:r>
              <w:rPr>
                <w:color w:val="000000"/>
                <w:kern w:val="0"/>
                <w:sz w:val="21"/>
                <w:szCs w:val="21"/>
                <w:lang w:bidi="ar"/>
              </w:rPr>
              <w:t>2.34</w:t>
            </w:r>
          </w:p>
        </w:tc>
        <w:tc>
          <w:tcPr>
            <w:tcW w:w="837" w:type="dxa"/>
            <w:tcBorders>
              <w:top w:val="single" w:color="auto" w:sz="12" w:space="0"/>
            </w:tcBorders>
            <w:shd w:val="clear" w:color="auto" w:fill="auto"/>
            <w:vAlign w:val="center"/>
          </w:tcPr>
          <w:p>
            <w:pPr>
              <w:widowControl/>
              <w:spacing w:line="240" w:lineRule="auto"/>
              <w:ind w:firstLine="0" w:firstLineChars="0"/>
              <w:jc w:val="center"/>
              <w:textAlignment w:val="center"/>
              <w:rPr>
                <w:color w:val="FF0000"/>
                <w:sz w:val="21"/>
                <w:szCs w:val="21"/>
              </w:rPr>
            </w:pPr>
            <w:r>
              <w:rPr>
                <w:color w:val="000000"/>
                <w:kern w:val="0"/>
                <w:sz w:val="21"/>
                <w:szCs w:val="21"/>
                <w:lang w:bidi="ar"/>
              </w:rPr>
              <w:t>2.17</w:t>
            </w:r>
          </w:p>
        </w:tc>
        <w:tc>
          <w:tcPr>
            <w:tcW w:w="874" w:type="dxa"/>
            <w:tcBorders>
              <w:top w:val="single" w:color="auto" w:sz="12" w:space="0"/>
            </w:tcBorders>
            <w:shd w:val="clear" w:color="auto" w:fill="auto"/>
            <w:vAlign w:val="center"/>
          </w:tcPr>
          <w:p>
            <w:pPr>
              <w:widowControl/>
              <w:spacing w:line="240" w:lineRule="auto"/>
              <w:ind w:firstLine="0" w:firstLineChars="0"/>
              <w:jc w:val="center"/>
              <w:textAlignment w:val="center"/>
              <w:rPr>
                <w:color w:val="FF0000"/>
                <w:kern w:val="0"/>
                <w:sz w:val="21"/>
                <w:szCs w:val="21"/>
                <w:lang w:bidi="ar"/>
              </w:rPr>
            </w:pPr>
            <w:r>
              <w:rPr>
                <w:color w:val="000000"/>
                <w:kern w:val="0"/>
                <w:sz w:val="21"/>
                <w:szCs w:val="21"/>
                <w:lang w:bidi="ar"/>
              </w:rPr>
              <w:t>2.47</w:t>
            </w:r>
          </w:p>
        </w:tc>
        <w:tc>
          <w:tcPr>
            <w:tcW w:w="511" w:type="pct"/>
            <w:tcBorders>
              <w:top w:val="single" w:color="auto" w:sz="12" w:space="0"/>
            </w:tcBorders>
            <w:shd w:val="clear" w:color="auto" w:fill="auto"/>
            <w:vAlign w:val="center"/>
          </w:tcPr>
          <w:p>
            <w:pPr>
              <w:widowControl/>
              <w:spacing w:line="240" w:lineRule="auto"/>
              <w:ind w:firstLine="0" w:firstLineChars="0"/>
              <w:jc w:val="center"/>
              <w:textAlignment w:val="center"/>
              <w:rPr>
                <w:color w:val="000000"/>
                <w:kern w:val="0"/>
                <w:sz w:val="21"/>
                <w:szCs w:val="21"/>
                <w:lang w:bidi="ar"/>
              </w:rPr>
            </w:pPr>
            <w:r>
              <w:rPr>
                <w:color w:val="000000"/>
                <w:kern w:val="0"/>
                <w:sz w:val="21"/>
                <w:szCs w:val="21"/>
                <w:lang w:bidi="ar"/>
              </w:rPr>
              <w:t>2.35</w:t>
            </w:r>
          </w:p>
        </w:tc>
      </w:tr>
    </w:tbl>
    <w:p>
      <w:pPr>
        <w:wordWrap w:val="0"/>
        <w:ind w:firstLine="480"/>
      </w:pPr>
      <w:r>
        <w:t>生物多样性指数主要反映生态系统中生物的丰富度和均匀度。各采样点的Shannon-Weiner生物多样性指数均大于于2，说明采样点的浮游动物种类较多，且种类数量分布较均匀。</w:t>
      </w:r>
    </w:p>
    <w:p>
      <w:pPr>
        <w:pStyle w:val="6"/>
        <w:spacing w:before="0" w:after="0"/>
        <w:ind w:firstLine="562"/>
      </w:pPr>
      <w:bookmarkStart w:id="152" w:name="_Toc14756"/>
      <w:r>
        <w:t>底栖动物</w:t>
      </w:r>
      <w:bookmarkEnd w:id="152"/>
    </w:p>
    <w:p>
      <w:pPr>
        <w:ind w:firstLine="482"/>
        <w:rPr>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一、种类组成</w:t>
      </w:r>
    </w:p>
    <w:p>
      <w:pPr>
        <w:ind w:firstLine="482"/>
        <w:rPr>
          <w:b/>
          <w:bCs/>
          <w:color w:val="000000" w:themeColor="text1"/>
          <w:kern w:val="0"/>
          <w14:textFill>
            <w14:solidFill>
              <w14:schemeClr w14:val="tx1"/>
            </w14:solidFill>
          </w14:textFill>
        </w:rPr>
      </w:pPr>
      <w:r>
        <w:rPr>
          <w:b/>
          <w:bCs/>
          <w:color w:val="000000" w:themeColor="text1"/>
          <w:kern w:val="0"/>
          <w14:textFill>
            <w14:solidFill>
              <w14:schemeClr w14:val="tx1"/>
            </w14:solidFill>
          </w14:textFill>
        </w:rPr>
        <w:t>（1）2021年6月</w:t>
      </w:r>
    </w:p>
    <w:p>
      <w:pPr>
        <w:widowControl/>
        <w:ind w:firstLine="480"/>
        <w:rPr>
          <w:kern w:val="0"/>
          <w:lang w:val="zh-CN"/>
        </w:rPr>
      </w:pPr>
      <w:r>
        <w:rPr>
          <w:lang w:val="zh-CN"/>
        </w:rPr>
        <w:t>在评价区调查到底栖动物3门</w:t>
      </w:r>
      <w:r>
        <w:t>20</w:t>
      </w:r>
      <w:r>
        <w:rPr>
          <w:lang w:val="zh-CN"/>
        </w:rPr>
        <w:t>种（属）。</w:t>
      </w:r>
      <w:r>
        <w:rPr>
          <w:kern w:val="0"/>
        </w:rPr>
        <w:t>其中，节肢动物</w:t>
      </w:r>
      <w:r>
        <w:t>门种类较多，</w:t>
      </w:r>
      <w:r>
        <w:rPr>
          <w:kern w:val="0"/>
        </w:rPr>
        <w:t>有12种，占总数的</w:t>
      </w:r>
      <w:r>
        <w:t>60.00</w:t>
      </w:r>
      <w:r>
        <w:rPr>
          <w:lang w:val="zh-CN"/>
        </w:rPr>
        <w:t>%；软体动物</w:t>
      </w:r>
      <w:r>
        <w:t>6</w:t>
      </w:r>
      <w:r>
        <w:rPr>
          <w:lang w:val="zh-CN"/>
        </w:rPr>
        <w:t>种，占总数的</w:t>
      </w:r>
      <w:r>
        <w:t>30.00</w:t>
      </w:r>
      <w:r>
        <w:rPr>
          <w:lang w:val="zh-CN"/>
        </w:rPr>
        <w:t>%；环节动物</w:t>
      </w:r>
      <w:r>
        <w:t>2</w:t>
      </w:r>
      <w:r>
        <w:rPr>
          <w:lang w:val="zh-CN"/>
        </w:rPr>
        <w:t>种，占总数的</w:t>
      </w:r>
      <w:r>
        <w:t>10.00</w:t>
      </w:r>
      <w:r>
        <w:rPr>
          <w:lang w:val="zh-CN"/>
        </w:rPr>
        <w:t>%。</w:t>
      </w:r>
      <w:r>
        <w:t>底栖生物中的优势类群主要为霍甫水丝蚓（</w:t>
      </w:r>
      <w:r>
        <w:rPr>
          <w:i/>
          <w:iCs/>
          <w:color w:val="000000"/>
          <w:kern w:val="0"/>
        </w:rPr>
        <w:t>Limnodrilus hoffmeisteri</w:t>
      </w:r>
      <w:r>
        <w:t>）、梨形环棱螺（</w:t>
      </w:r>
      <w:r>
        <w:rPr>
          <w:i/>
          <w:iCs/>
          <w:color w:val="000000"/>
          <w:kern w:val="0"/>
        </w:rPr>
        <w:t>Bellamya purificata</w:t>
      </w:r>
      <w:r>
        <w:t>）、四节蜉（</w:t>
      </w:r>
      <w:r>
        <w:rPr>
          <w:i/>
          <w:iCs/>
          <w:color w:val="000000"/>
          <w:kern w:val="0"/>
          <w:szCs w:val="21"/>
        </w:rPr>
        <w:t xml:space="preserve">Baetis </w:t>
      </w:r>
      <w:r>
        <w:rPr>
          <w:color w:val="000000"/>
          <w:kern w:val="0"/>
          <w:szCs w:val="21"/>
        </w:rPr>
        <w:t>sp.</w:t>
      </w:r>
      <w:r>
        <w:t>）和摇蚊（</w:t>
      </w:r>
      <w:r>
        <w:rPr>
          <w:i/>
          <w:iCs/>
          <w:color w:val="000000"/>
          <w:kern w:val="0"/>
        </w:rPr>
        <w:t>Tendipus</w:t>
      </w:r>
      <w:r>
        <w:rPr>
          <w:color w:val="000000"/>
          <w:kern w:val="0"/>
        </w:rPr>
        <w:t xml:space="preserve"> sp.</w:t>
      </w:r>
      <w:r>
        <w:t>）</w:t>
      </w:r>
      <w:r>
        <w:rPr>
          <w:lang w:val="zh-CN"/>
        </w:rPr>
        <w:t>等。</w:t>
      </w:r>
    </w:p>
    <w:p>
      <w:pPr>
        <w:pStyle w:val="3583"/>
        <w:spacing w:line="240" w:lineRule="auto"/>
        <w:ind w:left="0"/>
        <w:rPr>
          <w:kern w:val="0"/>
          <w:szCs w:val="21"/>
        </w:rPr>
      </w:pPr>
      <w:r>
        <w:rPr>
          <w:kern w:val="0"/>
          <w:szCs w:val="21"/>
        </w:rPr>
        <w:t>6月</w:t>
      </w:r>
      <w:r>
        <w:t>评价</w:t>
      </w:r>
      <w:r>
        <w:rPr>
          <w:kern w:val="0"/>
          <w:szCs w:val="21"/>
        </w:rPr>
        <w:t>区底栖动物各类种类数及所占比例</w:t>
      </w:r>
    </w:p>
    <w:tbl>
      <w:tblPr>
        <w:tblStyle w:val="87"/>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15" w:type="dxa"/>
          <w:left w:w="15" w:type="dxa"/>
          <w:bottom w:w="15" w:type="dxa"/>
          <w:right w:w="15" w:type="dxa"/>
        </w:tblCellMar>
      </w:tblPr>
      <w:tblGrid>
        <w:gridCol w:w="2237"/>
        <w:gridCol w:w="1715"/>
        <w:gridCol w:w="1715"/>
        <w:gridCol w:w="1715"/>
        <w:gridCol w:w="171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87" w:hRule="exact"/>
          <w:jc w:val="center"/>
        </w:trPr>
        <w:tc>
          <w:tcPr>
            <w:tcW w:w="1229" w:type="pct"/>
            <w:tcBorders>
              <w:bottom w:val="single" w:color="000000" w:sz="12" w:space="0"/>
            </w:tcBorders>
            <w:vAlign w:val="center"/>
          </w:tcPr>
          <w:p>
            <w:pPr>
              <w:widowControl/>
              <w:spacing w:line="240" w:lineRule="atLeast"/>
              <w:ind w:firstLine="0" w:firstLineChars="0"/>
              <w:jc w:val="center"/>
              <w:textAlignment w:val="center"/>
              <w:rPr>
                <w:b/>
                <w:sz w:val="21"/>
                <w:szCs w:val="21"/>
              </w:rPr>
            </w:pPr>
            <w:r>
              <w:rPr>
                <w:b/>
                <w:kern w:val="0"/>
                <w:sz w:val="21"/>
                <w:szCs w:val="21"/>
                <w:lang w:bidi="ar"/>
              </w:rPr>
              <w:t>类别</w:t>
            </w:r>
          </w:p>
        </w:tc>
        <w:tc>
          <w:tcPr>
            <w:tcW w:w="942" w:type="pct"/>
            <w:tcBorders>
              <w:bottom w:val="single" w:color="000000" w:sz="12" w:space="0"/>
            </w:tcBorders>
            <w:vAlign w:val="center"/>
          </w:tcPr>
          <w:p>
            <w:pPr>
              <w:widowControl/>
              <w:spacing w:line="240" w:lineRule="atLeast"/>
              <w:ind w:firstLine="0" w:firstLineChars="0"/>
              <w:jc w:val="center"/>
              <w:textAlignment w:val="center"/>
              <w:rPr>
                <w:b/>
                <w:sz w:val="21"/>
                <w:szCs w:val="21"/>
              </w:rPr>
            </w:pPr>
            <w:r>
              <w:rPr>
                <w:b/>
                <w:kern w:val="0"/>
                <w:sz w:val="21"/>
                <w:szCs w:val="21"/>
                <w:lang w:bidi="ar"/>
              </w:rPr>
              <w:t>环节动物</w:t>
            </w:r>
          </w:p>
        </w:tc>
        <w:tc>
          <w:tcPr>
            <w:tcW w:w="942" w:type="pct"/>
            <w:tcBorders>
              <w:bottom w:val="single" w:color="000000" w:sz="12" w:space="0"/>
            </w:tcBorders>
            <w:vAlign w:val="center"/>
          </w:tcPr>
          <w:p>
            <w:pPr>
              <w:widowControl/>
              <w:spacing w:line="240" w:lineRule="atLeast"/>
              <w:ind w:firstLine="0" w:firstLineChars="0"/>
              <w:jc w:val="center"/>
              <w:textAlignment w:val="center"/>
              <w:rPr>
                <w:b/>
                <w:sz w:val="21"/>
                <w:szCs w:val="21"/>
              </w:rPr>
            </w:pPr>
            <w:r>
              <w:rPr>
                <w:b/>
                <w:kern w:val="0"/>
                <w:sz w:val="21"/>
                <w:szCs w:val="21"/>
                <w:lang w:bidi="ar"/>
              </w:rPr>
              <w:t>软体动物</w:t>
            </w:r>
          </w:p>
        </w:tc>
        <w:tc>
          <w:tcPr>
            <w:tcW w:w="942" w:type="pct"/>
            <w:tcBorders>
              <w:bottom w:val="single" w:color="000000" w:sz="12" w:space="0"/>
            </w:tcBorders>
            <w:vAlign w:val="center"/>
          </w:tcPr>
          <w:p>
            <w:pPr>
              <w:widowControl/>
              <w:spacing w:line="240" w:lineRule="atLeast"/>
              <w:ind w:firstLine="0" w:firstLineChars="0"/>
              <w:jc w:val="center"/>
              <w:textAlignment w:val="center"/>
              <w:rPr>
                <w:b/>
                <w:sz w:val="21"/>
                <w:szCs w:val="21"/>
              </w:rPr>
            </w:pPr>
            <w:r>
              <w:rPr>
                <w:b/>
                <w:kern w:val="0"/>
                <w:sz w:val="21"/>
                <w:szCs w:val="21"/>
                <w:lang w:bidi="ar"/>
              </w:rPr>
              <w:t>节肢动物</w:t>
            </w:r>
          </w:p>
        </w:tc>
        <w:tc>
          <w:tcPr>
            <w:tcW w:w="944" w:type="pct"/>
            <w:tcBorders>
              <w:bottom w:val="single" w:color="000000" w:sz="12" w:space="0"/>
            </w:tcBorders>
            <w:vAlign w:val="center"/>
          </w:tcPr>
          <w:p>
            <w:pPr>
              <w:widowControl/>
              <w:spacing w:line="240" w:lineRule="atLeast"/>
              <w:ind w:firstLine="0" w:firstLineChars="0"/>
              <w:jc w:val="center"/>
              <w:textAlignment w:val="center"/>
              <w:rPr>
                <w:b/>
                <w:sz w:val="21"/>
                <w:szCs w:val="21"/>
              </w:rPr>
            </w:pPr>
            <w:r>
              <w:rPr>
                <w:b/>
                <w:kern w:val="0"/>
                <w:sz w:val="21"/>
                <w:szCs w:val="21"/>
                <w:lang w:bidi="ar"/>
              </w:rPr>
              <w:t>合计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87" w:hRule="exact"/>
          <w:jc w:val="center"/>
        </w:trPr>
        <w:tc>
          <w:tcPr>
            <w:tcW w:w="1229" w:type="pct"/>
            <w:tcBorders>
              <w:top w:val="single" w:color="000000" w:sz="12" w:space="0"/>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种类数</w:t>
            </w:r>
          </w:p>
        </w:tc>
        <w:tc>
          <w:tcPr>
            <w:tcW w:w="1571" w:type="dxa"/>
            <w:tcBorders>
              <w:top w:val="single" w:color="000000" w:sz="12" w:space="0"/>
              <w:tl2br w:val="nil"/>
              <w:tr2bl w:val="nil"/>
            </w:tcBorders>
            <w:vAlign w:val="center"/>
          </w:tcPr>
          <w:p>
            <w:pPr>
              <w:widowControl/>
              <w:spacing w:line="240" w:lineRule="atLeast"/>
              <w:ind w:firstLine="0" w:firstLineChars="0"/>
              <w:jc w:val="center"/>
              <w:textAlignment w:val="center"/>
              <w:rPr>
                <w:sz w:val="21"/>
                <w:szCs w:val="21"/>
              </w:rPr>
            </w:pPr>
            <w:r>
              <w:rPr>
                <w:color w:val="000000"/>
                <w:kern w:val="0"/>
                <w:sz w:val="21"/>
                <w:szCs w:val="21"/>
                <w:lang w:bidi="ar"/>
              </w:rPr>
              <w:t>2</w:t>
            </w:r>
          </w:p>
        </w:tc>
        <w:tc>
          <w:tcPr>
            <w:tcW w:w="1571" w:type="dxa"/>
            <w:tcBorders>
              <w:top w:val="single" w:color="000000" w:sz="12" w:space="0"/>
              <w:tl2br w:val="nil"/>
              <w:tr2bl w:val="nil"/>
            </w:tcBorders>
            <w:vAlign w:val="center"/>
          </w:tcPr>
          <w:p>
            <w:pPr>
              <w:widowControl/>
              <w:spacing w:line="240" w:lineRule="atLeast"/>
              <w:ind w:firstLine="0" w:firstLineChars="0"/>
              <w:jc w:val="center"/>
              <w:textAlignment w:val="center"/>
              <w:rPr>
                <w:sz w:val="21"/>
                <w:szCs w:val="21"/>
              </w:rPr>
            </w:pPr>
            <w:r>
              <w:rPr>
                <w:color w:val="000000"/>
                <w:kern w:val="0"/>
                <w:sz w:val="21"/>
                <w:szCs w:val="21"/>
                <w:lang w:bidi="ar"/>
              </w:rPr>
              <w:t>6</w:t>
            </w:r>
          </w:p>
        </w:tc>
        <w:tc>
          <w:tcPr>
            <w:tcW w:w="1571" w:type="dxa"/>
            <w:tcBorders>
              <w:top w:val="single" w:color="000000" w:sz="12" w:space="0"/>
              <w:tl2br w:val="nil"/>
              <w:tr2bl w:val="nil"/>
            </w:tcBorders>
            <w:vAlign w:val="center"/>
          </w:tcPr>
          <w:p>
            <w:pPr>
              <w:widowControl/>
              <w:spacing w:line="240" w:lineRule="atLeast"/>
              <w:ind w:firstLine="0" w:firstLineChars="0"/>
              <w:jc w:val="center"/>
              <w:textAlignment w:val="center"/>
              <w:rPr>
                <w:sz w:val="21"/>
                <w:szCs w:val="21"/>
              </w:rPr>
            </w:pPr>
            <w:r>
              <w:rPr>
                <w:color w:val="000000"/>
                <w:kern w:val="0"/>
                <w:sz w:val="21"/>
                <w:szCs w:val="21"/>
                <w:lang w:bidi="ar"/>
              </w:rPr>
              <w:t>12</w:t>
            </w:r>
          </w:p>
        </w:tc>
        <w:tc>
          <w:tcPr>
            <w:tcW w:w="1574" w:type="dxa"/>
            <w:tcBorders>
              <w:top w:val="single" w:color="000000" w:sz="12" w:space="0"/>
              <w:tl2br w:val="nil"/>
              <w:tr2bl w:val="nil"/>
            </w:tcBorders>
            <w:vAlign w:val="center"/>
          </w:tcPr>
          <w:p>
            <w:pPr>
              <w:widowControl/>
              <w:spacing w:line="240" w:lineRule="atLeast"/>
              <w:ind w:firstLine="0" w:firstLineChars="0"/>
              <w:jc w:val="center"/>
              <w:textAlignment w:val="center"/>
              <w:rPr>
                <w:sz w:val="21"/>
                <w:szCs w:val="21"/>
              </w:rPr>
            </w:pPr>
            <w:r>
              <w:rPr>
                <w:color w:val="000000"/>
                <w:kern w:val="0"/>
                <w:sz w:val="21"/>
                <w:szCs w:val="21"/>
                <w:lang w:bidi="ar"/>
              </w:rPr>
              <w:t>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87" w:hRule="exact"/>
          <w:jc w:val="center"/>
        </w:trPr>
        <w:tc>
          <w:tcPr>
            <w:tcW w:w="1229" w:type="pct"/>
            <w:tcBorders>
              <w:tl2br w:val="nil"/>
              <w:tr2bl w:val="nil"/>
            </w:tcBorders>
            <w:vAlign w:val="center"/>
          </w:tcPr>
          <w:p>
            <w:pPr>
              <w:widowControl/>
              <w:spacing w:line="240" w:lineRule="atLeast"/>
              <w:ind w:firstLine="0" w:firstLineChars="0"/>
              <w:jc w:val="center"/>
              <w:textAlignment w:val="center"/>
              <w:rPr>
                <w:sz w:val="21"/>
                <w:szCs w:val="21"/>
              </w:rPr>
            </w:pPr>
            <w:r>
              <w:rPr>
                <w:kern w:val="0"/>
                <w:sz w:val="21"/>
                <w:szCs w:val="21"/>
                <w:lang w:bidi="ar"/>
              </w:rPr>
              <w:t>比例（%）</w:t>
            </w:r>
          </w:p>
        </w:tc>
        <w:tc>
          <w:tcPr>
            <w:tcW w:w="1571" w:type="dxa"/>
            <w:tcBorders>
              <w:tl2br w:val="nil"/>
              <w:tr2bl w:val="nil"/>
            </w:tcBorders>
            <w:vAlign w:val="center"/>
          </w:tcPr>
          <w:p>
            <w:pPr>
              <w:widowControl/>
              <w:spacing w:line="240" w:lineRule="atLeast"/>
              <w:ind w:firstLine="0" w:firstLineChars="0"/>
              <w:jc w:val="center"/>
              <w:textAlignment w:val="center"/>
              <w:rPr>
                <w:sz w:val="21"/>
                <w:szCs w:val="21"/>
              </w:rPr>
            </w:pPr>
            <w:r>
              <w:rPr>
                <w:color w:val="000000"/>
                <w:kern w:val="0"/>
                <w:sz w:val="21"/>
                <w:szCs w:val="21"/>
                <w:lang w:bidi="ar"/>
              </w:rPr>
              <w:t xml:space="preserve">10.00 </w:t>
            </w:r>
          </w:p>
        </w:tc>
        <w:tc>
          <w:tcPr>
            <w:tcW w:w="1571" w:type="dxa"/>
            <w:tcBorders>
              <w:tl2br w:val="nil"/>
              <w:tr2bl w:val="nil"/>
            </w:tcBorders>
            <w:vAlign w:val="center"/>
          </w:tcPr>
          <w:p>
            <w:pPr>
              <w:widowControl/>
              <w:spacing w:line="240" w:lineRule="atLeast"/>
              <w:ind w:firstLine="0" w:firstLineChars="0"/>
              <w:jc w:val="center"/>
              <w:textAlignment w:val="center"/>
              <w:rPr>
                <w:sz w:val="21"/>
                <w:szCs w:val="21"/>
              </w:rPr>
            </w:pPr>
            <w:r>
              <w:rPr>
                <w:color w:val="000000"/>
                <w:kern w:val="0"/>
                <w:sz w:val="21"/>
                <w:szCs w:val="21"/>
                <w:lang w:bidi="ar"/>
              </w:rPr>
              <w:t xml:space="preserve">30.00 </w:t>
            </w:r>
          </w:p>
        </w:tc>
        <w:tc>
          <w:tcPr>
            <w:tcW w:w="1571" w:type="dxa"/>
            <w:tcBorders>
              <w:tl2br w:val="nil"/>
              <w:tr2bl w:val="nil"/>
            </w:tcBorders>
            <w:vAlign w:val="center"/>
          </w:tcPr>
          <w:p>
            <w:pPr>
              <w:widowControl/>
              <w:spacing w:line="240" w:lineRule="atLeast"/>
              <w:ind w:firstLine="0" w:firstLineChars="0"/>
              <w:jc w:val="center"/>
              <w:textAlignment w:val="center"/>
              <w:rPr>
                <w:sz w:val="21"/>
                <w:szCs w:val="21"/>
              </w:rPr>
            </w:pPr>
            <w:r>
              <w:rPr>
                <w:color w:val="000000"/>
                <w:kern w:val="0"/>
                <w:sz w:val="21"/>
                <w:szCs w:val="21"/>
                <w:lang w:bidi="ar"/>
              </w:rPr>
              <w:t xml:space="preserve">60.00 </w:t>
            </w:r>
          </w:p>
        </w:tc>
        <w:tc>
          <w:tcPr>
            <w:tcW w:w="1574" w:type="dxa"/>
            <w:tcBorders>
              <w:tl2br w:val="nil"/>
              <w:tr2bl w:val="nil"/>
            </w:tcBorders>
            <w:vAlign w:val="center"/>
          </w:tcPr>
          <w:p>
            <w:pPr>
              <w:widowControl/>
              <w:spacing w:line="240" w:lineRule="atLeast"/>
              <w:ind w:firstLine="0" w:firstLineChars="0"/>
              <w:jc w:val="center"/>
              <w:textAlignment w:val="center"/>
              <w:rPr>
                <w:sz w:val="21"/>
                <w:szCs w:val="21"/>
              </w:rPr>
            </w:pPr>
            <w:r>
              <w:rPr>
                <w:color w:val="000000"/>
                <w:kern w:val="0"/>
                <w:sz w:val="21"/>
                <w:szCs w:val="21"/>
                <w:lang w:bidi="ar"/>
              </w:rPr>
              <w:t xml:space="preserve">100 </w:t>
            </w:r>
          </w:p>
        </w:tc>
      </w:tr>
    </w:tbl>
    <w:p>
      <w:pPr>
        <w:ind w:firstLine="482"/>
        <w:rPr>
          <w:b/>
          <w:bCs/>
          <w:color w:val="000000" w:themeColor="text1"/>
          <w:kern w:val="0"/>
          <w14:textFill>
            <w14:solidFill>
              <w14:schemeClr w14:val="tx1"/>
            </w14:solidFill>
          </w14:textFill>
        </w:rPr>
      </w:pPr>
      <w:r>
        <w:rPr>
          <w:b/>
          <w:bCs/>
          <w:color w:val="000000" w:themeColor="text1"/>
          <w:kern w:val="0"/>
          <w14:textFill>
            <w14:solidFill>
              <w14:schemeClr w14:val="tx1"/>
            </w14:solidFill>
          </w14:textFill>
        </w:rPr>
        <w:t>（2）2020年11月</w:t>
      </w:r>
    </w:p>
    <w:p>
      <w:pPr>
        <w:widowControl/>
        <w:ind w:firstLine="480"/>
        <w:rPr>
          <w:lang w:val="zh-CN"/>
        </w:rPr>
      </w:pPr>
      <w:r>
        <w:rPr>
          <w:lang w:val="zh-CN"/>
        </w:rPr>
        <w:t>在评价区调查到底栖动物3门</w:t>
      </w:r>
      <w:r>
        <w:t>27</w:t>
      </w:r>
      <w:r>
        <w:rPr>
          <w:lang w:val="zh-CN"/>
        </w:rPr>
        <w:t>种（属）。</w:t>
      </w:r>
      <w:r>
        <w:rPr>
          <w:kern w:val="0"/>
        </w:rPr>
        <w:t>其中，节肢动物</w:t>
      </w:r>
      <w:r>
        <w:t>门种类较多，</w:t>
      </w:r>
      <w:r>
        <w:rPr>
          <w:kern w:val="0"/>
        </w:rPr>
        <w:t>有16种，占总数的</w:t>
      </w:r>
      <w:r>
        <w:t>59.26</w:t>
      </w:r>
      <w:r>
        <w:rPr>
          <w:lang w:val="zh-CN"/>
        </w:rPr>
        <w:t>%；软体动物</w:t>
      </w:r>
      <w:r>
        <w:t>9</w:t>
      </w:r>
      <w:r>
        <w:rPr>
          <w:lang w:val="zh-CN"/>
        </w:rPr>
        <w:t>种，占总数的33.33%；环节动物</w:t>
      </w:r>
      <w:r>
        <w:t>2</w:t>
      </w:r>
      <w:r>
        <w:rPr>
          <w:lang w:val="zh-CN"/>
        </w:rPr>
        <w:t>种，占总数的</w:t>
      </w:r>
      <w:r>
        <w:t>7.41</w:t>
      </w:r>
      <w:r>
        <w:rPr>
          <w:lang w:val="zh-CN"/>
        </w:rPr>
        <w:t>%。常见种类有</w:t>
      </w:r>
      <w:r>
        <w:rPr>
          <w:kern w:val="0"/>
        </w:rPr>
        <w:t>霍甫水丝蚓（</w:t>
      </w:r>
      <w:r>
        <w:rPr>
          <w:i/>
          <w:iCs/>
          <w:kern w:val="0"/>
        </w:rPr>
        <w:t>Limnodrilus hoffmeisteri</w:t>
      </w:r>
      <w:r>
        <w:rPr>
          <w:kern w:val="0"/>
        </w:rPr>
        <w:t>）</w:t>
      </w:r>
      <w:r>
        <w:rPr>
          <w:i/>
          <w:iCs/>
          <w:kern w:val="0"/>
        </w:rPr>
        <w:t>、</w:t>
      </w:r>
      <w:r>
        <w:rPr>
          <w:kern w:val="0"/>
        </w:rPr>
        <w:t>梨形环棱螺（</w:t>
      </w:r>
      <w:r>
        <w:rPr>
          <w:i/>
          <w:iCs/>
          <w:kern w:val="0"/>
        </w:rPr>
        <w:t>Bellamya purificata</w:t>
      </w:r>
      <w:r>
        <w:rPr>
          <w:kern w:val="0"/>
        </w:rPr>
        <w:t>）</w:t>
      </w:r>
      <w:r>
        <w:rPr>
          <w:i/>
          <w:iCs/>
          <w:kern w:val="0"/>
        </w:rPr>
        <w:t>、</w:t>
      </w:r>
      <w:r>
        <w:rPr>
          <w:kern w:val="0"/>
        </w:rPr>
        <w:t>河蚬（</w:t>
      </w:r>
      <w:r>
        <w:rPr>
          <w:i/>
          <w:iCs/>
          <w:kern w:val="0"/>
        </w:rPr>
        <w:t>Corbicula fluminea</w:t>
      </w:r>
      <w:r>
        <w:rPr>
          <w:kern w:val="0"/>
        </w:rPr>
        <w:t>）</w:t>
      </w:r>
      <w:r>
        <w:rPr>
          <w:i/>
          <w:iCs/>
          <w:kern w:val="0"/>
        </w:rPr>
        <w:t>、</w:t>
      </w:r>
      <w:r>
        <w:rPr>
          <w:kern w:val="0"/>
        </w:rPr>
        <w:t>长臂虾属（</w:t>
      </w:r>
      <w:r>
        <w:rPr>
          <w:i/>
          <w:kern w:val="0"/>
        </w:rPr>
        <w:t>Palaemon</w:t>
      </w:r>
      <w:r>
        <w:rPr>
          <w:kern w:val="0"/>
        </w:rPr>
        <w:t xml:space="preserve"> sp.）等</w:t>
      </w:r>
      <w:r>
        <w:rPr>
          <w:lang w:val="zh-CN"/>
        </w:rPr>
        <w:t>。</w:t>
      </w:r>
    </w:p>
    <w:p>
      <w:pPr>
        <w:pStyle w:val="3583"/>
        <w:spacing w:line="240" w:lineRule="auto"/>
        <w:ind w:left="0"/>
        <w:rPr>
          <w:kern w:val="0"/>
          <w:szCs w:val="21"/>
        </w:rPr>
      </w:pPr>
      <w:bookmarkStart w:id="153" w:name="_Toc31507_WPSOffice_Level3"/>
      <w:bookmarkStart w:id="154" w:name="_Toc8083_WPSOffice_Level3"/>
      <w:bookmarkStart w:id="155" w:name="_Toc31824_WPSOffice_Level3"/>
      <w:bookmarkStart w:id="156" w:name="_Toc6006_WPSOffice_Level3"/>
      <w:r>
        <w:rPr>
          <w:kern w:val="0"/>
          <w:szCs w:val="21"/>
        </w:rPr>
        <w:t xml:space="preserve"> 11月评价区底栖动物各类种类数及所占比例</w:t>
      </w:r>
      <w:bookmarkEnd w:id="153"/>
      <w:bookmarkEnd w:id="154"/>
      <w:bookmarkEnd w:id="155"/>
      <w:bookmarkEnd w:id="156"/>
    </w:p>
    <w:tbl>
      <w:tblPr>
        <w:tblStyle w:val="87"/>
        <w:tblW w:w="4999"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15" w:type="dxa"/>
          <w:left w:w="15" w:type="dxa"/>
          <w:bottom w:w="15" w:type="dxa"/>
          <w:right w:w="15" w:type="dxa"/>
        </w:tblCellMar>
      </w:tblPr>
      <w:tblGrid>
        <w:gridCol w:w="2235"/>
        <w:gridCol w:w="1715"/>
        <w:gridCol w:w="1715"/>
        <w:gridCol w:w="1715"/>
        <w:gridCol w:w="171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87" w:hRule="exact"/>
          <w:jc w:val="center"/>
        </w:trPr>
        <w:tc>
          <w:tcPr>
            <w:tcW w:w="1228" w:type="pct"/>
            <w:tcBorders>
              <w:bottom w:val="single" w:color="000000" w:sz="12" w:space="0"/>
            </w:tcBorders>
            <w:shd w:val="clear" w:color="auto" w:fill="auto"/>
            <w:vAlign w:val="center"/>
          </w:tcPr>
          <w:p>
            <w:pPr>
              <w:widowControl/>
              <w:spacing w:line="240" w:lineRule="auto"/>
              <w:ind w:firstLine="0" w:firstLineChars="0"/>
              <w:jc w:val="center"/>
              <w:textAlignment w:val="center"/>
              <w:rPr>
                <w:b/>
                <w:sz w:val="21"/>
                <w:szCs w:val="21"/>
              </w:rPr>
            </w:pPr>
            <w:r>
              <w:rPr>
                <w:b/>
                <w:kern w:val="0"/>
                <w:sz w:val="21"/>
                <w:szCs w:val="21"/>
                <w:lang w:bidi="ar"/>
              </w:rPr>
              <w:t>类别</w:t>
            </w:r>
          </w:p>
        </w:tc>
        <w:tc>
          <w:tcPr>
            <w:tcW w:w="942" w:type="pct"/>
            <w:tcBorders>
              <w:bottom w:val="single" w:color="000000" w:sz="12" w:space="0"/>
            </w:tcBorders>
            <w:shd w:val="clear" w:color="auto" w:fill="auto"/>
            <w:vAlign w:val="center"/>
          </w:tcPr>
          <w:p>
            <w:pPr>
              <w:widowControl/>
              <w:spacing w:line="240" w:lineRule="auto"/>
              <w:ind w:firstLine="0" w:firstLineChars="0"/>
              <w:jc w:val="center"/>
              <w:textAlignment w:val="center"/>
              <w:rPr>
                <w:b/>
                <w:sz w:val="21"/>
                <w:szCs w:val="21"/>
              </w:rPr>
            </w:pPr>
            <w:r>
              <w:rPr>
                <w:b/>
                <w:kern w:val="0"/>
                <w:sz w:val="21"/>
                <w:szCs w:val="21"/>
                <w:lang w:bidi="ar"/>
              </w:rPr>
              <w:t>环节动物</w:t>
            </w:r>
          </w:p>
        </w:tc>
        <w:tc>
          <w:tcPr>
            <w:tcW w:w="942" w:type="pct"/>
            <w:tcBorders>
              <w:bottom w:val="single" w:color="000000" w:sz="12" w:space="0"/>
            </w:tcBorders>
            <w:shd w:val="clear" w:color="auto" w:fill="auto"/>
            <w:vAlign w:val="center"/>
          </w:tcPr>
          <w:p>
            <w:pPr>
              <w:widowControl/>
              <w:spacing w:line="240" w:lineRule="auto"/>
              <w:ind w:firstLine="0" w:firstLineChars="0"/>
              <w:jc w:val="center"/>
              <w:textAlignment w:val="center"/>
              <w:rPr>
                <w:b/>
                <w:sz w:val="21"/>
                <w:szCs w:val="21"/>
              </w:rPr>
            </w:pPr>
            <w:r>
              <w:rPr>
                <w:b/>
                <w:kern w:val="0"/>
                <w:sz w:val="21"/>
                <w:szCs w:val="21"/>
                <w:lang w:bidi="ar"/>
              </w:rPr>
              <w:t>软体动物</w:t>
            </w:r>
          </w:p>
        </w:tc>
        <w:tc>
          <w:tcPr>
            <w:tcW w:w="942" w:type="pct"/>
            <w:tcBorders>
              <w:bottom w:val="single" w:color="000000" w:sz="12" w:space="0"/>
            </w:tcBorders>
            <w:shd w:val="clear" w:color="auto" w:fill="auto"/>
            <w:vAlign w:val="center"/>
          </w:tcPr>
          <w:p>
            <w:pPr>
              <w:widowControl/>
              <w:spacing w:line="240" w:lineRule="auto"/>
              <w:ind w:firstLine="0" w:firstLineChars="0"/>
              <w:jc w:val="center"/>
              <w:textAlignment w:val="center"/>
              <w:rPr>
                <w:b/>
                <w:sz w:val="21"/>
                <w:szCs w:val="21"/>
              </w:rPr>
            </w:pPr>
            <w:r>
              <w:rPr>
                <w:b/>
                <w:kern w:val="0"/>
                <w:sz w:val="21"/>
                <w:szCs w:val="21"/>
                <w:lang w:bidi="ar"/>
              </w:rPr>
              <w:t>节肢动物</w:t>
            </w:r>
          </w:p>
        </w:tc>
        <w:tc>
          <w:tcPr>
            <w:tcW w:w="944" w:type="pct"/>
            <w:tcBorders>
              <w:bottom w:val="single" w:color="000000" w:sz="12" w:space="0"/>
            </w:tcBorders>
            <w:shd w:val="clear" w:color="auto" w:fill="auto"/>
            <w:vAlign w:val="center"/>
          </w:tcPr>
          <w:p>
            <w:pPr>
              <w:widowControl/>
              <w:spacing w:line="240" w:lineRule="auto"/>
              <w:ind w:firstLine="0" w:firstLineChars="0"/>
              <w:jc w:val="center"/>
              <w:textAlignment w:val="center"/>
              <w:rPr>
                <w:b/>
                <w:sz w:val="21"/>
                <w:szCs w:val="21"/>
              </w:rPr>
            </w:pPr>
            <w:r>
              <w:rPr>
                <w:b/>
                <w:kern w:val="0"/>
                <w:sz w:val="21"/>
                <w:szCs w:val="21"/>
                <w:lang w:bidi="ar"/>
              </w:rPr>
              <w:t>合计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87" w:hRule="exact"/>
          <w:jc w:val="center"/>
        </w:trPr>
        <w:tc>
          <w:tcPr>
            <w:tcW w:w="1228"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种类数</w:t>
            </w:r>
          </w:p>
        </w:tc>
        <w:tc>
          <w:tcPr>
            <w:tcW w:w="942"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2</w:t>
            </w:r>
          </w:p>
        </w:tc>
        <w:tc>
          <w:tcPr>
            <w:tcW w:w="942"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9</w:t>
            </w:r>
          </w:p>
        </w:tc>
        <w:tc>
          <w:tcPr>
            <w:tcW w:w="942"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16</w:t>
            </w:r>
          </w:p>
        </w:tc>
        <w:tc>
          <w:tcPr>
            <w:tcW w:w="944"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27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87" w:hRule="exact"/>
          <w:jc w:val="center"/>
        </w:trPr>
        <w:tc>
          <w:tcPr>
            <w:tcW w:w="1228" w:type="pct"/>
            <w:tcBorders>
              <w:tl2br w:val="nil"/>
              <w:tr2bl w:val="nil"/>
            </w:tcBorders>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比例（%）</w:t>
            </w:r>
          </w:p>
        </w:tc>
        <w:tc>
          <w:tcPr>
            <w:tcW w:w="942" w:type="pct"/>
            <w:tcBorders>
              <w:tl2br w:val="nil"/>
              <w:tr2bl w:val="nil"/>
            </w:tcBorders>
            <w:shd w:val="clear" w:color="auto" w:fill="auto"/>
            <w:vAlign w:val="center"/>
          </w:tcPr>
          <w:p>
            <w:pPr>
              <w:widowControl/>
              <w:spacing w:line="240" w:lineRule="auto"/>
              <w:ind w:firstLine="0" w:firstLineChars="0"/>
              <w:jc w:val="center"/>
              <w:textAlignment w:val="center"/>
              <w:rPr>
                <w:sz w:val="21"/>
                <w:szCs w:val="21"/>
              </w:rPr>
            </w:pPr>
            <w:r>
              <w:rPr>
                <w:sz w:val="21"/>
              </w:rPr>
              <w:t>7.41</w:t>
            </w:r>
          </w:p>
        </w:tc>
        <w:tc>
          <w:tcPr>
            <w:tcW w:w="942" w:type="pct"/>
            <w:tcBorders>
              <w:tl2br w:val="nil"/>
              <w:tr2bl w:val="nil"/>
            </w:tcBorders>
            <w:shd w:val="clear" w:color="auto" w:fill="auto"/>
            <w:vAlign w:val="center"/>
          </w:tcPr>
          <w:p>
            <w:pPr>
              <w:widowControl/>
              <w:spacing w:line="240" w:lineRule="auto"/>
              <w:ind w:firstLine="0" w:firstLineChars="0"/>
              <w:jc w:val="center"/>
              <w:textAlignment w:val="center"/>
              <w:rPr>
                <w:sz w:val="21"/>
                <w:szCs w:val="21"/>
              </w:rPr>
            </w:pPr>
            <w:r>
              <w:rPr>
                <w:sz w:val="21"/>
              </w:rPr>
              <w:t>33.33</w:t>
            </w:r>
          </w:p>
        </w:tc>
        <w:tc>
          <w:tcPr>
            <w:tcW w:w="942" w:type="pct"/>
            <w:tcBorders>
              <w:tl2br w:val="nil"/>
              <w:tr2bl w:val="nil"/>
            </w:tcBorders>
            <w:shd w:val="clear" w:color="auto" w:fill="auto"/>
            <w:vAlign w:val="center"/>
          </w:tcPr>
          <w:p>
            <w:pPr>
              <w:widowControl/>
              <w:spacing w:line="240" w:lineRule="auto"/>
              <w:ind w:firstLine="0" w:firstLineChars="0"/>
              <w:jc w:val="center"/>
              <w:textAlignment w:val="center"/>
              <w:rPr>
                <w:sz w:val="21"/>
                <w:szCs w:val="21"/>
              </w:rPr>
            </w:pPr>
            <w:r>
              <w:rPr>
                <w:sz w:val="21"/>
              </w:rPr>
              <w:t>59.26</w:t>
            </w:r>
          </w:p>
        </w:tc>
        <w:tc>
          <w:tcPr>
            <w:tcW w:w="944" w:type="pct"/>
            <w:tcBorders>
              <w:tl2br w:val="nil"/>
              <w:tr2bl w:val="nil"/>
            </w:tcBorders>
            <w:shd w:val="clear" w:color="auto" w:fill="auto"/>
            <w:vAlign w:val="center"/>
          </w:tcPr>
          <w:p>
            <w:pPr>
              <w:widowControl/>
              <w:spacing w:line="240" w:lineRule="auto"/>
              <w:ind w:firstLine="0" w:firstLineChars="0"/>
              <w:jc w:val="center"/>
              <w:textAlignment w:val="center"/>
              <w:rPr>
                <w:sz w:val="21"/>
                <w:szCs w:val="21"/>
              </w:rPr>
            </w:pPr>
            <w:r>
              <w:rPr>
                <w:kern w:val="0"/>
                <w:sz w:val="21"/>
                <w:szCs w:val="21"/>
                <w:lang w:bidi="ar"/>
              </w:rPr>
              <w:t>100</w:t>
            </w:r>
          </w:p>
        </w:tc>
      </w:tr>
    </w:tbl>
    <w:p>
      <w:pPr>
        <w:ind w:firstLine="482"/>
        <w:rPr>
          <w:b/>
          <w:bCs/>
          <w:color w:val="000000" w:themeColor="text1"/>
          <w:kern w:val="0"/>
          <w14:textFill>
            <w14:solidFill>
              <w14:schemeClr w14:val="tx1"/>
            </w14:solidFill>
          </w14:textFill>
        </w:rPr>
      </w:pPr>
      <w:r>
        <w:rPr>
          <w:b/>
          <w:bCs/>
          <w:color w:val="000000" w:themeColor="text1"/>
          <w:kern w:val="0"/>
          <w14:textFill>
            <w14:solidFill>
              <w14:schemeClr w14:val="tx1"/>
            </w14:solidFill>
          </w14:textFill>
        </w:rPr>
        <w:t>（3）小结</w:t>
      </w:r>
    </w:p>
    <w:p>
      <w:pPr>
        <w:pStyle w:val="34"/>
        <w:spacing w:line="360" w:lineRule="auto"/>
        <w:ind w:firstLine="480"/>
        <w:rPr>
          <w:rFonts w:ascii="Times New Roman" w:hAnsi="Times New Roman"/>
          <w:color w:val="FF0000"/>
          <w:sz w:val="24"/>
          <w:szCs w:val="24"/>
        </w:rPr>
      </w:pPr>
      <w:r>
        <w:rPr>
          <w:rFonts w:ascii="Times New Roman" w:hAnsi="Times New Roman"/>
          <w:color w:val="000000" w:themeColor="text1"/>
          <w:kern w:val="0"/>
          <w:sz w:val="24"/>
          <w:szCs w:val="24"/>
          <w14:textFill>
            <w14:solidFill>
              <w14:schemeClr w14:val="tx1"/>
            </w14:solidFill>
          </w14:textFill>
        </w:rPr>
        <w:t>2021年6月和2020年11月，</w:t>
      </w:r>
      <w:r>
        <w:rPr>
          <w:rFonts w:ascii="Times New Roman" w:hAnsi="Times New Roman"/>
          <w:sz w:val="24"/>
          <w:szCs w:val="24"/>
          <w:lang w:val="zh-CN"/>
        </w:rPr>
        <w:t>在评价区调查到底栖动物3门</w:t>
      </w:r>
      <w:r>
        <w:rPr>
          <w:rFonts w:ascii="Times New Roman" w:hAnsi="Times New Roman"/>
          <w:sz w:val="24"/>
          <w:szCs w:val="24"/>
        </w:rPr>
        <w:t>28</w:t>
      </w:r>
      <w:r>
        <w:rPr>
          <w:rFonts w:ascii="Times New Roman" w:hAnsi="Times New Roman"/>
          <w:sz w:val="24"/>
          <w:szCs w:val="24"/>
          <w:lang w:val="zh-CN"/>
        </w:rPr>
        <w:t>种（属）。</w:t>
      </w:r>
      <w:r>
        <w:rPr>
          <w:rFonts w:ascii="Times New Roman" w:hAnsi="Times New Roman"/>
          <w:kern w:val="0"/>
          <w:sz w:val="24"/>
          <w:szCs w:val="24"/>
        </w:rPr>
        <w:t>其中，节肢动物</w:t>
      </w:r>
      <w:r>
        <w:rPr>
          <w:rFonts w:ascii="Times New Roman" w:hAnsi="Times New Roman"/>
          <w:sz w:val="24"/>
          <w:szCs w:val="24"/>
        </w:rPr>
        <w:t>门种类较多，</w:t>
      </w:r>
      <w:r>
        <w:rPr>
          <w:rFonts w:ascii="Times New Roman" w:hAnsi="Times New Roman"/>
          <w:kern w:val="0"/>
          <w:sz w:val="24"/>
          <w:szCs w:val="24"/>
        </w:rPr>
        <w:t>有16种，占总数的</w:t>
      </w:r>
      <w:r>
        <w:rPr>
          <w:rFonts w:ascii="Times New Roman" w:hAnsi="Times New Roman"/>
          <w:sz w:val="24"/>
          <w:szCs w:val="24"/>
        </w:rPr>
        <w:t>57.14</w:t>
      </w:r>
      <w:r>
        <w:rPr>
          <w:rFonts w:ascii="Times New Roman" w:hAnsi="Times New Roman"/>
          <w:sz w:val="24"/>
          <w:szCs w:val="24"/>
          <w:lang w:val="zh-CN"/>
        </w:rPr>
        <w:t>%；软体动物</w:t>
      </w:r>
      <w:r>
        <w:rPr>
          <w:rFonts w:ascii="Times New Roman" w:hAnsi="Times New Roman"/>
          <w:sz w:val="24"/>
          <w:szCs w:val="24"/>
        </w:rPr>
        <w:t>9</w:t>
      </w:r>
      <w:r>
        <w:rPr>
          <w:rFonts w:ascii="Times New Roman" w:hAnsi="Times New Roman"/>
          <w:sz w:val="24"/>
          <w:szCs w:val="24"/>
          <w:lang w:val="zh-CN"/>
        </w:rPr>
        <w:t>种，占总数的</w:t>
      </w:r>
      <w:r>
        <w:rPr>
          <w:rFonts w:ascii="Times New Roman" w:hAnsi="Times New Roman"/>
          <w:sz w:val="24"/>
          <w:szCs w:val="24"/>
        </w:rPr>
        <w:t>32.14</w:t>
      </w:r>
      <w:r>
        <w:rPr>
          <w:rFonts w:ascii="Times New Roman" w:hAnsi="Times New Roman"/>
          <w:sz w:val="24"/>
          <w:szCs w:val="24"/>
          <w:lang w:val="zh-CN"/>
        </w:rPr>
        <w:t>%；环节动物</w:t>
      </w:r>
      <w:r>
        <w:rPr>
          <w:rFonts w:ascii="Times New Roman" w:hAnsi="Times New Roman"/>
          <w:sz w:val="24"/>
          <w:szCs w:val="24"/>
        </w:rPr>
        <w:t>3</w:t>
      </w:r>
      <w:r>
        <w:rPr>
          <w:rFonts w:ascii="Times New Roman" w:hAnsi="Times New Roman"/>
          <w:sz w:val="24"/>
          <w:szCs w:val="24"/>
          <w:lang w:val="zh-CN"/>
        </w:rPr>
        <w:t>种，占总数的</w:t>
      </w:r>
      <w:r>
        <w:rPr>
          <w:rFonts w:ascii="Times New Roman" w:hAnsi="Times New Roman"/>
          <w:sz w:val="24"/>
          <w:szCs w:val="24"/>
        </w:rPr>
        <w:t>10.71</w:t>
      </w:r>
      <w:r>
        <w:rPr>
          <w:rFonts w:ascii="Times New Roman" w:hAnsi="Times New Roman"/>
          <w:sz w:val="24"/>
          <w:szCs w:val="24"/>
          <w:lang w:val="zh-CN"/>
        </w:rPr>
        <w:t>%。常见种类有</w:t>
      </w:r>
      <w:r>
        <w:rPr>
          <w:rFonts w:ascii="Times New Roman" w:hAnsi="Times New Roman"/>
          <w:kern w:val="0"/>
          <w:sz w:val="24"/>
          <w:szCs w:val="24"/>
        </w:rPr>
        <w:t>霍甫水丝蚓（</w:t>
      </w:r>
      <w:r>
        <w:rPr>
          <w:rFonts w:ascii="Times New Roman" w:hAnsi="Times New Roman"/>
          <w:i/>
          <w:iCs/>
          <w:kern w:val="0"/>
          <w:sz w:val="24"/>
          <w:szCs w:val="24"/>
        </w:rPr>
        <w:t>Limnodrilus hoffmeisteri</w:t>
      </w:r>
      <w:r>
        <w:rPr>
          <w:rFonts w:ascii="Times New Roman" w:hAnsi="Times New Roman"/>
          <w:kern w:val="0"/>
          <w:sz w:val="24"/>
          <w:szCs w:val="24"/>
        </w:rPr>
        <w:t>）</w:t>
      </w:r>
      <w:r>
        <w:rPr>
          <w:rFonts w:ascii="Times New Roman" w:hAnsi="Times New Roman"/>
          <w:i/>
          <w:iCs/>
          <w:kern w:val="0"/>
          <w:sz w:val="24"/>
          <w:szCs w:val="24"/>
        </w:rPr>
        <w:t>、</w:t>
      </w:r>
      <w:r>
        <w:rPr>
          <w:rFonts w:ascii="Times New Roman" w:hAnsi="Times New Roman"/>
          <w:kern w:val="0"/>
          <w:sz w:val="24"/>
          <w:szCs w:val="24"/>
        </w:rPr>
        <w:t>梨形环棱螺（</w:t>
      </w:r>
      <w:r>
        <w:rPr>
          <w:rFonts w:ascii="Times New Roman" w:hAnsi="Times New Roman"/>
          <w:i/>
          <w:iCs/>
          <w:kern w:val="0"/>
          <w:sz w:val="24"/>
          <w:szCs w:val="24"/>
        </w:rPr>
        <w:t>Bellamya purificata</w:t>
      </w:r>
      <w:r>
        <w:rPr>
          <w:rFonts w:ascii="Times New Roman" w:hAnsi="Times New Roman"/>
          <w:kern w:val="0"/>
          <w:sz w:val="24"/>
          <w:szCs w:val="24"/>
        </w:rPr>
        <w:t>）</w:t>
      </w:r>
      <w:r>
        <w:rPr>
          <w:rFonts w:ascii="Times New Roman" w:hAnsi="Times New Roman"/>
          <w:i/>
          <w:iCs/>
          <w:kern w:val="0"/>
          <w:sz w:val="24"/>
          <w:szCs w:val="24"/>
        </w:rPr>
        <w:t>、</w:t>
      </w:r>
      <w:r>
        <w:rPr>
          <w:rFonts w:ascii="Times New Roman" w:hAnsi="Times New Roman"/>
          <w:kern w:val="0"/>
          <w:sz w:val="24"/>
          <w:szCs w:val="24"/>
        </w:rPr>
        <w:t>河蚬（</w:t>
      </w:r>
      <w:r>
        <w:rPr>
          <w:rFonts w:ascii="Times New Roman" w:hAnsi="Times New Roman"/>
          <w:i/>
          <w:iCs/>
          <w:kern w:val="0"/>
          <w:sz w:val="24"/>
          <w:szCs w:val="24"/>
        </w:rPr>
        <w:t>Corbicula fluminea</w:t>
      </w:r>
      <w:r>
        <w:rPr>
          <w:rFonts w:ascii="Times New Roman" w:hAnsi="Times New Roman"/>
          <w:kern w:val="0"/>
          <w:sz w:val="24"/>
          <w:szCs w:val="24"/>
        </w:rPr>
        <w:t>）</w:t>
      </w:r>
      <w:r>
        <w:rPr>
          <w:rFonts w:ascii="Times New Roman" w:hAnsi="Times New Roman"/>
          <w:i/>
          <w:iCs/>
          <w:kern w:val="0"/>
          <w:sz w:val="24"/>
          <w:szCs w:val="24"/>
        </w:rPr>
        <w:t>、</w:t>
      </w:r>
      <w:r>
        <w:rPr>
          <w:rFonts w:ascii="Times New Roman" w:hAnsi="Times New Roman"/>
          <w:color w:val="000000"/>
          <w:kern w:val="0"/>
          <w:sz w:val="24"/>
          <w:szCs w:val="24"/>
        </w:rPr>
        <w:t>四节蜉（</w:t>
      </w:r>
      <w:r>
        <w:rPr>
          <w:rFonts w:ascii="Times New Roman" w:hAnsi="Times New Roman"/>
          <w:i/>
          <w:iCs/>
          <w:color w:val="000000"/>
          <w:kern w:val="0"/>
          <w:sz w:val="24"/>
          <w:szCs w:val="24"/>
        </w:rPr>
        <w:t xml:space="preserve">Baetis </w:t>
      </w:r>
      <w:r>
        <w:rPr>
          <w:rFonts w:ascii="Times New Roman" w:hAnsi="Times New Roman"/>
          <w:color w:val="000000"/>
          <w:kern w:val="0"/>
          <w:sz w:val="24"/>
          <w:szCs w:val="24"/>
        </w:rPr>
        <w:t>sp.）、摇蚊（</w:t>
      </w:r>
      <w:r>
        <w:rPr>
          <w:rFonts w:ascii="Times New Roman" w:hAnsi="Times New Roman"/>
          <w:i/>
          <w:iCs/>
          <w:color w:val="000000"/>
          <w:kern w:val="0"/>
          <w:sz w:val="24"/>
          <w:szCs w:val="24"/>
        </w:rPr>
        <w:t>Tendipus</w:t>
      </w:r>
      <w:r>
        <w:rPr>
          <w:rFonts w:ascii="Times New Roman" w:hAnsi="Times New Roman"/>
          <w:color w:val="000000"/>
          <w:kern w:val="0"/>
          <w:sz w:val="24"/>
          <w:szCs w:val="24"/>
        </w:rPr>
        <w:t xml:space="preserve"> sp.）</w:t>
      </w:r>
      <w:r>
        <w:rPr>
          <w:rFonts w:ascii="Times New Roman" w:hAnsi="Times New Roman"/>
          <w:kern w:val="0"/>
          <w:sz w:val="24"/>
          <w:szCs w:val="24"/>
        </w:rPr>
        <w:t>等</w:t>
      </w:r>
      <w:r>
        <w:rPr>
          <w:rFonts w:ascii="Times New Roman" w:hAnsi="Times New Roman"/>
          <w:sz w:val="24"/>
          <w:szCs w:val="24"/>
          <w:lang w:val="zh-CN"/>
        </w:rPr>
        <w:t>。</w:t>
      </w:r>
      <w:r>
        <w:rPr>
          <w:rFonts w:ascii="Times New Roman" w:hAnsi="Times New Roman"/>
          <w:color w:val="000000" w:themeColor="text1"/>
          <w:sz w:val="24"/>
          <w:szCs w:val="24"/>
          <w14:textFill>
            <w14:solidFill>
              <w14:schemeClr w14:val="tx1"/>
            </w14:solidFill>
          </w14:textFill>
        </w:rPr>
        <w:t>评价区底栖动物名录见附表3，</w:t>
      </w:r>
      <w:r>
        <w:rPr>
          <w:rFonts w:ascii="Times New Roman" w:hAnsi="Times New Roman"/>
          <w:sz w:val="24"/>
          <w:szCs w:val="24"/>
          <w:lang w:bidi="ar"/>
        </w:rPr>
        <w:t>各类底栖动物种数及比例见表</w:t>
      </w:r>
      <w:r>
        <w:rPr>
          <w:rFonts w:hint="eastAsia" w:ascii="Times New Roman" w:hAnsi="Times New Roman"/>
          <w:sz w:val="24"/>
          <w:szCs w:val="24"/>
          <w:lang w:bidi="ar"/>
        </w:rPr>
        <w:t>3-39</w:t>
      </w:r>
      <w:r>
        <w:rPr>
          <w:rFonts w:ascii="Times New Roman" w:hAnsi="Times New Roman"/>
          <w:sz w:val="24"/>
          <w:szCs w:val="24"/>
          <w:lang w:bidi="ar"/>
        </w:rPr>
        <w:t>。</w:t>
      </w:r>
    </w:p>
    <w:p>
      <w:pPr>
        <w:pStyle w:val="3583"/>
        <w:spacing w:line="240" w:lineRule="auto"/>
        <w:ind w:left="0"/>
        <w:rPr>
          <w:color w:val="000000" w:themeColor="text1"/>
          <w:szCs w:val="20"/>
          <w14:textFill>
            <w14:solidFill>
              <w14:schemeClr w14:val="tx1"/>
            </w14:solidFill>
          </w14:textFill>
        </w:rPr>
      </w:pPr>
      <w:r>
        <w:rPr>
          <w:color w:val="000000" w:themeColor="text1"/>
          <w:szCs w:val="20"/>
          <w14:textFill>
            <w14:solidFill>
              <w14:schemeClr w14:val="tx1"/>
            </w14:solidFill>
          </w14:textFill>
        </w:rPr>
        <w:t>评价区各类底栖动物种数及所占比例</w:t>
      </w:r>
    </w:p>
    <w:tbl>
      <w:tblPr>
        <w:tblStyle w:val="87"/>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439"/>
        <w:gridCol w:w="2021"/>
        <w:gridCol w:w="2022"/>
        <w:gridCol w:w="2022"/>
        <w:gridCol w:w="178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270" w:hRule="atLeast"/>
        </w:trPr>
        <w:tc>
          <w:tcPr>
            <w:tcW w:w="775" w:type="pct"/>
            <w:tcBorders>
              <w:bottom w:val="single" w:color="000000" w:sz="12" w:space="0"/>
            </w:tcBorders>
            <w:shd w:val="clear" w:color="auto" w:fill="auto"/>
            <w:vAlign w:val="center"/>
          </w:tcPr>
          <w:p>
            <w:pPr>
              <w:widowControl/>
              <w:spacing w:line="240" w:lineRule="auto"/>
              <w:ind w:firstLine="0" w:firstLineChars="0"/>
              <w:jc w:val="center"/>
              <w:textAlignment w:val="center"/>
              <w:rPr>
                <w:b/>
                <w:bCs/>
                <w:kern w:val="0"/>
                <w:sz w:val="21"/>
                <w:szCs w:val="21"/>
                <w:lang w:bidi="ar"/>
              </w:rPr>
            </w:pPr>
            <w:r>
              <w:rPr>
                <w:b/>
                <w:bCs/>
                <w:kern w:val="0"/>
                <w:sz w:val="21"/>
                <w:szCs w:val="21"/>
                <w:lang w:bidi="ar"/>
              </w:rPr>
              <w:t>类别</w:t>
            </w:r>
          </w:p>
        </w:tc>
        <w:tc>
          <w:tcPr>
            <w:tcW w:w="1088" w:type="pct"/>
            <w:tcBorders>
              <w:bottom w:val="single" w:color="000000" w:sz="12" w:space="0"/>
            </w:tcBorders>
            <w:shd w:val="clear" w:color="auto" w:fill="auto"/>
            <w:vAlign w:val="center"/>
          </w:tcPr>
          <w:p>
            <w:pPr>
              <w:widowControl/>
              <w:spacing w:line="240" w:lineRule="auto"/>
              <w:ind w:firstLine="0" w:firstLineChars="0"/>
              <w:jc w:val="center"/>
              <w:textAlignment w:val="center"/>
              <w:rPr>
                <w:b/>
                <w:bCs/>
                <w:kern w:val="0"/>
                <w:sz w:val="21"/>
                <w:szCs w:val="21"/>
                <w:lang w:bidi="ar"/>
              </w:rPr>
            </w:pPr>
            <w:r>
              <w:rPr>
                <w:b/>
                <w:bCs/>
                <w:kern w:val="0"/>
                <w:sz w:val="21"/>
                <w:szCs w:val="21"/>
                <w:lang w:bidi="ar"/>
              </w:rPr>
              <w:t>环节动物</w:t>
            </w:r>
          </w:p>
        </w:tc>
        <w:tc>
          <w:tcPr>
            <w:tcW w:w="1088" w:type="pct"/>
            <w:tcBorders>
              <w:bottom w:val="single" w:color="000000" w:sz="12" w:space="0"/>
            </w:tcBorders>
            <w:shd w:val="clear" w:color="auto" w:fill="auto"/>
            <w:vAlign w:val="center"/>
          </w:tcPr>
          <w:p>
            <w:pPr>
              <w:widowControl/>
              <w:spacing w:line="240" w:lineRule="auto"/>
              <w:ind w:firstLine="0" w:firstLineChars="0"/>
              <w:jc w:val="center"/>
              <w:textAlignment w:val="center"/>
              <w:rPr>
                <w:b/>
                <w:bCs/>
                <w:kern w:val="0"/>
                <w:sz w:val="21"/>
                <w:szCs w:val="21"/>
                <w:lang w:bidi="ar"/>
              </w:rPr>
            </w:pPr>
            <w:r>
              <w:rPr>
                <w:b/>
                <w:bCs/>
                <w:kern w:val="0"/>
                <w:sz w:val="21"/>
                <w:szCs w:val="21"/>
                <w:lang w:bidi="ar"/>
              </w:rPr>
              <w:t>软体动物</w:t>
            </w:r>
          </w:p>
        </w:tc>
        <w:tc>
          <w:tcPr>
            <w:tcW w:w="1088" w:type="pct"/>
            <w:tcBorders>
              <w:bottom w:val="single" w:color="000000" w:sz="12" w:space="0"/>
            </w:tcBorders>
            <w:shd w:val="clear" w:color="auto" w:fill="auto"/>
            <w:vAlign w:val="center"/>
          </w:tcPr>
          <w:p>
            <w:pPr>
              <w:widowControl/>
              <w:spacing w:line="240" w:lineRule="auto"/>
              <w:ind w:firstLine="0" w:firstLineChars="0"/>
              <w:jc w:val="center"/>
              <w:textAlignment w:val="center"/>
              <w:rPr>
                <w:b/>
                <w:bCs/>
                <w:kern w:val="0"/>
                <w:sz w:val="21"/>
                <w:szCs w:val="21"/>
                <w:lang w:bidi="ar"/>
              </w:rPr>
            </w:pPr>
            <w:r>
              <w:rPr>
                <w:b/>
                <w:bCs/>
                <w:kern w:val="0"/>
                <w:sz w:val="21"/>
                <w:szCs w:val="21"/>
                <w:lang w:bidi="ar"/>
              </w:rPr>
              <w:t>节肢动物</w:t>
            </w:r>
          </w:p>
        </w:tc>
        <w:tc>
          <w:tcPr>
            <w:tcW w:w="958" w:type="pct"/>
            <w:tcBorders>
              <w:bottom w:val="single" w:color="000000" w:sz="12" w:space="0"/>
            </w:tcBorders>
            <w:shd w:val="clear" w:color="auto" w:fill="auto"/>
            <w:vAlign w:val="center"/>
          </w:tcPr>
          <w:p>
            <w:pPr>
              <w:widowControl/>
              <w:spacing w:line="240" w:lineRule="auto"/>
              <w:ind w:firstLine="0" w:firstLineChars="0"/>
              <w:jc w:val="center"/>
              <w:textAlignment w:val="center"/>
              <w:rPr>
                <w:b/>
                <w:bCs/>
                <w:kern w:val="0"/>
                <w:sz w:val="21"/>
                <w:szCs w:val="21"/>
                <w:lang w:bidi="ar"/>
              </w:rPr>
            </w:pPr>
            <w:r>
              <w:rPr>
                <w:b/>
                <w:bCs/>
                <w:kern w:val="0"/>
                <w:sz w:val="21"/>
                <w:szCs w:val="21"/>
                <w:lang w:bidi="ar"/>
              </w:rPr>
              <w:t>合计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775"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种类数</w:t>
            </w:r>
          </w:p>
        </w:tc>
        <w:tc>
          <w:tcPr>
            <w:tcW w:w="1088"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3</w:t>
            </w:r>
          </w:p>
        </w:tc>
        <w:tc>
          <w:tcPr>
            <w:tcW w:w="1088"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9</w:t>
            </w:r>
          </w:p>
        </w:tc>
        <w:tc>
          <w:tcPr>
            <w:tcW w:w="1088"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16</w:t>
            </w:r>
          </w:p>
        </w:tc>
        <w:tc>
          <w:tcPr>
            <w:tcW w:w="958"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28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775" w:type="pct"/>
            <w:tcBorders>
              <w:tl2br w:val="nil"/>
              <w:tr2bl w:val="nil"/>
            </w:tcBorders>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比例（%）</w:t>
            </w:r>
          </w:p>
        </w:tc>
        <w:tc>
          <w:tcPr>
            <w:tcW w:w="1088" w:type="pct"/>
            <w:tcBorders>
              <w:tl2br w:val="nil"/>
              <w:tr2bl w:val="nil"/>
            </w:tcBorders>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 xml:space="preserve">10.71 </w:t>
            </w:r>
          </w:p>
        </w:tc>
        <w:tc>
          <w:tcPr>
            <w:tcW w:w="1088" w:type="pct"/>
            <w:tcBorders>
              <w:tl2br w:val="nil"/>
              <w:tr2bl w:val="nil"/>
            </w:tcBorders>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 xml:space="preserve">32.14 </w:t>
            </w:r>
          </w:p>
        </w:tc>
        <w:tc>
          <w:tcPr>
            <w:tcW w:w="1088" w:type="pct"/>
            <w:tcBorders>
              <w:tl2br w:val="nil"/>
              <w:tr2bl w:val="nil"/>
            </w:tcBorders>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 xml:space="preserve">57.14 </w:t>
            </w:r>
          </w:p>
        </w:tc>
        <w:tc>
          <w:tcPr>
            <w:tcW w:w="958" w:type="pct"/>
            <w:tcBorders>
              <w:tl2br w:val="nil"/>
              <w:tr2bl w:val="nil"/>
            </w:tcBorders>
            <w:shd w:val="clear" w:color="auto" w:fill="auto"/>
            <w:vAlign w:val="center"/>
          </w:tcPr>
          <w:p>
            <w:pPr>
              <w:widowControl/>
              <w:spacing w:line="240" w:lineRule="auto"/>
              <w:ind w:firstLine="0" w:firstLineChars="0"/>
              <w:jc w:val="center"/>
              <w:textAlignment w:val="center"/>
              <w:rPr>
                <w:kern w:val="0"/>
                <w:sz w:val="21"/>
                <w:szCs w:val="21"/>
                <w:lang w:bidi="ar"/>
              </w:rPr>
            </w:pPr>
            <w:r>
              <w:rPr>
                <w:kern w:val="0"/>
                <w:sz w:val="21"/>
                <w:szCs w:val="21"/>
                <w:lang w:bidi="ar"/>
              </w:rPr>
              <w:t xml:space="preserve">100 </w:t>
            </w:r>
          </w:p>
        </w:tc>
      </w:tr>
    </w:tbl>
    <w:p>
      <w:pPr>
        <w:ind w:firstLine="482"/>
        <w:rPr>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二、密度和生物量</w:t>
      </w:r>
    </w:p>
    <w:p>
      <w:pPr>
        <w:ind w:firstLine="480"/>
        <w:rPr>
          <w:color w:val="000000" w:themeColor="text1"/>
          <w:kern w:val="0"/>
          <w:szCs w:val="28"/>
          <w14:textFill>
            <w14:solidFill>
              <w14:schemeClr w14:val="tx1"/>
            </w14:solidFill>
          </w14:textFill>
        </w:rPr>
      </w:pPr>
      <w:r>
        <w:rPr>
          <w:color w:val="000000" w:themeColor="text1"/>
          <w:kern w:val="0"/>
          <w:szCs w:val="28"/>
          <w14:textFill>
            <w14:solidFill>
              <w14:schemeClr w14:val="tx1"/>
            </w14:solidFill>
          </w14:textFill>
        </w:rPr>
        <w:t>根据镜检的底栖动物种类、数量和称得的重量，</w:t>
      </w:r>
      <w:r>
        <w:rPr>
          <w:bCs/>
          <w:color w:val="000000" w:themeColor="text1"/>
          <w:kern w:val="0"/>
          <w:szCs w:val="28"/>
          <w14:textFill>
            <w14:solidFill>
              <w14:schemeClr w14:val="tx1"/>
            </w14:solidFill>
          </w14:textFill>
        </w:rPr>
        <w:t>评价区底栖动物平均密度为27</w:t>
      </w:r>
      <w:r>
        <w:rPr>
          <w:color w:val="000000" w:themeColor="text1"/>
          <w:kern w:val="0"/>
          <w:szCs w:val="28"/>
          <w14:textFill>
            <w14:solidFill>
              <w14:schemeClr w14:val="tx1"/>
            </w14:solidFill>
          </w14:textFill>
        </w:rPr>
        <w:t>ind./m</w:t>
      </w:r>
      <w:r>
        <w:rPr>
          <w:color w:val="000000" w:themeColor="text1"/>
          <w:kern w:val="0"/>
          <w:szCs w:val="28"/>
          <w:vertAlign w:val="superscript"/>
          <w14:textFill>
            <w14:solidFill>
              <w14:schemeClr w14:val="tx1"/>
            </w14:solidFill>
          </w14:textFill>
        </w:rPr>
        <w:t>2</w:t>
      </w:r>
      <w:r>
        <w:rPr>
          <w:color w:val="000000" w:themeColor="text1"/>
          <w:kern w:val="0"/>
          <w:szCs w:val="28"/>
          <w14:textFill>
            <w14:solidFill>
              <w14:schemeClr w14:val="tx1"/>
            </w14:solidFill>
          </w14:textFill>
        </w:rPr>
        <w:t>，平均生物量为17.04g/m</w:t>
      </w:r>
      <w:r>
        <w:rPr>
          <w:color w:val="000000" w:themeColor="text1"/>
          <w:kern w:val="0"/>
          <w:szCs w:val="28"/>
          <w:vertAlign w:val="superscript"/>
          <w14:textFill>
            <w14:solidFill>
              <w14:schemeClr w14:val="tx1"/>
            </w14:solidFill>
          </w14:textFill>
        </w:rPr>
        <w:t>2</w:t>
      </w:r>
      <w:r>
        <w:rPr>
          <w:color w:val="000000" w:themeColor="text1"/>
          <w:kern w:val="0"/>
          <w:szCs w:val="28"/>
          <w14:textFill>
            <w14:solidFill>
              <w14:schemeClr w14:val="tx1"/>
            </w14:solidFill>
          </w14:textFill>
        </w:rPr>
        <w:t>。各调查点位底栖动物的密度和生物量见表</w:t>
      </w:r>
      <w:r>
        <w:rPr>
          <w:rFonts w:hint="eastAsia"/>
          <w:color w:val="000000" w:themeColor="text1"/>
          <w:kern w:val="0"/>
          <w:szCs w:val="28"/>
          <w14:textFill>
            <w14:solidFill>
              <w14:schemeClr w14:val="tx1"/>
            </w14:solidFill>
          </w14:textFill>
        </w:rPr>
        <w:t>3-40</w:t>
      </w:r>
      <w:r>
        <w:rPr>
          <w:color w:val="000000" w:themeColor="text1"/>
          <w:kern w:val="0"/>
          <w:szCs w:val="28"/>
          <w14:textFill>
            <w14:solidFill>
              <w14:schemeClr w14:val="tx1"/>
            </w14:solidFill>
          </w14:textFill>
        </w:rPr>
        <w:t>。</w:t>
      </w:r>
    </w:p>
    <w:p>
      <w:pPr>
        <w:pStyle w:val="3583"/>
        <w:spacing w:line="240" w:lineRule="auto"/>
        <w:ind w:left="0"/>
        <w:rPr>
          <w:color w:val="000000" w:themeColor="text1"/>
          <w:kern w:val="0"/>
          <w:szCs w:val="18"/>
          <w14:textFill>
            <w14:solidFill>
              <w14:schemeClr w14:val="tx1"/>
            </w14:solidFill>
          </w14:textFill>
        </w:rPr>
      </w:pPr>
      <w:r>
        <w:rPr>
          <w:color w:val="000000" w:themeColor="text1"/>
          <w:kern w:val="0"/>
          <w:szCs w:val="20"/>
          <w14:textFill>
            <w14:solidFill>
              <w14:schemeClr w14:val="tx1"/>
            </w14:solidFill>
          </w14:textFill>
        </w:rPr>
        <w:t>评价区</w:t>
      </w:r>
      <w:r>
        <w:rPr>
          <w:color w:val="000000" w:themeColor="text1"/>
          <w:kern w:val="0"/>
          <w:szCs w:val="18"/>
          <w14:textFill>
            <w14:solidFill>
              <w14:schemeClr w14:val="tx1"/>
            </w14:solidFill>
          </w14:textFill>
        </w:rPr>
        <w:t>各调查点位底栖动物</w:t>
      </w:r>
      <w:r>
        <w:t>密度</w:t>
      </w:r>
      <w:r>
        <w:rPr>
          <w:color w:val="000000" w:themeColor="text1"/>
          <w:kern w:val="0"/>
          <w:szCs w:val="18"/>
          <w14:textFill>
            <w14:solidFill>
              <w14:schemeClr w14:val="tx1"/>
            </w14:solidFill>
          </w14:textFill>
        </w:rPr>
        <w:t>（ind./m</w:t>
      </w:r>
      <w:r>
        <w:rPr>
          <w:color w:val="000000" w:themeColor="text1"/>
          <w:kern w:val="0"/>
          <w:szCs w:val="18"/>
          <w:vertAlign w:val="superscript"/>
          <w14:textFill>
            <w14:solidFill>
              <w14:schemeClr w14:val="tx1"/>
            </w14:solidFill>
          </w14:textFill>
        </w:rPr>
        <w:t>2</w:t>
      </w:r>
      <w:r>
        <w:rPr>
          <w:color w:val="000000" w:themeColor="text1"/>
          <w:kern w:val="0"/>
          <w:szCs w:val="18"/>
          <w14:textFill>
            <w14:solidFill>
              <w14:schemeClr w14:val="tx1"/>
            </w14:solidFill>
          </w14:textFill>
        </w:rPr>
        <w:t>）和生物量（g/m</w:t>
      </w:r>
      <w:r>
        <w:rPr>
          <w:color w:val="000000" w:themeColor="text1"/>
          <w:kern w:val="0"/>
          <w:szCs w:val="18"/>
          <w:vertAlign w:val="superscript"/>
          <w14:textFill>
            <w14:solidFill>
              <w14:schemeClr w14:val="tx1"/>
            </w14:solidFill>
          </w14:textFill>
        </w:rPr>
        <w:t>2</w:t>
      </w:r>
      <w:r>
        <w:rPr>
          <w:color w:val="000000" w:themeColor="text1"/>
          <w:kern w:val="0"/>
          <w:szCs w:val="18"/>
          <w14:textFill>
            <w14:solidFill>
              <w14:schemeClr w14:val="tx1"/>
            </w14:solidFill>
          </w14:textFill>
        </w:rPr>
        <w:t>）</w:t>
      </w:r>
    </w:p>
    <w:tbl>
      <w:tblPr>
        <w:tblStyle w:val="87"/>
        <w:tblW w:w="499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825"/>
        <w:gridCol w:w="1071"/>
        <w:gridCol w:w="840"/>
        <w:gridCol w:w="839"/>
        <w:gridCol w:w="989"/>
        <w:gridCol w:w="1021"/>
        <w:gridCol w:w="1102"/>
        <w:gridCol w:w="878"/>
        <w:gridCol w:w="879"/>
        <w:gridCol w:w="83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021" w:type="pct"/>
            <w:gridSpan w:val="2"/>
            <w:vMerge w:val="restart"/>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种类</w:t>
            </w:r>
          </w:p>
        </w:tc>
        <w:tc>
          <w:tcPr>
            <w:tcW w:w="1437" w:type="pct"/>
            <w:gridSpan w:val="3"/>
            <w:shd w:val="clear" w:color="auto" w:fill="auto"/>
          </w:tcPr>
          <w:p>
            <w:pPr>
              <w:spacing w:line="240" w:lineRule="auto"/>
              <w:ind w:firstLine="0" w:firstLineChars="0"/>
              <w:jc w:val="center"/>
              <w:rPr>
                <w:b/>
                <w:bCs/>
                <w:color w:val="000000"/>
                <w:sz w:val="21"/>
                <w:szCs w:val="21"/>
              </w:rPr>
            </w:pPr>
            <w:r>
              <w:rPr>
                <w:b/>
                <w:bCs/>
                <w:color w:val="000000"/>
                <w:kern w:val="0"/>
                <w:sz w:val="21"/>
                <w:szCs w:val="21"/>
                <w:lang w:bidi="ar"/>
              </w:rPr>
              <w:t>2022年11月</w:t>
            </w:r>
          </w:p>
        </w:tc>
        <w:tc>
          <w:tcPr>
            <w:tcW w:w="2091" w:type="pct"/>
            <w:gridSpan w:val="4"/>
            <w:shd w:val="clear" w:color="auto" w:fill="auto"/>
            <w:noWrap/>
          </w:tcPr>
          <w:p>
            <w:pPr>
              <w:spacing w:line="240" w:lineRule="auto"/>
              <w:ind w:firstLine="0" w:firstLineChars="0"/>
              <w:jc w:val="center"/>
              <w:rPr>
                <w:b/>
                <w:bCs/>
                <w:color w:val="000000"/>
                <w:sz w:val="21"/>
                <w:szCs w:val="21"/>
              </w:rPr>
            </w:pPr>
            <w:r>
              <w:rPr>
                <w:b/>
                <w:bCs/>
                <w:color w:val="000000"/>
                <w:kern w:val="0"/>
                <w:sz w:val="21"/>
                <w:szCs w:val="21"/>
                <w:lang w:bidi="ar"/>
              </w:rPr>
              <w:t>2021年6月</w:t>
            </w:r>
          </w:p>
        </w:tc>
        <w:tc>
          <w:tcPr>
            <w:tcW w:w="449" w:type="pct"/>
            <w:vMerge w:val="restart"/>
            <w:shd w:val="clear" w:color="auto" w:fill="auto"/>
            <w:noWrap/>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平均值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021" w:type="pct"/>
            <w:gridSpan w:val="2"/>
            <w:vMerge w:val="continue"/>
            <w:tcBorders>
              <w:bottom w:val="single" w:color="000000" w:sz="12" w:space="0"/>
            </w:tcBorders>
            <w:shd w:val="clear" w:color="auto" w:fill="auto"/>
            <w:vAlign w:val="center"/>
          </w:tcPr>
          <w:p>
            <w:pPr>
              <w:widowControl/>
              <w:spacing w:line="240" w:lineRule="auto"/>
              <w:ind w:firstLine="0" w:firstLineChars="0"/>
              <w:jc w:val="center"/>
              <w:rPr>
                <w:b/>
                <w:bCs/>
                <w:color w:val="000000"/>
                <w:sz w:val="21"/>
                <w:szCs w:val="21"/>
              </w:rPr>
            </w:pPr>
          </w:p>
        </w:tc>
        <w:tc>
          <w:tcPr>
            <w:tcW w:w="452" w:type="pct"/>
            <w:tcBorders>
              <w:bottom w:val="single" w:color="000000" w:sz="12" w:space="0"/>
            </w:tcBorders>
            <w:shd w:val="clear" w:color="auto" w:fill="auto"/>
            <w:vAlign w:val="bottom"/>
          </w:tcPr>
          <w:p>
            <w:pPr>
              <w:widowControl/>
              <w:spacing w:line="240" w:lineRule="auto"/>
              <w:ind w:firstLine="0" w:firstLineChars="0"/>
              <w:jc w:val="center"/>
              <w:textAlignment w:val="bottom"/>
              <w:rPr>
                <w:b/>
                <w:bCs/>
                <w:color w:val="000000"/>
                <w:sz w:val="21"/>
                <w:szCs w:val="21"/>
              </w:rPr>
            </w:pPr>
            <w:r>
              <w:rPr>
                <w:b/>
                <w:bCs/>
                <w:color w:val="000000"/>
                <w:kern w:val="0"/>
                <w:sz w:val="21"/>
                <w:szCs w:val="21"/>
                <w:lang w:bidi="ar"/>
              </w:rPr>
              <w:t>A1</w:t>
            </w:r>
          </w:p>
        </w:tc>
        <w:tc>
          <w:tcPr>
            <w:tcW w:w="452" w:type="pct"/>
            <w:tcBorders>
              <w:bottom w:val="single" w:color="000000" w:sz="12" w:space="0"/>
            </w:tcBorders>
            <w:shd w:val="clear" w:color="auto" w:fill="auto"/>
            <w:vAlign w:val="bottom"/>
          </w:tcPr>
          <w:p>
            <w:pPr>
              <w:widowControl/>
              <w:spacing w:line="240" w:lineRule="auto"/>
              <w:ind w:firstLine="0" w:firstLineChars="0"/>
              <w:jc w:val="center"/>
              <w:textAlignment w:val="bottom"/>
              <w:rPr>
                <w:b/>
                <w:bCs/>
                <w:color w:val="000000"/>
                <w:sz w:val="21"/>
                <w:szCs w:val="21"/>
              </w:rPr>
            </w:pPr>
            <w:r>
              <w:rPr>
                <w:b/>
                <w:bCs/>
                <w:color w:val="000000"/>
                <w:kern w:val="0"/>
                <w:sz w:val="21"/>
                <w:szCs w:val="21"/>
                <w:lang w:bidi="ar"/>
              </w:rPr>
              <w:t>A2</w:t>
            </w:r>
          </w:p>
        </w:tc>
        <w:tc>
          <w:tcPr>
            <w:tcW w:w="533" w:type="pct"/>
            <w:tcBorders>
              <w:bottom w:val="single" w:color="000000" w:sz="12" w:space="0"/>
            </w:tcBorders>
            <w:shd w:val="clear" w:color="auto" w:fill="auto"/>
            <w:vAlign w:val="bottom"/>
          </w:tcPr>
          <w:p>
            <w:pPr>
              <w:widowControl/>
              <w:spacing w:line="240" w:lineRule="auto"/>
              <w:ind w:firstLine="0" w:firstLineChars="0"/>
              <w:jc w:val="center"/>
              <w:textAlignment w:val="bottom"/>
              <w:rPr>
                <w:b/>
                <w:bCs/>
                <w:color w:val="000000"/>
                <w:sz w:val="21"/>
                <w:szCs w:val="21"/>
              </w:rPr>
            </w:pPr>
            <w:r>
              <w:rPr>
                <w:b/>
                <w:bCs/>
                <w:color w:val="000000"/>
                <w:kern w:val="0"/>
                <w:sz w:val="21"/>
                <w:szCs w:val="21"/>
                <w:lang w:bidi="ar"/>
              </w:rPr>
              <w:t>A3</w:t>
            </w:r>
          </w:p>
        </w:tc>
        <w:tc>
          <w:tcPr>
            <w:tcW w:w="550" w:type="pct"/>
            <w:tcBorders>
              <w:bottom w:val="single" w:color="000000" w:sz="12" w:space="0"/>
            </w:tcBorders>
            <w:shd w:val="clear" w:color="auto" w:fill="auto"/>
            <w:noWrap/>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B1</w:t>
            </w:r>
          </w:p>
        </w:tc>
        <w:tc>
          <w:tcPr>
            <w:tcW w:w="594" w:type="pct"/>
            <w:tcBorders>
              <w:bottom w:val="single" w:color="000000" w:sz="12" w:space="0"/>
            </w:tcBorders>
            <w:shd w:val="clear" w:color="auto" w:fill="auto"/>
            <w:noWrap/>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B2</w:t>
            </w:r>
          </w:p>
        </w:tc>
        <w:tc>
          <w:tcPr>
            <w:tcW w:w="473" w:type="pct"/>
            <w:tcBorders>
              <w:bottom w:val="single" w:color="000000" w:sz="12" w:space="0"/>
            </w:tcBorders>
            <w:shd w:val="clear" w:color="auto" w:fill="auto"/>
            <w:noWrap/>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B3</w:t>
            </w:r>
          </w:p>
        </w:tc>
        <w:tc>
          <w:tcPr>
            <w:tcW w:w="473" w:type="pct"/>
            <w:tcBorders>
              <w:bottom w:val="single" w:color="000000" w:sz="12" w:space="0"/>
            </w:tcBorders>
            <w:shd w:val="clear" w:color="auto" w:fill="auto"/>
            <w:noWrap/>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B4</w:t>
            </w:r>
          </w:p>
        </w:tc>
        <w:tc>
          <w:tcPr>
            <w:tcW w:w="449" w:type="pct"/>
            <w:vMerge w:val="continue"/>
            <w:tcBorders>
              <w:bottom w:val="single" w:color="000000" w:sz="12" w:space="0"/>
            </w:tcBorders>
            <w:shd w:val="clear" w:color="auto" w:fill="auto"/>
            <w:noWrap/>
            <w:vAlign w:val="center"/>
          </w:tcPr>
          <w:p>
            <w:pPr>
              <w:widowControl/>
              <w:spacing w:line="240" w:lineRule="auto"/>
              <w:ind w:firstLine="0" w:firstLineChars="0"/>
              <w:jc w:val="center"/>
              <w:rPr>
                <w:b/>
                <w:bCs/>
                <w:color w:val="000000"/>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444" w:type="pct"/>
            <w:vMerge w:val="restar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环节动物</w:t>
            </w:r>
          </w:p>
        </w:tc>
        <w:tc>
          <w:tcPr>
            <w:tcW w:w="576"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密度</w:t>
            </w:r>
          </w:p>
        </w:tc>
        <w:tc>
          <w:tcPr>
            <w:tcW w:w="452"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1</w:t>
            </w:r>
          </w:p>
        </w:tc>
        <w:tc>
          <w:tcPr>
            <w:tcW w:w="452"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1</w:t>
            </w:r>
          </w:p>
        </w:tc>
        <w:tc>
          <w:tcPr>
            <w:tcW w:w="533"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2</w:t>
            </w:r>
          </w:p>
        </w:tc>
        <w:tc>
          <w:tcPr>
            <w:tcW w:w="550"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2</w:t>
            </w:r>
          </w:p>
        </w:tc>
        <w:tc>
          <w:tcPr>
            <w:tcW w:w="594"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2</w:t>
            </w:r>
          </w:p>
        </w:tc>
        <w:tc>
          <w:tcPr>
            <w:tcW w:w="473"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2</w:t>
            </w:r>
          </w:p>
        </w:tc>
        <w:tc>
          <w:tcPr>
            <w:tcW w:w="473" w:type="pct"/>
            <w:tcBorders>
              <w:top w:val="single" w:color="000000" w:sz="12" w:space="0"/>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18</w:t>
            </w:r>
          </w:p>
        </w:tc>
        <w:tc>
          <w:tcPr>
            <w:tcW w:w="449" w:type="pct"/>
            <w:tcBorders>
              <w:top w:val="single" w:color="000000" w:sz="12" w:space="0"/>
              <w:tl2br w:val="nil"/>
              <w:tr2bl w:val="nil"/>
            </w:tcBorders>
            <w:shd w:val="clear" w:color="auto" w:fill="auto"/>
            <w:noWrap/>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444" w:type="pct"/>
            <w:vMerge w:val="continue"/>
            <w:tcBorders>
              <w:tl2br w:val="nil"/>
              <w:tr2bl w:val="nil"/>
            </w:tcBorders>
            <w:shd w:val="clear" w:color="auto" w:fill="auto"/>
            <w:vAlign w:val="center"/>
          </w:tcPr>
          <w:p>
            <w:pPr>
              <w:widowControl/>
              <w:spacing w:line="240" w:lineRule="auto"/>
              <w:ind w:firstLine="0" w:firstLineChars="0"/>
              <w:jc w:val="center"/>
              <w:rPr>
                <w:b/>
                <w:bCs/>
                <w:color w:val="000000"/>
                <w:sz w:val="21"/>
                <w:szCs w:val="21"/>
              </w:rPr>
            </w:pPr>
          </w:p>
        </w:tc>
        <w:tc>
          <w:tcPr>
            <w:tcW w:w="576"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生物量</w:t>
            </w:r>
          </w:p>
        </w:tc>
        <w:tc>
          <w:tcPr>
            <w:tcW w:w="452" w:type="pct"/>
            <w:tcBorders>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0.13</w:t>
            </w:r>
          </w:p>
        </w:tc>
        <w:tc>
          <w:tcPr>
            <w:tcW w:w="452" w:type="pct"/>
            <w:tcBorders>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0.12</w:t>
            </w:r>
          </w:p>
        </w:tc>
        <w:tc>
          <w:tcPr>
            <w:tcW w:w="533" w:type="pct"/>
            <w:tcBorders>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0.18</w:t>
            </w:r>
          </w:p>
        </w:tc>
        <w:tc>
          <w:tcPr>
            <w:tcW w:w="55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0.21</w:t>
            </w:r>
          </w:p>
        </w:tc>
        <w:tc>
          <w:tcPr>
            <w:tcW w:w="594"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0.13</w:t>
            </w:r>
          </w:p>
        </w:tc>
        <w:tc>
          <w:tcPr>
            <w:tcW w:w="47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0.23</w:t>
            </w:r>
          </w:p>
        </w:tc>
        <w:tc>
          <w:tcPr>
            <w:tcW w:w="47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0.07</w:t>
            </w:r>
          </w:p>
        </w:tc>
        <w:tc>
          <w:tcPr>
            <w:tcW w:w="449" w:type="pct"/>
            <w:tcBorders>
              <w:tl2br w:val="nil"/>
              <w:tr2bl w:val="nil"/>
            </w:tcBorders>
            <w:shd w:val="clear" w:color="auto" w:fill="auto"/>
            <w:noWrap/>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0.15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444" w:type="pct"/>
            <w:vMerge w:val="restart"/>
            <w:tcBorders>
              <w:tl2br w:val="nil"/>
              <w:tr2bl w:val="nil"/>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软体动物</w:t>
            </w:r>
          </w:p>
        </w:tc>
        <w:tc>
          <w:tcPr>
            <w:tcW w:w="576"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密度</w:t>
            </w:r>
          </w:p>
        </w:tc>
        <w:tc>
          <w:tcPr>
            <w:tcW w:w="452" w:type="pct"/>
            <w:tcBorders>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7</w:t>
            </w:r>
          </w:p>
        </w:tc>
        <w:tc>
          <w:tcPr>
            <w:tcW w:w="452" w:type="pct"/>
            <w:tcBorders>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3</w:t>
            </w:r>
          </w:p>
        </w:tc>
        <w:tc>
          <w:tcPr>
            <w:tcW w:w="533" w:type="pct"/>
            <w:tcBorders>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4</w:t>
            </w:r>
          </w:p>
        </w:tc>
        <w:tc>
          <w:tcPr>
            <w:tcW w:w="55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26</w:t>
            </w:r>
          </w:p>
        </w:tc>
        <w:tc>
          <w:tcPr>
            <w:tcW w:w="594"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2</w:t>
            </w:r>
          </w:p>
        </w:tc>
        <w:tc>
          <w:tcPr>
            <w:tcW w:w="47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4</w:t>
            </w:r>
          </w:p>
        </w:tc>
        <w:tc>
          <w:tcPr>
            <w:tcW w:w="47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16</w:t>
            </w:r>
          </w:p>
        </w:tc>
        <w:tc>
          <w:tcPr>
            <w:tcW w:w="449" w:type="pct"/>
            <w:tcBorders>
              <w:tl2br w:val="nil"/>
              <w:tr2bl w:val="nil"/>
            </w:tcBorders>
            <w:shd w:val="clear" w:color="auto" w:fill="auto"/>
            <w:noWrap/>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444" w:type="pct"/>
            <w:vMerge w:val="continue"/>
            <w:tcBorders>
              <w:tl2br w:val="nil"/>
              <w:tr2bl w:val="nil"/>
            </w:tcBorders>
            <w:shd w:val="clear" w:color="auto" w:fill="auto"/>
            <w:vAlign w:val="center"/>
          </w:tcPr>
          <w:p>
            <w:pPr>
              <w:widowControl/>
              <w:spacing w:line="240" w:lineRule="auto"/>
              <w:ind w:firstLine="0" w:firstLineChars="0"/>
              <w:jc w:val="center"/>
              <w:rPr>
                <w:b/>
                <w:bCs/>
                <w:color w:val="000000"/>
                <w:sz w:val="21"/>
                <w:szCs w:val="21"/>
              </w:rPr>
            </w:pPr>
          </w:p>
        </w:tc>
        <w:tc>
          <w:tcPr>
            <w:tcW w:w="576"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生物量</w:t>
            </w:r>
          </w:p>
        </w:tc>
        <w:tc>
          <w:tcPr>
            <w:tcW w:w="452" w:type="pct"/>
            <w:tcBorders>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14.64</w:t>
            </w:r>
          </w:p>
        </w:tc>
        <w:tc>
          <w:tcPr>
            <w:tcW w:w="452" w:type="pct"/>
            <w:tcBorders>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10.31</w:t>
            </w:r>
          </w:p>
        </w:tc>
        <w:tc>
          <w:tcPr>
            <w:tcW w:w="533" w:type="pct"/>
            <w:tcBorders>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10.64</w:t>
            </w:r>
          </w:p>
        </w:tc>
        <w:tc>
          <w:tcPr>
            <w:tcW w:w="55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13.3</w:t>
            </w:r>
          </w:p>
        </w:tc>
        <w:tc>
          <w:tcPr>
            <w:tcW w:w="594"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3.32</w:t>
            </w:r>
          </w:p>
        </w:tc>
        <w:tc>
          <w:tcPr>
            <w:tcW w:w="47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4.27</w:t>
            </w:r>
          </w:p>
        </w:tc>
        <w:tc>
          <w:tcPr>
            <w:tcW w:w="47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23.67</w:t>
            </w:r>
          </w:p>
        </w:tc>
        <w:tc>
          <w:tcPr>
            <w:tcW w:w="449" w:type="pct"/>
            <w:tcBorders>
              <w:tl2br w:val="nil"/>
              <w:tr2bl w:val="nil"/>
            </w:tcBorders>
            <w:shd w:val="clear" w:color="auto" w:fill="auto"/>
            <w:noWrap/>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11.45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444" w:type="pct"/>
            <w:vMerge w:val="restart"/>
            <w:tcBorders>
              <w:tl2br w:val="nil"/>
              <w:tr2bl w:val="nil"/>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节肢动物</w:t>
            </w:r>
          </w:p>
        </w:tc>
        <w:tc>
          <w:tcPr>
            <w:tcW w:w="576"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密度</w:t>
            </w:r>
          </w:p>
        </w:tc>
        <w:tc>
          <w:tcPr>
            <w:tcW w:w="452" w:type="pct"/>
            <w:tcBorders>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17</w:t>
            </w:r>
          </w:p>
        </w:tc>
        <w:tc>
          <w:tcPr>
            <w:tcW w:w="452" w:type="pct"/>
            <w:tcBorders>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12</w:t>
            </w:r>
          </w:p>
        </w:tc>
        <w:tc>
          <w:tcPr>
            <w:tcW w:w="533" w:type="pct"/>
            <w:tcBorders>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15</w:t>
            </w:r>
          </w:p>
        </w:tc>
        <w:tc>
          <w:tcPr>
            <w:tcW w:w="55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8</w:t>
            </w:r>
          </w:p>
        </w:tc>
        <w:tc>
          <w:tcPr>
            <w:tcW w:w="594"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9</w:t>
            </w:r>
          </w:p>
        </w:tc>
        <w:tc>
          <w:tcPr>
            <w:tcW w:w="47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12</w:t>
            </w:r>
          </w:p>
        </w:tc>
        <w:tc>
          <w:tcPr>
            <w:tcW w:w="47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24</w:t>
            </w:r>
          </w:p>
        </w:tc>
        <w:tc>
          <w:tcPr>
            <w:tcW w:w="449" w:type="pct"/>
            <w:tcBorders>
              <w:tl2br w:val="nil"/>
              <w:tr2bl w:val="nil"/>
            </w:tcBorders>
            <w:shd w:val="clear" w:color="auto" w:fill="auto"/>
            <w:noWrap/>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14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444" w:type="pct"/>
            <w:vMerge w:val="continue"/>
            <w:tcBorders>
              <w:tl2br w:val="nil"/>
              <w:tr2bl w:val="nil"/>
            </w:tcBorders>
            <w:shd w:val="clear" w:color="auto" w:fill="auto"/>
            <w:vAlign w:val="center"/>
          </w:tcPr>
          <w:p>
            <w:pPr>
              <w:widowControl/>
              <w:spacing w:line="240" w:lineRule="auto"/>
              <w:ind w:firstLine="0" w:firstLineChars="0"/>
              <w:jc w:val="center"/>
              <w:rPr>
                <w:b/>
                <w:bCs/>
                <w:color w:val="000000"/>
                <w:sz w:val="21"/>
                <w:szCs w:val="21"/>
              </w:rPr>
            </w:pPr>
          </w:p>
        </w:tc>
        <w:tc>
          <w:tcPr>
            <w:tcW w:w="576"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生物量</w:t>
            </w:r>
          </w:p>
        </w:tc>
        <w:tc>
          <w:tcPr>
            <w:tcW w:w="452" w:type="pct"/>
            <w:tcBorders>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9.28</w:t>
            </w:r>
          </w:p>
        </w:tc>
        <w:tc>
          <w:tcPr>
            <w:tcW w:w="452" w:type="pct"/>
            <w:tcBorders>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7.45</w:t>
            </w:r>
          </w:p>
        </w:tc>
        <w:tc>
          <w:tcPr>
            <w:tcW w:w="533" w:type="pct"/>
            <w:tcBorders>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8.36</w:t>
            </w:r>
          </w:p>
        </w:tc>
        <w:tc>
          <w:tcPr>
            <w:tcW w:w="55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3.2</w:t>
            </w:r>
          </w:p>
        </w:tc>
        <w:tc>
          <w:tcPr>
            <w:tcW w:w="594"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4.21</w:t>
            </w:r>
          </w:p>
        </w:tc>
        <w:tc>
          <w:tcPr>
            <w:tcW w:w="47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4.83</w:t>
            </w:r>
          </w:p>
        </w:tc>
        <w:tc>
          <w:tcPr>
            <w:tcW w:w="47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0.72</w:t>
            </w:r>
          </w:p>
        </w:tc>
        <w:tc>
          <w:tcPr>
            <w:tcW w:w="449" w:type="pct"/>
            <w:tcBorders>
              <w:tl2br w:val="nil"/>
              <w:tr2bl w:val="nil"/>
            </w:tcBorders>
            <w:shd w:val="clear" w:color="auto" w:fill="auto"/>
            <w:noWrap/>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5.44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444" w:type="pct"/>
            <w:vMerge w:val="restart"/>
            <w:tcBorders>
              <w:tl2br w:val="nil"/>
              <w:tr2bl w:val="nil"/>
            </w:tcBorders>
            <w:shd w:val="clear" w:color="auto" w:fill="auto"/>
            <w:vAlign w:val="center"/>
          </w:tcPr>
          <w:p>
            <w:pPr>
              <w:widowControl/>
              <w:spacing w:line="240" w:lineRule="auto"/>
              <w:ind w:firstLine="0" w:firstLineChars="0"/>
              <w:jc w:val="center"/>
              <w:textAlignment w:val="center"/>
              <w:rPr>
                <w:b/>
                <w:bCs/>
                <w:color w:val="000000"/>
                <w:sz w:val="21"/>
                <w:szCs w:val="21"/>
              </w:rPr>
            </w:pPr>
            <w:r>
              <w:rPr>
                <w:b/>
                <w:bCs/>
                <w:color w:val="000000"/>
                <w:kern w:val="0"/>
                <w:sz w:val="21"/>
                <w:szCs w:val="21"/>
                <w:lang w:bidi="ar"/>
              </w:rPr>
              <w:t>总计</w:t>
            </w:r>
          </w:p>
        </w:tc>
        <w:tc>
          <w:tcPr>
            <w:tcW w:w="576"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密度</w:t>
            </w:r>
          </w:p>
        </w:tc>
        <w:tc>
          <w:tcPr>
            <w:tcW w:w="452" w:type="pct"/>
            <w:tcBorders>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25</w:t>
            </w:r>
          </w:p>
        </w:tc>
        <w:tc>
          <w:tcPr>
            <w:tcW w:w="452" w:type="pct"/>
            <w:tcBorders>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16</w:t>
            </w:r>
          </w:p>
        </w:tc>
        <w:tc>
          <w:tcPr>
            <w:tcW w:w="533" w:type="pct"/>
            <w:tcBorders>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21</w:t>
            </w:r>
          </w:p>
        </w:tc>
        <w:tc>
          <w:tcPr>
            <w:tcW w:w="55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36</w:t>
            </w:r>
          </w:p>
        </w:tc>
        <w:tc>
          <w:tcPr>
            <w:tcW w:w="594"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13</w:t>
            </w:r>
          </w:p>
        </w:tc>
        <w:tc>
          <w:tcPr>
            <w:tcW w:w="47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18</w:t>
            </w:r>
          </w:p>
        </w:tc>
        <w:tc>
          <w:tcPr>
            <w:tcW w:w="47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58</w:t>
            </w:r>
          </w:p>
        </w:tc>
        <w:tc>
          <w:tcPr>
            <w:tcW w:w="449" w:type="pct"/>
            <w:tcBorders>
              <w:tl2br w:val="nil"/>
              <w:tr2bl w:val="nil"/>
            </w:tcBorders>
            <w:shd w:val="clear" w:color="auto" w:fill="auto"/>
            <w:noWrap/>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27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444" w:type="pct"/>
            <w:vMerge w:val="continue"/>
            <w:tcBorders>
              <w:tl2br w:val="nil"/>
              <w:tr2bl w:val="nil"/>
            </w:tcBorders>
            <w:shd w:val="clear" w:color="auto" w:fill="auto"/>
            <w:vAlign w:val="center"/>
          </w:tcPr>
          <w:p>
            <w:pPr>
              <w:widowControl/>
              <w:spacing w:line="240" w:lineRule="auto"/>
              <w:ind w:firstLine="0" w:firstLineChars="0"/>
              <w:jc w:val="center"/>
              <w:rPr>
                <w:b/>
                <w:bCs/>
                <w:color w:val="000000"/>
                <w:sz w:val="21"/>
                <w:szCs w:val="21"/>
              </w:rPr>
            </w:pPr>
          </w:p>
        </w:tc>
        <w:tc>
          <w:tcPr>
            <w:tcW w:w="576"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生物量</w:t>
            </w:r>
          </w:p>
        </w:tc>
        <w:tc>
          <w:tcPr>
            <w:tcW w:w="452" w:type="pct"/>
            <w:tcBorders>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24.05</w:t>
            </w:r>
          </w:p>
        </w:tc>
        <w:tc>
          <w:tcPr>
            <w:tcW w:w="452" w:type="pct"/>
            <w:tcBorders>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17.88</w:t>
            </w:r>
          </w:p>
        </w:tc>
        <w:tc>
          <w:tcPr>
            <w:tcW w:w="533" w:type="pct"/>
            <w:tcBorders>
              <w:tl2br w:val="nil"/>
              <w:tr2bl w:val="nil"/>
            </w:tcBorders>
            <w:shd w:val="clear" w:color="auto" w:fill="auto"/>
            <w:vAlign w:val="center"/>
          </w:tcPr>
          <w:p>
            <w:pPr>
              <w:widowControl/>
              <w:spacing w:line="240" w:lineRule="auto"/>
              <w:ind w:firstLine="0" w:firstLineChars="0"/>
              <w:jc w:val="center"/>
              <w:textAlignment w:val="bottom"/>
              <w:rPr>
                <w:color w:val="000000"/>
                <w:sz w:val="21"/>
                <w:szCs w:val="21"/>
              </w:rPr>
            </w:pPr>
            <w:r>
              <w:rPr>
                <w:color w:val="000000"/>
                <w:kern w:val="0"/>
                <w:sz w:val="21"/>
                <w:szCs w:val="21"/>
                <w:lang w:bidi="ar"/>
              </w:rPr>
              <w:t>19.18</w:t>
            </w:r>
          </w:p>
        </w:tc>
        <w:tc>
          <w:tcPr>
            <w:tcW w:w="550"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16.71</w:t>
            </w:r>
          </w:p>
        </w:tc>
        <w:tc>
          <w:tcPr>
            <w:tcW w:w="594"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7.66</w:t>
            </w:r>
          </w:p>
        </w:tc>
        <w:tc>
          <w:tcPr>
            <w:tcW w:w="47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9.33</w:t>
            </w:r>
          </w:p>
        </w:tc>
        <w:tc>
          <w:tcPr>
            <w:tcW w:w="47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24.46</w:t>
            </w:r>
          </w:p>
        </w:tc>
        <w:tc>
          <w:tcPr>
            <w:tcW w:w="449" w:type="pct"/>
            <w:tcBorders>
              <w:tl2br w:val="nil"/>
              <w:tr2bl w:val="nil"/>
            </w:tcBorders>
            <w:shd w:val="clear" w:color="auto" w:fill="auto"/>
            <w:noWrap/>
            <w:vAlign w:val="center"/>
          </w:tcPr>
          <w:p>
            <w:pPr>
              <w:widowControl/>
              <w:spacing w:line="240" w:lineRule="auto"/>
              <w:ind w:firstLine="0" w:firstLineChars="0"/>
              <w:jc w:val="center"/>
              <w:textAlignment w:val="center"/>
              <w:rPr>
                <w:color w:val="000000"/>
                <w:sz w:val="21"/>
                <w:szCs w:val="21"/>
              </w:rPr>
            </w:pPr>
            <w:r>
              <w:rPr>
                <w:color w:val="000000"/>
                <w:kern w:val="0"/>
                <w:sz w:val="21"/>
                <w:szCs w:val="21"/>
                <w:lang w:bidi="ar"/>
              </w:rPr>
              <w:t>17.04</w:t>
            </w:r>
          </w:p>
        </w:tc>
      </w:tr>
    </w:tbl>
    <w:p>
      <w:pPr>
        <w:ind w:firstLine="482"/>
        <w:rPr>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三、生物多样性</w:t>
      </w:r>
    </w:p>
    <w:p>
      <w:pPr>
        <w:ind w:firstLine="480"/>
      </w:pPr>
      <w:r>
        <w:t>底栖动物生物多样性采用Shannon-Wiener指数计算公式，调查水域各断面底栖动物多样性指数见表</w:t>
      </w:r>
      <w:r>
        <w:rPr>
          <w:rFonts w:hint="eastAsia"/>
        </w:rPr>
        <w:t>3-41</w:t>
      </w:r>
      <w:r>
        <w:t>。</w:t>
      </w:r>
    </w:p>
    <w:p>
      <w:pPr>
        <w:pStyle w:val="3583"/>
        <w:spacing w:line="240" w:lineRule="auto"/>
        <w:ind w:left="0"/>
        <w:rPr>
          <w:szCs w:val="18"/>
        </w:rPr>
      </w:pPr>
      <w:r>
        <w:rPr>
          <w:szCs w:val="18"/>
        </w:rPr>
        <w:t xml:space="preserve"> 评价区底栖</w:t>
      </w:r>
      <w:r>
        <w:t>动物</w:t>
      </w:r>
      <w:r>
        <w:rPr>
          <w:szCs w:val="18"/>
        </w:rPr>
        <w:t>生物</w:t>
      </w:r>
      <w:r>
        <w:t>多样性</w:t>
      </w:r>
      <w:r>
        <w:rPr>
          <w:szCs w:val="18"/>
        </w:rPr>
        <w:t>指数（Shannon指数</w:t>
      </w:r>
      <w:r>
        <w:rPr>
          <w:bCs/>
          <w:szCs w:val="18"/>
        </w:rPr>
        <w:t>Hˊ</w:t>
      </w:r>
      <w:r>
        <w:rPr>
          <w:szCs w:val="18"/>
        </w:rPr>
        <w:t>）</w:t>
      </w:r>
    </w:p>
    <w:tbl>
      <w:tblPr>
        <w:tblStyle w:val="87"/>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26"/>
        <w:gridCol w:w="943"/>
        <w:gridCol w:w="906"/>
        <w:gridCol w:w="897"/>
        <w:gridCol w:w="897"/>
        <w:gridCol w:w="897"/>
        <w:gridCol w:w="912"/>
        <w:gridCol w:w="953"/>
        <w:gridCol w:w="9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37" w:type="pct"/>
            <w:vMerge w:val="restart"/>
            <w:tcBorders>
              <w:tl2br w:val="nil"/>
              <w:tr2bl w:val="nil"/>
            </w:tcBorders>
            <w:shd w:val="clear" w:color="auto" w:fill="auto"/>
            <w:vAlign w:val="center"/>
          </w:tcPr>
          <w:p>
            <w:pPr>
              <w:spacing w:line="240" w:lineRule="auto"/>
              <w:ind w:firstLine="0" w:firstLineChars="0"/>
              <w:jc w:val="center"/>
              <w:rPr>
                <w:bCs/>
                <w:sz w:val="21"/>
                <w:szCs w:val="21"/>
              </w:rPr>
            </w:pPr>
            <w:r>
              <w:rPr>
                <w:bCs/>
                <w:sz w:val="21"/>
                <w:szCs w:val="21"/>
              </w:rPr>
              <w:t>生物多样性指数Hˊ</w:t>
            </w:r>
          </w:p>
        </w:tc>
        <w:tc>
          <w:tcPr>
            <w:tcW w:w="1479" w:type="pct"/>
            <w:gridSpan w:val="3"/>
            <w:tcBorders>
              <w:tl2br w:val="nil"/>
              <w:tr2bl w:val="nil"/>
            </w:tcBorders>
            <w:shd w:val="clear" w:color="auto" w:fill="auto"/>
          </w:tcPr>
          <w:p>
            <w:pPr>
              <w:spacing w:line="240" w:lineRule="auto"/>
              <w:ind w:firstLine="0" w:firstLineChars="0"/>
              <w:jc w:val="center"/>
              <w:rPr>
                <w:bCs/>
                <w:sz w:val="21"/>
                <w:szCs w:val="21"/>
              </w:rPr>
            </w:pPr>
            <w:r>
              <w:rPr>
                <w:b/>
                <w:bCs/>
                <w:color w:val="000000"/>
                <w:kern w:val="0"/>
                <w:sz w:val="21"/>
                <w:szCs w:val="21"/>
                <w:lang w:bidi="ar"/>
              </w:rPr>
              <w:t>2022年11月</w:t>
            </w:r>
          </w:p>
        </w:tc>
        <w:tc>
          <w:tcPr>
            <w:tcW w:w="1970" w:type="pct"/>
            <w:gridSpan w:val="4"/>
            <w:tcBorders>
              <w:tl2br w:val="nil"/>
              <w:tr2bl w:val="nil"/>
            </w:tcBorders>
            <w:shd w:val="clear" w:color="auto" w:fill="auto"/>
          </w:tcPr>
          <w:p>
            <w:pPr>
              <w:spacing w:line="240" w:lineRule="auto"/>
              <w:ind w:firstLine="0" w:firstLineChars="0"/>
              <w:jc w:val="center"/>
              <w:rPr>
                <w:bCs/>
                <w:sz w:val="21"/>
                <w:szCs w:val="21"/>
              </w:rPr>
            </w:pPr>
            <w:r>
              <w:rPr>
                <w:b/>
                <w:bCs/>
                <w:color w:val="000000"/>
                <w:kern w:val="0"/>
                <w:sz w:val="21"/>
                <w:szCs w:val="21"/>
                <w:lang w:bidi="ar"/>
              </w:rPr>
              <w:t>2021年6月</w:t>
            </w:r>
          </w:p>
        </w:tc>
        <w:tc>
          <w:tcPr>
            <w:tcW w:w="511" w:type="pct"/>
            <w:vMerge w:val="restart"/>
            <w:tcBorders>
              <w:tl2br w:val="nil"/>
              <w:tr2bl w:val="nil"/>
            </w:tcBorders>
            <w:shd w:val="clear" w:color="auto" w:fill="auto"/>
            <w:vAlign w:val="center"/>
          </w:tcPr>
          <w:p>
            <w:pPr>
              <w:spacing w:line="240" w:lineRule="auto"/>
              <w:ind w:firstLine="0" w:firstLineChars="0"/>
              <w:rPr>
                <w:bCs/>
                <w:sz w:val="21"/>
                <w:szCs w:val="21"/>
              </w:rPr>
            </w:pPr>
            <w:r>
              <w:rPr>
                <w:bCs/>
                <w:sz w:val="21"/>
                <w:szCs w:val="21"/>
              </w:rPr>
              <w:t>平均值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037" w:type="pct"/>
            <w:vMerge w:val="continue"/>
            <w:tcBorders>
              <w:tl2br w:val="nil"/>
              <w:tr2bl w:val="nil"/>
            </w:tcBorders>
            <w:shd w:val="clear" w:color="auto" w:fill="auto"/>
            <w:vAlign w:val="center"/>
          </w:tcPr>
          <w:p>
            <w:pPr>
              <w:spacing w:line="240" w:lineRule="auto"/>
              <w:ind w:firstLine="420"/>
              <w:jc w:val="center"/>
              <w:rPr>
                <w:sz w:val="21"/>
                <w:szCs w:val="21"/>
              </w:rPr>
            </w:pPr>
          </w:p>
        </w:tc>
        <w:tc>
          <w:tcPr>
            <w:tcW w:w="508"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sz w:val="21"/>
                <w:szCs w:val="21"/>
              </w:rPr>
              <w:t>A1</w:t>
            </w:r>
          </w:p>
        </w:tc>
        <w:tc>
          <w:tcPr>
            <w:tcW w:w="488"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sz w:val="21"/>
                <w:szCs w:val="21"/>
              </w:rPr>
              <w:t>A2</w:t>
            </w:r>
          </w:p>
        </w:tc>
        <w:tc>
          <w:tcPr>
            <w:tcW w:w="48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sz w:val="21"/>
                <w:szCs w:val="21"/>
              </w:rPr>
              <w:t>A3</w:t>
            </w:r>
          </w:p>
        </w:tc>
        <w:tc>
          <w:tcPr>
            <w:tcW w:w="48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sz w:val="21"/>
                <w:szCs w:val="21"/>
              </w:rPr>
              <w:t>B1</w:t>
            </w:r>
          </w:p>
        </w:tc>
        <w:tc>
          <w:tcPr>
            <w:tcW w:w="483"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sz w:val="21"/>
                <w:szCs w:val="21"/>
              </w:rPr>
              <w:t>B2</w:t>
            </w:r>
          </w:p>
        </w:tc>
        <w:tc>
          <w:tcPr>
            <w:tcW w:w="491" w:type="pct"/>
            <w:tcBorders>
              <w:tl2br w:val="nil"/>
              <w:tr2bl w:val="nil"/>
            </w:tcBorders>
            <w:shd w:val="clear" w:color="auto" w:fill="auto"/>
            <w:vAlign w:val="center"/>
          </w:tcPr>
          <w:p>
            <w:pPr>
              <w:widowControl/>
              <w:spacing w:line="240" w:lineRule="auto"/>
              <w:ind w:firstLine="0" w:firstLineChars="0"/>
              <w:jc w:val="center"/>
              <w:textAlignment w:val="center"/>
              <w:rPr>
                <w:color w:val="000000"/>
                <w:sz w:val="21"/>
                <w:szCs w:val="21"/>
              </w:rPr>
            </w:pPr>
            <w:r>
              <w:rPr>
                <w:color w:val="000000"/>
                <w:sz w:val="21"/>
                <w:szCs w:val="21"/>
              </w:rPr>
              <w:t>B3</w:t>
            </w:r>
          </w:p>
        </w:tc>
        <w:tc>
          <w:tcPr>
            <w:tcW w:w="513" w:type="pct"/>
            <w:tcBorders>
              <w:tl2br w:val="nil"/>
              <w:tr2bl w:val="nil"/>
            </w:tcBorders>
            <w:shd w:val="clear" w:color="auto" w:fill="auto"/>
          </w:tcPr>
          <w:p>
            <w:pPr>
              <w:widowControl/>
              <w:numPr>
                <w:ilvl w:val="255"/>
                <w:numId w:val="0"/>
              </w:numPr>
              <w:spacing w:line="240" w:lineRule="auto"/>
              <w:jc w:val="center"/>
              <w:textAlignment w:val="center"/>
              <w:rPr>
                <w:color w:val="000000"/>
                <w:sz w:val="21"/>
                <w:szCs w:val="21"/>
              </w:rPr>
            </w:pPr>
            <w:r>
              <w:rPr>
                <w:color w:val="000000"/>
                <w:sz w:val="21"/>
                <w:szCs w:val="21"/>
              </w:rPr>
              <w:t>B4</w:t>
            </w:r>
          </w:p>
        </w:tc>
        <w:tc>
          <w:tcPr>
            <w:tcW w:w="511" w:type="pct"/>
            <w:vMerge w:val="continue"/>
            <w:tcBorders>
              <w:tl2br w:val="nil"/>
              <w:tr2bl w:val="nil"/>
            </w:tcBorders>
            <w:shd w:val="clear" w:color="auto" w:fill="auto"/>
          </w:tcPr>
          <w:p>
            <w:pPr>
              <w:widowControl/>
              <w:numPr>
                <w:ilvl w:val="255"/>
                <w:numId w:val="0"/>
              </w:numPr>
              <w:spacing w:line="240" w:lineRule="auto"/>
              <w:jc w:val="center"/>
              <w:textAlignment w:val="center"/>
              <w:rPr>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037" w:type="pct"/>
            <w:vMerge w:val="continue"/>
            <w:tcBorders>
              <w:tl2br w:val="nil"/>
              <w:tr2bl w:val="nil"/>
            </w:tcBorders>
            <w:shd w:val="clear" w:color="auto" w:fill="auto"/>
            <w:vAlign w:val="center"/>
          </w:tcPr>
          <w:p>
            <w:pPr>
              <w:pStyle w:val="34"/>
              <w:ind w:firstLine="0" w:firstLineChars="0"/>
              <w:rPr>
                <w:rFonts w:ascii="Times New Roman" w:hAnsi="Times New Roman"/>
              </w:rPr>
            </w:pPr>
          </w:p>
        </w:tc>
        <w:tc>
          <w:tcPr>
            <w:tcW w:w="866" w:type="dxa"/>
            <w:tcBorders>
              <w:tl2br w:val="nil"/>
              <w:tr2bl w:val="nil"/>
            </w:tcBorders>
            <w:shd w:val="clear" w:color="auto" w:fill="auto"/>
            <w:vAlign w:val="center"/>
          </w:tcPr>
          <w:p>
            <w:pPr>
              <w:widowControl/>
              <w:spacing w:line="240" w:lineRule="auto"/>
              <w:ind w:firstLine="0" w:firstLineChars="0"/>
              <w:jc w:val="center"/>
              <w:textAlignment w:val="center"/>
              <w:rPr>
                <w:color w:val="FF0000"/>
                <w:sz w:val="21"/>
                <w:szCs w:val="21"/>
              </w:rPr>
            </w:pPr>
            <w:r>
              <w:rPr>
                <w:color w:val="000000"/>
                <w:kern w:val="0"/>
                <w:sz w:val="22"/>
                <w:lang w:bidi="ar"/>
              </w:rPr>
              <w:t>1.28</w:t>
            </w:r>
          </w:p>
        </w:tc>
        <w:tc>
          <w:tcPr>
            <w:tcW w:w="832" w:type="dxa"/>
            <w:tcBorders>
              <w:tl2br w:val="nil"/>
              <w:tr2bl w:val="nil"/>
            </w:tcBorders>
            <w:shd w:val="clear" w:color="auto" w:fill="auto"/>
            <w:vAlign w:val="center"/>
          </w:tcPr>
          <w:p>
            <w:pPr>
              <w:widowControl/>
              <w:spacing w:line="240" w:lineRule="auto"/>
              <w:ind w:firstLine="0" w:firstLineChars="0"/>
              <w:jc w:val="center"/>
              <w:textAlignment w:val="center"/>
              <w:rPr>
                <w:color w:val="FF0000"/>
                <w:sz w:val="21"/>
                <w:szCs w:val="21"/>
              </w:rPr>
            </w:pPr>
            <w:r>
              <w:rPr>
                <w:color w:val="000000"/>
                <w:kern w:val="0"/>
                <w:sz w:val="22"/>
                <w:lang w:bidi="ar"/>
              </w:rPr>
              <w:t>0.88</w:t>
            </w:r>
          </w:p>
        </w:tc>
        <w:tc>
          <w:tcPr>
            <w:tcW w:w="823" w:type="dxa"/>
            <w:tcBorders>
              <w:tl2br w:val="nil"/>
              <w:tr2bl w:val="nil"/>
            </w:tcBorders>
            <w:shd w:val="clear" w:color="auto" w:fill="auto"/>
            <w:vAlign w:val="center"/>
          </w:tcPr>
          <w:p>
            <w:pPr>
              <w:widowControl/>
              <w:spacing w:line="240" w:lineRule="auto"/>
              <w:ind w:firstLine="0" w:firstLineChars="0"/>
              <w:jc w:val="center"/>
              <w:textAlignment w:val="center"/>
              <w:rPr>
                <w:color w:val="FF0000"/>
                <w:sz w:val="21"/>
                <w:szCs w:val="21"/>
              </w:rPr>
            </w:pPr>
            <w:r>
              <w:rPr>
                <w:color w:val="000000"/>
                <w:kern w:val="0"/>
                <w:sz w:val="22"/>
                <w:lang w:bidi="ar"/>
              </w:rPr>
              <w:t>1.01</w:t>
            </w:r>
          </w:p>
        </w:tc>
        <w:tc>
          <w:tcPr>
            <w:tcW w:w="823" w:type="dxa"/>
            <w:tcBorders>
              <w:tl2br w:val="nil"/>
              <w:tr2bl w:val="nil"/>
            </w:tcBorders>
            <w:shd w:val="clear" w:color="auto" w:fill="auto"/>
            <w:vAlign w:val="center"/>
          </w:tcPr>
          <w:p>
            <w:pPr>
              <w:widowControl/>
              <w:spacing w:line="240" w:lineRule="auto"/>
              <w:ind w:firstLine="0" w:firstLineChars="0"/>
              <w:jc w:val="center"/>
              <w:textAlignment w:val="center"/>
              <w:rPr>
                <w:color w:val="FF0000"/>
                <w:sz w:val="21"/>
                <w:szCs w:val="21"/>
              </w:rPr>
            </w:pPr>
            <w:r>
              <w:rPr>
                <w:color w:val="000000"/>
                <w:kern w:val="0"/>
                <w:sz w:val="22"/>
                <w:lang w:bidi="ar"/>
              </w:rPr>
              <w:t>1.31</w:t>
            </w:r>
          </w:p>
        </w:tc>
        <w:tc>
          <w:tcPr>
            <w:tcW w:w="823" w:type="dxa"/>
            <w:tcBorders>
              <w:tl2br w:val="nil"/>
              <w:tr2bl w:val="nil"/>
            </w:tcBorders>
            <w:shd w:val="clear" w:color="auto" w:fill="auto"/>
            <w:vAlign w:val="center"/>
          </w:tcPr>
          <w:p>
            <w:pPr>
              <w:widowControl/>
              <w:spacing w:line="240" w:lineRule="auto"/>
              <w:ind w:firstLine="0" w:firstLineChars="0"/>
              <w:jc w:val="center"/>
              <w:textAlignment w:val="center"/>
              <w:rPr>
                <w:color w:val="FF0000"/>
                <w:sz w:val="21"/>
                <w:szCs w:val="21"/>
              </w:rPr>
            </w:pPr>
            <w:r>
              <w:rPr>
                <w:color w:val="000000"/>
                <w:kern w:val="0"/>
                <w:sz w:val="22"/>
                <w:lang w:bidi="ar"/>
              </w:rPr>
              <w:t>0.97</w:t>
            </w:r>
          </w:p>
        </w:tc>
        <w:tc>
          <w:tcPr>
            <w:tcW w:w="837" w:type="dxa"/>
            <w:tcBorders>
              <w:tl2br w:val="nil"/>
              <w:tr2bl w:val="nil"/>
            </w:tcBorders>
            <w:shd w:val="clear" w:color="auto" w:fill="auto"/>
            <w:vAlign w:val="center"/>
          </w:tcPr>
          <w:p>
            <w:pPr>
              <w:widowControl/>
              <w:spacing w:line="240" w:lineRule="auto"/>
              <w:ind w:firstLine="0" w:firstLineChars="0"/>
              <w:jc w:val="center"/>
              <w:textAlignment w:val="center"/>
              <w:rPr>
                <w:color w:val="FF0000"/>
                <w:sz w:val="21"/>
                <w:szCs w:val="21"/>
              </w:rPr>
            </w:pPr>
            <w:r>
              <w:rPr>
                <w:color w:val="000000"/>
                <w:kern w:val="0"/>
                <w:sz w:val="22"/>
                <w:lang w:bidi="ar"/>
              </w:rPr>
              <w:t>1.09</w:t>
            </w:r>
          </w:p>
        </w:tc>
        <w:tc>
          <w:tcPr>
            <w:tcW w:w="874" w:type="dxa"/>
            <w:tcBorders>
              <w:tl2br w:val="nil"/>
              <w:tr2bl w:val="nil"/>
            </w:tcBorders>
            <w:shd w:val="clear" w:color="auto" w:fill="auto"/>
            <w:vAlign w:val="center"/>
          </w:tcPr>
          <w:p>
            <w:pPr>
              <w:widowControl/>
              <w:spacing w:line="240" w:lineRule="auto"/>
              <w:ind w:firstLine="0" w:firstLineChars="0"/>
              <w:jc w:val="center"/>
              <w:textAlignment w:val="center"/>
              <w:rPr>
                <w:color w:val="FF0000"/>
                <w:kern w:val="0"/>
                <w:sz w:val="21"/>
                <w:szCs w:val="21"/>
                <w:lang w:bidi="ar"/>
              </w:rPr>
            </w:pPr>
            <w:r>
              <w:rPr>
                <w:color w:val="000000"/>
                <w:kern w:val="0"/>
                <w:sz w:val="22"/>
                <w:lang w:bidi="ar"/>
              </w:rPr>
              <w:t>1.25</w:t>
            </w:r>
          </w:p>
        </w:tc>
        <w:tc>
          <w:tcPr>
            <w:tcW w:w="511" w:type="pct"/>
            <w:tcBorders>
              <w:tl2br w:val="nil"/>
              <w:tr2bl w:val="nil"/>
            </w:tcBorders>
            <w:shd w:val="clear" w:color="auto" w:fill="auto"/>
            <w:vAlign w:val="center"/>
          </w:tcPr>
          <w:p>
            <w:pPr>
              <w:widowControl/>
              <w:spacing w:line="240" w:lineRule="auto"/>
              <w:ind w:firstLine="0" w:firstLineChars="0"/>
              <w:jc w:val="center"/>
              <w:textAlignment w:val="center"/>
              <w:rPr>
                <w:color w:val="000000"/>
                <w:kern w:val="0"/>
                <w:sz w:val="21"/>
                <w:szCs w:val="21"/>
                <w:lang w:bidi="ar"/>
              </w:rPr>
            </w:pPr>
            <w:r>
              <w:rPr>
                <w:rFonts w:hint="eastAsia"/>
                <w:color w:val="000000"/>
                <w:kern w:val="0"/>
                <w:sz w:val="21"/>
                <w:szCs w:val="21"/>
                <w:lang w:bidi="ar"/>
              </w:rPr>
              <w:t>1.11</w:t>
            </w:r>
          </w:p>
        </w:tc>
      </w:tr>
    </w:tbl>
    <w:p>
      <w:pPr>
        <w:wordWrap w:val="0"/>
        <w:ind w:firstLine="480"/>
        <w:rPr>
          <w:rStyle w:val="145"/>
          <w:rFonts w:asciiTheme="minorHAnsi" w:hAnsiTheme="minorHAnsi" w:eastAsiaTheme="minorEastAsia"/>
        </w:rPr>
      </w:pPr>
      <w:r>
        <w:t>生物多样性指数主要反映生态系统中生物的丰富度和均匀度。各采样点的Shannon-Weiner生物多样性指数小于2，说明采样点的底栖动物种类较少，且种类数量分布不均。</w:t>
      </w:r>
    </w:p>
    <w:p>
      <w:pPr>
        <w:pStyle w:val="6"/>
        <w:spacing w:before="0" w:after="0"/>
        <w:ind w:firstLine="562"/>
      </w:pPr>
      <w:bookmarkStart w:id="157" w:name="_Toc548"/>
      <w:r>
        <w:t>水生维管束植物</w:t>
      </w:r>
      <w:bookmarkEnd w:id="157"/>
    </w:p>
    <w:p>
      <w:pPr>
        <w:wordWrap w:val="0"/>
        <w:ind w:firstLine="472" w:firstLineChars="196"/>
        <w:rPr>
          <w:b/>
        </w:rPr>
      </w:pPr>
      <w:r>
        <w:rPr>
          <w:b/>
        </w:rPr>
        <w:t>（1）种类组成</w:t>
      </w:r>
    </w:p>
    <w:p>
      <w:pPr>
        <w:ind w:firstLine="470" w:firstLineChars="196"/>
        <w:rPr>
          <w:bCs/>
        </w:rPr>
      </w:pPr>
      <w:r>
        <w:rPr>
          <w:bCs/>
        </w:rPr>
        <w:t>结合历史资料及现状调查，</w:t>
      </w:r>
      <w:r>
        <w:rPr>
          <w:rFonts w:hint="eastAsia"/>
          <w:bCs/>
        </w:rPr>
        <w:t>评价区及附近</w:t>
      </w:r>
      <w:r>
        <w:rPr>
          <w:bCs/>
        </w:rPr>
        <w:t>江段共有水生维管束植物28种。沉水植物有金鱼藻（</w:t>
      </w:r>
      <w:r>
        <w:rPr>
          <w:i/>
          <w:iCs/>
          <w:kern w:val="0"/>
        </w:rPr>
        <w:t>Ceratophyllum demersum</w:t>
      </w:r>
      <w:r>
        <w:rPr>
          <w:bCs/>
        </w:rPr>
        <w:t>）、菹草（</w:t>
      </w:r>
      <w:r>
        <w:rPr>
          <w:bCs/>
          <w:i/>
        </w:rPr>
        <w:t>Potamogeton crispus</w:t>
      </w:r>
      <w:r>
        <w:rPr>
          <w:bCs/>
        </w:rPr>
        <w:t>）等；挺水植物有</w:t>
      </w:r>
      <w:r>
        <w:rPr>
          <w:color w:val="000000"/>
          <w:kern w:val="0"/>
        </w:rPr>
        <w:t>水蓼（</w:t>
      </w:r>
      <w:r>
        <w:rPr>
          <w:i/>
          <w:iCs/>
          <w:color w:val="000000"/>
          <w:kern w:val="0"/>
        </w:rPr>
        <w:t>Polygonum hydropiper</w:t>
      </w:r>
      <w:r>
        <w:rPr>
          <w:color w:val="000000"/>
          <w:kern w:val="0"/>
        </w:rPr>
        <w:t>）、芦蒿（</w:t>
      </w:r>
      <w:r>
        <w:rPr>
          <w:i/>
          <w:iCs/>
          <w:color w:val="000000"/>
          <w:kern w:val="0"/>
        </w:rPr>
        <w:t>Artemisia selengensis</w:t>
      </w:r>
      <w:r>
        <w:rPr>
          <w:color w:val="000000"/>
          <w:kern w:val="0"/>
        </w:rPr>
        <w:t>）</w:t>
      </w:r>
      <w:r>
        <w:rPr>
          <w:kern w:val="0"/>
        </w:rPr>
        <w:t>等；浮叶植物有</w:t>
      </w:r>
      <w:r>
        <w:rPr>
          <w:color w:val="000000"/>
          <w:kern w:val="0"/>
        </w:rPr>
        <w:t>水鳖（</w:t>
      </w:r>
      <w:r>
        <w:rPr>
          <w:i/>
          <w:iCs/>
          <w:kern w:val="0"/>
        </w:rPr>
        <w:t>Hydrocharis dubia</w:t>
      </w:r>
      <w:r>
        <w:rPr>
          <w:color w:val="000000"/>
          <w:kern w:val="0"/>
        </w:rPr>
        <w:t>）等；漂浮植物有凤眼蓝（</w:t>
      </w:r>
      <w:r>
        <w:rPr>
          <w:i/>
          <w:iCs/>
          <w:kern w:val="0"/>
        </w:rPr>
        <w:t>Eichhornia crassipes</w:t>
      </w:r>
      <w:r>
        <w:rPr>
          <w:color w:val="000000"/>
          <w:kern w:val="0"/>
        </w:rPr>
        <w:t>）、</w:t>
      </w:r>
      <w:r>
        <w:rPr>
          <w:kern w:val="0"/>
        </w:rPr>
        <w:t>浮萍（</w:t>
      </w:r>
      <w:r>
        <w:rPr>
          <w:i/>
          <w:iCs/>
          <w:kern w:val="0"/>
        </w:rPr>
        <w:t>Lemna minor</w:t>
      </w:r>
      <w:r>
        <w:rPr>
          <w:kern w:val="0"/>
        </w:rPr>
        <w:t>）、满江红（</w:t>
      </w:r>
      <w:r>
        <w:rPr>
          <w:i/>
        </w:rPr>
        <w:t>Azolla imbricata</w:t>
      </w:r>
      <w:r>
        <w:rPr>
          <w:kern w:val="0"/>
        </w:rPr>
        <w:t>）等。</w:t>
      </w:r>
      <w:r>
        <w:rPr>
          <w:rFonts w:hint="eastAsia"/>
          <w:bCs/>
        </w:rPr>
        <w:t>评价区</w:t>
      </w:r>
      <w:r>
        <w:rPr>
          <w:bCs/>
        </w:rPr>
        <w:t>水生维管束植物名录见附表5。工程区常水位以下水生植物稀少，常水位线上分布较多的湿生植物，如</w:t>
      </w:r>
      <w:r>
        <w:rPr>
          <w:color w:val="000000"/>
          <w:kern w:val="0"/>
        </w:rPr>
        <w:t>芦</w:t>
      </w:r>
      <w:r>
        <w:t>蒿（</w:t>
      </w:r>
      <w:r>
        <w:rPr>
          <w:i/>
        </w:rPr>
        <w:t>Artemisia selengensis</w:t>
      </w:r>
      <w:r>
        <w:t>）、芦苇（</w:t>
      </w:r>
      <w:r>
        <w:rPr>
          <w:i/>
        </w:rPr>
        <w:t>Phragmites australis</w:t>
      </w:r>
      <w:r>
        <w:t>）等</w:t>
      </w:r>
      <w:r>
        <w:rPr>
          <w:bCs/>
        </w:rPr>
        <w:t>。</w:t>
      </w:r>
    </w:p>
    <w:p>
      <w:pPr>
        <w:ind w:firstLine="482"/>
        <w:rPr>
          <w:b/>
        </w:rPr>
      </w:pPr>
      <w:r>
        <w:rPr>
          <w:b/>
        </w:rPr>
        <w:t>（2）生物量</w:t>
      </w:r>
    </w:p>
    <w:p>
      <w:pPr>
        <w:ind w:firstLine="480"/>
      </w:pPr>
      <w:r>
        <w:rPr>
          <w:bCs/>
        </w:rPr>
        <w:t>水生维管束植物主要分布岸边水域及河漫滩，现状调查期间发现洞庭湖大桥及三江口水域水生维管束植物相对茂盛。白尾</w:t>
      </w:r>
      <w:r>
        <w:t>码头上游1km</w:t>
      </w:r>
      <w:r>
        <w:rPr>
          <w:rFonts w:hint="eastAsia"/>
        </w:rPr>
        <w:t>、</w:t>
      </w:r>
      <w:r>
        <w:t>白尾码头</w:t>
      </w:r>
      <w:r>
        <w:rPr>
          <w:rFonts w:hint="eastAsia"/>
        </w:rPr>
        <w:t>、</w:t>
      </w:r>
      <w:r>
        <w:t>白尾码头下游1km处水生维管束植物相对较少，其中白尾码头处生物量最高，为232.6</w:t>
      </w:r>
      <w:r>
        <w:rPr>
          <w:bCs/>
        </w:rPr>
        <w:t>g/m</w:t>
      </w:r>
      <w:r>
        <w:rPr>
          <w:bCs/>
          <w:vertAlign w:val="superscript"/>
        </w:rPr>
        <w:t>2</w:t>
      </w:r>
      <w:r>
        <w:rPr>
          <w:bCs/>
        </w:rPr>
        <w:t>。各采样点水生维管束植物平均生物量为125.4g/m</w:t>
      </w:r>
      <w:r>
        <w:rPr>
          <w:bCs/>
          <w:vertAlign w:val="superscript"/>
        </w:rPr>
        <w:t>2</w:t>
      </w:r>
      <w:r>
        <w:rPr>
          <w:bCs/>
        </w:rPr>
        <w:t>。</w:t>
      </w:r>
    </w:p>
    <w:p>
      <w:pPr>
        <w:pStyle w:val="6"/>
        <w:spacing w:before="0" w:after="0"/>
        <w:ind w:firstLine="562"/>
      </w:pPr>
      <w:bookmarkStart w:id="158" w:name="_Toc6519"/>
      <w:bookmarkStart w:id="159" w:name="_Toc22625"/>
      <w:r>
        <w:t>鱼类</w:t>
      </w:r>
      <w:bookmarkEnd w:id="158"/>
      <w:bookmarkEnd w:id="159"/>
      <w:r>
        <w:rPr>
          <w:rFonts w:hint="eastAsia"/>
          <w:lang w:val="en-US" w:eastAsia="zh-CN"/>
        </w:rPr>
        <w:t>和豚类</w:t>
      </w:r>
      <w:r>
        <w:t xml:space="preserve"> </w:t>
      </w:r>
    </w:p>
    <w:p>
      <w:pPr>
        <w:ind w:firstLine="482"/>
        <w:rPr>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一、种类组成</w:t>
      </w:r>
    </w:p>
    <w:p>
      <w:pPr>
        <w:ind w:firstLine="480"/>
      </w:pPr>
      <w:r>
        <w:t>鱼类资源调查采取资料搜集、现场捕捞和访问调查相结合的方法。道仁矶码头工程位于长江中游和洞庭湖口下游约11km处，工程涉及洞庭湖口铜鱼短颌鲚国家级水产种质资源保护区。鱼类组成主要参照《道仁矶码头工程对洞庭湖口铜鱼短颌鲚国家级水产种质资源保护区影响专题论证报告》相关内容。此外，工程邻近水域有湖南东洞庭湖国家级自然保护区等。</w:t>
      </w:r>
    </w:p>
    <w:p>
      <w:pPr>
        <w:ind w:firstLine="480"/>
        <w:rPr>
          <w:color w:val="70AD47"/>
        </w:rPr>
      </w:pPr>
      <w:r>
        <w:t>根据《湖南东洞庭湖国家级自然保护区范围和功能区调整科学考察报告》（国家林业局中南林业调查规划设计院，2016年5月）中的记录东洞庭湖有鱼类84种，隶属于7目17科。结合《洞庭湖口铜鱼短颌鲚国家级水产种质资源保护区总体规划报告》记录洞庭湖口长江段分布有鱼类109种，分属9目21科77属。</w:t>
      </w:r>
    </w:p>
    <w:p>
      <w:pPr>
        <w:ind w:firstLine="480"/>
      </w:pPr>
      <w:r>
        <w:t>中国水产科学研究院长江水产研究所的研究人员2010-2011年在宜昌、荆州和城陵矶江段调查到鱼类58种（范振华等，2012）；2011-2012年在长江中游道人矶至杨林岩河段调查到鱼类58种，隶属于7目、14科、52属（游立新等，2017）。本公司于2019年7~8月和2020年11月在长江洞庭湖城陵矶-陆城镇江段的鱼类资源调查数据，共采集到鱼类20种，渔获物以大鳍鱊、鲫、鲢、鲂等为主。项目组2021年6月在洞庭湖城陵矶-陆城镇江段进行了鱼类资源的调查（详见</w:t>
      </w:r>
      <w:r>
        <w:rPr>
          <w:rFonts w:hint="eastAsia"/>
        </w:rPr>
        <w:t>3-44</w:t>
      </w:r>
      <w:r>
        <w:t>）</w:t>
      </w:r>
      <w:r>
        <w:rPr>
          <w:rFonts w:hint="eastAsia"/>
        </w:rPr>
        <w:t>。</w:t>
      </w:r>
    </w:p>
    <w:p>
      <w:pPr>
        <w:ind w:firstLine="480"/>
      </w:pPr>
      <w:r>
        <w:t>综合上述资料，总结出评价区分布鱼类114种，隶属于11目25科。其中鲤形目鱼类有75种，占鱼类种数的65.8%；其次为鲇形目14种，占12.3%，鲈形目鱼类12种，占10.5%。评价区鱼类名录见附表4。</w:t>
      </w:r>
    </w:p>
    <w:p>
      <w:pPr>
        <w:ind w:firstLine="482"/>
        <w:rPr>
          <w:b/>
          <w:bCs/>
          <w:szCs w:val="20"/>
        </w:rPr>
      </w:pPr>
      <w:r>
        <w:rPr>
          <w:rFonts w:hint="eastAsia"/>
          <w:b/>
          <w:bCs/>
          <w:szCs w:val="20"/>
        </w:rPr>
        <w:t>二、</w:t>
      </w:r>
      <w:r>
        <w:rPr>
          <w:b/>
          <w:bCs/>
          <w:szCs w:val="20"/>
        </w:rPr>
        <w:t>区系组成</w:t>
      </w:r>
    </w:p>
    <w:p>
      <w:pPr>
        <w:ind w:firstLine="480"/>
        <w:rPr>
          <w:szCs w:val="20"/>
        </w:rPr>
      </w:pPr>
      <w:r>
        <w:rPr>
          <w:szCs w:val="20"/>
        </w:rPr>
        <w:t>评价区114种鱼类可以划分为以下6个类群：</w:t>
      </w:r>
    </w:p>
    <w:p>
      <w:pPr>
        <w:ind w:firstLine="480"/>
        <w:rPr>
          <w:szCs w:val="20"/>
        </w:rPr>
      </w:pPr>
      <w:r>
        <w:rPr>
          <w:szCs w:val="20"/>
        </w:rPr>
        <w:t>（1）东亚平原类群：包括鳅科的沙鳅亚科、副沙鳅属、薄鳅属类群，鲤科的鲌亚科、鲴亚科、鲢亚科、鮈亚科及雅罗鱼亚科的青鱼、草鱼、赤眼鳟及鳡、鳤、鯮两个东亚群。是调查江段鱼类的主要构成类群。这部分鱼很大部分产漂流性卵，一部分鱼虽产粘性卵但粘性不大，卵产出后附着在物体上，不久即脱离。顺水漂流并发育。产卵习性对水位变动敏感，许多种类在水位升高时从湖泊进入江河产卵，幼鱼及产过卵的亲鱼入湖泊育肥休养。</w:t>
      </w:r>
    </w:p>
    <w:p>
      <w:pPr>
        <w:ind w:firstLine="480"/>
        <w:rPr>
          <w:szCs w:val="20"/>
        </w:rPr>
      </w:pPr>
      <w:r>
        <w:rPr>
          <w:szCs w:val="20"/>
        </w:rPr>
        <w:t>（2）南方平原类群：主要包括鲇形目鲿科种类，鲈形目鳢属种类、黄鳝、刺鳅、小黄黝鱼等。这类鱼常具拟草色，身上花纹较多，有些种类具棘和吸取游离氧的副呼吸器官。喜暖水，在较高水温的夏季繁殖，多有护卵、护幼习性。</w:t>
      </w:r>
    </w:p>
    <w:p>
      <w:pPr>
        <w:ind w:firstLine="480"/>
        <w:rPr>
          <w:szCs w:val="20"/>
        </w:rPr>
      </w:pPr>
      <w:r>
        <w:rPr>
          <w:szCs w:val="20"/>
        </w:rPr>
        <w:t>（3）老第三纪类群：包括鲤科的鲃亚科、鲤亚科东亚平原类群，鲇形目鲇科类群。该类群嗅觉较视觉发达，适于浑水中生活，多以底栖生物为食。</w:t>
      </w:r>
    </w:p>
    <w:p>
      <w:pPr>
        <w:ind w:firstLine="480"/>
        <w:rPr>
          <w:szCs w:val="20"/>
        </w:rPr>
      </w:pPr>
      <w:r>
        <w:rPr>
          <w:szCs w:val="20"/>
        </w:rPr>
        <w:t>（4）南方山地类群：包括钝头鮠科、鮡科的种类，是具有特化吸附构造，能适应激流生活的小型鱼类。</w:t>
      </w:r>
    </w:p>
    <w:p>
      <w:pPr>
        <w:ind w:firstLine="480"/>
        <w:rPr>
          <w:szCs w:val="20"/>
        </w:rPr>
      </w:pPr>
      <w:r>
        <w:rPr>
          <w:szCs w:val="20"/>
        </w:rPr>
        <w:t>（5）北方平原类群：起源于北半球北部亚寒带平原地区，包括鲟形目中华鲟、长江鲟、白鲟和鳅科的花鳅属等种类。</w:t>
      </w:r>
    </w:p>
    <w:p>
      <w:pPr>
        <w:ind w:firstLine="480"/>
        <w:rPr>
          <w:szCs w:val="20"/>
        </w:rPr>
      </w:pPr>
      <w:r>
        <w:rPr>
          <w:szCs w:val="20"/>
        </w:rPr>
        <w:t>（6）河海洄游类群：包括鲥、暗纹东方鲀、日本鳗鲡等。</w:t>
      </w:r>
    </w:p>
    <w:p>
      <w:pPr>
        <w:ind w:firstLine="482"/>
        <w:rPr>
          <w:b/>
          <w:bCs/>
          <w:szCs w:val="20"/>
        </w:rPr>
      </w:pPr>
      <w:r>
        <w:rPr>
          <w:rFonts w:hint="eastAsia"/>
          <w:b/>
          <w:bCs/>
          <w:szCs w:val="20"/>
        </w:rPr>
        <w:t>三、食性类型</w:t>
      </w:r>
    </w:p>
    <w:p>
      <w:pPr>
        <w:wordWrap w:val="0"/>
        <w:ind w:firstLine="480"/>
      </w:pPr>
      <w:r>
        <w:t>根据评价区成鱼的摄食对象，可以将评价区鱼类划分为4类：</w:t>
      </w:r>
    </w:p>
    <w:p>
      <w:pPr>
        <w:wordWrap w:val="0"/>
        <w:ind w:firstLine="480"/>
      </w:pPr>
      <w:r>
        <w:t>（1）植食性鱼类：包括以维管植物为食的草鱼和以周丛植物为食的鲴亚科鱼类等，如草鱼、鳊等。</w:t>
      </w:r>
    </w:p>
    <w:p>
      <w:pPr>
        <w:wordWrap w:val="0"/>
        <w:ind w:firstLine="480"/>
      </w:pPr>
      <w:r>
        <w:t>（2）肉食性鱼类：包括以鱼类为主要捕食对象的翘嘴鲌、鳡、鲇、青鱼、鲇、南方鲇、黄颡鱼、鳜、乌鳢等。</w:t>
      </w:r>
    </w:p>
    <w:p>
      <w:pPr>
        <w:wordWrap w:val="0"/>
        <w:ind w:firstLine="480"/>
      </w:pPr>
      <w:r>
        <w:t>（3）滤食性鱼类：以水生浮游动植物为主要食物的鱼类，包括：鲢、鳙等。</w:t>
      </w:r>
    </w:p>
    <w:p>
      <w:pPr>
        <w:wordWrap w:val="0"/>
        <w:ind w:firstLine="480"/>
      </w:pPr>
      <w:r>
        <w:t>（4）杂食性鱼类：该类鱼食谱广，包括小型动物、植物及其碎屑，其食性在不同环境水体和不同季节有明显变化。包括短颌鲚、铜鱼、鲤、鲫、泥鳅、鲴类、赤眼鳟、鮈类、</w:t>
      </w:r>
      <w:r>
        <w:rPr>
          <w:kern w:val="0"/>
        </w:rPr>
        <w:t>䱗属鱼类</w:t>
      </w:r>
      <w:r>
        <w:t>等。</w:t>
      </w:r>
    </w:p>
    <w:p>
      <w:pPr>
        <w:ind w:firstLine="482"/>
        <w:rPr>
          <w:b/>
          <w:bCs/>
          <w:szCs w:val="20"/>
        </w:rPr>
      </w:pPr>
      <w:r>
        <w:rPr>
          <w:rFonts w:hint="eastAsia"/>
          <w:b/>
          <w:bCs/>
          <w:szCs w:val="20"/>
        </w:rPr>
        <w:t>四、产卵类型</w:t>
      </w:r>
    </w:p>
    <w:p>
      <w:pPr>
        <w:ind w:firstLine="480"/>
        <w:rPr>
          <w:kern w:val="0"/>
        </w:rPr>
      </w:pPr>
      <w:r>
        <w:rPr>
          <w:kern w:val="0"/>
        </w:rPr>
        <w:t>依繁殖习性，评价区鱼类可分为4个类群。</w:t>
      </w:r>
    </w:p>
    <w:p>
      <w:pPr>
        <w:ind w:firstLine="480"/>
        <w:rPr>
          <w:kern w:val="0"/>
        </w:rPr>
      </w:pPr>
      <w:r>
        <w:rPr>
          <w:kern w:val="0"/>
        </w:rPr>
        <w:t>（1）产粘沉性卵类群</w:t>
      </w:r>
    </w:p>
    <w:p>
      <w:pPr>
        <w:ind w:firstLine="480"/>
        <w:rPr>
          <w:kern w:val="0"/>
        </w:rPr>
      </w:pPr>
      <w:r>
        <w:rPr>
          <w:kern w:val="0"/>
        </w:rPr>
        <w:t>本水域鱼类绝大多数鱼类为产粘沉性卵类群。这一类群包括包括翘嘴鲌，鲇形目的光泽黄颡鱼、瓦氏黄颡鱼、鲇，鲤科的鲤、鲫、细鳞鲴</w:t>
      </w:r>
      <w:r>
        <w:rPr>
          <w:bCs/>
          <w:kern w:val="0"/>
          <w:lang w:val="en-GB"/>
        </w:rPr>
        <w:t>，鳅科的泥鳅等；</w:t>
      </w:r>
      <w:r>
        <w:rPr>
          <w:kern w:val="0"/>
        </w:rPr>
        <w:t>其产卵季节多为春夏间，也有部分种类晚至秋季，且对产卵水域流态底质有不同的适应性，多数种类都需要一定的流水刺激。产出的卵或粘附于石砾、水草发育，或落于石缝间在激流冲击下发育。</w:t>
      </w:r>
    </w:p>
    <w:p>
      <w:pPr>
        <w:ind w:firstLine="480"/>
        <w:rPr>
          <w:kern w:val="0"/>
        </w:rPr>
      </w:pPr>
      <w:r>
        <w:rPr>
          <w:kern w:val="0"/>
        </w:rPr>
        <w:t>少数鱼类产卵时不需要水流刺激，可在静缓流水环境下繁殖，产粘性卵，如</w:t>
      </w:r>
      <w:r>
        <w:t>鲤亚科、鲌亚科、鲇形目鱼类，卵一经产出即分散在水草茎、叶上发育</w:t>
      </w:r>
      <w:r>
        <w:rPr>
          <w:kern w:val="0"/>
        </w:rPr>
        <w:t>；有的黏附于砾石，如</w:t>
      </w:r>
      <w:r>
        <w:t>棒花鱼、黄颡鱼、鳅科鱼类，将卵产在水底的岩石、石砾或沙砾上发育。该类型鱼类在评价区资源较丰富。</w:t>
      </w:r>
    </w:p>
    <w:p>
      <w:pPr>
        <w:widowControl/>
        <w:wordWrap w:val="0"/>
        <w:ind w:firstLine="480"/>
        <w:rPr>
          <w:kern w:val="0"/>
        </w:rPr>
      </w:pPr>
      <w:r>
        <w:rPr>
          <w:kern w:val="0"/>
        </w:rPr>
        <w:t>（2）产漂流性卵类群</w:t>
      </w:r>
    </w:p>
    <w:p>
      <w:pPr>
        <w:widowControl/>
        <w:wordWrap w:val="0"/>
        <w:ind w:firstLine="480"/>
        <w:rPr>
          <w:kern w:val="0"/>
        </w:rPr>
      </w:pPr>
      <w:r>
        <w:rPr>
          <w:kern w:val="0"/>
        </w:rPr>
        <w:t>产漂流性卵鱼类鱼卵</w:t>
      </w:r>
      <w:r>
        <w:t>在缓流或静水中会沉入水底，但吸水后卵膜膨大，比重接近于水，</w:t>
      </w:r>
      <w:r>
        <w:rPr>
          <w:kern w:val="0"/>
        </w:rPr>
        <w:t>产卵需要湍急的水流条件，通常在汛期洪峰发生后产卵</w:t>
      </w:r>
      <w:r>
        <w:t>，如铜鱼、青鱼、草鱼、鲢、鳙、鳡、赤眼鳟。受精卵顺水漂流孵化，到江河下游及湖泊中育肥。评价区饵料生物资源丰富，为该生态类型鱼类重要的索饵肥育场所。</w:t>
      </w:r>
    </w:p>
    <w:p>
      <w:pPr>
        <w:widowControl/>
        <w:wordWrap w:val="0"/>
        <w:ind w:firstLine="480"/>
        <w:rPr>
          <w:kern w:val="0"/>
        </w:rPr>
      </w:pPr>
      <w:r>
        <w:rPr>
          <w:kern w:val="0"/>
        </w:rPr>
        <w:t>（3）产浮性卵类群</w:t>
      </w:r>
    </w:p>
    <w:p>
      <w:pPr>
        <w:widowControl/>
        <w:ind w:firstLine="480"/>
        <w:jc w:val="left"/>
        <w:rPr>
          <w:kern w:val="0"/>
          <w:szCs w:val="20"/>
        </w:rPr>
      </w:pPr>
      <w:r>
        <w:rPr>
          <w:kern w:val="0"/>
        </w:rPr>
        <w:t>短颌鲚、乌鳢、银鱼、鳜、大眼鳜等鱼类的卵具油球，在水中漂浮发育，</w:t>
      </w:r>
      <w:r>
        <w:t>一般产于静水中</w:t>
      </w:r>
      <w:r>
        <w:rPr>
          <w:kern w:val="0"/>
        </w:rPr>
        <w:t>。</w:t>
      </w:r>
      <w:r>
        <w:rPr>
          <w:kern w:val="0"/>
          <w:szCs w:val="20"/>
        </w:rPr>
        <w:t>此外，鳜、大眼鳜、斑鳜的受精卵为微粘性，在发育过程中粘性逐步消失，由于卵黄具较大油球，也可随水漂流发育。</w:t>
      </w:r>
    </w:p>
    <w:p>
      <w:pPr>
        <w:widowControl/>
        <w:wordWrap w:val="0"/>
        <w:ind w:firstLine="480"/>
        <w:rPr>
          <w:kern w:val="0"/>
        </w:rPr>
      </w:pPr>
      <w:r>
        <w:rPr>
          <w:kern w:val="0"/>
        </w:rPr>
        <w:t>（4）特异性产卵类群</w:t>
      </w:r>
    </w:p>
    <w:p>
      <w:pPr>
        <w:wordWrap w:val="0"/>
        <w:ind w:firstLine="480"/>
      </w:pPr>
      <w:r>
        <w:t>中华鳑鲏等鱊亚科鱼类，在生殖季节，雌鱼具产卵管，通过产卵管，将卵产在河蚌的外套腔内发育。</w:t>
      </w:r>
    </w:p>
    <w:p>
      <w:pPr>
        <w:ind w:firstLine="482"/>
        <w:rPr>
          <w:b/>
          <w:bCs/>
          <w:szCs w:val="20"/>
        </w:rPr>
      </w:pPr>
      <w:r>
        <w:rPr>
          <w:rFonts w:hint="eastAsia"/>
          <w:b/>
          <w:bCs/>
          <w:szCs w:val="20"/>
        </w:rPr>
        <w:t>五、栖息类型</w:t>
      </w:r>
    </w:p>
    <w:p>
      <w:pPr>
        <w:widowControl/>
        <w:spacing w:line="440" w:lineRule="exact"/>
        <w:ind w:firstLine="480"/>
        <w:rPr>
          <w:kern w:val="0"/>
        </w:rPr>
      </w:pPr>
      <w:r>
        <w:rPr>
          <w:kern w:val="0"/>
        </w:rPr>
        <w:t>根据水域流态特征及鱼类的栖息特点，调查水域鱼类大致可分为以下3个类群。</w:t>
      </w:r>
    </w:p>
    <w:p>
      <w:pPr>
        <w:widowControl/>
        <w:wordWrap w:val="0"/>
        <w:spacing w:line="440" w:lineRule="exact"/>
        <w:ind w:firstLine="480"/>
        <w:rPr>
          <w:kern w:val="0"/>
        </w:rPr>
      </w:pPr>
      <w:r>
        <w:rPr>
          <w:kern w:val="0"/>
        </w:rPr>
        <w:t>（1）咸淡水洄游性鱼类：如中华鲟、银鱼等。该类型鱼类少见。</w:t>
      </w:r>
    </w:p>
    <w:p>
      <w:pPr>
        <w:widowControl/>
        <w:wordWrap w:val="0"/>
        <w:spacing w:line="440" w:lineRule="exact"/>
        <w:ind w:firstLine="480"/>
        <w:rPr>
          <w:kern w:val="0"/>
        </w:rPr>
      </w:pPr>
      <w:r>
        <w:rPr>
          <w:kern w:val="0"/>
        </w:rPr>
        <w:t>（2）江湖半洄游性鱼类：如铜鱼、鲢、鳙、草鱼、青鱼、鳡、鳊、银鲴等。该类型鱼类资源处于衰退状态。</w:t>
      </w:r>
    </w:p>
    <w:p>
      <w:pPr>
        <w:ind w:firstLine="480"/>
        <w:rPr>
          <w:kern w:val="0"/>
        </w:rPr>
      </w:pPr>
      <w:r>
        <w:rPr>
          <w:kern w:val="0"/>
        </w:rPr>
        <w:t>（3）定居性鱼类：如鲤、鲫、黄颡鱼、鲇鱼、大鳍鳠、黄尾鲴、翘嘴鲌、蒙古鲌、乌鳢、南方鲇等。该生态类型鱼类是洞庭湖的渔业主体。</w:t>
      </w:r>
    </w:p>
    <w:p>
      <w:pPr>
        <w:ind w:firstLine="482"/>
        <w:rPr>
          <w:b/>
          <w:bCs/>
          <w:szCs w:val="20"/>
        </w:rPr>
      </w:pPr>
      <w:r>
        <w:rPr>
          <w:rFonts w:hint="eastAsia"/>
          <w:b/>
          <w:bCs/>
          <w:szCs w:val="20"/>
        </w:rPr>
        <w:t>六、重要物种</w:t>
      </w:r>
    </w:p>
    <w:p>
      <w:pPr>
        <w:ind w:firstLine="480"/>
        <w:rPr>
          <w:rFonts w:hint="eastAsia" w:eastAsia="宋体"/>
          <w:lang w:val="en-US" w:eastAsia="zh-CN"/>
        </w:rPr>
      </w:pPr>
      <w:r>
        <w:t>评价区水域记录国家级、湖南省级</w:t>
      </w:r>
      <w:r>
        <w:rPr>
          <w:rFonts w:hint="eastAsia"/>
        </w:rPr>
        <w:t>保护</w:t>
      </w:r>
      <w:r>
        <w:t>以及被列入《中国生物多样性红色名录》（2015）极危、濒危、易危的重要水生生物</w:t>
      </w:r>
      <w:r>
        <w:rPr>
          <w:rFonts w:hint="eastAsia"/>
        </w:rPr>
        <w:t>24种，隶属于</w:t>
      </w:r>
      <w:r>
        <w:t>8目12科（表</w:t>
      </w:r>
      <w:r>
        <w:rPr>
          <w:rFonts w:hint="eastAsia"/>
        </w:rPr>
        <w:t>3-42</w:t>
      </w:r>
      <w:r>
        <w:t>）。其中，属国家重点保护野生动物名录一级保护种类</w:t>
      </w:r>
      <w:r>
        <w:rPr>
          <w:rFonts w:hint="eastAsia"/>
        </w:rPr>
        <w:t>有长江江豚、白鲟、长江鲟、中华鲟、鲥5种、</w:t>
      </w:r>
      <w:r>
        <w:t>二级保护种类</w:t>
      </w:r>
      <w:r>
        <w:rPr>
          <w:rFonts w:hint="eastAsia"/>
        </w:rPr>
        <w:t>有胭脂鱼、长薄鳅、红唇薄鳅、鯮、长鳍吻鮈、多鳞白甲鱼、岩原鲤、圆口铜鱼8</w:t>
      </w:r>
      <w:r>
        <w:t>种；被列入《湖南省地方重点保护野生动植物名录》的有12种，其中鲥和白鲟2种近二十年内未发现；被列入《中国生物多样性红色名录》（2015）的有白鲟、长江鲟、中华鲟、鲥、短吻间银鱼、日本鳗鲡、胭脂鱼、长薄鳅、红唇薄鳅、紫薄鳅、鯮、长鳍吻鮈、圆口铜鱼、多鳞白甲鱼、岩原鲤15种。</w:t>
      </w:r>
      <w:r>
        <w:rPr>
          <w:rFonts w:hint="eastAsia"/>
          <w:lang w:val="en-US" w:eastAsia="zh-CN"/>
        </w:rPr>
        <w:t>2020年2021年</w:t>
      </w:r>
      <w:r>
        <w:rPr>
          <w:rFonts w:hint="eastAsia"/>
          <w:lang w:eastAsia="zh-CN"/>
        </w:rPr>
        <w:t>现场调查均未采集到。</w:t>
      </w:r>
    </w:p>
    <w:p>
      <w:pPr>
        <w:pStyle w:val="3583"/>
        <w:spacing w:line="240" w:lineRule="auto"/>
        <w:ind w:left="0"/>
        <w:rPr>
          <w:szCs w:val="21"/>
        </w:rPr>
      </w:pPr>
      <w:r>
        <w:rPr>
          <w:bCs/>
          <w:szCs w:val="21"/>
        </w:rPr>
        <w:t xml:space="preserve"> </w:t>
      </w:r>
      <w:r>
        <w:rPr>
          <w:szCs w:val="21"/>
        </w:rPr>
        <w:t xml:space="preserve"> 评价区</w:t>
      </w:r>
      <w:r>
        <w:t>水域</w:t>
      </w:r>
      <w:r>
        <w:rPr>
          <w:szCs w:val="21"/>
        </w:rPr>
        <w:t>水生野生动物保护名录</w:t>
      </w:r>
    </w:p>
    <w:tbl>
      <w:tblPr>
        <w:tblStyle w:val="8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30"/>
        <w:gridCol w:w="1146"/>
        <w:gridCol w:w="3522"/>
        <w:gridCol w:w="1802"/>
        <w:gridCol w:w="18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501" w:type="pct"/>
            <w:tcBorders>
              <w:bottom w:val="single" w:color="auto" w:sz="12" w:space="0"/>
            </w:tcBorders>
            <w:vAlign w:val="center"/>
          </w:tcPr>
          <w:p>
            <w:pPr>
              <w:spacing w:line="240" w:lineRule="exact"/>
              <w:ind w:firstLine="0" w:firstLineChars="0"/>
              <w:jc w:val="center"/>
              <w:rPr>
                <w:b/>
                <w:bCs/>
                <w:sz w:val="21"/>
                <w:szCs w:val="21"/>
              </w:rPr>
            </w:pPr>
            <w:r>
              <w:rPr>
                <w:b/>
                <w:bCs/>
                <w:sz w:val="21"/>
                <w:szCs w:val="21"/>
              </w:rPr>
              <w:t>目</w:t>
            </w:r>
          </w:p>
        </w:tc>
        <w:tc>
          <w:tcPr>
            <w:tcW w:w="617" w:type="pct"/>
            <w:tcBorders>
              <w:bottom w:val="single" w:color="auto" w:sz="12" w:space="0"/>
            </w:tcBorders>
            <w:vAlign w:val="center"/>
          </w:tcPr>
          <w:p>
            <w:pPr>
              <w:spacing w:line="240" w:lineRule="exact"/>
              <w:ind w:firstLine="0" w:firstLineChars="0"/>
              <w:jc w:val="center"/>
              <w:rPr>
                <w:b/>
                <w:bCs/>
                <w:sz w:val="21"/>
                <w:szCs w:val="21"/>
              </w:rPr>
            </w:pPr>
            <w:r>
              <w:rPr>
                <w:b/>
                <w:bCs/>
                <w:sz w:val="21"/>
                <w:szCs w:val="21"/>
              </w:rPr>
              <w:t>科</w:t>
            </w:r>
          </w:p>
        </w:tc>
        <w:tc>
          <w:tcPr>
            <w:tcW w:w="1896" w:type="pct"/>
            <w:tcBorders>
              <w:bottom w:val="single" w:color="auto" w:sz="12" w:space="0"/>
            </w:tcBorders>
            <w:vAlign w:val="center"/>
          </w:tcPr>
          <w:p>
            <w:pPr>
              <w:spacing w:line="240" w:lineRule="exact"/>
              <w:ind w:firstLine="0" w:firstLineChars="0"/>
              <w:jc w:val="center"/>
              <w:rPr>
                <w:b/>
                <w:bCs/>
                <w:sz w:val="21"/>
                <w:szCs w:val="21"/>
              </w:rPr>
            </w:pPr>
            <w:r>
              <w:rPr>
                <w:b/>
                <w:bCs/>
                <w:sz w:val="21"/>
                <w:szCs w:val="21"/>
              </w:rPr>
              <w:t>记录种</w:t>
            </w:r>
          </w:p>
        </w:tc>
        <w:tc>
          <w:tcPr>
            <w:tcW w:w="970" w:type="pct"/>
            <w:tcBorders>
              <w:bottom w:val="single" w:color="auto" w:sz="12" w:space="0"/>
            </w:tcBorders>
            <w:vAlign w:val="center"/>
          </w:tcPr>
          <w:p>
            <w:pPr>
              <w:spacing w:line="240" w:lineRule="exact"/>
              <w:ind w:firstLine="0" w:firstLineChars="0"/>
              <w:jc w:val="center"/>
              <w:rPr>
                <w:b/>
                <w:bCs/>
                <w:sz w:val="21"/>
                <w:szCs w:val="21"/>
              </w:rPr>
            </w:pPr>
            <w:r>
              <w:rPr>
                <w:b/>
                <w:bCs/>
                <w:sz w:val="21"/>
                <w:szCs w:val="21"/>
              </w:rPr>
              <w:t>保护级别</w:t>
            </w:r>
          </w:p>
        </w:tc>
        <w:tc>
          <w:tcPr>
            <w:tcW w:w="1013" w:type="pct"/>
            <w:tcBorders>
              <w:bottom w:val="single" w:color="auto" w:sz="12" w:space="0"/>
            </w:tcBorders>
            <w:vAlign w:val="center"/>
          </w:tcPr>
          <w:p>
            <w:pPr>
              <w:spacing w:line="240" w:lineRule="exact"/>
              <w:ind w:firstLine="0" w:firstLineChars="0"/>
              <w:jc w:val="center"/>
              <w:rPr>
                <w:b/>
                <w:bCs/>
                <w:sz w:val="21"/>
                <w:szCs w:val="21"/>
              </w:rPr>
            </w:pPr>
            <w:r>
              <w:rPr>
                <w:b/>
                <w:bCs/>
                <w:sz w:val="21"/>
                <w:szCs w:val="21"/>
              </w:rPr>
              <w:t>中国生物多样性红色名录等级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501" w:type="pct"/>
            <w:tcBorders>
              <w:top w:val="single" w:color="auto" w:sz="12" w:space="0"/>
              <w:tl2br w:val="nil"/>
              <w:tr2bl w:val="nil"/>
            </w:tcBorders>
            <w:vAlign w:val="center"/>
          </w:tcPr>
          <w:p>
            <w:pPr>
              <w:spacing w:line="240" w:lineRule="exact"/>
              <w:ind w:firstLine="0" w:firstLineChars="0"/>
              <w:rPr>
                <w:sz w:val="21"/>
                <w:szCs w:val="21"/>
              </w:rPr>
            </w:pPr>
            <w:r>
              <w:rPr>
                <w:sz w:val="21"/>
                <w:szCs w:val="21"/>
              </w:rPr>
              <w:t>鲸目</w:t>
            </w:r>
          </w:p>
        </w:tc>
        <w:tc>
          <w:tcPr>
            <w:tcW w:w="617" w:type="pct"/>
            <w:tcBorders>
              <w:top w:val="single" w:color="auto" w:sz="12" w:space="0"/>
              <w:tl2br w:val="nil"/>
              <w:tr2bl w:val="nil"/>
            </w:tcBorders>
            <w:vAlign w:val="center"/>
          </w:tcPr>
          <w:p>
            <w:pPr>
              <w:spacing w:line="240" w:lineRule="exact"/>
              <w:ind w:firstLine="0" w:firstLineChars="0"/>
              <w:rPr>
                <w:sz w:val="21"/>
                <w:szCs w:val="21"/>
              </w:rPr>
            </w:pPr>
            <w:r>
              <w:rPr>
                <w:sz w:val="21"/>
                <w:szCs w:val="21"/>
              </w:rPr>
              <w:t>鼠海豚科</w:t>
            </w:r>
          </w:p>
        </w:tc>
        <w:tc>
          <w:tcPr>
            <w:tcW w:w="1896" w:type="pct"/>
            <w:tcBorders>
              <w:top w:val="single" w:color="auto" w:sz="12" w:space="0"/>
              <w:tl2br w:val="nil"/>
              <w:tr2bl w:val="nil"/>
            </w:tcBorders>
            <w:vAlign w:val="center"/>
          </w:tcPr>
          <w:p>
            <w:pPr>
              <w:spacing w:line="240" w:lineRule="exact"/>
              <w:ind w:firstLine="0" w:firstLineChars="0"/>
              <w:jc w:val="left"/>
              <w:rPr>
                <w:color w:val="000000"/>
                <w:sz w:val="21"/>
                <w:szCs w:val="21"/>
              </w:rPr>
            </w:pPr>
            <w:r>
              <w:rPr>
                <w:sz w:val="21"/>
                <w:szCs w:val="21"/>
              </w:rPr>
              <w:t>长江江豚</w:t>
            </w:r>
            <w:r>
              <w:rPr>
                <w:i/>
                <w:iCs/>
                <w:sz w:val="21"/>
                <w:szCs w:val="21"/>
              </w:rPr>
              <w:t>Neophocaena asiaeorientalis</w:t>
            </w:r>
            <w:r>
              <w:rPr>
                <w:sz w:val="21"/>
                <w:szCs w:val="21"/>
              </w:rPr>
              <w:t xml:space="preserve"> </w:t>
            </w:r>
          </w:p>
        </w:tc>
        <w:tc>
          <w:tcPr>
            <w:tcW w:w="970" w:type="pct"/>
            <w:tcBorders>
              <w:top w:val="single" w:color="auto" w:sz="12" w:space="0"/>
              <w:tl2br w:val="nil"/>
              <w:tr2bl w:val="nil"/>
            </w:tcBorders>
            <w:vAlign w:val="center"/>
          </w:tcPr>
          <w:p>
            <w:pPr>
              <w:spacing w:line="240" w:lineRule="exact"/>
              <w:ind w:firstLine="0" w:firstLineChars="0"/>
              <w:jc w:val="center"/>
              <w:rPr>
                <w:sz w:val="21"/>
                <w:szCs w:val="21"/>
              </w:rPr>
            </w:pPr>
            <w:r>
              <w:rPr>
                <w:sz w:val="21"/>
                <w:szCs w:val="21"/>
              </w:rPr>
              <w:t>国家一级</w:t>
            </w:r>
          </w:p>
        </w:tc>
        <w:tc>
          <w:tcPr>
            <w:tcW w:w="1013" w:type="pct"/>
            <w:tcBorders>
              <w:top w:val="single" w:color="auto" w:sz="12" w:space="0"/>
              <w:tl2br w:val="nil"/>
              <w:tr2bl w:val="nil"/>
            </w:tcBorders>
            <w:vAlign w:val="center"/>
          </w:tcPr>
          <w:p>
            <w:pPr>
              <w:spacing w:line="240" w:lineRule="exact"/>
              <w:ind w:firstLine="0" w:firstLineChars="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501" w:type="pct"/>
            <w:vMerge w:val="restart"/>
            <w:tcBorders>
              <w:tl2br w:val="nil"/>
              <w:tr2bl w:val="nil"/>
            </w:tcBorders>
            <w:vAlign w:val="center"/>
          </w:tcPr>
          <w:p>
            <w:pPr>
              <w:spacing w:line="240" w:lineRule="exact"/>
              <w:ind w:firstLine="0" w:firstLineChars="0"/>
              <w:rPr>
                <w:sz w:val="21"/>
                <w:szCs w:val="21"/>
              </w:rPr>
            </w:pPr>
            <w:r>
              <w:rPr>
                <w:sz w:val="21"/>
                <w:szCs w:val="21"/>
              </w:rPr>
              <w:t>鲟形目</w:t>
            </w:r>
          </w:p>
        </w:tc>
        <w:tc>
          <w:tcPr>
            <w:tcW w:w="617" w:type="pct"/>
            <w:tcBorders>
              <w:tl2br w:val="nil"/>
              <w:tr2bl w:val="nil"/>
            </w:tcBorders>
            <w:vAlign w:val="center"/>
          </w:tcPr>
          <w:p>
            <w:pPr>
              <w:spacing w:line="240" w:lineRule="exact"/>
              <w:ind w:firstLine="0" w:firstLineChars="0"/>
              <w:rPr>
                <w:sz w:val="21"/>
                <w:szCs w:val="21"/>
              </w:rPr>
            </w:pPr>
            <w:r>
              <w:rPr>
                <w:sz w:val="21"/>
                <w:szCs w:val="21"/>
              </w:rPr>
              <w:t>匙吻鲟科</w:t>
            </w:r>
          </w:p>
        </w:tc>
        <w:tc>
          <w:tcPr>
            <w:tcW w:w="1896" w:type="pct"/>
            <w:tcBorders>
              <w:tl2br w:val="nil"/>
              <w:tr2bl w:val="nil"/>
            </w:tcBorders>
            <w:vAlign w:val="center"/>
          </w:tcPr>
          <w:p>
            <w:pPr>
              <w:spacing w:line="240" w:lineRule="exact"/>
              <w:ind w:firstLine="0" w:firstLineChars="0"/>
              <w:rPr>
                <w:sz w:val="21"/>
                <w:szCs w:val="21"/>
              </w:rPr>
            </w:pPr>
            <w:r>
              <w:rPr>
                <w:sz w:val="21"/>
                <w:szCs w:val="21"/>
              </w:rPr>
              <w:t>白鲟</w:t>
            </w:r>
            <w:r>
              <w:rPr>
                <w:bCs/>
                <w:i/>
                <w:sz w:val="21"/>
                <w:szCs w:val="21"/>
              </w:rPr>
              <w:t>Psephurus gladius</w:t>
            </w:r>
          </w:p>
        </w:tc>
        <w:tc>
          <w:tcPr>
            <w:tcW w:w="970" w:type="pct"/>
            <w:tcBorders>
              <w:tl2br w:val="nil"/>
              <w:tr2bl w:val="nil"/>
            </w:tcBorders>
            <w:vAlign w:val="center"/>
          </w:tcPr>
          <w:p>
            <w:pPr>
              <w:spacing w:line="240" w:lineRule="exact"/>
              <w:ind w:firstLine="0" w:firstLineChars="0"/>
              <w:jc w:val="center"/>
              <w:rPr>
                <w:sz w:val="21"/>
                <w:szCs w:val="21"/>
              </w:rPr>
            </w:pPr>
            <w:r>
              <w:rPr>
                <w:sz w:val="21"/>
                <w:szCs w:val="21"/>
              </w:rPr>
              <w:t>国家一级</w:t>
            </w:r>
          </w:p>
        </w:tc>
        <w:tc>
          <w:tcPr>
            <w:tcW w:w="1013" w:type="pct"/>
            <w:tcBorders>
              <w:tl2br w:val="nil"/>
              <w:tr2bl w:val="nil"/>
            </w:tcBorders>
            <w:vAlign w:val="center"/>
          </w:tcPr>
          <w:p>
            <w:pPr>
              <w:spacing w:line="240" w:lineRule="exact"/>
              <w:ind w:firstLine="0" w:firstLineChars="0"/>
              <w:jc w:val="center"/>
              <w:rPr>
                <w:bCs/>
                <w:sz w:val="21"/>
                <w:szCs w:val="21"/>
              </w:rPr>
            </w:pPr>
            <w:r>
              <w:rPr>
                <w:bCs/>
                <w:sz w:val="21"/>
                <w:szCs w:val="21"/>
              </w:rPr>
              <w:t>CR</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01" w:type="pct"/>
            <w:vMerge w:val="continue"/>
            <w:tcBorders>
              <w:tl2br w:val="nil"/>
              <w:tr2bl w:val="nil"/>
            </w:tcBorders>
            <w:vAlign w:val="center"/>
          </w:tcPr>
          <w:p>
            <w:pPr>
              <w:spacing w:line="240" w:lineRule="exact"/>
              <w:ind w:firstLine="0" w:firstLineChars="0"/>
              <w:rPr>
                <w:sz w:val="21"/>
                <w:szCs w:val="21"/>
              </w:rPr>
            </w:pPr>
          </w:p>
        </w:tc>
        <w:tc>
          <w:tcPr>
            <w:tcW w:w="617" w:type="pct"/>
            <w:vMerge w:val="restart"/>
            <w:tcBorders>
              <w:tl2br w:val="nil"/>
              <w:tr2bl w:val="nil"/>
            </w:tcBorders>
            <w:vAlign w:val="center"/>
          </w:tcPr>
          <w:p>
            <w:pPr>
              <w:spacing w:line="240" w:lineRule="exact"/>
              <w:ind w:firstLine="0" w:firstLineChars="0"/>
              <w:rPr>
                <w:sz w:val="21"/>
                <w:szCs w:val="21"/>
              </w:rPr>
            </w:pPr>
            <w:r>
              <w:rPr>
                <w:sz w:val="21"/>
                <w:szCs w:val="21"/>
              </w:rPr>
              <w:t>鲟科</w:t>
            </w:r>
          </w:p>
        </w:tc>
        <w:tc>
          <w:tcPr>
            <w:tcW w:w="1896" w:type="pct"/>
            <w:tcBorders>
              <w:tl2br w:val="nil"/>
              <w:tr2bl w:val="nil"/>
            </w:tcBorders>
            <w:vAlign w:val="center"/>
          </w:tcPr>
          <w:p>
            <w:pPr>
              <w:spacing w:line="240" w:lineRule="exact"/>
              <w:ind w:firstLine="0" w:firstLineChars="0"/>
              <w:rPr>
                <w:sz w:val="21"/>
                <w:szCs w:val="21"/>
              </w:rPr>
            </w:pPr>
            <w:r>
              <w:rPr>
                <w:sz w:val="21"/>
                <w:szCs w:val="21"/>
              </w:rPr>
              <w:t>长江鲟</w:t>
            </w:r>
            <w:r>
              <w:rPr>
                <w:i/>
                <w:iCs/>
                <w:kern w:val="0"/>
                <w:sz w:val="21"/>
                <w:szCs w:val="21"/>
              </w:rPr>
              <w:t>Acipenser dabryanus</w:t>
            </w:r>
          </w:p>
        </w:tc>
        <w:tc>
          <w:tcPr>
            <w:tcW w:w="970" w:type="pct"/>
            <w:tcBorders>
              <w:tl2br w:val="nil"/>
              <w:tr2bl w:val="nil"/>
            </w:tcBorders>
            <w:vAlign w:val="center"/>
          </w:tcPr>
          <w:p>
            <w:pPr>
              <w:spacing w:line="240" w:lineRule="exact"/>
              <w:ind w:firstLine="0" w:firstLineChars="0"/>
              <w:jc w:val="center"/>
              <w:rPr>
                <w:sz w:val="21"/>
                <w:szCs w:val="21"/>
              </w:rPr>
            </w:pPr>
            <w:r>
              <w:rPr>
                <w:sz w:val="21"/>
                <w:szCs w:val="21"/>
              </w:rPr>
              <w:t>国家一级</w:t>
            </w:r>
          </w:p>
        </w:tc>
        <w:tc>
          <w:tcPr>
            <w:tcW w:w="1013" w:type="pct"/>
            <w:tcBorders>
              <w:tl2br w:val="nil"/>
              <w:tr2bl w:val="nil"/>
            </w:tcBorders>
            <w:vAlign w:val="center"/>
          </w:tcPr>
          <w:p>
            <w:pPr>
              <w:spacing w:line="240" w:lineRule="exact"/>
              <w:ind w:firstLine="0" w:firstLineChars="0"/>
              <w:jc w:val="center"/>
              <w:rPr>
                <w:bCs/>
                <w:sz w:val="21"/>
                <w:szCs w:val="21"/>
              </w:rPr>
            </w:pPr>
            <w:r>
              <w:rPr>
                <w:bCs/>
                <w:sz w:val="21"/>
                <w:szCs w:val="21"/>
              </w:rPr>
              <w:t>CR</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501" w:type="pct"/>
            <w:vMerge w:val="continue"/>
            <w:tcBorders>
              <w:tl2br w:val="nil"/>
              <w:tr2bl w:val="nil"/>
            </w:tcBorders>
            <w:vAlign w:val="center"/>
          </w:tcPr>
          <w:p>
            <w:pPr>
              <w:spacing w:line="240" w:lineRule="exact"/>
              <w:ind w:firstLine="0" w:firstLineChars="0"/>
              <w:rPr>
                <w:sz w:val="21"/>
                <w:szCs w:val="21"/>
              </w:rPr>
            </w:pPr>
          </w:p>
        </w:tc>
        <w:tc>
          <w:tcPr>
            <w:tcW w:w="617" w:type="pct"/>
            <w:vMerge w:val="continue"/>
            <w:tcBorders>
              <w:tl2br w:val="nil"/>
              <w:tr2bl w:val="nil"/>
            </w:tcBorders>
            <w:vAlign w:val="center"/>
          </w:tcPr>
          <w:p>
            <w:pPr>
              <w:spacing w:line="240" w:lineRule="exact"/>
              <w:ind w:firstLine="0" w:firstLineChars="0"/>
              <w:rPr>
                <w:sz w:val="21"/>
                <w:szCs w:val="21"/>
              </w:rPr>
            </w:pPr>
          </w:p>
        </w:tc>
        <w:tc>
          <w:tcPr>
            <w:tcW w:w="1896" w:type="pct"/>
            <w:tcBorders>
              <w:tl2br w:val="nil"/>
              <w:tr2bl w:val="nil"/>
            </w:tcBorders>
            <w:vAlign w:val="center"/>
          </w:tcPr>
          <w:p>
            <w:pPr>
              <w:spacing w:line="240" w:lineRule="exact"/>
              <w:ind w:firstLine="0" w:firstLineChars="0"/>
              <w:rPr>
                <w:sz w:val="21"/>
                <w:szCs w:val="21"/>
              </w:rPr>
            </w:pPr>
            <w:r>
              <w:rPr>
                <w:sz w:val="21"/>
                <w:szCs w:val="21"/>
              </w:rPr>
              <w:t>中华鲟</w:t>
            </w:r>
            <w:r>
              <w:rPr>
                <w:i/>
                <w:sz w:val="21"/>
                <w:szCs w:val="21"/>
              </w:rPr>
              <w:t>Acipenser sinensis</w:t>
            </w:r>
          </w:p>
        </w:tc>
        <w:tc>
          <w:tcPr>
            <w:tcW w:w="970" w:type="pct"/>
            <w:tcBorders>
              <w:tl2br w:val="nil"/>
              <w:tr2bl w:val="nil"/>
            </w:tcBorders>
            <w:vAlign w:val="center"/>
          </w:tcPr>
          <w:p>
            <w:pPr>
              <w:spacing w:line="240" w:lineRule="exact"/>
              <w:ind w:firstLine="0" w:firstLineChars="0"/>
              <w:jc w:val="center"/>
              <w:rPr>
                <w:sz w:val="21"/>
                <w:szCs w:val="21"/>
              </w:rPr>
            </w:pPr>
            <w:r>
              <w:rPr>
                <w:sz w:val="21"/>
                <w:szCs w:val="21"/>
              </w:rPr>
              <w:t>国家一级</w:t>
            </w:r>
          </w:p>
        </w:tc>
        <w:tc>
          <w:tcPr>
            <w:tcW w:w="1013" w:type="pct"/>
            <w:tcBorders>
              <w:tl2br w:val="nil"/>
              <w:tr2bl w:val="nil"/>
            </w:tcBorders>
            <w:vAlign w:val="center"/>
          </w:tcPr>
          <w:p>
            <w:pPr>
              <w:spacing w:line="240" w:lineRule="exact"/>
              <w:ind w:firstLine="0" w:firstLineChars="0"/>
              <w:jc w:val="center"/>
              <w:rPr>
                <w:sz w:val="21"/>
                <w:szCs w:val="21"/>
              </w:rPr>
            </w:pPr>
            <w:r>
              <w:rPr>
                <w:sz w:val="21"/>
                <w:szCs w:val="21"/>
              </w:rPr>
              <w:t>CR</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501" w:type="pct"/>
            <w:tcBorders>
              <w:tl2br w:val="nil"/>
              <w:tr2bl w:val="nil"/>
            </w:tcBorders>
            <w:vAlign w:val="center"/>
          </w:tcPr>
          <w:p>
            <w:pPr>
              <w:spacing w:line="240" w:lineRule="exact"/>
              <w:ind w:firstLine="0" w:firstLineChars="0"/>
              <w:rPr>
                <w:sz w:val="21"/>
                <w:szCs w:val="21"/>
              </w:rPr>
            </w:pPr>
            <w:r>
              <w:rPr>
                <w:sz w:val="21"/>
                <w:szCs w:val="21"/>
              </w:rPr>
              <w:t>鲱形目</w:t>
            </w:r>
          </w:p>
        </w:tc>
        <w:tc>
          <w:tcPr>
            <w:tcW w:w="617" w:type="pct"/>
            <w:tcBorders>
              <w:tl2br w:val="nil"/>
              <w:tr2bl w:val="nil"/>
            </w:tcBorders>
            <w:vAlign w:val="center"/>
          </w:tcPr>
          <w:p>
            <w:pPr>
              <w:spacing w:line="240" w:lineRule="exact"/>
              <w:ind w:firstLine="0" w:firstLineChars="0"/>
              <w:rPr>
                <w:sz w:val="21"/>
                <w:szCs w:val="21"/>
              </w:rPr>
            </w:pPr>
            <w:r>
              <w:rPr>
                <w:sz w:val="21"/>
                <w:szCs w:val="21"/>
              </w:rPr>
              <w:t>鲱科</w:t>
            </w:r>
          </w:p>
        </w:tc>
        <w:tc>
          <w:tcPr>
            <w:tcW w:w="1896" w:type="pct"/>
            <w:tcBorders>
              <w:tl2br w:val="nil"/>
              <w:tr2bl w:val="nil"/>
            </w:tcBorders>
            <w:vAlign w:val="center"/>
          </w:tcPr>
          <w:p>
            <w:pPr>
              <w:spacing w:line="240" w:lineRule="exact"/>
              <w:ind w:firstLine="0" w:firstLineChars="0"/>
              <w:rPr>
                <w:sz w:val="21"/>
                <w:szCs w:val="21"/>
              </w:rPr>
            </w:pPr>
            <w:r>
              <w:rPr>
                <w:sz w:val="21"/>
                <w:szCs w:val="21"/>
              </w:rPr>
              <w:t>鲥</w:t>
            </w:r>
            <w:r>
              <w:rPr>
                <w:i/>
                <w:sz w:val="21"/>
                <w:szCs w:val="21"/>
              </w:rPr>
              <w:t>Tenualosa reevesii</w:t>
            </w:r>
          </w:p>
        </w:tc>
        <w:tc>
          <w:tcPr>
            <w:tcW w:w="970" w:type="pct"/>
            <w:tcBorders>
              <w:tl2br w:val="nil"/>
              <w:tr2bl w:val="nil"/>
            </w:tcBorders>
            <w:vAlign w:val="center"/>
          </w:tcPr>
          <w:p>
            <w:pPr>
              <w:spacing w:line="240" w:lineRule="exact"/>
              <w:ind w:firstLine="0" w:firstLineChars="0"/>
              <w:jc w:val="center"/>
              <w:rPr>
                <w:sz w:val="21"/>
                <w:szCs w:val="21"/>
              </w:rPr>
            </w:pPr>
            <w:r>
              <w:rPr>
                <w:sz w:val="21"/>
                <w:szCs w:val="21"/>
              </w:rPr>
              <w:t>国家一级</w:t>
            </w:r>
          </w:p>
          <w:p>
            <w:pPr>
              <w:spacing w:line="240" w:lineRule="exact"/>
              <w:ind w:firstLine="0" w:firstLineChars="0"/>
              <w:jc w:val="center"/>
              <w:rPr>
                <w:sz w:val="21"/>
                <w:szCs w:val="21"/>
              </w:rPr>
            </w:pPr>
            <w:r>
              <w:rPr>
                <w:sz w:val="21"/>
                <w:szCs w:val="21"/>
              </w:rPr>
              <w:t>省重点</w:t>
            </w:r>
          </w:p>
        </w:tc>
        <w:tc>
          <w:tcPr>
            <w:tcW w:w="1013" w:type="pct"/>
            <w:tcBorders>
              <w:tl2br w:val="nil"/>
              <w:tr2bl w:val="nil"/>
            </w:tcBorders>
            <w:vAlign w:val="center"/>
          </w:tcPr>
          <w:p>
            <w:pPr>
              <w:spacing w:line="240" w:lineRule="exact"/>
              <w:ind w:firstLine="0" w:firstLineChars="0"/>
              <w:jc w:val="center"/>
              <w:rPr>
                <w:bCs/>
                <w:sz w:val="21"/>
                <w:szCs w:val="21"/>
              </w:rPr>
            </w:pPr>
            <w:r>
              <w:rPr>
                <w:bCs/>
                <w:sz w:val="21"/>
                <w:szCs w:val="21"/>
              </w:rPr>
              <w:t>CR</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501" w:type="pct"/>
            <w:vMerge w:val="restart"/>
            <w:tcBorders>
              <w:tl2br w:val="nil"/>
              <w:tr2bl w:val="nil"/>
            </w:tcBorders>
            <w:vAlign w:val="center"/>
          </w:tcPr>
          <w:p>
            <w:pPr>
              <w:spacing w:line="240" w:lineRule="exact"/>
              <w:ind w:firstLine="0" w:firstLineChars="0"/>
              <w:rPr>
                <w:sz w:val="21"/>
                <w:szCs w:val="21"/>
              </w:rPr>
            </w:pPr>
            <w:r>
              <w:rPr>
                <w:sz w:val="21"/>
                <w:szCs w:val="21"/>
              </w:rPr>
              <w:t>鲑形目</w:t>
            </w:r>
          </w:p>
        </w:tc>
        <w:tc>
          <w:tcPr>
            <w:tcW w:w="617" w:type="pct"/>
            <w:vMerge w:val="restart"/>
            <w:tcBorders>
              <w:tl2br w:val="nil"/>
              <w:tr2bl w:val="nil"/>
            </w:tcBorders>
            <w:vAlign w:val="center"/>
          </w:tcPr>
          <w:p>
            <w:pPr>
              <w:spacing w:line="240" w:lineRule="exact"/>
              <w:ind w:firstLine="0" w:firstLineChars="0"/>
              <w:rPr>
                <w:sz w:val="21"/>
                <w:szCs w:val="21"/>
              </w:rPr>
            </w:pPr>
            <w:r>
              <w:rPr>
                <w:sz w:val="21"/>
                <w:szCs w:val="21"/>
              </w:rPr>
              <w:t>银鱼科</w:t>
            </w:r>
          </w:p>
        </w:tc>
        <w:tc>
          <w:tcPr>
            <w:tcW w:w="1896" w:type="pct"/>
            <w:tcBorders>
              <w:tl2br w:val="nil"/>
              <w:tr2bl w:val="nil"/>
            </w:tcBorders>
            <w:vAlign w:val="center"/>
          </w:tcPr>
          <w:p>
            <w:pPr>
              <w:spacing w:line="240" w:lineRule="exact"/>
              <w:ind w:firstLine="0" w:firstLineChars="0"/>
              <w:rPr>
                <w:sz w:val="21"/>
                <w:szCs w:val="21"/>
              </w:rPr>
            </w:pPr>
            <w:r>
              <w:rPr>
                <w:sz w:val="21"/>
                <w:szCs w:val="21"/>
              </w:rPr>
              <w:t>太湖新银鱼</w:t>
            </w:r>
            <w:r>
              <w:rPr>
                <w:i/>
                <w:sz w:val="21"/>
                <w:szCs w:val="21"/>
              </w:rPr>
              <w:t xml:space="preserve">Neosalanx taihuensis </w:t>
            </w:r>
          </w:p>
        </w:tc>
        <w:tc>
          <w:tcPr>
            <w:tcW w:w="970" w:type="pct"/>
            <w:tcBorders>
              <w:tl2br w:val="nil"/>
              <w:tr2bl w:val="nil"/>
            </w:tcBorders>
            <w:vAlign w:val="center"/>
          </w:tcPr>
          <w:p>
            <w:pPr>
              <w:spacing w:line="240" w:lineRule="exact"/>
              <w:ind w:firstLine="0" w:firstLineChars="0"/>
              <w:jc w:val="center"/>
              <w:rPr>
                <w:sz w:val="21"/>
                <w:szCs w:val="21"/>
              </w:rPr>
            </w:pPr>
            <w:r>
              <w:rPr>
                <w:sz w:val="21"/>
                <w:szCs w:val="21"/>
              </w:rPr>
              <w:t>省重点</w:t>
            </w:r>
          </w:p>
        </w:tc>
        <w:tc>
          <w:tcPr>
            <w:tcW w:w="1013" w:type="pct"/>
            <w:tcBorders>
              <w:tl2br w:val="nil"/>
              <w:tr2bl w:val="nil"/>
            </w:tcBorders>
            <w:vAlign w:val="center"/>
          </w:tcPr>
          <w:p>
            <w:pPr>
              <w:spacing w:line="240" w:lineRule="exact"/>
              <w:ind w:firstLine="0" w:firstLineChars="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501" w:type="pct"/>
            <w:vMerge w:val="continue"/>
            <w:tcBorders>
              <w:tl2br w:val="nil"/>
              <w:tr2bl w:val="nil"/>
            </w:tcBorders>
            <w:vAlign w:val="center"/>
          </w:tcPr>
          <w:p>
            <w:pPr>
              <w:spacing w:line="240" w:lineRule="exact"/>
              <w:ind w:firstLine="0" w:firstLineChars="0"/>
              <w:rPr>
                <w:sz w:val="21"/>
                <w:szCs w:val="21"/>
              </w:rPr>
            </w:pPr>
          </w:p>
        </w:tc>
        <w:tc>
          <w:tcPr>
            <w:tcW w:w="617" w:type="pct"/>
            <w:vMerge w:val="continue"/>
            <w:tcBorders>
              <w:tl2br w:val="nil"/>
              <w:tr2bl w:val="nil"/>
            </w:tcBorders>
            <w:vAlign w:val="center"/>
          </w:tcPr>
          <w:p>
            <w:pPr>
              <w:spacing w:line="240" w:lineRule="exact"/>
              <w:ind w:firstLine="0" w:firstLineChars="0"/>
              <w:rPr>
                <w:sz w:val="21"/>
                <w:szCs w:val="21"/>
              </w:rPr>
            </w:pPr>
          </w:p>
        </w:tc>
        <w:tc>
          <w:tcPr>
            <w:tcW w:w="1896" w:type="pct"/>
            <w:tcBorders>
              <w:tl2br w:val="nil"/>
              <w:tr2bl w:val="nil"/>
            </w:tcBorders>
            <w:vAlign w:val="center"/>
          </w:tcPr>
          <w:p>
            <w:pPr>
              <w:spacing w:line="240" w:lineRule="exact"/>
              <w:ind w:firstLine="0" w:firstLineChars="0"/>
              <w:rPr>
                <w:sz w:val="21"/>
                <w:szCs w:val="21"/>
              </w:rPr>
            </w:pPr>
            <w:r>
              <w:rPr>
                <w:kern w:val="0"/>
                <w:sz w:val="21"/>
                <w:szCs w:val="21"/>
              </w:rPr>
              <w:t>短吻间银鱼</w:t>
            </w:r>
            <w:r>
              <w:rPr>
                <w:i/>
                <w:iCs/>
                <w:kern w:val="0"/>
                <w:sz w:val="21"/>
                <w:szCs w:val="21"/>
              </w:rPr>
              <w:t>Hemisalanx brachyrostralis</w:t>
            </w:r>
          </w:p>
        </w:tc>
        <w:tc>
          <w:tcPr>
            <w:tcW w:w="970" w:type="pct"/>
            <w:tcBorders>
              <w:tl2br w:val="nil"/>
              <w:tr2bl w:val="nil"/>
            </w:tcBorders>
            <w:vAlign w:val="center"/>
          </w:tcPr>
          <w:p>
            <w:pPr>
              <w:spacing w:line="240" w:lineRule="exact"/>
              <w:ind w:firstLine="0" w:firstLineChars="0"/>
              <w:jc w:val="center"/>
              <w:rPr>
                <w:sz w:val="21"/>
                <w:szCs w:val="21"/>
              </w:rPr>
            </w:pPr>
          </w:p>
        </w:tc>
        <w:tc>
          <w:tcPr>
            <w:tcW w:w="1013" w:type="pct"/>
            <w:tcBorders>
              <w:tl2br w:val="nil"/>
              <w:tr2bl w:val="nil"/>
            </w:tcBorders>
            <w:vAlign w:val="center"/>
          </w:tcPr>
          <w:p>
            <w:pPr>
              <w:spacing w:line="240" w:lineRule="exact"/>
              <w:ind w:firstLine="0" w:firstLineChars="0"/>
              <w:jc w:val="center"/>
              <w:rPr>
                <w:sz w:val="21"/>
                <w:szCs w:val="21"/>
              </w:rPr>
            </w:pPr>
            <w:r>
              <w:rPr>
                <w:sz w:val="21"/>
                <w:szCs w:val="21"/>
              </w:rPr>
              <w:t>VU</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501" w:type="pct"/>
            <w:tcBorders>
              <w:tl2br w:val="nil"/>
              <w:tr2bl w:val="nil"/>
            </w:tcBorders>
            <w:vAlign w:val="center"/>
          </w:tcPr>
          <w:p>
            <w:pPr>
              <w:spacing w:line="240" w:lineRule="exact"/>
              <w:ind w:firstLine="0" w:firstLineChars="0"/>
              <w:rPr>
                <w:sz w:val="21"/>
                <w:szCs w:val="21"/>
              </w:rPr>
            </w:pPr>
            <w:r>
              <w:rPr>
                <w:sz w:val="21"/>
                <w:szCs w:val="21"/>
              </w:rPr>
              <w:t>鳗鲡目</w:t>
            </w:r>
          </w:p>
        </w:tc>
        <w:tc>
          <w:tcPr>
            <w:tcW w:w="617" w:type="pct"/>
            <w:tcBorders>
              <w:tl2br w:val="nil"/>
              <w:tr2bl w:val="nil"/>
            </w:tcBorders>
            <w:vAlign w:val="center"/>
          </w:tcPr>
          <w:p>
            <w:pPr>
              <w:spacing w:line="240" w:lineRule="exact"/>
              <w:ind w:firstLine="0" w:firstLineChars="0"/>
              <w:rPr>
                <w:sz w:val="21"/>
                <w:szCs w:val="21"/>
              </w:rPr>
            </w:pPr>
            <w:r>
              <w:rPr>
                <w:sz w:val="21"/>
                <w:szCs w:val="21"/>
              </w:rPr>
              <w:t>鳗鲡科</w:t>
            </w:r>
          </w:p>
        </w:tc>
        <w:tc>
          <w:tcPr>
            <w:tcW w:w="1896" w:type="pct"/>
            <w:tcBorders>
              <w:tl2br w:val="nil"/>
              <w:tr2bl w:val="nil"/>
            </w:tcBorders>
            <w:vAlign w:val="center"/>
          </w:tcPr>
          <w:p>
            <w:pPr>
              <w:spacing w:line="240" w:lineRule="exact"/>
              <w:ind w:firstLine="0" w:firstLineChars="0"/>
              <w:rPr>
                <w:kern w:val="0"/>
                <w:sz w:val="21"/>
                <w:szCs w:val="21"/>
              </w:rPr>
            </w:pPr>
            <w:r>
              <w:rPr>
                <w:kern w:val="0"/>
                <w:sz w:val="21"/>
                <w:szCs w:val="21"/>
              </w:rPr>
              <w:t>日本鳗鲡</w:t>
            </w:r>
            <w:r>
              <w:rPr>
                <w:i/>
                <w:iCs/>
                <w:kern w:val="0"/>
                <w:sz w:val="21"/>
                <w:szCs w:val="21"/>
              </w:rPr>
              <w:t>Anguilla japonica</w:t>
            </w:r>
          </w:p>
        </w:tc>
        <w:tc>
          <w:tcPr>
            <w:tcW w:w="970" w:type="pct"/>
            <w:tcBorders>
              <w:tl2br w:val="nil"/>
              <w:tr2bl w:val="nil"/>
            </w:tcBorders>
            <w:vAlign w:val="center"/>
          </w:tcPr>
          <w:p>
            <w:pPr>
              <w:spacing w:line="240" w:lineRule="exact"/>
              <w:ind w:firstLine="0" w:firstLineChars="0"/>
              <w:jc w:val="center"/>
              <w:rPr>
                <w:sz w:val="21"/>
                <w:szCs w:val="21"/>
              </w:rPr>
            </w:pPr>
          </w:p>
        </w:tc>
        <w:tc>
          <w:tcPr>
            <w:tcW w:w="1013" w:type="pct"/>
            <w:tcBorders>
              <w:tl2br w:val="nil"/>
              <w:tr2bl w:val="nil"/>
            </w:tcBorders>
            <w:vAlign w:val="center"/>
          </w:tcPr>
          <w:p>
            <w:pPr>
              <w:spacing w:line="240" w:lineRule="exact"/>
              <w:ind w:firstLine="0" w:firstLineChars="0"/>
              <w:jc w:val="center"/>
              <w:rPr>
                <w:sz w:val="21"/>
                <w:szCs w:val="21"/>
              </w:rPr>
            </w:pPr>
            <w:r>
              <w:rPr>
                <w:sz w:val="21"/>
                <w:szCs w:val="21"/>
              </w:rPr>
              <w:t>EN</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501" w:type="pct"/>
            <w:vMerge w:val="restart"/>
            <w:tcBorders>
              <w:tl2br w:val="nil"/>
              <w:tr2bl w:val="nil"/>
            </w:tcBorders>
            <w:vAlign w:val="center"/>
          </w:tcPr>
          <w:p>
            <w:pPr>
              <w:spacing w:line="240" w:lineRule="exact"/>
              <w:ind w:firstLine="0" w:firstLineChars="0"/>
              <w:rPr>
                <w:sz w:val="21"/>
                <w:szCs w:val="21"/>
              </w:rPr>
            </w:pPr>
            <w:r>
              <w:rPr>
                <w:sz w:val="21"/>
                <w:szCs w:val="21"/>
              </w:rPr>
              <w:t>鲤形目</w:t>
            </w:r>
          </w:p>
        </w:tc>
        <w:tc>
          <w:tcPr>
            <w:tcW w:w="617" w:type="pct"/>
            <w:tcBorders>
              <w:tl2br w:val="nil"/>
              <w:tr2bl w:val="nil"/>
            </w:tcBorders>
            <w:vAlign w:val="center"/>
          </w:tcPr>
          <w:p>
            <w:pPr>
              <w:spacing w:line="240" w:lineRule="exact"/>
              <w:ind w:firstLine="0" w:firstLineChars="0"/>
              <w:rPr>
                <w:sz w:val="21"/>
                <w:szCs w:val="21"/>
              </w:rPr>
            </w:pPr>
            <w:r>
              <w:rPr>
                <w:sz w:val="21"/>
                <w:szCs w:val="21"/>
              </w:rPr>
              <w:t>亚口鱼科</w:t>
            </w:r>
          </w:p>
        </w:tc>
        <w:tc>
          <w:tcPr>
            <w:tcW w:w="1896" w:type="pct"/>
            <w:tcBorders>
              <w:tl2br w:val="nil"/>
              <w:tr2bl w:val="nil"/>
            </w:tcBorders>
            <w:vAlign w:val="center"/>
          </w:tcPr>
          <w:p>
            <w:pPr>
              <w:spacing w:line="240" w:lineRule="exact"/>
              <w:ind w:firstLine="0" w:firstLineChars="0"/>
              <w:rPr>
                <w:sz w:val="21"/>
                <w:szCs w:val="21"/>
              </w:rPr>
            </w:pPr>
            <w:r>
              <w:rPr>
                <w:sz w:val="21"/>
                <w:szCs w:val="21"/>
              </w:rPr>
              <w:t>胭脂鱼</w:t>
            </w:r>
            <w:r>
              <w:rPr>
                <w:i/>
                <w:sz w:val="21"/>
                <w:szCs w:val="21"/>
              </w:rPr>
              <w:t>Myxocyprinus asiaticus</w:t>
            </w:r>
          </w:p>
        </w:tc>
        <w:tc>
          <w:tcPr>
            <w:tcW w:w="970" w:type="pct"/>
            <w:tcBorders>
              <w:tl2br w:val="nil"/>
              <w:tr2bl w:val="nil"/>
            </w:tcBorders>
            <w:vAlign w:val="center"/>
          </w:tcPr>
          <w:p>
            <w:pPr>
              <w:spacing w:line="240" w:lineRule="exact"/>
              <w:ind w:firstLine="0" w:firstLineChars="0"/>
              <w:jc w:val="center"/>
              <w:rPr>
                <w:sz w:val="21"/>
                <w:szCs w:val="21"/>
              </w:rPr>
            </w:pPr>
            <w:r>
              <w:rPr>
                <w:sz w:val="21"/>
                <w:szCs w:val="21"/>
              </w:rPr>
              <w:t>国家二级</w:t>
            </w:r>
          </w:p>
          <w:p>
            <w:pPr>
              <w:spacing w:line="240" w:lineRule="exact"/>
              <w:ind w:firstLine="0" w:firstLineChars="0"/>
              <w:jc w:val="center"/>
              <w:rPr>
                <w:sz w:val="21"/>
                <w:szCs w:val="21"/>
              </w:rPr>
            </w:pPr>
            <w:r>
              <w:rPr>
                <w:sz w:val="21"/>
                <w:szCs w:val="21"/>
              </w:rPr>
              <w:t>省重点</w:t>
            </w:r>
          </w:p>
        </w:tc>
        <w:tc>
          <w:tcPr>
            <w:tcW w:w="1013" w:type="pct"/>
            <w:tcBorders>
              <w:tl2br w:val="nil"/>
              <w:tr2bl w:val="nil"/>
            </w:tcBorders>
            <w:vAlign w:val="center"/>
          </w:tcPr>
          <w:p>
            <w:pPr>
              <w:spacing w:line="240" w:lineRule="exact"/>
              <w:ind w:firstLine="0" w:firstLineChars="0"/>
              <w:jc w:val="center"/>
              <w:rPr>
                <w:sz w:val="21"/>
                <w:szCs w:val="21"/>
              </w:rPr>
            </w:pPr>
            <w:r>
              <w:rPr>
                <w:sz w:val="21"/>
                <w:szCs w:val="21"/>
              </w:rPr>
              <w:t>CR</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501" w:type="pct"/>
            <w:vMerge w:val="continue"/>
            <w:tcBorders>
              <w:tl2br w:val="nil"/>
              <w:tr2bl w:val="nil"/>
            </w:tcBorders>
            <w:vAlign w:val="center"/>
          </w:tcPr>
          <w:p>
            <w:pPr>
              <w:spacing w:line="240" w:lineRule="exact"/>
              <w:ind w:firstLine="0" w:firstLineChars="0"/>
              <w:rPr>
                <w:sz w:val="21"/>
                <w:szCs w:val="21"/>
              </w:rPr>
            </w:pPr>
          </w:p>
        </w:tc>
        <w:tc>
          <w:tcPr>
            <w:tcW w:w="617" w:type="pct"/>
            <w:vMerge w:val="restart"/>
            <w:tcBorders>
              <w:tl2br w:val="nil"/>
              <w:tr2bl w:val="nil"/>
            </w:tcBorders>
            <w:vAlign w:val="center"/>
          </w:tcPr>
          <w:p>
            <w:pPr>
              <w:spacing w:line="240" w:lineRule="exact"/>
              <w:ind w:firstLine="0" w:firstLineChars="0"/>
              <w:rPr>
                <w:sz w:val="21"/>
                <w:szCs w:val="21"/>
              </w:rPr>
            </w:pPr>
            <w:r>
              <w:rPr>
                <w:sz w:val="21"/>
                <w:szCs w:val="21"/>
              </w:rPr>
              <w:t>鳅科</w:t>
            </w:r>
          </w:p>
        </w:tc>
        <w:tc>
          <w:tcPr>
            <w:tcW w:w="1896" w:type="pct"/>
            <w:tcBorders>
              <w:tl2br w:val="nil"/>
              <w:tr2bl w:val="nil"/>
            </w:tcBorders>
            <w:vAlign w:val="center"/>
          </w:tcPr>
          <w:p>
            <w:pPr>
              <w:spacing w:line="240" w:lineRule="exact"/>
              <w:ind w:firstLine="0" w:firstLineChars="0"/>
              <w:rPr>
                <w:sz w:val="21"/>
                <w:szCs w:val="21"/>
              </w:rPr>
            </w:pPr>
            <w:r>
              <w:rPr>
                <w:sz w:val="21"/>
                <w:szCs w:val="21"/>
              </w:rPr>
              <w:t>长薄鳅</w:t>
            </w:r>
            <w:r>
              <w:rPr>
                <w:i/>
                <w:sz w:val="21"/>
                <w:szCs w:val="21"/>
              </w:rPr>
              <w:t>Leptobotia elongate</w:t>
            </w:r>
          </w:p>
        </w:tc>
        <w:tc>
          <w:tcPr>
            <w:tcW w:w="970" w:type="pct"/>
            <w:tcBorders>
              <w:tl2br w:val="nil"/>
              <w:tr2bl w:val="nil"/>
            </w:tcBorders>
            <w:vAlign w:val="center"/>
          </w:tcPr>
          <w:p>
            <w:pPr>
              <w:spacing w:line="240" w:lineRule="exact"/>
              <w:ind w:firstLine="0" w:firstLineChars="0"/>
              <w:jc w:val="center"/>
              <w:rPr>
                <w:sz w:val="21"/>
                <w:szCs w:val="21"/>
              </w:rPr>
            </w:pPr>
            <w:r>
              <w:rPr>
                <w:sz w:val="21"/>
                <w:szCs w:val="21"/>
              </w:rPr>
              <w:t>国家二级</w:t>
            </w:r>
          </w:p>
          <w:p>
            <w:pPr>
              <w:spacing w:line="240" w:lineRule="exact"/>
              <w:ind w:firstLine="0" w:firstLineChars="0"/>
              <w:jc w:val="center"/>
              <w:rPr>
                <w:spacing w:val="-12"/>
                <w:sz w:val="21"/>
                <w:szCs w:val="21"/>
              </w:rPr>
            </w:pPr>
            <w:r>
              <w:rPr>
                <w:sz w:val="21"/>
                <w:szCs w:val="21"/>
              </w:rPr>
              <w:t>省重点</w:t>
            </w:r>
          </w:p>
        </w:tc>
        <w:tc>
          <w:tcPr>
            <w:tcW w:w="1013" w:type="pct"/>
            <w:tcBorders>
              <w:tl2br w:val="nil"/>
              <w:tr2bl w:val="nil"/>
            </w:tcBorders>
            <w:vAlign w:val="center"/>
          </w:tcPr>
          <w:p>
            <w:pPr>
              <w:spacing w:line="240" w:lineRule="exact"/>
              <w:ind w:firstLine="0" w:firstLineChars="0"/>
              <w:jc w:val="center"/>
              <w:rPr>
                <w:sz w:val="21"/>
                <w:szCs w:val="21"/>
              </w:rPr>
            </w:pPr>
            <w:r>
              <w:rPr>
                <w:sz w:val="21"/>
                <w:szCs w:val="21"/>
              </w:rPr>
              <w:t>VU</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501" w:type="pct"/>
            <w:vMerge w:val="continue"/>
            <w:tcBorders>
              <w:tl2br w:val="nil"/>
              <w:tr2bl w:val="nil"/>
            </w:tcBorders>
            <w:vAlign w:val="center"/>
          </w:tcPr>
          <w:p>
            <w:pPr>
              <w:spacing w:line="240" w:lineRule="exact"/>
              <w:ind w:firstLine="0" w:firstLineChars="0"/>
              <w:rPr>
                <w:sz w:val="21"/>
                <w:szCs w:val="21"/>
              </w:rPr>
            </w:pPr>
          </w:p>
        </w:tc>
        <w:tc>
          <w:tcPr>
            <w:tcW w:w="617" w:type="pct"/>
            <w:vMerge w:val="continue"/>
            <w:tcBorders>
              <w:tl2br w:val="nil"/>
              <w:tr2bl w:val="nil"/>
            </w:tcBorders>
            <w:vAlign w:val="center"/>
          </w:tcPr>
          <w:p>
            <w:pPr>
              <w:spacing w:line="240" w:lineRule="exact"/>
              <w:ind w:firstLine="0" w:firstLineChars="0"/>
              <w:rPr>
                <w:sz w:val="21"/>
                <w:szCs w:val="21"/>
              </w:rPr>
            </w:pPr>
          </w:p>
        </w:tc>
        <w:tc>
          <w:tcPr>
            <w:tcW w:w="1896" w:type="pct"/>
            <w:tcBorders>
              <w:tl2br w:val="nil"/>
              <w:tr2bl w:val="nil"/>
            </w:tcBorders>
            <w:vAlign w:val="center"/>
          </w:tcPr>
          <w:p>
            <w:pPr>
              <w:spacing w:line="240" w:lineRule="exact"/>
              <w:ind w:firstLine="0" w:firstLineChars="0"/>
              <w:rPr>
                <w:sz w:val="21"/>
                <w:szCs w:val="21"/>
              </w:rPr>
            </w:pPr>
            <w:r>
              <w:rPr>
                <w:sz w:val="21"/>
                <w:szCs w:val="21"/>
              </w:rPr>
              <w:t>红唇薄鳅</w:t>
            </w:r>
            <w:r>
              <w:rPr>
                <w:i/>
                <w:iCs/>
                <w:kern w:val="0"/>
                <w:sz w:val="21"/>
                <w:szCs w:val="21"/>
              </w:rPr>
              <w:t>Leptobotia rubrilabris</w:t>
            </w:r>
          </w:p>
        </w:tc>
        <w:tc>
          <w:tcPr>
            <w:tcW w:w="970" w:type="pct"/>
            <w:tcBorders>
              <w:tl2br w:val="nil"/>
              <w:tr2bl w:val="nil"/>
            </w:tcBorders>
            <w:vAlign w:val="center"/>
          </w:tcPr>
          <w:p>
            <w:pPr>
              <w:spacing w:line="240" w:lineRule="exact"/>
              <w:ind w:firstLine="0" w:firstLineChars="0"/>
              <w:jc w:val="center"/>
              <w:rPr>
                <w:sz w:val="21"/>
                <w:szCs w:val="21"/>
              </w:rPr>
            </w:pPr>
            <w:r>
              <w:rPr>
                <w:sz w:val="21"/>
                <w:szCs w:val="21"/>
              </w:rPr>
              <w:t>国家二级</w:t>
            </w:r>
          </w:p>
        </w:tc>
        <w:tc>
          <w:tcPr>
            <w:tcW w:w="1013" w:type="pct"/>
            <w:tcBorders>
              <w:tl2br w:val="nil"/>
              <w:tr2bl w:val="nil"/>
            </w:tcBorders>
            <w:vAlign w:val="center"/>
          </w:tcPr>
          <w:p>
            <w:pPr>
              <w:spacing w:line="240" w:lineRule="exact"/>
              <w:ind w:firstLine="0" w:firstLineChars="0"/>
              <w:jc w:val="center"/>
              <w:rPr>
                <w:sz w:val="21"/>
                <w:szCs w:val="21"/>
              </w:rPr>
            </w:pPr>
            <w:r>
              <w:rPr>
                <w:sz w:val="21"/>
                <w:szCs w:val="21"/>
              </w:rPr>
              <w:t>VU</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501" w:type="pct"/>
            <w:vMerge w:val="continue"/>
            <w:tcBorders>
              <w:tl2br w:val="nil"/>
              <w:tr2bl w:val="nil"/>
            </w:tcBorders>
            <w:vAlign w:val="center"/>
          </w:tcPr>
          <w:p>
            <w:pPr>
              <w:spacing w:line="240" w:lineRule="exact"/>
              <w:ind w:firstLine="0" w:firstLineChars="0"/>
              <w:rPr>
                <w:sz w:val="21"/>
                <w:szCs w:val="21"/>
              </w:rPr>
            </w:pPr>
          </w:p>
        </w:tc>
        <w:tc>
          <w:tcPr>
            <w:tcW w:w="617" w:type="pct"/>
            <w:vMerge w:val="continue"/>
            <w:tcBorders>
              <w:tl2br w:val="nil"/>
              <w:tr2bl w:val="nil"/>
            </w:tcBorders>
            <w:vAlign w:val="center"/>
          </w:tcPr>
          <w:p>
            <w:pPr>
              <w:spacing w:line="240" w:lineRule="exact"/>
              <w:ind w:firstLine="0" w:firstLineChars="0"/>
              <w:rPr>
                <w:sz w:val="21"/>
                <w:szCs w:val="21"/>
              </w:rPr>
            </w:pPr>
          </w:p>
        </w:tc>
        <w:tc>
          <w:tcPr>
            <w:tcW w:w="1896" w:type="pct"/>
            <w:tcBorders>
              <w:tl2br w:val="nil"/>
              <w:tr2bl w:val="nil"/>
            </w:tcBorders>
            <w:vAlign w:val="center"/>
          </w:tcPr>
          <w:p>
            <w:pPr>
              <w:spacing w:line="240" w:lineRule="exact"/>
              <w:ind w:firstLine="0" w:firstLineChars="0"/>
              <w:rPr>
                <w:sz w:val="21"/>
                <w:szCs w:val="21"/>
              </w:rPr>
            </w:pPr>
            <w:r>
              <w:rPr>
                <w:kern w:val="0"/>
                <w:sz w:val="21"/>
                <w:szCs w:val="21"/>
              </w:rPr>
              <w:t xml:space="preserve">紫薄鳅 </w:t>
            </w:r>
            <w:r>
              <w:rPr>
                <w:i/>
                <w:color w:val="000000"/>
                <w:kern w:val="0"/>
                <w:sz w:val="21"/>
                <w:szCs w:val="21"/>
              </w:rPr>
              <w:t>Leptobotia</w:t>
            </w:r>
            <w:r>
              <w:rPr>
                <w:kern w:val="0"/>
                <w:sz w:val="21"/>
                <w:szCs w:val="21"/>
              </w:rPr>
              <w:t xml:space="preserve"> </w:t>
            </w:r>
            <w:r>
              <w:rPr>
                <w:i/>
                <w:color w:val="000000"/>
                <w:kern w:val="0"/>
                <w:sz w:val="21"/>
                <w:szCs w:val="21"/>
              </w:rPr>
              <w:t>taeniops</w:t>
            </w:r>
          </w:p>
        </w:tc>
        <w:tc>
          <w:tcPr>
            <w:tcW w:w="970" w:type="pct"/>
            <w:tcBorders>
              <w:tl2br w:val="nil"/>
              <w:tr2bl w:val="nil"/>
            </w:tcBorders>
            <w:vAlign w:val="center"/>
          </w:tcPr>
          <w:p>
            <w:pPr>
              <w:spacing w:line="240" w:lineRule="exact"/>
              <w:ind w:firstLine="0" w:firstLineChars="0"/>
              <w:jc w:val="center"/>
              <w:rPr>
                <w:sz w:val="21"/>
                <w:szCs w:val="21"/>
              </w:rPr>
            </w:pPr>
          </w:p>
        </w:tc>
        <w:tc>
          <w:tcPr>
            <w:tcW w:w="1013" w:type="pct"/>
            <w:tcBorders>
              <w:tl2br w:val="nil"/>
              <w:tr2bl w:val="nil"/>
            </w:tcBorders>
            <w:vAlign w:val="center"/>
          </w:tcPr>
          <w:p>
            <w:pPr>
              <w:spacing w:line="240" w:lineRule="exact"/>
              <w:ind w:firstLine="0" w:firstLineChars="0"/>
              <w:jc w:val="center"/>
              <w:rPr>
                <w:sz w:val="21"/>
                <w:szCs w:val="21"/>
              </w:rPr>
            </w:pPr>
            <w:r>
              <w:rPr>
                <w:sz w:val="21"/>
                <w:szCs w:val="21"/>
              </w:rPr>
              <w:t>VU</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501" w:type="pct"/>
            <w:vMerge w:val="continue"/>
            <w:tcBorders>
              <w:tl2br w:val="nil"/>
              <w:tr2bl w:val="nil"/>
            </w:tcBorders>
            <w:vAlign w:val="center"/>
          </w:tcPr>
          <w:p>
            <w:pPr>
              <w:spacing w:line="240" w:lineRule="exact"/>
              <w:ind w:firstLine="0" w:firstLineChars="0"/>
              <w:rPr>
                <w:sz w:val="21"/>
                <w:szCs w:val="21"/>
              </w:rPr>
            </w:pPr>
          </w:p>
        </w:tc>
        <w:tc>
          <w:tcPr>
            <w:tcW w:w="617" w:type="pct"/>
            <w:vMerge w:val="restart"/>
            <w:tcBorders>
              <w:tl2br w:val="nil"/>
              <w:tr2bl w:val="nil"/>
            </w:tcBorders>
            <w:vAlign w:val="center"/>
          </w:tcPr>
          <w:p>
            <w:pPr>
              <w:spacing w:line="240" w:lineRule="exact"/>
              <w:ind w:firstLine="0" w:firstLineChars="0"/>
              <w:rPr>
                <w:sz w:val="21"/>
                <w:szCs w:val="21"/>
              </w:rPr>
            </w:pPr>
            <w:r>
              <w:rPr>
                <w:sz w:val="21"/>
                <w:szCs w:val="21"/>
              </w:rPr>
              <w:t>鲤科</w:t>
            </w:r>
          </w:p>
        </w:tc>
        <w:tc>
          <w:tcPr>
            <w:tcW w:w="1896" w:type="pct"/>
            <w:tcBorders>
              <w:tl2br w:val="nil"/>
              <w:tr2bl w:val="nil"/>
            </w:tcBorders>
            <w:vAlign w:val="center"/>
          </w:tcPr>
          <w:p>
            <w:pPr>
              <w:spacing w:line="240" w:lineRule="exact"/>
              <w:ind w:firstLine="0" w:firstLineChars="0"/>
              <w:rPr>
                <w:sz w:val="21"/>
                <w:szCs w:val="21"/>
              </w:rPr>
            </w:pPr>
            <w:r>
              <w:rPr>
                <w:sz w:val="21"/>
                <w:szCs w:val="21"/>
              </w:rPr>
              <w:t>鯮</w:t>
            </w:r>
            <w:r>
              <w:rPr>
                <w:i/>
                <w:sz w:val="21"/>
                <w:szCs w:val="21"/>
              </w:rPr>
              <w:t xml:space="preserve">Leuciobrama macrocephalus </w:t>
            </w:r>
          </w:p>
        </w:tc>
        <w:tc>
          <w:tcPr>
            <w:tcW w:w="970" w:type="pct"/>
            <w:tcBorders>
              <w:tl2br w:val="nil"/>
              <w:tr2bl w:val="nil"/>
            </w:tcBorders>
            <w:vAlign w:val="center"/>
          </w:tcPr>
          <w:p>
            <w:pPr>
              <w:spacing w:line="240" w:lineRule="exact"/>
              <w:ind w:firstLine="0" w:firstLineChars="0"/>
              <w:jc w:val="center"/>
              <w:rPr>
                <w:sz w:val="21"/>
                <w:szCs w:val="21"/>
              </w:rPr>
            </w:pPr>
            <w:r>
              <w:rPr>
                <w:sz w:val="21"/>
                <w:szCs w:val="21"/>
              </w:rPr>
              <w:t>国家二级</w:t>
            </w:r>
          </w:p>
          <w:p>
            <w:pPr>
              <w:spacing w:line="240" w:lineRule="exact"/>
              <w:ind w:firstLine="0" w:firstLineChars="0"/>
              <w:jc w:val="center"/>
              <w:rPr>
                <w:sz w:val="21"/>
              </w:rPr>
            </w:pPr>
            <w:r>
              <w:rPr>
                <w:sz w:val="21"/>
                <w:szCs w:val="21"/>
              </w:rPr>
              <w:t>省重点</w:t>
            </w:r>
          </w:p>
        </w:tc>
        <w:tc>
          <w:tcPr>
            <w:tcW w:w="1013" w:type="pct"/>
            <w:tcBorders>
              <w:tl2br w:val="nil"/>
              <w:tr2bl w:val="nil"/>
            </w:tcBorders>
            <w:vAlign w:val="center"/>
          </w:tcPr>
          <w:p>
            <w:pPr>
              <w:spacing w:line="240" w:lineRule="exact"/>
              <w:ind w:firstLine="0" w:firstLineChars="0"/>
              <w:jc w:val="center"/>
              <w:rPr>
                <w:sz w:val="21"/>
                <w:szCs w:val="21"/>
              </w:rPr>
            </w:pPr>
            <w:r>
              <w:rPr>
                <w:sz w:val="21"/>
                <w:szCs w:val="21"/>
              </w:rPr>
              <w:t>CR</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501" w:type="pct"/>
            <w:vMerge w:val="continue"/>
            <w:tcBorders>
              <w:tl2br w:val="nil"/>
              <w:tr2bl w:val="nil"/>
            </w:tcBorders>
            <w:vAlign w:val="center"/>
          </w:tcPr>
          <w:p>
            <w:pPr>
              <w:spacing w:line="240" w:lineRule="exact"/>
              <w:ind w:firstLine="0" w:firstLineChars="0"/>
              <w:rPr>
                <w:sz w:val="21"/>
                <w:szCs w:val="21"/>
              </w:rPr>
            </w:pPr>
          </w:p>
        </w:tc>
        <w:tc>
          <w:tcPr>
            <w:tcW w:w="617" w:type="pct"/>
            <w:vMerge w:val="continue"/>
            <w:tcBorders>
              <w:tl2br w:val="nil"/>
              <w:tr2bl w:val="nil"/>
            </w:tcBorders>
            <w:vAlign w:val="center"/>
          </w:tcPr>
          <w:p>
            <w:pPr>
              <w:spacing w:line="240" w:lineRule="exact"/>
              <w:ind w:firstLine="0" w:firstLineChars="0"/>
              <w:rPr>
                <w:sz w:val="21"/>
                <w:szCs w:val="21"/>
              </w:rPr>
            </w:pPr>
          </w:p>
        </w:tc>
        <w:tc>
          <w:tcPr>
            <w:tcW w:w="1896" w:type="pct"/>
            <w:tcBorders>
              <w:tl2br w:val="nil"/>
              <w:tr2bl w:val="nil"/>
            </w:tcBorders>
            <w:vAlign w:val="center"/>
          </w:tcPr>
          <w:p>
            <w:pPr>
              <w:spacing w:line="240" w:lineRule="exact"/>
              <w:ind w:firstLine="0" w:firstLineChars="0"/>
              <w:rPr>
                <w:sz w:val="21"/>
                <w:szCs w:val="21"/>
              </w:rPr>
            </w:pPr>
            <w:r>
              <w:rPr>
                <w:sz w:val="21"/>
                <w:szCs w:val="21"/>
              </w:rPr>
              <w:t>鳤</w:t>
            </w:r>
            <w:r>
              <w:rPr>
                <w:i/>
                <w:sz w:val="21"/>
                <w:szCs w:val="21"/>
              </w:rPr>
              <w:t>Ochetobius elongates</w:t>
            </w:r>
            <w:r>
              <w:rPr>
                <w:sz w:val="21"/>
                <w:szCs w:val="21"/>
              </w:rPr>
              <w:t xml:space="preserve"> </w:t>
            </w:r>
          </w:p>
        </w:tc>
        <w:tc>
          <w:tcPr>
            <w:tcW w:w="970" w:type="pct"/>
            <w:tcBorders>
              <w:tl2br w:val="nil"/>
              <w:tr2bl w:val="nil"/>
            </w:tcBorders>
            <w:vAlign w:val="center"/>
          </w:tcPr>
          <w:p>
            <w:pPr>
              <w:spacing w:line="240" w:lineRule="exact"/>
              <w:ind w:firstLine="0" w:firstLineChars="0"/>
              <w:jc w:val="center"/>
              <w:rPr>
                <w:sz w:val="21"/>
                <w:szCs w:val="21"/>
              </w:rPr>
            </w:pPr>
            <w:r>
              <w:rPr>
                <w:sz w:val="21"/>
                <w:szCs w:val="21"/>
              </w:rPr>
              <w:t>省重点</w:t>
            </w:r>
          </w:p>
        </w:tc>
        <w:tc>
          <w:tcPr>
            <w:tcW w:w="1013" w:type="pct"/>
            <w:tcBorders>
              <w:tl2br w:val="nil"/>
              <w:tr2bl w:val="nil"/>
            </w:tcBorders>
            <w:vAlign w:val="center"/>
          </w:tcPr>
          <w:p>
            <w:pPr>
              <w:spacing w:line="240" w:lineRule="exact"/>
              <w:ind w:firstLine="0" w:firstLineChars="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501" w:type="pct"/>
            <w:vMerge w:val="continue"/>
            <w:tcBorders>
              <w:tl2br w:val="nil"/>
              <w:tr2bl w:val="nil"/>
            </w:tcBorders>
            <w:vAlign w:val="center"/>
          </w:tcPr>
          <w:p>
            <w:pPr>
              <w:spacing w:line="240" w:lineRule="exact"/>
              <w:ind w:firstLine="0" w:firstLineChars="0"/>
              <w:rPr>
                <w:sz w:val="21"/>
                <w:szCs w:val="21"/>
              </w:rPr>
            </w:pPr>
          </w:p>
        </w:tc>
        <w:tc>
          <w:tcPr>
            <w:tcW w:w="617" w:type="pct"/>
            <w:vMerge w:val="continue"/>
            <w:tcBorders>
              <w:tl2br w:val="nil"/>
              <w:tr2bl w:val="nil"/>
            </w:tcBorders>
            <w:vAlign w:val="center"/>
          </w:tcPr>
          <w:p>
            <w:pPr>
              <w:spacing w:line="240" w:lineRule="exact"/>
              <w:ind w:firstLine="0" w:firstLineChars="0"/>
              <w:rPr>
                <w:sz w:val="21"/>
                <w:szCs w:val="21"/>
              </w:rPr>
            </w:pPr>
          </w:p>
        </w:tc>
        <w:tc>
          <w:tcPr>
            <w:tcW w:w="1896" w:type="pct"/>
            <w:tcBorders>
              <w:tl2br w:val="nil"/>
              <w:tr2bl w:val="nil"/>
            </w:tcBorders>
            <w:vAlign w:val="center"/>
          </w:tcPr>
          <w:p>
            <w:pPr>
              <w:spacing w:line="240" w:lineRule="exact"/>
              <w:ind w:firstLine="0" w:firstLineChars="0"/>
              <w:rPr>
                <w:sz w:val="21"/>
                <w:szCs w:val="21"/>
                <w:lang w:val="nb-NO"/>
              </w:rPr>
            </w:pPr>
            <w:r>
              <w:rPr>
                <w:color w:val="000000"/>
                <w:sz w:val="21"/>
                <w:szCs w:val="21"/>
              </w:rPr>
              <w:t>中华倒刺鲃</w:t>
            </w:r>
            <w:r>
              <w:rPr>
                <w:i/>
                <w:iCs/>
                <w:color w:val="000000"/>
                <w:sz w:val="21"/>
                <w:szCs w:val="21"/>
              </w:rPr>
              <w:t>Barbodes sinensis</w:t>
            </w:r>
          </w:p>
        </w:tc>
        <w:tc>
          <w:tcPr>
            <w:tcW w:w="970" w:type="pct"/>
            <w:tcBorders>
              <w:tl2br w:val="nil"/>
              <w:tr2bl w:val="nil"/>
            </w:tcBorders>
            <w:vAlign w:val="center"/>
          </w:tcPr>
          <w:p>
            <w:pPr>
              <w:spacing w:line="240" w:lineRule="exact"/>
              <w:ind w:firstLine="0" w:firstLineChars="0"/>
              <w:jc w:val="center"/>
              <w:rPr>
                <w:sz w:val="21"/>
                <w:szCs w:val="21"/>
              </w:rPr>
            </w:pPr>
            <w:r>
              <w:rPr>
                <w:sz w:val="21"/>
                <w:szCs w:val="21"/>
              </w:rPr>
              <w:t>省重点</w:t>
            </w:r>
          </w:p>
        </w:tc>
        <w:tc>
          <w:tcPr>
            <w:tcW w:w="1013" w:type="pct"/>
            <w:tcBorders>
              <w:tl2br w:val="nil"/>
              <w:tr2bl w:val="nil"/>
            </w:tcBorders>
            <w:vAlign w:val="center"/>
          </w:tcPr>
          <w:p>
            <w:pPr>
              <w:spacing w:line="240" w:lineRule="exact"/>
              <w:ind w:firstLine="0" w:firstLineChars="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501" w:type="pct"/>
            <w:vMerge w:val="continue"/>
            <w:tcBorders>
              <w:tl2br w:val="nil"/>
              <w:tr2bl w:val="nil"/>
            </w:tcBorders>
            <w:vAlign w:val="center"/>
          </w:tcPr>
          <w:p>
            <w:pPr>
              <w:spacing w:line="240" w:lineRule="exact"/>
              <w:ind w:firstLine="0" w:firstLineChars="0"/>
              <w:rPr>
                <w:sz w:val="21"/>
                <w:szCs w:val="21"/>
              </w:rPr>
            </w:pPr>
          </w:p>
        </w:tc>
        <w:tc>
          <w:tcPr>
            <w:tcW w:w="617" w:type="pct"/>
            <w:vMerge w:val="continue"/>
            <w:tcBorders>
              <w:tl2br w:val="nil"/>
              <w:tr2bl w:val="nil"/>
            </w:tcBorders>
            <w:vAlign w:val="center"/>
          </w:tcPr>
          <w:p>
            <w:pPr>
              <w:spacing w:line="240" w:lineRule="exact"/>
              <w:ind w:firstLine="0" w:firstLineChars="0"/>
              <w:rPr>
                <w:sz w:val="21"/>
                <w:szCs w:val="21"/>
              </w:rPr>
            </w:pPr>
          </w:p>
        </w:tc>
        <w:tc>
          <w:tcPr>
            <w:tcW w:w="1896" w:type="pct"/>
            <w:tcBorders>
              <w:tl2br w:val="nil"/>
              <w:tr2bl w:val="nil"/>
            </w:tcBorders>
            <w:vAlign w:val="center"/>
          </w:tcPr>
          <w:p>
            <w:pPr>
              <w:spacing w:line="240" w:lineRule="exact"/>
              <w:ind w:firstLine="0" w:firstLineChars="0"/>
              <w:rPr>
                <w:color w:val="000000"/>
                <w:sz w:val="21"/>
                <w:szCs w:val="21"/>
              </w:rPr>
            </w:pPr>
            <w:r>
              <w:rPr>
                <w:color w:val="000000"/>
                <w:sz w:val="21"/>
                <w:szCs w:val="21"/>
              </w:rPr>
              <w:t>长鳍吻鮈</w:t>
            </w:r>
            <w:r>
              <w:rPr>
                <w:i/>
                <w:iCs/>
                <w:kern w:val="0"/>
                <w:sz w:val="21"/>
                <w:szCs w:val="21"/>
              </w:rPr>
              <w:t>Rhinogobio ventralis</w:t>
            </w:r>
          </w:p>
        </w:tc>
        <w:tc>
          <w:tcPr>
            <w:tcW w:w="970" w:type="pct"/>
            <w:tcBorders>
              <w:tl2br w:val="nil"/>
              <w:tr2bl w:val="nil"/>
            </w:tcBorders>
            <w:vAlign w:val="center"/>
          </w:tcPr>
          <w:p>
            <w:pPr>
              <w:spacing w:line="240" w:lineRule="exact"/>
              <w:ind w:firstLine="0" w:firstLineChars="0"/>
              <w:jc w:val="center"/>
              <w:rPr>
                <w:sz w:val="21"/>
                <w:szCs w:val="21"/>
              </w:rPr>
            </w:pPr>
            <w:r>
              <w:rPr>
                <w:sz w:val="21"/>
                <w:szCs w:val="21"/>
              </w:rPr>
              <w:t>国家二级</w:t>
            </w:r>
          </w:p>
        </w:tc>
        <w:tc>
          <w:tcPr>
            <w:tcW w:w="1013" w:type="pct"/>
            <w:tcBorders>
              <w:tl2br w:val="nil"/>
              <w:tr2bl w:val="nil"/>
            </w:tcBorders>
            <w:vAlign w:val="center"/>
          </w:tcPr>
          <w:p>
            <w:pPr>
              <w:spacing w:line="240" w:lineRule="exact"/>
              <w:ind w:firstLine="0" w:firstLineChars="0"/>
              <w:jc w:val="center"/>
              <w:rPr>
                <w:sz w:val="21"/>
                <w:szCs w:val="21"/>
              </w:rPr>
            </w:pPr>
            <w:r>
              <w:rPr>
                <w:sz w:val="21"/>
                <w:szCs w:val="21"/>
              </w:rPr>
              <w:t>EN</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501" w:type="pct"/>
            <w:vMerge w:val="continue"/>
            <w:tcBorders>
              <w:tl2br w:val="nil"/>
              <w:tr2bl w:val="nil"/>
            </w:tcBorders>
            <w:vAlign w:val="center"/>
          </w:tcPr>
          <w:p>
            <w:pPr>
              <w:spacing w:line="240" w:lineRule="exact"/>
              <w:ind w:firstLine="0" w:firstLineChars="0"/>
              <w:rPr>
                <w:sz w:val="21"/>
                <w:szCs w:val="21"/>
              </w:rPr>
            </w:pPr>
          </w:p>
        </w:tc>
        <w:tc>
          <w:tcPr>
            <w:tcW w:w="617" w:type="pct"/>
            <w:vMerge w:val="continue"/>
            <w:tcBorders>
              <w:tl2br w:val="nil"/>
              <w:tr2bl w:val="nil"/>
            </w:tcBorders>
            <w:vAlign w:val="center"/>
          </w:tcPr>
          <w:p>
            <w:pPr>
              <w:spacing w:line="240" w:lineRule="exact"/>
              <w:ind w:firstLine="0" w:firstLineChars="0"/>
              <w:rPr>
                <w:sz w:val="21"/>
                <w:szCs w:val="21"/>
              </w:rPr>
            </w:pPr>
          </w:p>
        </w:tc>
        <w:tc>
          <w:tcPr>
            <w:tcW w:w="1896" w:type="pct"/>
            <w:tcBorders>
              <w:tl2br w:val="nil"/>
              <w:tr2bl w:val="nil"/>
            </w:tcBorders>
            <w:vAlign w:val="center"/>
          </w:tcPr>
          <w:p>
            <w:pPr>
              <w:spacing w:line="240" w:lineRule="exact"/>
              <w:ind w:firstLine="0" w:firstLineChars="0"/>
              <w:rPr>
                <w:color w:val="000000"/>
                <w:sz w:val="21"/>
                <w:szCs w:val="21"/>
              </w:rPr>
            </w:pPr>
            <w:r>
              <w:rPr>
                <w:color w:val="000000"/>
                <w:sz w:val="21"/>
                <w:szCs w:val="21"/>
              </w:rPr>
              <w:t>圆口铜鱼</w:t>
            </w:r>
            <w:r>
              <w:rPr>
                <w:i/>
                <w:iCs/>
                <w:kern w:val="0"/>
                <w:sz w:val="21"/>
                <w:szCs w:val="21"/>
              </w:rPr>
              <w:t>Coreius guichenoti</w:t>
            </w:r>
          </w:p>
        </w:tc>
        <w:tc>
          <w:tcPr>
            <w:tcW w:w="970" w:type="pct"/>
            <w:tcBorders>
              <w:tl2br w:val="nil"/>
              <w:tr2bl w:val="nil"/>
            </w:tcBorders>
            <w:vAlign w:val="center"/>
          </w:tcPr>
          <w:p>
            <w:pPr>
              <w:spacing w:line="240" w:lineRule="exact"/>
              <w:ind w:firstLine="0" w:firstLineChars="0"/>
              <w:jc w:val="center"/>
              <w:rPr>
                <w:sz w:val="21"/>
                <w:szCs w:val="21"/>
              </w:rPr>
            </w:pPr>
            <w:r>
              <w:rPr>
                <w:sz w:val="21"/>
                <w:szCs w:val="21"/>
              </w:rPr>
              <w:t>国家</w:t>
            </w:r>
            <w:r>
              <w:rPr>
                <w:rFonts w:hint="eastAsia"/>
                <w:sz w:val="21"/>
                <w:szCs w:val="21"/>
              </w:rPr>
              <w:t>二</w:t>
            </w:r>
            <w:r>
              <w:rPr>
                <w:sz w:val="21"/>
                <w:szCs w:val="21"/>
              </w:rPr>
              <w:t>级</w:t>
            </w:r>
          </w:p>
        </w:tc>
        <w:tc>
          <w:tcPr>
            <w:tcW w:w="1013" w:type="pct"/>
            <w:tcBorders>
              <w:tl2br w:val="nil"/>
              <w:tr2bl w:val="nil"/>
            </w:tcBorders>
            <w:vAlign w:val="center"/>
          </w:tcPr>
          <w:p>
            <w:pPr>
              <w:spacing w:line="240" w:lineRule="exact"/>
              <w:ind w:firstLine="0" w:firstLineChars="0"/>
              <w:jc w:val="center"/>
              <w:rPr>
                <w:sz w:val="21"/>
                <w:szCs w:val="21"/>
              </w:rPr>
            </w:pPr>
            <w:r>
              <w:rPr>
                <w:sz w:val="21"/>
                <w:szCs w:val="21"/>
              </w:rPr>
              <w:t>CR</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501" w:type="pct"/>
            <w:vMerge w:val="continue"/>
            <w:tcBorders>
              <w:tl2br w:val="nil"/>
              <w:tr2bl w:val="nil"/>
            </w:tcBorders>
            <w:vAlign w:val="center"/>
          </w:tcPr>
          <w:p>
            <w:pPr>
              <w:spacing w:line="240" w:lineRule="exact"/>
              <w:ind w:firstLine="0" w:firstLineChars="0"/>
              <w:rPr>
                <w:sz w:val="21"/>
                <w:szCs w:val="21"/>
              </w:rPr>
            </w:pPr>
          </w:p>
        </w:tc>
        <w:tc>
          <w:tcPr>
            <w:tcW w:w="617" w:type="pct"/>
            <w:vMerge w:val="continue"/>
            <w:tcBorders>
              <w:tl2br w:val="nil"/>
              <w:tr2bl w:val="nil"/>
            </w:tcBorders>
            <w:vAlign w:val="center"/>
          </w:tcPr>
          <w:p>
            <w:pPr>
              <w:spacing w:line="240" w:lineRule="exact"/>
              <w:ind w:firstLine="0" w:firstLineChars="0"/>
              <w:rPr>
                <w:sz w:val="21"/>
                <w:szCs w:val="21"/>
              </w:rPr>
            </w:pPr>
          </w:p>
        </w:tc>
        <w:tc>
          <w:tcPr>
            <w:tcW w:w="1896" w:type="pct"/>
            <w:tcBorders>
              <w:tl2br w:val="nil"/>
              <w:tr2bl w:val="nil"/>
            </w:tcBorders>
            <w:vAlign w:val="center"/>
          </w:tcPr>
          <w:p>
            <w:pPr>
              <w:spacing w:line="240" w:lineRule="exact"/>
              <w:ind w:firstLine="0" w:firstLineChars="0"/>
              <w:jc w:val="left"/>
              <w:rPr>
                <w:color w:val="000000"/>
                <w:sz w:val="21"/>
                <w:szCs w:val="21"/>
              </w:rPr>
            </w:pPr>
            <w:r>
              <w:rPr>
                <w:color w:val="000000"/>
                <w:sz w:val="21"/>
                <w:szCs w:val="21"/>
              </w:rPr>
              <w:t>多鳞白甲鱼</w:t>
            </w:r>
            <w:r>
              <w:rPr>
                <w:i/>
                <w:iCs/>
                <w:kern w:val="0"/>
                <w:sz w:val="21"/>
                <w:szCs w:val="21"/>
              </w:rPr>
              <w:t>Onychostoma macrolepis</w:t>
            </w:r>
          </w:p>
        </w:tc>
        <w:tc>
          <w:tcPr>
            <w:tcW w:w="970" w:type="pct"/>
            <w:tcBorders>
              <w:tl2br w:val="nil"/>
              <w:tr2bl w:val="nil"/>
            </w:tcBorders>
            <w:vAlign w:val="center"/>
          </w:tcPr>
          <w:p>
            <w:pPr>
              <w:spacing w:line="240" w:lineRule="exact"/>
              <w:ind w:firstLine="0" w:firstLineChars="0"/>
              <w:jc w:val="center"/>
              <w:rPr>
                <w:sz w:val="21"/>
                <w:szCs w:val="21"/>
              </w:rPr>
            </w:pPr>
            <w:r>
              <w:rPr>
                <w:sz w:val="21"/>
                <w:szCs w:val="21"/>
              </w:rPr>
              <w:t>国家二级</w:t>
            </w:r>
          </w:p>
        </w:tc>
        <w:tc>
          <w:tcPr>
            <w:tcW w:w="1013" w:type="pct"/>
            <w:tcBorders>
              <w:tl2br w:val="nil"/>
              <w:tr2bl w:val="nil"/>
            </w:tcBorders>
            <w:vAlign w:val="center"/>
          </w:tcPr>
          <w:p>
            <w:pPr>
              <w:spacing w:line="240" w:lineRule="exact"/>
              <w:ind w:firstLine="0" w:firstLineChars="0"/>
              <w:jc w:val="center"/>
              <w:rPr>
                <w:sz w:val="21"/>
                <w:szCs w:val="21"/>
              </w:rPr>
            </w:pPr>
            <w:r>
              <w:rPr>
                <w:sz w:val="21"/>
                <w:szCs w:val="21"/>
              </w:rPr>
              <w:t>VU</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01" w:type="pct"/>
            <w:vMerge w:val="continue"/>
            <w:tcBorders>
              <w:tl2br w:val="nil"/>
              <w:tr2bl w:val="nil"/>
            </w:tcBorders>
            <w:vAlign w:val="center"/>
          </w:tcPr>
          <w:p>
            <w:pPr>
              <w:spacing w:line="240" w:lineRule="exact"/>
              <w:ind w:firstLine="0" w:firstLineChars="0"/>
              <w:rPr>
                <w:sz w:val="21"/>
                <w:szCs w:val="21"/>
              </w:rPr>
            </w:pPr>
          </w:p>
        </w:tc>
        <w:tc>
          <w:tcPr>
            <w:tcW w:w="617" w:type="pct"/>
            <w:vMerge w:val="continue"/>
            <w:tcBorders>
              <w:tl2br w:val="nil"/>
              <w:tr2bl w:val="nil"/>
            </w:tcBorders>
            <w:vAlign w:val="center"/>
          </w:tcPr>
          <w:p>
            <w:pPr>
              <w:spacing w:line="240" w:lineRule="exact"/>
              <w:ind w:firstLine="0" w:firstLineChars="0"/>
              <w:rPr>
                <w:sz w:val="21"/>
                <w:szCs w:val="21"/>
              </w:rPr>
            </w:pPr>
          </w:p>
        </w:tc>
        <w:tc>
          <w:tcPr>
            <w:tcW w:w="1896" w:type="pct"/>
            <w:tcBorders>
              <w:tl2br w:val="nil"/>
              <w:tr2bl w:val="nil"/>
            </w:tcBorders>
            <w:vAlign w:val="center"/>
          </w:tcPr>
          <w:p>
            <w:pPr>
              <w:spacing w:line="240" w:lineRule="exact"/>
              <w:ind w:firstLine="0" w:firstLineChars="0"/>
              <w:rPr>
                <w:sz w:val="21"/>
                <w:szCs w:val="21"/>
              </w:rPr>
            </w:pPr>
            <w:r>
              <w:rPr>
                <w:color w:val="000000"/>
                <w:sz w:val="21"/>
                <w:szCs w:val="21"/>
              </w:rPr>
              <w:t>白甲鱼</w:t>
            </w:r>
            <w:r>
              <w:rPr>
                <w:i/>
                <w:iCs/>
                <w:color w:val="000000"/>
                <w:sz w:val="21"/>
                <w:szCs w:val="21"/>
              </w:rPr>
              <w:t>Onychostoma sima</w:t>
            </w:r>
          </w:p>
        </w:tc>
        <w:tc>
          <w:tcPr>
            <w:tcW w:w="970" w:type="pct"/>
            <w:tcBorders>
              <w:tl2br w:val="nil"/>
              <w:tr2bl w:val="nil"/>
            </w:tcBorders>
            <w:vAlign w:val="center"/>
          </w:tcPr>
          <w:p>
            <w:pPr>
              <w:spacing w:line="240" w:lineRule="exact"/>
              <w:ind w:firstLine="0" w:firstLineChars="0"/>
              <w:jc w:val="center"/>
              <w:rPr>
                <w:sz w:val="21"/>
                <w:szCs w:val="21"/>
              </w:rPr>
            </w:pPr>
            <w:r>
              <w:rPr>
                <w:sz w:val="21"/>
                <w:szCs w:val="21"/>
              </w:rPr>
              <w:t>省重点</w:t>
            </w:r>
          </w:p>
        </w:tc>
        <w:tc>
          <w:tcPr>
            <w:tcW w:w="1013" w:type="pct"/>
            <w:tcBorders>
              <w:tl2br w:val="nil"/>
              <w:tr2bl w:val="nil"/>
            </w:tcBorders>
            <w:vAlign w:val="center"/>
          </w:tcPr>
          <w:p>
            <w:pPr>
              <w:spacing w:line="240" w:lineRule="exact"/>
              <w:ind w:firstLine="0" w:firstLineChars="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501" w:type="pct"/>
            <w:vMerge w:val="continue"/>
            <w:tcBorders>
              <w:tl2br w:val="nil"/>
              <w:tr2bl w:val="nil"/>
            </w:tcBorders>
            <w:vAlign w:val="center"/>
          </w:tcPr>
          <w:p>
            <w:pPr>
              <w:spacing w:line="240" w:lineRule="exact"/>
              <w:ind w:firstLine="0" w:firstLineChars="0"/>
              <w:rPr>
                <w:sz w:val="21"/>
                <w:szCs w:val="21"/>
              </w:rPr>
            </w:pPr>
          </w:p>
        </w:tc>
        <w:tc>
          <w:tcPr>
            <w:tcW w:w="617" w:type="pct"/>
            <w:vMerge w:val="continue"/>
            <w:tcBorders>
              <w:tl2br w:val="nil"/>
              <w:tr2bl w:val="nil"/>
            </w:tcBorders>
            <w:vAlign w:val="center"/>
          </w:tcPr>
          <w:p>
            <w:pPr>
              <w:spacing w:line="240" w:lineRule="exact"/>
              <w:ind w:firstLine="0" w:firstLineChars="0"/>
              <w:rPr>
                <w:sz w:val="21"/>
                <w:szCs w:val="21"/>
              </w:rPr>
            </w:pPr>
          </w:p>
        </w:tc>
        <w:tc>
          <w:tcPr>
            <w:tcW w:w="1896" w:type="pct"/>
            <w:tcBorders>
              <w:tl2br w:val="nil"/>
              <w:tr2bl w:val="nil"/>
            </w:tcBorders>
            <w:vAlign w:val="center"/>
          </w:tcPr>
          <w:p>
            <w:pPr>
              <w:spacing w:line="240" w:lineRule="auto"/>
              <w:ind w:firstLine="0" w:firstLineChars="0"/>
              <w:rPr>
                <w:sz w:val="21"/>
                <w:szCs w:val="21"/>
              </w:rPr>
            </w:pPr>
            <w:r>
              <w:rPr>
                <w:color w:val="000000"/>
                <w:sz w:val="21"/>
                <w:szCs w:val="21"/>
              </w:rPr>
              <w:t>瓣结鱼</w:t>
            </w:r>
            <w:r>
              <w:rPr>
                <w:i/>
                <w:iCs/>
                <w:color w:val="000000"/>
                <w:sz w:val="21"/>
                <w:szCs w:val="21"/>
              </w:rPr>
              <w:t>Tor brevifilis</w:t>
            </w:r>
          </w:p>
        </w:tc>
        <w:tc>
          <w:tcPr>
            <w:tcW w:w="970" w:type="pct"/>
            <w:tcBorders>
              <w:tl2br w:val="nil"/>
              <w:tr2bl w:val="nil"/>
            </w:tcBorders>
            <w:vAlign w:val="center"/>
          </w:tcPr>
          <w:p>
            <w:pPr>
              <w:spacing w:line="240" w:lineRule="exact"/>
              <w:ind w:firstLine="0" w:firstLineChars="0"/>
              <w:jc w:val="center"/>
              <w:rPr>
                <w:sz w:val="21"/>
                <w:szCs w:val="21"/>
              </w:rPr>
            </w:pPr>
            <w:r>
              <w:rPr>
                <w:sz w:val="21"/>
                <w:szCs w:val="21"/>
              </w:rPr>
              <w:t>省重点</w:t>
            </w:r>
          </w:p>
        </w:tc>
        <w:tc>
          <w:tcPr>
            <w:tcW w:w="1013" w:type="pct"/>
            <w:tcBorders>
              <w:tl2br w:val="nil"/>
              <w:tr2bl w:val="nil"/>
            </w:tcBorders>
            <w:vAlign w:val="center"/>
          </w:tcPr>
          <w:p>
            <w:pPr>
              <w:spacing w:line="240" w:lineRule="exact"/>
              <w:ind w:firstLine="0" w:firstLineChars="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501" w:type="pct"/>
            <w:vMerge w:val="continue"/>
            <w:tcBorders>
              <w:tl2br w:val="nil"/>
              <w:tr2bl w:val="nil"/>
            </w:tcBorders>
            <w:vAlign w:val="center"/>
          </w:tcPr>
          <w:p>
            <w:pPr>
              <w:spacing w:line="240" w:lineRule="exact"/>
              <w:ind w:firstLine="0" w:firstLineChars="0"/>
              <w:rPr>
                <w:sz w:val="21"/>
                <w:szCs w:val="21"/>
              </w:rPr>
            </w:pPr>
          </w:p>
        </w:tc>
        <w:tc>
          <w:tcPr>
            <w:tcW w:w="617" w:type="pct"/>
            <w:vMerge w:val="continue"/>
            <w:tcBorders>
              <w:tl2br w:val="nil"/>
              <w:tr2bl w:val="nil"/>
            </w:tcBorders>
            <w:vAlign w:val="center"/>
          </w:tcPr>
          <w:p>
            <w:pPr>
              <w:spacing w:line="240" w:lineRule="exact"/>
              <w:ind w:firstLine="0" w:firstLineChars="0"/>
              <w:rPr>
                <w:sz w:val="21"/>
                <w:szCs w:val="21"/>
              </w:rPr>
            </w:pPr>
          </w:p>
        </w:tc>
        <w:tc>
          <w:tcPr>
            <w:tcW w:w="1896" w:type="pct"/>
            <w:tcBorders>
              <w:tl2br w:val="nil"/>
              <w:tr2bl w:val="nil"/>
            </w:tcBorders>
            <w:vAlign w:val="center"/>
          </w:tcPr>
          <w:p>
            <w:pPr>
              <w:spacing w:line="240" w:lineRule="exact"/>
              <w:ind w:firstLine="0" w:firstLineChars="0"/>
              <w:rPr>
                <w:sz w:val="21"/>
                <w:szCs w:val="21"/>
              </w:rPr>
            </w:pPr>
            <w:r>
              <w:rPr>
                <w:sz w:val="21"/>
                <w:szCs w:val="21"/>
              </w:rPr>
              <w:t>岩原鲤</w:t>
            </w:r>
            <w:r>
              <w:rPr>
                <w:i/>
                <w:sz w:val="21"/>
                <w:szCs w:val="21"/>
              </w:rPr>
              <w:t xml:space="preserve">Procypris rabaudi </w:t>
            </w:r>
          </w:p>
        </w:tc>
        <w:tc>
          <w:tcPr>
            <w:tcW w:w="970" w:type="pct"/>
            <w:tcBorders>
              <w:tl2br w:val="nil"/>
              <w:tr2bl w:val="nil"/>
            </w:tcBorders>
            <w:vAlign w:val="center"/>
          </w:tcPr>
          <w:p>
            <w:pPr>
              <w:spacing w:line="240" w:lineRule="exact"/>
              <w:ind w:firstLine="0" w:firstLineChars="0"/>
              <w:jc w:val="center"/>
              <w:rPr>
                <w:sz w:val="21"/>
                <w:szCs w:val="21"/>
              </w:rPr>
            </w:pPr>
            <w:r>
              <w:rPr>
                <w:sz w:val="21"/>
                <w:szCs w:val="21"/>
              </w:rPr>
              <w:t>国家二级</w:t>
            </w:r>
          </w:p>
          <w:p>
            <w:pPr>
              <w:spacing w:line="240" w:lineRule="exact"/>
              <w:ind w:firstLine="0" w:firstLineChars="0"/>
              <w:jc w:val="center"/>
              <w:rPr>
                <w:sz w:val="21"/>
                <w:szCs w:val="21"/>
              </w:rPr>
            </w:pPr>
            <w:r>
              <w:rPr>
                <w:sz w:val="21"/>
                <w:szCs w:val="21"/>
              </w:rPr>
              <w:t>省重点</w:t>
            </w:r>
          </w:p>
        </w:tc>
        <w:tc>
          <w:tcPr>
            <w:tcW w:w="1013" w:type="pct"/>
            <w:tcBorders>
              <w:tl2br w:val="nil"/>
              <w:tr2bl w:val="nil"/>
            </w:tcBorders>
            <w:vAlign w:val="center"/>
          </w:tcPr>
          <w:p>
            <w:pPr>
              <w:spacing w:line="240" w:lineRule="exact"/>
              <w:ind w:firstLine="0" w:firstLineChars="0"/>
              <w:jc w:val="center"/>
              <w:rPr>
                <w:sz w:val="21"/>
                <w:szCs w:val="21"/>
              </w:rPr>
            </w:pPr>
            <w:r>
              <w:rPr>
                <w:sz w:val="21"/>
                <w:szCs w:val="21"/>
              </w:rPr>
              <w:t>VU</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501" w:type="pct"/>
            <w:vMerge w:val="restart"/>
            <w:tcBorders>
              <w:tl2br w:val="nil"/>
              <w:tr2bl w:val="nil"/>
            </w:tcBorders>
            <w:vAlign w:val="center"/>
          </w:tcPr>
          <w:p>
            <w:pPr>
              <w:spacing w:line="240" w:lineRule="exact"/>
              <w:ind w:firstLine="0" w:firstLineChars="0"/>
              <w:rPr>
                <w:sz w:val="21"/>
                <w:szCs w:val="21"/>
              </w:rPr>
            </w:pPr>
            <w:r>
              <w:rPr>
                <w:sz w:val="21"/>
                <w:szCs w:val="21"/>
              </w:rPr>
              <w:t>鲇形目</w:t>
            </w:r>
          </w:p>
        </w:tc>
        <w:tc>
          <w:tcPr>
            <w:tcW w:w="617" w:type="pct"/>
            <w:tcBorders>
              <w:tl2br w:val="nil"/>
              <w:tr2bl w:val="nil"/>
            </w:tcBorders>
            <w:vAlign w:val="center"/>
          </w:tcPr>
          <w:p>
            <w:pPr>
              <w:spacing w:line="240" w:lineRule="exact"/>
              <w:ind w:firstLine="0" w:firstLineChars="0"/>
              <w:rPr>
                <w:sz w:val="21"/>
                <w:szCs w:val="21"/>
              </w:rPr>
            </w:pPr>
            <w:r>
              <w:rPr>
                <w:sz w:val="21"/>
                <w:szCs w:val="21"/>
              </w:rPr>
              <w:t>胡子鲇科</w:t>
            </w:r>
          </w:p>
        </w:tc>
        <w:tc>
          <w:tcPr>
            <w:tcW w:w="1896" w:type="pct"/>
            <w:tcBorders>
              <w:tl2br w:val="nil"/>
              <w:tr2bl w:val="nil"/>
            </w:tcBorders>
            <w:vAlign w:val="center"/>
          </w:tcPr>
          <w:p>
            <w:pPr>
              <w:spacing w:line="240" w:lineRule="exact"/>
              <w:ind w:firstLine="0" w:firstLineChars="0"/>
              <w:rPr>
                <w:sz w:val="21"/>
                <w:szCs w:val="21"/>
              </w:rPr>
            </w:pPr>
            <w:r>
              <w:rPr>
                <w:sz w:val="21"/>
                <w:szCs w:val="21"/>
              </w:rPr>
              <w:t>胡子鲇</w:t>
            </w:r>
            <w:r>
              <w:rPr>
                <w:i/>
                <w:iCs/>
                <w:sz w:val="21"/>
                <w:szCs w:val="21"/>
              </w:rPr>
              <w:t>Clarias fuscus</w:t>
            </w:r>
          </w:p>
        </w:tc>
        <w:tc>
          <w:tcPr>
            <w:tcW w:w="970" w:type="pct"/>
            <w:tcBorders>
              <w:tl2br w:val="nil"/>
              <w:tr2bl w:val="nil"/>
            </w:tcBorders>
            <w:vAlign w:val="center"/>
          </w:tcPr>
          <w:p>
            <w:pPr>
              <w:spacing w:line="240" w:lineRule="exact"/>
              <w:ind w:firstLine="0" w:firstLineChars="0"/>
              <w:jc w:val="center"/>
              <w:rPr>
                <w:sz w:val="21"/>
                <w:szCs w:val="21"/>
              </w:rPr>
            </w:pPr>
            <w:r>
              <w:rPr>
                <w:sz w:val="21"/>
                <w:szCs w:val="21"/>
              </w:rPr>
              <w:t>省重点</w:t>
            </w:r>
          </w:p>
        </w:tc>
        <w:tc>
          <w:tcPr>
            <w:tcW w:w="1013" w:type="pct"/>
            <w:tcBorders>
              <w:tl2br w:val="nil"/>
              <w:tr2bl w:val="nil"/>
            </w:tcBorders>
            <w:vAlign w:val="center"/>
          </w:tcPr>
          <w:p>
            <w:pPr>
              <w:spacing w:line="240" w:lineRule="exact"/>
              <w:ind w:firstLine="0" w:firstLineChars="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501" w:type="pct"/>
            <w:vMerge w:val="continue"/>
            <w:tcBorders>
              <w:tl2br w:val="nil"/>
              <w:tr2bl w:val="nil"/>
            </w:tcBorders>
            <w:vAlign w:val="center"/>
          </w:tcPr>
          <w:p>
            <w:pPr>
              <w:spacing w:line="240" w:lineRule="exact"/>
              <w:ind w:firstLine="0" w:firstLineChars="0"/>
              <w:rPr>
                <w:sz w:val="21"/>
                <w:szCs w:val="21"/>
              </w:rPr>
            </w:pPr>
          </w:p>
        </w:tc>
        <w:tc>
          <w:tcPr>
            <w:tcW w:w="617" w:type="pct"/>
            <w:tcBorders>
              <w:tl2br w:val="nil"/>
              <w:tr2bl w:val="nil"/>
            </w:tcBorders>
            <w:vAlign w:val="center"/>
          </w:tcPr>
          <w:p>
            <w:pPr>
              <w:spacing w:line="240" w:lineRule="exact"/>
              <w:ind w:firstLine="0" w:firstLineChars="0"/>
              <w:rPr>
                <w:sz w:val="21"/>
                <w:szCs w:val="21"/>
              </w:rPr>
            </w:pPr>
            <w:r>
              <w:rPr>
                <w:sz w:val="21"/>
                <w:szCs w:val="21"/>
              </w:rPr>
              <w:t>钝头鮠科</w:t>
            </w:r>
          </w:p>
        </w:tc>
        <w:tc>
          <w:tcPr>
            <w:tcW w:w="1896" w:type="pct"/>
            <w:tcBorders>
              <w:tl2br w:val="nil"/>
              <w:tr2bl w:val="nil"/>
            </w:tcBorders>
            <w:vAlign w:val="center"/>
          </w:tcPr>
          <w:p>
            <w:pPr>
              <w:spacing w:line="240" w:lineRule="exact"/>
              <w:ind w:firstLine="0" w:firstLineChars="0"/>
              <w:rPr>
                <w:sz w:val="21"/>
                <w:szCs w:val="21"/>
              </w:rPr>
            </w:pPr>
            <w:r>
              <w:rPr>
                <w:kern w:val="0"/>
                <w:sz w:val="21"/>
                <w:szCs w:val="21"/>
              </w:rPr>
              <w:t>白缘鱼央</w:t>
            </w:r>
            <w:r>
              <w:rPr>
                <w:i/>
                <w:color w:val="000000"/>
                <w:kern w:val="0"/>
                <w:sz w:val="21"/>
                <w:szCs w:val="21"/>
              </w:rPr>
              <w:t>Liobagrus</w:t>
            </w:r>
            <w:r>
              <w:rPr>
                <w:kern w:val="0"/>
                <w:sz w:val="21"/>
                <w:szCs w:val="21"/>
              </w:rPr>
              <w:t xml:space="preserve"> </w:t>
            </w:r>
            <w:r>
              <w:rPr>
                <w:i/>
                <w:color w:val="000000"/>
                <w:kern w:val="0"/>
                <w:sz w:val="21"/>
                <w:szCs w:val="21"/>
              </w:rPr>
              <w:t>marginatus</w:t>
            </w:r>
          </w:p>
        </w:tc>
        <w:tc>
          <w:tcPr>
            <w:tcW w:w="970" w:type="pct"/>
            <w:tcBorders>
              <w:tl2br w:val="nil"/>
              <w:tr2bl w:val="nil"/>
            </w:tcBorders>
            <w:vAlign w:val="center"/>
          </w:tcPr>
          <w:p>
            <w:pPr>
              <w:spacing w:line="240" w:lineRule="exact"/>
              <w:ind w:firstLine="0" w:firstLineChars="0"/>
              <w:jc w:val="center"/>
              <w:rPr>
                <w:sz w:val="21"/>
                <w:szCs w:val="21"/>
              </w:rPr>
            </w:pPr>
          </w:p>
        </w:tc>
        <w:tc>
          <w:tcPr>
            <w:tcW w:w="1013" w:type="pct"/>
            <w:tcBorders>
              <w:tl2br w:val="nil"/>
              <w:tr2bl w:val="nil"/>
            </w:tcBorders>
            <w:vAlign w:val="center"/>
          </w:tcPr>
          <w:p>
            <w:pPr>
              <w:spacing w:line="240" w:lineRule="exact"/>
              <w:ind w:firstLine="0" w:firstLineChars="0"/>
              <w:jc w:val="center"/>
              <w:rPr>
                <w:sz w:val="21"/>
                <w:szCs w:val="21"/>
              </w:rPr>
            </w:pPr>
            <w:r>
              <w:rPr>
                <w:sz w:val="21"/>
                <w:szCs w:val="21"/>
              </w:rPr>
              <w:t>VU</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501" w:type="pct"/>
            <w:tcBorders>
              <w:tl2br w:val="nil"/>
              <w:tr2bl w:val="nil"/>
            </w:tcBorders>
            <w:vAlign w:val="center"/>
          </w:tcPr>
          <w:p>
            <w:pPr>
              <w:spacing w:line="240" w:lineRule="exact"/>
              <w:ind w:firstLine="0" w:firstLineChars="0"/>
              <w:rPr>
                <w:sz w:val="21"/>
                <w:szCs w:val="21"/>
              </w:rPr>
            </w:pPr>
            <w:r>
              <w:rPr>
                <w:sz w:val="21"/>
                <w:szCs w:val="21"/>
              </w:rPr>
              <w:t>鲈形目</w:t>
            </w:r>
          </w:p>
        </w:tc>
        <w:tc>
          <w:tcPr>
            <w:tcW w:w="617" w:type="pct"/>
            <w:tcBorders>
              <w:tl2br w:val="nil"/>
              <w:tr2bl w:val="nil"/>
            </w:tcBorders>
            <w:vAlign w:val="center"/>
          </w:tcPr>
          <w:p>
            <w:pPr>
              <w:spacing w:line="240" w:lineRule="exact"/>
              <w:ind w:firstLine="0" w:firstLineChars="0"/>
              <w:rPr>
                <w:sz w:val="21"/>
                <w:szCs w:val="21"/>
              </w:rPr>
            </w:pPr>
            <w:r>
              <w:rPr>
                <w:sz w:val="21"/>
                <w:szCs w:val="21"/>
              </w:rPr>
              <w:t>鳢科</w:t>
            </w:r>
          </w:p>
        </w:tc>
        <w:tc>
          <w:tcPr>
            <w:tcW w:w="1896" w:type="pct"/>
            <w:tcBorders>
              <w:tl2br w:val="nil"/>
              <w:tr2bl w:val="nil"/>
            </w:tcBorders>
            <w:vAlign w:val="center"/>
          </w:tcPr>
          <w:p>
            <w:pPr>
              <w:spacing w:line="240" w:lineRule="exact"/>
              <w:ind w:firstLine="0" w:firstLineChars="0"/>
              <w:rPr>
                <w:sz w:val="21"/>
                <w:szCs w:val="21"/>
              </w:rPr>
            </w:pPr>
            <w:r>
              <w:rPr>
                <w:sz w:val="21"/>
                <w:szCs w:val="21"/>
              </w:rPr>
              <w:t>月鳢</w:t>
            </w:r>
            <w:r>
              <w:rPr>
                <w:i/>
                <w:iCs/>
                <w:sz w:val="21"/>
                <w:szCs w:val="21"/>
              </w:rPr>
              <w:t>Channa asiatica</w:t>
            </w:r>
          </w:p>
        </w:tc>
        <w:tc>
          <w:tcPr>
            <w:tcW w:w="970" w:type="pct"/>
            <w:tcBorders>
              <w:tl2br w:val="nil"/>
              <w:tr2bl w:val="nil"/>
            </w:tcBorders>
            <w:vAlign w:val="center"/>
          </w:tcPr>
          <w:p>
            <w:pPr>
              <w:spacing w:line="240" w:lineRule="exact"/>
              <w:ind w:firstLine="0" w:firstLineChars="0"/>
              <w:jc w:val="center"/>
              <w:rPr>
                <w:sz w:val="21"/>
                <w:szCs w:val="21"/>
              </w:rPr>
            </w:pPr>
            <w:r>
              <w:rPr>
                <w:sz w:val="21"/>
                <w:szCs w:val="21"/>
              </w:rPr>
              <w:t>省重点</w:t>
            </w:r>
          </w:p>
        </w:tc>
        <w:tc>
          <w:tcPr>
            <w:tcW w:w="1013" w:type="pct"/>
            <w:tcBorders>
              <w:tl2br w:val="nil"/>
              <w:tr2bl w:val="nil"/>
            </w:tcBorders>
            <w:vAlign w:val="center"/>
          </w:tcPr>
          <w:p>
            <w:pPr>
              <w:spacing w:line="240" w:lineRule="exact"/>
              <w:ind w:firstLine="0" w:firstLineChars="0"/>
              <w:jc w:val="center"/>
              <w:rPr>
                <w:sz w:val="21"/>
                <w:szCs w:val="21"/>
              </w:rPr>
            </w:pPr>
          </w:p>
        </w:tc>
      </w:tr>
    </w:tbl>
    <w:p>
      <w:pPr>
        <w:ind w:firstLine="0" w:firstLineChars="0"/>
        <w:rPr>
          <w:rFonts w:eastAsiaTheme="minorEastAsia"/>
          <w:b/>
          <w:bCs/>
          <w:kern w:val="0"/>
          <w:sz w:val="21"/>
          <w:szCs w:val="21"/>
        </w:rPr>
      </w:pPr>
      <w:r>
        <w:rPr>
          <w:rFonts w:eastAsiaTheme="minorEastAsia"/>
          <w:b/>
          <w:bCs/>
          <w:kern w:val="0"/>
          <w:sz w:val="21"/>
          <w:szCs w:val="21"/>
        </w:rPr>
        <w:t>注释：“VU”表示极危，“EN”表示濒危，“CR”表示易危。</w:t>
      </w:r>
    </w:p>
    <w:p>
      <w:pPr>
        <w:ind w:firstLine="482"/>
        <w:rPr>
          <w:b/>
          <w:bCs/>
          <w:szCs w:val="20"/>
        </w:rPr>
      </w:pPr>
      <w:r>
        <w:rPr>
          <w:rFonts w:hint="eastAsia"/>
          <w:b/>
          <w:bCs/>
          <w:szCs w:val="20"/>
        </w:rPr>
        <w:t>七、渔获物组成</w:t>
      </w:r>
    </w:p>
    <w:p>
      <w:pPr>
        <w:ind w:firstLine="480"/>
        <w:rPr>
          <w:kern w:val="0"/>
        </w:rPr>
      </w:pPr>
      <w:r>
        <w:t>2020年11月，在办理了捕捞许可后，调查人员在工程区</w:t>
      </w:r>
      <w:r>
        <w:rPr>
          <w:rFonts w:hint="eastAsia"/>
        </w:rPr>
        <w:t>附近</w:t>
      </w:r>
      <w:r>
        <w:t>的长江洞庭湖、城陵矶-陆城镇江段进行了鱼类资源调查，通过雇佣当地渔民采用双层流刺网和地笼相结合的方法进行调查，共采集到鱼类20种，渔获物以大鳍鱊、鲫、鲢、鲂等为主</w:t>
      </w:r>
      <w:r>
        <w:rPr>
          <w:kern w:val="0"/>
        </w:rPr>
        <w:t>。</w:t>
      </w:r>
    </w:p>
    <w:p>
      <w:pPr>
        <w:pStyle w:val="3583"/>
        <w:spacing w:line="240" w:lineRule="auto"/>
        <w:ind w:left="0"/>
        <w:rPr>
          <w:bCs/>
          <w:szCs w:val="21"/>
        </w:rPr>
      </w:pPr>
      <w:r>
        <w:rPr>
          <w:bCs/>
          <w:szCs w:val="21"/>
        </w:rPr>
        <w:t>2020年</w:t>
      </w:r>
      <w:r>
        <w:t>11</w:t>
      </w:r>
      <w:r>
        <w:rPr>
          <w:bCs/>
          <w:szCs w:val="21"/>
        </w:rPr>
        <w:t>月现场渔获物调查表</w:t>
      </w:r>
    </w:p>
    <w:tbl>
      <w:tblPr>
        <w:tblStyle w:val="87"/>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63"/>
        <w:gridCol w:w="1689"/>
        <w:gridCol w:w="1582"/>
        <w:gridCol w:w="1582"/>
        <w:gridCol w:w="1582"/>
        <w:gridCol w:w="15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24" w:hRule="atLeast"/>
          <w:jc w:val="center"/>
        </w:trPr>
        <w:tc>
          <w:tcPr>
            <w:tcW w:w="681" w:type="pct"/>
            <w:tcBorders>
              <w:bottom w:val="single" w:color="auto" w:sz="12" w:space="0"/>
            </w:tcBorders>
            <w:noWrap/>
            <w:vAlign w:val="center"/>
          </w:tcPr>
          <w:p>
            <w:pPr>
              <w:widowControl/>
              <w:spacing w:line="240" w:lineRule="auto"/>
              <w:ind w:firstLine="0" w:firstLineChars="0"/>
              <w:jc w:val="center"/>
              <w:rPr>
                <w:b/>
                <w:bCs/>
                <w:color w:val="000000"/>
                <w:kern w:val="0"/>
                <w:sz w:val="21"/>
                <w:szCs w:val="21"/>
              </w:rPr>
            </w:pPr>
            <w:r>
              <w:rPr>
                <w:b/>
                <w:bCs/>
                <w:color w:val="000000"/>
                <w:kern w:val="0"/>
                <w:sz w:val="21"/>
                <w:szCs w:val="21"/>
              </w:rPr>
              <w:t>序号</w:t>
            </w:r>
          </w:p>
        </w:tc>
        <w:tc>
          <w:tcPr>
            <w:tcW w:w="909" w:type="pct"/>
            <w:tcBorders>
              <w:bottom w:val="single" w:color="auto" w:sz="12" w:space="0"/>
            </w:tcBorders>
            <w:noWrap/>
            <w:vAlign w:val="center"/>
          </w:tcPr>
          <w:p>
            <w:pPr>
              <w:widowControl/>
              <w:spacing w:line="240" w:lineRule="auto"/>
              <w:ind w:firstLine="0" w:firstLineChars="0"/>
              <w:jc w:val="center"/>
              <w:rPr>
                <w:b/>
                <w:bCs/>
                <w:color w:val="000000"/>
                <w:kern w:val="0"/>
                <w:sz w:val="21"/>
                <w:szCs w:val="21"/>
              </w:rPr>
            </w:pPr>
            <w:r>
              <w:rPr>
                <w:b/>
                <w:bCs/>
                <w:color w:val="000000"/>
                <w:kern w:val="0"/>
                <w:sz w:val="21"/>
                <w:szCs w:val="21"/>
              </w:rPr>
              <w:t>物种</w:t>
            </w:r>
          </w:p>
        </w:tc>
        <w:tc>
          <w:tcPr>
            <w:tcW w:w="852" w:type="pct"/>
            <w:tcBorders>
              <w:bottom w:val="single" w:color="auto" w:sz="12" w:space="0"/>
            </w:tcBorders>
            <w:noWrap/>
            <w:vAlign w:val="center"/>
          </w:tcPr>
          <w:p>
            <w:pPr>
              <w:spacing w:line="240" w:lineRule="auto"/>
              <w:ind w:firstLine="0" w:firstLineChars="0"/>
              <w:jc w:val="center"/>
              <w:rPr>
                <w:b/>
                <w:bCs/>
                <w:color w:val="000000"/>
                <w:kern w:val="0"/>
                <w:sz w:val="21"/>
                <w:szCs w:val="21"/>
              </w:rPr>
            </w:pPr>
            <w:r>
              <w:rPr>
                <w:b/>
                <w:bCs/>
                <w:color w:val="000000"/>
                <w:kern w:val="0"/>
                <w:sz w:val="21"/>
                <w:szCs w:val="21"/>
              </w:rPr>
              <w:t>数量（尾）</w:t>
            </w:r>
          </w:p>
        </w:tc>
        <w:tc>
          <w:tcPr>
            <w:tcW w:w="852" w:type="pct"/>
            <w:tcBorders>
              <w:bottom w:val="single" w:color="auto" w:sz="12" w:space="0"/>
            </w:tcBorders>
            <w:noWrap/>
            <w:vAlign w:val="center"/>
          </w:tcPr>
          <w:p>
            <w:pPr>
              <w:spacing w:line="240" w:lineRule="auto"/>
              <w:ind w:firstLine="0" w:firstLineChars="0"/>
              <w:jc w:val="center"/>
              <w:rPr>
                <w:b/>
                <w:bCs/>
                <w:color w:val="000000"/>
                <w:kern w:val="0"/>
                <w:sz w:val="21"/>
                <w:szCs w:val="21"/>
              </w:rPr>
            </w:pPr>
            <w:r>
              <w:rPr>
                <w:b/>
                <w:bCs/>
                <w:color w:val="000000"/>
                <w:kern w:val="0"/>
                <w:sz w:val="21"/>
                <w:szCs w:val="21"/>
              </w:rPr>
              <w:t>数量比（%）</w:t>
            </w:r>
          </w:p>
        </w:tc>
        <w:tc>
          <w:tcPr>
            <w:tcW w:w="852" w:type="pct"/>
            <w:tcBorders>
              <w:bottom w:val="single" w:color="auto" w:sz="12" w:space="0"/>
            </w:tcBorders>
            <w:noWrap/>
            <w:vAlign w:val="center"/>
          </w:tcPr>
          <w:p>
            <w:pPr>
              <w:spacing w:line="240" w:lineRule="auto"/>
              <w:ind w:firstLine="0" w:firstLineChars="0"/>
              <w:jc w:val="center"/>
              <w:rPr>
                <w:b/>
                <w:bCs/>
                <w:color w:val="000000"/>
                <w:kern w:val="0"/>
                <w:sz w:val="21"/>
                <w:szCs w:val="21"/>
              </w:rPr>
            </w:pPr>
            <w:r>
              <w:rPr>
                <w:b/>
                <w:bCs/>
                <w:color w:val="000000"/>
                <w:kern w:val="0"/>
                <w:sz w:val="21"/>
                <w:szCs w:val="21"/>
              </w:rPr>
              <w:t>重量（kg）</w:t>
            </w:r>
          </w:p>
        </w:tc>
        <w:tc>
          <w:tcPr>
            <w:tcW w:w="852" w:type="pct"/>
            <w:tcBorders>
              <w:bottom w:val="single" w:color="auto" w:sz="12" w:space="0"/>
            </w:tcBorders>
            <w:noWrap/>
            <w:vAlign w:val="center"/>
          </w:tcPr>
          <w:p>
            <w:pPr>
              <w:spacing w:line="240" w:lineRule="auto"/>
              <w:ind w:firstLine="0" w:firstLineChars="0"/>
              <w:jc w:val="center"/>
              <w:rPr>
                <w:b/>
                <w:bCs/>
                <w:color w:val="000000"/>
                <w:kern w:val="0"/>
                <w:sz w:val="21"/>
                <w:szCs w:val="21"/>
              </w:rPr>
            </w:pPr>
            <w:r>
              <w:rPr>
                <w:b/>
                <w:bCs/>
                <w:color w:val="000000"/>
                <w:kern w:val="0"/>
                <w:sz w:val="21"/>
                <w:szCs w:val="21"/>
              </w:rPr>
              <w:t>重量比（%）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81" w:type="pct"/>
            <w:tcBorders>
              <w:top w:val="single" w:color="auto" w:sz="12" w:space="0"/>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w:t>
            </w:r>
          </w:p>
        </w:tc>
        <w:tc>
          <w:tcPr>
            <w:tcW w:w="909" w:type="pct"/>
            <w:tcBorders>
              <w:top w:val="single" w:color="auto" w:sz="12" w:space="0"/>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大鳍鱊</w:t>
            </w:r>
          </w:p>
        </w:tc>
        <w:tc>
          <w:tcPr>
            <w:tcW w:w="852" w:type="pct"/>
            <w:tcBorders>
              <w:top w:val="single" w:color="auto" w:sz="12" w:space="0"/>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53</w:t>
            </w:r>
          </w:p>
        </w:tc>
        <w:tc>
          <w:tcPr>
            <w:tcW w:w="852" w:type="pct"/>
            <w:tcBorders>
              <w:top w:val="single" w:color="auto" w:sz="12" w:space="0"/>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42.40</w:t>
            </w:r>
          </w:p>
        </w:tc>
        <w:tc>
          <w:tcPr>
            <w:tcW w:w="852" w:type="pct"/>
            <w:tcBorders>
              <w:top w:val="single" w:color="auto" w:sz="12" w:space="0"/>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0.35</w:t>
            </w:r>
          </w:p>
        </w:tc>
        <w:tc>
          <w:tcPr>
            <w:tcW w:w="852" w:type="pct"/>
            <w:tcBorders>
              <w:top w:val="single" w:color="auto" w:sz="12" w:space="0"/>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1.35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8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2</w:t>
            </w:r>
          </w:p>
        </w:tc>
        <w:tc>
          <w:tcPr>
            <w:tcW w:w="909"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鲫</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17</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13.60</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0.48</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1.85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81" w:type="pct"/>
            <w:tcBorders>
              <w:tl2br w:val="nil"/>
              <w:tr2bl w:val="nil"/>
            </w:tcBorders>
            <w:noWrap/>
            <w:vAlign w:val="center"/>
          </w:tcPr>
          <w:p>
            <w:pPr>
              <w:widowControl/>
              <w:spacing w:line="240" w:lineRule="auto"/>
              <w:ind w:firstLine="0" w:firstLineChars="0"/>
              <w:jc w:val="center"/>
              <w:rPr>
                <w:kern w:val="0"/>
                <w:sz w:val="21"/>
                <w:szCs w:val="21"/>
              </w:rPr>
            </w:pPr>
            <w:r>
              <w:rPr>
                <w:kern w:val="0"/>
                <w:sz w:val="21"/>
                <w:szCs w:val="21"/>
              </w:rPr>
              <w:t>3</w:t>
            </w:r>
          </w:p>
        </w:tc>
        <w:tc>
          <w:tcPr>
            <w:tcW w:w="909" w:type="pct"/>
            <w:tcBorders>
              <w:tl2br w:val="nil"/>
              <w:tr2bl w:val="nil"/>
            </w:tcBorders>
            <w:noWrap/>
            <w:vAlign w:val="center"/>
          </w:tcPr>
          <w:p>
            <w:pPr>
              <w:widowControl/>
              <w:spacing w:line="240" w:lineRule="auto"/>
              <w:ind w:firstLine="0" w:firstLineChars="0"/>
              <w:jc w:val="center"/>
              <w:rPr>
                <w:kern w:val="0"/>
                <w:sz w:val="21"/>
                <w:szCs w:val="21"/>
              </w:rPr>
            </w:pPr>
            <w:r>
              <w:rPr>
                <w:kern w:val="0"/>
                <w:sz w:val="21"/>
                <w:szCs w:val="21"/>
              </w:rPr>
              <w:t>鲢</w:t>
            </w:r>
          </w:p>
        </w:tc>
        <w:tc>
          <w:tcPr>
            <w:tcW w:w="852" w:type="pct"/>
            <w:tcBorders>
              <w:tl2br w:val="nil"/>
              <w:tr2bl w:val="nil"/>
            </w:tcBorders>
            <w:noWrap/>
            <w:vAlign w:val="center"/>
          </w:tcPr>
          <w:p>
            <w:pPr>
              <w:widowControl/>
              <w:spacing w:line="240" w:lineRule="auto"/>
              <w:ind w:firstLine="0" w:firstLineChars="0"/>
              <w:jc w:val="center"/>
              <w:rPr>
                <w:kern w:val="0"/>
                <w:sz w:val="21"/>
                <w:szCs w:val="21"/>
              </w:rPr>
            </w:pPr>
            <w:r>
              <w:rPr>
                <w:sz w:val="21"/>
                <w:szCs w:val="21"/>
              </w:rPr>
              <w:t>10</w:t>
            </w:r>
          </w:p>
        </w:tc>
        <w:tc>
          <w:tcPr>
            <w:tcW w:w="852" w:type="pct"/>
            <w:tcBorders>
              <w:tl2br w:val="nil"/>
              <w:tr2bl w:val="nil"/>
            </w:tcBorders>
            <w:noWrap/>
            <w:vAlign w:val="center"/>
          </w:tcPr>
          <w:p>
            <w:pPr>
              <w:widowControl/>
              <w:spacing w:line="240" w:lineRule="auto"/>
              <w:ind w:firstLine="0" w:firstLineChars="0"/>
              <w:jc w:val="center"/>
              <w:rPr>
                <w:kern w:val="0"/>
                <w:sz w:val="21"/>
                <w:szCs w:val="21"/>
              </w:rPr>
            </w:pPr>
            <w:r>
              <w:rPr>
                <w:sz w:val="21"/>
                <w:szCs w:val="21"/>
              </w:rPr>
              <w:t>8.00</w:t>
            </w:r>
          </w:p>
        </w:tc>
        <w:tc>
          <w:tcPr>
            <w:tcW w:w="852" w:type="pct"/>
            <w:tcBorders>
              <w:tl2br w:val="nil"/>
              <w:tr2bl w:val="nil"/>
            </w:tcBorders>
            <w:noWrap/>
            <w:vAlign w:val="center"/>
          </w:tcPr>
          <w:p>
            <w:pPr>
              <w:widowControl/>
              <w:spacing w:line="240" w:lineRule="auto"/>
              <w:ind w:firstLine="0" w:firstLineChars="0"/>
              <w:jc w:val="center"/>
              <w:rPr>
                <w:kern w:val="0"/>
                <w:sz w:val="21"/>
                <w:szCs w:val="21"/>
              </w:rPr>
            </w:pPr>
            <w:r>
              <w:rPr>
                <w:sz w:val="21"/>
                <w:szCs w:val="21"/>
              </w:rPr>
              <w:t>8.27</w:t>
            </w:r>
          </w:p>
        </w:tc>
        <w:tc>
          <w:tcPr>
            <w:tcW w:w="852" w:type="pct"/>
            <w:tcBorders>
              <w:tl2br w:val="nil"/>
              <w:tr2bl w:val="nil"/>
            </w:tcBorders>
            <w:noWrap/>
            <w:vAlign w:val="center"/>
          </w:tcPr>
          <w:p>
            <w:pPr>
              <w:widowControl/>
              <w:spacing w:line="240" w:lineRule="auto"/>
              <w:ind w:firstLine="0" w:firstLineChars="0"/>
              <w:jc w:val="center"/>
              <w:rPr>
                <w:kern w:val="0"/>
                <w:sz w:val="21"/>
                <w:szCs w:val="21"/>
              </w:rPr>
            </w:pPr>
            <w:r>
              <w:rPr>
                <w:sz w:val="21"/>
                <w:szCs w:val="21"/>
              </w:rPr>
              <w:t>31.91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81" w:type="pct"/>
            <w:tcBorders>
              <w:tl2br w:val="nil"/>
              <w:tr2bl w:val="nil"/>
            </w:tcBorders>
            <w:noWrap/>
            <w:vAlign w:val="center"/>
          </w:tcPr>
          <w:p>
            <w:pPr>
              <w:widowControl/>
              <w:spacing w:line="240" w:lineRule="auto"/>
              <w:ind w:firstLine="0" w:firstLineChars="0"/>
              <w:jc w:val="center"/>
              <w:rPr>
                <w:kern w:val="0"/>
                <w:sz w:val="21"/>
                <w:szCs w:val="21"/>
              </w:rPr>
            </w:pPr>
            <w:r>
              <w:rPr>
                <w:kern w:val="0"/>
                <w:sz w:val="21"/>
                <w:szCs w:val="21"/>
              </w:rPr>
              <w:t>4</w:t>
            </w:r>
          </w:p>
        </w:tc>
        <w:tc>
          <w:tcPr>
            <w:tcW w:w="909" w:type="pct"/>
            <w:tcBorders>
              <w:tl2br w:val="nil"/>
              <w:tr2bl w:val="nil"/>
            </w:tcBorders>
            <w:noWrap/>
            <w:vAlign w:val="center"/>
          </w:tcPr>
          <w:p>
            <w:pPr>
              <w:widowControl/>
              <w:spacing w:line="240" w:lineRule="auto"/>
              <w:ind w:firstLine="0" w:firstLineChars="0"/>
              <w:jc w:val="center"/>
              <w:rPr>
                <w:kern w:val="0"/>
                <w:sz w:val="21"/>
                <w:szCs w:val="21"/>
              </w:rPr>
            </w:pPr>
            <w:r>
              <w:rPr>
                <w:kern w:val="0"/>
                <w:sz w:val="21"/>
                <w:szCs w:val="21"/>
              </w:rPr>
              <w:t>鲂</w:t>
            </w:r>
          </w:p>
        </w:tc>
        <w:tc>
          <w:tcPr>
            <w:tcW w:w="852" w:type="pct"/>
            <w:tcBorders>
              <w:tl2br w:val="nil"/>
              <w:tr2bl w:val="nil"/>
            </w:tcBorders>
            <w:noWrap/>
            <w:vAlign w:val="center"/>
          </w:tcPr>
          <w:p>
            <w:pPr>
              <w:widowControl/>
              <w:spacing w:line="240" w:lineRule="auto"/>
              <w:ind w:firstLine="0" w:firstLineChars="0"/>
              <w:jc w:val="center"/>
              <w:rPr>
                <w:kern w:val="0"/>
                <w:sz w:val="21"/>
                <w:szCs w:val="21"/>
              </w:rPr>
            </w:pPr>
            <w:r>
              <w:rPr>
                <w:sz w:val="21"/>
                <w:szCs w:val="21"/>
              </w:rPr>
              <w:t>6</w:t>
            </w:r>
          </w:p>
        </w:tc>
        <w:tc>
          <w:tcPr>
            <w:tcW w:w="852" w:type="pct"/>
            <w:tcBorders>
              <w:tl2br w:val="nil"/>
              <w:tr2bl w:val="nil"/>
            </w:tcBorders>
            <w:noWrap/>
            <w:vAlign w:val="center"/>
          </w:tcPr>
          <w:p>
            <w:pPr>
              <w:widowControl/>
              <w:spacing w:line="240" w:lineRule="auto"/>
              <w:ind w:firstLine="0" w:firstLineChars="0"/>
              <w:jc w:val="center"/>
              <w:rPr>
                <w:kern w:val="0"/>
                <w:sz w:val="21"/>
                <w:szCs w:val="21"/>
              </w:rPr>
            </w:pPr>
            <w:r>
              <w:rPr>
                <w:sz w:val="21"/>
                <w:szCs w:val="21"/>
              </w:rPr>
              <w:t>4.80</w:t>
            </w:r>
          </w:p>
        </w:tc>
        <w:tc>
          <w:tcPr>
            <w:tcW w:w="852" w:type="pct"/>
            <w:tcBorders>
              <w:tl2br w:val="nil"/>
              <w:tr2bl w:val="nil"/>
            </w:tcBorders>
            <w:noWrap/>
            <w:vAlign w:val="center"/>
          </w:tcPr>
          <w:p>
            <w:pPr>
              <w:widowControl/>
              <w:spacing w:line="240" w:lineRule="auto"/>
              <w:ind w:firstLine="0" w:firstLineChars="0"/>
              <w:jc w:val="center"/>
              <w:rPr>
                <w:kern w:val="0"/>
                <w:sz w:val="21"/>
                <w:szCs w:val="21"/>
              </w:rPr>
            </w:pPr>
            <w:r>
              <w:rPr>
                <w:sz w:val="21"/>
                <w:szCs w:val="21"/>
              </w:rPr>
              <w:t>5.7</w:t>
            </w:r>
          </w:p>
        </w:tc>
        <w:tc>
          <w:tcPr>
            <w:tcW w:w="852" w:type="pct"/>
            <w:tcBorders>
              <w:tl2br w:val="nil"/>
              <w:tr2bl w:val="nil"/>
            </w:tcBorders>
            <w:noWrap/>
            <w:vAlign w:val="center"/>
          </w:tcPr>
          <w:p>
            <w:pPr>
              <w:widowControl/>
              <w:spacing w:line="240" w:lineRule="auto"/>
              <w:ind w:firstLine="0" w:firstLineChars="0"/>
              <w:jc w:val="center"/>
              <w:rPr>
                <w:kern w:val="0"/>
                <w:sz w:val="21"/>
                <w:szCs w:val="21"/>
              </w:rPr>
            </w:pPr>
            <w:r>
              <w:rPr>
                <w:sz w:val="21"/>
                <w:szCs w:val="21"/>
              </w:rPr>
              <w:t>21.99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81" w:type="pct"/>
            <w:tcBorders>
              <w:tl2br w:val="nil"/>
              <w:tr2bl w:val="nil"/>
            </w:tcBorders>
            <w:noWrap/>
            <w:vAlign w:val="center"/>
          </w:tcPr>
          <w:p>
            <w:pPr>
              <w:widowControl/>
              <w:spacing w:line="240" w:lineRule="auto"/>
              <w:ind w:firstLine="0" w:firstLineChars="0"/>
              <w:jc w:val="center"/>
              <w:rPr>
                <w:kern w:val="0"/>
                <w:sz w:val="21"/>
                <w:szCs w:val="21"/>
              </w:rPr>
            </w:pPr>
            <w:r>
              <w:rPr>
                <w:kern w:val="0"/>
                <w:sz w:val="21"/>
                <w:szCs w:val="21"/>
              </w:rPr>
              <w:t>5</w:t>
            </w:r>
          </w:p>
        </w:tc>
        <w:tc>
          <w:tcPr>
            <w:tcW w:w="909" w:type="pct"/>
            <w:tcBorders>
              <w:tl2br w:val="nil"/>
              <w:tr2bl w:val="nil"/>
            </w:tcBorders>
            <w:noWrap/>
            <w:vAlign w:val="center"/>
          </w:tcPr>
          <w:p>
            <w:pPr>
              <w:widowControl/>
              <w:spacing w:line="240" w:lineRule="auto"/>
              <w:ind w:firstLine="0" w:firstLineChars="0"/>
              <w:jc w:val="center"/>
              <w:rPr>
                <w:kern w:val="0"/>
                <w:sz w:val="21"/>
                <w:szCs w:val="21"/>
              </w:rPr>
            </w:pPr>
            <w:r>
              <w:rPr>
                <w:kern w:val="0"/>
                <w:sz w:val="21"/>
                <w:szCs w:val="21"/>
              </w:rPr>
              <w:t>鳙</w:t>
            </w:r>
          </w:p>
        </w:tc>
        <w:tc>
          <w:tcPr>
            <w:tcW w:w="852" w:type="pct"/>
            <w:tcBorders>
              <w:tl2br w:val="nil"/>
              <w:tr2bl w:val="nil"/>
            </w:tcBorders>
            <w:noWrap/>
            <w:vAlign w:val="center"/>
          </w:tcPr>
          <w:p>
            <w:pPr>
              <w:widowControl/>
              <w:spacing w:line="240" w:lineRule="auto"/>
              <w:ind w:firstLine="0" w:firstLineChars="0"/>
              <w:jc w:val="center"/>
              <w:rPr>
                <w:kern w:val="0"/>
                <w:sz w:val="21"/>
                <w:szCs w:val="21"/>
              </w:rPr>
            </w:pPr>
            <w:r>
              <w:rPr>
                <w:sz w:val="21"/>
                <w:szCs w:val="21"/>
              </w:rPr>
              <w:t>5</w:t>
            </w:r>
          </w:p>
        </w:tc>
        <w:tc>
          <w:tcPr>
            <w:tcW w:w="852" w:type="pct"/>
            <w:tcBorders>
              <w:tl2br w:val="nil"/>
              <w:tr2bl w:val="nil"/>
            </w:tcBorders>
            <w:noWrap/>
            <w:vAlign w:val="center"/>
          </w:tcPr>
          <w:p>
            <w:pPr>
              <w:widowControl/>
              <w:spacing w:line="240" w:lineRule="auto"/>
              <w:ind w:firstLine="0" w:firstLineChars="0"/>
              <w:jc w:val="center"/>
              <w:rPr>
                <w:kern w:val="0"/>
                <w:sz w:val="21"/>
                <w:szCs w:val="21"/>
              </w:rPr>
            </w:pPr>
            <w:r>
              <w:rPr>
                <w:sz w:val="21"/>
                <w:szCs w:val="21"/>
              </w:rPr>
              <w:t>4.00</w:t>
            </w:r>
          </w:p>
        </w:tc>
        <w:tc>
          <w:tcPr>
            <w:tcW w:w="852" w:type="pct"/>
            <w:tcBorders>
              <w:tl2br w:val="nil"/>
              <w:tr2bl w:val="nil"/>
            </w:tcBorders>
            <w:noWrap/>
            <w:vAlign w:val="center"/>
          </w:tcPr>
          <w:p>
            <w:pPr>
              <w:widowControl/>
              <w:spacing w:line="240" w:lineRule="auto"/>
              <w:ind w:firstLine="0" w:firstLineChars="0"/>
              <w:jc w:val="center"/>
              <w:rPr>
                <w:kern w:val="0"/>
                <w:sz w:val="21"/>
                <w:szCs w:val="21"/>
              </w:rPr>
            </w:pPr>
            <w:r>
              <w:rPr>
                <w:sz w:val="21"/>
                <w:szCs w:val="21"/>
              </w:rPr>
              <w:t>3.67</w:t>
            </w:r>
          </w:p>
        </w:tc>
        <w:tc>
          <w:tcPr>
            <w:tcW w:w="852" w:type="pct"/>
            <w:tcBorders>
              <w:tl2br w:val="nil"/>
              <w:tr2bl w:val="nil"/>
            </w:tcBorders>
            <w:noWrap/>
            <w:vAlign w:val="center"/>
          </w:tcPr>
          <w:p>
            <w:pPr>
              <w:widowControl/>
              <w:spacing w:line="240" w:lineRule="auto"/>
              <w:ind w:firstLine="0" w:firstLineChars="0"/>
              <w:jc w:val="center"/>
              <w:rPr>
                <w:kern w:val="0"/>
                <w:sz w:val="21"/>
                <w:szCs w:val="21"/>
              </w:rPr>
            </w:pPr>
            <w:r>
              <w:rPr>
                <w:sz w:val="21"/>
                <w:szCs w:val="21"/>
              </w:rPr>
              <w:t>14.16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8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6</w:t>
            </w:r>
          </w:p>
        </w:tc>
        <w:tc>
          <w:tcPr>
            <w:tcW w:w="909"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花䱻</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4</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3.20</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1</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3.86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8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7</w:t>
            </w:r>
          </w:p>
        </w:tc>
        <w:tc>
          <w:tcPr>
            <w:tcW w:w="909"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鳜</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3</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2.40</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0.87</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3.36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8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8</w:t>
            </w:r>
          </w:p>
        </w:tc>
        <w:tc>
          <w:tcPr>
            <w:tcW w:w="909"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鲇</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3</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2.40</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0.63</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2.43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8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9</w:t>
            </w:r>
          </w:p>
        </w:tc>
        <w:tc>
          <w:tcPr>
            <w:tcW w:w="909"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团头鲂</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3</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2.40</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0.55</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2.12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8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10</w:t>
            </w:r>
          </w:p>
        </w:tc>
        <w:tc>
          <w:tcPr>
            <w:tcW w:w="909"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短颌鲚</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3</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2.40</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0.11</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8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11</w:t>
            </w:r>
          </w:p>
        </w:tc>
        <w:tc>
          <w:tcPr>
            <w:tcW w:w="909"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黄颡鱼</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3</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2.40</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0.11</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8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12</w:t>
            </w:r>
          </w:p>
        </w:tc>
        <w:tc>
          <w:tcPr>
            <w:tcW w:w="909"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大口鲇</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2</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1.60</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1.91</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7.37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8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13</w:t>
            </w:r>
          </w:p>
        </w:tc>
        <w:tc>
          <w:tcPr>
            <w:tcW w:w="909"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铜鱼</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2</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1.60</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0.63</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2.43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8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14</w:t>
            </w:r>
          </w:p>
        </w:tc>
        <w:tc>
          <w:tcPr>
            <w:tcW w:w="909"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大眼鳜</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2</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1.60</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0.75</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2.89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8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15</w:t>
            </w:r>
          </w:p>
        </w:tc>
        <w:tc>
          <w:tcPr>
            <w:tcW w:w="909"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瓦氏黄颡鱼</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2</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1.60</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0.08</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8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16</w:t>
            </w:r>
          </w:p>
        </w:tc>
        <w:tc>
          <w:tcPr>
            <w:tcW w:w="909"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尖头鲌</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2</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1.60</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0.05</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8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17</w:t>
            </w:r>
          </w:p>
        </w:tc>
        <w:tc>
          <w:tcPr>
            <w:tcW w:w="909"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黑鳍鳈</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2</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1.60</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0.03</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8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18</w:t>
            </w:r>
          </w:p>
        </w:tc>
        <w:tc>
          <w:tcPr>
            <w:tcW w:w="909"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鱤</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1</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0.80</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0.46</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1.77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8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19</w:t>
            </w:r>
          </w:p>
        </w:tc>
        <w:tc>
          <w:tcPr>
            <w:tcW w:w="909"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鲤</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1</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0.80</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0.26</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8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20</w:t>
            </w:r>
          </w:p>
        </w:tc>
        <w:tc>
          <w:tcPr>
            <w:tcW w:w="909"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达氏鲌</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1</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0.80</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0.01</w:t>
            </w:r>
          </w:p>
        </w:tc>
        <w:tc>
          <w:tcPr>
            <w:tcW w:w="852"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sz w:val="21"/>
                <w:szCs w:val="21"/>
              </w:rPr>
              <w:t>0.04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591" w:type="pct"/>
            <w:gridSpan w:val="2"/>
            <w:tcBorders>
              <w:tl2br w:val="nil"/>
              <w:tr2bl w:val="nil"/>
            </w:tcBorders>
            <w:noWrap/>
            <w:vAlign w:val="center"/>
          </w:tcPr>
          <w:p>
            <w:pPr>
              <w:widowControl/>
              <w:spacing w:line="240" w:lineRule="auto"/>
              <w:ind w:firstLine="0" w:firstLineChars="0"/>
              <w:jc w:val="center"/>
              <w:rPr>
                <w:b/>
                <w:color w:val="000000"/>
                <w:kern w:val="0"/>
                <w:sz w:val="21"/>
                <w:szCs w:val="21"/>
              </w:rPr>
            </w:pPr>
            <w:r>
              <w:rPr>
                <w:b/>
                <w:color w:val="000000"/>
                <w:kern w:val="0"/>
                <w:sz w:val="21"/>
                <w:szCs w:val="21"/>
              </w:rPr>
              <w:t>合计</w:t>
            </w:r>
          </w:p>
        </w:tc>
        <w:tc>
          <w:tcPr>
            <w:tcW w:w="852" w:type="pct"/>
            <w:tcBorders>
              <w:tl2br w:val="nil"/>
              <w:tr2bl w:val="nil"/>
            </w:tcBorders>
            <w:noWrap/>
            <w:vAlign w:val="center"/>
          </w:tcPr>
          <w:p>
            <w:pPr>
              <w:widowControl/>
              <w:spacing w:line="240" w:lineRule="auto"/>
              <w:ind w:firstLine="0" w:firstLineChars="0"/>
              <w:jc w:val="center"/>
              <w:rPr>
                <w:b/>
                <w:color w:val="000000"/>
                <w:kern w:val="0"/>
                <w:sz w:val="21"/>
                <w:szCs w:val="21"/>
              </w:rPr>
            </w:pPr>
            <w:r>
              <w:rPr>
                <w:b/>
                <w:color w:val="000000"/>
                <w:sz w:val="21"/>
                <w:szCs w:val="21"/>
              </w:rPr>
              <w:t>125</w:t>
            </w:r>
          </w:p>
        </w:tc>
        <w:tc>
          <w:tcPr>
            <w:tcW w:w="852" w:type="pct"/>
            <w:tcBorders>
              <w:tl2br w:val="nil"/>
              <w:tr2bl w:val="nil"/>
            </w:tcBorders>
            <w:noWrap/>
            <w:vAlign w:val="center"/>
          </w:tcPr>
          <w:p>
            <w:pPr>
              <w:widowControl/>
              <w:spacing w:line="240" w:lineRule="auto"/>
              <w:ind w:firstLine="0" w:firstLineChars="0"/>
              <w:jc w:val="center"/>
              <w:rPr>
                <w:b/>
                <w:color w:val="000000"/>
                <w:kern w:val="0"/>
                <w:sz w:val="21"/>
                <w:szCs w:val="21"/>
              </w:rPr>
            </w:pPr>
            <w:r>
              <w:rPr>
                <w:b/>
                <w:color w:val="000000"/>
                <w:sz w:val="21"/>
                <w:szCs w:val="21"/>
              </w:rPr>
              <w:t>100</w:t>
            </w:r>
          </w:p>
        </w:tc>
        <w:tc>
          <w:tcPr>
            <w:tcW w:w="852" w:type="pct"/>
            <w:tcBorders>
              <w:tl2br w:val="nil"/>
              <w:tr2bl w:val="nil"/>
            </w:tcBorders>
            <w:noWrap/>
            <w:vAlign w:val="center"/>
          </w:tcPr>
          <w:p>
            <w:pPr>
              <w:widowControl/>
              <w:spacing w:line="240" w:lineRule="auto"/>
              <w:ind w:firstLine="0" w:firstLineChars="0"/>
              <w:jc w:val="center"/>
              <w:rPr>
                <w:b/>
                <w:color w:val="000000"/>
                <w:kern w:val="0"/>
                <w:sz w:val="21"/>
                <w:szCs w:val="21"/>
              </w:rPr>
            </w:pPr>
            <w:r>
              <w:rPr>
                <w:b/>
                <w:color w:val="000000"/>
                <w:sz w:val="21"/>
                <w:szCs w:val="21"/>
              </w:rPr>
              <w:t>25.92</w:t>
            </w:r>
          </w:p>
        </w:tc>
        <w:tc>
          <w:tcPr>
            <w:tcW w:w="852" w:type="pct"/>
            <w:tcBorders>
              <w:tl2br w:val="nil"/>
              <w:tr2bl w:val="nil"/>
            </w:tcBorders>
            <w:noWrap/>
            <w:vAlign w:val="center"/>
          </w:tcPr>
          <w:p>
            <w:pPr>
              <w:widowControl/>
              <w:spacing w:line="240" w:lineRule="auto"/>
              <w:ind w:firstLine="0" w:firstLineChars="0"/>
              <w:jc w:val="center"/>
              <w:rPr>
                <w:b/>
                <w:color w:val="000000"/>
                <w:kern w:val="0"/>
                <w:sz w:val="21"/>
                <w:szCs w:val="21"/>
              </w:rPr>
            </w:pPr>
            <w:r>
              <w:rPr>
                <w:b/>
                <w:color w:val="000000"/>
                <w:sz w:val="21"/>
                <w:szCs w:val="21"/>
              </w:rPr>
              <w:t>100</w:t>
            </w:r>
          </w:p>
        </w:tc>
      </w:tr>
    </w:tbl>
    <w:p>
      <w:pPr>
        <w:wordWrap w:val="0"/>
        <w:ind w:firstLine="480"/>
      </w:pPr>
      <w:r>
        <w:t>2021年6月本项目组调查人员在洞庭湖城陵矶-陆城镇江段再次开展了鱼类资源调查，通过雇佣当地渔民采用双层流刺网（网目为4指和6指）和地笼网（网目1cm）的方法进行调查，采集到鱼类82尾，共17种，渔获物以黄颡鱼、鲢、团头鲂、鳜、短颌鲚等为主。</w:t>
      </w:r>
    </w:p>
    <w:p>
      <w:pPr>
        <w:pStyle w:val="3583"/>
        <w:spacing w:line="240" w:lineRule="auto"/>
        <w:ind w:left="0"/>
        <w:rPr>
          <w:szCs w:val="21"/>
        </w:rPr>
      </w:pPr>
      <w:r>
        <w:rPr>
          <w:szCs w:val="21"/>
        </w:rPr>
        <w:t>2021年6月现场渔获物调查表</w:t>
      </w:r>
    </w:p>
    <w:tbl>
      <w:tblPr>
        <w:tblStyle w:val="87"/>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82"/>
        <w:gridCol w:w="1717"/>
        <w:gridCol w:w="1546"/>
        <w:gridCol w:w="1584"/>
        <w:gridCol w:w="1584"/>
        <w:gridCol w:w="156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1" w:type="pct"/>
            <w:tcBorders>
              <w:bottom w:val="single" w:color="auto" w:sz="12" w:space="0"/>
            </w:tcBorders>
            <w:noWrap/>
            <w:vAlign w:val="center"/>
          </w:tcPr>
          <w:p>
            <w:pPr>
              <w:widowControl/>
              <w:spacing w:line="240" w:lineRule="auto"/>
              <w:ind w:firstLine="0" w:firstLineChars="0"/>
              <w:jc w:val="center"/>
              <w:rPr>
                <w:b/>
                <w:color w:val="000000"/>
                <w:kern w:val="0"/>
                <w:sz w:val="21"/>
                <w:szCs w:val="21"/>
              </w:rPr>
            </w:pPr>
            <w:r>
              <w:rPr>
                <w:b/>
                <w:color w:val="000000"/>
                <w:kern w:val="0"/>
                <w:sz w:val="21"/>
                <w:szCs w:val="21"/>
              </w:rPr>
              <w:t>序号</w:t>
            </w:r>
          </w:p>
        </w:tc>
        <w:tc>
          <w:tcPr>
            <w:tcW w:w="924" w:type="pct"/>
            <w:tcBorders>
              <w:bottom w:val="single" w:color="auto" w:sz="12" w:space="0"/>
            </w:tcBorders>
            <w:noWrap/>
            <w:vAlign w:val="center"/>
          </w:tcPr>
          <w:p>
            <w:pPr>
              <w:widowControl/>
              <w:spacing w:line="240" w:lineRule="auto"/>
              <w:ind w:firstLine="0" w:firstLineChars="0"/>
              <w:jc w:val="center"/>
              <w:rPr>
                <w:b/>
                <w:color w:val="000000"/>
                <w:kern w:val="0"/>
                <w:sz w:val="21"/>
                <w:szCs w:val="21"/>
              </w:rPr>
            </w:pPr>
            <w:r>
              <w:rPr>
                <w:b/>
                <w:color w:val="000000"/>
                <w:kern w:val="0"/>
                <w:sz w:val="21"/>
                <w:szCs w:val="21"/>
              </w:rPr>
              <w:t>物种</w:t>
            </w:r>
          </w:p>
        </w:tc>
        <w:tc>
          <w:tcPr>
            <w:tcW w:w="833" w:type="pct"/>
            <w:tcBorders>
              <w:bottom w:val="single" w:color="auto" w:sz="12" w:space="0"/>
            </w:tcBorders>
            <w:noWrap/>
            <w:vAlign w:val="center"/>
          </w:tcPr>
          <w:p>
            <w:pPr>
              <w:widowControl/>
              <w:spacing w:line="240" w:lineRule="auto"/>
              <w:ind w:firstLine="0" w:firstLineChars="0"/>
              <w:jc w:val="center"/>
              <w:rPr>
                <w:b/>
                <w:color w:val="000000"/>
                <w:kern w:val="0"/>
                <w:sz w:val="21"/>
                <w:szCs w:val="21"/>
              </w:rPr>
            </w:pPr>
            <w:r>
              <w:rPr>
                <w:b/>
                <w:color w:val="000000"/>
                <w:kern w:val="0"/>
                <w:sz w:val="21"/>
                <w:szCs w:val="21"/>
              </w:rPr>
              <w:t>数量（尾）</w:t>
            </w:r>
          </w:p>
        </w:tc>
        <w:tc>
          <w:tcPr>
            <w:tcW w:w="853" w:type="pct"/>
            <w:tcBorders>
              <w:bottom w:val="single" w:color="auto" w:sz="12" w:space="0"/>
            </w:tcBorders>
            <w:noWrap/>
            <w:vAlign w:val="center"/>
          </w:tcPr>
          <w:p>
            <w:pPr>
              <w:widowControl/>
              <w:spacing w:line="240" w:lineRule="auto"/>
              <w:ind w:firstLine="0" w:firstLineChars="0"/>
              <w:jc w:val="center"/>
              <w:rPr>
                <w:b/>
                <w:color w:val="000000"/>
                <w:kern w:val="0"/>
                <w:sz w:val="21"/>
                <w:szCs w:val="21"/>
              </w:rPr>
            </w:pPr>
            <w:r>
              <w:rPr>
                <w:b/>
                <w:color w:val="000000"/>
                <w:kern w:val="0"/>
                <w:sz w:val="21"/>
                <w:szCs w:val="21"/>
              </w:rPr>
              <w:t>数量比（%）</w:t>
            </w:r>
          </w:p>
        </w:tc>
        <w:tc>
          <w:tcPr>
            <w:tcW w:w="853" w:type="pct"/>
            <w:tcBorders>
              <w:bottom w:val="single" w:color="auto" w:sz="12" w:space="0"/>
            </w:tcBorders>
            <w:noWrap/>
            <w:vAlign w:val="center"/>
          </w:tcPr>
          <w:p>
            <w:pPr>
              <w:widowControl/>
              <w:spacing w:line="240" w:lineRule="auto"/>
              <w:ind w:firstLine="0" w:firstLineChars="0"/>
              <w:jc w:val="center"/>
              <w:rPr>
                <w:b/>
                <w:color w:val="000000"/>
                <w:kern w:val="0"/>
                <w:sz w:val="21"/>
                <w:szCs w:val="21"/>
              </w:rPr>
            </w:pPr>
            <w:r>
              <w:rPr>
                <w:b/>
                <w:color w:val="000000"/>
                <w:kern w:val="0"/>
                <w:sz w:val="21"/>
                <w:szCs w:val="21"/>
              </w:rPr>
              <w:t>重量（kg）</w:t>
            </w:r>
          </w:p>
        </w:tc>
        <w:tc>
          <w:tcPr>
            <w:tcW w:w="844" w:type="pct"/>
            <w:tcBorders>
              <w:bottom w:val="single" w:color="auto" w:sz="12" w:space="0"/>
            </w:tcBorders>
            <w:noWrap/>
            <w:vAlign w:val="center"/>
          </w:tcPr>
          <w:p>
            <w:pPr>
              <w:widowControl/>
              <w:spacing w:line="240" w:lineRule="auto"/>
              <w:ind w:firstLine="0" w:firstLineChars="0"/>
              <w:jc w:val="center"/>
              <w:rPr>
                <w:b/>
                <w:color w:val="000000"/>
                <w:kern w:val="0"/>
                <w:sz w:val="21"/>
                <w:szCs w:val="21"/>
              </w:rPr>
            </w:pPr>
            <w:r>
              <w:rPr>
                <w:b/>
                <w:color w:val="000000"/>
                <w:kern w:val="0"/>
                <w:sz w:val="21"/>
                <w:szCs w:val="21"/>
              </w:rPr>
              <w:t>重量比（%）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1" w:type="pct"/>
            <w:tcBorders>
              <w:top w:val="single" w:color="auto" w:sz="12" w:space="0"/>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w:t>
            </w:r>
          </w:p>
        </w:tc>
        <w:tc>
          <w:tcPr>
            <w:tcW w:w="924" w:type="pct"/>
            <w:tcBorders>
              <w:top w:val="single" w:color="auto" w:sz="12" w:space="0"/>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黄颡鱼</w:t>
            </w:r>
          </w:p>
        </w:tc>
        <w:tc>
          <w:tcPr>
            <w:tcW w:w="833" w:type="pct"/>
            <w:tcBorders>
              <w:top w:val="single" w:color="auto" w:sz="12" w:space="0"/>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32</w:t>
            </w:r>
          </w:p>
        </w:tc>
        <w:tc>
          <w:tcPr>
            <w:tcW w:w="853" w:type="pct"/>
            <w:tcBorders>
              <w:top w:val="single" w:color="auto" w:sz="12" w:space="0"/>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39.02</w:t>
            </w:r>
          </w:p>
        </w:tc>
        <w:tc>
          <w:tcPr>
            <w:tcW w:w="853" w:type="pct"/>
            <w:tcBorders>
              <w:top w:val="single" w:color="auto" w:sz="12" w:space="0"/>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2.39</w:t>
            </w:r>
          </w:p>
        </w:tc>
        <w:tc>
          <w:tcPr>
            <w:tcW w:w="844" w:type="pct"/>
            <w:tcBorders>
              <w:top w:val="single" w:color="auto" w:sz="12" w:space="0"/>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4.41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2</w:t>
            </w:r>
          </w:p>
        </w:tc>
        <w:tc>
          <w:tcPr>
            <w:tcW w:w="92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鲢</w:t>
            </w:r>
          </w:p>
        </w:tc>
        <w:tc>
          <w:tcPr>
            <w:tcW w:w="83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11</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13.41</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35.44</w:t>
            </w:r>
          </w:p>
        </w:tc>
        <w:tc>
          <w:tcPr>
            <w:tcW w:w="84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65.40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3</w:t>
            </w:r>
          </w:p>
        </w:tc>
        <w:tc>
          <w:tcPr>
            <w:tcW w:w="92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团头鲂</w:t>
            </w:r>
          </w:p>
        </w:tc>
        <w:tc>
          <w:tcPr>
            <w:tcW w:w="83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9</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10.97</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5.74</w:t>
            </w:r>
          </w:p>
        </w:tc>
        <w:tc>
          <w:tcPr>
            <w:tcW w:w="84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10.59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4</w:t>
            </w:r>
          </w:p>
        </w:tc>
        <w:tc>
          <w:tcPr>
            <w:tcW w:w="92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鳜</w:t>
            </w:r>
          </w:p>
        </w:tc>
        <w:tc>
          <w:tcPr>
            <w:tcW w:w="83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6</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7.32</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3.13</w:t>
            </w:r>
          </w:p>
        </w:tc>
        <w:tc>
          <w:tcPr>
            <w:tcW w:w="84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5.77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5</w:t>
            </w:r>
          </w:p>
        </w:tc>
        <w:tc>
          <w:tcPr>
            <w:tcW w:w="92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光泽黄颡鱼</w:t>
            </w:r>
          </w:p>
        </w:tc>
        <w:tc>
          <w:tcPr>
            <w:tcW w:w="83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5</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6.10</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0.26</w:t>
            </w:r>
          </w:p>
        </w:tc>
        <w:tc>
          <w:tcPr>
            <w:tcW w:w="84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0.48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6</w:t>
            </w:r>
          </w:p>
        </w:tc>
        <w:tc>
          <w:tcPr>
            <w:tcW w:w="92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短颌鲚</w:t>
            </w:r>
          </w:p>
        </w:tc>
        <w:tc>
          <w:tcPr>
            <w:tcW w:w="83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5</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6.10</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0.33</w:t>
            </w:r>
          </w:p>
        </w:tc>
        <w:tc>
          <w:tcPr>
            <w:tcW w:w="84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0.61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7</w:t>
            </w:r>
          </w:p>
        </w:tc>
        <w:tc>
          <w:tcPr>
            <w:tcW w:w="92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鲤</w:t>
            </w:r>
          </w:p>
        </w:tc>
        <w:tc>
          <w:tcPr>
            <w:tcW w:w="83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3</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3.66</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2.69</w:t>
            </w:r>
          </w:p>
        </w:tc>
        <w:tc>
          <w:tcPr>
            <w:tcW w:w="84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4.96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8</w:t>
            </w:r>
          </w:p>
        </w:tc>
        <w:tc>
          <w:tcPr>
            <w:tcW w:w="92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鳊</w:t>
            </w:r>
          </w:p>
        </w:tc>
        <w:tc>
          <w:tcPr>
            <w:tcW w:w="83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2</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2.44</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1.24</w:t>
            </w:r>
          </w:p>
        </w:tc>
        <w:tc>
          <w:tcPr>
            <w:tcW w:w="84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2.29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9</w:t>
            </w:r>
          </w:p>
        </w:tc>
        <w:tc>
          <w:tcPr>
            <w:tcW w:w="92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翘嘴鲌</w:t>
            </w:r>
          </w:p>
        </w:tc>
        <w:tc>
          <w:tcPr>
            <w:tcW w:w="83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1.22</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0.14</w:t>
            </w:r>
          </w:p>
        </w:tc>
        <w:tc>
          <w:tcPr>
            <w:tcW w:w="84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0.26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10</w:t>
            </w:r>
          </w:p>
        </w:tc>
        <w:tc>
          <w:tcPr>
            <w:tcW w:w="92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蒙古鲌</w:t>
            </w:r>
          </w:p>
        </w:tc>
        <w:tc>
          <w:tcPr>
            <w:tcW w:w="83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1.22</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1.19</w:t>
            </w:r>
          </w:p>
        </w:tc>
        <w:tc>
          <w:tcPr>
            <w:tcW w:w="84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2.19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11</w:t>
            </w:r>
          </w:p>
        </w:tc>
        <w:tc>
          <w:tcPr>
            <w:tcW w:w="92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尖头鲌</w:t>
            </w:r>
          </w:p>
        </w:tc>
        <w:tc>
          <w:tcPr>
            <w:tcW w:w="83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1.22</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0.06</w:t>
            </w:r>
          </w:p>
        </w:tc>
        <w:tc>
          <w:tcPr>
            <w:tcW w:w="84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0.11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12</w:t>
            </w:r>
          </w:p>
        </w:tc>
        <w:tc>
          <w:tcPr>
            <w:tcW w:w="92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达氏鲌</w:t>
            </w:r>
          </w:p>
        </w:tc>
        <w:tc>
          <w:tcPr>
            <w:tcW w:w="83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1.22</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0.08</w:t>
            </w:r>
          </w:p>
        </w:tc>
        <w:tc>
          <w:tcPr>
            <w:tcW w:w="84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0.15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13</w:t>
            </w:r>
          </w:p>
        </w:tc>
        <w:tc>
          <w:tcPr>
            <w:tcW w:w="92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䱗</w:t>
            </w:r>
          </w:p>
        </w:tc>
        <w:tc>
          <w:tcPr>
            <w:tcW w:w="83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1.22</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0.01</w:t>
            </w:r>
          </w:p>
        </w:tc>
        <w:tc>
          <w:tcPr>
            <w:tcW w:w="84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14</w:t>
            </w:r>
          </w:p>
        </w:tc>
        <w:tc>
          <w:tcPr>
            <w:tcW w:w="92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蛇鮈</w:t>
            </w:r>
          </w:p>
        </w:tc>
        <w:tc>
          <w:tcPr>
            <w:tcW w:w="83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1.22</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0.03</w:t>
            </w:r>
          </w:p>
        </w:tc>
        <w:tc>
          <w:tcPr>
            <w:tcW w:w="84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15</w:t>
            </w:r>
          </w:p>
        </w:tc>
        <w:tc>
          <w:tcPr>
            <w:tcW w:w="92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泥鳅</w:t>
            </w:r>
          </w:p>
        </w:tc>
        <w:tc>
          <w:tcPr>
            <w:tcW w:w="83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1.22</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0.01</w:t>
            </w:r>
          </w:p>
        </w:tc>
        <w:tc>
          <w:tcPr>
            <w:tcW w:w="84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16</w:t>
            </w:r>
          </w:p>
        </w:tc>
        <w:tc>
          <w:tcPr>
            <w:tcW w:w="92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鲇</w:t>
            </w:r>
          </w:p>
        </w:tc>
        <w:tc>
          <w:tcPr>
            <w:tcW w:w="83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1.22</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1.35</w:t>
            </w:r>
          </w:p>
        </w:tc>
        <w:tc>
          <w:tcPr>
            <w:tcW w:w="84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2.49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91"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17</w:t>
            </w:r>
          </w:p>
        </w:tc>
        <w:tc>
          <w:tcPr>
            <w:tcW w:w="92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切尾拟鲿</w:t>
            </w:r>
          </w:p>
        </w:tc>
        <w:tc>
          <w:tcPr>
            <w:tcW w:w="83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1.22</w:t>
            </w:r>
          </w:p>
        </w:tc>
        <w:tc>
          <w:tcPr>
            <w:tcW w:w="853"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0.10</w:t>
            </w:r>
          </w:p>
        </w:tc>
        <w:tc>
          <w:tcPr>
            <w:tcW w:w="844" w:type="pct"/>
            <w:tcBorders>
              <w:tl2br w:val="nil"/>
              <w:tr2bl w:val="nil"/>
            </w:tcBorders>
            <w:noWrap/>
            <w:vAlign w:val="center"/>
          </w:tcPr>
          <w:p>
            <w:pPr>
              <w:widowControl/>
              <w:spacing w:line="240" w:lineRule="auto"/>
              <w:ind w:firstLine="0" w:firstLineChars="0"/>
              <w:jc w:val="center"/>
              <w:rPr>
                <w:color w:val="000000"/>
                <w:kern w:val="0"/>
                <w:sz w:val="21"/>
                <w:szCs w:val="21"/>
              </w:rPr>
            </w:pPr>
            <w:r>
              <w:rPr>
                <w:color w:val="000000"/>
                <w:kern w:val="0"/>
                <w:sz w:val="21"/>
                <w:szCs w:val="21"/>
              </w:rPr>
              <w:t>0.19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16" w:type="pct"/>
            <w:gridSpan w:val="2"/>
            <w:tcBorders>
              <w:tl2br w:val="nil"/>
              <w:tr2bl w:val="nil"/>
            </w:tcBorders>
            <w:noWrap/>
            <w:vAlign w:val="center"/>
          </w:tcPr>
          <w:p>
            <w:pPr>
              <w:widowControl/>
              <w:spacing w:line="240" w:lineRule="auto"/>
              <w:ind w:firstLine="0" w:firstLineChars="0"/>
              <w:jc w:val="center"/>
              <w:rPr>
                <w:b/>
                <w:bCs/>
                <w:color w:val="000000"/>
                <w:kern w:val="0"/>
                <w:sz w:val="21"/>
                <w:szCs w:val="21"/>
              </w:rPr>
            </w:pPr>
            <w:r>
              <w:rPr>
                <w:b/>
                <w:bCs/>
                <w:color w:val="000000"/>
                <w:kern w:val="0"/>
                <w:sz w:val="21"/>
                <w:szCs w:val="21"/>
              </w:rPr>
              <w:t>合计</w:t>
            </w:r>
          </w:p>
        </w:tc>
        <w:tc>
          <w:tcPr>
            <w:tcW w:w="833" w:type="pct"/>
            <w:tcBorders>
              <w:tl2br w:val="nil"/>
              <w:tr2bl w:val="nil"/>
            </w:tcBorders>
            <w:noWrap/>
            <w:vAlign w:val="center"/>
          </w:tcPr>
          <w:p>
            <w:pPr>
              <w:widowControl/>
              <w:spacing w:line="240" w:lineRule="auto"/>
              <w:ind w:firstLine="0" w:firstLineChars="0"/>
              <w:jc w:val="center"/>
              <w:rPr>
                <w:b/>
                <w:bCs/>
                <w:color w:val="000000"/>
                <w:kern w:val="0"/>
                <w:sz w:val="21"/>
                <w:szCs w:val="21"/>
              </w:rPr>
            </w:pPr>
            <w:r>
              <w:rPr>
                <w:b/>
                <w:bCs/>
                <w:color w:val="000000"/>
                <w:kern w:val="0"/>
                <w:sz w:val="21"/>
                <w:szCs w:val="21"/>
              </w:rPr>
              <w:t>82</w:t>
            </w:r>
          </w:p>
        </w:tc>
        <w:tc>
          <w:tcPr>
            <w:tcW w:w="853" w:type="pct"/>
            <w:tcBorders>
              <w:tl2br w:val="nil"/>
              <w:tr2bl w:val="nil"/>
            </w:tcBorders>
            <w:noWrap/>
            <w:vAlign w:val="center"/>
          </w:tcPr>
          <w:p>
            <w:pPr>
              <w:widowControl/>
              <w:spacing w:line="240" w:lineRule="auto"/>
              <w:ind w:firstLine="0" w:firstLineChars="0"/>
              <w:jc w:val="center"/>
              <w:rPr>
                <w:b/>
                <w:bCs/>
                <w:color w:val="000000"/>
                <w:kern w:val="0"/>
                <w:sz w:val="21"/>
                <w:szCs w:val="21"/>
              </w:rPr>
            </w:pPr>
            <w:r>
              <w:rPr>
                <w:b/>
                <w:bCs/>
                <w:color w:val="000000"/>
                <w:kern w:val="0"/>
                <w:sz w:val="21"/>
                <w:szCs w:val="21"/>
              </w:rPr>
              <w:t>100</w:t>
            </w:r>
          </w:p>
        </w:tc>
        <w:tc>
          <w:tcPr>
            <w:tcW w:w="853" w:type="pct"/>
            <w:tcBorders>
              <w:tl2br w:val="nil"/>
              <w:tr2bl w:val="nil"/>
            </w:tcBorders>
            <w:noWrap/>
            <w:vAlign w:val="center"/>
          </w:tcPr>
          <w:p>
            <w:pPr>
              <w:widowControl/>
              <w:spacing w:line="240" w:lineRule="auto"/>
              <w:ind w:firstLine="0" w:firstLineChars="0"/>
              <w:jc w:val="center"/>
              <w:rPr>
                <w:b/>
                <w:bCs/>
                <w:color w:val="000000"/>
                <w:kern w:val="0"/>
                <w:sz w:val="21"/>
                <w:szCs w:val="21"/>
              </w:rPr>
            </w:pPr>
            <w:r>
              <w:rPr>
                <w:b/>
                <w:bCs/>
                <w:color w:val="000000"/>
                <w:kern w:val="0"/>
                <w:sz w:val="21"/>
                <w:szCs w:val="21"/>
              </w:rPr>
              <w:t>54.19</w:t>
            </w:r>
          </w:p>
        </w:tc>
        <w:tc>
          <w:tcPr>
            <w:tcW w:w="844" w:type="pct"/>
            <w:tcBorders>
              <w:tl2br w:val="nil"/>
              <w:tr2bl w:val="nil"/>
            </w:tcBorders>
            <w:noWrap/>
            <w:vAlign w:val="center"/>
          </w:tcPr>
          <w:p>
            <w:pPr>
              <w:widowControl/>
              <w:spacing w:line="240" w:lineRule="auto"/>
              <w:ind w:firstLine="0" w:firstLineChars="0"/>
              <w:jc w:val="center"/>
              <w:rPr>
                <w:b/>
                <w:bCs/>
                <w:color w:val="000000"/>
                <w:kern w:val="0"/>
                <w:sz w:val="21"/>
                <w:szCs w:val="21"/>
              </w:rPr>
            </w:pPr>
            <w:r>
              <w:rPr>
                <w:b/>
                <w:bCs/>
                <w:color w:val="000000"/>
                <w:kern w:val="0"/>
                <w:sz w:val="21"/>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449" w:type="pct"/>
            <w:gridSpan w:val="3"/>
            <w:tcBorders>
              <w:tl2br w:val="nil"/>
              <w:tr2bl w:val="nil"/>
            </w:tcBorders>
            <w:vAlign w:val="center"/>
          </w:tcPr>
          <w:p>
            <w:pPr>
              <w:spacing w:line="240" w:lineRule="auto"/>
              <w:ind w:firstLine="0" w:firstLineChars="0"/>
              <w:jc w:val="center"/>
              <w:rPr>
                <w:b/>
                <w:sz w:val="21"/>
                <w:szCs w:val="21"/>
              </w:rPr>
            </w:pPr>
            <w:r>
              <w:rPr>
                <w:b/>
                <w:sz w:val="21"/>
                <w:szCs w:val="21"/>
              </w:rPr>
              <w:drawing>
                <wp:inline distT="0" distB="0" distL="0" distR="0">
                  <wp:extent cx="2552700" cy="1914525"/>
                  <wp:effectExtent l="0" t="0" r="0" b="9525"/>
                  <wp:docPr id="156" name="图片 156" descr="IMG_20210625_09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IMG_20210625_0942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2552700" cy="1914525"/>
                          </a:xfrm>
                          <a:prstGeom prst="rect">
                            <a:avLst/>
                          </a:prstGeom>
                          <a:noFill/>
                          <a:ln>
                            <a:noFill/>
                          </a:ln>
                        </pic:spPr>
                      </pic:pic>
                    </a:graphicData>
                  </a:graphic>
                </wp:inline>
              </w:drawing>
            </w:r>
          </w:p>
        </w:tc>
        <w:tc>
          <w:tcPr>
            <w:tcW w:w="2550" w:type="pct"/>
            <w:gridSpan w:val="3"/>
            <w:tcBorders>
              <w:tl2br w:val="nil"/>
              <w:tr2bl w:val="nil"/>
            </w:tcBorders>
            <w:vAlign w:val="center"/>
          </w:tcPr>
          <w:p>
            <w:pPr>
              <w:spacing w:line="240" w:lineRule="auto"/>
              <w:ind w:firstLine="0" w:firstLineChars="0"/>
              <w:jc w:val="center"/>
              <w:rPr>
                <w:b/>
                <w:sz w:val="21"/>
                <w:szCs w:val="21"/>
              </w:rPr>
            </w:pPr>
            <w:r>
              <w:rPr>
                <w:b/>
                <w:bCs/>
                <w:sz w:val="21"/>
                <w:szCs w:val="21"/>
              </w:rPr>
              <w:drawing>
                <wp:inline distT="0" distB="0" distL="0" distR="0">
                  <wp:extent cx="2552700" cy="1914525"/>
                  <wp:effectExtent l="0" t="0" r="0" b="952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2552700" cy="1914525"/>
                          </a:xfrm>
                          <a:prstGeom prst="rect">
                            <a:avLst/>
                          </a:prstGeom>
                          <a:noFill/>
                          <a:ln>
                            <a:noFill/>
                          </a:ln>
                          <a:effectLst/>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2449" w:type="pct"/>
            <w:gridSpan w:val="3"/>
            <w:tcBorders>
              <w:tl2br w:val="nil"/>
              <w:tr2bl w:val="nil"/>
            </w:tcBorders>
            <w:vAlign w:val="center"/>
          </w:tcPr>
          <w:p>
            <w:pPr>
              <w:spacing w:line="240" w:lineRule="auto"/>
              <w:ind w:firstLine="0" w:firstLineChars="0"/>
              <w:jc w:val="center"/>
              <w:rPr>
                <w:b/>
                <w:sz w:val="21"/>
                <w:szCs w:val="21"/>
              </w:rPr>
            </w:pPr>
            <w:r>
              <w:rPr>
                <w:b/>
                <w:sz w:val="21"/>
                <w:szCs w:val="21"/>
              </w:rPr>
              <w:t>短颌鲚</w:t>
            </w:r>
          </w:p>
        </w:tc>
        <w:tc>
          <w:tcPr>
            <w:tcW w:w="2550" w:type="pct"/>
            <w:gridSpan w:val="3"/>
            <w:tcBorders>
              <w:tl2br w:val="nil"/>
              <w:tr2bl w:val="nil"/>
            </w:tcBorders>
            <w:vAlign w:val="center"/>
          </w:tcPr>
          <w:p>
            <w:pPr>
              <w:spacing w:line="240" w:lineRule="auto"/>
              <w:ind w:firstLine="0" w:firstLineChars="0"/>
              <w:jc w:val="center"/>
              <w:rPr>
                <w:b/>
                <w:sz w:val="21"/>
                <w:szCs w:val="21"/>
              </w:rPr>
            </w:pPr>
            <w:r>
              <w:rPr>
                <w:b/>
                <w:sz w:val="21"/>
                <w:szCs w:val="21"/>
              </w:rPr>
              <w:t>铜鱼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449" w:type="pct"/>
            <w:gridSpan w:val="3"/>
            <w:tcBorders>
              <w:tl2br w:val="nil"/>
              <w:tr2bl w:val="nil"/>
            </w:tcBorders>
            <w:vAlign w:val="center"/>
          </w:tcPr>
          <w:p>
            <w:pPr>
              <w:spacing w:line="240" w:lineRule="auto"/>
              <w:ind w:firstLine="0" w:firstLineChars="0"/>
              <w:jc w:val="center"/>
              <w:rPr>
                <w:b/>
                <w:sz w:val="21"/>
                <w:szCs w:val="21"/>
              </w:rPr>
            </w:pPr>
            <w:r>
              <w:rPr>
                <w:b/>
                <w:sz w:val="21"/>
                <w:szCs w:val="21"/>
              </w:rPr>
              <w:drawing>
                <wp:inline distT="0" distB="0" distL="0" distR="0">
                  <wp:extent cx="2552700" cy="1914525"/>
                  <wp:effectExtent l="0" t="0" r="0" b="9525"/>
                  <wp:docPr id="154" name="图片 154" descr="IMG_20210625_09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IMG_20210625_09452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2552700" cy="1914525"/>
                          </a:xfrm>
                          <a:prstGeom prst="rect">
                            <a:avLst/>
                          </a:prstGeom>
                          <a:noFill/>
                          <a:ln>
                            <a:noFill/>
                          </a:ln>
                        </pic:spPr>
                      </pic:pic>
                    </a:graphicData>
                  </a:graphic>
                </wp:inline>
              </w:drawing>
            </w:r>
          </w:p>
        </w:tc>
        <w:tc>
          <w:tcPr>
            <w:tcW w:w="2550" w:type="pct"/>
            <w:gridSpan w:val="3"/>
            <w:tcBorders>
              <w:tl2br w:val="nil"/>
              <w:tr2bl w:val="nil"/>
            </w:tcBorders>
            <w:vAlign w:val="center"/>
          </w:tcPr>
          <w:p>
            <w:pPr>
              <w:spacing w:line="240" w:lineRule="auto"/>
              <w:ind w:firstLine="0" w:firstLineChars="0"/>
              <w:jc w:val="center"/>
              <w:rPr>
                <w:b/>
                <w:sz w:val="21"/>
                <w:szCs w:val="21"/>
              </w:rPr>
            </w:pPr>
            <w:r>
              <w:rPr>
                <w:b/>
                <w:sz w:val="21"/>
                <w:szCs w:val="21"/>
              </w:rPr>
              <w:drawing>
                <wp:inline distT="0" distB="0" distL="0" distR="0">
                  <wp:extent cx="2543175" cy="1905000"/>
                  <wp:effectExtent l="0" t="0" r="9525" b="0"/>
                  <wp:docPr id="153" name="图片 153" descr="IMG_20210625_09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IMG_20210625_09435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2543175" cy="1905000"/>
                          </a:xfrm>
                          <a:prstGeom prst="rect">
                            <a:avLst/>
                          </a:prstGeom>
                          <a:noFill/>
                          <a:ln>
                            <a:noFill/>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449" w:type="pct"/>
            <w:gridSpan w:val="3"/>
            <w:tcBorders>
              <w:tl2br w:val="nil"/>
              <w:tr2bl w:val="nil"/>
            </w:tcBorders>
            <w:vAlign w:val="center"/>
          </w:tcPr>
          <w:p>
            <w:pPr>
              <w:spacing w:line="240" w:lineRule="auto"/>
              <w:ind w:firstLine="0" w:firstLineChars="0"/>
              <w:jc w:val="center"/>
              <w:rPr>
                <w:b/>
                <w:sz w:val="21"/>
                <w:szCs w:val="21"/>
              </w:rPr>
            </w:pPr>
            <w:r>
              <w:rPr>
                <w:b/>
                <w:sz w:val="21"/>
                <w:szCs w:val="21"/>
              </w:rPr>
              <w:t>鳜</w:t>
            </w:r>
          </w:p>
        </w:tc>
        <w:tc>
          <w:tcPr>
            <w:tcW w:w="2550" w:type="pct"/>
            <w:gridSpan w:val="3"/>
            <w:tcBorders>
              <w:tl2br w:val="nil"/>
              <w:tr2bl w:val="nil"/>
            </w:tcBorders>
            <w:vAlign w:val="center"/>
          </w:tcPr>
          <w:p>
            <w:pPr>
              <w:spacing w:line="240" w:lineRule="auto"/>
              <w:ind w:firstLine="0" w:firstLineChars="0"/>
              <w:jc w:val="center"/>
              <w:rPr>
                <w:b/>
                <w:sz w:val="21"/>
                <w:szCs w:val="21"/>
              </w:rPr>
            </w:pPr>
            <w:r>
              <w:rPr>
                <w:b/>
                <w:sz w:val="21"/>
                <w:szCs w:val="21"/>
              </w:rPr>
              <w:t>团头鲂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449" w:type="pct"/>
            <w:gridSpan w:val="3"/>
            <w:tcBorders>
              <w:tl2br w:val="nil"/>
              <w:tr2bl w:val="nil"/>
            </w:tcBorders>
            <w:vAlign w:val="center"/>
          </w:tcPr>
          <w:p>
            <w:pPr>
              <w:spacing w:line="240" w:lineRule="auto"/>
              <w:ind w:firstLine="0" w:firstLineChars="0"/>
              <w:jc w:val="center"/>
              <w:rPr>
                <w:b/>
                <w:sz w:val="21"/>
                <w:szCs w:val="21"/>
              </w:rPr>
            </w:pPr>
            <w:r>
              <w:rPr>
                <w:b/>
                <w:sz w:val="21"/>
                <w:szCs w:val="21"/>
              </w:rPr>
              <w:drawing>
                <wp:inline distT="0" distB="0" distL="0" distR="0">
                  <wp:extent cx="2543175" cy="1905000"/>
                  <wp:effectExtent l="0" t="0" r="9525" b="0"/>
                  <wp:docPr id="152" name="图片 152" descr="IMG_20210625_09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IMG_20210625_0944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2543175" cy="1905000"/>
                          </a:xfrm>
                          <a:prstGeom prst="rect">
                            <a:avLst/>
                          </a:prstGeom>
                          <a:noFill/>
                          <a:ln>
                            <a:noFill/>
                          </a:ln>
                        </pic:spPr>
                      </pic:pic>
                    </a:graphicData>
                  </a:graphic>
                </wp:inline>
              </w:drawing>
            </w:r>
          </w:p>
        </w:tc>
        <w:tc>
          <w:tcPr>
            <w:tcW w:w="2550" w:type="pct"/>
            <w:gridSpan w:val="3"/>
            <w:tcBorders>
              <w:tl2br w:val="nil"/>
              <w:tr2bl w:val="nil"/>
            </w:tcBorders>
            <w:vAlign w:val="center"/>
          </w:tcPr>
          <w:p>
            <w:pPr>
              <w:spacing w:line="240" w:lineRule="auto"/>
              <w:ind w:firstLine="0" w:firstLineChars="0"/>
              <w:jc w:val="center"/>
              <w:rPr>
                <w:b/>
                <w:sz w:val="21"/>
                <w:szCs w:val="21"/>
              </w:rPr>
            </w:pPr>
            <w:r>
              <w:rPr>
                <w:b/>
                <w:sz w:val="21"/>
                <w:szCs w:val="21"/>
              </w:rPr>
              <w:drawing>
                <wp:inline distT="0" distB="0" distL="0" distR="0">
                  <wp:extent cx="2552700" cy="1914525"/>
                  <wp:effectExtent l="0" t="0" r="0" b="9525"/>
                  <wp:docPr id="151" name="图片 151" descr="IMG_20210625_09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IMG_20210625_09454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2552700" cy="1914525"/>
                          </a:xfrm>
                          <a:prstGeom prst="rect">
                            <a:avLst/>
                          </a:prstGeom>
                          <a:noFill/>
                          <a:ln>
                            <a:noFill/>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449" w:type="pct"/>
            <w:gridSpan w:val="3"/>
            <w:tcBorders>
              <w:tl2br w:val="nil"/>
              <w:tr2bl w:val="nil"/>
            </w:tcBorders>
            <w:vAlign w:val="center"/>
          </w:tcPr>
          <w:p>
            <w:pPr>
              <w:spacing w:line="240" w:lineRule="auto"/>
              <w:ind w:firstLine="0" w:firstLineChars="0"/>
              <w:jc w:val="center"/>
              <w:rPr>
                <w:b/>
                <w:sz w:val="21"/>
                <w:szCs w:val="21"/>
              </w:rPr>
            </w:pPr>
            <w:r>
              <w:rPr>
                <w:b/>
                <w:sz w:val="21"/>
                <w:szCs w:val="21"/>
              </w:rPr>
              <w:t>鲢</w:t>
            </w:r>
          </w:p>
        </w:tc>
        <w:tc>
          <w:tcPr>
            <w:tcW w:w="2550" w:type="pct"/>
            <w:gridSpan w:val="3"/>
            <w:tcBorders>
              <w:tl2br w:val="nil"/>
              <w:tr2bl w:val="nil"/>
            </w:tcBorders>
            <w:vAlign w:val="center"/>
          </w:tcPr>
          <w:p>
            <w:pPr>
              <w:spacing w:line="240" w:lineRule="auto"/>
              <w:ind w:firstLine="0" w:firstLineChars="0"/>
              <w:jc w:val="center"/>
              <w:rPr>
                <w:b/>
                <w:sz w:val="21"/>
                <w:szCs w:val="21"/>
              </w:rPr>
            </w:pPr>
            <w:r>
              <w:rPr>
                <w:b/>
                <w:sz w:val="21"/>
                <w:szCs w:val="21"/>
              </w:rPr>
              <w:t>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449" w:type="pct"/>
            <w:gridSpan w:val="3"/>
            <w:tcBorders>
              <w:tl2br w:val="nil"/>
              <w:tr2bl w:val="nil"/>
            </w:tcBorders>
            <w:vAlign w:val="center"/>
          </w:tcPr>
          <w:p>
            <w:pPr>
              <w:spacing w:line="240" w:lineRule="auto"/>
              <w:ind w:firstLine="0" w:firstLineChars="0"/>
              <w:jc w:val="center"/>
              <w:rPr>
                <w:b/>
                <w:sz w:val="21"/>
                <w:szCs w:val="21"/>
              </w:rPr>
            </w:pPr>
            <w:r>
              <w:rPr>
                <w:b/>
                <w:sz w:val="21"/>
                <w:szCs w:val="21"/>
              </w:rPr>
              <w:drawing>
                <wp:inline distT="0" distB="0" distL="0" distR="0">
                  <wp:extent cx="2543175" cy="1905000"/>
                  <wp:effectExtent l="0" t="0" r="9525" b="0"/>
                  <wp:docPr id="150" name="图片 150" descr="IMG_20210625_094706"/>
                  <wp:cNvGraphicFramePr/>
                  <a:graphic xmlns:a="http://schemas.openxmlformats.org/drawingml/2006/main">
                    <a:graphicData uri="http://schemas.openxmlformats.org/drawingml/2006/picture">
                      <pic:pic xmlns:pic="http://schemas.openxmlformats.org/drawingml/2006/picture">
                        <pic:nvPicPr>
                          <pic:cNvPr id="150" name="图片 150" descr="IMG_20210625_094706"/>
                          <pic:cNvPicPr>
                            <a:picLocks noChangeArrowheads="1"/>
                          </pic:cNvPicPr>
                        </pic:nvPicPr>
                        <pic:blipFill>
                          <a:blip r:embed="rId85">
                            <a:extLst>
                              <a:ext uri="{28A0092B-C50C-407E-A947-70E740481C1C}">
                                <a14:useLocalDpi xmlns:a14="http://schemas.microsoft.com/office/drawing/2010/main" val="0"/>
                              </a:ext>
                            </a:extLst>
                          </a:blip>
                          <a:srcRect l="6343" t="12935"/>
                          <a:stretch>
                            <a:fillRect/>
                          </a:stretch>
                        </pic:blipFill>
                        <pic:spPr>
                          <a:xfrm>
                            <a:off x="0" y="0"/>
                            <a:ext cx="2543175" cy="1905000"/>
                          </a:xfrm>
                          <a:prstGeom prst="rect">
                            <a:avLst/>
                          </a:prstGeom>
                          <a:noFill/>
                          <a:ln>
                            <a:noFill/>
                          </a:ln>
                        </pic:spPr>
                      </pic:pic>
                    </a:graphicData>
                  </a:graphic>
                </wp:inline>
              </w:drawing>
            </w:r>
          </w:p>
        </w:tc>
        <w:tc>
          <w:tcPr>
            <w:tcW w:w="2550" w:type="pct"/>
            <w:gridSpan w:val="3"/>
            <w:tcBorders>
              <w:tl2br w:val="nil"/>
              <w:tr2bl w:val="nil"/>
            </w:tcBorders>
            <w:vAlign w:val="center"/>
          </w:tcPr>
          <w:p>
            <w:pPr>
              <w:spacing w:line="240" w:lineRule="auto"/>
              <w:ind w:firstLine="0" w:firstLineChars="0"/>
              <w:jc w:val="center"/>
              <w:rPr>
                <w:b/>
                <w:sz w:val="21"/>
                <w:szCs w:val="21"/>
              </w:rPr>
            </w:pPr>
            <w:r>
              <w:rPr>
                <w:b/>
                <w:sz w:val="21"/>
                <w:szCs w:val="21"/>
              </w:rPr>
              <w:drawing>
                <wp:inline distT="0" distB="0" distL="0" distR="0">
                  <wp:extent cx="2543175" cy="1905000"/>
                  <wp:effectExtent l="0" t="0" r="9525" b="0"/>
                  <wp:docPr id="149" name="图片 149" descr="IMG_20210625_110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IMG_20210625_11095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2543175" cy="1905000"/>
                          </a:xfrm>
                          <a:prstGeom prst="rect">
                            <a:avLst/>
                          </a:prstGeom>
                          <a:noFill/>
                          <a:ln>
                            <a:noFill/>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449" w:type="pct"/>
            <w:gridSpan w:val="3"/>
            <w:tcBorders>
              <w:tl2br w:val="nil"/>
              <w:tr2bl w:val="nil"/>
            </w:tcBorders>
            <w:vAlign w:val="center"/>
          </w:tcPr>
          <w:p>
            <w:pPr>
              <w:spacing w:line="240" w:lineRule="auto"/>
              <w:ind w:firstLine="0" w:firstLineChars="0"/>
              <w:jc w:val="center"/>
              <w:rPr>
                <w:b/>
                <w:sz w:val="21"/>
                <w:szCs w:val="21"/>
              </w:rPr>
            </w:pPr>
            <w:r>
              <w:rPr>
                <w:b/>
                <w:sz w:val="21"/>
                <w:szCs w:val="21"/>
              </w:rPr>
              <w:t>鲇</w:t>
            </w:r>
          </w:p>
        </w:tc>
        <w:tc>
          <w:tcPr>
            <w:tcW w:w="2550" w:type="pct"/>
            <w:gridSpan w:val="3"/>
            <w:tcBorders>
              <w:tl2br w:val="nil"/>
              <w:tr2bl w:val="nil"/>
            </w:tcBorders>
            <w:vAlign w:val="center"/>
          </w:tcPr>
          <w:p>
            <w:pPr>
              <w:spacing w:line="240" w:lineRule="auto"/>
              <w:ind w:firstLine="0" w:firstLineChars="0"/>
              <w:jc w:val="center"/>
              <w:rPr>
                <w:b/>
                <w:sz w:val="21"/>
                <w:szCs w:val="21"/>
              </w:rPr>
            </w:pPr>
            <w:r>
              <w:rPr>
                <w:b/>
                <w:sz w:val="21"/>
                <w:szCs w:val="21"/>
              </w:rPr>
              <w:t>泥鳅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449" w:type="pct"/>
            <w:gridSpan w:val="3"/>
            <w:tcBorders>
              <w:tl2br w:val="nil"/>
              <w:tr2bl w:val="nil"/>
            </w:tcBorders>
            <w:vAlign w:val="center"/>
          </w:tcPr>
          <w:p>
            <w:pPr>
              <w:spacing w:line="240" w:lineRule="auto"/>
              <w:ind w:firstLine="0" w:firstLineChars="0"/>
              <w:jc w:val="center"/>
              <w:rPr>
                <w:b/>
                <w:sz w:val="21"/>
                <w:szCs w:val="21"/>
              </w:rPr>
            </w:pPr>
            <w:r>
              <w:rPr>
                <w:b/>
                <w:sz w:val="21"/>
                <w:szCs w:val="21"/>
              </w:rPr>
              <w:drawing>
                <wp:inline distT="0" distB="0" distL="0" distR="0">
                  <wp:extent cx="2552700" cy="1914525"/>
                  <wp:effectExtent l="0" t="0" r="0" b="9525"/>
                  <wp:docPr id="148" name="图片 148" descr="IMG_20210625_110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IMG_20210625_11075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2552700" cy="1914525"/>
                          </a:xfrm>
                          <a:prstGeom prst="rect">
                            <a:avLst/>
                          </a:prstGeom>
                          <a:noFill/>
                          <a:ln>
                            <a:noFill/>
                          </a:ln>
                        </pic:spPr>
                      </pic:pic>
                    </a:graphicData>
                  </a:graphic>
                </wp:inline>
              </w:drawing>
            </w:r>
          </w:p>
        </w:tc>
        <w:tc>
          <w:tcPr>
            <w:tcW w:w="2550" w:type="pct"/>
            <w:gridSpan w:val="3"/>
            <w:tcBorders>
              <w:tl2br w:val="nil"/>
              <w:tr2bl w:val="nil"/>
            </w:tcBorders>
            <w:vAlign w:val="center"/>
          </w:tcPr>
          <w:p>
            <w:pPr>
              <w:spacing w:line="240" w:lineRule="auto"/>
              <w:ind w:firstLine="0" w:firstLineChars="0"/>
              <w:jc w:val="center"/>
              <w:rPr>
                <w:b/>
                <w:sz w:val="21"/>
                <w:szCs w:val="21"/>
              </w:rPr>
            </w:pPr>
            <w:r>
              <w:rPr>
                <w:b/>
                <w:sz w:val="21"/>
                <w:szCs w:val="21"/>
              </w:rPr>
              <w:drawing>
                <wp:inline distT="0" distB="0" distL="0" distR="0">
                  <wp:extent cx="2543175" cy="1905000"/>
                  <wp:effectExtent l="0" t="0" r="9525" b="0"/>
                  <wp:docPr id="147" name="图片 147" descr="IMG_20210625_11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IMG_20210625_1101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2543175" cy="1905000"/>
                          </a:xfrm>
                          <a:prstGeom prst="rect">
                            <a:avLst/>
                          </a:prstGeom>
                          <a:noFill/>
                          <a:ln>
                            <a:noFill/>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449" w:type="pct"/>
            <w:gridSpan w:val="3"/>
            <w:tcBorders>
              <w:tl2br w:val="nil"/>
              <w:tr2bl w:val="nil"/>
            </w:tcBorders>
            <w:vAlign w:val="center"/>
          </w:tcPr>
          <w:p>
            <w:pPr>
              <w:spacing w:line="240" w:lineRule="auto"/>
              <w:ind w:firstLine="0" w:firstLineChars="0"/>
              <w:jc w:val="center"/>
              <w:rPr>
                <w:b/>
                <w:sz w:val="21"/>
                <w:szCs w:val="21"/>
              </w:rPr>
            </w:pPr>
            <w:r>
              <w:rPr>
                <w:b/>
                <w:sz w:val="21"/>
                <w:szCs w:val="21"/>
              </w:rPr>
              <w:t>光泽黄颡鱼</w:t>
            </w:r>
          </w:p>
        </w:tc>
        <w:tc>
          <w:tcPr>
            <w:tcW w:w="2550" w:type="pct"/>
            <w:gridSpan w:val="3"/>
            <w:tcBorders>
              <w:tl2br w:val="nil"/>
              <w:tr2bl w:val="nil"/>
            </w:tcBorders>
            <w:vAlign w:val="center"/>
          </w:tcPr>
          <w:p>
            <w:pPr>
              <w:spacing w:line="240" w:lineRule="auto"/>
              <w:ind w:firstLine="0" w:firstLineChars="0"/>
              <w:jc w:val="center"/>
              <w:rPr>
                <w:b/>
                <w:sz w:val="21"/>
                <w:szCs w:val="21"/>
              </w:rPr>
            </w:pPr>
            <w:r>
              <w:rPr>
                <w:b/>
                <w:sz w:val="21"/>
                <w:szCs w:val="21"/>
              </w:rPr>
              <w:t>黄颡鱼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449" w:type="pct"/>
            <w:gridSpan w:val="3"/>
            <w:tcBorders>
              <w:tl2br w:val="nil"/>
              <w:tr2bl w:val="nil"/>
            </w:tcBorders>
            <w:vAlign w:val="center"/>
          </w:tcPr>
          <w:p>
            <w:pPr>
              <w:spacing w:line="240" w:lineRule="auto"/>
              <w:ind w:firstLine="0" w:firstLineChars="0"/>
              <w:jc w:val="center"/>
              <w:rPr>
                <w:b/>
                <w:sz w:val="21"/>
                <w:szCs w:val="21"/>
              </w:rPr>
            </w:pPr>
            <w:r>
              <w:rPr>
                <w:b/>
                <w:sz w:val="21"/>
                <w:szCs w:val="21"/>
              </w:rPr>
              <w:drawing>
                <wp:inline distT="0" distB="0" distL="0" distR="0">
                  <wp:extent cx="2552700" cy="1914525"/>
                  <wp:effectExtent l="0" t="0" r="0" b="9525"/>
                  <wp:docPr id="146" name="图片 146" descr="IMG_20210625_110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IMG_20210625_11033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2552700" cy="1914525"/>
                          </a:xfrm>
                          <a:prstGeom prst="rect">
                            <a:avLst/>
                          </a:prstGeom>
                          <a:noFill/>
                          <a:ln>
                            <a:noFill/>
                          </a:ln>
                        </pic:spPr>
                      </pic:pic>
                    </a:graphicData>
                  </a:graphic>
                </wp:inline>
              </w:drawing>
            </w:r>
          </w:p>
        </w:tc>
        <w:tc>
          <w:tcPr>
            <w:tcW w:w="2550" w:type="pct"/>
            <w:gridSpan w:val="3"/>
            <w:tcBorders>
              <w:tl2br w:val="nil"/>
              <w:tr2bl w:val="nil"/>
            </w:tcBorders>
            <w:vAlign w:val="center"/>
          </w:tcPr>
          <w:p>
            <w:pPr>
              <w:spacing w:line="240" w:lineRule="auto"/>
              <w:ind w:firstLine="0" w:firstLineChars="0"/>
              <w:jc w:val="center"/>
              <w:rPr>
                <w:b/>
                <w:sz w:val="21"/>
                <w:szCs w:val="21"/>
              </w:rPr>
            </w:pPr>
            <w:r>
              <w:rPr>
                <w:b/>
                <w:sz w:val="21"/>
                <w:szCs w:val="21"/>
              </w:rPr>
              <w:drawing>
                <wp:inline distT="0" distB="0" distL="0" distR="0">
                  <wp:extent cx="2552700" cy="1914525"/>
                  <wp:effectExtent l="0" t="0" r="0" b="9525"/>
                  <wp:docPr id="145" name="图片 145" descr="IMG_20210625_11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IMG_20210625_11040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2552700" cy="1914525"/>
                          </a:xfrm>
                          <a:prstGeom prst="rect">
                            <a:avLst/>
                          </a:prstGeom>
                          <a:noFill/>
                          <a:ln>
                            <a:noFill/>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449" w:type="pct"/>
            <w:gridSpan w:val="3"/>
            <w:tcBorders>
              <w:tl2br w:val="nil"/>
              <w:tr2bl w:val="nil"/>
            </w:tcBorders>
            <w:vAlign w:val="center"/>
          </w:tcPr>
          <w:p>
            <w:pPr>
              <w:spacing w:line="240" w:lineRule="auto"/>
              <w:ind w:firstLine="0" w:firstLineChars="0"/>
              <w:jc w:val="center"/>
              <w:rPr>
                <w:b/>
                <w:sz w:val="21"/>
                <w:szCs w:val="21"/>
              </w:rPr>
            </w:pPr>
            <w:r>
              <w:rPr>
                <w:b/>
                <w:sz w:val="21"/>
                <w:szCs w:val="21"/>
              </w:rPr>
              <w:t>达氏鲌</w:t>
            </w:r>
          </w:p>
        </w:tc>
        <w:tc>
          <w:tcPr>
            <w:tcW w:w="2550" w:type="pct"/>
            <w:gridSpan w:val="3"/>
            <w:tcBorders>
              <w:tl2br w:val="nil"/>
              <w:tr2bl w:val="nil"/>
            </w:tcBorders>
            <w:vAlign w:val="center"/>
          </w:tcPr>
          <w:p>
            <w:pPr>
              <w:spacing w:line="240" w:lineRule="auto"/>
              <w:ind w:firstLine="0" w:firstLineChars="0"/>
              <w:jc w:val="center"/>
              <w:rPr>
                <w:b/>
                <w:sz w:val="21"/>
                <w:szCs w:val="21"/>
              </w:rPr>
            </w:pPr>
            <w:r>
              <w:rPr>
                <w:b/>
                <w:sz w:val="21"/>
                <w:szCs w:val="21"/>
              </w:rPr>
              <w:t>尖头鲌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449" w:type="pct"/>
            <w:gridSpan w:val="3"/>
            <w:tcBorders>
              <w:tl2br w:val="nil"/>
              <w:tr2bl w:val="nil"/>
            </w:tcBorders>
            <w:vAlign w:val="center"/>
          </w:tcPr>
          <w:p>
            <w:pPr>
              <w:spacing w:line="240" w:lineRule="auto"/>
              <w:ind w:firstLine="0" w:firstLineChars="0"/>
              <w:jc w:val="center"/>
              <w:rPr>
                <w:b/>
                <w:sz w:val="21"/>
                <w:szCs w:val="21"/>
              </w:rPr>
            </w:pPr>
            <w:r>
              <w:rPr>
                <w:b/>
                <w:sz w:val="21"/>
                <w:szCs w:val="21"/>
              </w:rPr>
              <w:drawing>
                <wp:inline distT="0" distB="0" distL="0" distR="0">
                  <wp:extent cx="2552700" cy="1914525"/>
                  <wp:effectExtent l="0" t="0" r="0" b="9525"/>
                  <wp:docPr id="144" name="图片 144" descr="IMG_20210625_110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IMG_20210625_11053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2552700" cy="1914525"/>
                          </a:xfrm>
                          <a:prstGeom prst="rect">
                            <a:avLst/>
                          </a:prstGeom>
                          <a:noFill/>
                          <a:ln>
                            <a:noFill/>
                          </a:ln>
                        </pic:spPr>
                      </pic:pic>
                    </a:graphicData>
                  </a:graphic>
                </wp:inline>
              </w:drawing>
            </w:r>
          </w:p>
        </w:tc>
        <w:tc>
          <w:tcPr>
            <w:tcW w:w="2550" w:type="pct"/>
            <w:gridSpan w:val="3"/>
            <w:tcBorders>
              <w:tl2br w:val="nil"/>
              <w:tr2bl w:val="nil"/>
            </w:tcBorders>
            <w:vAlign w:val="center"/>
          </w:tcPr>
          <w:p>
            <w:pPr>
              <w:spacing w:line="240" w:lineRule="auto"/>
              <w:ind w:firstLine="0" w:firstLineChars="0"/>
              <w:jc w:val="center"/>
              <w:rPr>
                <w:b/>
                <w:sz w:val="21"/>
                <w:szCs w:val="21"/>
              </w:rPr>
            </w:pPr>
            <w:r>
              <w:rPr>
                <w:b/>
                <w:sz w:val="21"/>
                <w:szCs w:val="21"/>
              </w:rPr>
              <w:drawing>
                <wp:inline distT="0" distB="0" distL="0" distR="0">
                  <wp:extent cx="2552700" cy="1914525"/>
                  <wp:effectExtent l="0" t="0" r="0" b="9525"/>
                  <wp:docPr id="143" name="图片 143" descr="IMG_20210625_110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IMG_20210625_11063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2552700" cy="1914525"/>
                          </a:xfrm>
                          <a:prstGeom prst="rect">
                            <a:avLst/>
                          </a:prstGeom>
                          <a:noFill/>
                          <a:ln>
                            <a:noFill/>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449" w:type="pct"/>
            <w:gridSpan w:val="3"/>
            <w:tcBorders>
              <w:tl2br w:val="nil"/>
              <w:tr2bl w:val="nil"/>
            </w:tcBorders>
            <w:vAlign w:val="center"/>
          </w:tcPr>
          <w:p>
            <w:pPr>
              <w:spacing w:line="240" w:lineRule="auto"/>
              <w:ind w:firstLine="0" w:firstLineChars="0"/>
              <w:jc w:val="center"/>
              <w:rPr>
                <w:b/>
                <w:sz w:val="21"/>
                <w:szCs w:val="21"/>
              </w:rPr>
            </w:pPr>
            <w:r>
              <w:rPr>
                <w:b/>
                <w:sz w:val="21"/>
                <w:szCs w:val="21"/>
              </w:rPr>
              <w:t>蛇鮈</w:t>
            </w:r>
          </w:p>
        </w:tc>
        <w:tc>
          <w:tcPr>
            <w:tcW w:w="2550" w:type="pct"/>
            <w:gridSpan w:val="3"/>
            <w:tcBorders>
              <w:tl2br w:val="nil"/>
              <w:tr2bl w:val="nil"/>
            </w:tcBorders>
            <w:vAlign w:val="center"/>
          </w:tcPr>
          <w:p>
            <w:pPr>
              <w:spacing w:line="240" w:lineRule="auto"/>
              <w:ind w:firstLine="0" w:firstLineChars="0"/>
              <w:jc w:val="center"/>
              <w:rPr>
                <w:b/>
                <w:sz w:val="21"/>
                <w:szCs w:val="21"/>
              </w:rPr>
            </w:pPr>
            <w:r>
              <w:rPr>
                <w:b/>
                <w:sz w:val="21"/>
                <w:szCs w:val="21"/>
              </w:rPr>
              <w:t>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449" w:type="pct"/>
            <w:gridSpan w:val="3"/>
            <w:tcBorders>
              <w:tl2br w:val="nil"/>
              <w:tr2bl w:val="nil"/>
            </w:tcBorders>
            <w:vAlign w:val="center"/>
          </w:tcPr>
          <w:p>
            <w:pPr>
              <w:spacing w:line="240" w:lineRule="auto"/>
              <w:ind w:firstLine="0" w:firstLineChars="0"/>
              <w:jc w:val="center"/>
              <w:rPr>
                <w:b/>
                <w:sz w:val="21"/>
                <w:szCs w:val="21"/>
              </w:rPr>
            </w:pPr>
            <w:r>
              <w:rPr>
                <w:b/>
                <w:sz w:val="21"/>
                <w:szCs w:val="21"/>
              </w:rPr>
              <w:drawing>
                <wp:inline distT="0" distB="0" distL="0" distR="0">
                  <wp:extent cx="2552700" cy="1914525"/>
                  <wp:effectExtent l="0" t="0" r="0" b="9525"/>
                  <wp:docPr id="142" name="图片 142" descr="IMG_20210625_110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IMG_20210625_11044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2552700" cy="1914525"/>
                          </a:xfrm>
                          <a:prstGeom prst="rect">
                            <a:avLst/>
                          </a:prstGeom>
                          <a:noFill/>
                          <a:ln>
                            <a:noFill/>
                          </a:ln>
                        </pic:spPr>
                      </pic:pic>
                    </a:graphicData>
                  </a:graphic>
                </wp:inline>
              </w:drawing>
            </w:r>
          </w:p>
        </w:tc>
        <w:tc>
          <w:tcPr>
            <w:tcW w:w="2550" w:type="pct"/>
            <w:gridSpan w:val="3"/>
            <w:tcBorders>
              <w:tl2br w:val="nil"/>
              <w:tr2bl w:val="nil"/>
            </w:tcBorders>
            <w:vAlign w:val="center"/>
          </w:tcPr>
          <w:p>
            <w:pPr>
              <w:spacing w:line="240" w:lineRule="auto"/>
              <w:ind w:firstLine="0" w:firstLineChars="0"/>
              <w:jc w:val="center"/>
              <w:rPr>
                <w:b/>
                <w:sz w:val="21"/>
                <w:szCs w:val="21"/>
              </w:rPr>
            </w:pPr>
            <w:r>
              <w:rPr>
                <w:b/>
                <w:sz w:val="21"/>
                <w:szCs w:val="21"/>
              </w:rPr>
              <w:drawing>
                <wp:inline distT="0" distB="0" distL="0" distR="0">
                  <wp:extent cx="2543175" cy="1905000"/>
                  <wp:effectExtent l="0" t="0" r="9525" b="0"/>
                  <wp:docPr id="141" name="图片 141" descr="IMG_20210625_093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IMG_20210625_09382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2543175" cy="1905000"/>
                          </a:xfrm>
                          <a:prstGeom prst="rect">
                            <a:avLst/>
                          </a:prstGeom>
                          <a:noFill/>
                          <a:ln>
                            <a:noFill/>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449" w:type="pct"/>
            <w:gridSpan w:val="3"/>
            <w:tcBorders>
              <w:tl2br w:val="nil"/>
              <w:tr2bl w:val="nil"/>
            </w:tcBorders>
            <w:vAlign w:val="center"/>
          </w:tcPr>
          <w:p>
            <w:pPr>
              <w:spacing w:line="240" w:lineRule="auto"/>
              <w:ind w:firstLine="0" w:firstLineChars="0"/>
              <w:jc w:val="center"/>
              <w:rPr>
                <w:b/>
                <w:sz w:val="21"/>
                <w:szCs w:val="21"/>
              </w:rPr>
            </w:pPr>
            <w:r>
              <w:rPr>
                <w:b/>
                <w:sz w:val="21"/>
                <w:szCs w:val="21"/>
              </w:rPr>
              <w:t>切尾拟鲿</w:t>
            </w:r>
          </w:p>
        </w:tc>
        <w:tc>
          <w:tcPr>
            <w:tcW w:w="2550" w:type="pct"/>
            <w:gridSpan w:val="3"/>
            <w:tcBorders>
              <w:tl2br w:val="nil"/>
              <w:tr2bl w:val="nil"/>
            </w:tcBorders>
            <w:vAlign w:val="center"/>
          </w:tcPr>
          <w:p>
            <w:pPr>
              <w:spacing w:line="240" w:lineRule="auto"/>
              <w:ind w:firstLine="0" w:firstLineChars="0"/>
              <w:jc w:val="center"/>
              <w:rPr>
                <w:b/>
                <w:sz w:val="21"/>
                <w:szCs w:val="21"/>
              </w:rPr>
            </w:pPr>
            <w:r>
              <w:rPr>
                <w:b/>
                <w:sz w:val="21"/>
                <w:szCs w:val="21"/>
              </w:rPr>
              <w:t>蒙古鲌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449" w:type="pct"/>
            <w:gridSpan w:val="3"/>
            <w:tcBorders>
              <w:tl2br w:val="nil"/>
              <w:tr2bl w:val="nil"/>
            </w:tcBorders>
            <w:vAlign w:val="center"/>
          </w:tcPr>
          <w:p>
            <w:pPr>
              <w:spacing w:line="240" w:lineRule="auto"/>
              <w:ind w:firstLine="0" w:firstLineChars="0"/>
              <w:jc w:val="center"/>
              <w:rPr>
                <w:b/>
                <w:sz w:val="21"/>
                <w:szCs w:val="21"/>
              </w:rPr>
            </w:pPr>
            <w:r>
              <w:rPr>
                <w:b/>
                <w:sz w:val="21"/>
                <w:szCs w:val="21"/>
              </w:rPr>
              <w:drawing>
                <wp:inline distT="0" distB="0" distL="0" distR="0">
                  <wp:extent cx="2562225" cy="1924050"/>
                  <wp:effectExtent l="0" t="0" r="9525" b="0"/>
                  <wp:docPr id="140" name="图片 140" descr="C:/Users/86186/AppData/Local/Temp/picturecompress_2021071210264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C:/Users/86186/AppData/Local/Temp/picturecompress_20210712102647/output_1.jpgoutput_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2562225" cy="1924050"/>
                          </a:xfrm>
                          <a:prstGeom prst="rect">
                            <a:avLst/>
                          </a:prstGeom>
                          <a:noFill/>
                          <a:ln>
                            <a:noFill/>
                          </a:ln>
                        </pic:spPr>
                      </pic:pic>
                    </a:graphicData>
                  </a:graphic>
                </wp:inline>
              </w:drawing>
            </w:r>
          </w:p>
        </w:tc>
        <w:tc>
          <w:tcPr>
            <w:tcW w:w="2550" w:type="pct"/>
            <w:gridSpan w:val="3"/>
            <w:tcBorders>
              <w:tl2br w:val="nil"/>
              <w:tr2bl w:val="nil"/>
            </w:tcBorders>
            <w:vAlign w:val="center"/>
          </w:tcPr>
          <w:p>
            <w:pPr>
              <w:spacing w:line="240" w:lineRule="auto"/>
              <w:ind w:firstLine="0" w:firstLineChars="0"/>
              <w:jc w:val="center"/>
              <w:rPr>
                <w:b/>
                <w:sz w:val="21"/>
                <w:szCs w:val="21"/>
              </w:rPr>
            </w:pPr>
            <w:r>
              <w:rPr>
                <w:b/>
                <w:sz w:val="21"/>
                <w:szCs w:val="21"/>
              </w:rPr>
              <w:drawing>
                <wp:inline distT="0" distB="0" distL="0" distR="0">
                  <wp:extent cx="2562225" cy="1924050"/>
                  <wp:effectExtent l="0" t="0" r="9525" b="0"/>
                  <wp:docPr id="139" name="图片 139" descr="DSC0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DSC0203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2562225" cy="1924050"/>
                          </a:xfrm>
                          <a:prstGeom prst="rect">
                            <a:avLst/>
                          </a:prstGeom>
                          <a:noFill/>
                          <a:ln>
                            <a:noFill/>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2449" w:type="pct"/>
            <w:gridSpan w:val="3"/>
            <w:tcBorders>
              <w:tl2br w:val="nil"/>
              <w:tr2bl w:val="nil"/>
            </w:tcBorders>
            <w:vAlign w:val="center"/>
          </w:tcPr>
          <w:p>
            <w:pPr>
              <w:spacing w:line="240" w:lineRule="auto"/>
              <w:ind w:firstLine="0" w:firstLineChars="0"/>
              <w:jc w:val="center"/>
              <w:rPr>
                <w:b/>
                <w:sz w:val="21"/>
                <w:szCs w:val="21"/>
              </w:rPr>
            </w:pPr>
            <w:r>
              <w:rPr>
                <w:b/>
                <w:sz w:val="21"/>
                <w:szCs w:val="21"/>
              </w:rPr>
              <w:t>鱼类资源调查</w:t>
            </w:r>
          </w:p>
        </w:tc>
        <w:tc>
          <w:tcPr>
            <w:tcW w:w="2550" w:type="pct"/>
            <w:gridSpan w:val="3"/>
            <w:tcBorders>
              <w:tl2br w:val="nil"/>
              <w:tr2bl w:val="nil"/>
            </w:tcBorders>
            <w:vAlign w:val="center"/>
          </w:tcPr>
          <w:p>
            <w:pPr>
              <w:spacing w:line="240" w:lineRule="auto"/>
              <w:ind w:firstLine="0" w:firstLineChars="0"/>
              <w:jc w:val="center"/>
              <w:rPr>
                <w:b/>
                <w:sz w:val="21"/>
                <w:szCs w:val="21"/>
              </w:rPr>
            </w:pPr>
            <w:r>
              <w:rPr>
                <w:b/>
                <w:sz w:val="21"/>
                <w:szCs w:val="21"/>
              </w:rPr>
              <w:t>鱼类资源调查</w:t>
            </w:r>
          </w:p>
        </w:tc>
      </w:tr>
    </w:tbl>
    <w:p>
      <w:pPr>
        <w:spacing w:line="240" w:lineRule="auto"/>
        <w:ind w:firstLine="482" w:firstLineChars="0"/>
        <w:rPr>
          <w:rFonts w:hint="eastAsia" w:ascii="Times New Roman" w:hAnsi="Times New Roman" w:eastAsia="宋体"/>
          <w:b/>
          <w:bCs/>
          <w:sz w:val="24"/>
          <w:szCs w:val="20"/>
          <w:lang w:eastAsia="zh-CN"/>
        </w:rPr>
      </w:pPr>
      <w:r>
        <w:rPr>
          <w:rFonts w:hint="eastAsia"/>
          <w:b/>
          <w:bCs/>
          <w:sz w:val="24"/>
          <w:szCs w:val="20"/>
          <w:lang w:eastAsia="zh-CN"/>
        </w:rPr>
        <w:t>八、长江江豚</w:t>
      </w:r>
    </w:p>
    <w:p>
      <w:pPr>
        <w:spacing w:line="360" w:lineRule="auto"/>
        <w:ind w:firstLine="480" w:firstLineChars="200"/>
        <w:rPr>
          <w:rFonts w:ascii="Times New Roman" w:hAnsi="Times New Roman"/>
          <w:b/>
          <w:bCs/>
          <w:sz w:val="24"/>
          <w:szCs w:val="24"/>
        </w:rPr>
      </w:pPr>
      <w:r>
        <w:rPr>
          <w:rFonts w:ascii="Times New Roman" w:hAnsi="Times New Roman"/>
          <w:sz w:val="24"/>
          <w:szCs w:val="24"/>
        </w:rPr>
        <w:t>本工程所在长江干流江段距离东洞庭湖江豚自然保护区约10km，现状调查期间在距离本工程上游约21km的关墩头水域发现了长江江豚，其生物学特性、种群现状及分布区域介绍如下：</w:t>
      </w:r>
    </w:p>
    <w:p>
      <w:pPr>
        <w:autoSpaceDE w:val="0"/>
        <w:autoSpaceDN w:val="0"/>
        <w:spacing w:line="360" w:lineRule="auto"/>
        <w:ind w:firstLine="561"/>
        <w:jc w:val="left"/>
        <w:rPr>
          <w:rFonts w:ascii="Times New Roman" w:hAnsi="Times New Roman"/>
          <w:b/>
          <w:sz w:val="24"/>
          <w:szCs w:val="24"/>
        </w:rPr>
      </w:pPr>
      <w:r>
        <w:rPr>
          <w:rFonts w:ascii="Times New Roman" w:hAnsi="Times New Roman"/>
          <w:b/>
          <w:sz w:val="24"/>
          <w:szCs w:val="24"/>
        </w:rPr>
        <w:t>（1）生物学特性</w:t>
      </w:r>
    </w:p>
    <w:p>
      <w:pPr>
        <w:spacing w:line="360" w:lineRule="auto"/>
        <w:ind w:firstLine="561"/>
        <w:rPr>
          <w:rFonts w:ascii="Times New Roman" w:hAnsi="Times New Roman"/>
          <w:sz w:val="24"/>
          <w:szCs w:val="24"/>
        </w:rPr>
      </w:pPr>
      <w:r>
        <w:rPr>
          <w:rFonts w:ascii="Times New Roman" w:hAnsi="Times New Roman"/>
          <w:sz w:val="24"/>
          <w:szCs w:val="24"/>
        </w:rPr>
        <w:t>长江江豚（</w:t>
      </w:r>
      <w:r>
        <w:rPr>
          <w:rFonts w:ascii="Times New Roman" w:hAnsi="Times New Roman"/>
          <w:i/>
          <w:sz w:val="24"/>
          <w:szCs w:val="24"/>
        </w:rPr>
        <w:t>Neophocaena asiaeorientalis</w:t>
      </w:r>
      <w:r>
        <w:rPr>
          <w:rFonts w:ascii="Times New Roman" w:hAnsi="Times New Roman"/>
          <w:sz w:val="24"/>
          <w:szCs w:val="24"/>
        </w:rPr>
        <w:t>），哺乳纲，鲸目，齿鲸亚目，鼠海豚科，俗名：江猪，是仅分布于长江中下游的我国特有的水生哺乳动物，为国家一级保护水生野生动物。长江江豚体长一般为1.5m左右，大的也可达2m以上，体重50-100kg。长江江豚平时多在河口、沙洲或江岸附近活动觅食，一般三五头结成小群活动，偶见结成数十乃至数百头的大群。平时多在晨昏活动，早晚有两次活动高峰，尤其是傍晚，活动最为频繁。食物主要有鱼、虾、甲壳类和其他水生动物。交配期在春、秋两季，怀孕期约11.5个月，每胎产1仔。长江江豚的抚幼行为大致都发生在每年的4～5月份和9～10月份之后（熊远辉等，2011）。</w:t>
      </w:r>
    </w:p>
    <w:p>
      <w:pPr>
        <w:spacing w:line="360" w:lineRule="auto"/>
        <w:ind w:firstLine="561"/>
        <w:rPr>
          <w:rFonts w:ascii="Times New Roman" w:hAnsi="Times New Roman"/>
          <w:sz w:val="24"/>
          <w:szCs w:val="24"/>
        </w:rPr>
      </w:pPr>
      <w:r>
        <w:rPr>
          <w:rFonts w:ascii="Times New Roman" w:hAnsi="Times New Roman"/>
          <w:sz w:val="24"/>
          <w:szCs w:val="24"/>
        </w:rPr>
        <w:t>迁移与逃避行为：往返船只对长江江豚存在明显的干扰，特别是船只变速行驶时，长江江豚反应更为警觉。逃跑时一般先采取分散深潜方式，快速潜逃。深潜时间可达3~5min。有时遇到紧急情况，深潜躲避不及时就采用跳跃方式逃窜。半自然水域长江江豚也有跳跃行为，通常在雷雨来临前3h或者表层水温接近0</w:t>
      </w:r>
      <w:r>
        <w:rPr>
          <w:rFonts w:hint="eastAsia" w:ascii="宋体" w:hAnsi="宋体" w:cs="宋体"/>
          <w:sz w:val="24"/>
          <w:szCs w:val="24"/>
        </w:rPr>
        <w:t>℃</w:t>
      </w:r>
      <w:r>
        <w:rPr>
          <w:rFonts w:ascii="Times New Roman" w:hAnsi="Times New Roman"/>
          <w:sz w:val="24"/>
          <w:szCs w:val="24"/>
        </w:rPr>
        <w:t>时，长江江豚会集体向同一方向跳跃游动。</w:t>
      </w:r>
    </w:p>
    <w:p>
      <w:pPr>
        <w:autoSpaceDE w:val="0"/>
        <w:autoSpaceDN w:val="0"/>
        <w:spacing w:line="360" w:lineRule="auto"/>
        <w:ind w:firstLine="561"/>
        <w:rPr>
          <w:rFonts w:ascii="Times New Roman" w:hAnsi="Times New Roman"/>
          <w:sz w:val="24"/>
          <w:szCs w:val="24"/>
        </w:rPr>
      </w:pPr>
      <w:r>
        <w:rPr>
          <w:rFonts w:ascii="Times New Roman" w:hAnsi="Times New Roman"/>
          <w:sz w:val="24"/>
          <w:szCs w:val="24"/>
        </w:rPr>
        <w:t>长江豚类在长江内大范围迁移与鱼类洄游习性有关，长江江豚迁移范围较小，在弯曲河道的边滩缓水区、分叉河道的干支流交汇水域的分离区和滞留区，以及洲心滩的分流区之间往返迁移。原因是这些水区流速相对平缓，且有鱼类活动。</w:t>
      </w:r>
    </w:p>
    <w:p>
      <w:pPr>
        <w:autoSpaceDE w:val="0"/>
        <w:autoSpaceDN w:val="0"/>
        <w:spacing w:line="360" w:lineRule="auto"/>
        <w:ind w:firstLine="482" w:firstLineChars="200"/>
        <w:jc w:val="left"/>
        <w:rPr>
          <w:rFonts w:ascii="Times New Roman" w:hAnsi="Times New Roman"/>
          <w:b/>
          <w:sz w:val="24"/>
          <w:szCs w:val="24"/>
        </w:rPr>
      </w:pPr>
      <w:r>
        <w:rPr>
          <w:rFonts w:ascii="Times New Roman" w:hAnsi="Times New Roman"/>
          <w:b/>
          <w:sz w:val="24"/>
          <w:szCs w:val="24"/>
        </w:rPr>
        <w:t>（2）资源量变化</w:t>
      </w:r>
    </w:p>
    <w:p>
      <w:pPr>
        <w:autoSpaceDE w:val="0"/>
        <w:autoSpaceDN w:val="0"/>
        <w:spacing w:line="360" w:lineRule="auto"/>
        <w:ind w:firstLine="480" w:firstLineChars="200"/>
        <w:jc w:val="left"/>
        <w:rPr>
          <w:rFonts w:ascii="Times New Roman" w:hAnsi="Times New Roman"/>
          <w:sz w:val="24"/>
          <w:szCs w:val="24"/>
        </w:rPr>
      </w:pPr>
      <w:r>
        <w:rPr>
          <w:rFonts w:ascii="Times New Roman" w:hAnsi="Times New Roman"/>
          <w:sz w:val="24"/>
          <w:szCs w:val="24"/>
        </w:rPr>
        <w:t>1）历史资料</w:t>
      </w:r>
    </w:p>
    <w:p>
      <w:pPr>
        <w:spacing w:line="360" w:lineRule="auto"/>
        <w:ind w:firstLine="480" w:firstLineChars="200"/>
        <w:rPr>
          <w:rFonts w:ascii="Times New Roman" w:hAnsi="Times New Roman"/>
          <w:sz w:val="24"/>
          <w:szCs w:val="24"/>
        </w:rPr>
      </w:pPr>
      <w:r>
        <w:rPr>
          <w:rFonts w:ascii="Times New Roman" w:hAnsi="Times New Roman"/>
          <w:sz w:val="24"/>
          <w:szCs w:val="24"/>
        </w:rPr>
        <w:t>2016年12月，原农业部印发《长江江豚拯救行动计划（2016—2025）》中记录了2012年长江江豚考察结果，洞庭湖、鄱阳湖中长江江豚的数量分别约为90头和450头，长江干流长江江豚的数量仅约500头。农业农村部2018年7月发布的长江江豚科学考察情况显示，长江江豚数量约为1012头，极度濒危状况虽仍未改变，但种群数量大幅下降趋势得到遏制。</w:t>
      </w:r>
    </w:p>
    <w:p>
      <w:pPr>
        <w:spacing w:line="360" w:lineRule="auto"/>
        <w:ind w:firstLine="480" w:firstLineChars="200"/>
        <w:jc w:val="left"/>
        <w:rPr>
          <w:rFonts w:ascii="Times New Roman" w:hAnsi="Times New Roman"/>
          <w:sz w:val="24"/>
          <w:szCs w:val="24"/>
        </w:rPr>
      </w:pPr>
      <w:r>
        <w:rPr>
          <w:rFonts w:ascii="Times New Roman" w:hAnsi="Times New Roman"/>
          <w:sz w:val="24"/>
          <w:szCs w:val="24"/>
        </w:rPr>
        <w:t>2）本次调查</w:t>
      </w:r>
    </w:p>
    <w:p>
      <w:pPr>
        <w:spacing w:line="360" w:lineRule="auto"/>
        <w:ind w:firstLine="480" w:firstLineChars="200"/>
        <w:rPr>
          <w:rFonts w:ascii="Times New Roman" w:hAnsi="Times New Roman"/>
          <w:sz w:val="24"/>
          <w:szCs w:val="24"/>
        </w:rPr>
      </w:pPr>
      <w:r>
        <w:rPr>
          <w:rFonts w:ascii="Times New Roman" w:hAnsi="Times New Roman"/>
          <w:sz w:val="24"/>
          <w:szCs w:val="24"/>
        </w:rPr>
        <w:t>项目组技术人员在工程区附近采用望远镜观测、乘船往返工程区附近江段、访问沿江老渔民和江上水政人员的方式开展工程区附近长江江豚调查。</w:t>
      </w:r>
    </w:p>
    <w:p>
      <w:pPr>
        <w:spacing w:line="360" w:lineRule="auto"/>
        <w:ind w:firstLine="480" w:firstLineChars="200"/>
        <w:jc w:val="left"/>
        <w:rPr>
          <w:rFonts w:ascii="Times New Roman" w:hAnsi="Times New Roman"/>
          <w:sz w:val="24"/>
          <w:szCs w:val="24"/>
        </w:rPr>
      </w:pPr>
      <w:r>
        <w:rPr>
          <w:rFonts w:hint="eastAsia" w:ascii="宋体" w:hAnsi="宋体" w:cs="宋体"/>
          <w:sz w:val="24"/>
          <w:szCs w:val="24"/>
        </w:rPr>
        <w:t>①</w:t>
      </w:r>
      <w:r>
        <w:rPr>
          <w:rFonts w:ascii="Times New Roman" w:hAnsi="Times New Roman"/>
          <w:sz w:val="24"/>
          <w:szCs w:val="24"/>
        </w:rPr>
        <w:t>直接计数法调查长江江豚</w:t>
      </w:r>
    </w:p>
    <w:p>
      <w:pPr>
        <w:spacing w:line="360" w:lineRule="auto"/>
        <w:ind w:firstLine="480" w:firstLineChars="200"/>
        <w:rPr>
          <w:rFonts w:ascii="Times New Roman" w:hAnsi="Times New Roman"/>
          <w:sz w:val="24"/>
          <w:szCs w:val="24"/>
        </w:rPr>
      </w:pPr>
      <w:r>
        <w:rPr>
          <w:rFonts w:ascii="Times New Roman" w:hAnsi="Times New Roman"/>
          <w:sz w:val="24"/>
          <w:szCs w:val="24"/>
        </w:rPr>
        <w:t>6月24日早上在保护区核心区三江口至东洞庭湖口段调查一次，</w:t>
      </w:r>
      <w:r>
        <w:rPr>
          <w:rFonts w:ascii="Times New Roman" w:hAnsi="Times New Roman"/>
          <w:sz w:val="24"/>
        </w:rPr>
        <w:t>在船上用肉眼并辅以望远镜观察。</w:t>
      </w:r>
      <w:r>
        <w:rPr>
          <w:rFonts w:ascii="Times New Roman" w:hAnsi="Times New Roman"/>
          <w:sz w:val="24"/>
          <w:szCs w:val="24"/>
        </w:rPr>
        <w:t>在距离本工程上游约21km的关墩头水域（29°22'55.03"N，113° 4'10.76"E）观测到长江江豚1群2头次。6月25日清晨和傍晚乘船（航速</w:t>
      </w:r>
      <w:r>
        <w:rPr>
          <w:rFonts w:ascii="Times New Roman" w:hAnsi="Times New Roman"/>
          <w:sz w:val="24"/>
        </w:rPr>
        <w:t>12km/h</w:t>
      </w:r>
      <w:r>
        <w:rPr>
          <w:rFonts w:ascii="Times New Roman" w:hAnsi="Times New Roman"/>
          <w:sz w:val="24"/>
          <w:szCs w:val="24"/>
        </w:rPr>
        <w:t>）往返调查工程区上下游约5km的江段，观测6次，</w:t>
      </w:r>
      <w:r>
        <w:rPr>
          <w:rFonts w:ascii="Times New Roman" w:hAnsi="Times New Roman"/>
          <w:sz w:val="24"/>
        </w:rPr>
        <w:t>在工程区长江江段</w:t>
      </w:r>
      <w:r>
        <w:rPr>
          <w:rFonts w:ascii="Times New Roman" w:hAnsi="Times New Roman"/>
          <w:sz w:val="24"/>
          <w:szCs w:val="24"/>
        </w:rPr>
        <w:t>未观测到长江江豚出没。通过访问在该区域活动的渔民得知，长江江豚在丰水期的活动范围会到洞庭湖大桥，在枯水期主要在湖区活动。距离本工程上游约27km的太平咀至罗汉洲湖区水域经常能看到长江江豚活动。</w:t>
      </w:r>
    </w:p>
    <w:tbl>
      <w:tblPr>
        <w:tblStyle w:val="87"/>
        <w:tblW w:w="0" w:type="auto"/>
        <w:tblInd w:w="-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56"/>
        <w:gridCol w:w="4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9" w:type="dxa"/>
          </w:tcPr>
          <w:p>
            <w:pPr>
              <w:widowControl/>
              <w:jc w:val="left"/>
              <w:rPr>
                <w:rFonts w:ascii="Times New Roman" w:hAnsi="Times New Roman"/>
                <w:sz w:val="24"/>
                <w:szCs w:val="24"/>
              </w:rPr>
            </w:pPr>
            <w:r>
              <w:rPr>
                <w:rFonts w:ascii="Times New Roman" w:hAnsi="Times New Roman"/>
                <w:sz w:val="24"/>
                <w:szCs w:val="24"/>
              </w:rPr>
              <w:drawing>
                <wp:inline distT="0" distB="0" distL="0" distR="0">
                  <wp:extent cx="2505075" cy="1990725"/>
                  <wp:effectExtent l="0" t="0" r="9525" b="9525"/>
                  <wp:docPr id="138" name="图片 138" descr="DSC0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DSC0198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2505075" cy="1990725"/>
                          </a:xfrm>
                          <a:prstGeom prst="rect">
                            <a:avLst/>
                          </a:prstGeom>
                          <a:noFill/>
                          <a:ln>
                            <a:noFill/>
                          </a:ln>
                        </pic:spPr>
                      </pic:pic>
                    </a:graphicData>
                  </a:graphic>
                </wp:inline>
              </w:drawing>
            </w:r>
          </w:p>
        </w:tc>
        <w:tc>
          <w:tcPr>
            <w:tcW w:w="4296" w:type="dxa"/>
          </w:tcPr>
          <w:p>
            <w:pPr>
              <w:widowControl/>
              <w:jc w:val="left"/>
              <w:rPr>
                <w:rFonts w:ascii="Times New Roman" w:hAnsi="Times New Roman"/>
                <w:sz w:val="24"/>
                <w:szCs w:val="24"/>
              </w:rPr>
            </w:pPr>
            <w:r>
              <w:rPr>
                <w:rFonts w:ascii="Times New Roman" w:hAnsi="Times New Roman"/>
              </w:rPr>
              <mc:AlternateContent>
                <mc:Choice Requires="wps">
                  <w:drawing>
                    <wp:anchor distT="0" distB="0" distL="114300" distR="114300" simplePos="0" relativeHeight="251660288" behindDoc="0" locked="0" layoutInCell="1" allowOverlap="1">
                      <wp:simplePos x="0" y="0"/>
                      <wp:positionH relativeFrom="column">
                        <wp:posOffset>568960</wp:posOffset>
                      </wp:positionH>
                      <wp:positionV relativeFrom="paragraph">
                        <wp:posOffset>1356995</wp:posOffset>
                      </wp:positionV>
                      <wp:extent cx="250825" cy="104140"/>
                      <wp:effectExtent l="3810" t="8890" r="12065" b="20320"/>
                      <wp:wrapNone/>
                      <wp:docPr id="158" name="直接箭头连接符 158"/>
                      <wp:cNvGraphicFramePr/>
                      <a:graphic xmlns:a="http://schemas.openxmlformats.org/drawingml/2006/main">
                        <a:graphicData uri="http://schemas.microsoft.com/office/word/2010/wordprocessingShape">
                          <wps:wsp>
                            <wps:cNvCnPr/>
                            <wps:spPr>
                              <a:xfrm>
                                <a:off x="0" y="0"/>
                                <a:ext cx="250825" cy="104140"/>
                              </a:xfrm>
                              <a:prstGeom prst="straightConnector1">
                                <a:avLst/>
                              </a:prstGeom>
                              <a:noFill/>
                              <a:ln w="19050" cap="flat" cmpd="sng" algn="ctr">
                                <a:solidFill>
                                  <a:srgbClr val="FF0000"/>
                                </a:solidFill>
                                <a:prstDash val="solid"/>
                                <a:miter lim="800000"/>
                                <a:tailEnd type="arrow" w="med" len="med"/>
                              </a:ln>
                            </wps:spPr>
                            <wps:bodyPr/>
                          </wps:wsp>
                        </a:graphicData>
                      </a:graphic>
                    </wp:anchor>
                  </w:drawing>
                </mc:Choice>
                <mc:Fallback>
                  <w:pict>
                    <v:shape id="_x0000_s1026" o:spid="_x0000_s1026" o:spt="32" type="#_x0000_t32" style="position:absolute;left:0pt;margin-left:44.8pt;margin-top:106.85pt;height:8.2pt;width:19.75pt;z-index:251660288;mso-width-relative:page;mso-height-relative:page;" filled="f" stroked="t" coordsize="21600,21600" o:gfxdata="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BZeF72gAAAAoBAAAP&#10;AAAAAAAAAAEAIAAAACIAAABkcnMvZG93bnJldi54bWxQSwECFAAUAAAACACHTuJAWxzM1xYCAAD5&#10;AwAADgAAAAAAAAABACAAAAApAQAAZHJzL2Uyb0RvYy54bWxQSwUGAAAAAAYABgBZAQAAsQUAAAAA&#10;">
                      <v:fill on="f" focussize="0,0"/>
                      <v:stroke weight="1.5pt" color="#FF0000" miterlimit="8" joinstyle="miter" endarrow="open"/>
                      <v:imagedata o:title=""/>
                      <o:lock v:ext="edit" aspectratio="f"/>
                    </v:shape>
                  </w:pict>
                </mc:Fallback>
              </mc:AlternateContent>
            </w:r>
            <w:r>
              <w:rPr>
                <w:rFonts w:ascii="Times New Roman" w:hAnsi="Times New Roman"/>
              </w:rPr>
              <mc:AlternateContent>
                <mc:Choice Requires="wps">
                  <w:drawing>
                    <wp:anchor distT="0" distB="0" distL="114300" distR="114300" simplePos="0" relativeHeight="251659264" behindDoc="0" locked="0" layoutInCell="1" allowOverlap="1">
                      <wp:simplePos x="0" y="0"/>
                      <wp:positionH relativeFrom="column">
                        <wp:posOffset>1027430</wp:posOffset>
                      </wp:positionH>
                      <wp:positionV relativeFrom="paragraph">
                        <wp:posOffset>1218565</wp:posOffset>
                      </wp:positionV>
                      <wp:extent cx="173355" cy="138430"/>
                      <wp:effectExtent l="0" t="7620" r="17145" b="6350"/>
                      <wp:wrapNone/>
                      <wp:docPr id="157" name="直接箭头连接符 157"/>
                      <wp:cNvGraphicFramePr/>
                      <a:graphic xmlns:a="http://schemas.openxmlformats.org/drawingml/2006/main">
                        <a:graphicData uri="http://schemas.microsoft.com/office/word/2010/wordprocessingShape">
                          <wps:wsp>
                            <wps:cNvCnPr/>
                            <wps:spPr>
                              <a:xfrm flipH="1">
                                <a:off x="0" y="0"/>
                                <a:ext cx="173355" cy="138430"/>
                              </a:xfrm>
                              <a:prstGeom prst="straightConnector1">
                                <a:avLst/>
                              </a:prstGeom>
                              <a:noFill/>
                              <a:ln w="19050" cap="flat" cmpd="sng" algn="ctr">
                                <a:solidFill>
                                  <a:srgbClr val="FF0000"/>
                                </a:solidFill>
                                <a:prstDash val="solid"/>
                                <a:miter lim="800000"/>
                                <a:tailEnd type="arrow" w="med" len="med"/>
                              </a:ln>
                            </wps:spPr>
                            <wps:bodyPr/>
                          </wps:wsp>
                        </a:graphicData>
                      </a:graphic>
                    </wp:anchor>
                  </w:drawing>
                </mc:Choice>
                <mc:Fallback>
                  <w:pict>
                    <v:shape id="_x0000_s1026" o:spid="_x0000_s1026" o:spt="32" type="#_x0000_t32" style="position:absolute;left:0pt;flip:x;margin-left:80.9pt;margin-top:95.95pt;height:10.9pt;width:13.65pt;z-index:251659264;mso-width-relative:page;mso-height-relative:page;" filled="f" stroked="t" coordsize="21600,21600" o:gfxdata="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Yahu&#10;ENsAAAALAQAADwAAAAAAAAABACAAAAAiAAAAZHJzL2Rvd25yZXYueG1sUEsBAhQAFAAAAAgAh07i&#10;QETOpYgfAgAAAwQAAA4AAAAAAAAAAQAgAAAAKgEAAGRycy9lMm9Eb2MueG1sUEsFBgAAAAAGAAYA&#10;WQEAALsFAAAAAA==&#10;">
                      <v:fill on="f" focussize="0,0"/>
                      <v:stroke weight="1.5pt" color="#FF0000" miterlimit="8" joinstyle="miter" endarrow="open"/>
                      <v:imagedata o:title=""/>
                      <o:lock v:ext="edit" aspectratio="f"/>
                    </v:shape>
                  </w:pict>
                </mc:Fallback>
              </mc:AlternateContent>
            </w:r>
            <w:r>
              <w:rPr>
                <w:rFonts w:ascii="Times New Roman" w:hAnsi="Times New Roman"/>
              </w:rPr>
              <w:drawing>
                <wp:inline distT="0" distB="0" distL="0" distR="0">
                  <wp:extent cx="2590800" cy="2009775"/>
                  <wp:effectExtent l="0" t="0" r="0" b="952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2590800" cy="20097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9" w:type="dxa"/>
          </w:tcPr>
          <w:p>
            <w:pPr>
              <w:widowControl/>
              <w:jc w:val="center"/>
              <w:rPr>
                <w:rFonts w:ascii="Times New Roman" w:hAnsi="Times New Roman"/>
                <w:szCs w:val="24"/>
              </w:rPr>
            </w:pPr>
            <w:r>
              <w:rPr>
                <w:rFonts w:ascii="Times New Roman" w:hAnsi="Times New Roman"/>
                <w:szCs w:val="24"/>
              </w:rPr>
              <w:t>长江江豚观察</w:t>
            </w:r>
          </w:p>
          <w:p>
            <w:pPr>
              <w:widowControl/>
              <w:jc w:val="center"/>
              <w:rPr>
                <w:rFonts w:ascii="Times New Roman" w:hAnsi="Times New Roman"/>
                <w:sz w:val="24"/>
                <w:szCs w:val="24"/>
              </w:rPr>
            </w:pPr>
            <w:r>
              <w:rPr>
                <w:rFonts w:ascii="Times New Roman" w:hAnsi="Times New Roman"/>
                <w:szCs w:val="24"/>
              </w:rPr>
              <w:t>（拍摄人：孙建滨，2021年6月25日9时）</w:t>
            </w:r>
          </w:p>
        </w:tc>
        <w:tc>
          <w:tcPr>
            <w:tcW w:w="4296" w:type="dxa"/>
          </w:tcPr>
          <w:p>
            <w:pPr>
              <w:widowControl/>
              <w:jc w:val="center"/>
              <w:rPr>
                <w:rFonts w:ascii="Times New Roman" w:hAnsi="Times New Roman"/>
                <w:szCs w:val="24"/>
              </w:rPr>
            </w:pPr>
            <w:r>
              <w:rPr>
                <w:rFonts w:ascii="Times New Roman" w:hAnsi="Times New Roman"/>
                <w:szCs w:val="24"/>
              </w:rPr>
              <w:t>长江江豚1群，2头次</w:t>
            </w:r>
          </w:p>
          <w:p>
            <w:pPr>
              <w:widowControl/>
              <w:jc w:val="left"/>
              <w:rPr>
                <w:rFonts w:ascii="Times New Roman" w:hAnsi="Times New Roman"/>
                <w:sz w:val="24"/>
                <w:szCs w:val="24"/>
              </w:rPr>
            </w:pPr>
            <w:r>
              <w:rPr>
                <w:rFonts w:ascii="Times New Roman" w:hAnsi="Times New Roman"/>
                <w:szCs w:val="24"/>
              </w:rPr>
              <w:t>（拍摄人：孙建滨，2021年6月24日10时）</w:t>
            </w:r>
          </w:p>
        </w:tc>
      </w:tr>
    </w:tbl>
    <w:p>
      <w:pPr>
        <w:widowControl/>
        <w:spacing w:line="360" w:lineRule="auto"/>
        <w:ind w:firstLine="480" w:firstLineChars="200"/>
        <w:rPr>
          <w:rFonts w:ascii="Times New Roman" w:hAnsi="Times New Roman"/>
          <w:sz w:val="24"/>
          <w:szCs w:val="24"/>
        </w:rPr>
      </w:pPr>
      <w:r>
        <w:rPr>
          <w:rFonts w:hint="eastAsia" w:ascii="宋体" w:hAnsi="宋体" w:cs="宋体"/>
          <w:sz w:val="24"/>
          <w:szCs w:val="24"/>
        </w:rPr>
        <w:t>②</w:t>
      </w:r>
      <w:r>
        <w:rPr>
          <w:rFonts w:ascii="Times New Roman" w:hAnsi="Times New Roman"/>
          <w:sz w:val="24"/>
          <w:szCs w:val="24"/>
        </w:rPr>
        <w:t>访问老渔民和岳阳洞庭湖江豚保护中心工作人员</w:t>
      </w:r>
    </w:p>
    <w:p>
      <w:pPr>
        <w:widowControl/>
        <w:spacing w:line="360" w:lineRule="auto"/>
        <w:ind w:firstLine="480" w:firstLineChars="200"/>
        <w:jc w:val="left"/>
        <w:rPr>
          <w:rFonts w:ascii="Times New Roman" w:hAnsi="Times New Roman"/>
        </w:rPr>
      </w:pPr>
      <w:r>
        <w:rPr>
          <w:rFonts w:ascii="Times New Roman" w:hAnsi="Times New Roman"/>
          <w:sz w:val="24"/>
          <w:szCs w:val="24"/>
        </w:rPr>
        <w:t>据沿</w:t>
      </w:r>
      <w:r>
        <w:rPr>
          <w:rFonts w:hint="eastAsia" w:ascii="Times New Roman" w:hAnsi="Times New Roman"/>
          <w:sz w:val="24"/>
          <w:szCs w:val="24"/>
          <w:lang w:val="en-US" w:eastAsia="zh-CN"/>
        </w:rPr>
        <w:t>江</w:t>
      </w:r>
      <w:r>
        <w:rPr>
          <w:rFonts w:ascii="Times New Roman" w:hAnsi="Times New Roman"/>
          <w:sz w:val="24"/>
          <w:szCs w:val="24"/>
        </w:rPr>
        <w:t>老渔民和岳阳洞庭湖江豚保护中心人员，得知在长江江段长江江豚主要在工程上游约24km的七弓岭江段及洞庭湖湖口至鲇鱼口湖区分布。</w:t>
      </w:r>
      <w:r>
        <w:rPr>
          <w:rFonts w:ascii="Times New Roman" w:hAnsi="Times New Roman"/>
        </w:rPr>
        <w:t xml:space="preserve"> </w:t>
      </w:r>
    </w:p>
    <w:p>
      <w:pPr>
        <w:spacing w:line="360" w:lineRule="auto"/>
        <w:ind w:firstLine="480" w:firstLineChars="200"/>
        <w:jc w:val="left"/>
        <w:rPr>
          <w:rFonts w:ascii="Times New Roman" w:hAnsi="Times New Roman"/>
          <w:sz w:val="24"/>
          <w:szCs w:val="24"/>
        </w:rPr>
      </w:pPr>
      <w:r>
        <w:rPr>
          <w:rFonts w:ascii="Times New Roman" w:hAnsi="Times New Roman"/>
          <w:sz w:val="24"/>
          <w:szCs w:val="24"/>
        </w:rPr>
        <w:t>3）长江江豚潜在栖息区域</w:t>
      </w:r>
    </w:p>
    <w:p>
      <w:pPr>
        <w:spacing w:line="360" w:lineRule="auto"/>
        <w:ind w:firstLine="480" w:firstLineChars="200"/>
        <w:jc w:val="left"/>
        <w:rPr>
          <w:rFonts w:ascii="Times New Roman" w:hAnsi="Times New Roman"/>
          <w:sz w:val="24"/>
          <w:szCs w:val="24"/>
        </w:rPr>
      </w:pPr>
      <w:r>
        <w:rPr>
          <w:rFonts w:ascii="Times New Roman" w:hAnsi="Times New Roman"/>
          <w:sz w:val="24"/>
          <w:szCs w:val="24"/>
        </w:rPr>
        <w:t>中国水利水电科学研究院《长江江豚栖息地特性分析》（朱瑶等，2009年），对长江江豚喜好的栖息环境有所研究。研究报告显示，长江江豚对弯道、有分汉水流和江心洲滩分布的河道有一定的偏好。工程区河段为直线岸线，泥沙底质，来往船只频繁，人为干扰较大。工程区上游约24km的七弓岭江段与长江江豚栖息地特征较为相符，是长江江豚潜在的栖息场所。</w:t>
      </w:r>
    </w:p>
    <w:p>
      <w:pPr>
        <w:spacing w:line="360" w:lineRule="auto"/>
        <w:ind w:firstLine="480" w:firstLineChars="200"/>
        <w:jc w:val="left"/>
        <w:rPr>
          <w:rFonts w:ascii="Times New Roman" w:hAnsi="Times New Roman"/>
          <w:sz w:val="24"/>
          <w:szCs w:val="24"/>
        </w:rPr>
      </w:pPr>
      <w:r>
        <w:rPr>
          <w:rFonts w:ascii="Times New Roman" w:hAnsi="Times New Roman"/>
          <w:sz w:val="24"/>
          <w:szCs w:val="24"/>
        </w:rPr>
        <w:t>4）保护现状</w:t>
      </w:r>
    </w:p>
    <w:p>
      <w:pPr>
        <w:ind w:firstLine="482"/>
        <w:rPr>
          <w:rFonts w:hint="eastAsia"/>
          <w:b/>
          <w:bCs/>
          <w:szCs w:val="20"/>
        </w:rPr>
      </w:pPr>
      <w:r>
        <w:rPr>
          <w:rFonts w:ascii="Times New Roman" w:hAnsi="Times New Roman"/>
          <w:sz w:val="24"/>
          <w:szCs w:val="24"/>
        </w:rPr>
        <w:t>为遏制长江江豚种群急剧下降的态势，长江江豚已升级为国家一级保护野生动物。农业农村部先后在长江干流及鄱阳湖，洞庭湖建立了8处长江江豚就地自然保护区，在长江故道建立了3个迁地保护区和1个迁地保护基地。</w:t>
      </w:r>
    </w:p>
    <w:p>
      <w:pPr>
        <w:ind w:firstLine="482"/>
        <w:rPr>
          <w:b/>
          <w:bCs/>
          <w:szCs w:val="20"/>
        </w:rPr>
      </w:pPr>
      <w:r>
        <w:rPr>
          <w:rFonts w:hint="eastAsia"/>
          <w:b/>
          <w:bCs/>
          <w:szCs w:val="20"/>
          <w:lang w:val="en-US" w:eastAsia="zh-CN"/>
        </w:rPr>
        <w:t>九</w:t>
      </w:r>
      <w:r>
        <w:rPr>
          <w:rFonts w:hint="eastAsia"/>
          <w:b/>
          <w:bCs/>
          <w:szCs w:val="20"/>
        </w:rPr>
        <w:t>、鱼类重要生境</w:t>
      </w:r>
    </w:p>
    <w:p>
      <w:pPr>
        <w:wordWrap w:val="0"/>
        <w:ind w:firstLine="482"/>
        <w:rPr>
          <w:b/>
        </w:rPr>
      </w:pPr>
      <w:r>
        <w:rPr>
          <w:rFonts w:hint="eastAsia"/>
          <w:b/>
        </w:rPr>
        <w:t>（1）</w:t>
      </w:r>
      <w:r>
        <w:rPr>
          <w:b/>
        </w:rPr>
        <w:t>产漂流性卵鱼类产卵场</w:t>
      </w:r>
    </w:p>
    <w:p>
      <w:pPr>
        <w:ind w:firstLine="480"/>
      </w:pPr>
      <w:r>
        <w:t>①历史记载</w:t>
      </w:r>
    </w:p>
    <w:p>
      <w:pPr>
        <w:ind w:firstLine="480"/>
      </w:pPr>
      <w:r>
        <w:t>根据易伯鲁等1961-1966年的调查，发现从重庆至彭泽长达1695km干流江段分布有家鱼产卵场36处，其中宜昌产卵场是最大的产卵场，产卵规模占全江总规模的14%。余志堂等1986年的调查，从重庆到湖北田家镇1460km干流分布有家鱼产卵场30处，宜昌至城陵矶河段分布有长江青草鲢鳙四大家鱼产卵场11个产卵区段</w:t>
      </w:r>
      <w:r>
        <w:rPr>
          <w:rFonts w:hint="eastAsia"/>
        </w:rPr>
        <w:t>（</w:t>
      </w:r>
      <w:r>
        <w:t>表</w:t>
      </w:r>
      <w:r>
        <w:rPr>
          <w:rFonts w:hint="eastAsia"/>
        </w:rPr>
        <w:t>3</w:t>
      </w:r>
      <w:r>
        <w:t>-</w:t>
      </w:r>
      <w:r>
        <w:rPr>
          <w:rFonts w:hint="eastAsia"/>
        </w:rPr>
        <w:t>45）</w:t>
      </w:r>
      <w:r>
        <w:t>。产卵量占全江四大家鱼产卵量的4.5%。其中宜昌、虎牙滩时为长江两个最大的产卵场，产卵量分别占14.7%及11.0%。</w:t>
      </w:r>
    </w:p>
    <w:p>
      <w:pPr>
        <w:pStyle w:val="3583"/>
        <w:spacing w:line="240" w:lineRule="auto"/>
        <w:ind w:left="0"/>
        <w:rPr>
          <w:szCs w:val="21"/>
        </w:rPr>
      </w:pPr>
      <w:r>
        <w:rPr>
          <w:szCs w:val="21"/>
        </w:rPr>
        <w:t>长江干流宜昌—武穴江段“四大家鱼”产卵场（80年代）</w:t>
      </w:r>
    </w:p>
    <w:tbl>
      <w:tblPr>
        <w:tblStyle w:val="8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73"/>
        <w:gridCol w:w="2374"/>
        <w:gridCol w:w="2167"/>
        <w:gridCol w:w="23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8" w:type="pct"/>
            <w:tcBorders>
              <w:bottom w:val="single" w:color="auto" w:sz="12" w:space="0"/>
            </w:tcBorders>
            <w:vAlign w:val="center"/>
          </w:tcPr>
          <w:p>
            <w:pPr>
              <w:spacing w:line="240" w:lineRule="auto"/>
              <w:ind w:firstLine="0" w:firstLineChars="0"/>
              <w:jc w:val="center"/>
              <w:rPr>
                <w:b/>
                <w:sz w:val="21"/>
                <w:szCs w:val="21"/>
              </w:rPr>
            </w:pPr>
            <w:r>
              <w:rPr>
                <w:b/>
                <w:sz w:val="21"/>
                <w:szCs w:val="21"/>
              </w:rPr>
              <w:t>产卵场</w:t>
            </w:r>
          </w:p>
        </w:tc>
        <w:tc>
          <w:tcPr>
            <w:tcW w:w="1278" w:type="pct"/>
            <w:tcBorders>
              <w:bottom w:val="single" w:color="auto" w:sz="12" w:space="0"/>
            </w:tcBorders>
            <w:vAlign w:val="center"/>
          </w:tcPr>
          <w:p>
            <w:pPr>
              <w:spacing w:line="240" w:lineRule="auto"/>
              <w:ind w:firstLine="0" w:firstLineChars="0"/>
              <w:jc w:val="center"/>
              <w:rPr>
                <w:b/>
                <w:sz w:val="21"/>
                <w:szCs w:val="21"/>
              </w:rPr>
            </w:pPr>
            <w:r>
              <w:rPr>
                <w:b/>
                <w:sz w:val="21"/>
                <w:szCs w:val="21"/>
              </w:rPr>
              <w:t>范围</w:t>
            </w:r>
          </w:p>
        </w:tc>
        <w:tc>
          <w:tcPr>
            <w:tcW w:w="1167" w:type="pct"/>
            <w:tcBorders>
              <w:bottom w:val="single" w:color="auto" w:sz="12" w:space="0"/>
            </w:tcBorders>
            <w:vAlign w:val="center"/>
          </w:tcPr>
          <w:p>
            <w:pPr>
              <w:spacing w:line="240" w:lineRule="auto"/>
              <w:ind w:firstLine="0" w:firstLineChars="0"/>
              <w:jc w:val="center"/>
              <w:rPr>
                <w:b/>
                <w:sz w:val="21"/>
                <w:szCs w:val="21"/>
              </w:rPr>
            </w:pPr>
            <w:r>
              <w:rPr>
                <w:b/>
                <w:sz w:val="21"/>
                <w:szCs w:val="21"/>
              </w:rPr>
              <w:t>延伸里程</w:t>
            </w:r>
          </w:p>
          <w:p>
            <w:pPr>
              <w:spacing w:line="240" w:lineRule="auto"/>
              <w:ind w:firstLine="0" w:firstLineChars="0"/>
              <w:jc w:val="center"/>
              <w:rPr>
                <w:b/>
                <w:sz w:val="21"/>
                <w:szCs w:val="21"/>
              </w:rPr>
            </w:pPr>
            <w:r>
              <w:rPr>
                <w:b/>
                <w:sz w:val="21"/>
                <w:szCs w:val="21"/>
              </w:rPr>
              <w:t>（km）</w:t>
            </w:r>
          </w:p>
        </w:tc>
        <w:tc>
          <w:tcPr>
            <w:tcW w:w="1275" w:type="pct"/>
            <w:tcBorders>
              <w:bottom w:val="single" w:color="auto" w:sz="12" w:space="0"/>
            </w:tcBorders>
            <w:vAlign w:val="center"/>
          </w:tcPr>
          <w:p>
            <w:pPr>
              <w:spacing w:line="240" w:lineRule="auto"/>
              <w:ind w:firstLine="0" w:firstLineChars="0"/>
              <w:jc w:val="center"/>
              <w:rPr>
                <w:b/>
                <w:sz w:val="21"/>
                <w:szCs w:val="21"/>
              </w:rPr>
            </w:pPr>
            <w:r>
              <w:rPr>
                <w:b/>
                <w:sz w:val="21"/>
                <w:szCs w:val="21"/>
              </w:rPr>
              <w:t>距上一产卵场距离</w:t>
            </w:r>
          </w:p>
          <w:p>
            <w:pPr>
              <w:spacing w:line="240" w:lineRule="auto"/>
              <w:ind w:firstLine="0" w:firstLineChars="0"/>
              <w:jc w:val="center"/>
              <w:rPr>
                <w:b/>
                <w:sz w:val="21"/>
                <w:szCs w:val="21"/>
              </w:rPr>
            </w:pPr>
            <w:r>
              <w:rPr>
                <w:b/>
                <w:sz w:val="21"/>
                <w:szCs w:val="21"/>
              </w:rPr>
              <w:t>（km）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8" w:type="pct"/>
            <w:tcBorders>
              <w:top w:val="single" w:color="auto" w:sz="12" w:space="0"/>
              <w:tl2br w:val="nil"/>
              <w:tr2bl w:val="nil"/>
            </w:tcBorders>
          </w:tcPr>
          <w:p>
            <w:pPr>
              <w:spacing w:line="240" w:lineRule="auto"/>
              <w:ind w:firstLine="0" w:firstLineChars="0"/>
              <w:jc w:val="center"/>
              <w:rPr>
                <w:sz w:val="21"/>
                <w:szCs w:val="21"/>
              </w:rPr>
            </w:pPr>
            <w:r>
              <w:rPr>
                <w:sz w:val="21"/>
                <w:szCs w:val="21"/>
              </w:rPr>
              <w:t>宜昌</w:t>
            </w:r>
          </w:p>
        </w:tc>
        <w:tc>
          <w:tcPr>
            <w:tcW w:w="1278" w:type="pct"/>
            <w:tcBorders>
              <w:top w:val="single" w:color="auto" w:sz="12" w:space="0"/>
              <w:tl2br w:val="nil"/>
              <w:tr2bl w:val="nil"/>
            </w:tcBorders>
          </w:tcPr>
          <w:p>
            <w:pPr>
              <w:spacing w:line="240" w:lineRule="auto"/>
              <w:ind w:firstLine="0" w:firstLineChars="0"/>
              <w:jc w:val="center"/>
              <w:rPr>
                <w:sz w:val="21"/>
                <w:szCs w:val="21"/>
              </w:rPr>
            </w:pPr>
            <w:r>
              <w:rPr>
                <w:sz w:val="21"/>
                <w:szCs w:val="21"/>
              </w:rPr>
              <w:t>十里红——胭脂坝</w:t>
            </w:r>
          </w:p>
        </w:tc>
        <w:tc>
          <w:tcPr>
            <w:tcW w:w="1167" w:type="pct"/>
            <w:tcBorders>
              <w:top w:val="single" w:color="auto" w:sz="12" w:space="0"/>
              <w:tl2br w:val="nil"/>
              <w:tr2bl w:val="nil"/>
            </w:tcBorders>
          </w:tcPr>
          <w:p>
            <w:pPr>
              <w:spacing w:line="240" w:lineRule="auto"/>
              <w:ind w:firstLine="0" w:firstLineChars="0"/>
              <w:jc w:val="center"/>
              <w:rPr>
                <w:sz w:val="21"/>
                <w:szCs w:val="21"/>
              </w:rPr>
            </w:pPr>
            <w:r>
              <w:rPr>
                <w:sz w:val="21"/>
                <w:szCs w:val="21"/>
              </w:rPr>
              <w:t>8</w:t>
            </w:r>
          </w:p>
        </w:tc>
        <w:tc>
          <w:tcPr>
            <w:tcW w:w="1275" w:type="pct"/>
            <w:tcBorders>
              <w:top w:val="single" w:color="auto" w:sz="12" w:space="0"/>
              <w:tl2br w:val="nil"/>
              <w:tr2bl w:val="nil"/>
            </w:tcBorders>
          </w:tcPr>
          <w:p>
            <w:pPr>
              <w:spacing w:line="240" w:lineRule="auto"/>
              <w:ind w:firstLine="0" w:firstLineChars="0"/>
              <w:jc w:val="center"/>
              <w:rPr>
                <w:sz w:val="21"/>
                <w:szCs w:val="21"/>
              </w:rPr>
            </w:pPr>
            <w:r>
              <w:rPr>
                <w:sz w:val="21"/>
                <w:szCs w:val="21"/>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8" w:type="pct"/>
            <w:tcBorders>
              <w:tl2br w:val="nil"/>
              <w:tr2bl w:val="nil"/>
            </w:tcBorders>
          </w:tcPr>
          <w:p>
            <w:pPr>
              <w:spacing w:line="240" w:lineRule="auto"/>
              <w:ind w:firstLine="0" w:firstLineChars="0"/>
              <w:jc w:val="center"/>
              <w:rPr>
                <w:sz w:val="21"/>
                <w:szCs w:val="21"/>
              </w:rPr>
            </w:pPr>
            <w:r>
              <w:rPr>
                <w:sz w:val="21"/>
                <w:szCs w:val="21"/>
              </w:rPr>
              <w:t>虎牙滩</w:t>
            </w:r>
          </w:p>
        </w:tc>
        <w:tc>
          <w:tcPr>
            <w:tcW w:w="1278" w:type="pct"/>
            <w:tcBorders>
              <w:tl2br w:val="nil"/>
              <w:tr2bl w:val="nil"/>
            </w:tcBorders>
          </w:tcPr>
          <w:p>
            <w:pPr>
              <w:spacing w:line="240" w:lineRule="auto"/>
              <w:ind w:firstLine="0" w:firstLineChars="0"/>
              <w:jc w:val="center"/>
              <w:rPr>
                <w:sz w:val="21"/>
                <w:szCs w:val="21"/>
              </w:rPr>
            </w:pPr>
            <w:r>
              <w:rPr>
                <w:sz w:val="21"/>
                <w:szCs w:val="21"/>
              </w:rPr>
              <w:t>仙人桥——虎牙滩</w:t>
            </w:r>
          </w:p>
        </w:tc>
        <w:tc>
          <w:tcPr>
            <w:tcW w:w="1167" w:type="pct"/>
            <w:tcBorders>
              <w:tl2br w:val="nil"/>
              <w:tr2bl w:val="nil"/>
            </w:tcBorders>
          </w:tcPr>
          <w:p>
            <w:pPr>
              <w:spacing w:line="240" w:lineRule="auto"/>
              <w:ind w:firstLine="0" w:firstLineChars="0"/>
              <w:jc w:val="center"/>
              <w:rPr>
                <w:sz w:val="21"/>
                <w:szCs w:val="21"/>
              </w:rPr>
            </w:pPr>
            <w:r>
              <w:rPr>
                <w:sz w:val="21"/>
                <w:szCs w:val="21"/>
              </w:rPr>
              <w:t>3</w:t>
            </w:r>
          </w:p>
        </w:tc>
        <w:tc>
          <w:tcPr>
            <w:tcW w:w="1275" w:type="pct"/>
            <w:tcBorders>
              <w:tl2br w:val="nil"/>
              <w:tr2bl w:val="nil"/>
            </w:tcBorders>
          </w:tcPr>
          <w:p>
            <w:pPr>
              <w:spacing w:line="240" w:lineRule="auto"/>
              <w:ind w:firstLine="0" w:firstLineChars="0"/>
              <w:jc w:val="center"/>
              <w:rPr>
                <w:sz w:val="21"/>
                <w:szCs w:val="21"/>
              </w:rPr>
            </w:pPr>
            <w:r>
              <w:rPr>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8" w:type="pct"/>
            <w:tcBorders>
              <w:tl2br w:val="nil"/>
              <w:tr2bl w:val="nil"/>
            </w:tcBorders>
          </w:tcPr>
          <w:p>
            <w:pPr>
              <w:spacing w:line="240" w:lineRule="auto"/>
              <w:ind w:firstLine="0" w:firstLineChars="0"/>
              <w:jc w:val="center"/>
              <w:rPr>
                <w:sz w:val="21"/>
                <w:szCs w:val="21"/>
              </w:rPr>
            </w:pPr>
            <w:r>
              <w:rPr>
                <w:sz w:val="21"/>
                <w:szCs w:val="21"/>
              </w:rPr>
              <w:t>宜都</w:t>
            </w:r>
          </w:p>
        </w:tc>
        <w:tc>
          <w:tcPr>
            <w:tcW w:w="1278" w:type="pct"/>
            <w:tcBorders>
              <w:tl2br w:val="nil"/>
              <w:tr2bl w:val="nil"/>
            </w:tcBorders>
          </w:tcPr>
          <w:p>
            <w:pPr>
              <w:spacing w:line="240" w:lineRule="auto"/>
              <w:ind w:firstLine="0" w:firstLineChars="0"/>
              <w:jc w:val="center"/>
              <w:rPr>
                <w:sz w:val="21"/>
                <w:szCs w:val="21"/>
              </w:rPr>
            </w:pPr>
            <w:r>
              <w:rPr>
                <w:sz w:val="21"/>
                <w:szCs w:val="21"/>
              </w:rPr>
              <w:t>云池——宜都</w:t>
            </w:r>
          </w:p>
        </w:tc>
        <w:tc>
          <w:tcPr>
            <w:tcW w:w="1167" w:type="pct"/>
            <w:tcBorders>
              <w:tl2br w:val="nil"/>
              <w:tr2bl w:val="nil"/>
            </w:tcBorders>
          </w:tcPr>
          <w:p>
            <w:pPr>
              <w:spacing w:line="240" w:lineRule="auto"/>
              <w:ind w:firstLine="0" w:firstLineChars="0"/>
              <w:jc w:val="center"/>
              <w:rPr>
                <w:sz w:val="21"/>
                <w:szCs w:val="21"/>
              </w:rPr>
            </w:pPr>
            <w:r>
              <w:rPr>
                <w:sz w:val="21"/>
                <w:szCs w:val="21"/>
              </w:rPr>
              <w:t>5</w:t>
            </w:r>
          </w:p>
        </w:tc>
        <w:tc>
          <w:tcPr>
            <w:tcW w:w="1275" w:type="pct"/>
            <w:tcBorders>
              <w:tl2br w:val="nil"/>
              <w:tr2bl w:val="nil"/>
            </w:tcBorders>
          </w:tcPr>
          <w:p>
            <w:pPr>
              <w:spacing w:line="240" w:lineRule="auto"/>
              <w:ind w:firstLine="0" w:firstLineChars="0"/>
              <w:jc w:val="center"/>
              <w:rPr>
                <w:sz w:val="21"/>
                <w:szCs w:val="21"/>
              </w:rPr>
            </w:pPr>
            <w:r>
              <w:rPr>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8" w:type="pct"/>
            <w:tcBorders>
              <w:tl2br w:val="nil"/>
              <w:tr2bl w:val="nil"/>
            </w:tcBorders>
          </w:tcPr>
          <w:p>
            <w:pPr>
              <w:spacing w:line="240" w:lineRule="auto"/>
              <w:ind w:firstLine="0" w:firstLineChars="0"/>
              <w:jc w:val="center"/>
              <w:rPr>
                <w:sz w:val="21"/>
                <w:szCs w:val="21"/>
              </w:rPr>
            </w:pPr>
            <w:r>
              <w:rPr>
                <w:sz w:val="21"/>
                <w:szCs w:val="21"/>
              </w:rPr>
              <w:t>枝江</w:t>
            </w:r>
          </w:p>
        </w:tc>
        <w:tc>
          <w:tcPr>
            <w:tcW w:w="1278" w:type="pct"/>
            <w:tcBorders>
              <w:tl2br w:val="nil"/>
              <w:tr2bl w:val="nil"/>
            </w:tcBorders>
          </w:tcPr>
          <w:p>
            <w:pPr>
              <w:spacing w:line="240" w:lineRule="auto"/>
              <w:ind w:firstLine="0" w:firstLineChars="0"/>
              <w:jc w:val="center"/>
              <w:rPr>
                <w:sz w:val="21"/>
                <w:szCs w:val="21"/>
              </w:rPr>
            </w:pPr>
            <w:r>
              <w:rPr>
                <w:sz w:val="21"/>
                <w:szCs w:val="21"/>
              </w:rPr>
              <w:t>洋溪镇——枝江</w:t>
            </w:r>
          </w:p>
        </w:tc>
        <w:tc>
          <w:tcPr>
            <w:tcW w:w="1167" w:type="pct"/>
            <w:tcBorders>
              <w:tl2br w:val="nil"/>
              <w:tr2bl w:val="nil"/>
            </w:tcBorders>
          </w:tcPr>
          <w:p>
            <w:pPr>
              <w:spacing w:line="240" w:lineRule="auto"/>
              <w:ind w:firstLine="0" w:firstLineChars="0"/>
              <w:jc w:val="center"/>
              <w:rPr>
                <w:sz w:val="21"/>
                <w:szCs w:val="21"/>
              </w:rPr>
            </w:pPr>
            <w:r>
              <w:rPr>
                <w:sz w:val="21"/>
                <w:szCs w:val="21"/>
              </w:rPr>
              <w:t>29</w:t>
            </w:r>
          </w:p>
        </w:tc>
        <w:tc>
          <w:tcPr>
            <w:tcW w:w="1275" w:type="pct"/>
            <w:tcBorders>
              <w:tl2br w:val="nil"/>
              <w:tr2bl w:val="nil"/>
            </w:tcBorders>
          </w:tcPr>
          <w:p>
            <w:pPr>
              <w:spacing w:line="240" w:lineRule="auto"/>
              <w:ind w:firstLine="0" w:firstLineChars="0"/>
              <w:jc w:val="center"/>
              <w:rPr>
                <w:sz w:val="21"/>
                <w:szCs w:val="21"/>
              </w:rPr>
            </w:pPr>
            <w:r>
              <w:rPr>
                <w:sz w:val="21"/>
                <w:szCs w:val="21"/>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8" w:type="pct"/>
            <w:tcBorders>
              <w:tl2br w:val="nil"/>
              <w:tr2bl w:val="nil"/>
            </w:tcBorders>
          </w:tcPr>
          <w:p>
            <w:pPr>
              <w:spacing w:line="240" w:lineRule="auto"/>
              <w:ind w:firstLine="0" w:firstLineChars="0"/>
              <w:jc w:val="center"/>
              <w:rPr>
                <w:sz w:val="21"/>
                <w:szCs w:val="21"/>
              </w:rPr>
            </w:pPr>
            <w:r>
              <w:rPr>
                <w:sz w:val="21"/>
                <w:szCs w:val="21"/>
              </w:rPr>
              <w:t>江口</w:t>
            </w:r>
          </w:p>
        </w:tc>
        <w:tc>
          <w:tcPr>
            <w:tcW w:w="1278" w:type="pct"/>
            <w:tcBorders>
              <w:tl2br w:val="nil"/>
              <w:tr2bl w:val="nil"/>
            </w:tcBorders>
          </w:tcPr>
          <w:p>
            <w:pPr>
              <w:spacing w:line="240" w:lineRule="auto"/>
              <w:ind w:firstLine="0" w:firstLineChars="0"/>
              <w:jc w:val="center"/>
              <w:rPr>
                <w:sz w:val="21"/>
                <w:szCs w:val="21"/>
              </w:rPr>
            </w:pPr>
            <w:r>
              <w:rPr>
                <w:sz w:val="21"/>
                <w:szCs w:val="21"/>
              </w:rPr>
              <w:t>江口——皖市</w:t>
            </w:r>
          </w:p>
        </w:tc>
        <w:tc>
          <w:tcPr>
            <w:tcW w:w="1167" w:type="pct"/>
            <w:tcBorders>
              <w:tl2br w:val="nil"/>
              <w:tr2bl w:val="nil"/>
            </w:tcBorders>
          </w:tcPr>
          <w:p>
            <w:pPr>
              <w:spacing w:line="240" w:lineRule="auto"/>
              <w:ind w:firstLine="0" w:firstLineChars="0"/>
              <w:jc w:val="center"/>
              <w:rPr>
                <w:sz w:val="21"/>
                <w:szCs w:val="21"/>
              </w:rPr>
            </w:pPr>
            <w:r>
              <w:rPr>
                <w:sz w:val="21"/>
                <w:szCs w:val="21"/>
              </w:rPr>
              <w:t>26</w:t>
            </w:r>
          </w:p>
        </w:tc>
        <w:tc>
          <w:tcPr>
            <w:tcW w:w="1275" w:type="pct"/>
            <w:tcBorders>
              <w:tl2br w:val="nil"/>
              <w:tr2bl w:val="nil"/>
            </w:tcBorders>
          </w:tcPr>
          <w:p>
            <w:pPr>
              <w:spacing w:line="240" w:lineRule="auto"/>
              <w:ind w:firstLine="0" w:firstLineChars="0"/>
              <w:jc w:val="center"/>
              <w:rPr>
                <w:sz w:val="21"/>
                <w:szCs w:val="21"/>
              </w:rPr>
            </w:pPr>
            <w:r>
              <w:rPr>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8" w:type="pct"/>
            <w:tcBorders>
              <w:tl2br w:val="nil"/>
              <w:tr2bl w:val="nil"/>
            </w:tcBorders>
          </w:tcPr>
          <w:p>
            <w:pPr>
              <w:spacing w:line="240" w:lineRule="auto"/>
              <w:ind w:firstLine="0" w:firstLineChars="0"/>
              <w:jc w:val="center"/>
              <w:rPr>
                <w:sz w:val="21"/>
                <w:szCs w:val="21"/>
              </w:rPr>
            </w:pPr>
            <w:r>
              <w:rPr>
                <w:sz w:val="21"/>
                <w:szCs w:val="21"/>
              </w:rPr>
              <w:t>沙市</w:t>
            </w:r>
          </w:p>
        </w:tc>
        <w:tc>
          <w:tcPr>
            <w:tcW w:w="1278" w:type="pct"/>
            <w:tcBorders>
              <w:tl2br w:val="nil"/>
              <w:tr2bl w:val="nil"/>
            </w:tcBorders>
          </w:tcPr>
          <w:p>
            <w:pPr>
              <w:spacing w:line="240" w:lineRule="auto"/>
              <w:ind w:firstLine="0" w:firstLineChars="0"/>
              <w:jc w:val="center"/>
              <w:rPr>
                <w:sz w:val="21"/>
                <w:szCs w:val="21"/>
              </w:rPr>
            </w:pPr>
            <w:r>
              <w:rPr>
                <w:sz w:val="21"/>
                <w:szCs w:val="21"/>
              </w:rPr>
              <w:t>虎渡河口——沙市</w:t>
            </w:r>
          </w:p>
        </w:tc>
        <w:tc>
          <w:tcPr>
            <w:tcW w:w="1167" w:type="pct"/>
            <w:tcBorders>
              <w:tl2br w:val="nil"/>
              <w:tr2bl w:val="nil"/>
            </w:tcBorders>
          </w:tcPr>
          <w:p>
            <w:pPr>
              <w:spacing w:line="240" w:lineRule="auto"/>
              <w:ind w:firstLine="0" w:firstLineChars="0"/>
              <w:jc w:val="center"/>
              <w:rPr>
                <w:sz w:val="21"/>
                <w:szCs w:val="21"/>
              </w:rPr>
            </w:pPr>
            <w:r>
              <w:rPr>
                <w:sz w:val="21"/>
                <w:szCs w:val="21"/>
              </w:rPr>
              <w:t>12</w:t>
            </w:r>
          </w:p>
        </w:tc>
        <w:tc>
          <w:tcPr>
            <w:tcW w:w="1275" w:type="pct"/>
            <w:tcBorders>
              <w:tl2br w:val="nil"/>
              <w:tr2bl w:val="nil"/>
            </w:tcBorders>
          </w:tcPr>
          <w:p>
            <w:pPr>
              <w:spacing w:line="240" w:lineRule="auto"/>
              <w:ind w:firstLine="0" w:firstLineChars="0"/>
              <w:jc w:val="center"/>
              <w:rPr>
                <w:sz w:val="21"/>
                <w:szCs w:val="21"/>
              </w:rPr>
            </w:pPr>
            <w:r>
              <w:rPr>
                <w:sz w:val="21"/>
                <w:szCs w:val="21"/>
              </w:rPr>
              <w:t>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8" w:type="pct"/>
            <w:tcBorders>
              <w:tl2br w:val="nil"/>
              <w:tr2bl w:val="nil"/>
            </w:tcBorders>
          </w:tcPr>
          <w:p>
            <w:pPr>
              <w:spacing w:line="240" w:lineRule="auto"/>
              <w:ind w:firstLine="0" w:firstLineChars="0"/>
              <w:jc w:val="center"/>
              <w:rPr>
                <w:sz w:val="21"/>
                <w:szCs w:val="21"/>
              </w:rPr>
            </w:pPr>
            <w:r>
              <w:rPr>
                <w:sz w:val="21"/>
                <w:szCs w:val="21"/>
              </w:rPr>
              <w:t>郝穴</w:t>
            </w:r>
          </w:p>
        </w:tc>
        <w:tc>
          <w:tcPr>
            <w:tcW w:w="1278" w:type="pct"/>
            <w:tcBorders>
              <w:tl2br w:val="nil"/>
              <w:tr2bl w:val="nil"/>
            </w:tcBorders>
          </w:tcPr>
          <w:p>
            <w:pPr>
              <w:spacing w:line="240" w:lineRule="auto"/>
              <w:ind w:firstLine="0" w:firstLineChars="0"/>
              <w:jc w:val="center"/>
              <w:rPr>
                <w:sz w:val="21"/>
                <w:szCs w:val="21"/>
              </w:rPr>
            </w:pPr>
            <w:r>
              <w:rPr>
                <w:sz w:val="21"/>
                <w:szCs w:val="21"/>
              </w:rPr>
              <w:t>郝穴——新厂</w:t>
            </w:r>
          </w:p>
        </w:tc>
        <w:tc>
          <w:tcPr>
            <w:tcW w:w="1167" w:type="pct"/>
            <w:tcBorders>
              <w:tl2br w:val="nil"/>
              <w:tr2bl w:val="nil"/>
            </w:tcBorders>
          </w:tcPr>
          <w:p>
            <w:pPr>
              <w:spacing w:line="240" w:lineRule="auto"/>
              <w:ind w:firstLine="0" w:firstLineChars="0"/>
              <w:jc w:val="center"/>
              <w:rPr>
                <w:sz w:val="21"/>
                <w:szCs w:val="21"/>
              </w:rPr>
            </w:pPr>
            <w:r>
              <w:rPr>
                <w:sz w:val="21"/>
                <w:szCs w:val="21"/>
              </w:rPr>
              <w:t>16</w:t>
            </w:r>
          </w:p>
        </w:tc>
        <w:tc>
          <w:tcPr>
            <w:tcW w:w="1275" w:type="pct"/>
            <w:tcBorders>
              <w:tl2br w:val="nil"/>
              <w:tr2bl w:val="nil"/>
            </w:tcBorders>
          </w:tcPr>
          <w:p>
            <w:pPr>
              <w:spacing w:line="240" w:lineRule="auto"/>
              <w:ind w:firstLine="0" w:firstLineChars="0"/>
              <w:jc w:val="center"/>
              <w:rPr>
                <w:sz w:val="21"/>
                <w:szCs w:val="21"/>
              </w:rPr>
            </w:pPr>
            <w:r>
              <w:rPr>
                <w:sz w:val="21"/>
                <w:szCs w:val="21"/>
              </w:rPr>
              <w:t>54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8" w:type="pct"/>
            <w:tcBorders>
              <w:tl2br w:val="nil"/>
              <w:tr2bl w:val="nil"/>
            </w:tcBorders>
          </w:tcPr>
          <w:p>
            <w:pPr>
              <w:spacing w:line="240" w:lineRule="auto"/>
              <w:ind w:firstLine="0" w:firstLineChars="0"/>
              <w:jc w:val="center"/>
              <w:rPr>
                <w:sz w:val="21"/>
                <w:szCs w:val="21"/>
              </w:rPr>
            </w:pPr>
            <w:r>
              <w:rPr>
                <w:sz w:val="21"/>
                <w:szCs w:val="21"/>
              </w:rPr>
              <w:t>石首</w:t>
            </w:r>
          </w:p>
        </w:tc>
        <w:tc>
          <w:tcPr>
            <w:tcW w:w="1278" w:type="pct"/>
            <w:tcBorders>
              <w:tl2br w:val="nil"/>
              <w:tr2bl w:val="nil"/>
            </w:tcBorders>
          </w:tcPr>
          <w:p>
            <w:pPr>
              <w:spacing w:line="240" w:lineRule="auto"/>
              <w:ind w:firstLine="0" w:firstLineChars="0"/>
              <w:jc w:val="center"/>
              <w:rPr>
                <w:sz w:val="21"/>
                <w:szCs w:val="21"/>
              </w:rPr>
            </w:pPr>
            <w:r>
              <w:rPr>
                <w:sz w:val="21"/>
                <w:szCs w:val="21"/>
              </w:rPr>
              <w:t>藕池口——石首</w:t>
            </w:r>
          </w:p>
        </w:tc>
        <w:tc>
          <w:tcPr>
            <w:tcW w:w="1167" w:type="pct"/>
            <w:tcBorders>
              <w:tl2br w:val="nil"/>
              <w:tr2bl w:val="nil"/>
            </w:tcBorders>
          </w:tcPr>
          <w:p>
            <w:pPr>
              <w:spacing w:line="240" w:lineRule="auto"/>
              <w:ind w:firstLine="0" w:firstLineChars="0"/>
              <w:jc w:val="center"/>
              <w:rPr>
                <w:sz w:val="21"/>
                <w:szCs w:val="21"/>
              </w:rPr>
            </w:pPr>
            <w:r>
              <w:rPr>
                <w:sz w:val="21"/>
                <w:szCs w:val="21"/>
              </w:rPr>
              <w:t>10</w:t>
            </w:r>
          </w:p>
        </w:tc>
        <w:tc>
          <w:tcPr>
            <w:tcW w:w="1275" w:type="pct"/>
            <w:tcBorders>
              <w:tl2br w:val="nil"/>
              <w:tr2bl w:val="nil"/>
            </w:tcBorders>
          </w:tcPr>
          <w:p>
            <w:pPr>
              <w:spacing w:line="240" w:lineRule="auto"/>
              <w:ind w:firstLine="0" w:firstLineChars="0"/>
              <w:jc w:val="center"/>
              <w:rPr>
                <w:sz w:val="21"/>
                <w:szCs w:val="21"/>
              </w:rPr>
            </w:pPr>
            <w:r>
              <w:rPr>
                <w:sz w:val="21"/>
                <w:szCs w:val="21"/>
              </w:rPr>
              <w:t>17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8" w:type="pct"/>
            <w:tcBorders>
              <w:tl2br w:val="nil"/>
              <w:tr2bl w:val="nil"/>
            </w:tcBorders>
          </w:tcPr>
          <w:p>
            <w:pPr>
              <w:spacing w:line="240" w:lineRule="auto"/>
              <w:ind w:firstLine="0" w:firstLineChars="0"/>
              <w:jc w:val="center"/>
              <w:rPr>
                <w:sz w:val="21"/>
                <w:szCs w:val="21"/>
              </w:rPr>
            </w:pPr>
            <w:r>
              <w:rPr>
                <w:sz w:val="21"/>
                <w:szCs w:val="21"/>
              </w:rPr>
              <w:t>调关</w:t>
            </w:r>
          </w:p>
        </w:tc>
        <w:tc>
          <w:tcPr>
            <w:tcW w:w="1278" w:type="pct"/>
            <w:tcBorders>
              <w:tl2br w:val="nil"/>
              <w:tr2bl w:val="nil"/>
            </w:tcBorders>
          </w:tcPr>
          <w:p>
            <w:pPr>
              <w:spacing w:line="240" w:lineRule="auto"/>
              <w:ind w:firstLine="0" w:firstLineChars="0"/>
              <w:jc w:val="center"/>
              <w:rPr>
                <w:sz w:val="21"/>
                <w:szCs w:val="21"/>
              </w:rPr>
            </w:pPr>
            <w:r>
              <w:rPr>
                <w:sz w:val="21"/>
                <w:szCs w:val="21"/>
              </w:rPr>
              <w:t>碾子湾——调关</w:t>
            </w:r>
          </w:p>
        </w:tc>
        <w:tc>
          <w:tcPr>
            <w:tcW w:w="1167" w:type="pct"/>
            <w:tcBorders>
              <w:tl2br w:val="nil"/>
              <w:tr2bl w:val="nil"/>
            </w:tcBorders>
          </w:tcPr>
          <w:p>
            <w:pPr>
              <w:spacing w:line="240" w:lineRule="auto"/>
              <w:ind w:firstLine="0" w:firstLineChars="0"/>
              <w:jc w:val="center"/>
              <w:rPr>
                <w:sz w:val="21"/>
                <w:szCs w:val="21"/>
              </w:rPr>
            </w:pPr>
            <w:r>
              <w:rPr>
                <w:sz w:val="21"/>
                <w:szCs w:val="21"/>
              </w:rPr>
              <w:t>22</w:t>
            </w:r>
          </w:p>
        </w:tc>
        <w:tc>
          <w:tcPr>
            <w:tcW w:w="1275" w:type="pct"/>
            <w:tcBorders>
              <w:tl2br w:val="nil"/>
              <w:tr2bl w:val="nil"/>
            </w:tcBorders>
          </w:tcPr>
          <w:p>
            <w:pPr>
              <w:spacing w:line="240" w:lineRule="auto"/>
              <w:ind w:firstLine="0" w:firstLineChars="0"/>
              <w:jc w:val="center"/>
              <w:rPr>
                <w:sz w:val="21"/>
                <w:szCs w:val="21"/>
              </w:rPr>
            </w:pPr>
            <w:r>
              <w:rPr>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8" w:type="pct"/>
            <w:tcBorders>
              <w:tl2br w:val="nil"/>
              <w:tr2bl w:val="nil"/>
            </w:tcBorders>
          </w:tcPr>
          <w:p>
            <w:pPr>
              <w:spacing w:line="240" w:lineRule="auto"/>
              <w:ind w:firstLine="0" w:firstLineChars="0"/>
              <w:jc w:val="center"/>
              <w:rPr>
                <w:sz w:val="21"/>
                <w:szCs w:val="21"/>
              </w:rPr>
            </w:pPr>
            <w:r>
              <w:rPr>
                <w:sz w:val="21"/>
                <w:szCs w:val="21"/>
              </w:rPr>
              <w:t>监利</w:t>
            </w:r>
          </w:p>
        </w:tc>
        <w:tc>
          <w:tcPr>
            <w:tcW w:w="1278" w:type="pct"/>
            <w:tcBorders>
              <w:tl2br w:val="nil"/>
              <w:tr2bl w:val="nil"/>
            </w:tcBorders>
          </w:tcPr>
          <w:p>
            <w:pPr>
              <w:spacing w:line="240" w:lineRule="auto"/>
              <w:ind w:firstLine="0" w:firstLineChars="0"/>
              <w:jc w:val="center"/>
              <w:rPr>
                <w:sz w:val="21"/>
                <w:szCs w:val="21"/>
              </w:rPr>
            </w:pPr>
            <w:r>
              <w:rPr>
                <w:sz w:val="21"/>
                <w:szCs w:val="21"/>
              </w:rPr>
              <w:t>塔市驿——老河下口</w:t>
            </w:r>
          </w:p>
        </w:tc>
        <w:tc>
          <w:tcPr>
            <w:tcW w:w="1167" w:type="pct"/>
            <w:tcBorders>
              <w:tl2br w:val="nil"/>
              <w:tr2bl w:val="nil"/>
            </w:tcBorders>
          </w:tcPr>
          <w:p>
            <w:pPr>
              <w:spacing w:line="240" w:lineRule="auto"/>
              <w:ind w:firstLine="0" w:firstLineChars="0"/>
              <w:jc w:val="center"/>
              <w:rPr>
                <w:sz w:val="21"/>
                <w:szCs w:val="21"/>
              </w:rPr>
            </w:pPr>
            <w:r>
              <w:rPr>
                <w:sz w:val="21"/>
                <w:szCs w:val="21"/>
              </w:rPr>
              <w:t>25</w:t>
            </w:r>
          </w:p>
        </w:tc>
        <w:tc>
          <w:tcPr>
            <w:tcW w:w="1275" w:type="pct"/>
            <w:tcBorders>
              <w:tl2br w:val="nil"/>
              <w:tr2bl w:val="nil"/>
            </w:tcBorders>
          </w:tcPr>
          <w:p>
            <w:pPr>
              <w:spacing w:line="240" w:lineRule="auto"/>
              <w:ind w:firstLine="0" w:firstLineChars="0"/>
              <w:jc w:val="center"/>
              <w:rPr>
                <w:sz w:val="21"/>
                <w:szCs w:val="21"/>
              </w:rPr>
            </w:pPr>
            <w:r>
              <w:rPr>
                <w:sz w:val="21"/>
                <w:szCs w:val="21"/>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8" w:type="pct"/>
            <w:tcBorders>
              <w:tl2br w:val="nil"/>
              <w:tr2bl w:val="nil"/>
            </w:tcBorders>
          </w:tcPr>
          <w:p>
            <w:pPr>
              <w:spacing w:line="240" w:lineRule="auto"/>
              <w:ind w:firstLine="0" w:firstLineChars="0"/>
              <w:jc w:val="center"/>
              <w:rPr>
                <w:b/>
                <w:sz w:val="21"/>
                <w:szCs w:val="21"/>
              </w:rPr>
            </w:pPr>
            <w:r>
              <w:rPr>
                <w:b/>
                <w:sz w:val="21"/>
                <w:szCs w:val="21"/>
              </w:rPr>
              <w:t>反咀</w:t>
            </w:r>
          </w:p>
        </w:tc>
        <w:tc>
          <w:tcPr>
            <w:tcW w:w="1278" w:type="pct"/>
            <w:tcBorders>
              <w:tl2br w:val="nil"/>
              <w:tr2bl w:val="nil"/>
            </w:tcBorders>
          </w:tcPr>
          <w:p>
            <w:pPr>
              <w:spacing w:line="240" w:lineRule="auto"/>
              <w:ind w:firstLine="0" w:firstLineChars="0"/>
              <w:jc w:val="center"/>
              <w:rPr>
                <w:b/>
                <w:sz w:val="21"/>
                <w:szCs w:val="21"/>
              </w:rPr>
            </w:pPr>
            <w:r>
              <w:rPr>
                <w:b/>
                <w:sz w:val="21"/>
                <w:szCs w:val="21"/>
              </w:rPr>
              <w:t>盐船套——荆江门</w:t>
            </w:r>
          </w:p>
        </w:tc>
        <w:tc>
          <w:tcPr>
            <w:tcW w:w="1167" w:type="pct"/>
            <w:tcBorders>
              <w:tl2br w:val="nil"/>
              <w:tr2bl w:val="nil"/>
            </w:tcBorders>
          </w:tcPr>
          <w:p>
            <w:pPr>
              <w:spacing w:line="240" w:lineRule="auto"/>
              <w:ind w:firstLine="0" w:firstLineChars="0"/>
              <w:jc w:val="center"/>
              <w:rPr>
                <w:b/>
                <w:sz w:val="21"/>
                <w:szCs w:val="21"/>
              </w:rPr>
            </w:pPr>
            <w:r>
              <w:rPr>
                <w:b/>
                <w:sz w:val="21"/>
                <w:szCs w:val="21"/>
              </w:rPr>
              <w:t>8</w:t>
            </w:r>
          </w:p>
        </w:tc>
        <w:tc>
          <w:tcPr>
            <w:tcW w:w="1275" w:type="pct"/>
            <w:tcBorders>
              <w:tl2br w:val="nil"/>
              <w:tr2bl w:val="nil"/>
            </w:tcBorders>
          </w:tcPr>
          <w:p>
            <w:pPr>
              <w:spacing w:line="240" w:lineRule="auto"/>
              <w:ind w:firstLine="0" w:firstLineChars="0"/>
              <w:jc w:val="center"/>
              <w:rPr>
                <w:b/>
                <w:sz w:val="21"/>
                <w:szCs w:val="21"/>
              </w:rPr>
            </w:pPr>
            <w:r>
              <w:rPr>
                <w:b/>
                <w:sz w:val="21"/>
                <w:szCs w:val="21"/>
              </w:rPr>
              <w:t>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8" w:type="pct"/>
            <w:tcBorders>
              <w:tl2br w:val="nil"/>
              <w:tr2bl w:val="nil"/>
            </w:tcBorders>
          </w:tcPr>
          <w:p>
            <w:pPr>
              <w:spacing w:line="240" w:lineRule="auto"/>
              <w:ind w:firstLine="0" w:firstLineChars="0"/>
              <w:jc w:val="center"/>
              <w:rPr>
                <w:b/>
                <w:sz w:val="21"/>
                <w:szCs w:val="21"/>
              </w:rPr>
            </w:pPr>
            <w:r>
              <w:rPr>
                <w:b/>
                <w:sz w:val="21"/>
                <w:szCs w:val="21"/>
              </w:rPr>
              <w:t>螺山</w:t>
            </w:r>
          </w:p>
        </w:tc>
        <w:tc>
          <w:tcPr>
            <w:tcW w:w="1278" w:type="pct"/>
            <w:tcBorders>
              <w:tl2br w:val="nil"/>
              <w:tr2bl w:val="nil"/>
            </w:tcBorders>
          </w:tcPr>
          <w:p>
            <w:pPr>
              <w:spacing w:line="240" w:lineRule="auto"/>
              <w:ind w:firstLine="0" w:firstLineChars="0"/>
              <w:jc w:val="center"/>
              <w:rPr>
                <w:b/>
                <w:sz w:val="21"/>
                <w:szCs w:val="21"/>
              </w:rPr>
            </w:pPr>
            <w:r>
              <w:rPr>
                <w:b/>
                <w:sz w:val="21"/>
                <w:szCs w:val="21"/>
              </w:rPr>
              <w:t>白螺矶——螺山</w:t>
            </w:r>
          </w:p>
        </w:tc>
        <w:tc>
          <w:tcPr>
            <w:tcW w:w="1167" w:type="pct"/>
            <w:tcBorders>
              <w:tl2br w:val="nil"/>
              <w:tr2bl w:val="nil"/>
            </w:tcBorders>
          </w:tcPr>
          <w:p>
            <w:pPr>
              <w:spacing w:line="240" w:lineRule="auto"/>
              <w:ind w:firstLine="0" w:firstLineChars="0"/>
              <w:jc w:val="center"/>
              <w:rPr>
                <w:b/>
                <w:sz w:val="21"/>
                <w:szCs w:val="21"/>
              </w:rPr>
            </w:pPr>
            <w:r>
              <w:rPr>
                <w:b/>
                <w:sz w:val="21"/>
                <w:szCs w:val="21"/>
              </w:rPr>
              <w:t>19</w:t>
            </w:r>
          </w:p>
        </w:tc>
        <w:tc>
          <w:tcPr>
            <w:tcW w:w="1275" w:type="pct"/>
            <w:tcBorders>
              <w:tl2br w:val="nil"/>
              <w:tr2bl w:val="nil"/>
            </w:tcBorders>
          </w:tcPr>
          <w:p>
            <w:pPr>
              <w:spacing w:line="240" w:lineRule="auto"/>
              <w:ind w:firstLine="0" w:firstLineChars="0"/>
              <w:jc w:val="center"/>
              <w:rPr>
                <w:b/>
                <w:sz w:val="21"/>
                <w:szCs w:val="21"/>
              </w:rPr>
            </w:pPr>
            <w:r>
              <w:rPr>
                <w:b/>
                <w:sz w:val="21"/>
                <w:szCs w:val="21"/>
              </w:rPr>
              <w:t>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8" w:type="pct"/>
            <w:tcBorders>
              <w:tl2br w:val="nil"/>
              <w:tr2bl w:val="nil"/>
            </w:tcBorders>
          </w:tcPr>
          <w:p>
            <w:pPr>
              <w:spacing w:line="240" w:lineRule="auto"/>
              <w:ind w:firstLine="0" w:firstLineChars="0"/>
              <w:jc w:val="center"/>
              <w:rPr>
                <w:sz w:val="21"/>
                <w:szCs w:val="21"/>
              </w:rPr>
            </w:pPr>
            <w:r>
              <w:rPr>
                <w:sz w:val="21"/>
                <w:szCs w:val="21"/>
              </w:rPr>
              <w:t>嘉鱼</w:t>
            </w:r>
          </w:p>
        </w:tc>
        <w:tc>
          <w:tcPr>
            <w:tcW w:w="1278" w:type="pct"/>
            <w:tcBorders>
              <w:tl2br w:val="nil"/>
              <w:tr2bl w:val="nil"/>
            </w:tcBorders>
          </w:tcPr>
          <w:p>
            <w:pPr>
              <w:spacing w:line="240" w:lineRule="auto"/>
              <w:ind w:firstLine="0" w:firstLineChars="0"/>
              <w:jc w:val="center"/>
              <w:rPr>
                <w:sz w:val="21"/>
                <w:szCs w:val="21"/>
              </w:rPr>
            </w:pPr>
            <w:r>
              <w:rPr>
                <w:sz w:val="21"/>
                <w:szCs w:val="21"/>
              </w:rPr>
              <w:t>陆溪口——嘉鱼</w:t>
            </w:r>
          </w:p>
        </w:tc>
        <w:tc>
          <w:tcPr>
            <w:tcW w:w="1167" w:type="pct"/>
            <w:tcBorders>
              <w:tl2br w:val="nil"/>
              <w:tr2bl w:val="nil"/>
            </w:tcBorders>
          </w:tcPr>
          <w:p>
            <w:pPr>
              <w:spacing w:line="240" w:lineRule="auto"/>
              <w:ind w:firstLine="0" w:firstLineChars="0"/>
              <w:jc w:val="center"/>
              <w:rPr>
                <w:sz w:val="21"/>
                <w:szCs w:val="21"/>
              </w:rPr>
            </w:pPr>
            <w:r>
              <w:rPr>
                <w:sz w:val="21"/>
                <w:szCs w:val="21"/>
              </w:rPr>
              <w:t>23</w:t>
            </w:r>
          </w:p>
        </w:tc>
        <w:tc>
          <w:tcPr>
            <w:tcW w:w="1275" w:type="pct"/>
            <w:tcBorders>
              <w:tl2br w:val="nil"/>
              <w:tr2bl w:val="nil"/>
            </w:tcBorders>
          </w:tcPr>
          <w:p>
            <w:pPr>
              <w:spacing w:line="240" w:lineRule="auto"/>
              <w:ind w:firstLine="0" w:firstLineChars="0"/>
              <w:jc w:val="center"/>
              <w:rPr>
                <w:sz w:val="21"/>
                <w:szCs w:val="21"/>
              </w:rPr>
            </w:pPr>
            <w:r>
              <w:rPr>
                <w:sz w:val="21"/>
                <w:szCs w:val="21"/>
              </w:rPr>
              <w:t>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8" w:type="pct"/>
            <w:tcBorders>
              <w:tl2br w:val="nil"/>
              <w:tr2bl w:val="nil"/>
            </w:tcBorders>
          </w:tcPr>
          <w:p>
            <w:pPr>
              <w:spacing w:line="240" w:lineRule="auto"/>
              <w:ind w:firstLine="0" w:firstLineChars="0"/>
              <w:jc w:val="center"/>
              <w:rPr>
                <w:sz w:val="21"/>
                <w:szCs w:val="21"/>
              </w:rPr>
            </w:pPr>
            <w:r>
              <w:rPr>
                <w:sz w:val="21"/>
                <w:szCs w:val="21"/>
              </w:rPr>
              <w:t>簰洲</w:t>
            </w:r>
          </w:p>
        </w:tc>
        <w:tc>
          <w:tcPr>
            <w:tcW w:w="1278" w:type="pct"/>
            <w:tcBorders>
              <w:tl2br w:val="nil"/>
              <w:tr2bl w:val="nil"/>
            </w:tcBorders>
          </w:tcPr>
          <w:p>
            <w:pPr>
              <w:spacing w:line="240" w:lineRule="auto"/>
              <w:ind w:firstLine="0" w:firstLineChars="0"/>
              <w:jc w:val="center"/>
              <w:rPr>
                <w:sz w:val="21"/>
                <w:szCs w:val="21"/>
              </w:rPr>
            </w:pPr>
            <w:r>
              <w:rPr>
                <w:sz w:val="21"/>
                <w:szCs w:val="21"/>
              </w:rPr>
              <w:t>甲东岭——新滩口</w:t>
            </w:r>
          </w:p>
        </w:tc>
        <w:tc>
          <w:tcPr>
            <w:tcW w:w="1167" w:type="pct"/>
            <w:tcBorders>
              <w:tl2br w:val="nil"/>
              <w:tr2bl w:val="nil"/>
            </w:tcBorders>
          </w:tcPr>
          <w:p>
            <w:pPr>
              <w:spacing w:line="240" w:lineRule="auto"/>
              <w:ind w:firstLine="0" w:firstLineChars="0"/>
              <w:jc w:val="center"/>
              <w:rPr>
                <w:sz w:val="21"/>
                <w:szCs w:val="21"/>
              </w:rPr>
            </w:pPr>
            <w:r>
              <w:rPr>
                <w:sz w:val="21"/>
                <w:szCs w:val="21"/>
              </w:rPr>
              <w:t>13</w:t>
            </w:r>
          </w:p>
        </w:tc>
        <w:tc>
          <w:tcPr>
            <w:tcW w:w="1275" w:type="pct"/>
            <w:tcBorders>
              <w:tl2br w:val="nil"/>
              <w:tr2bl w:val="nil"/>
            </w:tcBorders>
          </w:tcPr>
          <w:p>
            <w:pPr>
              <w:spacing w:line="240" w:lineRule="auto"/>
              <w:ind w:firstLine="0" w:firstLineChars="0"/>
              <w:jc w:val="center"/>
              <w:rPr>
                <w:sz w:val="21"/>
                <w:szCs w:val="21"/>
              </w:rPr>
            </w:pPr>
            <w:r>
              <w:rPr>
                <w:sz w:val="21"/>
                <w:szCs w:val="21"/>
              </w:rPr>
              <w:t>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8" w:type="pct"/>
            <w:tcBorders>
              <w:tl2br w:val="nil"/>
              <w:tr2bl w:val="nil"/>
            </w:tcBorders>
          </w:tcPr>
          <w:p>
            <w:pPr>
              <w:spacing w:line="240" w:lineRule="auto"/>
              <w:ind w:firstLine="0" w:firstLineChars="0"/>
              <w:jc w:val="center"/>
              <w:rPr>
                <w:sz w:val="21"/>
                <w:szCs w:val="21"/>
              </w:rPr>
            </w:pPr>
            <w:r>
              <w:rPr>
                <w:sz w:val="21"/>
                <w:szCs w:val="21"/>
              </w:rPr>
              <w:t>大咀</w:t>
            </w:r>
          </w:p>
        </w:tc>
        <w:tc>
          <w:tcPr>
            <w:tcW w:w="1278" w:type="pct"/>
            <w:tcBorders>
              <w:tl2br w:val="nil"/>
              <w:tr2bl w:val="nil"/>
            </w:tcBorders>
          </w:tcPr>
          <w:p>
            <w:pPr>
              <w:spacing w:line="240" w:lineRule="auto"/>
              <w:ind w:firstLine="0" w:firstLineChars="0"/>
              <w:jc w:val="center"/>
              <w:rPr>
                <w:sz w:val="21"/>
                <w:szCs w:val="21"/>
              </w:rPr>
            </w:pPr>
            <w:r>
              <w:rPr>
                <w:sz w:val="21"/>
                <w:szCs w:val="21"/>
              </w:rPr>
              <w:t>大咀——纱帽山</w:t>
            </w:r>
          </w:p>
        </w:tc>
        <w:tc>
          <w:tcPr>
            <w:tcW w:w="1167" w:type="pct"/>
            <w:tcBorders>
              <w:tl2br w:val="nil"/>
              <w:tr2bl w:val="nil"/>
            </w:tcBorders>
          </w:tcPr>
          <w:p>
            <w:pPr>
              <w:spacing w:line="240" w:lineRule="auto"/>
              <w:ind w:firstLine="0" w:firstLineChars="0"/>
              <w:jc w:val="center"/>
              <w:rPr>
                <w:sz w:val="21"/>
                <w:szCs w:val="21"/>
              </w:rPr>
            </w:pPr>
            <w:r>
              <w:rPr>
                <w:sz w:val="21"/>
                <w:szCs w:val="21"/>
              </w:rPr>
              <w:t>14</w:t>
            </w:r>
          </w:p>
        </w:tc>
        <w:tc>
          <w:tcPr>
            <w:tcW w:w="1275" w:type="pct"/>
            <w:tcBorders>
              <w:tl2br w:val="nil"/>
              <w:tr2bl w:val="nil"/>
            </w:tcBorders>
          </w:tcPr>
          <w:p>
            <w:pPr>
              <w:spacing w:line="240" w:lineRule="auto"/>
              <w:ind w:firstLine="0" w:firstLineChars="0"/>
              <w:jc w:val="center"/>
              <w:rPr>
                <w:sz w:val="21"/>
                <w:szCs w:val="21"/>
              </w:rPr>
            </w:pPr>
            <w:r>
              <w:rPr>
                <w:sz w:val="21"/>
                <w:szCs w:val="21"/>
              </w:rPr>
              <w:t>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8" w:type="pct"/>
            <w:tcBorders>
              <w:tl2br w:val="nil"/>
              <w:tr2bl w:val="nil"/>
            </w:tcBorders>
          </w:tcPr>
          <w:p>
            <w:pPr>
              <w:spacing w:line="240" w:lineRule="auto"/>
              <w:ind w:firstLine="0" w:firstLineChars="0"/>
              <w:jc w:val="center"/>
              <w:rPr>
                <w:sz w:val="21"/>
                <w:szCs w:val="21"/>
              </w:rPr>
            </w:pPr>
            <w:r>
              <w:rPr>
                <w:sz w:val="21"/>
                <w:szCs w:val="21"/>
              </w:rPr>
              <w:t>白浒山</w:t>
            </w:r>
          </w:p>
        </w:tc>
        <w:tc>
          <w:tcPr>
            <w:tcW w:w="1278" w:type="pct"/>
            <w:tcBorders>
              <w:tl2br w:val="nil"/>
              <w:tr2bl w:val="nil"/>
            </w:tcBorders>
          </w:tcPr>
          <w:p>
            <w:pPr>
              <w:spacing w:line="240" w:lineRule="auto"/>
              <w:ind w:firstLine="0" w:firstLineChars="0"/>
              <w:jc w:val="center"/>
              <w:rPr>
                <w:sz w:val="21"/>
                <w:szCs w:val="21"/>
              </w:rPr>
            </w:pPr>
            <w:r>
              <w:rPr>
                <w:sz w:val="21"/>
                <w:szCs w:val="21"/>
              </w:rPr>
              <w:t>阳逻——葛店</w:t>
            </w:r>
          </w:p>
        </w:tc>
        <w:tc>
          <w:tcPr>
            <w:tcW w:w="1167" w:type="pct"/>
            <w:tcBorders>
              <w:tl2br w:val="nil"/>
              <w:tr2bl w:val="nil"/>
            </w:tcBorders>
          </w:tcPr>
          <w:p>
            <w:pPr>
              <w:spacing w:line="240" w:lineRule="auto"/>
              <w:ind w:firstLine="0" w:firstLineChars="0"/>
              <w:jc w:val="center"/>
              <w:rPr>
                <w:sz w:val="21"/>
                <w:szCs w:val="21"/>
              </w:rPr>
            </w:pPr>
            <w:r>
              <w:rPr>
                <w:sz w:val="21"/>
                <w:szCs w:val="21"/>
              </w:rPr>
              <w:t>18</w:t>
            </w:r>
          </w:p>
        </w:tc>
        <w:tc>
          <w:tcPr>
            <w:tcW w:w="1275" w:type="pct"/>
            <w:tcBorders>
              <w:tl2br w:val="nil"/>
              <w:tr2bl w:val="nil"/>
            </w:tcBorders>
          </w:tcPr>
          <w:p>
            <w:pPr>
              <w:spacing w:line="240" w:lineRule="auto"/>
              <w:ind w:firstLine="0" w:firstLineChars="0"/>
              <w:jc w:val="center"/>
              <w:rPr>
                <w:sz w:val="21"/>
                <w:szCs w:val="21"/>
              </w:rPr>
            </w:pPr>
            <w:r>
              <w:rPr>
                <w:sz w:val="21"/>
                <w:szCs w:val="21"/>
              </w:rPr>
              <w:t>66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8" w:type="pct"/>
            <w:tcBorders>
              <w:tl2br w:val="nil"/>
              <w:tr2bl w:val="nil"/>
            </w:tcBorders>
          </w:tcPr>
          <w:p>
            <w:pPr>
              <w:spacing w:line="240" w:lineRule="auto"/>
              <w:ind w:firstLine="0" w:firstLineChars="0"/>
              <w:jc w:val="center"/>
              <w:rPr>
                <w:sz w:val="21"/>
                <w:szCs w:val="21"/>
              </w:rPr>
            </w:pPr>
            <w:r>
              <w:rPr>
                <w:sz w:val="21"/>
                <w:szCs w:val="21"/>
              </w:rPr>
              <w:t>团风</w:t>
            </w:r>
          </w:p>
        </w:tc>
        <w:tc>
          <w:tcPr>
            <w:tcW w:w="1278" w:type="pct"/>
            <w:tcBorders>
              <w:tl2br w:val="nil"/>
              <w:tr2bl w:val="nil"/>
            </w:tcBorders>
          </w:tcPr>
          <w:p>
            <w:pPr>
              <w:spacing w:line="240" w:lineRule="auto"/>
              <w:ind w:firstLine="0" w:firstLineChars="0"/>
              <w:jc w:val="center"/>
              <w:rPr>
                <w:sz w:val="21"/>
                <w:szCs w:val="21"/>
              </w:rPr>
            </w:pPr>
            <w:r>
              <w:rPr>
                <w:sz w:val="21"/>
                <w:szCs w:val="21"/>
              </w:rPr>
              <w:t>团风——两河口</w:t>
            </w:r>
          </w:p>
        </w:tc>
        <w:tc>
          <w:tcPr>
            <w:tcW w:w="1167" w:type="pct"/>
            <w:tcBorders>
              <w:tl2br w:val="nil"/>
              <w:tr2bl w:val="nil"/>
            </w:tcBorders>
          </w:tcPr>
          <w:p>
            <w:pPr>
              <w:spacing w:line="240" w:lineRule="auto"/>
              <w:ind w:firstLine="0" w:firstLineChars="0"/>
              <w:jc w:val="center"/>
              <w:rPr>
                <w:sz w:val="21"/>
                <w:szCs w:val="21"/>
              </w:rPr>
            </w:pPr>
            <w:r>
              <w:rPr>
                <w:sz w:val="21"/>
                <w:szCs w:val="21"/>
              </w:rPr>
              <w:t>8</w:t>
            </w:r>
          </w:p>
        </w:tc>
        <w:tc>
          <w:tcPr>
            <w:tcW w:w="1275" w:type="pct"/>
            <w:tcBorders>
              <w:tl2br w:val="nil"/>
              <w:tr2bl w:val="nil"/>
            </w:tcBorders>
          </w:tcPr>
          <w:p>
            <w:pPr>
              <w:spacing w:line="240" w:lineRule="auto"/>
              <w:ind w:firstLine="0" w:firstLineChars="0"/>
              <w:jc w:val="center"/>
              <w:rPr>
                <w:sz w:val="21"/>
                <w:szCs w:val="21"/>
              </w:rPr>
            </w:pPr>
            <w:r>
              <w:rPr>
                <w:sz w:val="21"/>
                <w:szCs w:val="21"/>
              </w:rPr>
              <w:t>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8" w:type="pct"/>
            <w:tcBorders>
              <w:tl2br w:val="nil"/>
              <w:tr2bl w:val="nil"/>
            </w:tcBorders>
          </w:tcPr>
          <w:p>
            <w:pPr>
              <w:spacing w:line="240" w:lineRule="auto"/>
              <w:ind w:firstLine="0" w:firstLineChars="0"/>
              <w:jc w:val="center"/>
              <w:rPr>
                <w:sz w:val="21"/>
                <w:szCs w:val="21"/>
              </w:rPr>
            </w:pPr>
            <w:r>
              <w:rPr>
                <w:sz w:val="21"/>
                <w:szCs w:val="21"/>
              </w:rPr>
              <w:t>黄石</w:t>
            </w:r>
          </w:p>
        </w:tc>
        <w:tc>
          <w:tcPr>
            <w:tcW w:w="1278" w:type="pct"/>
            <w:tcBorders>
              <w:tl2br w:val="nil"/>
              <w:tr2bl w:val="nil"/>
            </w:tcBorders>
          </w:tcPr>
          <w:p>
            <w:pPr>
              <w:spacing w:line="240" w:lineRule="auto"/>
              <w:ind w:firstLine="0" w:firstLineChars="0"/>
              <w:jc w:val="center"/>
              <w:rPr>
                <w:sz w:val="21"/>
                <w:szCs w:val="21"/>
              </w:rPr>
            </w:pPr>
            <w:r>
              <w:rPr>
                <w:sz w:val="21"/>
                <w:szCs w:val="21"/>
              </w:rPr>
              <w:t>巴河口——道士袱</w:t>
            </w:r>
          </w:p>
        </w:tc>
        <w:tc>
          <w:tcPr>
            <w:tcW w:w="1167" w:type="pct"/>
            <w:tcBorders>
              <w:tl2br w:val="nil"/>
              <w:tr2bl w:val="nil"/>
            </w:tcBorders>
          </w:tcPr>
          <w:p>
            <w:pPr>
              <w:spacing w:line="240" w:lineRule="auto"/>
              <w:ind w:firstLine="0" w:firstLineChars="0"/>
              <w:jc w:val="center"/>
              <w:rPr>
                <w:sz w:val="21"/>
                <w:szCs w:val="21"/>
              </w:rPr>
            </w:pPr>
            <w:r>
              <w:rPr>
                <w:sz w:val="21"/>
                <w:szCs w:val="21"/>
              </w:rPr>
              <w:t>31</w:t>
            </w:r>
          </w:p>
        </w:tc>
        <w:tc>
          <w:tcPr>
            <w:tcW w:w="1275" w:type="pct"/>
            <w:tcBorders>
              <w:tl2br w:val="nil"/>
              <w:tr2bl w:val="nil"/>
            </w:tcBorders>
          </w:tcPr>
          <w:p>
            <w:pPr>
              <w:spacing w:line="240" w:lineRule="auto"/>
              <w:ind w:firstLine="0" w:firstLineChars="0"/>
              <w:jc w:val="center"/>
              <w:rPr>
                <w:sz w:val="21"/>
                <w:szCs w:val="21"/>
              </w:rPr>
            </w:pPr>
            <w:r>
              <w:rPr>
                <w:sz w:val="21"/>
                <w:szCs w:val="21"/>
              </w:rPr>
              <w:t>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8" w:type="pct"/>
            <w:tcBorders>
              <w:tl2br w:val="nil"/>
              <w:tr2bl w:val="nil"/>
            </w:tcBorders>
          </w:tcPr>
          <w:p>
            <w:pPr>
              <w:spacing w:line="240" w:lineRule="auto"/>
              <w:ind w:firstLine="0" w:firstLineChars="0"/>
              <w:jc w:val="center"/>
              <w:rPr>
                <w:sz w:val="21"/>
                <w:szCs w:val="21"/>
              </w:rPr>
            </w:pPr>
            <w:r>
              <w:rPr>
                <w:sz w:val="21"/>
                <w:szCs w:val="21"/>
              </w:rPr>
              <w:t>田家镇</w:t>
            </w:r>
          </w:p>
        </w:tc>
        <w:tc>
          <w:tcPr>
            <w:tcW w:w="1278" w:type="pct"/>
            <w:tcBorders>
              <w:tl2br w:val="nil"/>
              <w:tr2bl w:val="nil"/>
            </w:tcBorders>
          </w:tcPr>
          <w:p>
            <w:pPr>
              <w:spacing w:line="240" w:lineRule="auto"/>
              <w:ind w:firstLine="0" w:firstLineChars="0"/>
              <w:jc w:val="center"/>
              <w:rPr>
                <w:sz w:val="21"/>
                <w:szCs w:val="21"/>
              </w:rPr>
            </w:pPr>
            <w:r>
              <w:rPr>
                <w:sz w:val="21"/>
                <w:szCs w:val="21"/>
              </w:rPr>
              <w:t>薪洲——半边山</w:t>
            </w:r>
          </w:p>
        </w:tc>
        <w:tc>
          <w:tcPr>
            <w:tcW w:w="1167" w:type="pct"/>
            <w:tcBorders>
              <w:tl2br w:val="nil"/>
              <w:tr2bl w:val="nil"/>
            </w:tcBorders>
          </w:tcPr>
          <w:p>
            <w:pPr>
              <w:spacing w:line="240" w:lineRule="auto"/>
              <w:ind w:firstLine="0" w:firstLineChars="0"/>
              <w:jc w:val="center"/>
              <w:rPr>
                <w:sz w:val="21"/>
                <w:szCs w:val="21"/>
              </w:rPr>
            </w:pPr>
            <w:r>
              <w:rPr>
                <w:sz w:val="21"/>
                <w:szCs w:val="21"/>
              </w:rPr>
              <w:t>21</w:t>
            </w:r>
          </w:p>
        </w:tc>
        <w:tc>
          <w:tcPr>
            <w:tcW w:w="1275" w:type="pct"/>
            <w:tcBorders>
              <w:tl2br w:val="nil"/>
              <w:tr2bl w:val="nil"/>
            </w:tcBorders>
          </w:tcPr>
          <w:p>
            <w:pPr>
              <w:spacing w:line="240" w:lineRule="auto"/>
              <w:ind w:firstLine="0" w:firstLineChars="0"/>
              <w:jc w:val="center"/>
              <w:rPr>
                <w:sz w:val="21"/>
                <w:szCs w:val="21"/>
              </w:rPr>
            </w:pPr>
            <w:r>
              <w:rPr>
                <w:sz w:val="21"/>
                <w:szCs w:val="21"/>
              </w:rPr>
              <w:t>28</w:t>
            </w:r>
          </w:p>
        </w:tc>
      </w:tr>
    </w:tbl>
    <w:p>
      <w:pPr>
        <w:ind w:firstLine="424" w:firstLineChars="177"/>
      </w:pPr>
      <w:r>
        <w:t>段辛斌等</w:t>
      </w:r>
      <w:r>
        <w:rPr>
          <w:rFonts w:hint="eastAsia"/>
        </w:rPr>
        <w:t>（</w:t>
      </w:r>
      <w:r>
        <w:t>2008</w:t>
      </w:r>
      <w:r>
        <w:rPr>
          <w:rFonts w:hint="eastAsia"/>
        </w:rPr>
        <w:t>）</w:t>
      </w:r>
      <w:r>
        <w:t>于2003~2006年每年5~7月对长江中游江段产漂流性卵鱼类产卵场的现状进行了调查。结果表明，三峡水库蓄水后长江中游现有产漂流性卵鱼类13种，其中主要经济鱼类有青鱼、草鱼、鲢、鳙、鳜、赤眼鳟、鳊、铜鱼，共8种。与20世纪70年代相比，种类减少了10余种。在长江中游宜昌至城陵矶300多km江段分布10余个四大家鱼产卵场(表3.1-20)，分别为宜昌、宜都、枝江、江口、荆州、郝穴、石首、调关、监利和反咀。</w:t>
      </w:r>
    </w:p>
    <w:p>
      <w:pPr>
        <w:pStyle w:val="3583"/>
        <w:spacing w:line="240" w:lineRule="auto"/>
        <w:ind w:left="0"/>
        <w:rPr>
          <w:szCs w:val="21"/>
        </w:rPr>
      </w:pPr>
      <w:r>
        <w:rPr>
          <w:szCs w:val="21"/>
        </w:rPr>
        <w:t>2003~2006年（三峡</w:t>
      </w:r>
      <w:r>
        <w:t>蓄水</w:t>
      </w:r>
      <w:r>
        <w:rPr>
          <w:szCs w:val="21"/>
        </w:rPr>
        <w:t>后）宜昌至城陵矶河段“四大家鱼”产卵场</w:t>
      </w:r>
    </w:p>
    <w:tbl>
      <w:tblPr>
        <w:tblStyle w:val="87"/>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164"/>
        <w:gridCol w:w="3167"/>
        <w:gridCol w:w="29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pct"/>
            <w:tcBorders>
              <w:bottom w:val="single" w:color="auto" w:sz="12" w:space="0"/>
            </w:tcBorders>
            <w:vAlign w:val="center"/>
          </w:tcPr>
          <w:p>
            <w:pPr>
              <w:spacing w:line="240" w:lineRule="auto"/>
              <w:ind w:firstLine="0" w:firstLineChars="0"/>
              <w:jc w:val="center"/>
              <w:rPr>
                <w:b/>
                <w:sz w:val="21"/>
                <w:szCs w:val="21"/>
              </w:rPr>
            </w:pPr>
            <w:r>
              <w:rPr>
                <w:b/>
                <w:sz w:val="21"/>
                <w:szCs w:val="21"/>
              </w:rPr>
              <w:t>名称</w:t>
            </w:r>
          </w:p>
        </w:tc>
        <w:tc>
          <w:tcPr>
            <w:tcW w:w="1705" w:type="pct"/>
            <w:tcBorders>
              <w:bottom w:val="single" w:color="auto" w:sz="12" w:space="0"/>
            </w:tcBorders>
            <w:vAlign w:val="center"/>
          </w:tcPr>
          <w:p>
            <w:pPr>
              <w:spacing w:line="240" w:lineRule="auto"/>
              <w:ind w:firstLine="0" w:firstLineChars="0"/>
              <w:jc w:val="center"/>
              <w:rPr>
                <w:b/>
                <w:sz w:val="21"/>
                <w:szCs w:val="21"/>
              </w:rPr>
            </w:pPr>
            <w:r>
              <w:rPr>
                <w:b/>
                <w:sz w:val="21"/>
                <w:szCs w:val="21"/>
              </w:rPr>
              <w:t>范围</w:t>
            </w:r>
          </w:p>
        </w:tc>
        <w:tc>
          <w:tcPr>
            <w:tcW w:w="1590" w:type="pct"/>
            <w:tcBorders>
              <w:bottom w:val="single" w:color="auto" w:sz="12" w:space="0"/>
            </w:tcBorders>
            <w:vAlign w:val="center"/>
          </w:tcPr>
          <w:p>
            <w:pPr>
              <w:spacing w:line="240" w:lineRule="auto"/>
              <w:ind w:firstLine="0" w:firstLineChars="0"/>
              <w:jc w:val="center"/>
              <w:rPr>
                <w:b/>
                <w:sz w:val="21"/>
                <w:szCs w:val="21"/>
              </w:rPr>
            </w:pPr>
            <w:r>
              <w:rPr>
                <w:b/>
                <w:sz w:val="21"/>
                <w:szCs w:val="21"/>
              </w:rPr>
              <w:t>延伸里程（km）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pct"/>
            <w:tcBorders>
              <w:top w:val="single" w:color="auto" w:sz="12" w:space="0"/>
              <w:tl2br w:val="nil"/>
              <w:tr2bl w:val="nil"/>
            </w:tcBorders>
            <w:vAlign w:val="center"/>
          </w:tcPr>
          <w:p>
            <w:pPr>
              <w:spacing w:line="240" w:lineRule="auto"/>
              <w:ind w:firstLine="0" w:firstLineChars="0"/>
              <w:jc w:val="center"/>
              <w:rPr>
                <w:sz w:val="21"/>
                <w:szCs w:val="21"/>
              </w:rPr>
            </w:pPr>
            <w:r>
              <w:rPr>
                <w:sz w:val="21"/>
                <w:szCs w:val="21"/>
              </w:rPr>
              <w:t>宜昌</w:t>
            </w:r>
          </w:p>
        </w:tc>
        <w:tc>
          <w:tcPr>
            <w:tcW w:w="1705" w:type="pct"/>
            <w:tcBorders>
              <w:top w:val="single" w:color="auto" w:sz="12" w:space="0"/>
              <w:tl2br w:val="nil"/>
              <w:tr2bl w:val="nil"/>
            </w:tcBorders>
            <w:vAlign w:val="center"/>
          </w:tcPr>
          <w:p>
            <w:pPr>
              <w:spacing w:line="240" w:lineRule="auto"/>
              <w:ind w:firstLine="0" w:firstLineChars="0"/>
              <w:jc w:val="center"/>
              <w:rPr>
                <w:sz w:val="21"/>
                <w:szCs w:val="21"/>
              </w:rPr>
            </w:pPr>
            <w:r>
              <w:rPr>
                <w:sz w:val="21"/>
                <w:szCs w:val="21"/>
              </w:rPr>
              <w:t>十里红——古老背</w:t>
            </w:r>
          </w:p>
        </w:tc>
        <w:tc>
          <w:tcPr>
            <w:tcW w:w="1590" w:type="pct"/>
            <w:tcBorders>
              <w:top w:val="single" w:color="auto" w:sz="12" w:space="0"/>
              <w:tl2br w:val="nil"/>
              <w:tr2bl w:val="nil"/>
            </w:tcBorders>
            <w:vAlign w:val="center"/>
          </w:tcPr>
          <w:p>
            <w:pPr>
              <w:spacing w:line="240" w:lineRule="auto"/>
              <w:ind w:firstLine="0" w:firstLineChars="0"/>
              <w:jc w:val="center"/>
              <w:rPr>
                <w:sz w:val="21"/>
                <w:szCs w:val="21"/>
              </w:rPr>
            </w:pPr>
            <w:r>
              <w:rPr>
                <w:sz w:val="21"/>
                <w:szCs w:val="21"/>
              </w:rPr>
              <w:t>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pct"/>
            <w:tcBorders>
              <w:tl2br w:val="nil"/>
              <w:tr2bl w:val="nil"/>
            </w:tcBorders>
            <w:vAlign w:val="center"/>
          </w:tcPr>
          <w:p>
            <w:pPr>
              <w:spacing w:line="240" w:lineRule="auto"/>
              <w:ind w:firstLine="0" w:firstLineChars="0"/>
              <w:jc w:val="center"/>
              <w:rPr>
                <w:sz w:val="21"/>
                <w:szCs w:val="21"/>
              </w:rPr>
            </w:pPr>
            <w:r>
              <w:rPr>
                <w:sz w:val="21"/>
                <w:szCs w:val="21"/>
              </w:rPr>
              <w:t>宜都</w:t>
            </w:r>
          </w:p>
        </w:tc>
        <w:tc>
          <w:tcPr>
            <w:tcW w:w="1705" w:type="pct"/>
            <w:tcBorders>
              <w:tl2br w:val="nil"/>
              <w:tr2bl w:val="nil"/>
            </w:tcBorders>
            <w:vAlign w:val="center"/>
          </w:tcPr>
          <w:p>
            <w:pPr>
              <w:spacing w:line="240" w:lineRule="auto"/>
              <w:ind w:firstLine="0" w:firstLineChars="0"/>
              <w:jc w:val="center"/>
              <w:rPr>
                <w:sz w:val="21"/>
                <w:szCs w:val="21"/>
              </w:rPr>
            </w:pPr>
            <w:r>
              <w:rPr>
                <w:sz w:val="21"/>
                <w:szCs w:val="21"/>
              </w:rPr>
              <w:t>云池——宜都</w:t>
            </w:r>
          </w:p>
        </w:tc>
        <w:tc>
          <w:tcPr>
            <w:tcW w:w="1590" w:type="pct"/>
            <w:tcBorders>
              <w:tl2br w:val="nil"/>
              <w:tr2bl w:val="nil"/>
            </w:tcBorders>
            <w:vAlign w:val="center"/>
          </w:tcPr>
          <w:p>
            <w:pPr>
              <w:spacing w:line="240" w:lineRule="auto"/>
              <w:ind w:firstLine="0" w:firstLineChars="0"/>
              <w:jc w:val="center"/>
              <w:rPr>
                <w:sz w:val="21"/>
                <w:szCs w:val="21"/>
              </w:rPr>
            </w:pPr>
            <w:r>
              <w:rPr>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pct"/>
            <w:tcBorders>
              <w:tl2br w:val="nil"/>
              <w:tr2bl w:val="nil"/>
            </w:tcBorders>
            <w:vAlign w:val="center"/>
          </w:tcPr>
          <w:p>
            <w:pPr>
              <w:spacing w:line="240" w:lineRule="auto"/>
              <w:ind w:firstLine="0" w:firstLineChars="0"/>
              <w:jc w:val="center"/>
              <w:rPr>
                <w:sz w:val="21"/>
                <w:szCs w:val="21"/>
              </w:rPr>
            </w:pPr>
            <w:r>
              <w:rPr>
                <w:sz w:val="21"/>
                <w:szCs w:val="21"/>
              </w:rPr>
              <w:t>枝江</w:t>
            </w:r>
          </w:p>
        </w:tc>
        <w:tc>
          <w:tcPr>
            <w:tcW w:w="1705" w:type="pct"/>
            <w:tcBorders>
              <w:tl2br w:val="nil"/>
              <w:tr2bl w:val="nil"/>
            </w:tcBorders>
            <w:vAlign w:val="center"/>
          </w:tcPr>
          <w:p>
            <w:pPr>
              <w:spacing w:line="240" w:lineRule="auto"/>
              <w:ind w:firstLine="0" w:firstLineChars="0"/>
              <w:jc w:val="center"/>
              <w:rPr>
                <w:sz w:val="21"/>
                <w:szCs w:val="21"/>
              </w:rPr>
            </w:pPr>
            <w:r>
              <w:rPr>
                <w:sz w:val="21"/>
                <w:szCs w:val="21"/>
              </w:rPr>
              <w:t>洋溪——枝江</w:t>
            </w:r>
          </w:p>
        </w:tc>
        <w:tc>
          <w:tcPr>
            <w:tcW w:w="1590" w:type="pct"/>
            <w:tcBorders>
              <w:tl2br w:val="nil"/>
              <w:tr2bl w:val="nil"/>
            </w:tcBorders>
            <w:vAlign w:val="center"/>
          </w:tcPr>
          <w:p>
            <w:pPr>
              <w:spacing w:line="240" w:lineRule="auto"/>
              <w:ind w:firstLine="0" w:firstLineChars="0"/>
              <w:jc w:val="center"/>
              <w:rPr>
                <w:sz w:val="21"/>
                <w:szCs w:val="21"/>
              </w:rPr>
            </w:pPr>
            <w:r>
              <w:rPr>
                <w:sz w:val="21"/>
                <w:szCs w:val="21"/>
              </w:rPr>
              <w:t>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pct"/>
            <w:tcBorders>
              <w:tl2br w:val="nil"/>
              <w:tr2bl w:val="nil"/>
            </w:tcBorders>
            <w:vAlign w:val="center"/>
          </w:tcPr>
          <w:p>
            <w:pPr>
              <w:spacing w:line="240" w:lineRule="auto"/>
              <w:ind w:firstLine="0" w:firstLineChars="0"/>
              <w:jc w:val="center"/>
              <w:rPr>
                <w:sz w:val="21"/>
                <w:szCs w:val="21"/>
              </w:rPr>
            </w:pPr>
            <w:r>
              <w:rPr>
                <w:sz w:val="21"/>
                <w:szCs w:val="21"/>
              </w:rPr>
              <w:t>江口</w:t>
            </w:r>
          </w:p>
        </w:tc>
        <w:tc>
          <w:tcPr>
            <w:tcW w:w="1705" w:type="pct"/>
            <w:tcBorders>
              <w:tl2br w:val="nil"/>
              <w:tr2bl w:val="nil"/>
            </w:tcBorders>
            <w:vAlign w:val="center"/>
          </w:tcPr>
          <w:p>
            <w:pPr>
              <w:spacing w:line="240" w:lineRule="auto"/>
              <w:ind w:firstLine="0" w:firstLineChars="0"/>
              <w:jc w:val="center"/>
              <w:rPr>
                <w:sz w:val="21"/>
                <w:szCs w:val="21"/>
              </w:rPr>
            </w:pPr>
            <w:r>
              <w:rPr>
                <w:sz w:val="21"/>
                <w:szCs w:val="21"/>
              </w:rPr>
              <w:t>江口——涴市</w:t>
            </w:r>
          </w:p>
        </w:tc>
        <w:tc>
          <w:tcPr>
            <w:tcW w:w="1590" w:type="pct"/>
            <w:tcBorders>
              <w:tl2br w:val="nil"/>
              <w:tr2bl w:val="nil"/>
            </w:tcBorders>
            <w:vAlign w:val="center"/>
          </w:tcPr>
          <w:p>
            <w:pPr>
              <w:spacing w:line="240" w:lineRule="auto"/>
              <w:ind w:firstLine="0" w:firstLineChars="0"/>
              <w:jc w:val="center"/>
              <w:rPr>
                <w:sz w:val="21"/>
                <w:szCs w:val="21"/>
              </w:rPr>
            </w:pPr>
            <w:r>
              <w:rPr>
                <w:sz w:val="21"/>
                <w:szCs w:val="21"/>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pct"/>
            <w:tcBorders>
              <w:tl2br w:val="nil"/>
              <w:tr2bl w:val="nil"/>
            </w:tcBorders>
            <w:vAlign w:val="center"/>
          </w:tcPr>
          <w:p>
            <w:pPr>
              <w:spacing w:line="240" w:lineRule="auto"/>
              <w:ind w:firstLine="0" w:firstLineChars="0"/>
              <w:jc w:val="center"/>
              <w:rPr>
                <w:sz w:val="21"/>
                <w:szCs w:val="21"/>
              </w:rPr>
            </w:pPr>
            <w:r>
              <w:rPr>
                <w:sz w:val="21"/>
                <w:szCs w:val="21"/>
              </w:rPr>
              <w:t>荆州</w:t>
            </w:r>
          </w:p>
        </w:tc>
        <w:tc>
          <w:tcPr>
            <w:tcW w:w="1705" w:type="pct"/>
            <w:tcBorders>
              <w:tl2br w:val="nil"/>
              <w:tr2bl w:val="nil"/>
            </w:tcBorders>
            <w:vAlign w:val="center"/>
          </w:tcPr>
          <w:p>
            <w:pPr>
              <w:spacing w:line="240" w:lineRule="auto"/>
              <w:ind w:firstLine="0" w:firstLineChars="0"/>
              <w:jc w:val="center"/>
              <w:rPr>
                <w:sz w:val="21"/>
                <w:szCs w:val="21"/>
              </w:rPr>
            </w:pPr>
            <w:r>
              <w:rPr>
                <w:sz w:val="21"/>
                <w:szCs w:val="21"/>
              </w:rPr>
              <w:t>虎渡河——观音寺</w:t>
            </w:r>
          </w:p>
        </w:tc>
        <w:tc>
          <w:tcPr>
            <w:tcW w:w="1590" w:type="pct"/>
            <w:tcBorders>
              <w:tl2br w:val="nil"/>
              <w:tr2bl w:val="nil"/>
            </w:tcBorders>
            <w:vAlign w:val="center"/>
          </w:tcPr>
          <w:p>
            <w:pPr>
              <w:spacing w:line="240" w:lineRule="auto"/>
              <w:ind w:firstLine="0" w:firstLineChars="0"/>
              <w:jc w:val="center"/>
              <w:rPr>
                <w:sz w:val="21"/>
                <w:szCs w:val="21"/>
              </w:rPr>
            </w:pPr>
            <w:r>
              <w:rPr>
                <w:sz w:val="21"/>
                <w:szCs w:val="21"/>
              </w:rPr>
              <w:t>27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pct"/>
            <w:tcBorders>
              <w:tl2br w:val="nil"/>
              <w:tr2bl w:val="nil"/>
            </w:tcBorders>
            <w:vAlign w:val="center"/>
          </w:tcPr>
          <w:p>
            <w:pPr>
              <w:spacing w:line="240" w:lineRule="auto"/>
              <w:ind w:firstLine="0" w:firstLineChars="0"/>
              <w:jc w:val="center"/>
              <w:rPr>
                <w:sz w:val="21"/>
                <w:szCs w:val="21"/>
              </w:rPr>
            </w:pPr>
            <w:r>
              <w:rPr>
                <w:sz w:val="21"/>
                <w:szCs w:val="21"/>
              </w:rPr>
              <w:t>郝穴</w:t>
            </w:r>
          </w:p>
        </w:tc>
        <w:tc>
          <w:tcPr>
            <w:tcW w:w="1705" w:type="pct"/>
            <w:tcBorders>
              <w:tl2br w:val="nil"/>
              <w:tr2bl w:val="nil"/>
            </w:tcBorders>
            <w:vAlign w:val="center"/>
          </w:tcPr>
          <w:p>
            <w:pPr>
              <w:spacing w:line="240" w:lineRule="auto"/>
              <w:ind w:firstLine="0" w:firstLineChars="0"/>
              <w:jc w:val="center"/>
              <w:rPr>
                <w:sz w:val="21"/>
                <w:szCs w:val="21"/>
              </w:rPr>
            </w:pPr>
            <w:r>
              <w:rPr>
                <w:sz w:val="21"/>
                <w:szCs w:val="21"/>
              </w:rPr>
              <w:t>马家寨——新厂</w:t>
            </w:r>
          </w:p>
        </w:tc>
        <w:tc>
          <w:tcPr>
            <w:tcW w:w="1590" w:type="pct"/>
            <w:tcBorders>
              <w:tl2br w:val="nil"/>
              <w:tr2bl w:val="nil"/>
            </w:tcBorders>
            <w:vAlign w:val="center"/>
          </w:tcPr>
          <w:p>
            <w:pPr>
              <w:spacing w:line="240" w:lineRule="auto"/>
              <w:ind w:firstLine="0" w:firstLineChars="0"/>
              <w:jc w:val="center"/>
              <w:rPr>
                <w:sz w:val="21"/>
                <w:szCs w:val="21"/>
              </w:rPr>
            </w:pPr>
            <w:r>
              <w:rPr>
                <w:sz w:val="21"/>
                <w:szCs w:val="21"/>
              </w:rPr>
              <w:t>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pct"/>
            <w:tcBorders>
              <w:tl2br w:val="nil"/>
              <w:tr2bl w:val="nil"/>
            </w:tcBorders>
            <w:vAlign w:val="center"/>
          </w:tcPr>
          <w:p>
            <w:pPr>
              <w:spacing w:line="240" w:lineRule="auto"/>
              <w:ind w:firstLine="0" w:firstLineChars="0"/>
              <w:jc w:val="center"/>
              <w:rPr>
                <w:sz w:val="21"/>
                <w:szCs w:val="21"/>
              </w:rPr>
            </w:pPr>
            <w:r>
              <w:rPr>
                <w:sz w:val="21"/>
                <w:szCs w:val="21"/>
              </w:rPr>
              <w:t>石首</w:t>
            </w:r>
          </w:p>
        </w:tc>
        <w:tc>
          <w:tcPr>
            <w:tcW w:w="1705" w:type="pct"/>
            <w:tcBorders>
              <w:tl2br w:val="nil"/>
              <w:tr2bl w:val="nil"/>
            </w:tcBorders>
            <w:vAlign w:val="center"/>
          </w:tcPr>
          <w:p>
            <w:pPr>
              <w:spacing w:line="240" w:lineRule="auto"/>
              <w:ind w:firstLine="0" w:firstLineChars="0"/>
              <w:jc w:val="center"/>
              <w:rPr>
                <w:sz w:val="21"/>
                <w:szCs w:val="21"/>
              </w:rPr>
            </w:pPr>
            <w:r>
              <w:rPr>
                <w:sz w:val="21"/>
                <w:szCs w:val="21"/>
              </w:rPr>
              <w:t>藕池河口——石首</w:t>
            </w:r>
          </w:p>
        </w:tc>
        <w:tc>
          <w:tcPr>
            <w:tcW w:w="1590" w:type="pct"/>
            <w:tcBorders>
              <w:tl2br w:val="nil"/>
              <w:tr2bl w:val="nil"/>
            </w:tcBorders>
            <w:vAlign w:val="center"/>
          </w:tcPr>
          <w:p>
            <w:pPr>
              <w:spacing w:line="240" w:lineRule="auto"/>
              <w:ind w:firstLine="0" w:firstLineChars="0"/>
              <w:jc w:val="center"/>
              <w:rPr>
                <w:sz w:val="21"/>
                <w:szCs w:val="21"/>
              </w:rPr>
            </w:pPr>
            <w:r>
              <w:rPr>
                <w:sz w:val="21"/>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pct"/>
            <w:tcBorders>
              <w:tl2br w:val="nil"/>
              <w:tr2bl w:val="nil"/>
            </w:tcBorders>
            <w:vAlign w:val="center"/>
          </w:tcPr>
          <w:p>
            <w:pPr>
              <w:spacing w:line="240" w:lineRule="auto"/>
              <w:ind w:firstLine="0" w:firstLineChars="0"/>
              <w:jc w:val="center"/>
              <w:rPr>
                <w:sz w:val="21"/>
                <w:szCs w:val="21"/>
              </w:rPr>
            </w:pPr>
            <w:r>
              <w:rPr>
                <w:sz w:val="21"/>
                <w:szCs w:val="21"/>
              </w:rPr>
              <w:t>调关</w:t>
            </w:r>
          </w:p>
        </w:tc>
        <w:tc>
          <w:tcPr>
            <w:tcW w:w="1705" w:type="pct"/>
            <w:tcBorders>
              <w:tl2br w:val="nil"/>
              <w:tr2bl w:val="nil"/>
            </w:tcBorders>
            <w:vAlign w:val="center"/>
          </w:tcPr>
          <w:p>
            <w:pPr>
              <w:spacing w:line="240" w:lineRule="auto"/>
              <w:ind w:firstLine="0" w:firstLineChars="0"/>
              <w:jc w:val="center"/>
              <w:rPr>
                <w:sz w:val="21"/>
                <w:szCs w:val="21"/>
              </w:rPr>
            </w:pPr>
            <w:r>
              <w:rPr>
                <w:sz w:val="21"/>
                <w:szCs w:val="21"/>
              </w:rPr>
              <w:t>莱家铺——调关</w:t>
            </w:r>
          </w:p>
        </w:tc>
        <w:tc>
          <w:tcPr>
            <w:tcW w:w="1590" w:type="pct"/>
            <w:tcBorders>
              <w:tl2br w:val="nil"/>
              <w:tr2bl w:val="nil"/>
            </w:tcBorders>
            <w:vAlign w:val="center"/>
          </w:tcPr>
          <w:p>
            <w:pPr>
              <w:spacing w:line="240" w:lineRule="auto"/>
              <w:ind w:firstLine="0" w:firstLineChars="0"/>
              <w:jc w:val="center"/>
              <w:rPr>
                <w:sz w:val="21"/>
                <w:szCs w:val="21"/>
              </w:rPr>
            </w:pPr>
            <w:r>
              <w:rPr>
                <w:sz w:val="21"/>
                <w:szCs w:val="21"/>
              </w:rPr>
              <w:t>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pct"/>
            <w:tcBorders>
              <w:tl2br w:val="nil"/>
              <w:tr2bl w:val="nil"/>
            </w:tcBorders>
            <w:vAlign w:val="center"/>
          </w:tcPr>
          <w:p>
            <w:pPr>
              <w:spacing w:line="240" w:lineRule="auto"/>
              <w:ind w:firstLine="0" w:firstLineChars="0"/>
              <w:jc w:val="center"/>
              <w:rPr>
                <w:sz w:val="21"/>
                <w:szCs w:val="21"/>
              </w:rPr>
            </w:pPr>
            <w:r>
              <w:rPr>
                <w:sz w:val="21"/>
                <w:szCs w:val="21"/>
              </w:rPr>
              <w:t>监利</w:t>
            </w:r>
          </w:p>
        </w:tc>
        <w:tc>
          <w:tcPr>
            <w:tcW w:w="1705" w:type="pct"/>
            <w:tcBorders>
              <w:tl2br w:val="nil"/>
              <w:tr2bl w:val="nil"/>
            </w:tcBorders>
            <w:vAlign w:val="center"/>
          </w:tcPr>
          <w:p>
            <w:pPr>
              <w:spacing w:line="240" w:lineRule="auto"/>
              <w:ind w:firstLine="0" w:firstLineChars="0"/>
              <w:jc w:val="center"/>
              <w:rPr>
                <w:sz w:val="21"/>
                <w:szCs w:val="21"/>
              </w:rPr>
            </w:pPr>
            <w:r>
              <w:rPr>
                <w:sz w:val="21"/>
                <w:szCs w:val="21"/>
              </w:rPr>
              <w:t>塔市驿——沙家边</w:t>
            </w:r>
          </w:p>
        </w:tc>
        <w:tc>
          <w:tcPr>
            <w:tcW w:w="1590" w:type="pct"/>
            <w:tcBorders>
              <w:tl2br w:val="nil"/>
              <w:tr2bl w:val="nil"/>
            </w:tcBorders>
            <w:vAlign w:val="center"/>
          </w:tcPr>
          <w:p>
            <w:pPr>
              <w:spacing w:line="240" w:lineRule="auto"/>
              <w:ind w:firstLine="0" w:firstLineChars="0"/>
              <w:jc w:val="center"/>
              <w:rPr>
                <w:sz w:val="21"/>
                <w:szCs w:val="21"/>
              </w:rPr>
            </w:pPr>
            <w:r>
              <w:rPr>
                <w:sz w:val="21"/>
                <w:szCs w:val="21"/>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4" w:type="pct"/>
            <w:tcBorders>
              <w:tl2br w:val="nil"/>
              <w:tr2bl w:val="nil"/>
            </w:tcBorders>
            <w:vAlign w:val="center"/>
          </w:tcPr>
          <w:p>
            <w:pPr>
              <w:spacing w:line="240" w:lineRule="auto"/>
              <w:ind w:firstLine="0" w:firstLineChars="0"/>
              <w:jc w:val="center"/>
              <w:rPr>
                <w:b/>
                <w:sz w:val="21"/>
                <w:szCs w:val="21"/>
              </w:rPr>
            </w:pPr>
            <w:r>
              <w:rPr>
                <w:b/>
                <w:sz w:val="21"/>
                <w:szCs w:val="21"/>
              </w:rPr>
              <w:t>反咀</w:t>
            </w:r>
          </w:p>
        </w:tc>
        <w:tc>
          <w:tcPr>
            <w:tcW w:w="1705" w:type="pct"/>
            <w:tcBorders>
              <w:tl2br w:val="nil"/>
              <w:tr2bl w:val="nil"/>
            </w:tcBorders>
            <w:vAlign w:val="center"/>
          </w:tcPr>
          <w:p>
            <w:pPr>
              <w:spacing w:line="240" w:lineRule="auto"/>
              <w:ind w:firstLine="0" w:firstLineChars="0"/>
              <w:jc w:val="center"/>
              <w:rPr>
                <w:b/>
                <w:sz w:val="21"/>
                <w:szCs w:val="21"/>
              </w:rPr>
            </w:pPr>
            <w:r>
              <w:rPr>
                <w:b/>
                <w:sz w:val="21"/>
                <w:szCs w:val="21"/>
              </w:rPr>
              <w:t>盐船套——荆江门</w:t>
            </w:r>
          </w:p>
        </w:tc>
        <w:tc>
          <w:tcPr>
            <w:tcW w:w="1590" w:type="pct"/>
            <w:tcBorders>
              <w:tl2br w:val="nil"/>
              <w:tr2bl w:val="nil"/>
            </w:tcBorders>
            <w:vAlign w:val="center"/>
          </w:tcPr>
          <w:p>
            <w:pPr>
              <w:spacing w:line="240" w:lineRule="auto"/>
              <w:ind w:firstLine="0" w:firstLineChars="0"/>
              <w:jc w:val="center"/>
              <w:rPr>
                <w:b/>
                <w:sz w:val="21"/>
                <w:szCs w:val="21"/>
              </w:rPr>
            </w:pPr>
            <w:r>
              <w:rPr>
                <w:b/>
                <w:sz w:val="21"/>
                <w:szCs w:val="21"/>
              </w:rPr>
              <w:t>6</w:t>
            </w:r>
          </w:p>
        </w:tc>
      </w:tr>
    </w:tbl>
    <w:p>
      <w:pPr>
        <w:ind w:firstLine="480"/>
        <w:rPr>
          <w:szCs w:val="20"/>
        </w:rPr>
      </w:pPr>
      <w:r>
        <w:t>②</w:t>
      </w:r>
      <w:r>
        <w:rPr>
          <w:szCs w:val="20"/>
        </w:rPr>
        <w:t>西南大学、长江水产研究所调查结果</w:t>
      </w:r>
    </w:p>
    <w:p>
      <w:pPr>
        <w:ind w:firstLine="480"/>
        <w:rPr>
          <w:szCs w:val="20"/>
        </w:rPr>
      </w:pPr>
      <w:r>
        <w:rPr>
          <w:szCs w:val="20"/>
        </w:rPr>
        <w:t>根据西南大学、长江水产研究所《长江中游洪湖江段鱼类早期资源研究》，</w:t>
      </w:r>
      <w:r>
        <w:rPr>
          <w:rFonts w:hint="eastAsia"/>
          <w:szCs w:val="20"/>
        </w:rPr>
        <w:t>研究人员</w:t>
      </w:r>
      <w:r>
        <w:rPr>
          <w:szCs w:val="20"/>
        </w:rPr>
        <w:t>于2014-2015年5-7月在长江中游燕窝镇设置采样点位进行了早期资源调查。共采集鱼卵2258粒，仔鱼3461251尾，隶属于7目14科44种。贝氏䱗数量最多占仔鱼比例90.40%，其次是鳊5.31%，银鱼科占1.75%，四大家鱼数量较少仅占0.89%。短颌鲚和铜鱼早期资源量占比不到0.1%。2014年鱼卵平均漂流密度48.20ind./1000m³，仔鱼平均漂流密度为 620.13ind./1000m³，平均漂流密度25.57ind./1000m³，平均漂流密度为935.86ind./1000 m³。</w:t>
      </w:r>
    </w:p>
    <w:p>
      <w:pPr>
        <w:ind w:firstLine="480"/>
        <w:rPr>
          <w:szCs w:val="20"/>
        </w:rPr>
      </w:pPr>
      <w:r>
        <w:rPr>
          <w:szCs w:val="20"/>
        </w:rPr>
        <w:t>根据鱼卵发育期时间，结合采集鱼卵时的江水流速，2014 年发现燕窝镇-龙口镇、赤壁-南门洲、陆城-永济、城陵矶-大湾4个四大家鱼产卵场。2015年发现南门洲-洪湖、陆城镇、城陵矶-大湾3个四大家鱼产卵场。2014年和2015年通过洪湖江段的四大家鱼鱼卵径流量为2.05×10</w:t>
      </w:r>
      <w:r>
        <w:rPr>
          <w:szCs w:val="20"/>
          <w:vertAlign w:val="superscript"/>
        </w:rPr>
        <w:t>8</w:t>
      </w:r>
      <w:r>
        <w:rPr>
          <w:szCs w:val="20"/>
        </w:rPr>
        <w:t>粒，仔鱼径流量22.99×10</w:t>
      </w:r>
      <w:r>
        <w:rPr>
          <w:szCs w:val="20"/>
          <w:vertAlign w:val="superscript"/>
        </w:rPr>
        <w:t>8</w:t>
      </w:r>
      <w:r>
        <w:rPr>
          <w:szCs w:val="20"/>
        </w:rPr>
        <w:t>尾。青鱼、草鱼、鲢、鳙占四大家鱼总量的比例分别为4.7%、20.97%、74.32%、0.64%。与历史研究结果比较，近年来长江中游四大家鱼卵苗成色中，青鱼、草鱼及鳙比例出现明显的下降，其中青鱼下降最显著，而鲢在四大家鱼中的比例上升迅速，并且有继续上升的趋势。</w:t>
      </w:r>
    </w:p>
    <w:p>
      <w:pPr>
        <w:ind w:firstLine="480"/>
        <w:rPr>
          <w:szCs w:val="20"/>
        </w:rPr>
      </w:pPr>
      <w:r>
        <w:rPr>
          <w:szCs w:val="20"/>
        </w:rPr>
        <w:t>根据《长江中游监利江段鱼类早期资源及生态调度对鱼类繁殖的影响》（孟秋等，2020），为了解三峡水库开展试验性生态调度后长江中游监利江段鱼类早期资源现状，2018年、2019年的5-7月，西南大学和中国水产科学研究院长江水产研究所研究人员在长江中游监利江段三洲镇设置采样断面进行了早期资源调查。2018年5-7月，估算通过监利断面的卵苗径总流量为357.5×10</w:t>
      </w:r>
      <w:r>
        <w:rPr>
          <w:szCs w:val="20"/>
          <w:vertAlign w:val="superscript"/>
        </w:rPr>
        <w:t>8</w:t>
      </w:r>
      <w:r>
        <w:rPr>
          <w:szCs w:val="20"/>
        </w:rPr>
        <w:t>粒</w:t>
      </w:r>
      <w:r>
        <w:rPr>
          <w:rFonts w:hint="eastAsia"/>
          <w:szCs w:val="20"/>
        </w:rPr>
        <w:t>（</w:t>
      </w:r>
      <w:r>
        <w:rPr>
          <w:szCs w:val="20"/>
        </w:rPr>
        <w:t>尾</w:t>
      </w:r>
      <w:r>
        <w:rPr>
          <w:rFonts w:hint="eastAsia"/>
          <w:szCs w:val="20"/>
        </w:rPr>
        <w:t>）</w:t>
      </w:r>
      <w:r>
        <w:rPr>
          <w:szCs w:val="20"/>
        </w:rPr>
        <w:t>，其中鱼卵为33.3×10</w:t>
      </w:r>
      <w:r>
        <w:rPr>
          <w:szCs w:val="20"/>
          <w:vertAlign w:val="superscript"/>
        </w:rPr>
        <w:t>8</w:t>
      </w:r>
      <w:r>
        <w:rPr>
          <w:szCs w:val="20"/>
        </w:rPr>
        <w:t>粒，仔鱼为324.2×10</w:t>
      </w:r>
      <w:r>
        <w:rPr>
          <w:szCs w:val="20"/>
          <w:vertAlign w:val="superscript"/>
        </w:rPr>
        <w:t>8</w:t>
      </w:r>
      <w:r>
        <w:rPr>
          <w:szCs w:val="20"/>
        </w:rPr>
        <w:t>䱗尾。优势种贝氏䱗仔鱼径流量为96.6×108尾、紫薄鳅为35.4×10</w:t>
      </w:r>
      <w:r>
        <w:rPr>
          <w:szCs w:val="20"/>
          <w:vertAlign w:val="superscript"/>
        </w:rPr>
        <w:t>8</w:t>
      </w:r>
      <w:r>
        <w:rPr>
          <w:szCs w:val="20"/>
        </w:rPr>
        <w:t>尾、银鮈为46.1×10</w:t>
      </w:r>
      <w:r>
        <w:rPr>
          <w:szCs w:val="20"/>
          <w:vertAlign w:val="superscript"/>
        </w:rPr>
        <w:t>8</w:t>
      </w:r>
      <w:r>
        <w:rPr>
          <w:szCs w:val="20"/>
        </w:rPr>
        <w:t>尾。2019年调查期间通过监利断面的卵苗径总流量为1176.6×10</w:t>
      </w:r>
      <w:r>
        <w:rPr>
          <w:szCs w:val="20"/>
          <w:vertAlign w:val="superscript"/>
        </w:rPr>
        <w:t>8</w:t>
      </w:r>
      <w:r>
        <w:rPr>
          <w:szCs w:val="20"/>
        </w:rPr>
        <w:t>粒</w:t>
      </w:r>
      <w:r>
        <w:rPr>
          <w:rFonts w:hint="eastAsia"/>
          <w:szCs w:val="20"/>
        </w:rPr>
        <w:t>（</w:t>
      </w:r>
      <w:r>
        <w:rPr>
          <w:szCs w:val="20"/>
        </w:rPr>
        <w:t>尾</w:t>
      </w:r>
      <w:r>
        <w:rPr>
          <w:rFonts w:hint="eastAsia"/>
          <w:szCs w:val="20"/>
        </w:rPr>
        <w:t>）</w:t>
      </w:r>
      <w:r>
        <w:rPr>
          <w:szCs w:val="20"/>
        </w:rPr>
        <w:t>，其中鱼卵为35.9×10</w:t>
      </w:r>
      <w:r>
        <w:rPr>
          <w:szCs w:val="20"/>
          <w:vertAlign w:val="superscript"/>
        </w:rPr>
        <w:t>8</w:t>
      </w:r>
      <w:r>
        <w:rPr>
          <w:szCs w:val="20"/>
        </w:rPr>
        <w:t>粒，仔鱼为1140.7×10</w:t>
      </w:r>
      <w:r>
        <w:rPr>
          <w:szCs w:val="20"/>
          <w:vertAlign w:val="superscript"/>
        </w:rPr>
        <w:t>8</w:t>
      </w:r>
      <w:r>
        <w:rPr>
          <w:szCs w:val="20"/>
        </w:rPr>
        <w:t>尾。优势种贝氏䱗、飘鱼、紫薄鳅仔鱼的径流量分别540.2×10</w:t>
      </w:r>
      <w:r>
        <w:rPr>
          <w:szCs w:val="20"/>
          <w:vertAlign w:val="superscript"/>
        </w:rPr>
        <w:t>8</w:t>
      </w:r>
      <w:r>
        <w:rPr>
          <w:szCs w:val="20"/>
        </w:rPr>
        <w:t>尾、138.7×10</w:t>
      </w:r>
      <w:r>
        <w:rPr>
          <w:szCs w:val="20"/>
          <w:vertAlign w:val="superscript"/>
        </w:rPr>
        <w:t>8</w:t>
      </w:r>
      <w:r>
        <w:rPr>
          <w:szCs w:val="20"/>
        </w:rPr>
        <w:t>尾、104.6×10</w:t>
      </w:r>
      <w:r>
        <w:rPr>
          <w:szCs w:val="20"/>
          <w:vertAlign w:val="superscript"/>
        </w:rPr>
        <w:t>8</w:t>
      </w:r>
      <w:r>
        <w:rPr>
          <w:szCs w:val="20"/>
        </w:rPr>
        <w:t>尾。对部分重要产漂流性卵鱼类的产卵场位置进行推算。结果显示，三洲镇断面以上100km范围内广泛分布着这些鱼类的产卵场。其中草鱼产卵场集中在监利至调关镇江段；鳊产卵场主要集中在监利、调关镇江段；银鮈产卵场主要集中在监利至塔市驿镇江段。</w:t>
      </w:r>
    </w:p>
    <w:p>
      <w:pPr>
        <w:ind w:firstLine="480"/>
        <w:rPr>
          <w:szCs w:val="20"/>
        </w:rPr>
      </w:pPr>
      <w:r>
        <w:rPr>
          <w:szCs w:val="20"/>
        </w:rPr>
        <w:t>综上，评价区上游城陵矶-大湾江段是</w:t>
      </w:r>
      <w:r>
        <w:rPr>
          <w:rFonts w:hint="eastAsia"/>
          <w:szCs w:val="20"/>
        </w:rPr>
        <w:t>“</w:t>
      </w:r>
      <w:r>
        <w:rPr>
          <w:szCs w:val="20"/>
        </w:rPr>
        <w:t>四大家鱼</w:t>
      </w:r>
      <w:r>
        <w:rPr>
          <w:rFonts w:hint="eastAsia"/>
          <w:szCs w:val="20"/>
        </w:rPr>
        <w:t>”</w:t>
      </w:r>
      <w:r>
        <w:rPr>
          <w:szCs w:val="20"/>
        </w:rPr>
        <w:t>、铜鱼等产漂流性卵鱼类较集中的产卵场。产卵场范围约13km，位于工程上游10km~23km江段。2014和2015年产卵规模分别为0.1×10</w:t>
      </w:r>
      <w:r>
        <w:rPr>
          <w:szCs w:val="20"/>
          <w:vertAlign w:val="superscript"/>
        </w:rPr>
        <w:t>8</w:t>
      </w:r>
      <w:r>
        <w:rPr>
          <w:szCs w:val="20"/>
        </w:rPr>
        <w:t>粒和0.3×10</w:t>
      </w:r>
      <w:r>
        <w:rPr>
          <w:szCs w:val="20"/>
          <w:vertAlign w:val="superscript"/>
        </w:rPr>
        <w:t>8</w:t>
      </w:r>
      <w:r>
        <w:rPr>
          <w:szCs w:val="20"/>
        </w:rPr>
        <w:t>粒。</w:t>
      </w:r>
    </w:p>
    <w:p>
      <w:pPr>
        <w:wordWrap w:val="0"/>
        <w:ind w:firstLine="482"/>
        <w:rPr>
          <w:b/>
        </w:rPr>
      </w:pPr>
      <w:r>
        <w:rPr>
          <w:rFonts w:hint="eastAsia"/>
          <w:b/>
        </w:rPr>
        <w:t>（2）</w:t>
      </w:r>
      <w:r>
        <w:rPr>
          <w:b/>
        </w:rPr>
        <w:t>产粘草基质卵鱼类产卵场</w:t>
      </w:r>
    </w:p>
    <w:p>
      <w:pPr>
        <w:ind w:firstLine="480"/>
      </w:pPr>
      <w:r>
        <w:t>评价区鱼类</w:t>
      </w:r>
      <w:r>
        <w:rPr>
          <w:bCs/>
          <w:szCs w:val="28"/>
        </w:rPr>
        <w:t>产粘草基质卵</w:t>
      </w:r>
      <w:r>
        <w:t>，繁殖期在4-6月份。这些鱼类繁殖需要水草环境，鱼类产卵后，受精卵粘附于水生高等植物体上，在江水良好的溶氧环境中顺利孵化。鲤、鲫等产粘性卵鱼类的产卵场，水生植物是它们的重要产卵基质。通过现场生境观察发现拟建道仁矶码头区域水生植物较少，丰水期会淹没滩地上的一些陆生或湿生植物等，水位变动较大，除了少量河流岸线适合粘性卵鱼类零星产卵外，没有规模性的粘性卵鱼类产卵场。项目技术人员</w:t>
      </w:r>
      <w:r>
        <w:rPr>
          <w:color w:val="000000"/>
        </w:rPr>
        <w:t>根据《生物多样性观测技术导则 内陆水域鱼类》（HJ701.7-2014）中产粘沉性卵鱼类早期资源调查方法要求，采集工程区附近水草，并</w:t>
      </w:r>
      <w:r>
        <w:rPr>
          <w:szCs w:val="28"/>
        </w:rPr>
        <w:t>利用手抄网在该水体中进行采集，均未发现鱼卵及仔稚鱼。</w:t>
      </w:r>
    </w:p>
    <w:p>
      <w:pPr>
        <w:wordWrap w:val="0"/>
        <w:ind w:firstLine="480"/>
      </w:pPr>
      <w:r>
        <w:t>评价区附近水生植物分布较为广泛集中的区域有洞庭湖大桥、三江口沿岸，这些江段水生植物、湿生植物较为丰富，适合鲤、鲫等产粘草基质卵鱼类产卵繁殖。因此认为洞庭湖大桥、三江口是具有一定规模的粘草基质鱼类产卵场，总面积约100hm</w:t>
      </w:r>
      <w:r>
        <w:rPr>
          <w:vertAlign w:val="superscript"/>
        </w:rPr>
        <w:t>2</w:t>
      </w:r>
      <w:r>
        <w:t>。产粘草基质卵鱼类产卵场均位于拟建工程上游，距离工程最近的成规模的产粘草基质鱼类产卵为位于三江口，距离工程上游约9.5km。</w:t>
      </w:r>
    </w:p>
    <w:tbl>
      <w:tblPr>
        <w:tblStyle w:val="87"/>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639"/>
        <w:gridCol w:w="464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498" w:type="pct"/>
            <w:tcBorders>
              <w:tl2br w:val="nil"/>
              <w:tr2bl w:val="nil"/>
            </w:tcBorders>
            <w:vAlign w:val="center"/>
          </w:tcPr>
          <w:p>
            <w:pPr>
              <w:wordWrap w:val="0"/>
              <w:ind w:firstLine="0" w:firstLineChars="0"/>
              <w:jc w:val="center"/>
              <w:rPr>
                <w:szCs w:val="21"/>
              </w:rPr>
            </w:pPr>
            <w:r>
              <w:drawing>
                <wp:inline distT="0" distB="0" distL="0" distR="0">
                  <wp:extent cx="2543175" cy="1905000"/>
                  <wp:effectExtent l="0" t="0" r="9525"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2543175" cy="1905000"/>
                          </a:xfrm>
                          <a:prstGeom prst="rect">
                            <a:avLst/>
                          </a:prstGeom>
                          <a:noFill/>
                          <a:ln>
                            <a:noFill/>
                          </a:ln>
                          <a:effectLst/>
                        </pic:spPr>
                      </pic:pic>
                    </a:graphicData>
                  </a:graphic>
                </wp:inline>
              </w:drawing>
            </w:r>
          </w:p>
        </w:tc>
        <w:tc>
          <w:tcPr>
            <w:tcW w:w="2501" w:type="pct"/>
            <w:tcBorders>
              <w:tl2br w:val="nil"/>
              <w:tr2bl w:val="nil"/>
            </w:tcBorders>
            <w:vAlign w:val="center"/>
          </w:tcPr>
          <w:p>
            <w:pPr>
              <w:wordWrap w:val="0"/>
              <w:ind w:firstLine="0" w:firstLineChars="0"/>
              <w:jc w:val="center"/>
              <w:rPr>
                <w:szCs w:val="21"/>
              </w:rPr>
            </w:pPr>
            <w:r>
              <w:drawing>
                <wp:inline distT="0" distB="0" distL="0" distR="0">
                  <wp:extent cx="2571750" cy="1885950"/>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2571750" cy="1885950"/>
                          </a:xfrm>
                          <a:prstGeom prst="rect">
                            <a:avLst/>
                          </a:prstGeom>
                          <a:noFill/>
                          <a:ln>
                            <a:noFill/>
                          </a:ln>
                          <a:effectLst/>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498" w:type="pct"/>
            <w:tcBorders>
              <w:tl2br w:val="nil"/>
              <w:tr2bl w:val="nil"/>
            </w:tcBorders>
            <w:vAlign w:val="center"/>
          </w:tcPr>
          <w:p>
            <w:pPr>
              <w:ind w:firstLine="0" w:firstLineChars="0"/>
              <w:jc w:val="center"/>
              <w:rPr>
                <w:b/>
                <w:bCs/>
                <w:sz w:val="21"/>
                <w:szCs w:val="21"/>
              </w:rPr>
            </w:pPr>
            <w:r>
              <w:rPr>
                <w:b/>
                <w:bCs/>
                <w:sz w:val="21"/>
                <w:szCs w:val="21"/>
              </w:rPr>
              <w:t>三江口河道生境（拟建工程上游9.5km）</w:t>
            </w:r>
          </w:p>
        </w:tc>
        <w:tc>
          <w:tcPr>
            <w:tcW w:w="2501" w:type="pct"/>
            <w:tcBorders>
              <w:tl2br w:val="nil"/>
              <w:tr2bl w:val="nil"/>
            </w:tcBorders>
            <w:vAlign w:val="center"/>
          </w:tcPr>
          <w:p>
            <w:pPr>
              <w:spacing w:line="240" w:lineRule="auto"/>
              <w:ind w:firstLine="0" w:firstLineChars="0"/>
              <w:jc w:val="center"/>
              <w:rPr>
                <w:b/>
                <w:bCs/>
                <w:sz w:val="21"/>
                <w:szCs w:val="21"/>
              </w:rPr>
            </w:pPr>
            <w:r>
              <w:rPr>
                <w:b/>
                <w:bCs/>
                <w:sz w:val="21"/>
                <w:szCs w:val="21"/>
              </w:rPr>
              <w:t>洞庭湖大桥湖岸生境</w:t>
            </w:r>
          </w:p>
          <w:p>
            <w:pPr>
              <w:spacing w:line="240" w:lineRule="auto"/>
              <w:ind w:firstLine="0" w:firstLineChars="0"/>
              <w:jc w:val="center"/>
              <w:rPr>
                <w:b/>
                <w:bCs/>
                <w:sz w:val="21"/>
                <w:szCs w:val="21"/>
              </w:rPr>
            </w:pPr>
            <w:r>
              <w:rPr>
                <w:b/>
                <w:bCs/>
                <w:sz w:val="21"/>
                <w:szCs w:val="21"/>
              </w:rPr>
              <w:t>（拟建工程上游12.8km）</w:t>
            </w:r>
          </w:p>
        </w:tc>
      </w:tr>
    </w:tbl>
    <w:p>
      <w:pPr>
        <w:ind w:firstLine="482"/>
        <w:rPr>
          <w:b/>
        </w:rPr>
      </w:pPr>
      <w:r>
        <w:rPr>
          <w:rFonts w:hint="eastAsia"/>
          <w:b/>
        </w:rPr>
        <w:t>（3）</w:t>
      </w:r>
      <w:r>
        <w:rPr>
          <w:b/>
        </w:rPr>
        <w:t>产粘砾石基质卵鱼类产卵场</w:t>
      </w:r>
    </w:p>
    <w:p>
      <w:pPr>
        <w:ind w:firstLine="480"/>
      </w:pPr>
      <w:r>
        <w:t>黄颡鱼、长吻鮠等鱼类产卵一般对所需环境条件要求不高。一般的砂、砾石底质，水流较缓但能保持一定流速的河滩均适宜其产卵，鱼类产卵后，受精卵或入砾石缝中，或粘附沙砾上，或埋藏于沙砾中。虽然进入产卵场前有短距离逆水洄游的习性，但其产卵活动对水位涨落、流速改变没有特别需要。</w:t>
      </w:r>
    </w:p>
    <w:p>
      <w:pPr>
        <w:ind w:firstLine="480"/>
      </w:pPr>
      <w:r>
        <w:t>工程所在河岸为泥沙底质，无产卵场分布。码头对岸长江岸线为泥沙基质底质，未见砾石分布，评价区不存在大规模的产粘砾石基质卵鱼类产卵场。评价区附近较为集中的产粘砾石基质卵鱼类产卵场有七洲和三江口、迈江洲等江段，总面积约60hm</w:t>
      </w:r>
      <w:r>
        <w:rPr>
          <w:vertAlign w:val="superscript"/>
        </w:rPr>
        <w:t>2</w:t>
      </w:r>
      <w:r>
        <w:t>。距离工程最近的产粘砾石基质卵鱼类产卵场位于迈江洲，距离工程上游约9km。</w:t>
      </w:r>
    </w:p>
    <w:p>
      <w:pPr>
        <w:ind w:firstLine="482"/>
        <w:rPr>
          <w:b/>
          <w:bCs/>
          <w:szCs w:val="20"/>
        </w:rPr>
      </w:pPr>
      <w:r>
        <w:rPr>
          <w:rFonts w:hint="eastAsia"/>
          <w:b/>
          <w:bCs/>
          <w:szCs w:val="20"/>
          <w:lang w:val="en-US" w:eastAsia="zh-CN"/>
        </w:rPr>
        <w:t>十</w:t>
      </w:r>
      <w:r>
        <w:rPr>
          <w:rFonts w:hint="eastAsia"/>
          <w:b/>
          <w:bCs/>
          <w:szCs w:val="20"/>
        </w:rPr>
        <w:t>、索饵场</w:t>
      </w:r>
    </w:p>
    <w:p>
      <w:pPr>
        <w:wordWrap w:val="0"/>
        <w:ind w:firstLine="480"/>
      </w:pPr>
      <w:r>
        <w:t>洞庭湖口与长江交汇处，水体流动相对平缓，水质肥沃，有利于浮游生物生长，洞庭湖大桥及三江口是鱼类较好的索饵或育幼场所。</w:t>
      </w:r>
    </w:p>
    <w:p>
      <w:pPr>
        <w:wordWrap w:val="0"/>
        <w:ind w:firstLine="480"/>
      </w:pPr>
      <w:r>
        <w:t>码头工程区水生植物较少，丰水期会淹没滩地上的一些陆生或湿生植物，可能会有部分鱼类在此索饵，工程及评价区不存在大规模鱼类索饵场，距离工程最近的成规模鱼类索饵场位于工程上游约10km的洞庭湖汇口的三江口。</w:t>
      </w:r>
    </w:p>
    <w:p>
      <w:pPr>
        <w:ind w:firstLine="482"/>
        <w:rPr>
          <w:b/>
          <w:bCs/>
          <w:szCs w:val="20"/>
        </w:rPr>
      </w:pPr>
      <w:r>
        <w:rPr>
          <w:rFonts w:hint="eastAsia"/>
          <w:b/>
          <w:bCs/>
          <w:szCs w:val="20"/>
        </w:rPr>
        <w:t>十</w:t>
      </w:r>
      <w:r>
        <w:rPr>
          <w:rFonts w:hint="eastAsia"/>
          <w:b/>
          <w:bCs/>
          <w:szCs w:val="20"/>
          <w:lang w:val="en-US" w:eastAsia="zh-CN"/>
        </w:rPr>
        <w:t>一</w:t>
      </w:r>
      <w:r>
        <w:rPr>
          <w:rFonts w:hint="eastAsia"/>
          <w:b/>
          <w:bCs/>
          <w:szCs w:val="20"/>
        </w:rPr>
        <w:t>、越冬场</w:t>
      </w:r>
    </w:p>
    <w:p>
      <w:pPr>
        <w:wordWrap w:val="0"/>
        <w:ind w:firstLine="480"/>
      </w:pPr>
      <w:r>
        <w:t>每年进入冬季，随着气温下降，水量减少，水位降低，鱼类活动减少，食量降低，鱼类从支流、湖泊等浅水水域进入温度较为稳定的深水水域越冬。鱼类越冬场主要分布于深水的河道深槽中。河道深槽与河床底质，河流走势密切相关，常分布于有矶头伸入河床的上游段洲头下端处或在弯曲型河道的凹岸区域。</w:t>
      </w:r>
    </w:p>
    <w:p>
      <w:pPr>
        <w:wordWrap w:val="0"/>
        <w:ind w:firstLine="480"/>
      </w:pPr>
      <w:r>
        <w:t>洞庭湖与长江交汇口水深在15~20m之间，洞庭湖汇口与长江干流是鱼类良好的越冬场所。</w:t>
      </w:r>
    </w:p>
    <w:p>
      <w:pPr>
        <w:ind w:firstLine="482"/>
        <w:rPr>
          <w:b/>
          <w:bCs/>
          <w:szCs w:val="20"/>
        </w:rPr>
      </w:pPr>
      <w:r>
        <w:rPr>
          <w:rFonts w:hint="eastAsia"/>
          <w:b/>
          <w:bCs/>
          <w:szCs w:val="20"/>
        </w:rPr>
        <w:t>十</w:t>
      </w:r>
      <w:r>
        <w:rPr>
          <w:rFonts w:hint="eastAsia"/>
          <w:b/>
          <w:bCs/>
          <w:szCs w:val="20"/>
          <w:lang w:val="en-US" w:eastAsia="zh-CN"/>
        </w:rPr>
        <w:t>二</w:t>
      </w:r>
      <w:r>
        <w:rPr>
          <w:rFonts w:hint="eastAsia"/>
          <w:b/>
          <w:bCs/>
          <w:szCs w:val="20"/>
        </w:rPr>
        <w:t>、洄游通道</w:t>
      </w:r>
    </w:p>
    <w:p>
      <w:pPr>
        <w:ind w:firstLine="480"/>
      </w:pPr>
      <w:r>
        <w:t>长江内有中华鲟、日本鳗鲡等江海洄游鱼类，还有四大家鱼等江河洄游鱼类，工程所在的长江干流是长江鱼类重要的洄游通道。</w:t>
      </w:r>
    </w:p>
    <w:p>
      <w:pPr>
        <w:pStyle w:val="454"/>
        <w:ind w:firstLine="602"/>
        <w:rPr>
          <w:color w:val="auto"/>
          <w:lang w:val="en-US"/>
        </w:rPr>
      </w:pPr>
      <w:bookmarkStart w:id="160" w:name="_Toc29427"/>
      <w:r>
        <w:rPr>
          <w:rFonts w:hint="eastAsia"/>
          <w:color w:val="auto"/>
          <w:lang w:val="en-US"/>
        </w:rPr>
        <w:t>生态敏感区现状调查与评价</w:t>
      </w:r>
      <w:bookmarkEnd w:id="160"/>
    </w:p>
    <w:p>
      <w:pPr>
        <w:ind w:firstLine="480"/>
      </w:pPr>
      <w:r>
        <w:t>根据保护区功能区划与工程矢量位置的核实，水工工程位于洞庭湖口铜鱼短颌鲚国家级水产种质资源保护区实验区内。此外，本工程下游约</w:t>
      </w:r>
      <w:r>
        <w:rPr>
          <w:rFonts w:hint="eastAsia"/>
          <w:lang w:val="en-US" w:eastAsia="zh-CN"/>
        </w:rPr>
        <w:t>52</w:t>
      </w:r>
      <w:r>
        <w:t>m为长江监利段四大家鱼国家级水产种质资源保护区实验区。</w:t>
      </w:r>
    </w:p>
    <w:p>
      <w:pPr>
        <w:pStyle w:val="456"/>
        <w:ind w:firstLine="482"/>
      </w:pPr>
      <w:bookmarkStart w:id="161" w:name="_Toc29265"/>
      <w:r>
        <w:t>洞庭湖口铜鱼短颌鲚国家级水产种质资源保护区</w:t>
      </w:r>
      <w:bookmarkEnd w:id="161"/>
    </w:p>
    <w:p>
      <w:pPr>
        <w:ind w:firstLine="482"/>
        <w:rPr>
          <w:b/>
          <w:bCs/>
        </w:rPr>
      </w:pPr>
      <w:r>
        <w:rPr>
          <w:rFonts w:hint="eastAsia"/>
          <w:b/>
          <w:bCs/>
        </w:rPr>
        <w:t>一、</w:t>
      </w:r>
      <w:r>
        <w:rPr>
          <w:b/>
          <w:bCs/>
        </w:rPr>
        <w:t>保护区概况</w:t>
      </w:r>
    </w:p>
    <w:p>
      <w:pPr>
        <w:ind w:firstLine="480"/>
      </w:pPr>
      <w:r>
        <w:t>洞庭湖口铜鱼短颌鲚国家级水产种质资源保护区位于长江岳阳段，</w:t>
      </w:r>
      <w:bookmarkStart w:id="162" w:name="_Hlk22063239"/>
      <w:r>
        <w:t>是农业部于2011年第1684号公告的</w:t>
      </w:r>
      <w:bookmarkStart w:id="163" w:name="_Hlk23930168"/>
      <w:r>
        <w:t>第五批水产种质资源保护区</w:t>
      </w:r>
      <w:bookmarkEnd w:id="162"/>
      <w:bookmarkEnd w:id="163"/>
      <w:r>
        <w:t>之一。保护区总面积 2100</w:t>
      </w:r>
      <w:r>
        <w:rPr>
          <w:rFonts w:eastAsiaTheme="minorEastAsia"/>
        </w:rPr>
        <w:t xml:space="preserve"> hm</w:t>
      </w:r>
      <w:r>
        <w:rPr>
          <w:rFonts w:eastAsiaTheme="minorEastAsia"/>
          <w:vertAlign w:val="superscript"/>
        </w:rPr>
        <w:t>2</w:t>
      </w:r>
      <w:r>
        <w:t xml:space="preserve">，其中三江口江段为核心区，面积1500 </w:t>
      </w:r>
      <w:r>
        <w:rPr>
          <w:rFonts w:eastAsiaTheme="minorEastAsia"/>
        </w:rPr>
        <w:t>hm</w:t>
      </w:r>
      <w:r>
        <w:rPr>
          <w:rFonts w:eastAsiaTheme="minorEastAsia"/>
          <w:vertAlign w:val="superscript"/>
        </w:rPr>
        <w:t>2</w:t>
      </w:r>
      <w:r>
        <w:t>，其他江段为实验区，面积600</w:t>
      </w:r>
      <w:r>
        <w:rPr>
          <w:rFonts w:eastAsiaTheme="minorEastAsia"/>
        </w:rPr>
        <w:t xml:space="preserve"> hm</w:t>
      </w:r>
      <w:r>
        <w:rPr>
          <w:rFonts w:eastAsiaTheme="minorEastAsia"/>
          <w:vertAlign w:val="superscript"/>
        </w:rPr>
        <w:t>2</w:t>
      </w:r>
      <w:r>
        <w:t>。特别保护期为每年的2月1日~6月30日。</w:t>
      </w:r>
    </w:p>
    <w:p>
      <w:pPr>
        <w:ind w:firstLine="480"/>
      </w:pPr>
      <w:r>
        <w:t>保护区地处湖南省北部，岳阳市境内，位于长江道仁矶（113°12'36.41</w:t>
      </w:r>
      <w:r>
        <w:rPr>
          <w:rFonts w:asciiTheme="minorEastAsia" w:hAnsiTheme="minorEastAsia" w:eastAsiaTheme="minorEastAsia"/>
        </w:rPr>
        <w:t>"</w:t>
      </w:r>
      <w:r>
        <w:t>E ，29°32'15.17</w:t>
      </w:r>
      <w:r>
        <w:rPr>
          <w:rFonts w:asciiTheme="minorEastAsia" w:hAnsiTheme="minorEastAsia" w:eastAsiaTheme="minorEastAsia"/>
        </w:rPr>
        <w:t>"</w:t>
      </w:r>
      <w:r>
        <w:t>N）、君山芦苇场（113°06'44.87</w:t>
      </w:r>
      <w:r>
        <w:rPr>
          <w:rFonts w:asciiTheme="minorEastAsia" w:hAnsiTheme="minorEastAsia" w:eastAsiaTheme="minorEastAsia"/>
        </w:rPr>
        <w:t>"</w:t>
      </w:r>
      <w:r>
        <w:t>E，29°29'10.16</w:t>
      </w:r>
      <w:r>
        <w:rPr>
          <w:rFonts w:asciiTheme="minorEastAsia" w:hAnsiTheme="minorEastAsia" w:eastAsiaTheme="minorEastAsia"/>
        </w:rPr>
        <w:t>"</w:t>
      </w:r>
      <w:r>
        <w:t>N）、东洞庭湖入长江北门渡口（113°05'21.70</w:t>
      </w:r>
      <w:r>
        <w:rPr>
          <w:rFonts w:asciiTheme="minorEastAsia" w:hAnsiTheme="minorEastAsia" w:eastAsiaTheme="minorEastAsia"/>
        </w:rPr>
        <w:t>"</w:t>
      </w:r>
      <w:r>
        <w:t>E，29°23'33.13</w:t>
      </w:r>
      <w:r>
        <w:rPr>
          <w:rFonts w:asciiTheme="minorEastAsia" w:hAnsiTheme="minorEastAsia" w:eastAsiaTheme="minorEastAsia"/>
        </w:rPr>
        <w:t>"</w:t>
      </w:r>
      <w:r>
        <w:t>N）及城陵矶三江口（113°08'28.07</w:t>
      </w:r>
      <w:r>
        <w:rPr>
          <w:rFonts w:asciiTheme="minorEastAsia" w:hAnsiTheme="minorEastAsia" w:eastAsiaTheme="minorEastAsia"/>
        </w:rPr>
        <w:t>"</w:t>
      </w:r>
      <w:r>
        <w:t>E，29°27'40.26</w:t>
      </w:r>
      <w:r>
        <w:rPr>
          <w:rFonts w:asciiTheme="minorEastAsia" w:hAnsiTheme="minorEastAsia" w:eastAsiaTheme="minorEastAsia"/>
        </w:rPr>
        <w:t>"</w:t>
      </w:r>
      <w:r>
        <w:t>N）江段之间。</w:t>
      </w:r>
    </w:p>
    <w:p>
      <w:pPr>
        <w:ind w:firstLine="482"/>
        <w:rPr>
          <w:b/>
          <w:bCs/>
        </w:rPr>
      </w:pPr>
      <w:r>
        <w:rPr>
          <w:rFonts w:hint="eastAsia"/>
          <w:b/>
          <w:bCs/>
        </w:rPr>
        <w:t>二、功能区划</w:t>
      </w:r>
    </w:p>
    <w:p>
      <w:pPr>
        <w:ind w:firstLine="480"/>
      </w:pPr>
      <w:r>
        <w:t>核心区由以下4个拐点沿河道方向顺次连线所围的水域：（113°05'21.70</w:t>
      </w:r>
      <w:r>
        <w:rPr>
          <w:rFonts w:asciiTheme="minorEastAsia" w:hAnsiTheme="minorEastAsia" w:eastAsiaTheme="minorEastAsia"/>
        </w:rPr>
        <w:t>"</w:t>
      </w:r>
      <w:r>
        <w:t>E，29°23'33.13</w:t>
      </w:r>
      <w:r>
        <w:rPr>
          <w:rFonts w:asciiTheme="minorEastAsia" w:hAnsiTheme="minorEastAsia" w:eastAsiaTheme="minorEastAsia"/>
        </w:rPr>
        <w:t>"</w:t>
      </w:r>
      <w:r>
        <w:t>N）~（113°09'57.96</w:t>
      </w:r>
      <w:r>
        <w:rPr>
          <w:rFonts w:asciiTheme="minorEastAsia" w:hAnsiTheme="minorEastAsia" w:eastAsiaTheme="minorEastAsia"/>
        </w:rPr>
        <w:t>"</w:t>
      </w:r>
      <w:r>
        <w:t>E，29°27'54.96</w:t>
      </w:r>
      <w:r>
        <w:rPr>
          <w:rFonts w:asciiTheme="minorEastAsia" w:hAnsiTheme="minorEastAsia" w:eastAsiaTheme="minorEastAsia"/>
        </w:rPr>
        <w:t>"</w:t>
      </w:r>
      <w:r>
        <w:t>N）—（113°07'15.12</w:t>
      </w:r>
      <w:r>
        <w:rPr>
          <w:rFonts w:asciiTheme="minorEastAsia" w:hAnsiTheme="minorEastAsia" w:eastAsiaTheme="minorEastAsia"/>
        </w:rPr>
        <w:t>"</w:t>
      </w:r>
      <w:r>
        <w:t>E，29°27'54.96</w:t>
      </w:r>
      <w:r>
        <w:rPr>
          <w:rFonts w:asciiTheme="minorEastAsia" w:hAnsiTheme="minorEastAsia" w:eastAsiaTheme="minorEastAsia"/>
        </w:rPr>
        <w:t>"</w:t>
      </w:r>
      <w:r>
        <w:t>N）~（113°05'00.76</w:t>
      </w:r>
      <w:r>
        <w:rPr>
          <w:rFonts w:asciiTheme="minorEastAsia" w:hAnsiTheme="minorEastAsia" w:eastAsiaTheme="minorEastAsia"/>
        </w:rPr>
        <w:t>"</w:t>
      </w:r>
      <w:r>
        <w:t>E，29°24'18.83</w:t>
      </w:r>
      <w:r>
        <w:rPr>
          <w:rFonts w:asciiTheme="minorEastAsia" w:hAnsiTheme="minorEastAsia" w:eastAsiaTheme="minorEastAsia"/>
        </w:rPr>
        <w:t>"</w:t>
      </w:r>
      <w:r>
        <w:t>N）；实验区为以下4个拐点沿河道方向顺次连线所围的水域：（113°09'57.96</w:t>
      </w:r>
      <w:r>
        <w:rPr>
          <w:rFonts w:asciiTheme="minorEastAsia" w:hAnsiTheme="minorEastAsia" w:eastAsiaTheme="minorEastAsia"/>
        </w:rPr>
        <w:t>"</w:t>
      </w:r>
      <w:r>
        <w:t>E，29°27'54.96</w:t>
      </w:r>
      <w:r>
        <w:rPr>
          <w:rFonts w:asciiTheme="minorEastAsia" w:hAnsiTheme="minorEastAsia" w:eastAsiaTheme="minorEastAsia"/>
        </w:rPr>
        <w:t>"</w:t>
      </w:r>
      <w:r>
        <w:t>N）~（113°12'36.41</w:t>
      </w:r>
      <w:r>
        <w:rPr>
          <w:rFonts w:asciiTheme="minorEastAsia" w:hAnsiTheme="minorEastAsia" w:eastAsiaTheme="minorEastAsia"/>
        </w:rPr>
        <w:t>"</w:t>
      </w:r>
      <w:r>
        <w:t>E，29°32'15.17</w:t>
      </w:r>
      <w:r>
        <w:rPr>
          <w:rFonts w:asciiTheme="minorEastAsia" w:hAnsiTheme="minorEastAsia" w:eastAsiaTheme="minorEastAsia"/>
        </w:rPr>
        <w:t>"</w:t>
      </w:r>
      <w:r>
        <w:t>N）—（113°06'44.87</w:t>
      </w:r>
      <w:r>
        <w:rPr>
          <w:rFonts w:asciiTheme="minorEastAsia" w:hAnsiTheme="minorEastAsia" w:eastAsiaTheme="minorEastAsia"/>
        </w:rPr>
        <w:t>"</w:t>
      </w:r>
      <w:r>
        <w:t>E，29°29'10.16</w:t>
      </w:r>
      <w:r>
        <w:rPr>
          <w:rFonts w:asciiTheme="minorEastAsia" w:hAnsiTheme="minorEastAsia" w:eastAsiaTheme="minorEastAsia"/>
        </w:rPr>
        <w:t>"</w:t>
      </w:r>
      <w:r>
        <w:t>N）~（113°07'15.12</w:t>
      </w:r>
      <w:r>
        <w:rPr>
          <w:rFonts w:asciiTheme="minorEastAsia" w:hAnsiTheme="minorEastAsia" w:eastAsiaTheme="minorEastAsia"/>
        </w:rPr>
        <w:t>"</w:t>
      </w:r>
      <w:r>
        <w:t>E，29°27'54.98</w:t>
      </w:r>
      <w:r>
        <w:rPr>
          <w:rFonts w:asciiTheme="minorEastAsia" w:hAnsiTheme="minorEastAsia" w:eastAsiaTheme="minorEastAsia"/>
        </w:rPr>
        <w:t>"</w:t>
      </w:r>
      <w:r>
        <w:t>N）。</w:t>
      </w:r>
    </w:p>
    <w:p>
      <w:pPr>
        <w:ind w:firstLine="482"/>
        <w:rPr>
          <w:b/>
          <w:bCs/>
        </w:rPr>
      </w:pPr>
      <w:r>
        <w:rPr>
          <w:rFonts w:hint="eastAsia"/>
          <w:b/>
          <w:bCs/>
        </w:rPr>
        <w:t>三、保护区主要保护对象</w:t>
      </w:r>
    </w:p>
    <w:p>
      <w:pPr>
        <w:ind w:firstLine="480"/>
      </w:pPr>
      <w:r>
        <w:t>洞庭湖口铜鱼短颌鲚国家级水产种质资源保护区主要保护对象为铜鱼、短颌鲚，其他保护物种还有青鱼、草鱼、鲢、鳙、鱤、鳤、鯮等江河半洄游性鱼类。</w:t>
      </w:r>
    </w:p>
    <w:p>
      <w:pPr>
        <w:ind w:firstLine="482"/>
        <w:rPr>
          <w:b/>
          <w:bCs/>
        </w:rPr>
      </w:pPr>
      <w:r>
        <w:rPr>
          <w:rFonts w:hint="eastAsia"/>
          <w:b/>
          <w:bCs/>
        </w:rPr>
        <w:t>四、项目与国家级水产种质资源保护区位置关系</w:t>
      </w:r>
    </w:p>
    <w:p>
      <w:pPr>
        <w:pStyle w:val="34"/>
        <w:spacing w:line="360" w:lineRule="auto"/>
        <w:ind w:firstLine="480"/>
        <w:rPr>
          <w:rFonts w:ascii="Times New Roman" w:hAnsi="Times New Roman"/>
          <w:sz w:val="24"/>
          <w:szCs w:val="24"/>
        </w:rPr>
      </w:pPr>
      <w:r>
        <w:rPr>
          <w:rFonts w:ascii="Times New Roman" w:hAnsi="Times New Roman"/>
          <w:sz w:val="24"/>
          <w:szCs w:val="24"/>
        </w:rPr>
        <w:t>道仁矶码头工程占用洞庭湖口铜鱼短颌鲚国家级水产种质资源保护区实验区。</w:t>
      </w:r>
      <w:r>
        <w:rPr>
          <w:sz w:val="24"/>
          <w:szCs w:val="24"/>
        </w:rPr>
        <w:t>详见附图</w:t>
      </w:r>
      <w:r>
        <w:rPr>
          <w:rFonts w:hint="default" w:ascii="Times New Roman" w:hAnsi="Times New Roman"/>
          <w:sz w:val="24"/>
          <w:szCs w:val="24"/>
        </w:rPr>
        <w:t>13</w:t>
      </w:r>
      <w:r>
        <w:rPr>
          <w:sz w:val="24"/>
          <w:szCs w:val="24"/>
        </w:rPr>
        <w:t>。</w:t>
      </w:r>
      <w:r>
        <w:rPr>
          <w:rFonts w:ascii="Times New Roman" w:hAnsi="Times New Roman"/>
          <w:sz w:val="24"/>
          <w:szCs w:val="24"/>
        </w:rPr>
        <w:t>水工设施</w:t>
      </w:r>
      <w:r>
        <w:rPr>
          <w:rFonts w:ascii="Times New Roman" w:hAnsi="Times New Roman"/>
          <w:kern w:val="0"/>
          <w:sz w:val="24"/>
          <w:szCs w:val="24"/>
        </w:rPr>
        <w:t>工程（含引桥、皮带机廊道桥、转运站投影和抛石护桩等）共占用保护区面积5.459hm</w:t>
      </w:r>
      <w:r>
        <w:rPr>
          <w:rFonts w:ascii="Times New Roman" w:hAnsi="Times New Roman"/>
          <w:kern w:val="0"/>
          <w:sz w:val="24"/>
          <w:szCs w:val="24"/>
          <w:vertAlign w:val="superscript"/>
        </w:rPr>
        <w:t>2</w:t>
      </w:r>
      <w:r>
        <w:rPr>
          <w:rFonts w:ascii="Times New Roman" w:hAnsi="Times New Roman"/>
          <w:kern w:val="0"/>
          <w:sz w:val="24"/>
          <w:szCs w:val="24"/>
        </w:rPr>
        <w:t>。其中，最高设计水位线以下(＜32.36 m)桩基和抛石护桩占保护区面积3.00hm</w:t>
      </w:r>
      <w:r>
        <w:rPr>
          <w:rFonts w:ascii="Times New Roman" w:hAnsi="Times New Roman"/>
          <w:kern w:val="0"/>
          <w:sz w:val="24"/>
          <w:szCs w:val="24"/>
          <w:vertAlign w:val="superscript"/>
        </w:rPr>
        <w:t>2</w:t>
      </w:r>
      <w:r>
        <w:rPr>
          <w:rFonts w:ascii="Times New Roman" w:hAnsi="Times New Roman"/>
          <w:kern w:val="0"/>
          <w:sz w:val="24"/>
          <w:szCs w:val="24"/>
        </w:rPr>
        <w:t>，占用保护区实验区岸线长度840m。港池</w:t>
      </w:r>
      <w:r>
        <w:rPr>
          <w:rFonts w:ascii="Times New Roman" w:hAnsi="Times New Roman" w:eastAsiaTheme="minorEastAsia"/>
          <w:sz w:val="24"/>
          <w:szCs w:val="24"/>
        </w:rPr>
        <w:t>疏浚面积为0.687hm</w:t>
      </w:r>
      <w:r>
        <w:rPr>
          <w:rFonts w:ascii="Times New Roman" w:hAnsi="Times New Roman" w:eastAsiaTheme="minorEastAsia"/>
          <w:sz w:val="24"/>
          <w:szCs w:val="24"/>
          <w:vertAlign w:val="superscript"/>
        </w:rPr>
        <w:t>2</w:t>
      </w:r>
      <w:r>
        <w:rPr>
          <w:rFonts w:ascii="Times New Roman" w:hAnsi="Times New Roman" w:eastAsiaTheme="minorEastAsia"/>
          <w:sz w:val="24"/>
          <w:szCs w:val="24"/>
        </w:rPr>
        <w:t>，</w:t>
      </w:r>
      <w:r>
        <w:rPr>
          <w:rFonts w:ascii="Times New Roman" w:hAnsi="Times New Roman" w:eastAsiaTheme="minorEastAsia"/>
          <w:spacing w:val="-1"/>
          <w:sz w:val="24"/>
          <w:szCs w:val="24"/>
        </w:rPr>
        <w:t>疏浚量约1.55万</w:t>
      </w:r>
      <w:r>
        <w:rPr>
          <w:rFonts w:ascii="Times New Roman" w:hAnsi="Times New Roman" w:eastAsiaTheme="minorEastAsia"/>
          <w:sz w:val="24"/>
          <w:szCs w:val="24"/>
        </w:rPr>
        <w:t>m</w:t>
      </w:r>
      <w:r>
        <w:rPr>
          <w:rFonts w:ascii="Times New Roman" w:hAnsi="Times New Roman" w:eastAsiaTheme="minorEastAsia"/>
          <w:sz w:val="24"/>
          <w:szCs w:val="24"/>
          <w:vertAlign w:val="superscript"/>
        </w:rPr>
        <w:t>3</w:t>
      </w:r>
      <w:r>
        <w:rPr>
          <w:rFonts w:ascii="Times New Roman" w:hAnsi="Times New Roman" w:eastAsiaTheme="minorEastAsia"/>
          <w:sz w:val="24"/>
          <w:szCs w:val="24"/>
        </w:rPr>
        <w:t>。</w:t>
      </w:r>
    </w:p>
    <w:p>
      <w:pPr>
        <w:pStyle w:val="6"/>
        <w:spacing w:before="0" w:after="0"/>
        <w:ind w:firstLine="562"/>
      </w:pPr>
      <w:bookmarkStart w:id="164" w:name="_Toc21045"/>
      <w:r>
        <w:t>长江监利段四大家鱼国家级水产种质资源保护区</w:t>
      </w:r>
      <w:bookmarkEnd w:id="164"/>
    </w:p>
    <w:p>
      <w:pPr>
        <w:ind w:firstLine="482"/>
        <w:rPr>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一、</w:t>
      </w:r>
      <w:r>
        <w:rPr>
          <w:b/>
          <w:bCs/>
          <w:color w:val="000000" w:themeColor="text1"/>
          <w:kern w:val="0"/>
          <w14:textFill>
            <w14:solidFill>
              <w14:schemeClr w14:val="tx1"/>
            </w14:solidFill>
          </w14:textFill>
        </w:rPr>
        <w:t>保护区概况</w:t>
      </w:r>
    </w:p>
    <w:p>
      <w:pPr>
        <w:ind w:firstLine="480"/>
        <w:rPr>
          <w:szCs w:val="20"/>
        </w:rPr>
      </w:pPr>
      <w:r>
        <w:rPr>
          <w:color w:val="000000" w:themeColor="text1"/>
          <w:kern w:val="0"/>
          <w14:textFill>
            <w14:solidFill>
              <w14:schemeClr w14:val="tx1"/>
            </w14:solidFill>
          </w14:textFill>
        </w:rPr>
        <w:t>长江监利段四大家鱼国家级水产种质资源保护区是2009年12月经原农业部（农业部公告第1308号）批准成立的第三批国家级水产种质资源保护区之一。2021年8月27日，农业农村部（农办长渔[2021]3号）对长江监利段四大家鱼国家级水产种质资源保护区功能区划进行了调整。调整后保护区江段总长111.68km，总面积16707hm</w:t>
      </w:r>
      <w:r>
        <w:rPr>
          <w:color w:val="000000" w:themeColor="text1"/>
          <w:kern w:val="0"/>
          <w:vertAlign w:val="superscript"/>
          <w14:textFill>
            <w14:solidFill>
              <w14:schemeClr w14:val="tx1"/>
            </w14:solidFill>
          </w14:textFill>
        </w:rPr>
        <w:t>2</w:t>
      </w:r>
      <w:r>
        <w:rPr>
          <w:color w:val="000000" w:themeColor="text1"/>
          <w:kern w:val="0"/>
          <w14:textFill>
            <w14:solidFill>
              <w14:schemeClr w14:val="tx1"/>
            </w14:solidFill>
          </w14:textFill>
        </w:rPr>
        <w:t>，其中核心区面积6674hm</w:t>
      </w:r>
      <w:r>
        <w:rPr>
          <w:color w:val="000000" w:themeColor="text1"/>
          <w:kern w:val="0"/>
          <w:vertAlign w:val="superscript"/>
          <w14:textFill>
            <w14:solidFill>
              <w14:schemeClr w14:val="tx1"/>
            </w14:solidFill>
          </w14:textFill>
        </w:rPr>
        <w:t>2</w:t>
      </w:r>
      <w:r>
        <w:rPr>
          <w:color w:val="000000" w:themeColor="text1"/>
          <w:kern w:val="0"/>
          <w14:textFill>
            <w14:solidFill>
              <w14:schemeClr w14:val="tx1"/>
            </w14:solidFill>
          </w14:textFill>
        </w:rPr>
        <w:t>，实验区面积10033hm</w:t>
      </w:r>
      <w:r>
        <w:rPr>
          <w:color w:val="000000" w:themeColor="text1"/>
          <w:kern w:val="0"/>
          <w:vertAlign w:val="superscript"/>
          <w14:textFill>
            <w14:solidFill>
              <w14:schemeClr w14:val="tx1"/>
            </w14:solidFill>
          </w14:textFill>
        </w:rPr>
        <w:t>2</w:t>
      </w:r>
      <w:r>
        <w:rPr>
          <w:color w:val="000000" w:themeColor="text1"/>
          <w:kern w:val="0"/>
          <w14:textFill>
            <w14:solidFill>
              <w14:schemeClr w14:val="tx1"/>
            </w14:solidFill>
          </w14:textFill>
        </w:rPr>
        <w:t>。</w:t>
      </w:r>
      <w:r>
        <w:t>保护区位于长江湖北监利段，保护区由老江河长江故道和长江干流部分水域组成。</w:t>
      </w:r>
    </w:p>
    <w:p>
      <w:pPr>
        <w:ind w:firstLine="482"/>
        <w:rPr>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二、</w:t>
      </w:r>
      <w:r>
        <w:rPr>
          <w:b/>
          <w:bCs/>
          <w:color w:val="000000" w:themeColor="text1"/>
          <w:kern w:val="0"/>
          <w14:textFill>
            <w14:solidFill>
              <w14:schemeClr w14:val="tx1"/>
            </w14:solidFill>
          </w14:textFill>
        </w:rPr>
        <w:t>保护区功能区划</w:t>
      </w:r>
    </w:p>
    <w:p>
      <w:pPr>
        <w:ind w:firstLine="480"/>
        <w:rPr>
          <w:rFonts w:eastAsiaTheme="minorEastAsia"/>
        </w:rPr>
      </w:pPr>
      <w:r>
        <w:rPr>
          <w:color w:val="000000" w:themeColor="text1"/>
          <w:kern w:val="0"/>
          <w14:textFill>
            <w14:solidFill>
              <w14:schemeClr w14:val="tx1"/>
            </w14:solidFill>
          </w14:textFill>
        </w:rPr>
        <w:t>核心区面积6674hm</w:t>
      </w:r>
      <w:r>
        <w:rPr>
          <w:color w:val="000000" w:themeColor="text1"/>
          <w:kern w:val="0"/>
          <w:vertAlign w:val="superscript"/>
          <w14:textFill>
            <w14:solidFill>
              <w14:schemeClr w14:val="tx1"/>
            </w14:solidFill>
          </w14:textFill>
        </w:rPr>
        <w:t>2</w:t>
      </w:r>
      <w:r>
        <w:rPr>
          <w:color w:val="000000" w:themeColor="text1"/>
          <w:kern w:val="0"/>
          <w14:textFill>
            <w14:solidFill>
              <w14:schemeClr w14:val="tx1"/>
            </w14:solidFill>
          </w14:textFill>
        </w:rPr>
        <w:t>，实验区面积10033hm</w:t>
      </w:r>
      <w:r>
        <w:rPr>
          <w:color w:val="000000" w:themeColor="text1"/>
          <w:kern w:val="0"/>
          <w:vertAlign w:val="superscript"/>
          <w14:textFill>
            <w14:solidFill>
              <w14:schemeClr w14:val="tx1"/>
            </w14:solidFill>
          </w14:textFill>
        </w:rPr>
        <w:t>2</w:t>
      </w:r>
      <w:r>
        <w:rPr>
          <w:color w:val="000000" w:themeColor="text1"/>
          <w:kern w:val="0"/>
          <w14:textFill>
            <w14:solidFill>
              <w14:schemeClr w14:val="tx1"/>
            </w14:solidFill>
          </w14:textFill>
        </w:rPr>
        <w:t>。保护区地理坐标范围在东经112°42′47″-113°16′55″，北纬29°26′6″-29°48′31″之间。核心区为监利市红城乡杨家湾至新洲村边界各拐点坐标依次为（112°49′38″E，29°46′7″N）、（112°50′1″E，29°45′39″N）、（112°54′36″E，29°45′48″N）、（112°56′7″E，29°46′4″N）；三洲镇盐船轮渡口至上沙村江段边界各拐点地理坐标分别为（112°55′13″E，29°32′25″N）、（112°55′57″E，29°32′35″N）、（112°56′50″E，29°29′13″N）、（112°55′34″E，29°28′41″N）；老江河长江故道边界各拐点坐标分别为（113°4′19″E，29°30′40″N）、（113°4′5″E，29°30′60″N）、（112°59′45″E，29°30′51″N）、（112°59′35″E，29°30′56″N）；柘木乡孙梁洲至月阳村江段边界各拐点地理坐标分别为（113°4′40″E，29°30′13″N）、（113°4′2″E，29°30′20″N）、（113°6′27″E，29°30′14″N）、（113°6′18″E，29°29′51″N）。实验区大垸管理区柳口至红城乡杨家湾江段边界各拐点地理坐标分别为（112°50′1" E，29°45′39"N）、（112°49′38"E，29°46′7"N）、（112°42′23"E，29°43′46"N）、（112°43′2"E，29°44′32"N）；新洲村（乌龟洲尾）至容城镇新洲沙咀轮渡码头江段边界各拐点地理坐标分别为（112°54'36"E，29°45'48"N）、（112°54′43"E，29°43′14"N）、（112°56'7"E，29°46'4"N）、（112°55'46.5"E，29°43'4.6"N）；三洲镇左家滩至盐船轮渡口江段边界各拐点地理坐标分别为（112°55'13"E，29°32'25"N）、（112°55′57"E，29°32′35"N）、（112°55′7"E，29°39′20"N）、（112°56′9"E，29°38′37"N）；三洲镇上沙村至柘木乡孙梁洲江段边界各拐点地理坐标分别为（113°2'24"E，29°29'41"N）、（113°4′2"E，29°30′20"N）、（112°56′50"E，29°29′13"N）、（112°55′34"E，29°28′41"N）；白螺镇白螺矶至韩家埠江段边界各拐点地理坐标分别为（113°17'42"E，29°38'6"N）、（113°18'53"E，29°37'30"N）、（113°12'9"E，29°32'27"N）、（113°13'2"E，29°31'51"N）。</w:t>
      </w:r>
    </w:p>
    <w:p>
      <w:pPr>
        <w:ind w:firstLine="482"/>
        <w:rPr>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三、</w:t>
      </w:r>
      <w:r>
        <w:rPr>
          <w:b/>
          <w:bCs/>
          <w:color w:val="000000" w:themeColor="text1"/>
          <w:kern w:val="0"/>
          <w14:textFill>
            <w14:solidFill>
              <w14:schemeClr w14:val="tx1"/>
            </w14:solidFill>
          </w14:textFill>
        </w:rPr>
        <w:t>保护区的主要功能</w:t>
      </w:r>
    </w:p>
    <w:p>
      <w:pPr>
        <w:ind w:firstLine="480"/>
      </w:pPr>
      <w:r>
        <w:t>水产种质资源保护区是以鱼类和其它水生动植物及其生态系统为主要保护对象，保护鱼虾类产卵场、索饵场、越冬场、洄游通道及其生态环境，防治渔业水域污染；保护珍稀野生水生生物栖息地与集中分布区；维护渔业水域的生物多样性。属于集生物多样性保护、科学研究、宣传教育为一体的综合性生态系统类型的保护区。主导功能是保护水产种质资源、维护生物多样性。</w:t>
      </w:r>
    </w:p>
    <w:p>
      <w:pPr>
        <w:ind w:firstLine="482"/>
        <w:rPr>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四、</w:t>
      </w:r>
      <w:r>
        <w:rPr>
          <w:b/>
          <w:bCs/>
          <w:color w:val="000000" w:themeColor="text1"/>
          <w:kern w:val="0"/>
          <w14:textFill>
            <w14:solidFill>
              <w14:schemeClr w14:val="tx1"/>
            </w14:solidFill>
          </w14:textFill>
        </w:rPr>
        <w:t>保护区主要保护对象</w:t>
      </w:r>
    </w:p>
    <w:p>
      <w:pPr>
        <w:widowControl/>
        <w:ind w:firstLine="480"/>
        <w:rPr>
          <w:color w:val="000000" w:themeColor="text1"/>
          <w:kern w:val="0"/>
          <w14:textFill>
            <w14:solidFill>
              <w14:schemeClr w14:val="tx1"/>
            </w14:solidFill>
          </w14:textFill>
        </w:rPr>
      </w:pPr>
      <w:r>
        <w:rPr>
          <w:color w:val="000000" w:themeColor="text1"/>
          <w:kern w:val="0"/>
          <w14:textFill>
            <w14:solidFill>
              <w14:schemeClr w14:val="tx1"/>
            </w14:solidFill>
          </w14:textFill>
        </w:rPr>
        <w:t>保护区主要保护对象为青鱼、草鱼、鲢、鳙，其他保护对象为团头鲂、翘嘴鲌、鳜等。</w:t>
      </w:r>
    </w:p>
    <w:p>
      <w:pPr>
        <w:ind w:firstLine="482"/>
        <w:rPr>
          <w:b/>
          <w:bCs/>
          <w:color w:val="000000" w:themeColor="text1"/>
          <w:kern w:val="0"/>
          <w14:textFill>
            <w14:solidFill>
              <w14:schemeClr w14:val="tx1"/>
            </w14:solidFill>
          </w14:textFill>
        </w:rPr>
      </w:pPr>
      <w:r>
        <w:rPr>
          <w:rFonts w:hint="eastAsia"/>
          <w:b/>
          <w:bCs/>
          <w:color w:val="000000" w:themeColor="text1"/>
          <w:kern w:val="0"/>
          <w14:textFill>
            <w14:solidFill>
              <w14:schemeClr w14:val="tx1"/>
            </w14:solidFill>
          </w14:textFill>
        </w:rPr>
        <w:t>五、</w:t>
      </w:r>
      <w:r>
        <w:rPr>
          <w:b/>
          <w:bCs/>
          <w:color w:val="000000" w:themeColor="text1"/>
          <w:kern w:val="0"/>
          <w14:textFill>
            <w14:solidFill>
              <w14:schemeClr w14:val="tx1"/>
            </w14:solidFill>
          </w14:textFill>
        </w:rPr>
        <w:t>项目与国家级水产种质资源保护区位置关系</w:t>
      </w:r>
    </w:p>
    <w:p>
      <w:pPr>
        <w:ind w:firstLine="480"/>
      </w:pPr>
      <w:r>
        <w:rPr>
          <w:rFonts w:hint="eastAsia"/>
        </w:rPr>
        <w:t>本项目位于该水产种质自然保护区范围外，项目与水产种质资源保护区最近的为实验区，与实验区上游边界最近距离约52m</w:t>
      </w:r>
      <w:r>
        <w:t>，项目与保护区位置关系见附图</w:t>
      </w:r>
      <w:r>
        <w:rPr>
          <w:spacing w:val="-60"/>
        </w:rPr>
        <w:t xml:space="preserve"> </w:t>
      </w:r>
      <w:r>
        <w:t>1</w:t>
      </w:r>
      <w:r>
        <w:rPr>
          <w:rFonts w:hint="eastAsia"/>
        </w:rPr>
        <w:t>5</w:t>
      </w:r>
      <w:r>
        <w:t>。</w:t>
      </w:r>
    </w:p>
    <w:p>
      <w:pPr>
        <w:pStyle w:val="6"/>
        <w:spacing w:before="0" w:after="0"/>
        <w:ind w:firstLine="562"/>
      </w:pPr>
      <w:r>
        <w:t xml:space="preserve">湖南云溪白泥湖国家湿地公园 </w:t>
      </w:r>
    </w:p>
    <w:p>
      <w:pPr>
        <w:adjustRightInd w:val="0"/>
        <w:snapToGrid w:val="0"/>
        <w:ind w:firstLine="480"/>
        <w:rPr>
          <w:rFonts w:eastAsiaTheme="minorEastAsia"/>
          <w:bCs/>
        </w:rPr>
      </w:pPr>
      <w:r>
        <w:rPr>
          <w:rFonts w:hint="eastAsia" w:eastAsiaTheme="minorEastAsia"/>
          <w:bCs/>
        </w:rPr>
        <w:t>一、湿地公园简介</w:t>
      </w:r>
    </w:p>
    <w:p>
      <w:pPr>
        <w:adjustRightInd w:val="0"/>
        <w:snapToGrid w:val="0"/>
        <w:ind w:firstLine="480"/>
        <w:rPr>
          <w:rFonts w:eastAsiaTheme="minorEastAsia"/>
          <w:bCs/>
        </w:rPr>
      </w:pPr>
      <w:r>
        <w:rPr>
          <w:rFonts w:eastAsiaTheme="minorEastAsia"/>
          <w:bCs/>
        </w:rPr>
        <w:t>白泥湖是位于湖南省岳阳市云溪区的淡水湖，面积约为15.09 km</w:t>
      </w:r>
      <w:r>
        <w:rPr>
          <w:rFonts w:eastAsiaTheme="minorEastAsia"/>
          <w:bCs/>
          <w:vertAlign w:val="superscript"/>
        </w:rPr>
        <w:t>2</w:t>
      </w:r>
      <w:r>
        <w:rPr>
          <w:rFonts w:eastAsiaTheme="minorEastAsia"/>
          <w:bCs/>
        </w:rPr>
        <w:t>，属于长江流域。它的一级流域为长江流域，二级流域为长江干流水系。</w:t>
      </w:r>
    </w:p>
    <w:p>
      <w:pPr>
        <w:adjustRightInd w:val="0"/>
        <w:snapToGrid w:val="0"/>
        <w:ind w:firstLine="480"/>
        <w:rPr>
          <w:rFonts w:eastAsiaTheme="minorEastAsia"/>
          <w:bCs/>
        </w:rPr>
      </w:pPr>
      <w:r>
        <w:rPr>
          <w:rFonts w:eastAsiaTheme="minorEastAsia"/>
          <w:bCs/>
        </w:rPr>
        <w:t>白泥湖国家湿地公园总面积1195.2hm</w:t>
      </w:r>
      <w:r>
        <w:rPr>
          <w:rFonts w:eastAsiaTheme="minorEastAsia"/>
          <w:bCs/>
          <w:vertAlign w:val="superscript"/>
        </w:rPr>
        <w:t>2</w:t>
      </w:r>
      <w:r>
        <w:rPr>
          <w:rFonts w:eastAsiaTheme="minorEastAsia"/>
          <w:bCs/>
        </w:rPr>
        <w:t>，湿地率达89.95%。园内湿地类型多样，有湖泊湿地、沼泽湿地和人工湿地3大湿地类，永久性淡水湖、草本沼泽等6种湿地型，有国家</w:t>
      </w:r>
      <w:r>
        <w:rPr>
          <w:bCs/>
        </w:rPr>
        <w:t>Ⅱ</w:t>
      </w:r>
      <w:r>
        <w:rPr>
          <w:rFonts w:eastAsiaTheme="minorEastAsia"/>
          <w:bCs/>
        </w:rPr>
        <w:t>级重点保护野生植物4种，国家</w:t>
      </w:r>
      <w:r>
        <w:rPr>
          <w:bCs/>
        </w:rPr>
        <w:t>Ⅱ</w:t>
      </w:r>
      <w:r>
        <w:rPr>
          <w:rFonts w:eastAsiaTheme="minorEastAsia"/>
          <w:bCs/>
        </w:rPr>
        <w:t>级重点保护野生动物7种。</w:t>
      </w:r>
    </w:p>
    <w:p>
      <w:pPr>
        <w:adjustRightInd w:val="0"/>
        <w:snapToGrid w:val="0"/>
        <w:ind w:firstLine="480"/>
        <w:rPr>
          <w:rFonts w:eastAsiaTheme="minorEastAsia"/>
          <w:bCs/>
        </w:rPr>
      </w:pPr>
      <w:r>
        <w:rPr>
          <w:rFonts w:hint="eastAsia" w:eastAsiaTheme="minorEastAsia"/>
          <w:bCs/>
        </w:rPr>
        <w:t>二、工程与湿地公园的位置关系</w:t>
      </w:r>
    </w:p>
    <w:p>
      <w:pPr>
        <w:adjustRightInd w:val="0"/>
        <w:snapToGrid w:val="0"/>
        <w:ind w:firstLine="480"/>
        <w:rPr>
          <w:rFonts w:eastAsiaTheme="minorEastAsia"/>
          <w:bCs/>
        </w:rPr>
      </w:pPr>
      <w:r>
        <w:rPr>
          <w:rFonts w:eastAsiaTheme="minorEastAsia"/>
          <w:bCs/>
        </w:rPr>
        <w:t>本项目位于白泥湖湿地公园范围外，项目与湿地公园边界最近直线距离约4.61 km，见附图17。</w:t>
      </w:r>
    </w:p>
    <w:p>
      <w:pPr>
        <w:pStyle w:val="6"/>
        <w:spacing w:before="0" w:after="0"/>
        <w:ind w:firstLine="562"/>
      </w:pPr>
      <w:r>
        <w:t xml:space="preserve">湖南东洞庭湖国家级自然保护区 </w:t>
      </w:r>
    </w:p>
    <w:p>
      <w:pPr>
        <w:ind w:firstLine="482"/>
        <w:rPr>
          <w:b/>
          <w:bCs/>
        </w:rPr>
      </w:pPr>
      <w:r>
        <w:rPr>
          <w:rFonts w:hint="eastAsia"/>
          <w:b/>
          <w:bCs/>
        </w:rPr>
        <w:t>一、</w:t>
      </w:r>
      <w:r>
        <w:rPr>
          <w:b/>
          <w:bCs/>
        </w:rPr>
        <w:t>地理位置</w:t>
      </w:r>
    </w:p>
    <w:p>
      <w:pPr>
        <w:ind w:firstLine="480"/>
        <w:rPr>
          <w:szCs w:val="20"/>
        </w:rPr>
      </w:pPr>
      <w:r>
        <w:t>湖南东洞庭湖国家级自然保护区位于长江中下游荆江江段南侧，地处湖南省东北部岳阳市境内，地理坐标介于东经112°43′-113°14′，北纬29°00′-29°38′之间。总面积19万hm</w:t>
      </w:r>
      <w:r>
        <w:rPr>
          <w:vertAlign w:val="superscript"/>
        </w:rPr>
        <w:t>2</w:t>
      </w:r>
      <w:r>
        <w:t>，主要保护东洞庭湖特有湿地生态系统和生物多样性。保护区成立于1982年，1992年加入</w:t>
      </w:r>
      <w:r>
        <w:rPr>
          <w:rFonts w:asciiTheme="minorEastAsia" w:hAnsiTheme="minorEastAsia" w:eastAsiaTheme="minorEastAsia"/>
        </w:rPr>
        <w:t>“</w:t>
      </w:r>
      <w:r>
        <w:t>国际重要湿地公约</w:t>
      </w:r>
      <w:r>
        <w:rPr>
          <w:rFonts w:asciiTheme="minorEastAsia" w:hAnsiTheme="minorEastAsia" w:eastAsiaTheme="minorEastAsia"/>
        </w:rPr>
        <w:t>”</w:t>
      </w:r>
      <w:r>
        <w:t>，被列为我国首批加入</w:t>
      </w:r>
      <w:r>
        <w:rPr>
          <w:rFonts w:asciiTheme="minorEastAsia" w:hAnsiTheme="minorEastAsia" w:eastAsiaTheme="minorEastAsia"/>
        </w:rPr>
        <w:t>“</w:t>
      </w:r>
      <w:r>
        <w:t>国际重要湿地公约</w:t>
      </w:r>
      <w:r>
        <w:rPr>
          <w:rFonts w:asciiTheme="minorEastAsia" w:hAnsiTheme="minorEastAsia" w:eastAsiaTheme="minorEastAsia"/>
        </w:rPr>
        <w:t>”</w:t>
      </w:r>
      <w:r>
        <w:t>的六个国际重要湿地之一，1994年经国务院批准升格为国家级自然保护区。湖南东洞庭湖国家级自然保护区管理局是保护区的行政主管部门。</w:t>
      </w:r>
    </w:p>
    <w:p>
      <w:pPr>
        <w:ind w:firstLine="482"/>
        <w:rPr>
          <w:b/>
          <w:bCs/>
        </w:rPr>
      </w:pPr>
      <w:r>
        <w:rPr>
          <w:rFonts w:hint="eastAsia"/>
          <w:b/>
          <w:bCs/>
        </w:rPr>
        <w:t>二、保护类型</w:t>
      </w:r>
    </w:p>
    <w:p>
      <w:pPr>
        <w:ind w:firstLine="480"/>
      </w:pPr>
      <w:r>
        <w:t>湖南东洞庭湖国家级自然保护区境内湿地生态环境保存完好，珍稀濒危水禽种类、数量丰富，为迁徙水禽特别重要的越冬地和歇息地，并具有良好的自然属性。根据《自然保护区类型与级别区分原则》（GB/T14529-93），该保护区类别为自然生态系统类、内陆湿地和水域生态系统类型的国家级自然保护区。</w:t>
      </w:r>
    </w:p>
    <w:p>
      <w:pPr>
        <w:ind w:firstLine="482"/>
        <w:rPr>
          <w:b/>
          <w:bCs/>
        </w:rPr>
      </w:pPr>
      <w:r>
        <w:rPr>
          <w:rFonts w:hint="eastAsia"/>
          <w:b/>
          <w:bCs/>
        </w:rPr>
        <w:t>三、功能区划</w:t>
      </w:r>
    </w:p>
    <w:p>
      <w:pPr>
        <w:adjustRightInd w:val="0"/>
        <w:snapToGrid w:val="0"/>
        <w:ind w:firstLine="480"/>
      </w:pPr>
      <w:r>
        <w:t>根据《湖南东洞庭湖国家级自然保护区总体规划》将保护区划分为核心区、缓冲区、实验区三大功能区。</w:t>
      </w:r>
    </w:p>
    <w:p>
      <w:pPr>
        <w:adjustRightInd w:val="0"/>
        <w:snapToGrid w:val="0"/>
        <w:ind w:firstLine="480"/>
      </w:pPr>
      <w:r>
        <w:rPr>
          <w:rFonts w:hint="eastAsia"/>
        </w:rPr>
        <w:t>（1）</w:t>
      </w:r>
      <w:r>
        <w:t>核心区</w:t>
      </w:r>
    </w:p>
    <w:p>
      <w:pPr>
        <w:adjustRightInd w:val="0"/>
        <w:snapToGrid w:val="0"/>
        <w:ind w:firstLine="480"/>
        <w:rPr>
          <w:b/>
        </w:rPr>
      </w:pPr>
      <w:r>
        <w:t>该保护区内将湿地生态系统完整、生物资源丰富、白鹤、黑鹳、东方白鹳、小天鹅、鸿雁等珍稀濒危鸟类集中栖息的地段作为核心区，总面积2.90万hm</w:t>
      </w:r>
      <w:r>
        <w:rPr>
          <w:vertAlign w:val="superscript"/>
        </w:rPr>
        <w:t>2</w:t>
      </w:r>
      <w:r>
        <w:t>。依据功能区划原则，又将保护区核心区分为3大块。即大小西湖-君山后湖核心区：从大小西湖、三坝、四坝至君山后湖包括黑嘴在内的定权发证区域，面积1.60万hm</w:t>
      </w:r>
      <w:r>
        <w:rPr>
          <w:vertAlign w:val="superscript"/>
        </w:rPr>
        <w:t>2</w:t>
      </w:r>
      <w:r>
        <w:t>；红旗湖核心区：上、下红旗湖、天鹅段定权发证区域，面积0.80万hm</w:t>
      </w:r>
      <w:r>
        <w:rPr>
          <w:vertAlign w:val="superscript"/>
        </w:rPr>
        <w:t>2</w:t>
      </w:r>
      <w:r>
        <w:t>；春风湖核心区：包括春风湖及其大片洲滩在内的0.50万hm</w:t>
      </w:r>
      <w:r>
        <w:rPr>
          <w:vertAlign w:val="superscript"/>
        </w:rPr>
        <w:t>2</w:t>
      </w:r>
      <w:r>
        <w:t>定权发证区域（详细区划见保护区功能区划图）。核心区内，实行封闭式管理，严格控制外界人员随意进入或从事捕鱼、放牧等生产经营活动，并对湖水水位进行严格的管理和调控。</w:t>
      </w:r>
    </w:p>
    <w:p>
      <w:pPr>
        <w:adjustRightInd w:val="0"/>
        <w:snapToGrid w:val="0"/>
        <w:ind w:firstLine="480"/>
      </w:pPr>
      <w:r>
        <w:rPr>
          <w:rFonts w:hint="eastAsia"/>
        </w:rPr>
        <w:t>（2）</w:t>
      </w:r>
      <w:r>
        <w:t>缓冲区</w:t>
      </w:r>
    </w:p>
    <w:p>
      <w:pPr>
        <w:adjustRightInd w:val="0"/>
        <w:snapToGrid w:val="0"/>
        <w:ind w:firstLine="480"/>
        <w:rPr>
          <w:b/>
        </w:rPr>
      </w:pPr>
      <w:r>
        <w:t>核心区外围所有东洞庭湖区域，面积3.64万hm</w:t>
      </w:r>
      <w:r>
        <w:rPr>
          <w:vertAlign w:val="superscript"/>
        </w:rPr>
        <w:t>2</w:t>
      </w:r>
      <w:r>
        <w:t>。缓冲区是指环绕核心区的周围地区。是试验性和生产性的科研基地，如饲养、繁殖和发展本地特有生物，是对各生态系统物质循环和能量流动等进行研究的地区，也是保护区的主要设施基地和教育基地。</w:t>
      </w:r>
    </w:p>
    <w:p>
      <w:pPr>
        <w:adjustRightInd w:val="0"/>
        <w:snapToGrid w:val="0"/>
        <w:ind w:firstLine="480"/>
        <w:rPr>
          <w:b/>
        </w:rPr>
      </w:pPr>
      <w:r>
        <w:rPr>
          <w:rFonts w:hint="eastAsia"/>
        </w:rPr>
        <w:t>（3）</w:t>
      </w:r>
      <w:r>
        <w:t>实验区</w:t>
      </w:r>
    </w:p>
    <w:p>
      <w:pPr>
        <w:adjustRightInd w:val="0"/>
        <w:snapToGrid w:val="0"/>
        <w:ind w:firstLine="480"/>
        <w:rPr>
          <w:b/>
        </w:rPr>
      </w:pPr>
      <w:r>
        <w:t>保护区区界以内缓冲区以外的广大区域，包括采桑湖、团湖、方台湖、南湖、芭蕉湖等在内的湖泊和农业用地，面积12.46万hm</w:t>
      </w:r>
      <w:r>
        <w:rPr>
          <w:vertAlign w:val="superscript"/>
        </w:rPr>
        <w:t>2</w:t>
      </w:r>
      <w:r>
        <w:t>。</w:t>
      </w:r>
    </w:p>
    <w:p>
      <w:pPr>
        <w:adjustRightInd w:val="0"/>
        <w:snapToGrid w:val="0"/>
        <w:ind w:firstLine="480"/>
        <w:rPr>
          <w:b/>
        </w:rPr>
      </w:pPr>
      <w:r>
        <w:t>在缓冲区和实验区内，保护区将依法取缔各种非法渔具，全面禁止偷猎或毒杀珍禽的违法活动。</w:t>
      </w:r>
    </w:p>
    <w:p>
      <w:pPr>
        <w:adjustRightInd w:val="0"/>
        <w:snapToGrid w:val="0"/>
        <w:ind w:firstLine="480"/>
      </w:pPr>
      <w:r>
        <w:t>保护区的核心区和缓冲区，是珍稀濒危野生动物的主要栖息地，又是湿地生态系统的典型区域。在该范围内以保护为主，除开展科研、调查活动外，尽量减少人为影响和干扰，绝对禁止在该区域开展经营活动和一切生产活动。</w:t>
      </w:r>
    </w:p>
    <w:p>
      <w:pPr>
        <w:adjustRightInd w:val="0"/>
        <w:snapToGrid w:val="0"/>
        <w:ind w:firstLine="480"/>
        <w:rPr>
          <w:rFonts w:eastAsiaTheme="minorEastAsia"/>
        </w:rPr>
      </w:pPr>
      <w:r>
        <w:t>实验区实际上应该为可持续发展示范区，且实验区内在有利于保护的基础上，该区域内可以开展自然资源的合理利用，特别是应开展非消耗性资源利用，如开展生态旅游业（观鸟、观荷花等），以减少人们对自然资源的直接消耗和过分依赖</w:t>
      </w:r>
      <w:r>
        <w:rPr>
          <w:rFonts w:eastAsiaTheme="minorEastAsia"/>
        </w:rPr>
        <w:t>。</w:t>
      </w:r>
    </w:p>
    <w:p>
      <w:pPr>
        <w:ind w:firstLine="482"/>
        <w:rPr>
          <w:b/>
          <w:bCs/>
        </w:rPr>
      </w:pPr>
      <w:r>
        <w:rPr>
          <w:rFonts w:hint="eastAsia"/>
          <w:b/>
          <w:bCs/>
        </w:rPr>
        <w:t>四、保护区主要保护对象</w:t>
      </w:r>
    </w:p>
    <w:p>
      <w:pPr>
        <w:ind w:firstLine="480"/>
      </w:pPr>
      <w:r>
        <w:t>东洞庭湖国家级自然保护区的主要保护对象为：湿地生态系统和生物多样性；珍稀濒危水禽；自然生态环境和自然资源；自然、人文景观等。</w:t>
      </w:r>
    </w:p>
    <w:p>
      <w:pPr>
        <w:ind w:firstLine="480"/>
      </w:pPr>
      <w:r>
        <w:t>东洞庭湖国家级自然保护区湿地洲滩发育，是我国珍稀候鸟越冬栖息地和繁殖地。鸟类数量、种类，水生生物数量、种类，淡水鱼类数量、种类都十分丰富。鱼类有114种、贝类40余种、鸟类80余种、兽类10余种，野生植物有873种。其中属于国家一类保护的水禽有白鹤、丹顶鹤、白头鹤、白枕鹤、白图、黑鹤、斑嘴鸦鹏等7种，属于国家二类保护的水禽有大鸨、灰鹤、白琵鸳、天鹅等多种；还有属于国家一类保护的中华鲟、白鳍豚，属于国家</w:t>
      </w:r>
      <w:r>
        <w:rPr>
          <w:rFonts w:hint="eastAsia"/>
        </w:rPr>
        <w:t>一</w:t>
      </w:r>
      <w:r>
        <w:t>类保护的江豚、</w:t>
      </w:r>
      <w:r>
        <w:rPr>
          <w:rFonts w:hint="eastAsia"/>
        </w:rPr>
        <w:t>二类保护的</w:t>
      </w:r>
      <w:r>
        <w:t>扬子鳄、麋鹿、具有十分重要的研究和保护价值。</w:t>
      </w:r>
    </w:p>
    <w:p>
      <w:pPr>
        <w:ind w:firstLine="482"/>
        <w:rPr>
          <w:b/>
          <w:bCs/>
        </w:rPr>
      </w:pPr>
      <w:r>
        <w:rPr>
          <w:rFonts w:hint="eastAsia"/>
          <w:b/>
          <w:bCs/>
        </w:rPr>
        <w:t>五、项目与国家级自然保护区位置关系</w:t>
      </w:r>
    </w:p>
    <w:p>
      <w:pPr>
        <w:ind w:firstLine="480"/>
      </w:pPr>
      <w:r>
        <w:t>本项目位于东洞庭</w:t>
      </w:r>
      <w:r>
        <w:rPr>
          <w:kern w:val="0"/>
          <w:szCs w:val="32"/>
        </w:rPr>
        <w:t>国家级自然保护区下游，</w:t>
      </w:r>
      <w:r>
        <w:t>自然保护区的范围外，项目与自然保护区最近的为实验区，与实验区边界最近距离约</w:t>
      </w:r>
      <w:r>
        <w:rPr>
          <w:kern w:val="0"/>
          <w:lang w:bidi="ar"/>
        </w:rPr>
        <w:t>140m</w:t>
      </w:r>
      <w:r>
        <w:t>，见附图1</w:t>
      </w:r>
      <w:r>
        <w:rPr>
          <w:rFonts w:hint="eastAsia"/>
        </w:rPr>
        <w:t>4</w:t>
      </w:r>
      <w:r>
        <w:t>。</w:t>
      </w:r>
    </w:p>
    <w:p>
      <w:pPr>
        <w:pStyle w:val="6"/>
        <w:spacing w:before="0" w:after="0"/>
        <w:ind w:firstLine="562"/>
      </w:pPr>
      <w:r>
        <w:t>湖北长江新螺段白鱀豚国家级自然保护区</w:t>
      </w:r>
    </w:p>
    <w:p>
      <w:pPr>
        <w:ind w:firstLine="482"/>
        <w:rPr>
          <w:b/>
          <w:bCs/>
        </w:rPr>
      </w:pPr>
      <w:r>
        <w:rPr>
          <w:rFonts w:hint="eastAsia"/>
          <w:b/>
          <w:bCs/>
        </w:rPr>
        <w:t>一、保护区面积范围</w:t>
      </w:r>
    </w:p>
    <w:p>
      <w:pPr>
        <w:ind w:firstLine="480"/>
      </w:pPr>
      <w:r>
        <w:t>保护区上起洪湖市螺山镇（左岸：螺山保护区标志碑上游5km，北纬29°38'10.14</w:t>
      </w:r>
      <w:r>
        <w:rPr>
          <w:rFonts w:asciiTheme="minorEastAsia" w:hAnsiTheme="minorEastAsia" w:eastAsiaTheme="minorEastAsia"/>
        </w:rPr>
        <w:t>"</w:t>
      </w:r>
      <w:r>
        <w:t>，东经113°17'19.14</w:t>
      </w:r>
      <w:r>
        <w:rPr>
          <w:rFonts w:asciiTheme="minorEastAsia" w:hAnsiTheme="minorEastAsia" w:eastAsiaTheme="minorEastAsia"/>
        </w:rPr>
        <w:t>"</w:t>
      </w:r>
      <w:r>
        <w:t>；右岸：临湘市儒溪宝塔，北纬29°37'14.59</w:t>
      </w:r>
      <w:r>
        <w:rPr>
          <w:rFonts w:asciiTheme="minorEastAsia" w:hAnsiTheme="minorEastAsia" w:eastAsiaTheme="minorEastAsia"/>
        </w:rPr>
        <w:t>"</w:t>
      </w:r>
      <w:r>
        <w:t>，东经113°18'46.45</w:t>
      </w:r>
      <w:r>
        <w:rPr>
          <w:rFonts w:asciiTheme="minorEastAsia" w:hAnsiTheme="minorEastAsia" w:eastAsiaTheme="minorEastAsia"/>
        </w:rPr>
        <w:t>"</w:t>
      </w:r>
      <w:r>
        <w:t>），下至洪湖市新滩镇（左岸：保护区标志碑下游4.5km，北纬30°12'40.83</w:t>
      </w:r>
      <w:r>
        <w:rPr>
          <w:rFonts w:asciiTheme="minorEastAsia" w:hAnsiTheme="minorEastAsia" w:eastAsiaTheme="minorEastAsia"/>
        </w:rPr>
        <w:t>"</w:t>
      </w:r>
      <w:r>
        <w:t>，东经113°51'20.17</w:t>
      </w:r>
      <w:r>
        <w:rPr>
          <w:rFonts w:asciiTheme="minorEastAsia" w:hAnsiTheme="minorEastAsia" w:eastAsiaTheme="minorEastAsia"/>
        </w:rPr>
        <w:t>"</w:t>
      </w:r>
      <w:r>
        <w:t>；右岸：嘉鱼县簰洲镇下游3.2km，北纬30°13'6.93</w:t>
      </w:r>
      <w:r>
        <w:rPr>
          <w:rFonts w:asciiTheme="minorEastAsia" w:hAnsiTheme="minorEastAsia" w:eastAsiaTheme="minorEastAsia"/>
        </w:rPr>
        <w:t>"</w:t>
      </w:r>
      <w:r>
        <w:t>，东经113°53'26.20</w:t>
      </w:r>
      <w:r>
        <w:rPr>
          <w:rFonts w:asciiTheme="minorEastAsia" w:hAnsiTheme="minorEastAsia" w:eastAsiaTheme="minorEastAsia"/>
        </w:rPr>
        <w:t>"</w:t>
      </w:r>
      <w:r>
        <w:t>）。保护河段的横向边界以长江大堤为界（在没有大堤的山体或矶头江段以历史最高水位线为界，同时存在大堤和民堤的江段以民堤为界）。</w:t>
      </w:r>
    </w:p>
    <w:p>
      <w:pPr>
        <w:tabs>
          <w:tab w:val="left" w:pos="360"/>
        </w:tabs>
        <w:ind w:firstLine="480"/>
        <w:rPr>
          <w:kern w:val="0"/>
        </w:rPr>
      </w:pPr>
      <w:r>
        <w:rPr>
          <w:kern w:val="0"/>
        </w:rPr>
        <w:t>保护区涉及湖北省洪湖市、赤壁市、嘉鱼县和湖南省临湘市4市县。保护河段总长度128.5km（长江中游航道里程76km~204.5km），保护区总面积413.87km</w:t>
      </w:r>
      <w:r>
        <w:rPr>
          <w:kern w:val="0"/>
          <w:vertAlign w:val="superscript"/>
        </w:rPr>
        <w:t>2</w:t>
      </w:r>
      <w:r>
        <w:rPr>
          <w:kern w:val="0"/>
        </w:rPr>
        <w:t>。其中核心区长度69.5km，面积236.60km</w:t>
      </w:r>
      <w:r>
        <w:rPr>
          <w:kern w:val="0"/>
          <w:vertAlign w:val="superscript"/>
        </w:rPr>
        <w:t>2</w:t>
      </w:r>
      <w:r>
        <w:rPr>
          <w:kern w:val="0"/>
        </w:rPr>
        <w:t>；缓冲区长度4.4km，面积11.04km</w:t>
      </w:r>
      <w:r>
        <w:rPr>
          <w:kern w:val="0"/>
          <w:vertAlign w:val="superscript"/>
        </w:rPr>
        <w:t>2</w:t>
      </w:r>
      <w:r>
        <w:rPr>
          <w:kern w:val="0"/>
        </w:rPr>
        <w:t>；实验区长度54.6km，总面积为166.23km</w:t>
      </w:r>
      <w:r>
        <w:rPr>
          <w:kern w:val="0"/>
          <w:vertAlign w:val="superscript"/>
        </w:rPr>
        <w:t>2</w:t>
      </w:r>
      <w:r>
        <w:rPr>
          <w:kern w:val="0"/>
        </w:rPr>
        <w:t>。</w:t>
      </w:r>
    </w:p>
    <w:p>
      <w:pPr>
        <w:ind w:firstLine="482"/>
        <w:rPr>
          <w:b/>
          <w:bCs/>
        </w:rPr>
      </w:pPr>
      <w:r>
        <w:rPr>
          <w:rFonts w:hint="eastAsia"/>
          <w:b/>
          <w:bCs/>
        </w:rPr>
        <w:t>二、保护区功能区划</w:t>
      </w:r>
    </w:p>
    <w:p>
      <w:pPr>
        <w:ind w:firstLine="480"/>
      </w:pPr>
      <w:r>
        <w:t>保护区设8个核心区，16个缓冲区和9个实验区。核心区从上游到下游依次为：螺山核心区、南门洲核心区、腰口核心区、中洲核心区、护县洲核心区、复兴洲核心区、土地洲核心区和团洲核心区。</w:t>
      </w:r>
    </w:p>
    <w:p>
      <w:pPr>
        <w:ind w:firstLine="482"/>
        <w:rPr>
          <w:b/>
          <w:bCs/>
        </w:rPr>
      </w:pPr>
      <w:r>
        <w:rPr>
          <w:rFonts w:hint="eastAsia"/>
          <w:b/>
          <w:bCs/>
        </w:rPr>
        <w:t>三、保护区主要保护对象</w:t>
      </w:r>
    </w:p>
    <w:p>
      <w:pPr>
        <w:ind w:firstLine="480"/>
      </w:pPr>
      <w:r>
        <w:t>保护区主要保护对象是国家一级保护野生水生动物白鱀豚。</w:t>
      </w:r>
    </w:p>
    <w:p>
      <w:pPr>
        <w:ind w:firstLine="482"/>
        <w:rPr>
          <w:b/>
          <w:bCs/>
        </w:rPr>
      </w:pPr>
      <w:r>
        <w:rPr>
          <w:rFonts w:hint="eastAsia"/>
          <w:b/>
          <w:bCs/>
        </w:rPr>
        <w:t>四、建设项目与</w:t>
      </w:r>
      <w:r>
        <w:rPr>
          <w:b/>
          <w:bCs/>
          <w:kern w:val="0"/>
          <w:szCs w:val="32"/>
        </w:rPr>
        <w:t>白鱀豚</w:t>
      </w:r>
      <w:r>
        <w:rPr>
          <w:rFonts w:hint="eastAsia"/>
          <w:b/>
          <w:bCs/>
        </w:rPr>
        <w:t>国家级自然保护区位置关系</w:t>
      </w:r>
    </w:p>
    <w:p>
      <w:pPr>
        <w:ind w:firstLine="480"/>
        <w:rPr>
          <w:kern w:val="0"/>
          <w:lang w:bidi="ar"/>
        </w:rPr>
      </w:pPr>
      <w:r>
        <w:t>本项目位于</w:t>
      </w:r>
      <w:r>
        <w:rPr>
          <w:kern w:val="0"/>
          <w:szCs w:val="32"/>
        </w:rPr>
        <w:t>白鱀豚国家级自然保护区上游，</w:t>
      </w:r>
      <w:r>
        <w:t>自然保护区的范围外，项目与自然保护区最近的为实验区，与实验区上边界最近距离约</w:t>
      </w:r>
      <w:r>
        <w:rPr>
          <w:kern w:val="0"/>
          <w:lang w:bidi="ar"/>
        </w:rPr>
        <w:t>13.6km</w:t>
      </w:r>
      <w:r>
        <w:t>，见附图1</w:t>
      </w:r>
      <w:r>
        <w:rPr>
          <w:rFonts w:hint="eastAsia"/>
        </w:rPr>
        <w:t>8</w:t>
      </w:r>
      <w:r>
        <w:t>。</w:t>
      </w:r>
    </w:p>
    <w:p>
      <w:pPr>
        <w:pStyle w:val="457"/>
        <w:ind w:firstLine="723"/>
        <w:rPr>
          <w:rFonts w:ascii="Times New Roman" w:hAnsi="Times New Roman" w:cs="Times New Roman"/>
        </w:rPr>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457"/>
        <w:ind w:firstLine="0" w:firstLineChars="0"/>
        <w:rPr>
          <w:rFonts w:ascii="Times New Roman" w:hAnsi="Times New Roman" w:cs="Times New Roman"/>
        </w:rPr>
      </w:pPr>
      <w:r>
        <w:rPr>
          <w:rFonts w:ascii="Times New Roman" w:hAnsi="Times New Roman" w:cs="Times New Roman"/>
        </w:rPr>
        <w:t xml:space="preserve"> </w:t>
      </w:r>
      <w:bookmarkStart w:id="165" w:name="_Toc8179"/>
      <w:bookmarkStart w:id="166" w:name="_Toc106697009"/>
      <w:bookmarkStart w:id="167" w:name="_Toc5201"/>
      <w:r>
        <w:rPr>
          <w:rFonts w:ascii="Times New Roman" w:hAnsi="Times New Roman" w:cs="Times New Roman"/>
        </w:rPr>
        <w:t>环境可行性分析</w:t>
      </w:r>
      <w:bookmarkEnd w:id="165"/>
      <w:bookmarkEnd w:id="166"/>
      <w:bookmarkEnd w:id="167"/>
    </w:p>
    <w:p>
      <w:pPr>
        <w:pStyle w:val="453"/>
        <w:ind w:firstLine="643" w:firstLineChars="0"/>
        <w:rPr>
          <w:rFonts w:ascii="Times New Roman" w:cs="Times New Roman"/>
        </w:rPr>
      </w:pPr>
      <w:bookmarkStart w:id="168" w:name="_Toc12248"/>
      <w:bookmarkStart w:id="169" w:name="_Toc106697010"/>
      <w:bookmarkStart w:id="170" w:name="_Toc22395"/>
      <w:bookmarkStart w:id="171" w:name="_Toc256077597"/>
      <w:bookmarkStart w:id="172" w:name="_Toc215544192"/>
      <w:bookmarkStart w:id="173" w:name="_Toc186600276"/>
      <w:r>
        <w:rPr>
          <w:rFonts w:ascii="Times New Roman" w:cs="Times New Roman"/>
        </w:rPr>
        <w:t>项目建设必要性</w:t>
      </w:r>
      <w:bookmarkEnd w:id="168"/>
      <w:bookmarkEnd w:id="169"/>
      <w:bookmarkEnd w:id="170"/>
    </w:p>
    <w:p>
      <w:pPr>
        <w:ind w:firstLine="482"/>
        <w:rPr>
          <w:b/>
        </w:rPr>
      </w:pPr>
      <w:r>
        <w:rPr>
          <w:b/>
        </w:rPr>
        <w:t>（1）是贯彻《长江经济带发展规划纲要》</w:t>
      </w:r>
      <w:r>
        <w:rPr>
          <w:rFonts w:asciiTheme="minorEastAsia" w:hAnsiTheme="minorEastAsia" w:eastAsiaTheme="minorEastAsia"/>
          <w:b/>
        </w:rPr>
        <w:t>“</w:t>
      </w:r>
      <w:r>
        <w:rPr>
          <w:b/>
        </w:rPr>
        <w:t>生态优先、绿色发展</w:t>
      </w:r>
      <w:r>
        <w:rPr>
          <w:rFonts w:asciiTheme="minorEastAsia" w:hAnsiTheme="minorEastAsia" w:eastAsiaTheme="minorEastAsia"/>
          <w:b/>
        </w:rPr>
        <w:t>”</w:t>
      </w:r>
      <w:r>
        <w:rPr>
          <w:b/>
        </w:rPr>
        <w:t>，落实长江岸线湖南段港口码头专项整治工作部署，科学规划利用港口岸线资源的需要。</w:t>
      </w:r>
    </w:p>
    <w:p>
      <w:pPr>
        <w:ind w:firstLine="480"/>
      </w:pPr>
      <w:r>
        <w:t>中共中央政治局 2016 年 3 月 25 日审议通过《长江经济带发展规划纲要》。习近平总书记在会议上指出长江经济带发展的战略定位必须坚持</w:t>
      </w:r>
      <w:r>
        <w:rPr>
          <w:rFonts w:asciiTheme="minorEastAsia" w:hAnsiTheme="minorEastAsia" w:eastAsiaTheme="minorEastAsia"/>
        </w:rPr>
        <w:t>“</w:t>
      </w:r>
      <w:r>
        <w:t>生态优先、绿色发展，共抓大保护，不搞大开发</w:t>
      </w:r>
      <w:r>
        <w:rPr>
          <w:rFonts w:asciiTheme="minorEastAsia" w:hAnsiTheme="minorEastAsia" w:eastAsiaTheme="minorEastAsia"/>
        </w:rPr>
        <w:t>”</w:t>
      </w:r>
      <w:r>
        <w:t>。2018 年 4 月，习近平总书记在岳阳察看非法砂石码头取缔及整治复绿情况时指出，修复长江生态环境，是新时代赋予我们的艰巨任务，也是人民群众的热切期盼。</w:t>
      </w:r>
    </w:p>
    <w:p>
      <w:pPr>
        <w:ind w:firstLine="480"/>
      </w:pPr>
      <w:r>
        <w:t>为贯彻落实习总书记在深入推动长江经济带发展座谈会和岳阳视察时的重要讲话精神，湖南省启动了长江岸线湖南段港口码头专项整治工作，已全部退出或部分退出港口码头经营单位 19 家，关闭 42 个泊位，对正在运行未关停的 13 家港口企业、40 个码头泊位，分批次进行提质改造，重点解决现有港口码头抑尘防尘、垃圾接收及处理等环保措施，加强码头结构安全等措施，增加岸电等绿色、节能等设施。与此同时，通过组建湖南省港务集团，对纳入规划的长江深水岸线资源进行同一规划、统一建设、统一运营；同时，还将规范水上过驳，根据重点港口作业区的建设推进情况，引导水上过驳部分运量向更加环保的形式转变，为守护一江碧水奠定坚实基础。</w:t>
      </w:r>
    </w:p>
    <w:p>
      <w:pPr>
        <w:ind w:firstLine="480"/>
      </w:pPr>
      <w:r>
        <w:t>从区位条件及航道等级可以看出，本项目不仅要承担长江沿线非法砂石码头专项整治后砂石转运新通道的功能，也是引导水上过驳向更加环保形势转变必要的先手棋。实施本项目，建成若干符合生态环保要求的专业化干散货泊位，打造立足岳阳、面向全省的大宗干散货集散中心，不仅提高了岸线利用效率，也可以有效防止非法砂石码头建设死灰复燃，将岸线保护及港口资源整合真正落到实处。</w:t>
      </w:r>
    </w:p>
    <w:p>
      <w:pPr>
        <w:ind w:firstLine="482"/>
        <w:rPr>
          <w:b/>
        </w:rPr>
      </w:pPr>
      <w:r>
        <w:rPr>
          <w:b/>
        </w:rPr>
        <w:t>（2）本项目的建设，是充分发挥航道等级优势、巩固提升岳阳港大宗干散货中转服务能力，突出岳阳港通江达海枢纽港地位的需要。</w:t>
      </w:r>
    </w:p>
    <w:p>
      <w:pPr>
        <w:ind w:firstLine="480"/>
      </w:pPr>
      <w:r>
        <w:t>岳阳港的核心功能及竞争优势，就是货物中转服务能力。根据近年来实际到港船型统计资料，除枯水期外，城陵矶以下到港散货船以 5 千吨级~1.5 万吨级为主，最大已达 2 万吨级；岳阳港已成为背靠湘江流域、面向整个长江中上游地区的区域型枢纽港，是长江沿线重要的集装箱、商品汽车、干散货中转节点。</w:t>
      </w:r>
    </w:p>
    <w:p>
      <w:pPr>
        <w:ind w:firstLine="480"/>
      </w:pPr>
      <w:r>
        <w:t>湖南省是中部地区重要的矿产资源大省，有色金属、非金属矿石、砂石等资源储量位居全国前列。湖南省同时也是水运资源大省，湘资沅澧四水流域及洞庭湖区河网密布，水系发达；随着全省高等级航道建设持续推进，水运在中长距离大宗货物运输中的比较优势、环保优势日趋明显。在交通强国战略背景下，不断引导大宗货物公转水、公转铁已成为优化交通运输结构、实现交通运输降本增效的必然选择。显然，无论是从政策鼓励方向还是企业自主选择来看，矿建材料、非金属矿石等大宗干散货运输都宜优先采用水路运输。以澧水流域为例，在澧水航道石门至澧县航道建设纳入建设规划之后，腹地范围内机制砂、水泥、石膏等开采加工行业已吸引众多投资项目，潜在适水货运量不低于 3000 万吨，水运优势可见一斑。这些水运货运量的增长，必然要求作为枢纽港的岳阳港提升自身中转服务能力，而道仁矶作业区规划以煤炭、矿建材料、液体散货为主，主要为湖南省钢铁企业的金属矿石铁水联运和水水转运，煤炭铁水联运以及矿建材料运输服务，其中散货泊位一区（本工程）是以散货水水中转并具备防汛物质码头功能为主的深水岸线。</w:t>
      </w:r>
    </w:p>
    <w:p>
      <w:pPr>
        <w:ind w:firstLine="480"/>
      </w:pPr>
      <w:r>
        <w:t>依据《湖南省</w:t>
      </w:r>
      <w:r>
        <w:rPr>
          <w:rFonts w:asciiTheme="minorEastAsia" w:hAnsiTheme="minorEastAsia" w:eastAsiaTheme="minorEastAsia"/>
        </w:rPr>
        <w:t>“</w:t>
      </w:r>
      <w:r>
        <w:t>十四五</w:t>
      </w:r>
      <w:r>
        <w:rPr>
          <w:rFonts w:asciiTheme="minorEastAsia" w:hAnsiTheme="minorEastAsia" w:eastAsiaTheme="minorEastAsia"/>
        </w:rPr>
        <w:t>”</w:t>
      </w:r>
      <w:r>
        <w:t>现代化综合交通运输体系发展规划》和《湖南省</w:t>
      </w:r>
      <w:r>
        <w:rPr>
          <w:rFonts w:asciiTheme="minorEastAsia" w:hAnsiTheme="minorEastAsia" w:eastAsiaTheme="minorEastAsia"/>
        </w:rPr>
        <w:t>“</w:t>
      </w:r>
      <w:r>
        <w:t>十四五</w:t>
      </w:r>
      <w:r>
        <w:rPr>
          <w:rFonts w:asciiTheme="minorEastAsia" w:hAnsiTheme="minorEastAsia" w:eastAsiaTheme="minorEastAsia"/>
        </w:rPr>
        <w:t>”</w:t>
      </w:r>
      <w:r>
        <w:t>交通运输规划（公路、水路）》，到 2025 年，全面打通一纵一横水运</w:t>
      </w:r>
      <w:r>
        <w:rPr>
          <w:rFonts w:asciiTheme="minorEastAsia" w:hAnsiTheme="minorEastAsia" w:eastAsiaTheme="minorEastAsia"/>
        </w:rPr>
        <w:t>“</w:t>
      </w:r>
      <w:r>
        <w:t>十字</w:t>
      </w:r>
      <w:r>
        <w:rPr>
          <w:rFonts w:asciiTheme="minorEastAsia" w:hAnsiTheme="minorEastAsia" w:eastAsiaTheme="minorEastAsia"/>
        </w:rPr>
        <w:t>”</w:t>
      </w:r>
      <w:r>
        <w:t>主通道，基本建成</w:t>
      </w:r>
      <w:r>
        <w:rPr>
          <w:rFonts w:asciiTheme="minorEastAsia" w:hAnsiTheme="minorEastAsia" w:eastAsiaTheme="minorEastAsia"/>
        </w:rPr>
        <w:t>“</w:t>
      </w:r>
      <w:r>
        <w:t>一江一湖四水</w:t>
      </w:r>
      <w:r>
        <w:rPr>
          <w:rFonts w:asciiTheme="minorEastAsia" w:hAnsiTheme="minorEastAsia" w:eastAsiaTheme="minorEastAsia"/>
        </w:rPr>
        <w:t>”</w:t>
      </w:r>
      <w:r>
        <w:t>骨干航道网，加快构建</w:t>
      </w:r>
      <w:r>
        <w:rPr>
          <w:rFonts w:asciiTheme="minorEastAsia" w:hAnsiTheme="minorEastAsia" w:eastAsiaTheme="minorEastAsia"/>
        </w:rPr>
        <w:t>“</w:t>
      </w:r>
      <w:r>
        <w:t>一枢纽、多重点、广延伸</w:t>
      </w:r>
      <w:r>
        <w:rPr>
          <w:rFonts w:asciiTheme="minorEastAsia" w:hAnsiTheme="minorEastAsia" w:eastAsiaTheme="minorEastAsia"/>
        </w:rPr>
        <w:t>”</w:t>
      </w:r>
      <w:r>
        <w:t>全省港口体系。本项目为</w:t>
      </w:r>
      <w:r>
        <w:rPr>
          <w:rFonts w:asciiTheme="minorEastAsia" w:hAnsiTheme="minorEastAsia" w:eastAsiaTheme="minorEastAsia"/>
        </w:rPr>
        <w:t>“</w:t>
      </w:r>
      <w:r>
        <w:t>一枢纽</w:t>
      </w:r>
      <w:r>
        <w:rPr>
          <w:rFonts w:asciiTheme="minorEastAsia" w:hAnsiTheme="minorEastAsia" w:eastAsiaTheme="minorEastAsia"/>
        </w:rPr>
        <w:t>”</w:t>
      </w:r>
      <w:r>
        <w:t>港口建设的重点任务，能突出岳阳港通江达海枢纽港地位，助推其积极发展成为长江中游综合性航运物流中心。</w:t>
      </w:r>
    </w:p>
    <w:p>
      <w:pPr>
        <w:ind w:firstLine="480"/>
      </w:pPr>
      <w:r>
        <w:t>因此，本项目的建设，是充分发挥航道等级优势、巩固提升岳阳港大宗干散货中转服务能力，突出岳阳港通江达海枢纽港地位的需要。</w:t>
      </w:r>
    </w:p>
    <w:p>
      <w:pPr>
        <w:ind w:firstLine="482"/>
        <w:rPr>
          <w:b/>
        </w:rPr>
      </w:pPr>
      <w:r>
        <w:rPr>
          <w:b/>
        </w:rPr>
        <w:t>（3）本项目的建设是缓解本地砂石供应紧张格局、带动临港绿色建筑、智能制造等产业起步发展及后方绿色化工园区货物运输的需要。</w:t>
      </w:r>
    </w:p>
    <w:p>
      <w:pPr>
        <w:ind w:firstLine="480"/>
      </w:pPr>
      <w:r>
        <w:t>岳阳作为湘北重镇，年地区生产总值位居全省第二，城镇化率居全省第四，仍处于城镇化、工业化加速发展阶段，基础设施建设方兴未艾，砂石、水泥、钢材等建筑原材料需求量一直较大。非法砂石码头清理整顿后，岳阳长江沿线已没有正规砂石上岸通道，不仅本地急需的砂石无法上岸，一些传统优势出口建材也无法顺利下水。在源头开采受限、中间运输不畅、末端需求增加的情况下，砂石、水泥价格一路飞涨，给基建行业带来了沉重压力；在这样的背景下，机制砂开始大规模应用。由于湖南省机制砂行业起步较晚，机制砂质量良莠不齐，导致混凝土质量事故频发，包括一些重点工程，都不同程度受到合格砂石供应不足影响。</w:t>
      </w:r>
    </w:p>
    <w:p>
      <w:pPr>
        <w:ind w:firstLine="480"/>
      </w:pPr>
      <w:r>
        <w:t>建设本项目，可以形成以矿建材料为主、总量不低于 1600 万吨的散货水路进出能力。这一方面可以满足包括云溪区、临湘市在内的岳阳市大部分本地用砂（石）需求，有效平抑市场价格，另一方面也为本地机制砂、优质骨料输出提供了便捷的水运通道。依托本项目优越的集疏运条件及用地条件，本项目后方规划有岳阳中德低碳生态城，目前生态城已完成发改委立项。中德低碳生态城核心产业定位方向包括绿色建筑、新一代信息技术、现代物流、智能制造及电商 5 大产业集群，其中绿色建筑产业主要聚焦绿色装配式建筑，智能制造主要聚焦工业机器人核心零部件制造、系统集成和工业行业应用，属适水产业。本项目建设能引导绿色装配式建筑、新型建筑材料、智能制造等产业起步发展，带动云溪区实现经济结构优化转型。</w:t>
      </w:r>
    </w:p>
    <w:p>
      <w:pPr>
        <w:ind w:firstLine="480"/>
      </w:pPr>
      <w:r>
        <w:t>本项目西北约 3 公里处为岳阳绿色化工高新技术产业园。岳阳绿色化工高新技术产业园经湖南省人民政府批准为省级经济技术开发区，已开发面积 15.92 平方公里。产业园依托中石化长岭分公司、巴陵分公司，规划布局云溪片区、长岭片区、巴陵片区</w:t>
      </w:r>
      <w:r>
        <w:rPr>
          <w:rFonts w:asciiTheme="minorEastAsia" w:hAnsiTheme="minorEastAsia" w:eastAsiaTheme="minorEastAsia"/>
        </w:rPr>
        <w:t>“</w:t>
      </w:r>
      <w:r>
        <w:t>一园三片</w:t>
      </w:r>
      <w:r>
        <w:rPr>
          <w:rFonts w:asciiTheme="minorEastAsia" w:hAnsiTheme="minorEastAsia" w:eastAsiaTheme="minorEastAsia"/>
        </w:rPr>
        <w:t>”</w:t>
      </w:r>
      <w:r>
        <w:t>，围绕炼油化工、催化剂及助剂、化工新材料、合成材料深加工四大产业和碳一、丙烯、碳四、芳烃四条产业链，引进了一批标杆企业入园发展，为湖南省重点发展的</w:t>
      </w:r>
      <w:r>
        <w:rPr>
          <w:rFonts w:asciiTheme="minorEastAsia" w:hAnsiTheme="minorEastAsia" w:eastAsiaTheme="minorEastAsia"/>
        </w:rPr>
        <w:t>“</w:t>
      </w:r>
      <w:r>
        <w:t>千亿园区</w:t>
      </w:r>
      <w:r>
        <w:rPr>
          <w:rFonts w:asciiTheme="minorEastAsia" w:hAnsiTheme="minorEastAsia" w:eastAsiaTheme="minorEastAsia"/>
        </w:rPr>
        <w:t>”</w:t>
      </w:r>
      <w:r>
        <w:t>和</w:t>
      </w:r>
      <w:r>
        <w:rPr>
          <w:rFonts w:asciiTheme="minorEastAsia" w:hAnsiTheme="minorEastAsia" w:eastAsiaTheme="minorEastAsia"/>
        </w:rPr>
        <w:t>“</w:t>
      </w:r>
      <w:r>
        <w:t>千亿产业集群</w:t>
      </w:r>
      <w:r>
        <w:rPr>
          <w:rFonts w:asciiTheme="minorEastAsia" w:hAnsiTheme="minorEastAsia" w:eastAsiaTheme="minorEastAsia"/>
        </w:rPr>
        <w:t>”</w:t>
      </w:r>
      <w:r>
        <w:t>。本项目建设能有效保证绿色化工园区原材料及产品的水路运输要求。</w:t>
      </w:r>
    </w:p>
    <w:p>
      <w:pPr>
        <w:ind w:firstLine="480"/>
      </w:pPr>
      <w:r>
        <w:rPr>
          <w:rFonts w:hint="eastAsia"/>
        </w:rPr>
        <w:t>综上，为了科学规划利用岸线，充分发挥航道等级优势，给长江中下游的矿建材料、非金属矿石、铁矿石、煤炭等散货的中转提供服务，保障岳阳市、湖南省及周边省份的经济建设所需原材料及产品水路运输服务，本项目的建设是十分必要的。</w:t>
      </w:r>
    </w:p>
    <w:p>
      <w:pPr>
        <w:pStyle w:val="453"/>
        <w:ind w:firstLine="643" w:firstLineChars="0"/>
        <w:rPr>
          <w:rFonts w:ascii="Times New Roman" w:cs="Times New Roman"/>
        </w:rPr>
      </w:pPr>
      <w:bookmarkStart w:id="174" w:name="_Toc6860"/>
      <w:bookmarkStart w:id="175" w:name="_Toc426633722"/>
      <w:r>
        <w:rPr>
          <w:rFonts w:hint="eastAsia" w:ascii="Times New Roman" w:cs="Times New Roman"/>
          <w:lang w:val="en-US" w:eastAsia="zh-CN"/>
        </w:rPr>
        <w:t>与《水运工程环境保护设计规范》等相关要求的符合性分析</w:t>
      </w:r>
      <w:bookmarkEnd w:id="174"/>
    </w:p>
    <w:p>
      <w:pPr>
        <w:ind w:firstLine="480"/>
        <w:rPr>
          <w:rFonts w:hint="default"/>
          <w:lang w:val="en-US" w:eastAsia="zh-CN"/>
        </w:rPr>
      </w:pPr>
      <w:r>
        <w:t>本项目</w:t>
      </w:r>
      <w:r>
        <w:rPr>
          <w:rFonts w:hint="eastAsia"/>
          <w:lang w:val="en-US" w:eastAsia="zh-CN"/>
        </w:rPr>
        <w:t>选址不占用生态红线，符合</w:t>
      </w:r>
      <w:r>
        <w:rPr>
          <w:rFonts w:hint="eastAsia"/>
        </w:rPr>
        <w:t>《岳阳市人民政府关于实施岳阳市“三线一单”生态环境分区管控的意见》</w:t>
      </w:r>
      <w:r>
        <w:rPr>
          <w:rFonts w:hint="eastAsia"/>
          <w:lang w:val="en-US" w:eastAsia="zh-CN"/>
        </w:rPr>
        <w:t>的相关规定要求，临时施工场地布设在永久占地范围内，不新增用地。满足设计规范中集约利用岸线和土地资源的要求。项目不涉及饮用水水源保护区和自然保护区。</w:t>
      </w:r>
    </w:p>
    <w:p>
      <w:pPr>
        <w:ind w:firstLine="480"/>
        <w:rPr>
          <w:sz w:val="24"/>
          <w:szCs w:val="24"/>
        </w:rPr>
      </w:pPr>
      <w:r>
        <w:rPr>
          <w:rFonts w:hint="eastAsia"/>
          <w:lang w:val="en-US" w:eastAsia="zh-CN"/>
        </w:rPr>
        <w:t>项目采用新技术、新工艺、新材料。后方堆场和运输廊道全密闭，</w:t>
      </w:r>
      <w:r>
        <w:rPr>
          <w:sz w:val="24"/>
          <w:szCs w:val="24"/>
        </w:rPr>
        <w:t>码头装卸区域采用湿式除尘；皮带机廊道采用密封式廊道；转运站各转载点采取密闭措施，设置密闭溜筒和密闭导料槽，通过干雾除尘措施防尘；在码头实施岸基供电设施，船舶靠泊配置岸电设施的泊位后，关闭发动机，使用岸电作为能源。</w:t>
      </w:r>
    </w:p>
    <w:p>
      <w:pPr>
        <w:widowControl/>
        <w:ind w:firstLine="480"/>
        <w:rPr>
          <w:rFonts w:hint="eastAsia" w:ascii="Times New Roman" w:hAnsi="Times New Roman" w:cs="Times New Roman"/>
        </w:rPr>
      </w:pPr>
      <w:r>
        <w:t>本项目</w:t>
      </w:r>
      <w:r>
        <w:rPr>
          <w:spacing w:val="-3"/>
          <w:szCs w:val="22"/>
        </w:rPr>
        <w:t>到港船舶油污水和生活污水</w:t>
      </w:r>
      <w:r>
        <w:rPr>
          <w:rFonts w:hint="eastAsia" w:ascii="Times New Roman" w:hAnsi="Times New Roman" w:cs="Times New Roman" w:eastAsiaTheme="minorEastAsia"/>
          <w:kern w:val="2"/>
          <w:sz w:val="24"/>
          <w:szCs w:val="24"/>
          <w:lang w:val="en-US" w:eastAsia="zh-CN" w:bidi="ar"/>
        </w:rPr>
        <w:t>上岸进入港区专用</w:t>
      </w:r>
      <w:r>
        <w:rPr>
          <w:rFonts w:hint="eastAsia" w:cs="Times New Roman" w:eastAsiaTheme="minorEastAsia"/>
          <w:kern w:val="2"/>
          <w:sz w:val="24"/>
          <w:szCs w:val="24"/>
          <w:lang w:val="en-US" w:eastAsia="zh-CN" w:bidi="ar"/>
        </w:rPr>
        <w:t>接收装置</w:t>
      </w:r>
      <w:r>
        <w:rPr>
          <w:rFonts w:hint="eastAsia" w:ascii="Times New Roman" w:hAnsi="Times New Roman" w:cs="Times New Roman" w:eastAsiaTheme="minorEastAsia"/>
          <w:kern w:val="2"/>
          <w:sz w:val="24"/>
          <w:szCs w:val="24"/>
          <w:lang w:val="en-US" w:eastAsia="zh-CN" w:bidi="ar"/>
        </w:rPr>
        <w:t>，</w:t>
      </w:r>
      <w:r>
        <w:rPr>
          <w:spacing w:val="-3"/>
          <w:szCs w:val="22"/>
        </w:rPr>
        <w:t>申请海事部门的环保工作船进行专业收集处理</w:t>
      </w:r>
      <w:r>
        <w:rPr>
          <w:rFonts w:hint="eastAsia" w:ascii="Times New Roman" w:hAnsi="Times New Roman" w:cs="Times New Roman"/>
          <w:spacing w:val="0"/>
          <w:szCs w:val="24"/>
        </w:rPr>
        <w:t>；</w:t>
      </w:r>
      <w:r>
        <w:rPr>
          <w:rFonts w:hint="eastAsia" w:ascii="Times New Roman" w:hAnsi="Times New Roman" w:cs="Times New Roman"/>
          <w:spacing w:val="0"/>
          <w:szCs w:val="24"/>
          <w:lang w:val="en-US" w:eastAsia="zh-CN"/>
        </w:rPr>
        <w:t>运输车辆和</w:t>
      </w:r>
      <w:r>
        <w:rPr>
          <w:rFonts w:hint="eastAsia" w:ascii="Times New Roman" w:hAnsi="Times New Roman" w:cs="Times New Roman"/>
        </w:rPr>
        <w:t>机械冲洗废水</w:t>
      </w:r>
      <w:r>
        <w:rPr>
          <w:rFonts w:hint="eastAsia" w:ascii="Times New Roman" w:hAnsi="Times New Roman" w:cs="Times New Roman"/>
          <w:lang w:eastAsia="zh-CN"/>
        </w:rPr>
        <w:t>、</w:t>
      </w:r>
      <w:r>
        <w:rPr>
          <w:rFonts w:hint="eastAsia" w:ascii="Times New Roman" w:hAnsi="Times New Roman" w:cs="Times New Roman"/>
        </w:rPr>
        <w:t>地面冲洗废水和初期雨水经污水收集池</w:t>
      </w:r>
      <w:r>
        <w:rPr>
          <w:rFonts w:hint="eastAsia" w:ascii="Times New Roman" w:hAnsi="Times New Roman" w:cs="Times New Roman"/>
          <w:spacing w:val="0"/>
        </w:rPr>
        <w:t>收集，后</w:t>
      </w:r>
      <w:r>
        <w:rPr>
          <w:rFonts w:hint="eastAsia" w:ascii="Times New Roman" w:hAnsi="Times New Roman" w:cs="Times New Roman"/>
        </w:rPr>
        <w:t>由防爆污水泵和管道抽送</w:t>
      </w:r>
      <w:r>
        <w:rPr>
          <w:rFonts w:hint="eastAsia" w:ascii="Times New Roman" w:hAnsi="Times New Roman" w:cs="Times New Roman"/>
          <w:spacing w:val="0"/>
        </w:rPr>
        <w:t>至后方陆域工程区</w:t>
      </w:r>
      <w:r>
        <w:rPr>
          <w:rFonts w:hint="eastAsia" w:ascii="Times New Roman" w:hAnsi="Times New Roman" w:cs="Times New Roman"/>
        </w:rPr>
        <w:t>含尘污水处理间处理</w:t>
      </w:r>
      <w:r>
        <w:rPr>
          <w:rFonts w:hint="eastAsia" w:ascii="Times New Roman" w:hAnsi="Times New Roman" w:cs="Times New Roman"/>
          <w:spacing w:val="0"/>
        </w:rPr>
        <w:t>，和陆域含尘废水一同经</w:t>
      </w:r>
      <w:r>
        <w:rPr>
          <w:rFonts w:hint="eastAsia" w:ascii="Times New Roman" w:hAnsi="Times New Roman" w:cs="Times New Roman"/>
        </w:rPr>
        <w:t>处理达标后回用于散货堆场喷洒降尘；</w:t>
      </w:r>
      <w:r>
        <w:rPr>
          <w:rFonts w:hint="eastAsia" w:ascii="Times New Roman" w:hAnsi="Times New Roman" w:cs="Times New Roman"/>
          <w:lang w:val="en-US" w:eastAsia="zh-CN"/>
        </w:rPr>
        <w:t>盈余废水与</w:t>
      </w:r>
      <w:r>
        <w:rPr>
          <w:rFonts w:hint="eastAsia" w:ascii="Times New Roman" w:hAnsi="Times New Roman" w:cs="Times New Roman"/>
        </w:rPr>
        <w:t>员工生活污水接入市政污水管网，交由</w:t>
      </w:r>
      <w:r>
        <w:rPr>
          <w:rFonts w:hint="eastAsia" w:ascii="Times New Roman" w:hAnsi="Times New Roman" w:cs="Times New Roman"/>
          <w:lang w:val="en-US" w:eastAsia="zh-CN"/>
        </w:rPr>
        <w:t>临港水质净化厂</w:t>
      </w:r>
      <w:r>
        <w:rPr>
          <w:rFonts w:hint="eastAsia" w:ascii="Times New Roman" w:hAnsi="Times New Roman" w:cs="Times New Roman"/>
        </w:rPr>
        <w:t>处理。</w:t>
      </w:r>
    </w:p>
    <w:p>
      <w:pPr>
        <w:ind w:firstLine="480"/>
        <w:rPr>
          <w:rFonts w:hint="eastAsia" w:ascii="Times New Roman" w:hAnsi="Times New Roman" w:cs="Times New Roman"/>
          <w:sz w:val="24"/>
          <w:szCs w:val="24"/>
        </w:rPr>
      </w:pPr>
      <w:r>
        <w:rPr>
          <w:rFonts w:hint="eastAsia" w:ascii="Times New Roman" w:hAnsi="Times New Roman" w:cs="Times New Roman"/>
          <w:sz w:val="24"/>
        </w:rPr>
        <w:t>加强噪声设备的维护管理，采用低噪声设备和减振措施；</w:t>
      </w:r>
      <w:r>
        <w:rPr>
          <w:rFonts w:hint="eastAsia" w:ascii="Times New Roman" w:hAnsi="Times New Roman" w:cs="Times New Roman"/>
          <w:sz w:val="24"/>
          <w:szCs w:val="24"/>
        </w:rPr>
        <w:t>生活垃圾和生产垃圾分类收集，生活垃圾及废含油抹布等收集后委托环卫部门定期清运；危险废物设置一处20m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的危废暂存间，交由有资质单位处理；船舶垃圾经过检疫后由环卫部门统一外运处理。</w:t>
      </w:r>
    </w:p>
    <w:p>
      <w:pPr>
        <w:ind w:firstLine="480"/>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项目建设制定了详细的废水、废气、噪声、固废收集处理措施和减缓生态影响的生态措施。制定了环境管理之和和环境监测计划。</w:t>
      </w:r>
    </w:p>
    <w:p>
      <w:pPr>
        <w:ind w:firstLine="480"/>
        <w:rPr>
          <w:rFonts w:hint="default" w:ascii="Times New Roman" w:hAnsi="Times New Roman" w:cs="Times New Roman"/>
          <w:sz w:val="24"/>
        </w:rPr>
      </w:pPr>
      <w:r>
        <w:rPr>
          <w:rFonts w:hint="eastAsia" w:ascii="Times New Roman" w:hAnsi="Times New Roman" w:cs="Times New Roman"/>
          <w:sz w:val="24"/>
          <w:szCs w:val="24"/>
          <w:lang w:val="en-US" w:eastAsia="zh-CN"/>
        </w:rPr>
        <w:t>综上项目建设满足《水运工程环境保护设计规范》（JTS149-2018）的相关规定要求。</w:t>
      </w:r>
    </w:p>
    <w:p>
      <w:pPr>
        <w:pStyle w:val="453"/>
        <w:ind w:firstLine="643" w:firstLineChars="0"/>
        <w:rPr>
          <w:rFonts w:ascii="Times New Roman" w:cs="Times New Roman"/>
        </w:rPr>
      </w:pPr>
      <w:bookmarkStart w:id="176" w:name="_Toc5792"/>
      <w:r>
        <w:rPr>
          <w:rFonts w:ascii="Times New Roman" w:cs="Times New Roman"/>
        </w:rPr>
        <w:t>选址符合性分析</w:t>
      </w:r>
      <w:bookmarkEnd w:id="176"/>
    </w:p>
    <w:p>
      <w:pPr>
        <w:ind w:firstLine="480"/>
      </w:pPr>
      <w:r>
        <w:t>本项目位于岳阳市云溪区道仁矶镇，荆岳长江大桥上游约1.5km的长江右岸，工程距城陵矶约12km处。</w:t>
      </w:r>
    </w:p>
    <w:p>
      <w:pPr>
        <w:ind w:firstLine="480"/>
      </w:pPr>
      <w:r>
        <w:t>1、工程选址的地质及水域条件</w:t>
      </w:r>
    </w:p>
    <w:p>
      <w:pPr>
        <w:pStyle w:val="2133"/>
        <w:spacing w:line="360" w:lineRule="auto"/>
        <w:jc w:val="left"/>
        <w:rPr>
          <w:rFonts w:cs="Times New Roman"/>
        </w:rPr>
      </w:pPr>
      <w:r>
        <w:rPr>
          <w:rFonts w:hint="eastAsia" w:cs="Times New Roman"/>
        </w:rPr>
        <w:t>拟建码头河段河床稳定，前沿江面宽阔，水深条件较好。工程范围内的地质条件较好，适用于桩基结构。码头建成后，码头前满足水深和航行条件，其前水域在不影响主航道的前提下，可满足停泊水域及回旋水域宽度要求。拟建码头与大桥的距离也满足《河港工程总体设计规范》（</w:t>
      </w:r>
      <w:r>
        <w:rPr>
          <w:rFonts w:cs="Times New Roman"/>
        </w:rPr>
        <w:t>JTJ212-2006</w:t>
      </w:r>
      <w:r>
        <w:rPr>
          <w:rFonts w:hint="eastAsia" w:cs="Times New Roman"/>
        </w:rPr>
        <w:t>）中对桥梁下游新建码头距离需大于</w:t>
      </w:r>
      <w:r>
        <w:rPr>
          <w:rFonts w:cs="Times New Roman"/>
        </w:rPr>
        <w:t>4</w:t>
      </w:r>
      <w:r>
        <w:rPr>
          <w:rFonts w:hint="eastAsia" w:cs="Times New Roman"/>
        </w:rPr>
        <w:t>倍设计船长的要求。</w:t>
      </w:r>
    </w:p>
    <w:p>
      <w:pPr>
        <w:ind w:firstLine="480"/>
      </w:pPr>
      <w:r>
        <w:rPr>
          <w:rFonts w:hint="eastAsia"/>
        </w:rPr>
        <w:t>因此，码头的建设区域，满足航道安全通航的相关要求</w:t>
      </w:r>
      <w:r>
        <w:t>。</w:t>
      </w:r>
    </w:p>
    <w:p>
      <w:pPr>
        <w:ind w:firstLine="480"/>
      </w:pPr>
      <w:r>
        <w:t>2、交通运输的便捷性</w:t>
      </w:r>
    </w:p>
    <w:p>
      <w:pPr>
        <w:ind w:firstLine="480"/>
      </w:pPr>
      <w:r>
        <w:rPr>
          <w:rFonts w:hint="eastAsia"/>
          <w:szCs w:val="28"/>
        </w:rPr>
        <w:t>本项目可利用省道</w:t>
      </w:r>
      <w:r>
        <w:rPr>
          <w:szCs w:val="28"/>
        </w:rPr>
        <w:t>S208</w:t>
      </w:r>
      <w:r>
        <w:rPr>
          <w:rFonts w:hint="eastAsia"/>
          <w:szCs w:val="28"/>
        </w:rPr>
        <w:t>和堤顶公路作为进场道路，有较好的路网可到达主城区、进而进入全国公路网，集疏运条件良好，交通十分便捷</w:t>
      </w:r>
      <w:r>
        <w:t>。码头处面临长江Ⅰ级航道，水路条件优越。</w:t>
      </w:r>
    </w:p>
    <w:p>
      <w:pPr>
        <w:ind w:firstLine="480"/>
      </w:pPr>
      <w:r>
        <w:t>综上，港区水陆交通条件极其优越。</w:t>
      </w:r>
    </w:p>
    <w:p>
      <w:pPr>
        <w:ind w:firstLine="480"/>
      </w:pPr>
      <w:r>
        <w:t>3、供水、供电等配套设施的完整性</w:t>
      </w:r>
    </w:p>
    <w:p>
      <w:pPr>
        <w:ind w:firstLine="480"/>
      </w:pPr>
      <w:r>
        <w:t>根据《岳阳市城市总体规划》已规划或部分建成配套设施，港区供电、供水、通信等均能从附近市政解决。</w:t>
      </w:r>
    </w:p>
    <w:p>
      <w:pPr>
        <w:ind w:firstLine="480"/>
      </w:pPr>
      <w:r>
        <w:t>拟建工程地区水泥、钢材、砂、石料等建筑材料供应充足，质地良好，湖南省内及附近地区有多家技术力量雄厚，机具设备齐全的航务工程施工队伍，完全能承担本项目的施工任务。施工期用水、用电、通讯均可依托陆城镇就近解决。</w:t>
      </w:r>
    </w:p>
    <w:p>
      <w:pPr>
        <w:ind w:firstLine="480"/>
      </w:pPr>
      <w:r>
        <w:t>综上所述，拟建码头区具备良好的自然条件、外协条件、集疏运条件和施工条件，工程建设是完全可能的。</w:t>
      </w:r>
    </w:p>
    <w:p>
      <w:pPr>
        <w:pStyle w:val="453"/>
        <w:ind w:firstLine="643" w:firstLineChars="0"/>
        <w:rPr>
          <w:rFonts w:ascii="Times New Roman" w:cs="Times New Roman"/>
        </w:rPr>
      </w:pPr>
      <w:bookmarkStart w:id="177" w:name="_Toc19771"/>
      <w:r>
        <w:rPr>
          <w:rFonts w:ascii="Times New Roman" w:cs="Times New Roman"/>
        </w:rPr>
        <w:t>平面布置合理性分析</w:t>
      </w:r>
      <w:bookmarkEnd w:id="177"/>
    </w:p>
    <w:p>
      <w:pPr>
        <w:ind w:firstLine="480"/>
      </w:pPr>
      <w:r>
        <w:rPr>
          <w:rFonts w:hint="eastAsia"/>
        </w:rPr>
        <w:t>（1）</w:t>
      </w:r>
      <w:r>
        <w:t>项目港区符合《岳阳港口总体规划》中对港区作业区划分和泊位布置。进港道路与规划道路网能良好衔接。</w:t>
      </w:r>
    </w:p>
    <w:p>
      <w:pPr>
        <w:ind w:firstLine="480"/>
      </w:pPr>
      <w:r>
        <w:rPr>
          <w:rFonts w:hint="eastAsia"/>
        </w:rPr>
        <w:t>（2）</w:t>
      </w:r>
      <w:r>
        <w:t>码头的布置满足装卸机械经济运距的要求，减少水平运输距离。</w:t>
      </w:r>
    </w:p>
    <w:p>
      <w:pPr>
        <w:ind w:firstLine="480"/>
      </w:pPr>
      <w:r>
        <w:rPr>
          <w:rFonts w:hint="eastAsia"/>
        </w:rPr>
        <w:t>（3）</w:t>
      </w:r>
      <w:r>
        <w:t>码头作业线协调布置有利于安全生产和方便船舶及物流运转，节约能源、降低 能耗。</w:t>
      </w:r>
    </w:p>
    <w:p>
      <w:pPr>
        <w:ind w:firstLine="480"/>
      </w:pPr>
      <w:r>
        <w:rPr>
          <w:rFonts w:hint="eastAsia" w:ascii="宋体" w:hAnsi="宋体" w:cs="宋体"/>
        </w:rPr>
        <w:t>（4）</w:t>
      </w:r>
      <w:r>
        <w:t>港区布置时，考虑了风向及水流流向对周围环境及水质的影响，同时码头布局 与总体布局相互协调。</w:t>
      </w:r>
    </w:p>
    <w:p>
      <w:pPr>
        <w:ind w:firstLine="480"/>
      </w:pPr>
      <w:r>
        <w:rPr>
          <w:rFonts w:hint="eastAsia" w:ascii="宋体" w:hAnsi="宋体" w:cs="宋体"/>
        </w:rPr>
        <w:t>（</w:t>
      </w:r>
      <w:r>
        <w:t>5</w:t>
      </w:r>
      <w:r>
        <w:rPr>
          <w:rFonts w:hint="eastAsia" w:ascii="宋体" w:hAnsi="宋体" w:cs="宋体"/>
        </w:rPr>
        <w:t>）</w:t>
      </w:r>
      <w:r>
        <w:t>码头前沿线布置与工程局部水流流向基本平行，码头前沿高程位于13.73~16.84m 之间，码头前沿线自然河底高程高于规划航道底高程，项目与上游荆岳大桥海事码头、与下游码头能够保持平顺衔接，符合《内河通航标准》和《长江干线通航标准》《河港工程总体设计规范》（JTJ212-2006）规定要求。</w:t>
      </w:r>
    </w:p>
    <w:p>
      <w:pPr>
        <w:ind w:firstLine="480"/>
      </w:pPr>
      <w:r>
        <w:rPr>
          <w:rFonts w:hint="eastAsia" w:ascii="宋体" w:hAnsi="宋体" w:cs="宋体"/>
        </w:rPr>
        <w:t>（6）</w:t>
      </w:r>
      <w:r>
        <w:t>总平面布置时，结合港区地形地质条件，综合考虑了码头建成后对河床冲淤变 化的影响及对岸坡稳定的影响。</w:t>
      </w:r>
    </w:p>
    <w:p>
      <w:pPr>
        <w:ind w:firstLine="480"/>
      </w:pPr>
      <w:r>
        <w:rPr>
          <w:rFonts w:hint="eastAsia" w:ascii="宋体" w:hAnsi="宋体" w:cs="宋体"/>
        </w:rPr>
        <w:t>（7）</w:t>
      </w:r>
      <w:r>
        <w:t>本项目总平面布置符合《水运工程环境保护设计规范》 （JTS149-2018）、《河港工程总体设计规范》（JTJ212-2006）、《港口工程劳动安全卫生设计规定》（JT320- 1997）、《工业企业设计卫生标准》（GBZ 1-2010）、《生产过程安全卫生要求总则》（GB/T12801-2008）等有关要求。</w:t>
      </w:r>
    </w:p>
    <w:p>
      <w:pPr>
        <w:ind w:firstLine="480"/>
      </w:pPr>
      <w:r>
        <w:t>因此，本项目平面布置是合理的。</w:t>
      </w:r>
    </w:p>
    <w:p>
      <w:pPr>
        <w:pStyle w:val="453"/>
        <w:ind w:firstLine="643" w:firstLineChars="0"/>
        <w:rPr>
          <w:rFonts w:ascii="Times New Roman" w:cs="Times New Roman"/>
        </w:rPr>
      </w:pPr>
      <w:bookmarkStart w:id="178" w:name="_Toc30932"/>
      <w:r>
        <w:rPr>
          <w:rFonts w:ascii="Times New Roman" w:cs="Times New Roman"/>
        </w:rPr>
        <w:t>航道条件符合性分析</w:t>
      </w:r>
      <w:bookmarkEnd w:id="178"/>
    </w:p>
    <w:p>
      <w:pPr>
        <w:ind w:firstLine="480"/>
      </w:pPr>
      <w:r>
        <w:t>拟建码头工程上游为道仁矶水道，下游为杨林岩水道南阳洲汊道段，河道较为顺直，经系统整治后，河段航道条件却一直较为优良，深泓、深槽偏靠工程所处的右岸侧，且平面摆幅较小。三峡水库蓄水运用后，受清水冲刷下泄的影响，南洋洲洲头虽有所冲刷后退，过水断面面积也有所增大，但受经护滩带守护后，洲头冲刷后退的态势得到遏制，并不断恢复，右汊入流条件有所改善，主航道条件得以稳定。</w:t>
      </w:r>
    </w:p>
    <w:p>
      <w:pPr>
        <w:ind w:firstLine="480"/>
      </w:pPr>
      <w:r>
        <w:t>总体来看，目前工程河段岸线稳定、深泓及深槽稳定少变，枯季主航道最小维护标准尺度为4.2m×150m×1000m，保证率98%，河道水深条件具备今后航道水深提高至4.5m 尺度的基础。工程河段航道总体视线开阔、通航条件较好，工程位置也远离船舶航路交叉区、通航密集区，工程选址基本满足规范规定的航道要求。</w:t>
      </w:r>
    </w:p>
    <w:p>
      <w:pPr>
        <w:pStyle w:val="453"/>
        <w:ind w:firstLine="643" w:firstLineChars="0"/>
        <w:rPr>
          <w:rFonts w:ascii="Times New Roman" w:cs="Times New Roman"/>
        </w:rPr>
      </w:pPr>
      <w:bookmarkStart w:id="179" w:name="_Toc24252"/>
      <w:r>
        <w:rPr>
          <w:rFonts w:ascii="Times New Roman" w:cs="Times New Roman"/>
        </w:rPr>
        <w:t>环境制约因素及解决方案</w:t>
      </w:r>
      <w:bookmarkEnd w:id="179"/>
    </w:p>
    <w:p>
      <w:pPr>
        <w:pStyle w:val="454"/>
        <w:ind w:firstLine="602"/>
        <w:rPr>
          <w:color w:val="auto"/>
        </w:rPr>
      </w:pPr>
      <w:r>
        <w:t>洞庭湖口铜鱼短颌鲚国家级水产种质资源保护区</w:t>
      </w:r>
    </w:p>
    <w:p>
      <w:pPr>
        <w:ind w:firstLine="482"/>
      </w:pPr>
      <w:r>
        <w:rPr>
          <w:b/>
          <w:bCs/>
        </w:rPr>
        <w:t>1</w:t>
      </w:r>
      <w:r>
        <w:t>、制约因素</w:t>
      </w:r>
    </w:p>
    <w:p>
      <w:pPr>
        <w:ind w:firstLine="480"/>
      </w:pPr>
      <w:r>
        <w:t>本项目水域工程位于洞庭湖口铜鱼短颌鲚国家级水产种质资源保护区的实验区范围内。</w:t>
      </w:r>
    </w:p>
    <w:p>
      <w:pPr>
        <w:ind w:firstLine="482"/>
      </w:pPr>
      <w:r>
        <w:rPr>
          <w:b/>
          <w:bCs/>
        </w:rPr>
        <w:t>2</w:t>
      </w:r>
      <w:r>
        <w:t>、解决方法</w:t>
      </w:r>
    </w:p>
    <w:p>
      <w:pPr>
        <w:ind w:firstLine="480"/>
      </w:pPr>
      <w:r>
        <w:rPr>
          <w:rFonts w:hint="eastAsia" w:ascii="宋体" w:hAnsi="宋体" w:cs="宋体"/>
        </w:rPr>
        <w:t>（1）</w:t>
      </w:r>
      <w:r>
        <w:rPr>
          <w:spacing w:val="2"/>
        </w:rPr>
        <w:t>建</w:t>
      </w:r>
      <w:r>
        <w:t>设单</w:t>
      </w:r>
      <w:r>
        <w:rPr>
          <w:spacing w:val="2"/>
        </w:rPr>
        <w:t>位已委</w:t>
      </w:r>
      <w:r>
        <w:t>托武汉市伊美净科技发展有限公司</w:t>
      </w:r>
      <w:r>
        <w:rPr>
          <w:spacing w:val="2"/>
        </w:rPr>
        <w:t>编制了</w:t>
      </w:r>
      <w:r>
        <w:rPr>
          <w:spacing w:val="5"/>
        </w:rPr>
        <w:t>《</w:t>
      </w:r>
      <w:r>
        <w:rPr>
          <w:rFonts w:hint="eastAsia"/>
        </w:rPr>
        <w:t>岳阳港道仁矶码头工程</w:t>
      </w:r>
      <w:r>
        <w:t>对洞庭湖口铜鱼短颌鲚国家级水产种质资源保护区影响专题论证报告</w:t>
      </w:r>
      <w:r>
        <w:rPr>
          <w:spacing w:val="-26"/>
        </w:rPr>
        <w:t>》</w:t>
      </w:r>
      <w:r>
        <w:t>。专题结论为</w:t>
      </w:r>
      <w:r>
        <w:rPr>
          <w:rFonts w:asciiTheme="minorEastAsia" w:hAnsiTheme="minorEastAsia" w:eastAsiaTheme="minorEastAsia"/>
        </w:rPr>
        <w:t>“</w:t>
      </w:r>
      <w:r>
        <w:t>本工程通过施工避让鱼类等水生生物繁殖期和洄游期，采用环保的施工工艺，以及加强施工和运营管理等措施，可有效降低施工期悬浮物对水质的影响、降低施工和营运期噪声的强度，从而减轻对水域生态环境的影响；通过采取增殖放流、生境修复、渔政管理、宣传教育、水生生物监测、污染治理及风险防范等一系列措施，可有效的减轻工程对洞庭湖口铜鱼短颌鲚国家级水产种质资源保护区水生生物尤其是鱼类资源的影响；相关监测成果将为保护措施的调整提供有力的科学依据，对洞庭湖口铜鱼短颌鲚国家级水产种质资源保护区内水生生态环境的保护将起到积极的作用。因此，在落实本报告所提出的各项保护措施后，工程建设从环境保护角度上是可行的。</w:t>
      </w:r>
      <w:r>
        <w:rPr>
          <w:rFonts w:asciiTheme="minorEastAsia" w:hAnsiTheme="minorEastAsia" w:eastAsiaTheme="minorEastAsia"/>
        </w:rPr>
        <w:t>”</w:t>
      </w:r>
    </w:p>
    <w:p>
      <w:pPr>
        <w:ind w:firstLine="480"/>
      </w:pPr>
      <w:r>
        <w:t>建设单位需根据渔政部门及水产种质资源保护区专题报告的要求，严格落实有关保护措施，落实渔业资源补偿与修复，建设单位在取得农业农村部长江流域渔政监督管理办公室的批复后，才能对涉及水产种质资源保护区的</w:t>
      </w:r>
      <w:r>
        <w:rPr>
          <w:rFonts w:hint="eastAsia"/>
        </w:rPr>
        <w:t>区域</w:t>
      </w:r>
      <w:r>
        <w:t>进行施工建设。</w:t>
      </w:r>
    </w:p>
    <w:p>
      <w:pPr>
        <w:pStyle w:val="458"/>
        <w:ind w:firstLine="480"/>
        <w:rPr>
          <w:rStyle w:val="2125"/>
          <w:rFonts w:hint="default" w:ascii="Times New Roman" w:hAnsi="Times New Roman" w:cs="Times New Roman"/>
          <w:color w:val="auto"/>
        </w:rPr>
      </w:pPr>
      <w:r>
        <w:rPr>
          <w:rFonts w:hint="eastAsia" w:ascii="宋体" w:hAnsi="宋体" w:cs="宋体"/>
        </w:rPr>
        <w:t>（2）</w:t>
      </w:r>
      <w:r>
        <w:t>在下一阶段进一步优化码头设计方案</w:t>
      </w:r>
      <w:r>
        <w:rPr>
          <w:spacing w:val="-51"/>
        </w:rPr>
        <w:t>；</w:t>
      </w:r>
      <w:r>
        <w:t>施工时应加强码头施工管理和环境监理，避开保护鱼类繁殖期</w:t>
      </w:r>
      <w:r>
        <w:rPr>
          <w:spacing w:val="-17"/>
        </w:rPr>
        <w:t>，</w:t>
      </w:r>
      <w:r>
        <w:t>选择枯水期进行围堰施工和拆除</w:t>
      </w:r>
      <w:r>
        <w:rPr>
          <w:spacing w:val="-17"/>
        </w:rPr>
        <w:t>，</w:t>
      </w:r>
      <w:r>
        <w:t>禁止施工废水</w:t>
      </w:r>
      <w:r>
        <w:rPr>
          <w:spacing w:val="-17"/>
        </w:rPr>
        <w:t>、</w:t>
      </w:r>
      <w:r>
        <w:t>生活污水不经处理直接排入水产种质资源保护区内，避免施工弃渣随意弃入水体。</w:t>
      </w:r>
    </w:p>
    <w:bookmarkEnd w:id="171"/>
    <w:bookmarkEnd w:id="172"/>
    <w:bookmarkEnd w:id="173"/>
    <w:bookmarkEnd w:id="175"/>
    <w:p>
      <w:pPr>
        <w:pStyle w:val="457"/>
        <w:ind w:firstLine="723"/>
        <w:rPr>
          <w:rFonts w:ascii="Times New Roman" w:hAnsi="Times New Roman" w:cs="Times New Roman"/>
        </w:rPr>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180" w:name="_Toc13308085"/>
      <w:bookmarkStart w:id="181" w:name="_Toc12959342"/>
      <w:bookmarkStart w:id="182" w:name="_Toc401255957"/>
      <w:bookmarkStart w:id="183" w:name="_Toc69118341"/>
    </w:p>
    <w:p>
      <w:pPr>
        <w:pStyle w:val="457"/>
        <w:ind w:firstLine="0" w:firstLineChars="0"/>
        <w:rPr>
          <w:rFonts w:ascii="Times New Roman" w:hAnsi="Times New Roman" w:cs="Times New Roman"/>
        </w:rPr>
      </w:pPr>
      <w:r>
        <w:rPr>
          <w:rFonts w:ascii="Times New Roman" w:hAnsi="Times New Roman" w:cs="Times New Roman"/>
        </w:rPr>
        <w:t xml:space="preserve"> </w:t>
      </w:r>
      <w:bookmarkStart w:id="184" w:name="_Toc6461"/>
      <w:bookmarkStart w:id="185" w:name="_Toc106697019"/>
      <w:bookmarkStart w:id="186" w:name="_Toc19272"/>
      <w:r>
        <w:rPr>
          <w:rFonts w:ascii="Times New Roman" w:hAnsi="Times New Roman" w:cs="Times New Roman"/>
        </w:rPr>
        <w:t>环境</w:t>
      </w:r>
      <w:bookmarkEnd w:id="180"/>
      <w:bookmarkEnd w:id="181"/>
      <w:bookmarkEnd w:id="182"/>
      <w:bookmarkEnd w:id="183"/>
      <w:r>
        <w:rPr>
          <w:rFonts w:ascii="Times New Roman" w:hAnsi="Times New Roman" w:cs="Times New Roman"/>
        </w:rPr>
        <w:t>影响预测与评价</w:t>
      </w:r>
      <w:bookmarkEnd w:id="184"/>
      <w:bookmarkEnd w:id="185"/>
      <w:bookmarkEnd w:id="186"/>
    </w:p>
    <w:p>
      <w:pPr>
        <w:pStyle w:val="453"/>
        <w:ind w:firstLine="643"/>
        <w:rPr>
          <w:rFonts w:ascii="Times New Roman" w:cs="Times New Roman"/>
        </w:rPr>
      </w:pPr>
      <w:bookmarkStart w:id="187" w:name="_Toc378"/>
      <w:bookmarkStart w:id="188" w:name="_Toc106697020"/>
      <w:bookmarkStart w:id="189" w:name="_Toc26280"/>
      <w:r>
        <w:rPr>
          <w:rFonts w:ascii="Times New Roman" w:cs="Times New Roman"/>
        </w:rPr>
        <w:t>地表水环境影响预测与评价</w:t>
      </w:r>
      <w:bookmarkEnd w:id="187"/>
      <w:bookmarkEnd w:id="188"/>
      <w:bookmarkEnd w:id="189"/>
    </w:p>
    <w:p>
      <w:pPr>
        <w:pStyle w:val="454"/>
        <w:ind w:firstLine="602"/>
        <w:rPr>
          <w:color w:val="auto"/>
        </w:rPr>
      </w:pPr>
      <w:r>
        <w:rPr>
          <w:color w:val="auto"/>
        </w:rPr>
        <w:t>施工期地表水环境影响预测与评价</w:t>
      </w:r>
    </w:p>
    <w:p>
      <w:pPr>
        <w:pStyle w:val="458"/>
        <w:ind w:firstLine="480"/>
        <w:rPr>
          <w:rFonts w:cs="Times New Roman"/>
          <w:color w:val="auto"/>
          <w:kern w:val="0"/>
        </w:rPr>
      </w:pPr>
      <w:r>
        <w:rPr>
          <w:rFonts w:cs="Times New Roman"/>
          <w:color w:val="auto"/>
          <w:kern w:val="0"/>
        </w:rPr>
        <w:t>拟建项目施工期污水主要发生在泊位建设、岸上辅助设施等建设过程中，对水环境的影响主要是底泥疏浚、主体结构水下施工对水环境的影响以及施工期生活污水、生产废水及船舶油污水对水环境的影响。</w:t>
      </w:r>
    </w:p>
    <w:p>
      <w:pPr>
        <w:pStyle w:val="456"/>
        <w:ind w:firstLine="482"/>
      </w:pPr>
      <w:r>
        <w:t>施工生产废水对水环境影响分析</w:t>
      </w:r>
    </w:p>
    <w:p>
      <w:pPr>
        <w:ind w:firstLine="480"/>
      </w:pPr>
      <w:r>
        <w:t>（1）码头主体结构施工对水环境影响分析</w:t>
      </w:r>
    </w:p>
    <w:p>
      <w:pPr>
        <w:pStyle w:val="458"/>
        <w:ind w:firstLine="480"/>
        <w:rPr>
          <w:rFonts w:cs="Times New Roman"/>
          <w:color w:val="auto"/>
          <w:kern w:val="0"/>
        </w:rPr>
      </w:pPr>
      <w:r>
        <w:rPr>
          <w:rFonts w:cs="Times New Roman"/>
          <w:color w:val="auto"/>
          <w:kern w:val="0"/>
        </w:rPr>
        <w:t>本工程</w:t>
      </w:r>
      <w:r>
        <w:rPr>
          <w:rFonts w:cs="Times New Roman"/>
          <w:color w:val="auto"/>
        </w:rPr>
        <w:t>水下打桩施工对水环境的影响主要是造成水体中悬浮物浓度增加，水下打桩施工的影响范围呈椭圆形。根据调查，打桩施工造成悬浮物浓度增加值超过1</w:t>
      </w:r>
      <w:r>
        <w:rPr>
          <w:rFonts w:cs="Times New Roman"/>
          <w:color w:val="auto"/>
          <w:kern w:val="0"/>
        </w:rPr>
        <w:t>0mg/L的范围为沿水流方向长约100~250m，垂直岸边宽约50~100m，打桩施工引起的悬浮物</w:t>
      </w:r>
      <w:r>
        <w:rPr>
          <w:rFonts w:hint="eastAsia" w:cs="Times New Roman"/>
          <w:color w:val="auto"/>
          <w:kern w:val="0"/>
        </w:rPr>
        <w:t>会对周围小范围水体产生影响，不会</w:t>
      </w:r>
      <w:r>
        <w:rPr>
          <w:rFonts w:cs="Times New Roman"/>
          <w:color w:val="auto"/>
          <w:kern w:val="0"/>
        </w:rPr>
        <w:t>对下游饮用水水源保护区取水口水质产生污染影响。</w:t>
      </w:r>
    </w:p>
    <w:p>
      <w:pPr>
        <w:pStyle w:val="458"/>
        <w:ind w:firstLine="480"/>
        <w:rPr>
          <w:rFonts w:cs="Times New Roman"/>
          <w:color w:val="auto"/>
          <w:kern w:val="0"/>
        </w:rPr>
      </w:pPr>
      <w:r>
        <w:rPr>
          <w:rFonts w:cs="Times New Roman"/>
          <w:color w:val="auto"/>
          <w:kern w:val="0"/>
        </w:rPr>
        <w:t>引桥桩基采用钻孔灌注桩，桩基施工过程中，会产生少量的泥浆水，其主要污染物为 SS，</w:t>
      </w:r>
      <w:r>
        <w:rPr>
          <w:rFonts w:cs="Times New Roman"/>
          <w:color w:val="auto"/>
        </w:rPr>
        <w:t>需要设置泥浆池，本项目拟在项目岸边滩地设置2座12-15m</w:t>
      </w:r>
      <w:r>
        <w:rPr>
          <w:rFonts w:cs="Times New Roman"/>
          <w:color w:val="auto"/>
          <w:vertAlign w:val="superscript"/>
        </w:rPr>
        <w:t>3</w:t>
      </w:r>
      <w:r>
        <w:rPr>
          <w:rFonts w:cs="Times New Roman"/>
          <w:color w:val="auto"/>
        </w:rPr>
        <w:t>的钢板箱，其中1座作为泥浆池使用，另l座作为废浆池使用，将粗沙沉淀后，泥浆循环使用，沉淀下来的泥沙（钻孔废渣）经过沉淀处理后，</w:t>
      </w:r>
      <w:r>
        <w:rPr>
          <w:rFonts w:hint="eastAsia" w:cs="Times New Roman"/>
          <w:color w:val="auto"/>
        </w:rPr>
        <w:t>用于</w:t>
      </w:r>
      <w:r>
        <w:rPr>
          <w:rFonts w:cs="Times New Roman"/>
          <w:color w:val="auto"/>
        </w:rPr>
        <w:t>陆域回填</w:t>
      </w:r>
      <w:r>
        <w:rPr>
          <w:rFonts w:cs="Times New Roman"/>
          <w:color w:val="auto"/>
          <w:kern w:val="0"/>
        </w:rPr>
        <w:t>。</w:t>
      </w:r>
    </w:p>
    <w:p>
      <w:pPr>
        <w:pStyle w:val="458"/>
        <w:ind w:firstLine="480"/>
        <w:rPr>
          <w:rFonts w:cs="Times New Roman"/>
          <w:color w:val="auto"/>
          <w:kern w:val="0"/>
        </w:rPr>
      </w:pPr>
      <w:r>
        <w:rPr>
          <w:rFonts w:cs="Times New Roman"/>
          <w:color w:val="auto"/>
        </w:rPr>
        <w:t>灌注桩施工过程中若遇降雨，由于雨水的进入，泥浆池污水会部分溢出，污水中SS浓度很高，会对工程长江段水体产生污染影响。因此，本环评要求在泥浆池四周设置包围堰，并在泥浆池上方设置遮盖装置，防止地面径流雨污水或者雨水进入泥浆池后造成的废水溢出。</w:t>
      </w:r>
    </w:p>
    <w:p>
      <w:pPr>
        <w:ind w:firstLine="480"/>
      </w:pPr>
      <w:r>
        <w:t>（2）其他施工生产废水对水环境影响分析</w:t>
      </w:r>
    </w:p>
    <w:p>
      <w:pPr>
        <w:ind w:firstLine="480"/>
        <w:rPr>
          <w:kern w:val="0"/>
        </w:rPr>
      </w:pPr>
      <w:r>
        <w:rPr>
          <w:kern w:val="0"/>
        </w:rPr>
        <w:t>本项目施工过程中其他生产废水主要为混凝土养护废水、施工机械冲洗废水及施工场地地表径流水等。</w:t>
      </w:r>
    </w:p>
    <w:p>
      <w:pPr>
        <w:ind w:firstLine="480"/>
      </w:pPr>
      <w:r>
        <w:t>混凝土构筑物浇筑初期需要浇水养护，养护水大部分蒸发，对水体水质影响较小，仅少部分会形成养护废水，仅发生在浇筑后的前三天，该养护废水水质简单，为碱性废水，主要污染物为SS、pH，SS浓度约500mg/L，pH值8～9。施工现场通过设置沉淀池，回用于施工生产</w:t>
      </w:r>
      <w:r>
        <w:rPr>
          <w:spacing w:val="-17"/>
        </w:rPr>
        <w:t>，</w:t>
      </w:r>
      <w:r>
        <w:t>其余用于施工现场的洒水防尘和车辆</w:t>
      </w:r>
      <w:r>
        <w:rPr>
          <w:spacing w:val="-17"/>
        </w:rPr>
        <w:t>、</w:t>
      </w:r>
      <w:r>
        <w:t>机械冲洗</w:t>
      </w:r>
      <w:r>
        <w:rPr>
          <w:spacing w:val="-17"/>
        </w:rPr>
        <w:t>，</w:t>
      </w:r>
      <w:r>
        <w:t>不向外排放。</w:t>
      </w:r>
    </w:p>
    <w:p>
      <w:pPr>
        <w:ind w:firstLine="480"/>
      </w:pPr>
      <w:r>
        <w:t>施工机械跑、冒、滴、漏的污油水，露天机械受雨水冲刷及施工机械冲洗后产生的含油污水主要含石油类，如不经处理直接排放，会对项目所在地地表水造成油污染，污染水体，如用于灌溉则会对农作物生长产生不利影响。项目采用隔油池、沉淀池处理施工机械冲洗废水，处理达标后回用于施工机械冲洗、道路洒水抑尘，不外排，因此不会对周边水环境产生不利影响。</w:t>
      </w:r>
    </w:p>
    <w:p>
      <w:pPr>
        <w:ind w:firstLine="480"/>
      </w:pPr>
      <w:r>
        <w:t>此外，雨水对施工场地上物料、机械冲刷形成的径流也含有SS、石油类等污染物。根据码头建设项目施工废水特征</w:t>
      </w:r>
      <w:r>
        <w:rPr>
          <w:spacing w:val="-52"/>
        </w:rPr>
        <w:t>，</w:t>
      </w:r>
      <w:r>
        <w:t>施工期间在施工场地四周设置截水沟截留雨水径流</w:t>
      </w:r>
      <w:r>
        <w:rPr>
          <w:spacing w:val="-17"/>
        </w:rPr>
        <w:t>，</w:t>
      </w:r>
      <w:r>
        <w:t>并在施工场地内设置隔油池和沉淀池对收集的施工废水进行隔油</w:t>
      </w:r>
      <w:r>
        <w:rPr>
          <w:spacing w:val="-17"/>
        </w:rPr>
        <w:t>、</w:t>
      </w:r>
      <w:r>
        <w:t>沉淀处理</w:t>
      </w:r>
      <w:r>
        <w:rPr>
          <w:spacing w:val="-17"/>
        </w:rPr>
        <w:t>，</w:t>
      </w:r>
      <w:r>
        <w:t>处理水循环回用于施工生产</w:t>
      </w:r>
      <w:r>
        <w:rPr>
          <w:spacing w:val="-17"/>
        </w:rPr>
        <w:t>，</w:t>
      </w:r>
      <w:r>
        <w:t>不向外排放，对本项目地表水环境无明显影响。</w:t>
      </w:r>
    </w:p>
    <w:p>
      <w:pPr>
        <w:ind w:firstLine="480"/>
      </w:pPr>
      <w:r>
        <w:t>（3）港池疏浚过程中产生的悬浮泥沙对水环境影响分析</w:t>
      </w:r>
    </w:p>
    <w:p>
      <w:pPr>
        <w:ind w:firstLine="480"/>
        <w:rPr>
          <w:szCs w:val="28"/>
        </w:rPr>
      </w:pPr>
      <w:r>
        <w:t>本项目港池疏浚工程量为1.55万m</w:t>
      </w:r>
      <w:r>
        <w:rPr>
          <w:vertAlign w:val="superscript"/>
        </w:rPr>
        <w:t>3</w:t>
      </w:r>
      <w:r>
        <w:t>，采用绞吸式挖泥船进行疏浚，</w:t>
      </w:r>
      <w:r>
        <w:rPr>
          <w:rFonts w:hint="eastAsia"/>
          <w:szCs w:val="28"/>
        </w:rPr>
        <w:t>所挖土方通过挖泥船运至</w:t>
      </w:r>
      <w:r>
        <w:rPr>
          <w:rFonts w:hint="eastAsia"/>
        </w:rPr>
        <w:t>后方临时堆场脱水处理，后做为码头配套工程陆域的填方</w:t>
      </w:r>
      <w:r>
        <w:rPr>
          <w:rFonts w:hint="eastAsia"/>
          <w:szCs w:val="28"/>
        </w:rPr>
        <w:t>。</w:t>
      </w:r>
    </w:p>
    <w:p>
      <w:pPr>
        <w:ind w:firstLine="480"/>
        <w:textAlignment w:val="baseline"/>
        <w:rPr>
          <w:kern w:val="10"/>
        </w:rPr>
      </w:pPr>
      <w:r>
        <w:rPr>
          <w:kern w:val="10"/>
        </w:rPr>
        <w:t>挖泥船施工时基本上是定点作业，SS扩散机理类似于连续点源扩散。施工作业时对河底扰动造成底泥悬浮并随流扩散，在施工区水域形成条状浑浊水体。使水体内SS含量升高，对疏浚河段水质有较明显的影响，它随着河水运动的同时在河水中沉降，并最终淤积于河底，这一特性决定了它的影响范围和影响时间是有限的，疏浚引起的悬浮物扩散的影响将随施工结束而消失。且由于疏浚施工程序为局部施工而非全面铺开，</w:t>
      </w:r>
      <w:r>
        <w:rPr>
          <w:rFonts w:hint="eastAsia"/>
          <w:kern w:val="10"/>
        </w:rPr>
        <w:t>疏浚</w:t>
      </w:r>
      <w:r>
        <w:rPr>
          <w:kern w:val="10"/>
        </w:rPr>
        <w:t>河道较短，因此水体浑浊度的增加仅限于局部地区的短时期内，这一不利影响将随施工结束而消失。</w:t>
      </w:r>
    </w:p>
    <w:p>
      <w:pPr>
        <w:ind w:firstLine="480"/>
        <w:textAlignment w:val="baseline"/>
        <w:rPr>
          <w:kern w:val="10"/>
        </w:rPr>
      </w:pPr>
      <w:r>
        <w:rPr>
          <w:kern w:val="10"/>
        </w:rPr>
        <w:t>类比相同类型和规模的项目平面二维数学模型，预测结果见下表。</w:t>
      </w:r>
    </w:p>
    <w:p>
      <w:pPr>
        <w:pStyle w:val="3586"/>
        <w:ind w:left="0"/>
      </w:pPr>
      <w:r>
        <w:t>施工悬浮物影响预测结果（浓度增值） 单位：mg/L</w:t>
      </w:r>
    </w:p>
    <w:tbl>
      <w:tblPr>
        <w:tblStyle w:val="3596"/>
        <w:tblW w:w="877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83"/>
        <w:gridCol w:w="2463"/>
        <w:gridCol w:w="2274"/>
        <w:gridCol w:w="22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83" w:type="dxa"/>
            <w:noWrap/>
            <w:vAlign w:val="center"/>
          </w:tcPr>
          <w:p>
            <w:pPr>
              <w:pStyle w:val="2691"/>
            </w:pPr>
            <w:r>
              <w:t>SS浓度增加量</w:t>
            </w:r>
          </w:p>
          <w:p>
            <w:pPr>
              <w:pStyle w:val="2691"/>
            </w:pPr>
            <w:r>
              <w:t>（mg/L）</w:t>
            </w:r>
          </w:p>
        </w:tc>
        <w:tc>
          <w:tcPr>
            <w:tcW w:w="2463" w:type="dxa"/>
            <w:noWrap/>
            <w:vAlign w:val="center"/>
          </w:tcPr>
          <w:p>
            <w:pPr>
              <w:pStyle w:val="2691"/>
            </w:pPr>
            <w:r>
              <w:t>纵向最大影响距离（m）</w:t>
            </w:r>
          </w:p>
        </w:tc>
        <w:tc>
          <w:tcPr>
            <w:tcW w:w="2274" w:type="dxa"/>
            <w:noWrap/>
            <w:vAlign w:val="center"/>
          </w:tcPr>
          <w:p>
            <w:pPr>
              <w:pStyle w:val="2691"/>
            </w:pPr>
            <w:r>
              <w:t>横向最大影响距离（m）</w:t>
            </w:r>
          </w:p>
        </w:tc>
        <w:tc>
          <w:tcPr>
            <w:tcW w:w="2254" w:type="dxa"/>
            <w:noWrap/>
            <w:vAlign w:val="center"/>
          </w:tcPr>
          <w:p>
            <w:pPr>
              <w:pStyle w:val="2691"/>
            </w:pPr>
            <w:r>
              <w:t>影响范围面积</w:t>
            </w:r>
          </w:p>
          <w:p>
            <w:pPr>
              <w:pStyle w:val="2691"/>
            </w:pPr>
            <w:r>
              <w:t>（km</w:t>
            </w:r>
            <w:r>
              <w:rPr>
                <w:vertAlign w:val="superscript"/>
              </w:rPr>
              <w:t>2</w:t>
            </w: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83" w:type="dxa"/>
            <w:noWrap/>
            <w:vAlign w:val="center"/>
          </w:tcPr>
          <w:p>
            <w:pPr>
              <w:pStyle w:val="2691"/>
            </w:pPr>
            <w:r>
              <w:t>25</w:t>
            </w:r>
          </w:p>
        </w:tc>
        <w:tc>
          <w:tcPr>
            <w:tcW w:w="2463" w:type="dxa"/>
            <w:noWrap/>
            <w:vAlign w:val="center"/>
          </w:tcPr>
          <w:p>
            <w:pPr>
              <w:pStyle w:val="2691"/>
            </w:pPr>
            <w:r>
              <w:t>54</w:t>
            </w:r>
          </w:p>
        </w:tc>
        <w:tc>
          <w:tcPr>
            <w:tcW w:w="2274" w:type="dxa"/>
            <w:noWrap/>
            <w:vAlign w:val="center"/>
          </w:tcPr>
          <w:p>
            <w:pPr>
              <w:pStyle w:val="2691"/>
            </w:pPr>
            <w:r>
              <w:t>46</w:t>
            </w:r>
          </w:p>
        </w:tc>
        <w:tc>
          <w:tcPr>
            <w:tcW w:w="2254" w:type="dxa"/>
            <w:noWrap/>
            <w:vAlign w:val="center"/>
          </w:tcPr>
          <w:p>
            <w:pPr>
              <w:pStyle w:val="2691"/>
            </w:pPr>
            <w:r>
              <w:t>0.002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83" w:type="dxa"/>
            <w:noWrap/>
            <w:vAlign w:val="center"/>
          </w:tcPr>
          <w:p>
            <w:pPr>
              <w:pStyle w:val="2691"/>
            </w:pPr>
            <w:r>
              <w:t>20</w:t>
            </w:r>
          </w:p>
        </w:tc>
        <w:tc>
          <w:tcPr>
            <w:tcW w:w="2463" w:type="dxa"/>
            <w:noWrap/>
            <w:vAlign w:val="center"/>
          </w:tcPr>
          <w:p>
            <w:pPr>
              <w:pStyle w:val="2691"/>
            </w:pPr>
            <w:r>
              <w:t>70</w:t>
            </w:r>
          </w:p>
        </w:tc>
        <w:tc>
          <w:tcPr>
            <w:tcW w:w="2274" w:type="dxa"/>
            <w:noWrap/>
            <w:vAlign w:val="center"/>
          </w:tcPr>
          <w:p>
            <w:pPr>
              <w:pStyle w:val="2691"/>
            </w:pPr>
            <w:r>
              <w:t>78</w:t>
            </w:r>
          </w:p>
        </w:tc>
        <w:tc>
          <w:tcPr>
            <w:tcW w:w="2254" w:type="dxa"/>
            <w:noWrap/>
            <w:vAlign w:val="center"/>
          </w:tcPr>
          <w:p>
            <w:pPr>
              <w:pStyle w:val="2691"/>
            </w:pPr>
            <w:r>
              <w:t>0.005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83" w:type="dxa"/>
            <w:noWrap/>
            <w:vAlign w:val="center"/>
          </w:tcPr>
          <w:p>
            <w:pPr>
              <w:pStyle w:val="2691"/>
            </w:pPr>
            <w:r>
              <w:t>15</w:t>
            </w:r>
          </w:p>
        </w:tc>
        <w:tc>
          <w:tcPr>
            <w:tcW w:w="2463" w:type="dxa"/>
            <w:noWrap/>
            <w:vAlign w:val="center"/>
          </w:tcPr>
          <w:p>
            <w:pPr>
              <w:pStyle w:val="2691"/>
            </w:pPr>
            <w:r>
              <w:t>135</w:t>
            </w:r>
          </w:p>
        </w:tc>
        <w:tc>
          <w:tcPr>
            <w:tcW w:w="2274" w:type="dxa"/>
            <w:noWrap/>
            <w:vAlign w:val="center"/>
          </w:tcPr>
          <w:p>
            <w:pPr>
              <w:pStyle w:val="2691"/>
            </w:pPr>
            <w:r>
              <w:t>10</w:t>
            </w:r>
          </w:p>
        </w:tc>
        <w:tc>
          <w:tcPr>
            <w:tcW w:w="2254" w:type="dxa"/>
            <w:noWrap/>
            <w:vAlign w:val="center"/>
          </w:tcPr>
          <w:p>
            <w:pPr>
              <w:pStyle w:val="2691"/>
            </w:pPr>
            <w:r>
              <w:t>0.014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83" w:type="dxa"/>
            <w:noWrap/>
            <w:vAlign w:val="center"/>
          </w:tcPr>
          <w:p>
            <w:pPr>
              <w:pStyle w:val="2691"/>
            </w:pPr>
            <w:r>
              <w:t>10</w:t>
            </w:r>
          </w:p>
        </w:tc>
        <w:tc>
          <w:tcPr>
            <w:tcW w:w="2463" w:type="dxa"/>
            <w:noWrap/>
            <w:vAlign w:val="center"/>
          </w:tcPr>
          <w:p>
            <w:pPr>
              <w:pStyle w:val="2691"/>
            </w:pPr>
            <w:r>
              <w:t>186</w:t>
            </w:r>
          </w:p>
        </w:tc>
        <w:tc>
          <w:tcPr>
            <w:tcW w:w="2274" w:type="dxa"/>
            <w:noWrap/>
            <w:vAlign w:val="center"/>
          </w:tcPr>
          <w:p>
            <w:pPr>
              <w:pStyle w:val="2691"/>
            </w:pPr>
            <w:r>
              <w:t>176</w:t>
            </w:r>
          </w:p>
        </w:tc>
        <w:tc>
          <w:tcPr>
            <w:tcW w:w="2254" w:type="dxa"/>
            <w:noWrap/>
            <w:vAlign w:val="center"/>
          </w:tcPr>
          <w:p>
            <w:pPr>
              <w:pStyle w:val="2691"/>
            </w:pPr>
            <w:r>
              <w:t>0.033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83" w:type="dxa"/>
            <w:noWrap/>
            <w:vAlign w:val="center"/>
          </w:tcPr>
          <w:p>
            <w:pPr>
              <w:pStyle w:val="2691"/>
            </w:pPr>
            <w:r>
              <w:t>5</w:t>
            </w:r>
          </w:p>
        </w:tc>
        <w:tc>
          <w:tcPr>
            <w:tcW w:w="2463" w:type="dxa"/>
            <w:noWrap/>
            <w:vAlign w:val="center"/>
          </w:tcPr>
          <w:p>
            <w:pPr>
              <w:pStyle w:val="2691"/>
            </w:pPr>
            <w:r>
              <w:t>279</w:t>
            </w:r>
          </w:p>
        </w:tc>
        <w:tc>
          <w:tcPr>
            <w:tcW w:w="2274" w:type="dxa"/>
            <w:noWrap/>
            <w:vAlign w:val="center"/>
          </w:tcPr>
          <w:p>
            <w:pPr>
              <w:pStyle w:val="2691"/>
            </w:pPr>
            <w:r>
              <w:t>222</w:t>
            </w:r>
          </w:p>
        </w:tc>
        <w:tc>
          <w:tcPr>
            <w:tcW w:w="2254" w:type="dxa"/>
            <w:noWrap/>
            <w:vAlign w:val="center"/>
          </w:tcPr>
          <w:p>
            <w:pPr>
              <w:pStyle w:val="2691"/>
            </w:pPr>
            <w:r>
              <w:t>0.062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83" w:type="dxa"/>
            <w:noWrap/>
            <w:vAlign w:val="center"/>
          </w:tcPr>
          <w:p>
            <w:pPr>
              <w:pStyle w:val="2691"/>
            </w:pPr>
            <w:r>
              <w:t>2</w:t>
            </w:r>
          </w:p>
        </w:tc>
        <w:tc>
          <w:tcPr>
            <w:tcW w:w="2463" w:type="dxa"/>
            <w:noWrap/>
            <w:vAlign w:val="center"/>
          </w:tcPr>
          <w:p>
            <w:pPr>
              <w:pStyle w:val="2691"/>
            </w:pPr>
            <w:r>
              <w:t>667</w:t>
            </w:r>
          </w:p>
        </w:tc>
        <w:tc>
          <w:tcPr>
            <w:tcW w:w="2274" w:type="dxa"/>
            <w:noWrap/>
            <w:vAlign w:val="center"/>
          </w:tcPr>
          <w:p>
            <w:pPr>
              <w:pStyle w:val="2691"/>
            </w:pPr>
            <w:r>
              <w:t>247</w:t>
            </w:r>
          </w:p>
        </w:tc>
        <w:tc>
          <w:tcPr>
            <w:tcW w:w="2254" w:type="dxa"/>
            <w:noWrap/>
            <w:vAlign w:val="center"/>
          </w:tcPr>
          <w:p>
            <w:pPr>
              <w:pStyle w:val="2691"/>
            </w:pPr>
            <w:r>
              <w:t>0.165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83" w:type="dxa"/>
            <w:noWrap/>
            <w:vAlign w:val="center"/>
          </w:tcPr>
          <w:p>
            <w:pPr>
              <w:pStyle w:val="2691"/>
            </w:pPr>
            <w:r>
              <w:t>1</w:t>
            </w:r>
          </w:p>
        </w:tc>
        <w:tc>
          <w:tcPr>
            <w:tcW w:w="2463" w:type="dxa"/>
            <w:noWrap/>
            <w:vAlign w:val="center"/>
          </w:tcPr>
          <w:p>
            <w:pPr>
              <w:pStyle w:val="2691"/>
            </w:pPr>
            <w:r>
              <w:t>1600</w:t>
            </w:r>
          </w:p>
        </w:tc>
        <w:tc>
          <w:tcPr>
            <w:tcW w:w="2274" w:type="dxa"/>
            <w:noWrap/>
            <w:vAlign w:val="center"/>
          </w:tcPr>
          <w:p>
            <w:pPr>
              <w:pStyle w:val="2691"/>
            </w:pPr>
            <w:r>
              <w:t>全断面</w:t>
            </w:r>
          </w:p>
        </w:tc>
        <w:tc>
          <w:tcPr>
            <w:tcW w:w="2254" w:type="dxa"/>
            <w:noWrap/>
            <w:vAlign w:val="center"/>
          </w:tcPr>
          <w:p>
            <w:pPr>
              <w:pStyle w:val="2691"/>
            </w:pPr>
            <w:r>
              <w:t>0.434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83" w:type="dxa"/>
            <w:noWrap/>
            <w:vAlign w:val="center"/>
          </w:tcPr>
          <w:p>
            <w:pPr>
              <w:pStyle w:val="2691"/>
            </w:pPr>
            <w:r>
              <w:t>0.5</w:t>
            </w:r>
          </w:p>
        </w:tc>
        <w:tc>
          <w:tcPr>
            <w:tcW w:w="2463" w:type="dxa"/>
            <w:noWrap/>
            <w:vAlign w:val="center"/>
          </w:tcPr>
          <w:p>
            <w:pPr>
              <w:pStyle w:val="2691"/>
            </w:pPr>
            <w:r>
              <w:t>2295</w:t>
            </w:r>
          </w:p>
        </w:tc>
        <w:tc>
          <w:tcPr>
            <w:tcW w:w="2274" w:type="dxa"/>
            <w:noWrap/>
            <w:vAlign w:val="center"/>
          </w:tcPr>
          <w:p>
            <w:pPr>
              <w:pStyle w:val="2691"/>
            </w:pPr>
            <w:r>
              <w:t>全断面</w:t>
            </w:r>
          </w:p>
        </w:tc>
        <w:tc>
          <w:tcPr>
            <w:tcW w:w="2254" w:type="dxa"/>
            <w:noWrap/>
            <w:vAlign w:val="center"/>
          </w:tcPr>
          <w:p>
            <w:pPr>
              <w:pStyle w:val="2691"/>
            </w:pPr>
            <w:r>
              <w:t>0.623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83" w:type="dxa"/>
            <w:noWrap/>
            <w:vAlign w:val="center"/>
          </w:tcPr>
          <w:p>
            <w:pPr>
              <w:pStyle w:val="2691"/>
            </w:pPr>
            <w:r>
              <w:t>0.1</w:t>
            </w:r>
          </w:p>
        </w:tc>
        <w:tc>
          <w:tcPr>
            <w:tcW w:w="2463" w:type="dxa"/>
            <w:noWrap/>
            <w:vAlign w:val="center"/>
          </w:tcPr>
          <w:p>
            <w:pPr>
              <w:pStyle w:val="2691"/>
            </w:pPr>
            <w:r>
              <w:t>3097</w:t>
            </w:r>
          </w:p>
        </w:tc>
        <w:tc>
          <w:tcPr>
            <w:tcW w:w="2274" w:type="dxa"/>
            <w:noWrap/>
            <w:vAlign w:val="center"/>
          </w:tcPr>
          <w:p>
            <w:pPr>
              <w:pStyle w:val="2691"/>
            </w:pPr>
            <w:r>
              <w:t>全断面</w:t>
            </w:r>
          </w:p>
        </w:tc>
        <w:tc>
          <w:tcPr>
            <w:tcW w:w="2254" w:type="dxa"/>
            <w:noWrap/>
            <w:vAlign w:val="center"/>
          </w:tcPr>
          <w:p>
            <w:pPr>
              <w:pStyle w:val="2691"/>
            </w:pPr>
            <w:r>
              <w:t>0.839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83" w:type="dxa"/>
            <w:noWrap/>
            <w:vAlign w:val="center"/>
          </w:tcPr>
          <w:p>
            <w:pPr>
              <w:pStyle w:val="2691"/>
            </w:pPr>
            <w:r>
              <w:t>达到背景值</w:t>
            </w:r>
          </w:p>
        </w:tc>
        <w:tc>
          <w:tcPr>
            <w:tcW w:w="2463" w:type="dxa"/>
            <w:noWrap/>
            <w:vAlign w:val="center"/>
          </w:tcPr>
          <w:p>
            <w:pPr>
              <w:pStyle w:val="2691"/>
            </w:pPr>
            <w:r>
              <w:t>4022</w:t>
            </w:r>
          </w:p>
        </w:tc>
        <w:tc>
          <w:tcPr>
            <w:tcW w:w="2274" w:type="dxa"/>
            <w:noWrap/>
            <w:vAlign w:val="center"/>
          </w:tcPr>
          <w:p>
            <w:pPr>
              <w:pStyle w:val="2691"/>
            </w:pPr>
            <w:r>
              <w:t>-</w:t>
            </w:r>
          </w:p>
        </w:tc>
        <w:tc>
          <w:tcPr>
            <w:tcW w:w="2254" w:type="dxa"/>
            <w:noWrap/>
            <w:vAlign w:val="center"/>
          </w:tcPr>
          <w:p>
            <w:pPr>
              <w:pStyle w:val="2691"/>
            </w:pPr>
            <w:r>
              <w:t>-</w:t>
            </w:r>
          </w:p>
        </w:tc>
      </w:tr>
    </w:tbl>
    <w:p>
      <w:pPr>
        <w:ind w:firstLine="480"/>
        <w:textAlignment w:val="baseline"/>
        <w:rPr>
          <w:kern w:val="10"/>
        </w:rPr>
      </w:pPr>
      <w:r>
        <w:rPr>
          <w:kern w:val="10"/>
        </w:rPr>
        <w:t>本项目疏浚</w:t>
      </w:r>
      <w:r>
        <w:t>地表水体为长江干流岳阳段，属于《地表水环境质量标准》（GB3838-2002）中Ⅲ类水体，评价范围内的地表水功能为渔业用水区。</w:t>
      </w:r>
    </w:p>
    <w:p>
      <w:pPr>
        <w:ind w:firstLine="480"/>
        <w:textAlignment w:val="baseline"/>
        <w:rPr>
          <w:kern w:val="10"/>
        </w:rPr>
      </w:pPr>
      <w:r>
        <w:rPr>
          <w:kern w:val="10"/>
        </w:rPr>
        <w:t>根据《渔业水质标准》（GB11607-89）要求，人为原因引起的SS浓度要求不大于10mg/L，而根据预测结果，本工程疏浚工程SS大于10mg/L的范围仅出现在作业点下游长186m、宽176m的一个水域范围内。而在下游4022m处可恢复背景值。水流为单向流，因此施工再悬浮泥沙对河流SS的影响仅局限于作业点下游河段。以上计算是在未设置防污幕帘的条件下预测而得。</w:t>
      </w:r>
    </w:p>
    <w:p>
      <w:pPr>
        <w:ind w:firstLine="480"/>
        <w:textAlignment w:val="baseline"/>
        <w:rPr>
          <w:kern w:val="10"/>
        </w:rPr>
      </w:pPr>
      <w:r>
        <w:rPr>
          <w:kern w:val="10"/>
        </w:rPr>
        <w:t>若施工时在下游100m处布设防泥幕帘，以拦截悬浮泥沙，设置防泥幕帘后。水中的SS质量浓度急剧减少。然后迅速恢复至其背景浓度。根据资料《河道疏浚工程悬浮物影响预测模型》可知，由于防泥幕帘的拦截，幕帘下游部分断面的SS质量浓度甚至小于其背景值，但由于床面泥沙冲刷补给，又恢复至其背景值，这种情况符合SS在水流中运动的真实情形。</w:t>
      </w:r>
      <w:r>
        <w:t>旱季施工点下游1000m处的SS质量浓度不增加；雨季施工点下游1000m处的SS质量浓度降低为11.36%</w:t>
      </w:r>
      <w:r>
        <w:rPr>
          <w:kern w:val="10"/>
        </w:rPr>
        <w:t>。</w:t>
      </w:r>
    </w:p>
    <w:p>
      <w:pPr>
        <w:ind w:firstLine="480"/>
      </w:pPr>
      <w:r>
        <w:rPr>
          <w:kern w:val="10"/>
        </w:rPr>
        <w:t>综上所述，疏浚工程在空间上来看对当地水环境的影响是局部的，不会影响到下游的重要敏感点，从影响时间上来看其持续时间是短暂的，会随着施工期的结束而逐渐减弱最后消失。</w:t>
      </w:r>
    </w:p>
    <w:p>
      <w:pPr>
        <w:ind w:firstLine="480"/>
      </w:pPr>
      <w:r>
        <w:rPr>
          <w:rFonts w:hint="eastAsia"/>
        </w:rPr>
        <w:t>（</w:t>
      </w:r>
      <w:r>
        <w:t>4</w:t>
      </w:r>
      <w:r>
        <w:rPr>
          <w:rFonts w:hint="eastAsia"/>
        </w:rPr>
        <w:t>）疏浚淤泥产生的泥浆水环境影响分析</w:t>
      </w:r>
    </w:p>
    <w:p>
      <w:pPr>
        <w:ind w:firstLine="480"/>
      </w:pPr>
      <w:r>
        <w:rPr>
          <w:rFonts w:hint="eastAsia"/>
        </w:rPr>
        <w:t>本项目疏浚工程采用绞吸式挖泥船进行疏浚，疏浚淤泥含水率较高为</w:t>
      </w:r>
      <w:r>
        <w:t>90%</w:t>
      </w:r>
      <w:r>
        <w:rPr>
          <w:rFonts w:hint="eastAsia"/>
        </w:rPr>
        <w:t>以上，可采用板框压滤机压滤脱水，形成含水率低于</w:t>
      </w:r>
      <w:r>
        <w:t>40%</w:t>
      </w:r>
      <w:r>
        <w:rPr>
          <w:rFonts w:hint="eastAsia"/>
        </w:rPr>
        <w:t>的泥饼，泥饼含水率较低，</w:t>
      </w:r>
      <w:r>
        <w:rPr>
          <w:rFonts w:hint="eastAsia"/>
          <w:kern w:val="0"/>
          <w:lang w:val="en-US" w:eastAsia="zh-CN"/>
        </w:rPr>
        <w:t>堆置在铺设有防渗薄膜的后方临时堆场经过自然干化处理后</w:t>
      </w:r>
      <w:r>
        <w:rPr>
          <w:rFonts w:hint="eastAsia"/>
        </w:rPr>
        <w:t>可作为工程回填土，实现资源再利用（参考《河道底泥环保疏浚方式及处理方案研究》余灿）。本项目疏浚淤泥含水率按</w:t>
      </w:r>
      <w:r>
        <w:t>90%</w:t>
      </w:r>
      <w:r>
        <w:rPr>
          <w:rFonts w:hint="eastAsia"/>
        </w:rPr>
        <w:t>计，泥饼含水率按照</w:t>
      </w:r>
      <w:r>
        <w:t>40%</w:t>
      </w:r>
      <w:r>
        <w:rPr>
          <w:rFonts w:hint="eastAsia"/>
        </w:rPr>
        <w:t>计，则疏浚淤泥产生的废水量为</w:t>
      </w:r>
      <w:r>
        <w:t>14.17</w:t>
      </w:r>
      <w:r>
        <w:rPr>
          <w:rFonts w:hint="eastAsia"/>
        </w:rPr>
        <w:t>万</w:t>
      </w:r>
      <w:r>
        <w:t>m</w:t>
      </w:r>
      <w:r>
        <w:rPr>
          <w:vertAlign w:val="superscript"/>
        </w:rPr>
        <w:t>3</w:t>
      </w:r>
      <w:r>
        <w:rPr>
          <w:rFonts w:hint="eastAsia"/>
        </w:rPr>
        <w:t>。</w:t>
      </w:r>
      <w:r>
        <w:rPr>
          <w:rFonts w:hint="eastAsia"/>
          <w:lang w:val="en-US" w:eastAsia="zh-CN"/>
        </w:rPr>
        <w:t>项目堆存过程铺设有防渗薄膜，四周设置排水沟，自然干化过程中产生的废水和</w:t>
      </w:r>
      <w:r>
        <w:rPr>
          <w:rFonts w:hint="eastAsia"/>
        </w:rPr>
        <w:t>疏浚淤泥脱水过程中产生的</w:t>
      </w:r>
      <w:r>
        <w:rPr>
          <w:rFonts w:hint="eastAsia"/>
          <w:lang w:val="en-US" w:eastAsia="zh-CN"/>
        </w:rPr>
        <w:t>废水</w:t>
      </w:r>
      <w:r>
        <w:rPr>
          <w:rFonts w:hint="eastAsia"/>
        </w:rPr>
        <w:t>通过在施工区设置的</w:t>
      </w:r>
      <w:r>
        <w:rPr>
          <w:rFonts w:hint="eastAsia"/>
          <w:lang w:val="en-US" w:eastAsia="zh-CN"/>
        </w:rPr>
        <w:t>沉淀池和</w:t>
      </w:r>
      <w:r>
        <w:rPr>
          <w:rFonts w:hint="eastAsia"/>
        </w:rPr>
        <w:t>储存池储存后，</w:t>
      </w:r>
      <w:r>
        <w:rPr>
          <w:rFonts w:hint="eastAsia"/>
          <w:lang w:val="en-US" w:eastAsia="zh-CN"/>
        </w:rPr>
        <w:t>部分可回</w:t>
      </w:r>
      <w:r>
        <w:rPr>
          <w:rFonts w:hint="eastAsia"/>
        </w:rPr>
        <w:t>用</w:t>
      </w:r>
      <w:r>
        <w:rPr>
          <w:rFonts w:hint="eastAsia"/>
          <w:lang w:val="en-US" w:eastAsia="zh-CN"/>
        </w:rPr>
        <w:t>于</w:t>
      </w:r>
      <w:r>
        <w:rPr>
          <w:rFonts w:hint="eastAsia"/>
        </w:rPr>
        <w:t>施工生产用水和施工区域洒水降尘，其余部分</w:t>
      </w:r>
      <w:r>
        <w:rPr>
          <w:rFonts w:hint="eastAsia"/>
          <w:lang w:val="en-US" w:eastAsia="zh-CN"/>
        </w:rPr>
        <w:t>用罐车托运至城陵矶污水处理厂进行处理</w:t>
      </w:r>
      <w:r>
        <w:rPr>
          <w:rFonts w:hint="eastAsia"/>
        </w:rPr>
        <w:t>。</w:t>
      </w:r>
      <w:r>
        <w:rPr>
          <w:rFonts w:hint="eastAsia"/>
          <w:lang w:val="en-US" w:eastAsia="zh-CN"/>
        </w:rPr>
        <w:t>不会对周围水环境产生影响</w:t>
      </w:r>
      <w:r>
        <w:rPr>
          <w:rFonts w:hint="eastAsia"/>
        </w:rPr>
        <w:t>。</w:t>
      </w:r>
    </w:p>
    <w:p>
      <w:pPr>
        <w:pStyle w:val="456"/>
        <w:ind w:firstLine="482"/>
      </w:pPr>
      <w:r>
        <w:t>施工船舶污水环境影响分析</w:t>
      </w:r>
    </w:p>
    <w:p>
      <w:pPr>
        <w:ind w:firstLine="480"/>
      </w:pPr>
      <w:r>
        <w:t>根据《水运工程建设项目环境影响评价指南》（JTS/T 105-2021）和《船舶水污染物内河港口岸上接收设施设计指南》（JTS/T 175-2019）有关规定，船舶应设置与船舶污水、生活污水发生量相当的储存容器，由容器收集至沿岸港口，依托现有污水设施处理排放，或由有资质的单位接收处理，不得在本港区排放。鉴于本项目位于洞庭湖口铜鱼短颌鲚国家级水产种质资源保护区，工程施工期间禁止施工船舶在码头水域排放船舶废水，项目船舶生活污水和含油废水经施工单位负责交海事部门环保船接收处理，不外排，不会对周边水环境造成影响。建设单位在施工招标时，应明确施工单位落实船舶油污水处理责任。</w:t>
      </w:r>
    </w:p>
    <w:p>
      <w:pPr>
        <w:pStyle w:val="456"/>
        <w:ind w:firstLine="482"/>
      </w:pPr>
      <w:r>
        <w:t>施工人员生活污水环境影响分析</w:t>
      </w:r>
    </w:p>
    <w:p>
      <w:pPr>
        <w:ind w:firstLine="480"/>
      </w:pPr>
      <w:r>
        <w:t xml:space="preserve">施工人员租用附近民宅作为办公休息地点，生活污水依托已有排水系统，可避免临时施工营地生活污水排放带来的污染影响。 </w:t>
      </w:r>
    </w:p>
    <w:p>
      <w:pPr>
        <w:ind w:firstLine="480"/>
        <w:rPr>
          <w:bCs/>
        </w:rPr>
      </w:pPr>
      <w:r>
        <w:rPr>
          <w:bCs/>
        </w:rPr>
        <w:t>综上所述，施工期污水由于量小且较为分散，可以通过加强施工管理、充分利用各种污水处理设施来减轻其不利影响，其给环境带来的影响是局部的、短期的、可逆的、 一般性的，一旦施工结束，影响也将很快消除。</w:t>
      </w:r>
    </w:p>
    <w:p>
      <w:pPr>
        <w:pStyle w:val="454"/>
        <w:ind w:firstLine="602"/>
        <w:rPr>
          <w:color w:val="auto"/>
        </w:rPr>
      </w:pPr>
      <w:r>
        <w:rPr>
          <w:color w:val="auto"/>
        </w:rPr>
        <w:t>运营期地表水环境影响预测与评价</w:t>
      </w:r>
    </w:p>
    <w:p>
      <w:pPr>
        <w:ind w:firstLine="480"/>
      </w:pPr>
      <w:r>
        <w:rPr>
          <w:bCs/>
        </w:rPr>
        <w:t>根据工程分析可知，本项目产生的废水主要为船舶废水（船舶舱底油污水、船舶生活污水）</w:t>
      </w:r>
      <w:r>
        <w:rPr>
          <w:rFonts w:hint="eastAsia"/>
          <w:bCs/>
        </w:rPr>
        <w:t>、生产废水（地面</w:t>
      </w:r>
      <w:r>
        <w:rPr>
          <w:bCs/>
        </w:rPr>
        <w:t>冲洗废水、流动机械冲洗废水</w:t>
      </w:r>
      <w:r>
        <w:rPr>
          <w:rFonts w:hint="eastAsia"/>
          <w:bCs/>
        </w:rPr>
        <w:t>、</w:t>
      </w:r>
      <w:r>
        <w:rPr>
          <w:bCs/>
        </w:rPr>
        <w:t>初期雨水</w:t>
      </w:r>
      <w:r>
        <w:rPr>
          <w:rFonts w:hint="eastAsia"/>
          <w:bCs/>
        </w:rPr>
        <w:t>）</w:t>
      </w:r>
      <w:r>
        <w:rPr>
          <w:bCs/>
        </w:rPr>
        <w:t>和生活污水。</w:t>
      </w:r>
    </w:p>
    <w:p>
      <w:pPr>
        <w:pStyle w:val="456"/>
        <w:ind w:firstLine="482"/>
      </w:pPr>
      <w:r>
        <w:t>船舶废水环境影响分析</w:t>
      </w:r>
    </w:p>
    <w:p>
      <w:pPr>
        <w:ind w:firstLine="468"/>
      </w:pPr>
      <w:r>
        <w:t>根据工程分析可知，本项目全年船舶舱底油污水产生量为</w:t>
      </w:r>
      <w:r>
        <w:rPr>
          <w:kern w:val="0"/>
        </w:rPr>
        <w:t xml:space="preserve">10040.8 </w:t>
      </w:r>
      <w:r>
        <w:t xml:space="preserve">t/a，其含油浓度为5000 </w:t>
      </w:r>
      <w:r>
        <w:rPr>
          <w:spacing w:val="-1"/>
        </w:rPr>
        <w:t>m</w:t>
      </w:r>
      <w:r>
        <w:t>g/L，</w:t>
      </w:r>
      <w:r>
        <w:rPr>
          <w:spacing w:val="-3"/>
          <w:szCs w:val="22"/>
        </w:rPr>
        <w:t>石油类产生量为50.204 t/a</w:t>
      </w:r>
      <w:r>
        <w:t>；项目船舶生活污水产生量</w:t>
      </w:r>
      <w:r>
        <w:rPr>
          <w:spacing w:val="-61"/>
        </w:rPr>
        <w:t xml:space="preserve"> </w:t>
      </w:r>
      <w:r>
        <w:rPr>
          <w:spacing w:val="-3"/>
          <w:szCs w:val="22"/>
        </w:rPr>
        <w:t xml:space="preserve">814.44 </w:t>
      </w:r>
      <w:r>
        <w:rPr>
          <w:spacing w:val="-2"/>
        </w:rPr>
        <w:t>m</w:t>
      </w:r>
      <w:r>
        <w:rPr>
          <w:position w:val="9"/>
          <w:sz w:val="16"/>
          <w:szCs w:val="16"/>
        </w:rPr>
        <w:t>3</w:t>
      </w:r>
      <w:r>
        <w:t>/a</w:t>
      </w:r>
      <w:r>
        <w:rPr>
          <w:rFonts w:hint="eastAsia"/>
          <w:lang w:eastAsia="zh-CN"/>
        </w:rPr>
        <w:t>，</w:t>
      </w:r>
      <w:r>
        <w:t>不得在航道内随意排放未经处理的船舶舱底油污水和船舶生活污水。</w:t>
      </w:r>
    </w:p>
    <w:p>
      <w:pPr>
        <w:widowControl/>
        <w:ind w:firstLine="480"/>
      </w:pPr>
      <w:r>
        <w:t>本项目</w:t>
      </w:r>
      <w:r>
        <w:rPr>
          <w:spacing w:val="-3"/>
          <w:szCs w:val="22"/>
        </w:rPr>
        <w:t>到港船舶油污水和生活污水</w:t>
      </w:r>
      <w:r>
        <w:rPr>
          <w:rFonts w:hint="eastAsia" w:ascii="Times New Roman" w:hAnsi="Times New Roman" w:cs="Times New Roman" w:eastAsiaTheme="minorEastAsia"/>
          <w:kern w:val="2"/>
          <w:sz w:val="24"/>
          <w:szCs w:val="24"/>
          <w:lang w:val="en-US" w:eastAsia="zh-CN" w:bidi="ar"/>
        </w:rPr>
        <w:t>上岸进入港区专用</w:t>
      </w:r>
      <w:r>
        <w:rPr>
          <w:rFonts w:hint="eastAsia" w:cs="Times New Roman" w:eastAsiaTheme="minorEastAsia"/>
          <w:kern w:val="2"/>
          <w:sz w:val="24"/>
          <w:szCs w:val="24"/>
          <w:lang w:val="en-US" w:eastAsia="zh-CN" w:bidi="ar"/>
        </w:rPr>
        <w:t>接收装置</w:t>
      </w:r>
      <w:r>
        <w:rPr>
          <w:rFonts w:hint="eastAsia" w:ascii="Times New Roman" w:hAnsi="Times New Roman" w:cs="Times New Roman" w:eastAsiaTheme="minorEastAsia"/>
          <w:kern w:val="2"/>
          <w:sz w:val="24"/>
          <w:szCs w:val="24"/>
          <w:lang w:val="en-US" w:eastAsia="zh-CN" w:bidi="ar"/>
        </w:rPr>
        <w:t>，</w:t>
      </w:r>
      <w:r>
        <w:rPr>
          <w:spacing w:val="-3"/>
          <w:szCs w:val="22"/>
        </w:rPr>
        <w:t>申请海事部门的环保工作船进行专业收集处理。</w:t>
      </w:r>
      <w:r>
        <w:t>营运期海事部门应加强对航道内船舶污水的管理</w:t>
      </w:r>
      <w:r>
        <w:rPr>
          <w:spacing w:val="-27"/>
        </w:rPr>
        <w:t>，</w:t>
      </w:r>
      <w:r>
        <w:t>只要管理到位</w:t>
      </w:r>
      <w:r>
        <w:rPr>
          <w:spacing w:val="-27"/>
        </w:rPr>
        <w:t>，</w:t>
      </w:r>
      <w:r>
        <w:t>船舶污水基本不会对长江水环境造成污染影响。</w:t>
      </w:r>
    </w:p>
    <w:p>
      <w:pPr>
        <w:pStyle w:val="456"/>
        <w:ind w:firstLine="482"/>
      </w:pPr>
      <w:r>
        <w:rPr>
          <w:rFonts w:hint="eastAsia"/>
        </w:rPr>
        <w:t>生产废水</w:t>
      </w:r>
      <w:r>
        <w:t>环境影响分析</w:t>
      </w:r>
    </w:p>
    <w:p>
      <w:pPr>
        <w:ind w:firstLine="480"/>
      </w:pPr>
      <w:r>
        <w:t>本项目地面冲洗废水排放量为1393.42 m</w:t>
      </w:r>
      <w:r>
        <w:rPr>
          <w:vertAlign w:val="superscript"/>
        </w:rPr>
        <w:t>3</w:t>
      </w:r>
      <w:r>
        <w:t>/a，主要污染物为SS，浓度为1000 mg/L，SS产生量约1.39 t/a；</w:t>
      </w:r>
      <w:r>
        <w:rPr>
          <w:rFonts w:hint="eastAsia"/>
          <w:spacing w:val="-3"/>
          <w:szCs w:val="22"/>
        </w:rPr>
        <w:t>流动机械冲洗废水</w:t>
      </w:r>
      <w:r>
        <w:t>排放量为</w:t>
      </w:r>
      <w:r>
        <w:rPr>
          <w:bCs/>
        </w:rPr>
        <w:t xml:space="preserve">1782 </w:t>
      </w:r>
      <w:r>
        <w:t>m</w:t>
      </w:r>
      <w:r>
        <w:rPr>
          <w:vertAlign w:val="superscript"/>
        </w:rPr>
        <w:t>3</w:t>
      </w:r>
      <w:r>
        <w:t>/a，主要污染物为SS</w:t>
      </w:r>
      <w:r>
        <w:rPr>
          <w:bCs/>
        </w:rPr>
        <w:t>和石油类</w:t>
      </w:r>
      <w:r>
        <w:t>，</w:t>
      </w:r>
      <w:r>
        <w:rPr>
          <w:bCs/>
        </w:rPr>
        <w:t>浓度分别为50mg/L和200mg/L</w:t>
      </w:r>
      <w:r>
        <w:rPr>
          <w:rFonts w:hint="eastAsia"/>
          <w:bCs/>
        </w:rPr>
        <w:t>，</w:t>
      </w:r>
      <w:r>
        <w:rPr>
          <w:bCs/>
        </w:rPr>
        <w:t>产生量分布为</w:t>
      </w:r>
      <w:r>
        <w:t>0.09t/a和0.36t/a</w:t>
      </w:r>
      <w:r>
        <w:rPr>
          <w:rFonts w:hint="eastAsia"/>
          <w:spacing w:val="-3"/>
          <w:szCs w:val="22"/>
        </w:rPr>
        <w:t>；</w:t>
      </w:r>
      <w:r>
        <w:t>初期雨水量为704.44 m</w:t>
      </w:r>
      <w:r>
        <w:rPr>
          <w:vertAlign w:val="superscript"/>
        </w:rPr>
        <w:t>3</w:t>
      </w:r>
      <w:r>
        <w:t>/a，</w:t>
      </w:r>
      <w:r>
        <w:rPr>
          <w:spacing w:val="-3"/>
          <w:szCs w:val="22"/>
        </w:rPr>
        <w:t>主要污染物为SS，浓度约为1000 mg/L，则SS产生量约0.70 t/a</w:t>
      </w:r>
      <w:r>
        <w:t>。</w:t>
      </w:r>
    </w:p>
    <w:p>
      <w:pPr>
        <w:ind w:firstLine="480"/>
      </w:pPr>
      <w:r>
        <w:t>针对码头面</w:t>
      </w:r>
      <w:r>
        <w:rPr>
          <w:rFonts w:hint="eastAsia"/>
        </w:rPr>
        <w:t>冲洗废水和初期雨水主要污染因子均为S</w:t>
      </w:r>
      <w:r>
        <w:t>S</w:t>
      </w:r>
      <w:r>
        <w:rPr>
          <w:rFonts w:hint="eastAsia"/>
        </w:rPr>
        <w:t>，</w:t>
      </w:r>
      <w:r>
        <w:t>设计考虑在码头</w:t>
      </w:r>
      <w:r>
        <w:rPr>
          <w:rFonts w:hint="eastAsia"/>
        </w:rPr>
        <w:t>四周设置排水沟，每个泊位设</w:t>
      </w:r>
      <w:r>
        <w:t>1</w:t>
      </w:r>
      <w:r>
        <w:rPr>
          <w:rFonts w:hint="eastAsia"/>
        </w:rPr>
        <w:t>个污水收集池，收集</w:t>
      </w:r>
      <w:r>
        <w:t>池内设置2台潜污泵（一用一备），码头面</w:t>
      </w:r>
      <w:r>
        <w:rPr>
          <w:rFonts w:hint="eastAsia"/>
        </w:rPr>
        <w:t>冲洗废水和初期雨水</w:t>
      </w:r>
      <w:r>
        <w:t>由码头面排水沟收集到污水收集池后，经污水泵加压通过码头设置的污水管道</w:t>
      </w:r>
      <w:r>
        <w:rPr>
          <w:rFonts w:hint="eastAsia"/>
        </w:rPr>
        <w:t>运</w:t>
      </w:r>
      <w:r>
        <w:t>至陆域</w:t>
      </w:r>
      <w:r>
        <w:rPr>
          <w:spacing w:val="4"/>
        </w:rPr>
        <w:t>进行处理利用</w:t>
      </w:r>
      <w:r>
        <w:rPr>
          <w:rFonts w:hint="eastAsia"/>
          <w:spacing w:val="4"/>
        </w:rPr>
        <w:t>，</w:t>
      </w:r>
      <w:r>
        <w:rPr>
          <w:spacing w:val="4"/>
        </w:rPr>
        <w:t>不外排</w:t>
      </w:r>
      <w:r>
        <w:t>。</w:t>
      </w:r>
    </w:p>
    <w:p>
      <w:pPr>
        <w:ind w:firstLine="480"/>
        <w:rPr>
          <w:color w:val="FF0000"/>
        </w:rPr>
      </w:pPr>
      <w:r>
        <w:rPr>
          <w:color w:val="FF0000"/>
        </w:rPr>
        <w:t>本项目</w:t>
      </w:r>
      <w:r>
        <w:rPr>
          <w:rFonts w:hint="eastAsia"/>
          <w:color w:val="FF0000"/>
          <w:lang w:val="en-US" w:eastAsia="zh-CN"/>
        </w:rPr>
        <w:t>皮带</w:t>
      </w:r>
      <w:r>
        <w:rPr>
          <w:color w:val="FF0000"/>
        </w:rPr>
        <w:t>廊道为全封闭式</w:t>
      </w:r>
      <w:r>
        <w:rPr>
          <w:rFonts w:hint="eastAsia"/>
          <w:color w:val="FF0000"/>
        </w:rPr>
        <w:t>，</w:t>
      </w:r>
      <w:r>
        <w:rPr>
          <w:color w:val="FF0000"/>
        </w:rPr>
        <w:t>故无需设置初期雨水收集措施</w:t>
      </w:r>
      <w:r>
        <w:rPr>
          <w:rFonts w:hint="eastAsia"/>
          <w:color w:val="FF0000"/>
        </w:rPr>
        <w:t>。</w:t>
      </w:r>
    </w:p>
    <w:p>
      <w:pPr>
        <w:ind w:firstLine="480"/>
        <w:rPr>
          <w:color w:val="FF0000"/>
        </w:rPr>
      </w:pPr>
      <w:r>
        <w:rPr>
          <w:color w:val="FF0000"/>
        </w:rPr>
        <w:t>码头引桥</w:t>
      </w:r>
      <w:r>
        <w:rPr>
          <w:rFonts w:hint="eastAsia"/>
          <w:color w:val="FF0000"/>
        </w:rPr>
        <w:t>设置径流收集装置，初期雨水经收集后，排入陆域堆场的沉淀池，沉淀处理后回用于散货</w:t>
      </w:r>
      <w:r>
        <w:rPr>
          <w:color w:val="FF0000"/>
        </w:rPr>
        <w:t>堆场和仓库喷洒降尘</w:t>
      </w:r>
      <w:r>
        <w:rPr>
          <w:rFonts w:hint="eastAsia"/>
          <w:color w:val="FF0000"/>
          <w:spacing w:val="4"/>
        </w:rPr>
        <w:t>，</w:t>
      </w:r>
      <w:r>
        <w:rPr>
          <w:color w:val="FF0000"/>
          <w:spacing w:val="4"/>
        </w:rPr>
        <w:t>不外排</w:t>
      </w:r>
      <w:r>
        <w:rPr>
          <w:color w:val="FF0000"/>
        </w:rPr>
        <w:t>。</w:t>
      </w:r>
    </w:p>
    <w:p>
      <w:pPr>
        <w:ind w:firstLine="480"/>
      </w:pPr>
      <w:r>
        <w:t>陆域</w:t>
      </w:r>
      <w:r>
        <w:rPr>
          <w:rFonts w:hint="eastAsia"/>
        </w:rPr>
        <w:t>冲洗废水和初期雨水经</w:t>
      </w:r>
      <w:r>
        <w:t>堆场外围四周排水沟收集后</w:t>
      </w:r>
      <w:r>
        <w:rPr>
          <w:rFonts w:hint="eastAsia"/>
        </w:rPr>
        <w:t>，</w:t>
      </w:r>
      <w:r>
        <w:t>接入调节沉淀池沉淀处理</w:t>
      </w:r>
      <w:r>
        <w:rPr>
          <w:rFonts w:hint="eastAsia"/>
        </w:rPr>
        <w:t>，</w:t>
      </w:r>
      <w:r>
        <w:t>后排入蓄水池回用于</w:t>
      </w:r>
      <w:r>
        <w:rPr>
          <w:rFonts w:hint="eastAsia"/>
        </w:rPr>
        <w:t>散货</w:t>
      </w:r>
      <w:r>
        <w:t>堆场</w:t>
      </w:r>
      <w:r>
        <w:rPr>
          <w:color w:val="FF0000"/>
        </w:rPr>
        <w:t>和仓库</w:t>
      </w:r>
      <w:r>
        <w:t>喷洒降尘</w:t>
      </w:r>
      <w:r>
        <w:rPr>
          <w:rFonts w:hint="eastAsia"/>
          <w:spacing w:val="4"/>
        </w:rPr>
        <w:t>，</w:t>
      </w:r>
      <w:r>
        <w:rPr>
          <w:spacing w:val="4"/>
        </w:rPr>
        <w:t>不外排</w:t>
      </w:r>
      <w:r>
        <w:t>。</w:t>
      </w:r>
    </w:p>
    <w:p>
      <w:pPr>
        <w:ind w:firstLine="480"/>
      </w:pPr>
      <w:r>
        <w:t>机械冲洗废水</w:t>
      </w:r>
      <w:r>
        <w:rPr>
          <w:rFonts w:hint="eastAsia"/>
        </w:rPr>
        <w:t>主要污染因子均为石油类和S</w:t>
      </w:r>
      <w:r>
        <w:t>S</w:t>
      </w:r>
      <w:r>
        <w:rPr>
          <w:rFonts w:hint="eastAsia"/>
        </w:rPr>
        <w:t>，故</w:t>
      </w:r>
      <w:r>
        <w:t>集中收集后</w:t>
      </w:r>
      <w:r>
        <w:rPr>
          <w:rFonts w:hint="eastAsia"/>
        </w:rPr>
        <w:t>，</w:t>
      </w:r>
      <w:r>
        <w:t>经油水分离器预处理后进入含尘污水处理间处理</w:t>
      </w:r>
      <w:r>
        <w:rPr>
          <w:rFonts w:hint="eastAsia"/>
        </w:rPr>
        <w:t>。</w:t>
      </w:r>
      <w:r>
        <w:rPr>
          <w:lang w:val="zh-CN"/>
        </w:rPr>
        <w:t>油水分离器产生的废油属危险固废，送有资质的危险废物接收回收处理。</w:t>
      </w:r>
    </w:p>
    <w:p>
      <w:pPr>
        <w:ind w:firstLine="496"/>
      </w:pPr>
      <w:r>
        <w:rPr>
          <w:spacing w:val="4"/>
        </w:rPr>
        <w:t>项目</w:t>
      </w:r>
      <w:r>
        <w:rPr>
          <w:rFonts w:hint="eastAsia"/>
        </w:rPr>
        <w:t>含尘废水</w:t>
      </w:r>
      <w:r>
        <w:t>处理工艺主要通过</w:t>
      </w:r>
      <w:r>
        <w:rPr>
          <w:bCs/>
        </w:rPr>
        <w:t>SD型高效</w:t>
      </w:r>
      <w:r>
        <w:t>沉淀装置去除其中的污染物SS</w:t>
      </w:r>
      <w:r>
        <w:rPr>
          <w:rFonts w:hint="eastAsia"/>
        </w:rPr>
        <w:t>，经处理后出水浓度</w:t>
      </w:r>
      <w:r>
        <w:t>≤70</w:t>
      </w:r>
      <w:r>
        <w:rPr>
          <w:bCs/>
        </w:rPr>
        <w:t xml:space="preserve"> mg/L</w:t>
      </w:r>
      <w:r>
        <w:rPr>
          <w:rFonts w:hint="eastAsia"/>
          <w:bCs/>
        </w:rPr>
        <w:t>，符合</w:t>
      </w:r>
      <w:r>
        <w:t>《污水综合排放标准》(GB8978-1996)</w:t>
      </w:r>
      <w:r>
        <w:rPr>
          <w:rFonts w:asciiTheme="minorEastAsia" w:hAnsiTheme="minorEastAsia" w:eastAsiaTheme="minorEastAsia"/>
        </w:rPr>
        <w:t>“</w:t>
      </w:r>
      <w:r>
        <w:t>一级标准</w:t>
      </w:r>
      <w:r>
        <w:rPr>
          <w:rFonts w:asciiTheme="minorEastAsia" w:hAnsiTheme="minorEastAsia" w:eastAsiaTheme="minorEastAsia"/>
        </w:rPr>
        <w:t>”</w:t>
      </w:r>
      <w:r>
        <w:t>中的相应标准</w:t>
      </w:r>
      <w:r>
        <w:rPr>
          <w:rFonts w:hint="eastAsia"/>
        </w:rPr>
        <w:t>（</w:t>
      </w:r>
      <w:r>
        <w:t>《城市污水再生利用城市杂用水水质》(GB/T18920-2020)中未对回用于</w:t>
      </w:r>
      <w:r>
        <w:rPr>
          <w:rFonts w:hint="eastAsia"/>
        </w:rPr>
        <w:t>散货</w:t>
      </w:r>
      <w:r>
        <w:t>场喷淋的回用水水质作出规定，因此采用《污水综合排放标准》(GB8978-1996)</w:t>
      </w:r>
      <w:r>
        <w:rPr>
          <w:rFonts w:asciiTheme="minorEastAsia" w:hAnsiTheme="minorEastAsia" w:eastAsiaTheme="minorEastAsia"/>
        </w:rPr>
        <w:t>“</w:t>
      </w:r>
      <w:r>
        <w:t>一级标准</w:t>
      </w:r>
      <w:r>
        <w:rPr>
          <w:rFonts w:asciiTheme="minorEastAsia" w:hAnsiTheme="minorEastAsia" w:eastAsiaTheme="minorEastAsia"/>
        </w:rPr>
        <w:t>”</w:t>
      </w:r>
      <w:r>
        <w:t>中的相应标准</w:t>
      </w:r>
      <w:r>
        <w:rPr>
          <w:rFonts w:hint="eastAsia"/>
        </w:rPr>
        <w:t>）</w:t>
      </w:r>
      <w:r>
        <w:rPr>
          <w:rFonts w:hint="eastAsia"/>
          <w:bCs/>
        </w:rPr>
        <w:t>。</w:t>
      </w:r>
    </w:p>
    <w:p>
      <w:pPr>
        <w:ind w:firstLine="480"/>
        <w:rPr>
          <w:position w:val="1"/>
        </w:rPr>
      </w:pPr>
      <w:r>
        <w:rPr>
          <w:position w:val="1"/>
        </w:rPr>
        <w:t>综上所述，本项目废水均得到有效处理。</w:t>
      </w:r>
    </w:p>
    <w:p>
      <w:pPr>
        <w:pStyle w:val="456"/>
        <w:ind w:firstLine="482"/>
      </w:pPr>
      <w:r>
        <w:rPr>
          <w:rFonts w:hint="eastAsia"/>
        </w:rPr>
        <w:t>生活</w:t>
      </w:r>
      <w:r>
        <w:t>污水环境影响分析</w:t>
      </w:r>
    </w:p>
    <w:p>
      <w:pPr>
        <w:pStyle w:val="2133"/>
        <w:spacing w:line="360" w:lineRule="auto"/>
        <w:rPr>
          <w:rFonts w:hint="eastAsia" w:cs="Times New Roman"/>
        </w:rPr>
      </w:pPr>
      <w:r>
        <w:rPr>
          <w:rFonts w:hint="eastAsia" w:cs="Times New Roman"/>
        </w:rPr>
        <w:t>本项目员工生活污水产生量为</w:t>
      </w:r>
      <w:r>
        <w:rPr>
          <w:rFonts w:cs="Times New Roman"/>
        </w:rPr>
        <w:t>9002.4m</w:t>
      </w:r>
      <w:r>
        <w:rPr>
          <w:rFonts w:cs="Times New Roman"/>
          <w:vertAlign w:val="superscript"/>
        </w:rPr>
        <w:t>3</w:t>
      </w:r>
      <w:r>
        <w:rPr>
          <w:rFonts w:cs="Times New Roman"/>
        </w:rPr>
        <w:t>/a</w:t>
      </w:r>
      <w:r>
        <w:rPr>
          <w:rFonts w:hint="eastAsia" w:cs="Times New Roman"/>
        </w:rPr>
        <w:t>，污水中</w:t>
      </w:r>
      <w:r>
        <w:rPr>
          <w:rFonts w:cs="Times New Roman"/>
        </w:rPr>
        <w:t>COD</w:t>
      </w:r>
      <w:r>
        <w:rPr>
          <w:rFonts w:hint="eastAsia" w:cs="Times New Roman"/>
        </w:rPr>
        <w:t>、</w:t>
      </w:r>
      <w:r>
        <w:rPr>
          <w:rFonts w:cs="Times New Roman"/>
        </w:rPr>
        <w:t>BOD</w:t>
      </w:r>
      <w:r>
        <w:rPr>
          <w:rFonts w:cs="Times New Roman"/>
          <w:vertAlign w:val="subscript"/>
        </w:rPr>
        <w:t>5</w:t>
      </w:r>
      <w:r>
        <w:rPr>
          <w:rFonts w:hint="eastAsia" w:cs="Times New Roman"/>
        </w:rPr>
        <w:t>、</w:t>
      </w:r>
      <w:r>
        <w:rPr>
          <w:rFonts w:cs="Times New Roman"/>
        </w:rPr>
        <w:t>SS</w:t>
      </w:r>
      <w:r>
        <w:rPr>
          <w:rFonts w:hint="eastAsia" w:cs="Times New Roman"/>
        </w:rPr>
        <w:t>、</w:t>
      </w:r>
      <w:r>
        <w:rPr>
          <w:rFonts w:cs="Times New Roman"/>
        </w:rPr>
        <w:t>NH</w:t>
      </w:r>
      <w:r>
        <w:rPr>
          <w:rFonts w:cs="Times New Roman"/>
          <w:vertAlign w:val="subscript"/>
        </w:rPr>
        <w:t>3</w:t>
      </w:r>
      <w:r>
        <w:rPr>
          <w:rFonts w:cs="Times New Roman"/>
        </w:rPr>
        <w:t>-N</w:t>
      </w:r>
      <w:r>
        <w:rPr>
          <w:rFonts w:hint="eastAsia" w:cs="Times New Roman"/>
        </w:rPr>
        <w:t>浓度分别约为</w:t>
      </w:r>
      <w:r>
        <w:rPr>
          <w:rFonts w:cs="Times New Roman"/>
        </w:rPr>
        <w:t>350mg/L</w:t>
      </w:r>
      <w:r>
        <w:rPr>
          <w:rFonts w:hint="eastAsia" w:cs="Times New Roman"/>
        </w:rPr>
        <w:t>、</w:t>
      </w:r>
      <w:r>
        <w:rPr>
          <w:rFonts w:cs="Times New Roman"/>
        </w:rPr>
        <w:t>250mg/L</w:t>
      </w:r>
      <w:r>
        <w:rPr>
          <w:rFonts w:hint="eastAsia" w:cs="Times New Roman"/>
        </w:rPr>
        <w:t>、</w:t>
      </w:r>
      <w:r>
        <w:rPr>
          <w:rFonts w:cs="Times New Roman"/>
        </w:rPr>
        <w:t>400mg/L</w:t>
      </w:r>
      <w:r>
        <w:rPr>
          <w:rFonts w:hint="eastAsia" w:cs="Times New Roman"/>
        </w:rPr>
        <w:t>、</w:t>
      </w:r>
      <w:r>
        <w:rPr>
          <w:rFonts w:cs="Times New Roman"/>
        </w:rPr>
        <w:t>40mg/L，</w:t>
      </w:r>
      <w:r>
        <w:rPr>
          <w:rFonts w:hint="eastAsia" w:cs="Times New Roman"/>
        </w:rPr>
        <w:t>拟采用化粪池处理后接入市政污水管网，不外排。</w:t>
      </w:r>
    </w:p>
    <w:p>
      <w:pPr>
        <w:pStyle w:val="454"/>
        <w:ind w:firstLine="602"/>
        <w:rPr>
          <w:color w:val="auto"/>
        </w:rPr>
      </w:pPr>
      <w:r>
        <w:rPr>
          <w:rFonts w:hint="default"/>
          <w:color w:val="auto"/>
        </w:rPr>
        <w:t>建设项目地表水环境影响评价自查表</w:t>
      </w:r>
    </w:p>
    <w:p>
      <w:pPr>
        <w:ind w:firstLine="480"/>
      </w:pPr>
      <w:r>
        <w:rPr>
          <w:rFonts w:hint="eastAsia"/>
        </w:rPr>
        <w:t>建设项目地表水环境影响评价自查表见表5-2~5-3。</w:t>
      </w:r>
    </w:p>
    <w:p>
      <w:pPr>
        <w:pStyle w:val="2"/>
        <w:ind w:firstLine="480"/>
        <w:sectPr>
          <w:pgSz w:w="11906" w:h="16838"/>
          <w:pgMar w:top="1440" w:right="1800" w:bottom="1440" w:left="1800" w:header="851" w:footer="850" w:gutter="0"/>
          <w:pgBorders>
            <w:top w:val="none" w:sz="0" w:space="0"/>
            <w:left w:val="none" w:sz="0" w:space="0"/>
            <w:bottom w:val="none" w:sz="0" w:space="0"/>
            <w:right w:val="none" w:sz="0" w:space="0"/>
          </w:pgBorders>
          <w:pgNumType w:fmt="decimal"/>
          <w:cols w:space="720" w:num="1"/>
          <w:docGrid w:type="lines" w:linePitch="326" w:charSpace="0"/>
        </w:sectPr>
      </w:pPr>
    </w:p>
    <w:p>
      <w:pPr>
        <w:pStyle w:val="3586"/>
        <w:ind w:left="0"/>
      </w:pPr>
      <w:r>
        <w:rPr>
          <w:rFonts w:ascii="黑体" w:hAnsi="黑体"/>
        </w:rPr>
        <w:t>废水类别、</w:t>
      </w:r>
      <w:r>
        <w:t>污染物</w:t>
      </w:r>
      <w:r>
        <w:rPr>
          <w:rFonts w:ascii="黑体" w:hAnsi="黑体"/>
        </w:rPr>
        <w:t>及污染治理设施信息表</w:t>
      </w:r>
    </w:p>
    <w:tbl>
      <w:tblPr>
        <w:tblStyle w:val="87"/>
        <w:tblW w:w="50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97"/>
        <w:gridCol w:w="907"/>
        <w:gridCol w:w="1657"/>
        <w:gridCol w:w="1559"/>
        <w:gridCol w:w="2692"/>
        <w:gridCol w:w="1276"/>
        <w:gridCol w:w="1136"/>
        <w:gridCol w:w="1366"/>
        <w:gridCol w:w="1156"/>
        <w:gridCol w:w="845"/>
        <w:gridCol w:w="6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9" w:type="pct"/>
            <w:vMerge w:val="restart"/>
            <w:vAlign w:val="center"/>
          </w:tcPr>
          <w:p>
            <w:pPr>
              <w:pStyle w:val="2057"/>
              <w:spacing w:afterLines="0"/>
              <w:ind w:firstLine="0" w:firstLineChars="0"/>
              <w:rPr>
                <w:sz w:val="21"/>
                <w:szCs w:val="21"/>
              </w:rPr>
            </w:pPr>
            <w:r>
              <w:rPr>
                <w:sz w:val="21"/>
                <w:szCs w:val="21"/>
              </w:rPr>
              <w:t>序号</w:t>
            </w:r>
          </w:p>
        </w:tc>
        <w:tc>
          <w:tcPr>
            <w:tcW w:w="324" w:type="pct"/>
            <w:vMerge w:val="restart"/>
            <w:vAlign w:val="center"/>
          </w:tcPr>
          <w:p>
            <w:pPr>
              <w:pStyle w:val="2057"/>
              <w:spacing w:afterLines="0"/>
              <w:ind w:firstLine="0" w:firstLineChars="0"/>
              <w:rPr>
                <w:sz w:val="21"/>
                <w:szCs w:val="21"/>
              </w:rPr>
            </w:pPr>
            <w:r>
              <w:rPr>
                <w:sz w:val="21"/>
                <w:szCs w:val="21"/>
              </w:rPr>
              <w:t>废水类别</w:t>
            </w:r>
          </w:p>
        </w:tc>
        <w:tc>
          <w:tcPr>
            <w:tcW w:w="592" w:type="pct"/>
            <w:vMerge w:val="restart"/>
            <w:vAlign w:val="center"/>
          </w:tcPr>
          <w:p>
            <w:pPr>
              <w:pStyle w:val="2057"/>
              <w:spacing w:afterLines="0"/>
              <w:ind w:firstLine="0" w:firstLineChars="0"/>
              <w:rPr>
                <w:sz w:val="21"/>
                <w:szCs w:val="21"/>
              </w:rPr>
            </w:pPr>
            <w:r>
              <w:rPr>
                <w:sz w:val="21"/>
                <w:szCs w:val="21"/>
              </w:rPr>
              <w:t>污染物种类</w:t>
            </w:r>
          </w:p>
        </w:tc>
        <w:tc>
          <w:tcPr>
            <w:tcW w:w="557" w:type="pct"/>
            <w:vMerge w:val="restart"/>
            <w:vAlign w:val="center"/>
          </w:tcPr>
          <w:p>
            <w:pPr>
              <w:pStyle w:val="2057"/>
              <w:spacing w:afterLines="0"/>
              <w:ind w:firstLine="0" w:firstLineChars="0"/>
              <w:rPr>
                <w:sz w:val="21"/>
                <w:szCs w:val="21"/>
              </w:rPr>
            </w:pPr>
            <w:r>
              <w:rPr>
                <w:sz w:val="21"/>
                <w:szCs w:val="21"/>
              </w:rPr>
              <w:t>排放去向</w:t>
            </w:r>
          </w:p>
        </w:tc>
        <w:tc>
          <w:tcPr>
            <w:tcW w:w="962" w:type="pct"/>
            <w:vMerge w:val="restart"/>
            <w:vAlign w:val="center"/>
          </w:tcPr>
          <w:p>
            <w:pPr>
              <w:pStyle w:val="2057"/>
              <w:spacing w:afterLines="0"/>
              <w:ind w:firstLine="0" w:firstLineChars="0"/>
              <w:rPr>
                <w:sz w:val="21"/>
                <w:szCs w:val="21"/>
              </w:rPr>
            </w:pPr>
            <w:r>
              <w:rPr>
                <w:sz w:val="21"/>
                <w:szCs w:val="21"/>
              </w:rPr>
              <w:t>排放规律</w:t>
            </w:r>
          </w:p>
        </w:tc>
        <w:tc>
          <w:tcPr>
            <w:tcW w:w="1350" w:type="pct"/>
            <w:gridSpan w:val="3"/>
            <w:vAlign w:val="center"/>
          </w:tcPr>
          <w:p>
            <w:pPr>
              <w:pStyle w:val="2057"/>
              <w:spacing w:afterLines="0"/>
              <w:ind w:firstLine="0" w:firstLineChars="0"/>
              <w:rPr>
                <w:sz w:val="21"/>
                <w:szCs w:val="21"/>
              </w:rPr>
            </w:pPr>
            <w:r>
              <w:rPr>
                <w:sz w:val="21"/>
                <w:szCs w:val="21"/>
              </w:rPr>
              <w:t>污染治理设施</w:t>
            </w:r>
          </w:p>
        </w:tc>
        <w:tc>
          <w:tcPr>
            <w:tcW w:w="413" w:type="pct"/>
            <w:vMerge w:val="restart"/>
            <w:vAlign w:val="center"/>
          </w:tcPr>
          <w:p>
            <w:pPr>
              <w:pStyle w:val="2057"/>
              <w:spacing w:afterLines="0"/>
              <w:ind w:firstLine="0" w:firstLineChars="0"/>
              <w:rPr>
                <w:sz w:val="21"/>
                <w:szCs w:val="21"/>
              </w:rPr>
            </w:pPr>
            <w:r>
              <w:rPr>
                <w:sz w:val="21"/>
                <w:szCs w:val="21"/>
              </w:rPr>
              <w:t>排放口编号</w:t>
            </w:r>
          </w:p>
        </w:tc>
        <w:tc>
          <w:tcPr>
            <w:tcW w:w="302" w:type="pct"/>
            <w:vMerge w:val="restart"/>
            <w:vAlign w:val="center"/>
          </w:tcPr>
          <w:p>
            <w:pPr>
              <w:pStyle w:val="2057"/>
              <w:spacing w:afterLines="0"/>
              <w:ind w:firstLine="0" w:firstLineChars="0"/>
              <w:rPr>
                <w:sz w:val="21"/>
                <w:szCs w:val="21"/>
              </w:rPr>
            </w:pPr>
            <w:r>
              <w:rPr>
                <w:sz w:val="21"/>
                <w:szCs w:val="21"/>
              </w:rPr>
              <w:t>排放口设置是否符合要求</w:t>
            </w:r>
          </w:p>
        </w:tc>
        <w:tc>
          <w:tcPr>
            <w:tcW w:w="248" w:type="pct"/>
            <w:vMerge w:val="restart"/>
            <w:vAlign w:val="center"/>
          </w:tcPr>
          <w:p>
            <w:pPr>
              <w:pStyle w:val="2057"/>
              <w:spacing w:afterLines="0"/>
              <w:ind w:firstLine="0" w:firstLineChars="0"/>
              <w:rPr>
                <w:sz w:val="21"/>
                <w:szCs w:val="21"/>
              </w:rPr>
            </w:pPr>
            <w:r>
              <w:rPr>
                <w:sz w:val="21"/>
                <w:szCs w:val="21"/>
              </w:rPr>
              <w:t>排放口类型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9" w:type="pct"/>
            <w:vMerge w:val="continue"/>
            <w:vAlign w:val="center"/>
          </w:tcPr>
          <w:p>
            <w:pPr>
              <w:pStyle w:val="2057"/>
              <w:spacing w:afterLines="0"/>
              <w:ind w:firstLine="0" w:firstLineChars="0"/>
              <w:rPr>
                <w:rFonts w:eastAsia="仿宋_GB2312"/>
                <w:sz w:val="21"/>
                <w:szCs w:val="21"/>
              </w:rPr>
            </w:pPr>
          </w:p>
        </w:tc>
        <w:tc>
          <w:tcPr>
            <w:tcW w:w="324" w:type="pct"/>
            <w:vMerge w:val="continue"/>
            <w:vAlign w:val="center"/>
          </w:tcPr>
          <w:p>
            <w:pPr>
              <w:pStyle w:val="2057"/>
              <w:spacing w:afterLines="0"/>
              <w:ind w:firstLine="0" w:firstLineChars="0"/>
              <w:rPr>
                <w:rFonts w:eastAsia="仿宋_GB2312"/>
                <w:sz w:val="21"/>
                <w:szCs w:val="21"/>
              </w:rPr>
            </w:pPr>
          </w:p>
        </w:tc>
        <w:tc>
          <w:tcPr>
            <w:tcW w:w="592" w:type="pct"/>
            <w:vMerge w:val="continue"/>
            <w:vAlign w:val="center"/>
          </w:tcPr>
          <w:p>
            <w:pPr>
              <w:pStyle w:val="2057"/>
              <w:spacing w:afterLines="0"/>
              <w:ind w:firstLine="0" w:firstLineChars="0"/>
              <w:rPr>
                <w:rFonts w:eastAsia="仿宋_GB2312"/>
                <w:sz w:val="21"/>
                <w:szCs w:val="21"/>
              </w:rPr>
            </w:pPr>
          </w:p>
        </w:tc>
        <w:tc>
          <w:tcPr>
            <w:tcW w:w="557" w:type="pct"/>
            <w:vMerge w:val="continue"/>
            <w:vAlign w:val="center"/>
          </w:tcPr>
          <w:p>
            <w:pPr>
              <w:pStyle w:val="2057"/>
              <w:spacing w:afterLines="0"/>
              <w:ind w:firstLine="0" w:firstLineChars="0"/>
              <w:rPr>
                <w:rFonts w:eastAsia="仿宋_GB2312"/>
                <w:sz w:val="21"/>
                <w:szCs w:val="21"/>
              </w:rPr>
            </w:pPr>
          </w:p>
        </w:tc>
        <w:tc>
          <w:tcPr>
            <w:tcW w:w="962" w:type="pct"/>
            <w:vMerge w:val="continue"/>
            <w:vAlign w:val="center"/>
          </w:tcPr>
          <w:p>
            <w:pPr>
              <w:pStyle w:val="2057"/>
              <w:spacing w:afterLines="0"/>
              <w:ind w:firstLine="0" w:firstLineChars="0"/>
              <w:rPr>
                <w:rFonts w:eastAsia="仿宋_GB2312"/>
                <w:sz w:val="21"/>
                <w:szCs w:val="21"/>
              </w:rPr>
            </w:pPr>
          </w:p>
        </w:tc>
        <w:tc>
          <w:tcPr>
            <w:tcW w:w="456" w:type="pct"/>
            <w:vAlign w:val="center"/>
          </w:tcPr>
          <w:p>
            <w:pPr>
              <w:pStyle w:val="2057"/>
              <w:spacing w:afterLines="0"/>
              <w:ind w:firstLine="0" w:firstLineChars="0"/>
              <w:rPr>
                <w:sz w:val="21"/>
                <w:szCs w:val="21"/>
              </w:rPr>
            </w:pPr>
            <w:r>
              <w:rPr>
                <w:sz w:val="21"/>
                <w:szCs w:val="21"/>
              </w:rPr>
              <w:t>设施编号</w:t>
            </w:r>
          </w:p>
        </w:tc>
        <w:tc>
          <w:tcPr>
            <w:tcW w:w="406" w:type="pct"/>
            <w:vAlign w:val="center"/>
          </w:tcPr>
          <w:p>
            <w:pPr>
              <w:pStyle w:val="2057"/>
              <w:spacing w:afterLines="0"/>
              <w:ind w:firstLine="0" w:firstLineChars="0"/>
              <w:rPr>
                <w:sz w:val="21"/>
                <w:szCs w:val="21"/>
              </w:rPr>
            </w:pPr>
            <w:r>
              <w:rPr>
                <w:sz w:val="21"/>
                <w:szCs w:val="21"/>
              </w:rPr>
              <w:t>设施名称</w:t>
            </w:r>
          </w:p>
        </w:tc>
        <w:tc>
          <w:tcPr>
            <w:tcW w:w="487" w:type="pct"/>
            <w:vAlign w:val="center"/>
          </w:tcPr>
          <w:p>
            <w:pPr>
              <w:pStyle w:val="2057"/>
              <w:spacing w:afterLines="0"/>
              <w:ind w:firstLine="0" w:firstLineChars="0"/>
              <w:rPr>
                <w:sz w:val="21"/>
                <w:szCs w:val="21"/>
              </w:rPr>
            </w:pPr>
            <w:r>
              <w:rPr>
                <w:sz w:val="21"/>
                <w:szCs w:val="21"/>
              </w:rPr>
              <w:t>设施工艺</w:t>
            </w:r>
          </w:p>
        </w:tc>
        <w:tc>
          <w:tcPr>
            <w:tcW w:w="413" w:type="pct"/>
            <w:vMerge w:val="continue"/>
            <w:vAlign w:val="center"/>
          </w:tcPr>
          <w:p>
            <w:pPr>
              <w:pStyle w:val="2057"/>
              <w:spacing w:afterLines="0"/>
              <w:ind w:firstLine="0" w:firstLineChars="0"/>
              <w:rPr>
                <w:rFonts w:eastAsia="仿宋_GB2312"/>
                <w:sz w:val="21"/>
                <w:szCs w:val="21"/>
              </w:rPr>
            </w:pPr>
          </w:p>
        </w:tc>
        <w:tc>
          <w:tcPr>
            <w:tcW w:w="302" w:type="pct"/>
            <w:vMerge w:val="continue"/>
            <w:vAlign w:val="center"/>
          </w:tcPr>
          <w:p>
            <w:pPr>
              <w:pStyle w:val="2057"/>
              <w:spacing w:afterLines="0"/>
              <w:ind w:firstLine="0" w:firstLineChars="0"/>
              <w:rPr>
                <w:rFonts w:eastAsia="仿宋_GB2312"/>
                <w:sz w:val="21"/>
                <w:szCs w:val="21"/>
              </w:rPr>
            </w:pPr>
          </w:p>
        </w:tc>
        <w:tc>
          <w:tcPr>
            <w:tcW w:w="248" w:type="pct"/>
            <w:vMerge w:val="continue"/>
            <w:vAlign w:val="center"/>
          </w:tcPr>
          <w:p>
            <w:pPr>
              <w:pStyle w:val="2057"/>
              <w:spacing w:afterLines="0"/>
              <w:ind w:firstLine="0" w:firstLineChars="0"/>
              <w:rPr>
                <w:rFonts w:eastAsia="仿宋_GB231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49" w:type="pct"/>
            <w:vAlign w:val="center"/>
          </w:tcPr>
          <w:p>
            <w:pPr>
              <w:pStyle w:val="2057"/>
              <w:spacing w:afterLines="0"/>
              <w:ind w:firstLine="0" w:firstLineChars="0"/>
              <w:rPr>
                <w:sz w:val="21"/>
                <w:szCs w:val="21"/>
              </w:rPr>
            </w:pPr>
            <w:r>
              <w:rPr>
                <w:sz w:val="21"/>
                <w:szCs w:val="21"/>
              </w:rPr>
              <w:t>1</w:t>
            </w:r>
          </w:p>
        </w:tc>
        <w:tc>
          <w:tcPr>
            <w:tcW w:w="324" w:type="pct"/>
            <w:vAlign w:val="center"/>
          </w:tcPr>
          <w:p>
            <w:pPr>
              <w:pStyle w:val="2057"/>
              <w:spacing w:afterLines="0"/>
              <w:ind w:firstLine="0" w:firstLineChars="0"/>
              <w:rPr>
                <w:sz w:val="21"/>
                <w:szCs w:val="21"/>
              </w:rPr>
            </w:pPr>
            <w:r>
              <w:rPr>
                <w:sz w:val="21"/>
                <w:szCs w:val="21"/>
              </w:rPr>
              <w:t>生活污水</w:t>
            </w:r>
          </w:p>
        </w:tc>
        <w:tc>
          <w:tcPr>
            <w:tcW w:w="592" w:type="pct"/>
            <w:vAlign w:val="center"/>
          </w:tcPr>
          <w:p>
            <w:pPr>
              <w:pStyle w:val="2057"/>
              <w:spacing w:afterLines="0"/>
              <w:ind w:firstLine="0" w:firstLineChars="0"/>
              <w:rPr>
                <w:sz w:val="21"/>
                <w:szCs w:val="21"/>
              </w:rPr>
            </w:pPr>
            <w:r>
              <w:rPr>
                <w:sz w:val="21"/>
                <w:szCs w:val="21"/>
              </w:rPr>
              <w:t>COD</w:t>
            </w:r>
            <w:r>
              <w:rPr>
                <w:rFonts w:ascii="仿宋_GB2312"/>
                <w:sz w:val="21"/>
                <w:szCs w:val="21"/>
              </w:rPr>
              <w:t>、</w:t>
            </w:r>
            <w:r>
              <w:rPr>
                <w:sz w:val="21"/>
                <w:szCs w:val="21"/>
              </w:rPr>
              <w:t>BOD</w:t>
            </w:r>
            <w:r>
              <w:rPr>
                <w:sz w:val="21"/>
                <w:szCs w:val="21"/>
                <w:vertAlign w:val="subscript"/>
              </w:rPr>
              <w:t>5</w:t>
            </w:r>
            <w:r>
              <w:rPr>
                <w:sz w:val="21"/>
                <w:szCs w:val="21"/>
              </w:rPr>
              <w:t>、NH</w:t>
            </w:r>
            <w:r>
              <w:rPr>
                <w:sz w:val="21"/>
                <w:szCs w:val="21"/>
                <w:vertAlign w:val="subscript"/>
              </w:rPr>
              <w:t>3</w:t>
            </w:r>
            <w:r>
              <w:rPr>
                <w:sz w:val="21"/>
                <w:szCs w:val="21"/>
              </w:rPr>
              <w:t>-N</w:t>
            </w:r>
            <w:r>
              <w:rPr>
                <w:rFonts w:ascii="仿宋_GB2312"/>
                <w:sz w:val="21"/>
                <w:szCs w:val="21"/>
              </w:rPr>
              <w:t>、</w:t>
            </w:r>
            <w:r>
              <w:rPr>
                <w:sz w:val="21"/>
                <w:szCs w:val="21"/>
              </w:rPr>
              <w:t>SS</w:t>
            </w:r>
          </w:p>
        </w:tc>
        <w:tc>
          <w:tcPr>
            <w:tcW w:w="557" w:type="pct"/>
            <w:vAlign w:val="center"/>
          </w:tcPr>
          <w:p>
            <w:pPr>
              <w:pStyle w:val="2057"/>
              <w:spacing w:afterLines="0"/>
              <w:ind w:firstLine="0" w:firstLineChars="0"/>
              <w:rPr>
                <w:sz w:val="21"/>
                <w:szCs w:val="21"/>
              </w:rPr>
            </w:pPr>
            <w:r>
              <w:rPr>
                <w:rFonts w:hint="eastAsia"/>
                <w:sz w:val="21"/>
                <w:szCs w:val="21"/>
              </w:rPr>
              <w:t>市政管网</w:t>
            </w:r>
          </w:p>
        </w:tc>
        <w:tc>
          <w:tcPr>
            <w:tcW w:w="962" w:type="pct"/>
            <w:vAlign w:val="center"/>
          </w:tcPr>
          <w:p>
            <w:pPr>
              <w:pStyle w:val="2057"/>
              <w:spacing w:afterLines="0"/>
              <w:ind w:firstLine="0" w:firstLineChars="0"/>
              <w:rPr>
                <w:sz w:val="21"/>
                <w:szCs w:val="21"/>
              </w:rPr>
            </w:pPr>
            <w:r>
              <w:rPr>
                <w:sz w:val="21"/>
                <w:szCs w:val="21"/>
              </w:rPr>
              <w:t>间歇排放，排放期间流量稳定</w:t>
            </w:r>
          </w:p>
        </w:tc>
        <w:tc>
          <w:tcPr>
            <w:tcW w:w="456" w:type="pct"/>
            <w:vAlign w:val="center"/>
          </w:tcPr>
          <w:p>
            <w:pPr>
              <w:pStyle w:val="2057"/>
              <w:spacing w:afterLines="0"/>
              <w:ind w:firstLine="0" w:firstLineChars="0"/>
              <w:rPr>
                <w:sz w:val="21"/>
                <w:szCs w:val="21"/>
              </w:rPr>
            </w:pPr>
            <w:r>
              <w:rPr>
                <w:rFonts w:hint="eastAsia"/>
                <w:sz w:val="21"/>
                <w:szCs w:val="21"/>
              </w:rPr>
              <w:t>T</w:t>
            </w:r>
            <w:r>
              <w:rPr>
                <w:sz w:val="21"/>
                <w:szCs w:val="21"/>
              </w:rPr>
              <w:t>W001</w:t>
            </w:r>
          </w:p>
        </w:tc>
        <w:tc>
          <w:tcPr>
            <w:tcW w:w="406" w:type="pct"/>
            <w:vAlign w:val="center"/>
          </w:tcPr>
          <w:p>
            <w:pPr>
              <w:pStyle w:val="2057"/>
              <w:spacing w:afterLines="0"/>
              <w:ind w:firstLine="0" w:firstLineChars="0"/>
              <w:jc w:val="both"/>
              <w:rPr>
                <w:sz w:val="21"/>
                <w:szCs w:val="21"/>
              </w:rPr>
            </w:pPr>
            <w:r>
              <w:rPr>
                <w:rFonts w:hint="eastAsia"/>
                <w:sz w:val="21"/>
                <w:szCs w:val="21"/>
              </w:rPr>
              <w:t>生活污水处理设施</w:t>
            </w:r>
          </w:p>
        </w:tc>
        <w:tc>
          <w:tcPr>
            <w:tcW w:w="487" w:type="pct"/>
            <w:vAlign w:val="center"/>
          </w:tcPr>
          <w:p>
            <w:pPr>
              <w:pStyle w:val="2057"/>
              <w:spacing w:afterLines="0"/>
              <w:ind w:firstLine="0" w:firstLineChars="0"/>
              <w:rPr>
                <w:sz w:val="21"/>
                <w:szCs w:val="21"/>
              </w:rPr>
            </w:pPr>
            <w:r>
              <w:rPr>
                <w:rFonts w:hint="eastAsia"/>
                <w:sz w:val="21"/>
                <w:szCs w:val="21"/>
              </w:rPr>
              <w:t>化粪池</w:t>
            </w:r>
          </w:p>
        </w:tc>
        <w:tc>
          <w:tcPr>
            <w:tcW w:w="413" w:type="pct"/>
            <w:vAlign w:val="center"/>
          </w:tcPr>
          <w:p>
            <w:pPr>
              <w:pStyle w:val="2057"/>
              <w:spacing w:afterLines="0"/>
              <w:ind w:firstLine="0" w:firstLineChars="0"/>
              <w:rPr>
                <w:sz w:val="21"/>
                <w:szCs w:val="21"/>
              </w:rPr>
            </w:pPr>
            <w:r>
              <w:rPr>
                <w:sz w:val="21"/>
                <w:szCs w:val="21"/>
              </w:rPr>
              <w:t>DW001</w:t>
            </w:r>
          </w:p>
        </w:tc>
        <w:tc>
          <w:tcPr>
            <w:tcW w:w="302" w:type="pct"/>
            <w:vAlign w:val="center"/>
          </w:tcPr>
          <w:p>
            <w:pPr>
              <w:pStyle w:val="2057"/>
              <w:spacing w:afterLines="0"/>
              <w:ind w:firstLine="0" w:firstLineChars="0"/>
              <w:rPr>
                <w:sz w:val="21"/>
                <w:szCs w:val="21"/>
              </w:rPr>
            </w:pPr>
            <w:r>
              <w:rPr>
                <w:rFonts w:hint="eastAsia" w:ascii="黑体" w:hAnsi="黑体"/>
                <w:sz w:val="21"/>
                <w:szCs w:val="21"/>
              </w:rPr>
              <w:t>√</w:t>
            </w:r>
            <w:r>
              <w:rPr>
                <w:sz w:val="21"/>
                <w:szCs w:val="21"/>
              </w:rPr>
              <w:t>是</w:t>
            </w:r>
          </w:p>
          <w:p>
            <w:pPr>
              <w:pStyle w:val="2057"/>
              <w:spacing w:afterLines="0"/>
              <w:ind w:firstLine="0" w:firstLineChars="0"/>
              <w:rPr>
                <w:sz w:val="21"/>
                <w:szCs w:val="21"/>
              </w:rPr>
            </w:pPr>
            <w:r>
              <w:rPr>
                <w:sz w:val="21"/>
                <w:szCs w:val="21"/>
              </w:rPr>
              <w:t>□</w:t>
            </w:r>
            <w:r>
              <w:rPr>
                <w:rFonts w:ascii="仿宋_GB2312"/>
                <w:sz w:val="21"/>
                <w:szCs w:val="21"/>
              </w:rPr>
              <w:t>否</w:t>
            </w:r>
          </w:p>
        </w:tc>
        <w:tc>
          <w:tcPr>
            <w:tcW w:w="248" w:type="pct"/>
            <w:vAlign w:val="center"/>
          </w:tcPr>
          <w:p>
            <w:pPr>
              <w:pStyle w:val="2057"/>
              <w:spacing w:afterLines="0"/>
              <w:ind w:firstLine="0" w:firstLineChars="0"/>
              <w:rPr>
                <w:sz w:val="21"/>
                <w:szCs w:val="21"/>
              </w:rPr>
            </w:pPr>
            <w:r>
              <w:rPr>
                <w:rFonts w:hint="eastAsia"/>
                <w:sz w:val="21"/>
                <w:szCs w:val="21"/>
              </w:rPr>
              <w:t>一般排放口</w:t>
            </w:r>
          </w:p>
        </w:tc>
      </w:tr>
    </w:tbl>
    <w:p>
      <w:pPr>
        <w:pStyle w:val="3586"/>
        <w:ind w:left="0"/>
      </w:pPr>
      <w:r>
        <w:t>地表水</w:t>
      </w:r>
      <w:r>
        <w:rPr>
          <w:rFonts w:ascii="黑体" w:hAnsi="黑体"/>
        </w:rPr>
        <w:t>环境影响评价自查表</w:t>
      </w:r>
    </w:p>
    <w:tbl>
      <w:tblPr>
        <w:tblStyle w:val="8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48"/>
        <w:gridCol w:w="1697"/>
        <w:gridCol w:w="545"/>
        <w:gridCol w:w="1794"/>
        <w:gridCol w:w="1341"/>
        <w:gridCol w:w="1567"/>
        <w:gridCol w:w="869"/>
        <w:gridCol w:w="307"/>
        <w:gridCol w:w="503"/>
        <w:gridCol w:w="1626"/>
        <w:gridCol w:w="70"/>
        <w:gridCol w:w="788"/>
        <w:gridCol w:w="20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912" w:type="pct"/>
            <w:gridSpan w:val="2"/>
            <w:noWrap/>
            <w:vAlign w:val="center"/>
          </w:tcPr>
          <w:p>
            <w:pPr>
              <w:pStyle w:val="2057"/>
              <w:spacing w:afterLines="0"/>
              <w:ind w:firstLine="0" w:firstLineChars="0"/>
            </w:pPr>
            <w:r>
              <w:t>工作内容</w:t>
            </w:r>
          </w:p>
        </w:tc>
        <w:tc>
          <w:tcPr>
            <w:tcW w:w="4088" w:type="pct"/>
            <w:gridSpan w:val="11"/>
            <w:noWrap/>
            <w:vAlign w:val="center"/>
          </w:tcPr>
          <w:p>
            <w:pPr>
              <w:pStyle w:val="2057"/>
              <w:spacing w:afterLines="0"/>
              <w:ind w:firstLine="0" w:firstLineChars="0"/>
            </w:pPr>
            <w: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restart"/>
            <w:noWrap/>
            <w:vAlign w:val="center"/>
          </w:tcPr>
          <w:p>
            <w:pPr>
              <w:pStyle w:val="2057"/>
              <w:spacing w:afterLines="0"/>
              <w:ind w:firstLine="0" w:firstLineChars="0"/>
            </w:pPr>
            <w:r>
              <w:t>影响识别</w:t>
            </w:r>
          </w:p>
        </w:tc>
        <w:tc>
          <w:tcPr>
            <w:tcW w:w="607" w:type="pct"/>
            <w:vAlign w:val="center"/>
          </w:tcPr>
          <w:p>
            <w:pPr>
              <w:pStyle w:val="2057"/>
              <w:spacing w:afterLines="0"/>
              <w:ind w:firstLine="0" w:firstLineChars="0"/>
            </w:pPr>
            <w:r>
              <w:t>影响类型</w:t>
            </w:r>
          </w:p>
        </w:tc>
        <w:tc>
          <w:tcPr>
            <w:tcW w:w="4088" w:type="pct"/>
            <w:gridSpan w:val="11"/>
            <w:noWrap/>
            <w:vAlign w:val="center"/>
          </w:tcPr>
          <w:p>
            <w:pPr>
              <w:pStyle w:val="2057"/>
              <w:spacing w:afterLines="0"/>
              <w:ind w:firstLine="0" w:firstLineChars="0"/>
            </w:pPr>
            <w:r>
              <w:t>水污染影响型</w:t>
            </w:r>
            <w:r>
              <w:rPr/>
              <w:sym w:font="Wingdings 2" w:char="0052"/>
            </w:r>
            <w:r>
              <w:t>；水文要素影响型</w:t>
            </w:r>
            <w:r>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Align w:val="center"/>
          </w:tcPr>
          <w:p>
            <w:pPr>
              <w:pStyle w:val="2057"/>
              <w:spacing w:afterLines="0"/>
              <w:ind w:firstLine="0" w:firstLineChars="0"/>
            </w:pPr>
            <w:r>
              <w:t>水环境保护目标</w:t>
            </w:r>
          </w:p>
        </w:tc>
        <w:tc>
          <w:tcPr>
            <w:tcW w:w="4088" w:type="pct"/>
            <w:gridSpan w:val="11"/>
            <w:vAlign w:val="center"/>
          </w:tcPr>
          <w:p>
            <w:pPr>
              <w:pStyle w:val="2057"/>
              <w:spacing w:afterLines="0"/>
              <w:ind w:firstLine="0" w:firstLineChars="0"/>
            </w:pPr>
            <w:r>
              <w:t>饮用水水源保护区□</w:t>
            </w:r>
            <w:r>
              <w:rPr>
                <w:rFonts w:ascii="仿宋_GB2312"/>
              </w:rPr>
              <w:t>；饮用水取水</w:t>
            </w:r>
            <w:r>
              <w:t>□</w:t>
            </w:r>
            <w:r>
              <w:rPr>
                <w:rFonts w:ascii="仿宋_GB2312"/>
              </w:rPr>
              <w:t>；涉水的自然保护区</w:t>
            </w:r>
            <w:r>
              <w:t>□</w:t>
            </w:r>
            <w:r>
              <w:rPr>
                <w:rFonts w:ascii="仿宋_GB2312"/>
              </w:rPr>
              <w:t>；重要湿地</w:t>
            </w:r>
            <w:r>
              <w:t>□</w:t>
            </w:r>
            <w:r>
              <w:rPr>
                <w:rFonts w:ascii="仿宋_GB2312"/>
              </w:rPr>
              <w:t>；</w:t>
            </w:r>
            <w:r>
              <w:t>重点保护与珍稀水生生物的栖息地</w:t>
            </w:r>
            <w:r>
              <w:rPr/>
              <w:sym w:font="Wingdings 2" w:char="0052"/>
            </w:r>
            <w:r>
              <w:rPr>
                <w:rFonts w:ascii="仿宋_GB2312"/>
              </w:rPr>
              <w:t>；重要水生生物的自然产卵场及索饵场、越冬场和洄游通道、天然渔场等渔业水体</w:t>
            </w:r>
            <w:r>
              <w:rPr/>
              <w:sym w:font="Wingdings 2" w:char="0052"/>
            </w:r>
            <w:r>
              <w:rPr>
                <w:rFonts w:ascii="仿宋_GB2312"/>
              </w:rPr>
              <w:t>；涉水的风景名胜区</w:t>
            </w:r>
            <w:r>
              <w:t>□</w:t>
            </w:r>
            <w:r>
              <w:rPr>
                <w:rFonts w:ascii="仿宋_GB2312"/>
              </w:rPr>
              <w:t>；其他</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Merge w:val="restart"/>
            <w:vAlign w:val="center"/>
          </w:tcPr>
          <w:p>
            <w:pPr>
              <w:pStyle w:val="2057"/>
              <w:spacing w:afterLines="0"/>
              <w:ind w:firstLine="0" w:firstLineChars="0"/>
            </w:pPr>
            <w:r>
              <w:t>影响途径</w:t>
            </w:r>
          </w:p>
        </w:tc>
        <w:tc>
          <w:tcPr>
            <w:tcW w:w="1878" w:type="pct"/>
            <w:gridSpan w:val="4"/>
            <w:vAlign w:val="center"/>
          </w:tcPr>
          <w:p>
            <w:pPr>
              <w:pStyle w:val="2057"/>
              <w:spacing w:afterLines="0"/>
              <w:ind w:firstLine="0" w:firstLineChars="0"/>
            </w:pPr>
            <w:r>
              <w:t>水污染影响型</w:t>
            </w:r>
            <w:r>
              <w:rPr/>
              <w:sym w:font="Wingdings 2" w:char="0052"/>
            </w:r>
          </w:p>
        </w:tc>
        <w:tc>
          <w:tcPr>
            <w:tcW w:w="2211" w:type="pct"/>
            <w:gridSpan w:val="7"/>
            <w:vAlign w:val="center"/>
          </w:tcPr>
          <w:p>
            <w:pPr>
              <w:pStyle w:val="2057"/>
              <w:spacing w:afterLines="0"/>
              <w:ind w:firstLine="0" w:firstLineChars="0"/>
            </w:pPr>
            <w:r>
              <w:t>水文要素影响型</w:t>
            </w:r>
            <w:r>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Merge w:val="continue"/>
            <w:vAlign w:val="center"/>
          </w:tcPr>
          <w:p>
            <w:pPr>
              <w:pStyle w:val="2057"/>
              <w:spacing w:afterLines="0"/>
              <w:ind w:firstLine="0" w:firstLineChars="0"/>
              <w:rPr>
                <w:rFonts w:eastAsia="仿宋_GB2312"/>
              </w:rPr>
            </w:pPr>
          </w:p>
        </w:tc>
        <w:tc>
          <w:tcPr>
            <w:tcW w:w="1878" w:type="pct"/>
            <w:gridSpan w:val="4"/>
            <w:vAlign w:val="center"/>
          </w:tcPr>
          <w:p>
            <w:pPr>
              <w:pStyle w:val="2057"/>
              <w:spacing w:afterLines="0"/>
              <w:ind w:firstLine="0" w:firstLineChars="0"/>
            </w:pPr>
            <w:r>
              <w:t>直接排放□</w:t>
            </w:r>
            <w:r>
              <w:rPr>
                <w:rFonts w:ascii="仿宋_GB2312"/>
              </w:rPr>
              <w:t>；间接排放</w:t>
            </w:r>
            <w:r>
              <w:rPr/>
              <w:sym w:font="Wingdings 2" w:char="0052"/>
            </w:r>
            <w:r>
              <w:t>；其他□</w:t>
            </w:r>
          </w:p>
        </w:tc>
        <w:tc>
          <w:tcPr>
            <w:tcW w:w="2211" w:type="pct"/>
            <w:gridSpan w:val="7"/>
            <w:vAlign w:val="center"/>
          </w:tcPr>
          <w:p>
            <w:pPr>
              <w:pStyle w:val="2057"/>
              <w:spacing w:afterLines="0"/>
              <w:ind w:firstLine="0" w:firstLineChars="0"/>
            </w:pPr>
            <w:r>
              <w:t>水温□</w:t>
            </w:r>
            <w:r>
              <w:rPr>
                <w:rFonts w:ascii="仿宋_GB2312"/>
              </w:rPr>
              <w:t>；径流</w:t>
            </w:r>
            <w:r>
              <w:t>□</w:t>
            </w:r>
            <w:r>
              <w:rPr>
                <w:rFonts w:ascii="仿宋_GB2312"/>
              </w:rPr>
              <w:t>；水域面积</w:t>
            </w:r>
            <w:r>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Align w:val="center"/>
          </w:tcPr>
          <w:p>
            <w:pPr>
              <w:pStyle w:val="2057"/>
              <w:spacing w:afterLines="0"/>
              <w:ind w:firstLine="0" w:firstLineChars="0"/>
            </w:pPr>
            <w:r>
              <w:t>影响因子</w:t>
            </w:r>
          </w:p>
        </w:tc>
        <w:tc>
          <w:tcPr>
            <w:tcW w:w="1878" w:type="pct"/>
            <w:gridSpan w:val="4"/>
            <w:vAlign w:val="center"/>
          </w:tcPr>
          <w:p>
            <w:pPr>
              <w:pStyle w:val="2057"/>
              <w:spacing w:afterLines="0"/>
              <w:ind w:firstLine="0" w:firstLineChars="0"/>
            </w:pPr>
            <w:r>
              <w:t>持久性污染物</w:t>
            </w:r>
            <w:r>
              <w:rPr>
                <w:rFonts w:ascii="Wingdings 2" w:hAnsi="Wingdings 2"/>
              </w:rPr>
              <w:t></w:t>
            </w:r>
            <w:r>
              <w:t>；有毒有害污染物</w:t>
            </w:r>
            <w:r>
              <w:rPr>
                <w:rFonts w:ascii="Wingdings 2" w:hAnsi="Wingdings 2"/>
              </w:rPr>
              <w:t></w:t>
            </w:r>
            <w:r>
              <w:t>；非持久性污染物</w:t>
            </w:r>
            <w:r>
              <w:rPr>
                <w:rFonts w:ascii="Wingdings 2" w:hAnsi="Wingdings 2"/>
              </w:rPr>
              <w:t></w:t>
            </w:r>
            <w:r>
              <w:t>；pH</w:t>
            </w:r>
            <w:r>
              <w:rPr>
                <w:rFonts w:ascii="仿宋_GB2312"/>
              </w:rPr>
              <w:t>值</w:t>
            </w:r>
            <w:r>
              <w:rPr>
                <w:rFonts w:ascii="Wingdings 2" w:hAnsi="Wingdings 2"/>
              </w:rPr>
              <w:t></w:t>
            </w:r>
            <w:r>
              <w:t>；热污染□</w:t>
            </w:r>
            <w:r>
              <w:rPr>
                <w:rFonts w:ascii="仿宋_GB2312"/>
              </w:rPr>
              <w:t>；富营养化</w:t>
            </w:r>
            <w:r>
              <w:t>□</w:t>
            </w:r>
            <w:r>
              <w:rPr>
                <w:rFonts w:ascii="仿宋_GB2312"/>
              </w:rPr>
              <w:t>；其他</w:t>
            </w:r>
            <w:r>
              <w:t>□</w:t>
            </w:r>
          </w:p>
        </w:tc>
        <w:tc>
          <w:tcPr>
            <w:tcW w:w="2211" w:type="pct"/>
            <w:gridSpan w:val="7"/>
            <w:vAlign w:val="center"/>
          </w:tcPr>
          <w:p>
            <w:pPr>
              <w:pStyle w:val="2057"/>
              <w:spacing w:afterLines="0"/>
              <w:ind w:firstLine="0" w:firstLineChars="0"/>
            </w:pPr>
            <w:r>
              <w:t>水温□</w:t>
            </w:r>
            <w:r>
              <w:rPr>
                <w:rFonts w:ascii="仿宋_GB2312"/>
              </w:rPr>
              <w:t>；水位（水深）</w:t>
            </w:r>
            <w:r>
              <w:t>□</w:t>
            </w:r>
            <w:r>
              <w:rPr>
                <w:rFonts w:ascii="仿宋_GB2312"/>
              </w:rPr>
              <w:t>；流速</w:t>
            </w:r>
            <w:r>
              <w:t>□</w:t>
            </w:r>
            <w:r>
              <w:rPr>
                <w:rFonts w:ascii="仿宋_GB2312"/>
              </w:rPr>
              <w:t>；流量</w:t>
            </w:r>
            <w:r>
              <w:t>□</w:t>
            </w:r>
            <w:r>
              <w:rPr>
                <w:rFonts w:ascii="仿宋_GB2312"/>
              </w:rPr>
              <w:t>；其他</w:t>
            </w:r>
            <w:r>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912" w:type="pct"/>
            <w:gridSpan w:val="2"/>
            <w:vMerge w:val="restart"/>
            <w:noWrap/>
            <w:vAlign w:val="center"/>
          </w:tcPr>
          <w:p>
            <w:pPr>
              <w:pStyle w:val="2057"/>
              <w:spacing w:afterLines="0"/>
              <w:ind w:firstLine="0" w:firstLineChars="0"/>
            </w:pPr>
            <w:r>
              <w:t>评价等级</w:t>
            </w:r>
          </w:p>
        </w:tc>
        <w:tc>
          <w:tcPr>
            <w:tcW w:w="1878" w:type="pct"/>
            <w:gridSpan w:val="4"/>
            <w:noWrap/>
            <w:vAlign w:val="center"/>
          </w:tcPr>
          <w:p>
            <w:pPr>
              <w:pStyle w:val="2057"/>
              <w:spacing w:afterLines="0"/>
              <w:ind w:firstLine="0" w:firstLineChars="0"/>
            </w:pPr>
            <w:r>
              <w:t>水污染影响型</w:t>
            </w:r>
            <w:r>
              <w:rPr/>
              <w:sym w:font="Wingdings 2" w:char="0052"/>
            </w:r>
          </w:p>
        </w:tc>
        <w:tc>
          <w:tcPr>
            <w:tcW w:w="2211" w:type="pct"/>
            <w:gridSpan w:val="7"/>
            <w:vAlign w:val="center"/>
          </w:tcPr>
          <w:p>
            <w:pPr>
              <w:pStyle w:val="2057"/>
              <w:spacing w:afterLines="0"/>
              <w:ind w:firstLine="0" w:firstLineChars="0"/>
            </w:pPr>
            <w:r>
              <w:t>水文要素影响型</w:t>
            </w:r>
            <w:r>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912" w:type="pct"/>
            <w:gridSpan w:val="2"/>
            <w:vMerge w:val="continue"/>
            <w:vAlign w:val="center"/>
          </w:tcPr>
          <w:p>
            <w:pPr>
              <w:pStyle w:val="2057"/>
              <w:spacing w:afterLines="0"/>
              <w:ind w:firstLine="0" w:firstLineChars="0"/>
              <w:rPr>
                <w:rFonts w:eastAsia="仿宋_GB2312"/>
              </w:rPr>
            </w:pPr>
          </w:p>
        </w:tc>
        <w:tc>
          <w:tcPr>
            <w:tcW w:w="1878" w:type="pct"/>
            <w:gridSpan w:val="4"/>
            <w:noWrap/>
            <w:vAlign w:val="center"/>
          </w:tcPr>
          <w:p>
            <w:pPr>
              <w:pStyle w:val="2057"/>
              <w:spacing w:afterLines="0"/>
              <w:ind w:firstLine="0" w:firstLineChars="0"/>
            </w:pPr>
            <w:r>
              <w:t>一级□</w:t>
            </w:r>
            <w:r>
              <w:rPr>
                <w:rFonts w:ascii="仿宋_GB2312"/>
              </w:rPr>
              <w:t>；二级</w:t>
            </w:r>
            <w:r>
              <w:t>□</w:t>
            </w:r>
            <w:r>
              <w:rPr>
                <w:rFonts w:ascii="仿宋_GB2312"/>
              </w:rPr>
              <w:t>；三级</w:t>
            </w:r>
            <w:r>
              <w:t>A □</w:t>
            </w:r>
            <w:r>
              <w:rPr>
                <w:rFonts w:ascii="仿宋_GB2312"/>
              </w:rPr>
              <w:t>；三级</w:t>
            </w:r>
            <w:r>
              <w:t>B</w:t>
            </w:r>
            <w:r>
              <w:rPr>
                <w:rFonts w:hint="eastAsia" w:ascii="黑体" w:hAnsi="黑体"/>
              </w:rPr>
              <w:t>√</w:t>
            </w:r>
          </w:p>
        </w:tc>
        <w:tc>
          <w:tcPr>
            <w:tcW w:w="2211" w:type="pct"/>
            <w:gridSpan w:val="7"/>
            <w:vAlign w:val="center"/>
          </w:tcPr>
          <w:p>
            <w:pPr>
              <w:pStyle w:val="2057"/>
              <w:spacing w:afterLines="0"/>
              <w:ind w:firstLine="0" w:firstLineChars="0"/>
            </w:pPr>
            <w:r>
              <w:t>一级□</w:t>
            </w:r>
            <w:r>
              <w:rPr>
                <w:rFonts w:ascii="仿宋_GB2312"/>
              </w:rPr>
              <w:t>；二级</w:t>
            </w:r>
            <w:r>
              <w:rPr/>
              <w:sym w:font="Wingdings 2" w:char="0052"/>
            </w:r>
            <w:r>
              <w:rPr>
                <w:rFonts w:ascii="仿宋_GB2312"/>
              </w:rPr>
              <w:t>；三级</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restart"/>
            <w:noWrap/>
            <w:vAlign w:val="center"/>
          </w:tcPr>
          <w:p>
            <w:pPr>
              <w:pStyle w:val="2057"/>
              <w:spacing w:afterLines="0"/>
              <w:ind w:firstLine="0" w:firstLineChars="0"/>
            </w:pPr>
            <w:r>
              <w:t>现状调查</w:t>
            </w:r>
          </w:p>
        </w:tc>
        <w:tc>
          <w:tcPr>
            <w:tcW w:w="607" w:type="pct"/>
            <w:vMerge w:val="restart"/>
            <w:vAlign w:val="center"/>
          </w:tcPr>
          <w:p>
            <w:pPr>
              <w:pStyle w:val="2057"/>
              <w:spacing w:afterLines="0"/>
              <w:ind w:firstLine="0" w:firstLineChars="0"/>
            </w:pPr>
            <w:r>
              <w:t>区域污染源</w:t>
            </w:r>
          </w:p>
        </w:tc>
        <w:tc>
          <w:tcPr>
            <w:tcW w:w="1878" w:type="pct"/>
            <w:gridSpan w:val="4"/>
            <w:noWrap/>
            <w:vAlign w:val="center"/>
          </w:tcPr>
          <w:p>
            <w:pPr>
              <w:pStyle w:val="2057"/>
              <w:spacing w:afterLines="0"/>
              <w:ind w:firstLine="0" w:firstLineChars="0"/>
            </w:pPr>
            <w:r>
              <w:t>调查项目</w:t>
            </w:r>
          </w:p>
        </w:tc>
        <w:tc>
          <w:tcPr>
            <w:tcW w:w="2211" w:type="pct"/>
            <w:gridSpan w:val="7"/>
            <w:noWrap/>
            <w:vAlign w:val="center"/>
          </w:tcPr>
          <w:p>
            <w:pPr>
              <w:pStyle w:val="2057"/>
              <w:spacing w:afterLines="0"/>
              <w:ind w:firstLine="0" w:firstLineChars="0"/>
            </w:pPr>
            <w: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Merge w:val="continue"/>
            <w:vAlign w:val="center"/>
          </w:tcPr>
          <w:p>
            <w:pPr>
              <w:pStyle w:val="2057"/>
              <w:spacing w:afterLines="0"/>
              <w:ind w:firstLine="0" w:firstLineChars="0"/>
              <w:rPr>
                <w:rFonts w:eastAsia="仿宋_GB2312"/>
              </w:rPr>
            </w:pPr>
          </w:p>
        </w:tc>
        <w:tc>
          <w:tcPr>
            <w:tcW w:w="837" w:type="pct"/>
            <w:gridSpan w:val="2"/>
            <w:vAlign w:val="center"/>
          </w:tcPr>
          <w:p>
            <w:pPr>
              <w:pStyle w:val="2057"/>
              <w:spacing w:afterLines="0"/>
              <w:ind w:firstLine="0" w:firstLineChars="0"/>
            </w:pPr>
            <w:r>
              <w:t>已建□</w:t>
            </w:r>
            <w:r>
              <w:rPr>
                <w:rFonts w:ascii="仿宋_GB2312"/>
              </w:rPr>
              <w:t>；在建</w:t>
            </w:r>
            <w:r>
              <w:t>□</w:t>
            </w:r>
            <w:r>
              <w:rPr>
                <w:rFonts w:ascii="仿宋_GB2312"/>
              </w:rPr>
              <w:t>；拟建</w:t>
            </w:r>
            <w:r>
              <w:t>□</w:t>
            </w:r>
            <w:r>
              <w:rPr>
                <w:rFonts w:ascii="仿宋_GB2312"/>
              </w:rPr>
              <w:t>；其他</w:t>
            </w:r>
            <w:r>
              <w:t>□</w:t>
            </w:r>
          </w:p>
        </w:tc>
        <w:tc>
          <w:tcPr>
            <w:tcW w:w="1041" w:type="pct"/>
            <w:gridSpan w:val="2"/>
            <w:vAlign w:val="center"/>
          </w:tcPr>
          <w:p>
            <w:pPr>
              <w:pStyle w:val="2057"/>
              <w:spacing w:afterLines="0"/>
              <w:ind w:firstLine="0" w:firstLineChars="0"/>
            </w:pPr>
            <w:r>
              <w:t>拟替代的污染源□</w:t>
            </w:r>
          </w:p>
        </w:tc>
        <w:tc>
          <w:tcPr>
            <w:tcW w:w="2211" w:type="pct"/>
            <w:gridSpan w:val="7"/>
            <w:vAlign w:val="center"/>
          </w:tcPr>
          <w:p>
            <w:pPr>
              <w:pStyle w:val="2057"/>
              <w:spacing w:afterLines="0"/>
              <w:ind w:firstLine="0" w:firstLineChars="0"/>
            </w:pPr>
            <w:r>
              <w:t>排污许可证□</w:t>
            </w:r>
            <w:r>
              <w:rPr>
                <w:rFonts w:ascii="仿宋_GB2312"/>
              </w:rPr>
              <w:t>；环评</w:t>
            </w:r>
            <w:r>
              <w:t>□</w:t>
            </w:r>
            <w:r>
              <w:rPr>
                <w:rFonts w:ascii="仿宋_GB2312"/>
              </w:rPr>
              <w:t>；环保验收</w:t>
            </w:r>
            <w:r>
              <w:t>□</w:t>
            </w:r>
            <w:r>
              <w:rPr>
                <w:rFonts w:ascii="仿宋_GB2312"/>
              </w:rPr>
              <w:t>；既有实测</w:t>
            </w:r>
            <w:r>
              <w:t>□</w:t>
            </w:r>
            <w:r>
              <w:rPr>
                <w:rFonts w:ascii="仿宋_GB2312"/>
              </w:rPr>
              <w:t>；现场监测</w:t>
            </w:r>
            <w:r>
              <w:rPr/>
              <w:sym w:font="Wingdings 2" w:char="0052"/>
            </w:r>
            <w:r>
              <w:rPr>
                <w:rFonts w:ascii="仿宋_GB2312"/>
              </w:rPr>
              <w:t>；入河排放口数据</w:t>
            </w:r>
            <w:r>
              <w:t>□</w:t>
            </w:r>
            <w:r>
              <w:rPr>
                <w:rFonts w:ascii="仿宋_GB2312"/>
              </w:rPr>
              <w:t>；其他</w:t>
            </w:r>
            <w:r>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Merge w:val="restart"/>
            <w:vAlign w:val="center"/>
          </w:tcPr>
          <w:p>
            <w:pPr>
              <w:pStyle w:val="2057"/>
              <w:spacing w:afterLines="0"/>
              <w:ind w:firstLine="0" w:firstLineChars="0"/>
            </w:pPr>
            <w:r>
              <w:t>受影响水体水环境质量</w:t>
            </w:r>
          </w:p>
        </w:tc>
        <w:tc>
          <w:tcPr>
            <w:tcW w:w="1878" w:type="pct"/>
            <w:gridSpan w:val="4"/>
            <w:noWrap/>
            <w:vAlign w:val="center"/>
          </w:tcPr>
          <w:p>
            <w:pPr>
              <w:pStyle w:val="2057"/>
              <w:spacing w:afterLines="0"/>
              <w:ind w:firstLine="0" w:firstLineChars="0"/>
            </w:pPr>
            <w:r>
              <w:t>调查时期</w:t>
            </w:r>
          </w:p>
        </w:tc>
        <w:tc>
          <w:tcPr>
            <w:tcW w:w="2211" w:type="pct"/>
            <w:gridSpan w:val="7"/>
            <w:noWrap/>
            <w:vAlign w:val="center"/>
          </w:tcPr>
          <w:p>
            <w:pPr>
              <w:pStyle w:val="2057"/>
              <w:spacing w:afterLines="0"/>
              <w:ind w:firstLine="0" w:firstLineChars="0"/>
            </w:pPr>
            <w: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Merge w:val="continue"/>
            <w:vAlign w:val="center"/>
          </w:tcPr>
          <w:p>
            <w:pPr>
              <w:pStyle w:val="2057"/>
              <w:spacing w:afterLines="0"/>
              <w:ind w:firstLine="0" w:firstLineChars="0"/>
              <w:rPr>
                <w:rFonts w:eastAsia="仿宋_GB2312"/>
              </w:rPr>
            </w:pPr>
          </w:p>
        </w:tc>
        <w:tc>
          <w:tcPr>
            <w:tcW w:w="1878" w:type="pct"/>
            <w:gridSpan w:val="4"/>
            <w:vAlign w:val="center"/>
          </w:tcPr>
          <w:p>
            <w:pPr>
              <w:pStyle w:val="2057"/>
              <w:spacing w:afterLines="0"/>
              <w:ind w:firstLine="0" w:firstLineChars="0"/>
              <w:rPr>
                <w:rFonts w:ascii="仿宋_GB2312"/>
              </w:rPr>
            </w:pPr>
            <w:r>
              <w:t>丰水期□</w:t>
            </w:r>
            <w:r>
              <w:rPr>
                <w:rFonts w:ascii="仿宋_GB2312"/>
              </w:rPr>
              <w:t>；平水期</w:t>
            </w:r>
            <w:r>
              <w:t>□</w:t>
            </w:r>
            <w:r>
              <w:rPr>
                <w:rFonts w:ascii="仿宋_GB2312"/>
              </w:rPr>
              <w:t>；枯水期</w:t>
            </w:r>
            <w:r>
              <w:rPr/>
              <w:sym w:font="Wingdings 2" w:char="0052"/>
            </w:r>
            <w:r>
              <w:rPr>
                <w:rFonts w:ascii="仿宋_GB2312"/>
              </w:rPr>
              <w:t>；冰封期</w:t>
            </w:r>
          </w:p>
          <w:p>
            <w:pPr>
              <w:pStyle w:val="2057"/>
              <w:spacing w:afterLines="0"/>
              <w:ind w:firstLine="0" w:firstLineChars="0"/>
            </w:pPr>
            <w:r>
              <w:t>□春季□</w:t>
            </w:r>
            <w:r>
              <w:rPr>
                <w:rFonts w:ascii="仿宋_GB2312"/>
              </w:rPr>
              <w:t>；夏季</w:t>
            </w:r>
            <w:r>
              <w:t>□</w:t>
            </w:r>
            <w:r>
              <w:rPr>
                <w:rFonts w:ascii="仿宋_GB2312"/>
              </w:rPr>
              <w:t>；秋季</w:t>
            </w:r>
            <w:r>
              <w:t>□</w:t>
            </w:r>
            <w:r>
              <w:rPr>
                <w:rFonts w:ascii="仿宋_GB2312"/>
              </w:rPr>
              <w:t>；冬季</w:t>
            </w:r>
            <w:r>
              <w:t>□</w:t>
            </w:r>
          </w:p>
        </w:tc>
        <w:tc>
          <w:tcPr>
            <w:tcW w:w="2211" w:type="pct"/>
            <w:gridSpan w:val="7"/>
            <w:noWrap/>
            <w:vAlign w:val="center"/>
          </w:tcPr>
          <w:p>
            <w:pPr>
              <w:pStyle w:val="2057"/>
              <w:spacing w:afterLines="0"/>
              <w:ind w:firstLine="0" w:firstLineChars="0"/>
            </w:pPr>
            <w:r>
              <w:t>生态环境保护主管部门</w:t>
            </w:r>
            <w:r>
              <w:rPr/>
              <w:sym w:font="Wingdings 2" w:char="0052"/>
            </w:r>
            <w:r>
              <w:rPr>
                <w:rFonts w:ascii="仿宋_GB2312"/>
              </w:rPr>
              <w:t>；补充监测</w:t>
            </w:r>
            <w:r>
              <w:rPr/>
              <w:sym w:font="Wingdings 2" w:char="0052"/>
            </w:r>
            <w:r>
              <w:rPr>
                <w:rFonts w:ascii="仿宋_GB2312"/>
              </w:rPr>
              <w:t>；其他</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Align w:val="center"/>
          </w:tcPr>
          <w:p>
            <w:pPr>
              <w:pStyle w:val="2057"/>
              <w:spacing w:afterLines="0"/>
              <w:ind w:firstLine="0" w:firstLineChars="0"/>
            </w:pPr>
            <w:r>
              <w:t>区域水资源开发利用状况</w:t>
            </w:r>
          </w:p>
        </w:tc>
        <w:tc>
          <w:tcPr>
            <w:tcW w:w="4088" w:type="pct"/>
            <w:gridSpan w:val="11"/>
            <w:noWrap/>
            <w:vAlign w:val="center"/>
          </w:tcPr>
          <w:p>
            <w:pPr>
              <w:pStyle w:val="2057"/>
              <w:spacing w:afterLines="0"/>
              <w:ind w:firstLine="0" w:firstLineChars="0"/>
            </w:pPr>
            <w:r>
              <w:t>未开发□</w:t>
            </w:r>
            <w:r>
              <w:rPr>
                <w:rFonts w:ascii="仿宋_GB2312"/>
              </w:rPr>
              <w:t>；开发量</w:t>
            </w:r>
            <w:r>
              <w:t>40%</w:t>
            </w:r>
            <w:r>
              <w:rPr>
                <w:rFonts w:ascii="仿宋_GB2312"/>
              </w:rPr>
              <w:t>以下</w:t>
            </w:r>
            <w:r>
              <w:t>□</w:t>
            </w:r>
            <w:r>
              <w:rPr>
                <w:rFonts w:ascii="仿宋_GB2312"/>
              </w:rPr>
              <w:t>；开发量</w:t>
            </w:r>
            <w:r>
              <w:t>40%</w:t>
            </w:r>
            <w:r>
              <w:rPr>
                <w:rFonts w:ascii="仿宋_GB2312"/>
              </w:rPr>
              <w:t>以上</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Merge w:val="restart"/>
            <w:vAlign w:val="center"/>
          </w:tcPr>
          <w:p>
            <w:pPr>
              <w:pStyle w:val="2057"/>
              <w:spacing w:afterLines="0"/>
              <w:ind w:firstLine="0" w:firstLineChars="0"/>
            </w:pPr>
            <w:r>
              <w:t xml:space="preserve">水文情势调查 </w:t>
            </w:r>
          </w:p>
        </w:tc>
        <w:tc>
          <w:tcPr>
            <w:tcW w:w="1878" w:type="pct"/>
            <w:gridSpan w:val="4"/>
            <w:noWrap/>
            <w:vAlign w:val="center"/>
          </w:tcPr>
          <w:p>
            <w:pPr>
              <w:pStyle w:val="2057"/>
              <w:spacing w:afterLines="0"/>
              <w:ind w:firstLine="0" w:firstLineChars="0"/>
            </w:pPr>
            <w:r>
              <w:t>调查时期</w:t>
            </w:r>
          </w:p>
        </w:tc>
        <w:tc>
          <w:tcPr>
            <w:tcW w:w="2211" w:type="pct"/>
            <w:gridSpan w:val="7"/>
            <w:noWrap/>
            <w:vAlign w:val="center"/>
          </w:tcPr>
          <w:p>
            <w:pPr>
              <w:pStyle w:val="2057"/>
              <w:spacing w:afterLines="0"/>
              <w:ind w:firstLine="0" w:firstLineChars="0"/>
            </w:pPr>
            <w: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Merge w:val="continue"/>
            <w:vAlign w:val="center"/>
          </w:tcPr>
          <w:p>
            <w:pPr>
              <w:pStyle w:val="2057"/>
              <w:spacing w:afterLines="0"/>
              <w:ind w:firstLine="0" w:firstLineChars="0"/>
              <w:rPr>
                <w:rFonts w:eastAsia="仿宋_GB2312"/>
              </w:rPr>
            </w:pPr>
          </w:p>
        </w:tc>
        <w:tc>
          <w:tcPr>
            <w:tcW w:w="1878" w:type="pct"/>
            <w:gridSpan w:val="4"/>
            <w:vAlign w:val="center"/>
          </w:tcPr>
          <w:p>
            <w:pPr>
              <w:pStyle w:val="2057"/>
              <w:spacing w:afterLines="0"/>
              <w:ind w:firstLine="0" w:firstLineChars="0"/>
            </w:pPr>
            <w:r>
              <w:t>丰水期</w:t>
            </w:r>
            <w:r>
              <w:rPr/>
              <w:sym w:font="Wingdings 2" w:char="0052"/>
            </w:r>
            <w:r>
              <w:rPr>
                <w:rFonts w:ascii="仿宋_GB2312"/>
              </w:rPr>
              <w:t>；平水期</w:t>
            </w:r>
            <w:r>
              <w:t>□</w:t>
            </w:r>
            <w:r>
              <w:rPr>
                <w:rFonts w:ascii="仿宋_GB2312"/>
              </w:rPr>
              <w:t>；枯水期</w:t>
            </w:r>
            <w:r>
              <w:rPr/>
              <w:sym w:font="Wingdings 2" w:char="00A3"/>
            </w:r>
            <w:r>
              <w:rPr>
                <w:rFonts w:ascii="仿宋_GB2312"/>
              </w:rPr>
              <w:t>；冰封期</w:t>
            </w:r>
            <w:r>
              <w:t>□</w:t>
            </w:r>
          </w:p>
          <w:p>
            <w:pPr>
              <w:pStyle w:val="2057"/>
              <w:spacing w:afterLines="0"/>
              <w:ind w:firstLine="0" w:firstLineChars="0"/>
            </w:pPr>
            <w:r>
              <w:t>春季□</w:t>
            </w:r>
            <w:r>
              <w:rPr>
                <w:rFonts w:ascii="仿宋_GB2312"/>
              </w:rPr>
              <w:t>；夏季</w:t>
            </w:r>
            <w:r>
              <w:t>□</w:t>
            </w:r>
            <w:r>
              <w:rPr>
                <w:rFonts w:ascii="仿宋_GB2312"/>
              </w:rPr>
              <w:t>；秋季</w:t>
            </w:r>
            <w:r>
              <w:t>□</w:t>
            </w:r>
            <w:r>
              <w:rPr>
                <w:rFonts w:ascii="仿宋_GB2312"/>
              </w:rPr>
              <w:t>；冬季</w:t>
            </w:r>
            <w:r>
              <w:t>□</w:t>
            </w:r>
          </w:p>
        </w:tc>
        <w:tc>
          <w:tcPr>
            <w:tcW w:w="2211" w:type="pct"/>
            <w:gridSpan w:val="7"/>
            <w:noWrap/>
            <w:vAlign w:val="center"/>
          </w:tcPr>
          <w:p>
            <w:pPr>
              <w:pStyle w:val="2057"/>
              <w:spacing w:afterLines="0"/>
              <w:ind w:firstLine="0" w:firstLineChars="0"/>
            </w:pPr>
            <w:r>
              <w:t>水行政主管部门□</w:t>
            </w:r>
            <w:r>
              <w:rPr>
                <w:rFonts w:ascii="仿宋_GB2312"/>
              </w:rPr>
              <w:t>；补充监测</w:t>
            </w:r>
            <w:r>
              <w:t>□</w:t>
            </w:r>
            <w:r>
              <w:rPr>
                <w:rFonts w:ascii="仿宋_GB2312"/>
              </w:rPr>
              <w:t>；其他</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Merge w:val="restart"/>
            <w:vAlign w:val="center"/>
          </w:tcPr>
          <w:p>
            <w:pPr>
              <w:pStyle w:val="2057"/>
              <w:spacing w:afterLines="0"/>
              <w:ind w:firstLine="0" w:firstLineChars="0"/>
            </w:pPr>
            <w:r>
              <w:t xml:space="preserve">补充监测 </w:t>
            </w:r>
          </w:p>
        </w:tc>
        <w:tc>
          <w:tcPr>
            <w:tcW w:w="1878" w:type="pct"/>
            <w:gridSpan w:val="4"/>
            <w:vAlign w:val="center"/>
          </w:tcPr>
          <w:p>
            <w:pPr>
              <w:pStyle w:val="2057"/>
              <w:spacing w:afterLines="0"/>
              <w:ind w:firstLine="0" w:firstLineChars="0"/>
            </w:pPr>
            <w:r>
              <w:t>监测时期</w:t>
            </w:r>
          </w:p>
        </w:tc>
        <w:tc>
          <w:tcPr>
            <w:tcW w:w="1208" w:type="pct"/>
            <w:gridSpan w:val="5"/>
            <w:noWrap/>
            <w:vAlign w:val="center"/>
          </w:tcPr>
          <w:p>
            <w:pPr>
              <w:pStyle w:val="2057"/>
              <w:spacing w:afterLines="0"/>
              <w:ind w:firstLine="0" w:firstLineChars="0"/>
            </w:pPr>
            <w:r>
              <w:t>监测因子</w:t>
            </w:r>
          </w:p>
        </w:tc>
        <w:tc>
          <w:tcPr>
            <w:tcW w:w="1003" w:type="pct"/>
            <w:gridSpan w:val="2"/>
            <w:noWrap/>
            <w:vAlign w:val="center"/>
          </w:tcPr>
          <w:p>
            <w:pPr>
              <w:pStyle w:val="2057"/>
              <w:spacing w:afterLines="0"/>
              <w:ind w:firstLine="0" w:firstLineChars="0"/>
            </w:pPr>
            <w:r>
              <w:t>监测断面或点位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Merge w:val="continue"/>
            <w:vAlign w:val="center"/>
          </w:tcPr>
          <w:p>
            <w:pPr>
              <w:pStyle w:val="2057"/>
              <w:spacing w:afterLines="0"/>
              <w:ind w:firstLine="0" w:firstLineChars="0"/>
              <w:rPr>
                <w:rFonts w:eastAsia="仿宋_GB2312"/>
              </w:rPr>
            </w:pPr>
          </w:p>
        </w:tc>
        <w:tc>
          <w:tcPr>
            <w:tcW w:w="1878" w:type="pct"/>
            <w:gridSpan w:val="4"/>
            <w:vAlign w:val="center"/>
          </w:tcPr>
          <w:p>
            <w:pPr>
              <w:pStyle w:val="2057"/>
              <w:spacing w:afterLines="0"/>
              <w:ind w:firstLine="0" w:firstLineChars="0"/>
            </w:pPr>
            <w:r>
              <w:t>丰水期</w:t>
            </w:r>
            <w:r>
              <w:rPr/>
              <w:sym w:font="Wingdings 2" w:char="0052"/>
            </w:r>
            <w:r>
              <w:rPr>
                <w:rFonts w:ascii="仿宋_GB2312"/>
              </w:rPr>
              <w:t>；平水期</w:t>
            </w:r>
            <w:r>
              <w:t>□</w:t>
            </w:r>
            <w:r>
              <w:rPr>
                <w:rFonts w:ascii="仿宋_GB2312"/>
              </w:rPr>
              <w:t>；枯水期</w:t>
            </w:r>
            <w:r>
              <w:t>□</w:t>
            </w:r>
            <w:r>
              <w:rPr>
                <w:rFonts w:ascii="仿宋_GB2312"/>
              </w:rPr>
              <w:t>；冰封期</w:t>
            </w:r>
            <w:r>
              <w:t>□</w:t>
            </w:r>
          </w:p>
          <w:p>
            <w:pPr>
              <w:pStyle w:val="2057"/>
              <w:spacing w:afterLines="0"/>
              <w:ind w:firstLine="0" w:firstLineChars="0"/>
            </w:pPr>
            <w:r>
              <w:t>春季□</w:t>
            </w:r>
            <w:r>
              <w:rPr>
                <w:rFonts w:ascii="仿宋_GB2312"/>
              </w:rPr>
              <w:t>；夏季</w:t>
            </w:r>
            <w:r>
              <w:t>□</w:t>
            </w:r>
            <w:r>
              <w:rPr>
                <w:rFonts w:ascii="仿宋_GB2312"/>
              </w:rPr>
              <w:t>；秋季</w:t>
            </w:r>
            <w:r>
              <w:t>□</w:t>
            </w:r>
            <w:r>
              <w:rPr>
                <w:rFonts w:ascii="仿宋_GB2312"/>
              </w:rPr>
              <w:t>；冬季</w:t>
            </w:r>
            <w:r>
              <w:t>□</w:t>
            </w:r>
          </w:p>
        </w:tc>
        <w:tc>
          <w:tcPr>
            <w:tcW w:w="1208" w:type="pct"/>
            <w:gridSpan w:val="5"/>
            <w:noWrap/>
            <w:vAlign w:val="center"/>
          </w:tcPr>
          <w:p>
            <w:pPr>
              <w:pStyle w:val="2057"/>
              <w:spacing w:afterLines="0"/>
              <w:ind w:firstLine="0" w:firstLineChars="0"/>
            </w:pPr>
            <w:r>
              <w:t>pH</w:t>
            </w:r>
            <w:r>
              <w:rPr>
                <w:rFonts w:ascii="宋体" w:hAnsi="宋体"/>
              </w:rPr>
              <w:t>、总磷、溶解氧、化学需氧量、生化需氧量、氨氮、高锰酸盐指数、石油类、水温</w:t>
            </w:r>
          </w:p>
        </w:tc>
        <w:tc>
          <w:tcPr>
            <w:tcW w:w="1003" w:type="pct"/>
            <w:gridSpan w:val="2"/>
            <w:noWrap/>
            <w:vAlign w:val="center"/>
          </w:tcPr>
          <w:p>
            <w:pPr>
              <w:pStyle w:val="2057"/>
              <w:spacing w:afterLines="0"/>
              <w:ind w:firstLine="0" w:firstLineChars="0"/>
            </w:pPr>
            <w:r>
              <w:t>监测断面或点位个数（</w:t>
            </w:r>
            <w:r>
              <w:rPr>
                <w:rFonts w:hint="eastAsia"/>
              </w:rPr>
              <w:t>3</w:t>
            </w:r>
            <w: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restart"/>
            <w:noWrap/>
            <w:vAlign w:val="center"/>
          </w:tcPr>
          <w:p>
            <w:pPr>
              <w:pStyle w:val="2057"/>
              <w:spacing w:afterLines="0"/>
              <w:ind w:firstLine="0" w:firstLineChars="0"/>
            </w:pPr>
            <w:r>
              <w:t>现状评价</w:t>
            </w:r>
          </w:p>
        </w:tc>
        <w:tc>
          <w:tcPr>
            <w:tcW w:w="607" w:type="pct"/>
            <w:vAlign w:val="center"/>
          </w:tcPr>
          <w:p>
            <w:pPr>
              <w:pStyle w:val="2057"/>
              <w:spacing w:afterLines="0"/>
              <w:ind w:firstLine="0" w:firstLineChars="0"/>
            </w:pPr>
            <w:r>
              <w:t>评价范围</w:t>
            </w:r>
          </w:p>
        </w:tc>
        <w:tc>
          <w:tcPr>
            <w:tcW w:w="4088" w:type="pct"/>
            <w:gridSpan w:val="11"/>
            <w:noWrap/>
            <w:vAlign w:val="center"/>
          </w:tcPr>
          <w:p>
            <w:pPr>
              <w:pStyle w:val="2057"/>
              <w:spacing w:afterLines="0"/>
              <w:ind w:firstLine="0" w:firstLineChars="0"/>
            </w:pPr>
            <w:r>
              <w:t>河流：长度（</w:t>
            </w:r>
            <w:r>
              <w:rPr>
                <w:rFonts w:hint="eastAsia"/>
              </w:rPr>
              <w:t>16</w:t>
            </w:r>
            <w:r>
              <w:t>）km</w:t>
            </w:r>
            <w:r>
              <w:rPr>
                <w:rFonts w:ascii="仿宋_GB2312"/>
              </w:rPr>
              <w:t>；湖库、河口及近岸海域：面积（）</w:t>
            </w:r>
            <w:r>
              <w:t>km</w:t>
            </w:r>
            <w:r>
              <w:rPr>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Align w:val="center"/>
          </w:tcPr>
          <w:p>
            <w:pPr>
              <w:pStyle w:val="2057"/>
              <w:spacing w:afterLines="0"/>
              <w:ind w:firstLine="0" w:firstLineChars="0"/>
            </w:pPr>
            <w:r>
              <w:t>评价因子</w:t>
            </w:r>
          </w:p>
        </w:tc>
        <w:tc>
          <w:tcPr>
            <w:tcW w:w="4088" w:type="pct"/>
            <w:gridSpan w:val="11"/>
            <w:noWrap/>
            <w:vAlign w:val="center"/>
          </w:tcPr>
          <w:p>
            <w:pPr>
              <w:pStyle w:val="2057"/>
              <w:spacing w:afterLines="0"/>
              <w:ind w:firstLine="0" w:firstLineChars="0"/>
            </w:pPr>
            <w:r>
              <w:t>pH</w:t>
            </w:r>
            <w:r>
              <w:rPr>
                <w:rFonts w:ascii="宋体" w:hAnsi="宋体"/>
              </w:rPr>
              <w:t>、总磷、溶解氧、化学需氧量、生化需氧量、氨氮、高锰酸盐指数、石油类、水温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Align w:val="center"/>
          </w:tcPr>
          <w:p>
            <w:pPr>
              <w:pStyle w:val="2057"/>
              <w:spacing w:afterLines="0"/>
              <w:ind w:firstLine="0" w:firstLineChars="0"/>
            </w:pPr>
            <w:r>
              <w:t>评价标准</w:t>
            </w:r>
          </w:p>
        </w:tc>
        <w:tc>
          <w:tcPr>
            <w:tcW w:w="4088" w:type="pct"/>
            <w:gridSpan w:val="11"/>
            <w:noWrap/>
            <w:vAlign w:val="center"/>
          </w:tcPr>
          <w:p>
            <w:pPr>
              <w:pStyle w:val="2057"/>
              <w:spacing w:afterLines="0"/>
              <w:ind w:firstLine="0" w:firstLineChars="0"/>
            </w:pPr>
            <w:r>
              <w:t>河流、湖库、河口：Ⅰ</w:t>
            </w:r>
            <w:r>
              <w:rPr>
                <w:rFonts w:ascii="仿宋_GB2312"/>
              </w:rPr>
              <w:t>类</w:t>
            </w:r>
            <w:r>
              <w:t>□</w:t>
            </w:r>
            <w:r>
              <w:rPr>
                <w:rFonts w:ascii="仿宋_GB2312"/>
              </w:rPr>
              <w:t>；</w:t>
            </w:r>
            <w:r>
              <w:t>Ⅱ</w:t>
            </w:r>
            <w:r>
              <w:rPr>
                <w:rFonts w:ascii="仿宋_GB2312"/>
              </w:rPr>
              <w:t>类</w:t>
            </w:r>
            <w:r>
              <w:rPr/>
              <w:sym w:font="Wingdings 2" w:char="00A3"/>
            </w:r>
            <w:r>
              <w:rPr>
                <w:rFonts w:ascii="仿宋_GB2312"/>
              </w:rPr>
              <w:t>；</w:t>
            </w:r>
            <w:r>
              <w:t>Ⅲ</w:t>
            </w:r>
            <w:r>
              <w:rPr>
                <w:rFonts w:ascii="仿宋_GB2312"/>
              </w:rPr>
              <w:t>类</w:t>
            </w:r>
            <w:r>
              <w:rPr/>
              <w:sym w:font="Wingdings 2" w:char="0052"/>
            </w:r>
            <w:r>
              <w:rPr>
                <w:rFonts w:ascii="仿宋_GB2312"/>
              </w:rPr>
              <w:t>；</w:t>
            </w:r>
            <w:r>
              <w:t>Ⅳ</w:t>
            </w:r>
            <w:r>
              <w:rPr>
                <w:rFonts w:ascii="仿宋_GB2312"/>
              </w:rPr>
              <w:t>类</w:t>
            </w:r>
            <w:r>
              <w:t>□；Ⅴ</w:t>
            </w:r>
            <w:r>
              <w:rPr>
                <w:rFonts w:ascii="仿宋_GB2312"/>
              </w:rPr>
              <w:t>类</w:t>
            </w:r>
            <w:r>
              <w:t>□</w:t>
            </w:r>
          </w:p>
          <w:p>
            <w:pPr>
              <w:pStyle w:val="2057"/>
              <w:spacing w:afterLines="0"/>
              <w:ind w:firstLine="0" w:firstLineChars="0"/>
            </w:pPr>
            <w:r>
              <w:t>近岸海域：第一类□</w:t>
            </w:r>
            <w:r>
              <w:rPr>
                <w:rFonts w:ascii="仿宋_GB2312"/>
              </w:rPr>
              <w:t>；第二类</w:t>
            </w:r>
            <w:r>
              <w:t>□</w:t>
            </w:r>
            <w:r>
              <w:rPr>
                <w:rFonts w:ascii="仿宋_GB2312"/>
              </w:rPr>
              <w:t>；第三类</w:t>
            </w:r>
            <w:r>
              <w:t>□</w:t>
            </w:r>
            <w:r>
              <w:rPr>
                <w:rFonts w:ascii="仿宋_GB2312"/>
              </w:rPr>
              <w:t>；第四类</w:t>
            </w:r>
            <w:r>
              <w:t>□</w:t>
            </w:r>
          </w:p>
          <w:p>
            <w:pPr>
              <w:pStyle w:val="2057"/>
              <w:spacing w:afterLines="0"/>
              <w:ind w:firstLine="0" w:firstLineChars="0"/>
            </w:pPr>
            <w:r>
              <w:t>规划年评价标准（）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Align w:val="center"/>
          </w:tcPr>
          <w:p>
            <w:pPr>
              <w:pStyle w:val="2057"/>
              <w:spacing w:afterLines="0"/>
              <w:ind w:firstLine="0" w:firstLineChars="0"/>
            </w:pPr>
            <w:r>
              <w:t>评价时期</w:t>
            </w:r>
          </w:p>
        </w:tc>
        <w:tc>
          <w:tcPr>
            <w:tcW w:w="4088" w:type="pct"/>
            <w:gridSpan w:val="11"/>
            <w:vAlign w:val="center"/>
          </w:tcPr>
          <w:p>
            <w:pPr>
              <w:pStyle w:val="2057"/>
              <w:spacing w:afterLines="0"/>
              <w:ind w:firstLine="0" w:firstLineChars="0"/>
            </w:pPr>
            <w:r>
              <w:t>丰水期</w:t>
            </w:r>
            <w:r>
              <w:rPr/>
              <w:sym w:font="Wingdings 2" w:char="0052"/>
            </w:r>
            <w:r>
              <w:rPr>
                <w:rFonts w:ascii="仿宋_GB2312"/>
              </w:rPr>
              <w:t>；平水期</w:t>
            </w:r>
            <w:r>
              <w:t>□</w:t>
            </w:r>
            <w:r>
              <w:rPr>
                <w:rFonts w:ascii="仿宋_GB2312"/>
              </w:rPr>
              <w:t>；枯水期</w:t>
            </w:r>
            <w:r>
              <w:rPr/>
              <w:sym w:font="Wingdings 2" w:char="0052"/>
            </w:r>
            <w:r>
              <w:rPr>
                <w:rFonts w:ascii="仿宋_GB2312"/>
              </w:rPr>
              <w:t>；冰封期</w:t>
            </w:r>
            <w:r>
              <w:t>□</w:t>
            </w:r>
          </w:p>
          <w:p>
            <w:pPr>
              <w:pStyle w:val="2057"/>
              <w:spacing w:afterLines="0"/>
              <w:ind w:firstLine="0" w:firstLineChars="0"/>
            </w:pPr>
            <w:r>
              <w:t>春季□</w:t>
            </w:r>
            <w:r>
              <w:rPr>
                <w:rFonts w:ascii="仿宋_GB2312"/>
              </w:rPr>
              <w:t>；夏季</w:t>
            </w:r>
            <w:r>
              <w:rPr/>
              <w:sym w:font="Wingdings 2" w:char="0052"/>
            </w:r>
            <w:r>
              <w:rPr>
                <w:rFonts w:ascii="仿宋_GB2312"/>
              </w:rPr>
              <w:t>；秋季</w:t>
            </w:r>
            <w:r>
              <w:t>□</w:t>
            </w:r>
            <w:r>
              <w:rPr>
                <w:rFonts w:ascii="仿宋_GB2312"/>
              </w:rPr>
              <w:t>；冬季</w:t>
            </w:r>
            <w:r>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Align w:val="center"/>
          </w:tcPr>
          <w:p>
            <w:pPr>
              <w:pStyle w:val="2057"/>
              <w:spacing w:afterLines="0"/>
              <w:ind w:firstLine="0" w:firstLineChars="0"/>
            </w:pPr>
            <w:r>
              <w:t>评价结论</w:t>
            </w:r>
          </w:p>
        </w:tc>
        <w:tc>
          <w:tcPr>
            <w:tcW w:w="3368" w:type="pct"/>
            <w:gridSpan w:val="10"/>
            <w:vAlign w:val="center"/>
          </w:tcPr>
          <w:p>
            <w:pPr>
              <w:pStyle w:val="2057"/>
              <w:spacing w:afterLines="0"/>
              <w:ind w:firstLine="0" w:firstLineChars="0"/>
            </w:pPr>
            <w:r>
              <w:t>水环境功能区或水功能区、近岸海域环境功能区水质达标状况</w:t>
            </w:r>
            <w:r>
              <w:rPr>
                <w:rFonts w:ascii="仿宋_GB2312"/>
              </w:rPr>
              <w:t>：达标</w:t>
            </w:r>
            <w:r>
              <w:rPr/>
              <w:sym w:font="Wingdings 2" w:char="0052"/>
            </w:r>
            <w:r>
              <w:rPr>
                <w:rFonts w:ascii="仿宋_GB2312"/>
              </w:rPr>
              <w:t>；不达标</w:t>
            </w:r>
            <w:r>
              <w:t>□</w:t>
            </w:r>
          </w:p>
          <w:p>
            <w:pPr>
              <w:pStyle w:val="2057"/>
              <w:spacing w:afterLines="0"/>
              <w:ind w:firstLine="0" w:firstLineChars="0"/>
            </w:pPr>
            <w:r>
              <w:t>水环境控制单元或断面水质达标状况</w:t>
            </w:r>
            <w:r>
              <w:rPr>
                <w:rFonts w:ascii="仿宋_GB2312"/>
              </w:rPr>
              <w:t>：达标</w:t>
            </w:r>
            <w:r>
              <w:rPr/>
              <w:sym w:font="Wingdings 2" w:char="0052"/>
            </w:r>
            <w:r>
              <w:rPr>
                <w:rFonts w:ascii="仿宋_GB2312"/>
              </w:rPr>
              <w:t>；不达标</w:t>
            </w:r>
            <w:r>
              <w:t>□</w:t>
            </w:r>
          </w:p>
          <w:p>
            <w:pPr>
              <w:pStyle w:val="2057"/>
              <w:spacing w:afterLines="0"/>
              <w:ind w:firstLine="0" w:firstLineChars="0"/>
            </w:pPr>
            <w:r>
              <w:t>水环境保护目标质量状况</w:t>
            </w:r>
            <w:r>
              <w:rPr>
                <w:rFonts w:ascii="仿宋_GB2312"/>
              </w:rPr>
              <w:t>：达标</w:t>
            </w:r>
            <w:r>
              <w:rPr/>
              <w:sym w:font="Wingdings 2" w:char="0052"/>
            </w:r>
            <w:r>
              <w:rPr>
                <w:rFonts w:ascii="仿宋_GB2312"/>
              </w:rPr>
              <w:t>；不达标</w:t>
            </w:r>
            <w:r>
              <w:t>□</w:t>
            </w:r>
          </w:p>
          <w:p>
            <w:pPr>
              <w:pStyle w:val="2057"/>
              <w:spacing w:afterLines="0"/>
              <w:ind w:firstLine="0" w:firstLineChars="0"/>
            </w:pPr>
            <w:r>
              <w:t>对照断面、控制断面等代表性断面的水质状况</w:t>
            </w:r>
            <w:r>
              <w:rPr>
                <w:rFonts w:ascii="仿宋_GB2312"/>
              </w:rPr>
              <w:t>：达标</w:t>
            </w:r>
            <w:r>
              <w:rPr/>
              <w:sym w:font="Wingdings 2" w:char="0052"/>
            </w:r>
            <w:r>
              <w:rPr>
                <w:rFonts w:ascii="仿宋_GB2312"/>
              </w:rPr>
              <w:t>；不达标</w:t>
            </w:r>
            <w:r>
              <w:t>□</w:t>
            </w:r>
          </w:p>
          <w:p>
            <w:pPr>
              <w:pStyle w:val="2057"/>
              <w:spacing w:afterLines="0"/>
              <w:ind w:firstLine="0" w:firstLineChars="0"/>
            </w:pPr>
            <w:r>
              <w:t>底泥污染评价□</w:t>
            </w:r>
          </w:p>
          <w:p>
            <w:pPr>
              <w:pStyle w:val="2057"/>
              <w:spacing w:afterLines="0"/>
              <w:ind w:firstLine="0" w:firstLineChars="0"/>
            </w:pPr>
            <w:r>
              <w:t>水资源与开发利用程度及其水文情势评价□</w:t>
            </w:r>
          </w:p>
          <w:p>
            <w:pPr>
              <w:pStyle w:val="2057"/>
              <w:spacing w:afterLines="0"/>
              <w:ind w:firstLine="0" w:firstLineChars="0"/>
            </w:pPr>
            <w:r>
              <w:t>水环境质量回顾评价□</w:t>
            </w:r>
          </w:p>
          <w:p>
            <w:pPr>
              <w:pStyle w:val="2057"/>
              <w:spacing w:afterLines="0"/>
              <w:ind w:firstLine="0" w:firstLineChars="0"/>
            </w:pPr>
            <w:r>
              <w:t>流域（区域）水资源（包括水能资源）与开发利用总体状况、生态流量管理要求与现状满足程度、建设项目占用水域空间的水流状况与河湖演变状况□</w:t>
            </w:r>
          </w:p>
        </w:tc>
        <w:tc>
          <w:tcPr>
            <w:tcW w:w="721" w:type="pct"/>
            <w:vAlign w:val="center"/>
          </w:tcPr>
          <w:p>
            <w:pPr>
              <w:pStyle w:val="2057"/>
              <w:spacing w:afterLines="0"/>
              <w:ind w:firstLine="0" w:firstLineChars="0"/>
            </w:pPr>
            <w:r>
              <w:t>达标区</w:t>
            </w:r>
            <w:r>
              <w:rPr/>
              <w:sym w:font="Wingdings 2" w:char="0052"/>
            </w:r>
          </w:p>
          <w:p>
            <w:pPr>
              <w:pStyle w:val="2057"/>
              <w:spacing w:afterLines="0"/>
              <w:ind w:firstLine="0" w:firstLineChars="0"/>
            </w:pPr>
            <w:r>
              <w:t>不达标区□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restart"/>
            <w:noWrap/>
            <w:vAlign w:val="center"/>
          </w:tcPr>
          <w:p>
            <w:pPr>
              <w:pStyle w:val="2057"/>
              <w:spacing w:afterLines="0"/>
              <w:ind w:firstLine="0" w:firstLineChars="0"/>
            </w:pPr>
            <w:r>
              <w:t>影响预测</w:t>
            </w:r>
          </w:p>
        </w:tc>
        <w:tc>
          <w:tcPr>
            <w:tcW w:w="607" w:type="pct"/>
            <w:vAlign w:val="center"/>
          </w:tcPr>
          <w:p>
            <w:pPr>
              <w:pStyle w:val="2057"/>
              <w:spacing w:afterLines="0"/>
              <w:ind w:firstLine="0" w:firstLineChars="0"/>
            </w:pPr>
            <w:r>
              <w:t>预测范围</w:t>
            </w:r>
          </w:p>
        </w:tc>
        <w:tc>
          <w:tcPr>
            <w:tcW w:w="4088" w:type="pct"/>
            <w:gridSpan w:val="11"/>
            <w:noWrap/>
            <w:vAlign w:val="center"/>
          </w:tcPr>
          <w:p>
            <w:pPr>
              <w:pStyle w:val="2057"/>
              <w:spacing w:afterLines="0"/>
              <w:ind w:firstLine="0" w:firstLineChars="0"/>
            </w:pPr>
            <w:r>
              <w:t>河流：长度（</w:t>
            </w:r>
            <w:r>
              <w:rPr>
                <w:rFonts w:hint="eastAsia"/>
              </w:rPr>
              <w:t>16</w:t>
            </w:r>
            <w:r>
              <w:t>）km</w:t>
            </w:r>
            <w:r>
              <w:rPr>
                <w:rFonts w:ascii="仿宋_GB2312"/>
              </w:rPr>
              <w:t>；湖库、河口及近岸海域：面积（）</w:t>
            </w:r>
            <w:r>
              <w:t>km</w:t>
            </w:r>
            <w:r>
              <w:rPr>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Align w:val="center"/>
          </w:tcPr>
          <w:p>
            <w:pPr>
              <w:pStyle w:val="2057"/>
              <w:spacing w:afterLines="0"/>
              <w:ind w:firstLine="0" w:firstLineChars="0"/>
            </w:pPr>
            <w:r>
              <w:t>预测因子</w:t>
            </w:r>
          </w:p>
        </w:tc>
        <w:tc>
          <w:tcPr>
            <w:tcW w:w="4088" w:type="pct"/>
            <w:gridSpan w:val="11"/>
            <w:noWrap/>
            <w:vAlign w:val="center"/>
          </w:tcPr>
          <w:p>
            <w:pPr>
              <w:pStyle w:val="2057"/>
              <w:spacing w:afterLines="0"/>
              <w:ind w:firstLine="0" w:firstLineChars="0"/>
            </w:pPr>
            <w:r>
              <w:t>（</w:t>
            </w:r>
            <w:r>
              <w:rPr>
                <w:rFonts w:hint="eastAsia"/>
              </w:rPr>
              <w:t>/</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Align w:val="center"/>
          </w:tcPr>
          <w:p>
            <w:pPr>
              <w:pStyle w:val="2057"/>
              <w:spacing w:afterLines="0"/>
              <w:ind w:firstLine="0" w:firstLineChars="0"/>
            </w:pPr>
            <w:r>
              <w:t>预测时期</w:t>
            </w:r>
          </w:p>
        </w:tc>
        <w:tc>
          <w:tcPr>
            <w:tcW w:w="4088" w:type="pct"/>
            <w:gridSpan w:val="11"/>
            <w:vAlign w:val="center"/>
          </w:tcPr>
          <w:p>
            <w:pPr>
              <w:pStyle w:val="2057"/>
              <w:spacing w:afterLines="0"/>
              <w:ind w:firstLine="0" w:firstLineChars="0"/>
            </w:pPr>
            <w:r>
              <w:t>丰水期□</w:t>
            </w:r>
            <w:r>
              <w:rPr>
                <w:rFonts w:ascii="仿宋_GB2312"/>
              </w:rPr>
              <w:t>；平水期</w:t>
            </w:r>
            <w:r>
              <w:t>□</w:t>
            </w:r>
            <w:r>
              <w:rPr>
                <w:rFonts w:ascii="仿宋_GB2312"/>
              </w:rPr>
              <w:t>；枯水期</w:t>
            </w:r>
            <w:r>
              <w:rPr/>
              <w:sym w:font="Wingdings 2" w:char="0052"/>
            </w:r>
            <w:r>
              <w:rPr>
                <w:rFonts w:ascii="仿宋_GB2312"/>
              </w:rPr>
              <w:t>；冰封期</w:t>
            </w:r>
            <w:r>
              <w:t>□</w:t>
            </w:r>
          </w:p>
          <w:p>
            <w:pPr>
              <w:pStyle w:val="2057"/>
              <w:spacing w:afterLines="0"/>
              <w:ind w:firstLine="0" w:firstLineChars="0"/>
            </w:pPr>
            <w:r>
              <w:t>春季□</w:t>
            </w:r>
            <w:r>
              <w:rPr>
                <w:rFonts w:ascii="仿宋_GB2312"/>
              </w:rPr>
              <w:t>；夏季</w:t>
            </w:r>
            <w:r>
              <w:t>□</w:t>
            </w:r>
            <w:r>
              <w:rPr>
                <w:rFonts w:ascii="仿宋_GB2312"/>
              </w:rPr>
              <w:t>；秋季</w:t>
            </w:r>
            <w:r>
              <w:t>□</w:t>
            </w:r>
            <w:r>
              <w:rPr>
                <w:rFonts w:ascii="仿宋_GB2312"/>
              </w:rPr>
              <w:t>；冬季</w:t>
            </w:r>
            <w:r>
              <w:rPr/>
              <w:sym w:font="Wingdings 2" w:char="0052"/>
            </w:r>
          </w:p>
          <w:p>
            <w:pPr>
              <w:pStyle w:val="2057"/>
              <w:spacing w:afterLines="0"/>
              <w:ind w:firstLine="0" w:firstLineChars="0"/>
            </w:pPr>
            <w:r>
              <w:t>设计水文条件□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Align w:val="center"/>
          </w:tcPr>
          <w:p>
            <w:pPr>
              <w:pStyle w:val="2057"/>
              <w:spacing w:afterLines="0"/>
              <w:ind w:firstLine="0" w:firstLineChars="0"/>
            </w:pPr>
            <w:r>
              <w:t>预测情景</w:t>
            </w:r>
          </w:p>
        </w:tc>
        <w:tc>
          <w:tcPr>
            <w:tcW w:w="4088" w:type="pct"/>
            <w:gridSpan w:val="11"/>
            <w:vAlign w:val="center"/>
          </w:tcPr>
          <w:p>
            <w:pPr>
              <w:pStyle w:val="2057"/>
              <w:spacing w:afterLines="0"/>
              <w:ind w:firstLine="0" w:firstLineChars="0"/>
            </w:pPr>
            <w:r>
              <w:t>建设期□</w:t>
            </w:r>
            <w:r>
              <w:rPr>
                <w:rFonts w:ascii="仿宋_GB2312"/>
              </w:rPr>
              <w:t>；生产运行期</w:t>
            </w:r>
            <w:r>
              <w:rPr/>
              <w:sym w:font="Wingdings 2" w:char="0052"/>
            </w:r>
            <w:r>
              <w:rPr>
                <w:rFonts w:ascii="仿宋_GB2312"/>
              </w:rPr>
              <w:t>；服务期满后</w:t>
            </w:r>
            <w:r>
              <w:t>□</w:t>
            </w:r>
          </w:p>
          <w:p>
            <w:pPr>
              <w:pStyle w:val="2057"/>
              <w:spacing w:afterLines="0"/>
              <w:ind w:firstLine="0" w:firstLineChars="0"/>
            </w:pPr>
            <w:r>
              <w:t>正常工况</w:t>
            </w:r>
            <w:r>
              <w:rPr/>
              <w:sym w:font="Wingdings 2" w:char="0052"/>
            </w:r>
            <w:r>
              <w:rPr>
                <w:rFonts w:ascii="仿宋_GB2312"/>
              </w:rPr>
              <w:t>；非正常工况</w:t>
            </w:r>
            <w:r>
              <w:t>□</w:t>
            </w:r>
          </w:p>
          <w:p>
            <w:pPr>
              <w:pStyle w:val="2057"/>
              <w:spacing w:afterLines="0"/>
              <w:ind w:firstLine="0" w:firstLineChars="0"/>
            </w:pPr>
            <w:r>
              <w:t>污染控制和减缓措施方案</w:t>
            </w:r>
            <w:r>
              <w:rPr/>
              <w:sym w:font="Wingdings 2" w:char="0052"/>
            </w:r>
          </w:p>
          <w:p>
            <w:pPr>
              <w:pStyle w:val="2057"/>
              <w:spacing w:afterLines="0"/>
              <w:ind w:firstLine="0" w:firstLineChars="0"/>
            </w:pPr>
            <w:r>
              <w:t>区（流）域环境质量改善目标要求情景□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Align w:val="center"/>
          </w:tcPr>
          <w:p>
            <w:pPr>
              <w:pStyle w:val="2057"/>
              <w:spacing w:afterLines="0"/>
              <w:ind w:firstLine="0" w:firstLineChars="0"/>
            </w:pPr>
            <w:r>
              <w:t>预测方法</w:t>
            </w:r>
          </w:p>
        </w:tc>
        <w:tc>
          <w:tcPr>
            <w:tcW w:w="4088" w:type="pct"/>
            <w:gridSpan w:val="11"/>
            <w:noWrap/>
            <w:vAlign w:val="center"/>
          </w:tcPr>
          <w:p>
            <w:pPr>
              <w:pStyle w:val="2057"/>
              <w:spacing w:afterLines="0"/>
              <w:ind w:firstLine="0" w:firstLineChars="0"/>
            </w:pPr>
            <w:r>
              <w:t>数值解□</w:t>
            </w:r>
            <w:r>
              <w:rPr>
                <w:rFonts w:ascii="仿宋_GB2312"/>
              </w:rPr>
              <w:t>：解析解</w:t>
            </w:r>
            <w:r>
              <w:t>□</w:t>
            </w:r>
            <w:r>
              <w:rPr>
                <w:rFonts w:ascii="仿宋_GB2312"/>
              </w:rPr>
              <w:t>；其他</w:t>
            </w:r>
            <w:r>
              <w:t>□</w:t>
            </w:r>
          </w:p>
          <w:p>
            <w:pPr>
              <w:pStyle w:val="2057"/>
              <w:spacing w:afterLines="0"/>
              <w:ind w:firstLine="0" w:firstLineChars="0"/>
            </w:pPr>
            <w:r>
              <w:t>导则推荐模式□</w:t>
            </w:r>
            <w:r>
              <w:rPr>
                <w:rFonts w:ascii="仿宋_GB2312"/>
              </w:rPr>
              <w:t>：其他</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restart"/>
            <w:noWrap/>
            <w:vAlign w:val="center"/>
          </w:tcPr>
          <w:p>
            <w:pPr>
              <w:pStyle w:val="2057"/>
              <w:spacing w:afterLines="0"/>
              <w:ind w:firstLine="0" w:firstLineChars="0"/>
            </w:pPr>
            <w:r>
              <w:t>影响评价</w:t>
            </w:r>
          </w:p>
        </w:tc>
        <w:tc>
          <w:tcPr>
            <w:tcW w:w="607" w:type="pct"/>
            <w:vAlign w:val="center"/>
          </w:tcPr>
          <w:p>
            <w:pPr>
              <w:pStyle w:val="2057"/>
              <w:spacing w:afterLines="0"/>
              <w:ind w:firstLine="0" w:firstLineChars="0"/>
            </w:pPr>
            <w:r>
              <w:t>水污染控制和水环境影响减缓措施有效性评价</w:t>
            </w:r>
          </w:p>
        </w:tc>
        <w:tc>
          <w:tcPr>
            <w:tcW w:w="4088" w:type="pct"/>
            <w:gridSpan w:val="11"/>
            <w:noWrap/>
            <w:vAlign w:val="center"/>
          </w:tcPr>
          <w:p>
            <w:pPr>
              <w:pStyle w:val="2057"/>
              <w:spacing w:afterLines="0"/>
              <w:ind w:firstLine="0" w:firstLineChars="0"/>
            </w:pPr>
            <w:r>
              <w:t>区（流）域水环境质量改善目标□；替代削减源□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Align w:val="center"/>
          </w:tcPr>
          <w:p>
            <w:pPr>
              <w:pStyle w:val="2057"/>
              <w:spacing w:afterLines="0"/>
              <w:ind w:firstLine="0" w:firstLineChars="0"/>
            </w:pPr>
            <w:r>
              <w:t>水环境影响评价</w:t>
            </w:r>
          </w:p>
        </w:tc>
        <w:tc>
          <w:tcPr>
            <w:tcW w:w="4088" w:type="pct"/>
            <w:gridSpan w:val="11"/>
            <w:vAlign w:val="center"/>
          </w:tcPr>
          <w:p>
            <w:pPr>
              <w:pStyle w:val="2057"/>
              <w:spacing w:afterLines="0"/>
              <w:ind w:firstLine="0" w:firstLineChars="0"/>
            </w:pPr>
            <w:r>
              <w:t>排放口混合区外满足水环境管理要求□</w:t>
            </w:r>
          </w:p>
          <w:p>
            <w:pPr>
              <w:pStyle w:val="2057"/>
              <w:spacing w:afterLines="0"/>
              <w:ind w:firstLine="0" w:firstLineChars="0"/>
            </w:pPr>
            <w:r>
              <w:t>水环境功能区或水功能区、近岸海域环境功能区水质达标□</w:t>
            </w:r>
          </w:p>
          <w:p>
            <w:pPr>
              <w:pStyle w:val="2057"/>
              <w:spacing w:afterLines="0"/>
              <w:ind w:firstLine="0" w:firstLineChars="0"/>
            </w:pPr>
            <w:r>
              <w:t>满足水环境保护目标水域水环境质量要求□</w:t>
            </w:r>
          </w:p>
          <w:p>
            <w:pPr>
              <w:pStyle w:val="2057"/>
              <w:spacing w:afterLines="0"/>
              <w:ind w:firstLine="0" w:firstLineChars="0"/>
            </w:pPr>
            <w:r>
              <w:t>水环境控制单元或断面水质达标</w:t>
            </w:r>
            <w:r>
              <w:rPr/>
              <w:sym w:font="Wingdings 2" w:char="0052"/>
            </w:r>
          </w:p>
          <w:p>
            <w:pPr>
              <w:pStyle w:val="2057"/>
              <w:spacing w:afterLines="0"/>
              <w:ind w:firstLine="0" w:firstLineChars="0"/>
            </w:pPr>
            <w:r>
              <w:t>满足重点水污染物排放总量控制指标要求，重点行业建设项目，主要污染物排放满足等量或减量替代要求□</w:t>
            </w:r>
          </w:p>
          <w:p>
            <w:pPr>
              <w:pStyle w:val="2057"/>
              <w:spacing w:afterLines="0"/>
              <w:ind w:firstLine="0" w:firstLineChars="0"/>
            </w:pPr>
            <w:r>
              <w:t>满足区（流）域水环境质量改善目标要求□</w:t>
            </w:r>
          </w:p>
          <w:p>
            <w:pPr>
              <w:pStyle w:val="2057"/>
              <w:spacing w:afterLines="0"/>
              <w:ind w:firstLine="0" w:firstLineChars="0"/>
            </w:pPr>
            <w:r>
              <w:t>水文要素影响型建设项目同时应包括水文情势变化评价、主要水文特征值影响评价、生态流量符合性评价</w:t>
            </w:r>
            <w:r>
              <w:rPr/>
              <w:sym w:font="Wingdings 2" w:char="0052"/>
            </w:r>
          </w:p>
          <w:p>
            <w:pPr>
              <w:pStyle w:val="2057"/>
              <w:spacing w:afterLines="0"/>
              <w:ind w:firstLine="0" w:firstLineChars="0"/>
            </w:pPr>
            <w:r>
              <w:t>对于新设或调整入河（湖库、近岸海域）排放口的建设项目，应包括排放口设置的环境合理性评价□</w:t>
            </w:r>
          </w:p>
          <w:p>
            <w:pPr>
              <w:pStyle w:val="2057"/>
              <w:spacing w:afterLines="0"/>
              <w:ind w:firstLine="0" w:firstLineChars="0"/>
            </w:pPr>
            <w:r>
              <w:t>满足生态保护红线、水环境质量底线、资源利用上线和环境准入清单管理要求</w:t>
            </w:r>
            <w:r>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Merge w:val="restart"/>
            <w:vAlign w:val="center"/>
          </w:tcPr>
          <w:p>
            <w:pPr>
              <w:pStyle w:val="2057"/>
              <w:spacing w:afterLines="0"/>
              <w:ind w:firstLine="0" w:firstLineChars="0"/>
            </w:pPr>
            <w:r>
              <w:t>污染源排放量核算</w:t>
            </w:r>
          </w:p>
        </w:tc>
        <w:tc>
          <w:tcPr>
            <w:tcW w:w="837" w:type="pct"/>
            <w:gridSpan w:val="2"/>
            <w:noWrap/>
            <w:vAlign w:val="center"/>
          </w:tcPr>
          <w:p>
            <w:pPr>
              <w:pStyle w:val="2057"/>
              <w:spacing w:afterLines="0"/>
              <w:ind w:firstLine="0" w:firstLineChars="0"/>
            </w:pPr>
            <w:r>
              <w:t>污染物名称</w:t>
            </w:r>
          </w:p>
        </w:tc>
        <w:tc>
          <w:tcPr>
            <w:tcW w:w="1642" w:type="pct"/>
            <w:gridSpan w:val="5"/>
            <w:vAlign w:val="center"/>
          </w:tcPr>
          <w:p>
            <w:pPr>
              <w:pStyle w:val="2057"/>
              <w:spacing w:afterLines="0"/>
              <w:ind w:firstLine="0" w:firstLineChars="0"/>
            </w:pPr>
            <w:r>
              <w:t>排放量/</w:t>
            </w:r>
            <w:r>
              <w:rPr>
                <w:rFonts w:ascii="仿宋_GB2312"/>
              </w:rPr>
              <w:t>（</w:t>
            </w:r>
            <w:r>
              <w:t>t/a</w:t>
            </w:r>
            <w:r>
              <w:rPr>
                <w:rFonts w:ascii="仿宋_GB2312"/>
              </w:rPr>
              <w:t>）</w:t>
            </w:r>
          </w:p>
        </w:tc>
        <w:tc>
          <w:tcPr>
            <w:tcW w:w="1610" w:type="pct"/>
            <w:gridSpan w:val="4"/>
            <w:vAlign w:val="center"/>
          </w:tcPr>
          <w:p>
            <w:pPr>
              <w:pStyle w:val="2057"/>
              <w:spacing w:afterLines="0"/>
              <w:ind w:firstLine="0" w:firstLineChars="0"/>
            </w:pPr>
            <w:r>
              <w:t>排放浓度/</w:t>
            </w:r>
            <w:r>
              <w:rPr>
                <w:rFonts w:ascii="仿宋_GB2312"/>
              </w:rPr>
              <w:t>（</w:t>
            </w:r>
            <w:r>
              <w:t>mg/L</w:t>
            </w:r>
            <w:r>
              <w:rPr>
                <w:rFonts w:ascii="仿宋_GB231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Merge w:val="continue"/>
            <w:vAlign w:val="center"/>
          </w:tcPr>
          <w:p>
            <w:pPr>
              <w:pStyle w:val="2057"/>
              <w:spacing w:afterLines="0"/>
              <w:ind w:firstLine="0" w:firstLineChars="0"/>
              <w:rPr>
                <w:rFonts w:eastAsia="仿宋_GB2312"/>
              </w:rPr>
            </w:pPr>
          </w:p>
        </w:tc>
        <w:tc>
          <w:tcPr>
            <w:tcW w:w="837" w:type="pct"/>
            <w:gridSpan w:val="2"/>
            <w:noWrap/>
            <w:vAlign w:val="center"/>
          </w:tcPr>
          <w:p>
            <w:pPr>
              <w:pStyle w:val="2057"/>
              <w:spacing w:afterLines="0"/>
              <w:ind w:firstLine="0" w:firstLineChars="0"/>
            </w:pPr>
            <w:r>
              <w:t>（</w:t>
            </w:r>
            <w:r>
              <w:rPr>
                <w:rFonts w:hint="eastAsia"/>
              </w:rPr>
              <w:t>COD、氨氮</w:t>
            </w:r>
            <w:r>
              <w:rPr>
                <w:rFonts w:ascii="仿宋_GB2312"/>
              </w:rPr>
              <w:t>）</w:t>
            </w:r>
          </w:p>
        </w:tc>
        <w:tc>
          <w:tcPr>
            <w:tcW w:w="1642" w:type="pct"/>
            <w:gridSpan w:val="5"/>
            <w:vAlign w:val="center"/>
          </w:tcPr>
          <w:p>
            <w:pPr>
              <w:pStyle w:val="2057"/>
              <w:spacing w:afterLines="0"/>
              <w:ind w:firstLine="0" w:firstLineChars="0"/>
            </w:pPr>
            <w:r>
              <w:t>（</w:t>
            </w:r>
            <w:r>
              <w:rPr>
                <w:rFonts w:hint="eastAsia"/>
              </w:rPr>
              <w:t>COD0.45、氨氮0.045</w:t>
            </w:r>
            <w:r>
              <w:rPr>
                <w:rFonts w:ascii="仿宋_GB2312"/>
              </w:rPr>
              <w:t>）</w:t>
            </w:r>
          </w:p>
        </w:tc>
        <w:tc>
          <w:tcPr>
            <w:tcW w:w="1610" w:type="pct"/>
            <w:gridSpan w:val="4"/>
            <w:vAlign w:val="center"/>
          </w:tcPr>
          <w:p>
            <w:pPr>
              <w:pStyle w:val="2057"/>
              <w:spacing w:afterLines="0"/>
              <w:ind w:firstLine="0" w:firstLineChars="0"/>
            </w:pPr>
            <w:r>
              <w:t>（</w:t>
            </w:r>
            <w:r>
              <w:rPr>
                <w:rFonts w:hint="eastAsia"/>
              </w:rPr>
              <w:t>COD50、氨氮5</w:t>
            </w:r>
            <w:r>
              <w:rPr>
                <w:rFonts w:ascii="仿宋_GB231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Merge w:val="restart"/>
            <w:vAlign w:val="center"/>
          </w:tcPr>
          <w:p>
            <w:pPr>
              <w:pStyle w:val="2057"/>
              <w:spacing w:afterLines="0"/>
              <w:ind w:firstLine="0" w:firstLineChars="0"/>
            </w:pPr>
            <w:r>
              <w:t>替代源排放情况</w:t>
            </w:r>
          </w:p>
        </w:tc>
        <w:tc>
          <w:tcPr>
            <w:tcW w:w="195" w:type="pct"/>
            <w:noWrap/>
            <w:vAlign w:val="center"/>
          </w:tcPr>
          <w:p>
            <w:pPr>
              <w:pStyle w:val="2057"/>
              <w:spacing w:afterLines="0"/>
              <w:ind w:firstLine="0" w:firstLineChars="0"/>
            </w:pPr>
            <w:r>
              <w:t>污染源名称</w:t>
            </w:r>
          </w:p>
        </w:tc>
        <w:tc>
          <w:tcPr>
            <w:tcW w:w="1122" w:type="pct"/>
            <w:gridSpan w:val="2"/>
            <w:vAlign w:val="center"/>
          </w:tcPr>
          <w:p>
            <w:pPr>
              <w:pStyle w:val="2057"/>
              <w:spacing w:afterLines="0"/>
              <w:ind w:firstLine="0" w:firstLineChars="0"/>
            </w:pPr>
            <w:r>
              <w:t>排污许可证编号</w:t>
            </w:r>
          </w:p>
        </w:tc>
        <w:tc>
          <w:tcPr>
            <w:tcW w:w="872" w:type="pct"/>
            <w:gridSpan w:val="2"/>
            <w:vAlign w:val="center"/>
          </w:tcPr>
          <w:p>
            <w:pPr>
              <w:pStyle w:val="2057"/>
              <w:spacing w:afterLines="0"/>
              <w:ind w:firstLine="0" w:firstLineChars="0"/>
            </w:pPr>
            <w:r>
              <w:t>污染物名称</w:t>
            </w:r>
          </w:p>
        </w:tc>
        <w:tc>
          <w:tcPr>
            <w:tcW w:w="872" w:type="pct"/>
            <w:gridSpan w:val="3"/>
            <w:vAlign w:val="center"/>
          </w:tcPr>
          <w:p>
            <w:pPr>
              <w:pStyle w:val="2057"/>
              <w:spacing w:afterLines="0"/>
              <w:ind w:firstLine="0" w:firstLineChars="0"/>
            </w:pPr>
            <w:r>
              <w:t>排放量/</w:t>
            </w:r>
            <w:r>
              <w:rPr>
                <w:rFonts w:ascii="仿宋_GB2312"/>
              </w:rPr>
              <w:t>（</w:t>
            </w:r>
            <w:r>
              <w:t>t/a</w:t>
            </w:r>
            <w:r>
              <w:rPr>
                <w:rFonts w:ascii="仿宋_GB2312"/>
              </w:rPr>
              <w:t>）</w:t>
            </w:r>
          </w:p>
        </w:tc>
        <w:tc>
          <w:tcPr>
            <w:tcW w:w="1028" w:type="pct"/>
            <w:gridSpan w:val="3"/>
            <w:vAlign w:val="center"/>
          </w:tcPr>
          <w:p>
            <w:pPr>
              <w:pStyle w:val="2057"/>
              <w:spacing w:afterLines="0"/>
              <w:ind w:firstLine="0" w:firstLineChars="0"/>
            </w:pPr>
            <w:r>
              <w:t>排放浓度/</w:t>
            </w:r>
            <w:r>
              <w:rPr>
                <w:rFonts w:ascii="仿宋_GB2312"/>
              </w:rPr>
              <w:t>（</w:t>
            </w:r>
            <w:r>
              <w:t>mg/L</w:t>
            </w:r>
            <w:r>
              <w:rPr>
                <w:rFonts w:ascii="仿宋_GB231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Merge w:val="continue"/>
            <w:vAlign w:val="center"/>
          </w:tcPr>
          <w:p>
            <w:pPr>
              <w:pStyle w:val="2057"/>
              <w:spacing w:afterLines="0"/>
              <w:ind w:firstLine="0" w:firstLineChars="0"/>
              <w:rPr>
                <w:rFonts w:eastAsia="仿宋_GB2312"/>
              </w:rPr>
            </w:pPr>
          </w:p>
        </w:tc>
        <w:tc>
          <w:tcPr>
            <w:tcW w:w="195" w:type="pct"/>
            <w:noWrap/>
            <w:vAlign w:val="center"/>
          </w:tcPr>
          <w:p>
            <w:pPr>
              <w:pStyle w:val="2057"/>
              <w:spacing w:afterLines="0"/>
              <w:ind w:firstLine="0" w:firstLineChars="0"/>
            </w:pPr>
            <w:r>
              <w:t>（）</w:t>
            </w:r>
          </w:p>
        </w:tc>
        <w:tc>
          <w:tcPr>
            <w:tcW w:w="1122" w:type="pct"/>
            <w:gridSpan w:val="2"/>
            <w:vAlign w:val="center"/>
          </w:tcPr>
          <w:p>
            <w:pPr>
              <w:pStyle w:val="2057"/>
              <w:spacing w:afterLines="0"/>
              <w:ind w:firstLine="0" w:firstLineChars="0"/>
            </w:pPr>
            <w:r>
              <w:t>（</w:t>
            </w:r>
            <w:r>
              <w:rPr>
                <w:rFonts w:hint="eastAsia"/>
              </w:rPr>
              <w:t>/</w:t>
            </w:r>
            <w:r>
              <w:t>）</w:t>
            </w:r>
          </w:p>
        </w:tc>
        <w:tc>
          <w:tcPr>
            <w:tcW w:w="872" w:type="pct"/>
            <w:gridSpan w:val="2"/>
            <w:vAlign w:val="center"/>
          </w:tcPr>
          <w:p>
            <w:pPr>
              <w:pStyle w:val="2057"/>
              <w:spacing w:afterLines="0"/>
              <w:ind w:firstLine="0" w:firstLineChars="0"/>
            </w:pPr>
            <w:r>
              <w:t>（</w:t>
            </w:r>
            <w:r>
              <w:rPr>
                <w:rFonts w:hint="eastAsia"/>
              </w:rPr>
              <w:t>/</w:t>
            </w:r>
            <w:r>
              <w:t>）</w:t>
            </w:r>
          </w:p>
        </w:tc>
        <w:tc>
          <w:tcPr>
            <w:tcW w:w="872" w:type="pct"/>
            <w:gridSpan w:val="3"/>
            <w:vAlign w:val="center"/>
          </w:tcPr>
          <w:p>
            <w:pPr>
              <w:pStyle w:val="2057"/>
              <w:spacing w:afterLines="0"/>
              <w:ind w:firstLine="0" w:firstLineChars="0"/>
            </w:pPr>
            <w:r>
              <w:t>（</w:t>
            </w:r>
            <w:r>
              <w:rPr>
                <w:rFonts w:hint="eastAsia"/>
              </w:rPr>
              <w:t>/</w:t>
            </w:r>
            <w:r>
              <w:t>）</w:t>
            </w:r>
          </w:p>
        </w:tc>
        <w:tc>
          <w:tcPr>
            <w:tcW w:w="1028" w:type="pct"/>
            <w:gridSpan w:val="3"/>
            <w:vAlign w:val="center"/>
          </w:tcPr>
          <w:p>
            <w:pPr>
              <w:pStyle w:val="2057"/>
              <w:spacing w:afterLines="0"/>
              <w:ind w:firstLine="0" w:firstLineChars="0"/>
            </w:pPr>
            <w:r>
              <w:t>（</w:t>
            </w:r>
            <w:r>
              <w:rPr>
                <w:rFonts w:hint="eastAsia"/>
              </w:rPr>
              <w:t>/</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Align w:val="center"/>
          </w:tcPr>
          <w:p>
            <w:pPr>
              <w:pStyle w:val="2057"/>
              <w:spacing w:afterLines="0"/>
              <w:ind w:firstLine="0" w:firstLineChars="0"/>
            </w:pPr>
            <w:r>
              <w:t>生态流量确定</w:t>
            </w:r>
          </w:p>
        </w:tc>
        <w:tc>
          <w:tcPr>
            <w:tcW w:w="4088" w:type="pct"/>
            <w:gridSpan w:val="11"/>
            <w:noWrap/>
            <w:vAlign w:val="center"/>
          </w:tcPr>
          <w:p>
            <w:pPr>
              <w:pStyle w:val="2057"/>
              <w:spacing w:afterLines="0"/>
              <w:ind w:firstLine="0" w:firstLineChars="0"/>
            </w:pPr>
            <w:r>
              <w:t>生态流量：一般水期（）m</w:t>
            </w:r>
            <w:r>
              <w:rPr>
                <w:vertAlign w:val="superscript"/>
              </w:rPr>
              <w:t>3</w:t>
            </w:r>
            <w:r>
              <w:t>/s</w:t>
            </w:r>
            <w:r>
              <w:rPr>
                <w:rFonts w:ascii="仿宋_GB2312"/>
              </w:rPr>
              <w:t>；鱼类繁殖期（）</w:t>
            </w:r>
            <w:r>
              <w:t>m</w:t>
            </w:r>
            <w:r>
              <w:rPr>
                <w:vertAlign w:val="superscript"/>
              </w:rPr>
              <w:t>3</w:t>
            </w:r>
            <w:r>
              <w:t>/s</w:t>
            </w:r>
            <w:r>
              <w:rPr>
                <w:rFonts w:ascii="仿宋_GB2312"/>
              </w:rPr>
              <w:t>；其他（）</w:t>
            </w:r>
            <w:r>
              <w:t>m</w:t>
            </w:r>
            <w:r>
              <w:rPr>
                <w:vertAlign w:val="superscript"/>
              </w:rPr>
              <w:t>3</w:t>
            </w:r>
            <w:r>
              <w:t>/s</w:t>
            </w:r>
          </w:p>
          <w:p>
            <w:pPr>
              <w:pStyle w:val="2057"/>
              <w:spacing w:afterLines="0"/>
              <w:ind w:firstLine="0" w:firstLineChars="0"/>
            </w:pPr>
            <w:r>
              <w:t>生态水位：一般水期（）m</w:t>
            </w:r>
            <w:r>
              <w:rPr>
                <w:rFonts w:ascii="仿宋_GB2312"/>
              </w:rPr>
              <w:t>；鱼类繁殖期（）</w:t>
            </w:r>
            <w:r>
              <w:t>m</w:t>
            </w:r>
            <w:r>
              <w:rPr>
                <w:rFonts w:ascii="仿宋_GB2312"/>
              </w:rPr>
              <w:t>；其他（）</w:t>
            </w:r>
            <w: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restart"/>
            <w:noWrap/>
            <w:vAlign w:val="center"/>
          </w:tcPr>
          <w:p>
            <w:pPr>
              <w:pStyle w:val="2057"/>
              <w:spacing w:afterLines="0"/>
              <w:ind w:firstLine="0" w:firstLineChars="0"/>
            </w:pPr>
            <w:r>
              <w:t>防治措施</w:t>
            </w:r>
          </w:p>
        </w:tc>
        <w:tc>
          <w:tcPr>
            <w:tcW w:w="607" w:type="pct"/>
            <w:vAlign w:val="center"/>
          </w:tcPr>
          <w:p>
            <w:pPr>
              <w:pStyle w:val="2057"/>
              <w:spacing w:afterLines="0"/>
              <w:ind w:firstLine="0" w:firstLineChars="0"/>
            </w:pPr>
            <w:r>
              <w:t>环保措施</w:t>
            </w:r>
          </w:p>
        </w:tc>
        <w:tc>
          <w:tcPr>
            <w:tcW w:w="4088" w:type="pct"/>
            <w:gridSpan w:val="11"/>
            <w:noWrap/>
            <w:vAlign w:val="center"/>
          </w:tcPr>
          <w:p>
            <w:pPr>
              <w:pStyle w:val="2057"/>
              <w:spacing w:afterLines="0"/>
              <w:ind w:firstLine="0" w:firstLineChars="0"/>
            </w:pPr>
            <w:r>
              <w:t>污水处理设施</w:t>
            </w:r>
            <w:r>
              <w:rPr>
                <w:rFonts w:hint="eastAsia" w:ascii="黑体" w:hAnsi="黑体"/>
              </w:rPr>
              <w:t>√</w:t>
            </w:r>
            <w:r>
              <w:t>；水文减缓设施□</w:t>
            </w:r>
            <w:r>
              <w:rPr>
                <w:rFonts w:ascii="仿宋_GB2312"/>
              </w:rPr>
              <w:t>；生态流量保障设施</w:t>
            </w:r>
            <w:r>
              <w:t>□</w:t>
            </w:r>
            <w:r>
              <w:rPr>
                <w:rFonts w:ascii="仿宋_GB2312"/>
              </w:rPr>
              <w:t>；区域削减</w:t>
            </w:r>
            <w:r>
              <w:t>□</w:t>
            </w:r>
            <w:r>
              <w:rPr>
                <w:rFonts w:ascii="仿宋_GB2312"/>
              </w:rPr>
              <w:t>；依托其他工程措施</w:t>
            </w:r>
            <w: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Merge w:val="restart"/>
            <w:vAlign w:val="center"/>
          </w:tcPr>
          <w:p>
            <w:pPr>
              <w:pStyle w:val="2057"/>
              <w:spacing w:afterLines="0"/>
              <w:ind w:firstLine="0" w:firstLineChars="0"/>
            </w:pPr>
            <w:r>
              <w:t>监测计划</w:t>
            </w:r>
          </w:p>
        </w:tc>
        <w:tc>
          <w:tcPr>
            <w:tcW w:w="837" w:type="pct"/>
            <w:gridSpan w:val="2"/>
            <w:noWrap/>
            <w:vAlign w:val="center"/>
          </w:tcPr>
          <w:p>
            <w:pPr>
              <w:pStyle w:val="2057"/>
              <w:spacing w:afterLines="0"/>
              <w:ind w:firstLine="0" w:firstLineChars="0"/>
            </w:pPr>
          </w:p>
        </w:tc>
        <w:tc>
          <w:tcPr>
            <w:tcW w:w="1462" w:type="pct"/>
            <w:gridSpan w:val="4"/>
            <w:vAlign w:val="center"/>
          </w:tcPr>
          <w:p>
            <w:pPr>
              <w:pStyle w:val="2057"/>
              <w:spacing w:afterLines="0"/>
              <w:ind w:firstLine="0" w:firstLineChars="0"/>
            </w:pPr>
            <w:r>
              <w:t>环境质量</w:t>
            </w:r>
          </w:p>
        </w:tc>
        <w:tc>
          <w:tcPr>
            <w:tcW w:w="1790" w:type="pct"/>
            <w:gridSpan w:val="5"/>
            <w:vAlign w:val="center"/>
          </w:tcPr>
          <w:p>
            <w:pPr>
              <w:pStyle w:val="2057"/>
              <w:spacing w:afterLines="0"/>
              <w:ind w:firstLine="0" w:firstLineChars="0"/>
            </w:pPr>
            <w: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Merge w:val="continue"/>
            <w:vAlign w:val="center"/>
          </w:tcPr>
          <w:p>
            <w:pPr>
              <w:pStyle w:val="2057"/>
              <w:spacing w:afterLines="0"/>
              <w:ind w:firstLine="0" w:firstLineChars="0"/>
              <w:rPr>
                <w:rFonts w:eastAsia="仿宋_GB2312"/>
              </w:rPr>
            </w:pPr>
          </w:p>
        </w:tc>
        <w:tc>
          <w:tcPr>
            <w:tcW w:w="837" w:type="pct"/>
            <w:gridSpan w:val="2"/>
            <w:noWrap/>
            <w:vAlign w:val="center"/>
          </w:tcPr>
          <w:p>
            <w:pPr>
              <w:pStyle w:val="2057"/>
              <w:spacing w:afterLines="0"/>
              <w:ind w:firstLine="0" w:firstLineChars="0"/>
            </w:pPr>
            <w:r>
              <w:t>监测方式</w:t>
            </w:r>
          </w:p>
        </w:tc>
        <w:tc>
          <w:tcPr>
            <w:tcW w:w="1462" w:type="pct"/>
            <w:gridSpan w:val="4"/>
            <w:vAlign w:val="center"/>
          </w:tcPr>
          <w:p>
            <w:pPr>
              <w:pStyle w:val="2057"/>
              <w:spacing w:afterLines="0"/>
              <w:ind w:firstLine="0" w:firstLineChars="0"/>
            </w:pPr>
            <w:r>
              <w:t>手动□</w:t>
            </w:r>
            <w:r>
              <w:rPr>
                <w:rFonts w:ascii="仿宋_GB2312"/>
              </w:rPr>
              <w:t xml:space="preserve">；自动 </w:t>
            </w:r>
            <w:r>
              <w:t>□</w:t>
            </w:r>
            <w:r>
              <w:rPr>
                <w:rFonts w:ascii="仿宋_GB2312"/>
              </w:rPr>
              <w:t>；无监测</w:t>
            </w:r>
            <w:r>
              <w:rPr/>
              <w:sym w:font="Wingdings 2" w:char="0052"/>
            </w:r>
          </w:p>
        </w:tc>
        <w:tc>
          <w:tcPr>
            <w:tcW w:w="1790" w:type="pct"/>
            <w:gridSpan w:val="5"/>
            <w:vAlign w:val="center"/>
          </w:tcPr>
          <w:p>
            <w:pPr>
              <w:pStyle w:val="2057"/>
              <w:spacing w:afterLines="0"/>
              <w:ind w:firstLine="0" w:firstLineChars="0"/>
            </w:pPr>
            <w:r>
              <w:t>手动</w:t>
            </w:r>
            <w:r>
              <w:rPr/>
              <w:sym w:font="Wingdings 2" w:char="0052"/>
            </w:r>
            <w:r>
              <w:t>；自动 □</w:t>
            </w:r>
            <w:r>
              <w:rPr>
                <w:rFonts w:ascii="仿宋_GB2312"/>
              </w:rPr>
              <w:t xml:space="preserve">；无监测 </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Merge w:val="continue"/>
            <w:vAlign w:val="center"/>
          </w:tcPr>
          <w:p>
            <w:pPr>
              <w:pStyle w:val="2057"/>
              <w:spacing w:afterLines="0"/>
              <w:ind w:firstLine="0" w:firstLineChars="0"/>
              <w:rPr>
                <w:rFonts w:eastAsia="仿宋_GB2312"/>
              </w:rPr>
            </w:pPr>
          </w:p>
        </w:tc>
        <w:tc>
          <w:tcPr>
            <w:tcW w:w="837" w:type="pct"/>
            <w:gridSpan w:val="2"/>
            <w:noWrap/>
            <w:vAlign w:val="center"/>
          </w:tcPr>
          <w:p>
            <w:pPr>
              <w:pStyle w:val="2057"/>
              <w:spacing w:afterLines="0"/>
              <w:ind w:firstLine="0" w:firstLineChars="0"/>
            </w:pPr>
            <w:r>
              <w:t>监测点位</w:t>
            </w:r>
          </w:p>
        </w:tc>
        <w:tc>
          <w:tcPr>
            <w:tcW w:w="1462" w:type="pct"/>
            <w:gridSpan w:val="4"/>
            <w:vAlign w:val="center"/>
          </w:tcPr>
          <w:p>
            <w:pPr>
              <w:pStyle w:val="2057"/>
              <w:spacing w:afterLines="0"/>
              <w:ind w:firstLine="0" w:firstLineChars="0"/>
            </w:pPr>
            <w:r>
              <w:t>（</w:t>
            </w:r>
            <w:r>
              <w:rPr>
                <w:rFonts w:hint="eastAsia"/>
              </w:rPr>
              <w:t>/</w:t>
            </w:r>
            <w:r>
              <w:t>）</w:t>
            </w:r>
          </w:p>
        </w:tc>
        <w:tc>
          <w:tcPr>
            <w:tcW w:w="1790" w:type="pct"/>
            <w:gridSpan w:val="5"/>
            <w:vAlign w:val="center"/>
          </w:tcPr>
          <w:p>
            <w:pPr>
              <w:pStyle w:val="2057"/>
              <w:spacing w:afterLines="0"/>
              <w:ind w:firstLine="0" w:firstLineChars="0"/>
            </w:pPr>
            <w:r>
              <w:rPr>
                <w:rFonts w:hint="eastAsia"/>
              </w:rPr>
              <w:t>废水总排口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Merge w:val="continue"/>
            <w:vAlign w:val="center"/>
          </w:tcPr>
          <w:p>
            <w:pPr>
              <w:pStyle w:val="2057"/>
              <w:spacing w:afterLines="0"/>
              <w:ind w:firstLine="0" w:firstLineChars="0"/>
              <w:rPr>
                <w:rFonts w:eastAsia="仿宋_GB2312"/>
              </w:rPr>
            </w:pPr>
          </w:p>
        </w:tc>
        <w:tc>
          <w:tcPr>
            <w:tcW w:w="837" w:type="pct"/>
            <w:gridSpan w:val="2"/>
            <w:noWrap/>
            <w:vAlign w:val="center"/>
          </w:tcPr>
          <w:p>
            <w:pPr>
              <w:pStyle w:val="2057"/>
              <w:spacing w:afterLines="0"/>
              <w:ind w:firstLine="0" w:firstLineChars="0"/>
            </w:pPr>
            <w:r>
              <w:t>监测因子</w:t>
            </w:r>
          </w:p>
        </w:tc>
        <w:tc>
          <w:tcPr>
            <w:tcW w:w="1462" w:type="pct"/>
            <w:gridSpan w:val="4"/>
            <w:vAlign w:val="center"/>
          </w:tcPr>
          <w:p>
            <w:pPr>
              <w:pStyle w:val="2057"/>
              <w:spacing w:afterLines="0"/>
              <w:ind w:firstLine="0" w:firstLineChars="0"/>
            </w:pPr>
            <w:r>
              <w:t>（</w:t>
            </w:r>
            <w:r>
              <w:rPr>
                <w:rFonts w:hint="eastAsia"/>
              </w:rPr>
              <w:t>/</w:t>
            </w:r>
            <w:r>
              <w:t>）</w:t>
            </w:r>
          </w:p>
        </w:tc>
        <w:tc>
          <w:tcPr>
            <w:tcW w:w="1790" w:type="pct"/>
            <w:gridSpan w:val="5"/>
            <w:vAlign w:val="center"/>
          </w:tcPr>
          <w:p>
            <w:pPr>
              <w:pStyle w:val="2057"/>
              <w:spacing w:afterLines="0"/>
              <w:ind w:firstLine="0" w:firstLineChars="0"/>
            </w:pPr>
            <w:r>
              <w:t>COD</w:t>
            </w:r>
            <w:r>
              <w:rPr>
                <w:rFonts w:hint="eastAsia"/>
              </w:rPr>
              <w:t>、BOD</w:t>
            </w:r>
            <w:r>
              <w:rPr>
                <w:rFonts w:hint="eastAsia"/>
                <w:vertAlign w:val="subscript"/>
              </w:rPr>
              <w:t>5</w:t>
            </w:r>
            <w:r>
              <w:rPr>
                <w:rFonts w:hint="eastAsia"/>
              </w:rPr>
              <w:t>、SS、</w:t>
            </w:r>
            <w:r>
              <w:t>NH</w:t>
            </w:r>
            <w:r>
              <w:rPr>
                <w:vertAlign w:val="subscript"/>
              </w:rPr>
              <w:t>3</w:t>
            </w:r>
            <w: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04" w:type="pct"/>
            <w:vMerge w:val="continue"/>
            <w:vAlign w:val="center"/>
          </w:tcPr>
          <w:p>
            <w:pPr>
              <w:pStyle w:val="2057"/>
              <w:spacing w:afterLines="0"/>
              <w:ind w:firstLine="0" w:firstLineChars="0"/>
              <w:rPr>
                <w:rFonts w:eastAsia="仿宋_GB2312"/>
              </w:rPr>
            </w:pPr>
          </w:p>
        </w:tc>
        <w:tc>
          <w:tcPr>
            <w:tcW w:w="607" w:type="pct"/>
            <w:vAlign w:val="center"/>
          </w:tcPr>
          <w:p>
            <w:pPr>
              <w:pStyle w:val="2057"/>
              <w:spacing w:afterLines="0"/>
              <w:ind w:firstLine="0" w:firstLineChars="0"/>
            </w:pPr>
            <w:r>
              <w:t>污染物排放清单</w:t>
            </w:r>
          </w:p>
        </w:tc>
        <w:tc>
          <w:tcPr>
            <w:tcW w:w="4088" w:type="pct"/>
            <w:gridSpan w:val="11"/>
            <w:noWrap/>
            <w:vAlign w:val="center"/>
          </w:tcPr>
          <w:p>
            <w:pPr>
              <w:pStyle w:val="2057"/>
              <w:spacing w:afterLines="0"/>
              <w:ind w:firstLine="0" w:firstLineChars="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912" w:type="pct"/>
            <w:gridSpan w:val="2"/>
            <w:noWrap/>
            <w:vAlign w:val="center"/>
          </w:tcPr>
          <w:p>
            <w:pPr>
              <w:pStyle w:val="2057"/>
              <w:spacing w:afterLines="0"/>
              <w:ind w:firstLine="0" w:firstLineChars="0"/>
            </w:pPr>
            <w:r>
              <w:t>评价结论</w:t>
            </w:r>
          </w:p>
        </w:tc>
        <w:tc>
          <w:tcPr>
            <w:tcW w:w="4088" w:type="pct"/>
            <w:gridSpan w:val="11"/>
            <w:noWrap/>
            <w:vAlign w:val="center"/>
          </w:tcPr>
          <w:p>
            <w:pPr>
              <w:pStyle w:val="2057"/>
              <w:spacing w:afterLines="0"/>
              <w:ind w:firstLine="0" w:firstLineChars="0"/>
            </w:pPr>
            <w:r>
              <w:t>可以接受</w:t>
            </w:r>
            <w:r>
              <w:rPr/>
              <w:sym w:font="Wingdings 2" w:char="0052"/>
            </w:r>
            <w:r>
              <w:t>；不可以接受□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000" w:type="pct"/>
            <w:gridSpan w:val="13"/>
            <w:noWrap/>
            <w:vAlign w:val="center"/>
          </w:tcPr>
          <w:p>
            <w:pPr>
              <w:pStyle w:val="2057"/>
              <w:spacing w:afterLines="0"/>
              <w:ind w:firstLine="0" w:firstLineChars="0"/>
            </w:pPr>
            <w:r>
              <w:t>注：“□”</w:t>
            </w:r>
            <w:r>
              <w:rPr>
                <w:rFonts w:ascii="仿宋_GB2312"/>
              </w:rPr>
              <w:t>为勾选项，可</w:t>
            </w:r>
            <w:r>
              <w:t>√</w:t>
            </w:r>
            <w:r>
              <w:rPr>
                <w:rFonts w:ascii="仿宋_GB2312"/>
              </w:rPr>
              <w:t>；</w:t>
            </w:r>
            <w:r>
              <w:t>“</w:t>
            </w:r>
            <w:r>
              <w:rPr>
                <w:rFonts w:ascii="仿宋_GB2312"/>
              </w:rPr>
              <w:t>（）</w:t>
            </w:r>
            <w:r>
              <w:t>”</w:t>
            </w:r>
            <w:r>
              <w:rPr>
                <w:rFonts w:ascii="仿宋_GB2312"/>
              </w:rPr>
              <w:t>为内容填写项；</w:t>
            </w:r>
            <w:r>
              <w:t>“</w:t>
            </w:r>
            <w:r>
              <w:rPr>
                <w:rFonts w:ascii="仿宋_GB2312"/>
              </w:rPr>
              <w:t>备注</w:t>
            </w:r>
            <w:r>
              <w:t>”</w:t>
            </w:r>
            <w:r>
              <w:rPr>
                <w:rFonts w:ascii="仿宋_GB2312"/>
              </w:rPr>
              <w:t>为其他补充内容。</w:t>
            </w:r>
          </w:p>
        </w:tc>
      </w:tr>
    </w:tbl>
    <w:p>
      <w:pPr>
        <w:pStyle w:val="2133"/>
        <w:spacing w:line="360" w:lineRule="auto"/>
        <w:rPr>
          <w:rFonts w:hint="eastAsia" w:cs="Times New Roman"/>
        </w:rPr>
        <w:sectPr>
          <w:pgSz w:w="16838" w:h="11906" w:orient="landscape"/>
          <w:pgMar w:top="1800" w:right="1440" w:bottom="1800" w:left="1440" w:header="851" w:footer="850" w:gutter="0"/>
          <w:pgBorders>
            <w:top w:val="none" w:sz="0" w:space="0"/>
            <w:left w:val="none" w:sz="0" w:space="0"/>
            <w:bottom w:val="none" w:sz="0" w:space="0"/>
            <w:right w:val="none" w:sz="0" w:space="0"/>
          </w:pgBorders>
          <w:pgNumType w:fmt="decimal"/>
          <w:cols w:space="720" w:num="1"/>
          <w:docGrid w:type="lines" w:linePitch="326" w:charSpace="0"/>
        </w:sectPr>
      </w:pPr>
    </w:p>
    <w:p>
      <w:pPr>
        <w:pStyle w:val="453"/>
        <w:ind w:firstLine="643"/>
        <w:rPr>
          <w:rFonts w:ascii="Times New Roman" w:cs="Times New Roman"/>
        </w:rPr>
      </w:pPr>
      <w:bookmarkStart w:id="190" w:name="_Toc13318"/>
      <w:bookmarkStart w:id="191" w:name="_Toc106697021"/>
      <w:bookmarkStart w:id="192" w:name="_Toc15760"/>
      <w:r>
        <w:rPr>
          <w:rFonts w:ascii="Times New Roman" w:cs="Times New Roman"/>
        </w:rPr>
        <w:t>水文要素影响预测与评价</w:t>
      </w:r>
      <w:bookmarkEnd w:id="190"/>
      <w:bookmarkEnd w:id="191"/>
      <w:bookmarkEnd w:id="192"/>
    </w:p>
    <w:p>
      <w:pPr>
        <w:ind w:firstLine="600" w:firstLineChars="250"/>
      </w:pPr>
      <w:r>
        <w:t>为研究拟建项目对长江水文要素的影响分析以及工程对河段水流条件的影响、工程建设后整体河势变化情况，项目组建立数学模型进行了水位、流速、水流变化、河床冲刷等的预测分析。</w:t>
      </w:r>
    </w:p>
    <w:p>
      <w:pPr>
        <w:pStyle w:val="454"/>
        <w:ind w:firstLine="602"/>
        <w:rPr>
          <w:color w:val="auto"/>
        </w:rPr>
      </w:pPr>
      <w:r>
        <w:rPr>
          <w:color w:val="auto"/>
        </w:rPr>
        <w:t>模型构建</w:t>
      </w:r>
    </w:p>
    <w:p>
      <w:pPr>
        <w:pStyle w:val="456"/>
        <w:ind w:firstLine="482"/>
      </w:pPr>
      <w:r>
        <w:t>模型控制方程</w:t>
      </w:r>
    </w:p>
    <w:p>
      <w:pPr>
        <w:ind w:firstLine="480"/>
      </w:pPr>
      <w:r>
        <w:t>二维水动力控制方程为笛卡尔坐标系（Cartesian Coordinates）下的纳维—斯托克斯方程组（Navier-Stokes equations），该方程组由水流连续性方程、沿水流方向（x方向）的动量方程和垂直水流方向（y方向）的动量方程组成。</w:t>
      </w:r>
    </w:p>
    <w:p>
      <w:pPr>
        <w:pStyle w:val="286"/>
        <w:ind w:firstLine="480"/>
      </w:pPr>
      <w:r>
        <w:drawing>
          <wp:inline distT="0" distB="0" distL="0" distR="0">
            <wp:extent cx="1334770" cy="448310"/>
            <wp:effectExtent l="0" t="0" r="0" b="8255"/>
            <wp:docPr id="1388" name="图片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图片 138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1334770" cy="448310"/>
                    </a:xfrm>
                    <a:prstGeom prst="rect">
                      <a:avLst/>
                    </a:prstGeom>
                    <a:noFill/>
                    <a:ln>
                      <a:noFill/>
                    </a:ln>
                  </pic:spPr>
                </pic:pic>
              </a:graphicData>
            </a:graphic>
          </wp:inline>
        </w:drawing>
      </w:r>
    </w:p>
    <w:p>
      <w:pPr>
        <w:pStyle w:val="286"/>
        <w:ind w:firstLine="480"/>
      </w:pPr>
      <w:r>
        <w:drawing>
          <wp:inline distT="0" distB="0" distL="0" distR="0">
            <wp:extent cx="4334510" cy="969010"/>
            <wp:effectExtent l="0" t="0" r="8890" b="2540"/>
            <wp:docPr id="1387" name="图片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图片 138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4334510" cy="969010"/>
                    </a:xfrm>
                    <a:prstGeom prst="rect">
                      <a:avLst/>
                    </a:prstGeom>
                    <a:noFill/>
                    <a:ln>
                      <a:noFill/>
                    </a:ln>
                  </pic:spPr>
                </pic:pic>
              </a:graphicData>
            </a:graphic>
          </wp:inline>
        </w:drawing>
      </w:r>
    </w:p>
    <w:p>
      <w:pPr>
        <w:pStyle w:val="286"/>
        <w:ind w:firstLine="480"/>
      </w:pPr>
      <w:r>
        <w:drawing>
          <wp:inline distT="0" distB="0" distL="0" distR="0">
            <wp:extent cx="4416425" cy="969010"/>
            <wp:effectExtent l="0" t="0" r="3175" b="2540"/>
            <wp:docPr id="1386" name="图片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图片 138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4416425" cy="969010"/>
                    </a:xfrm>
                    <a:prstGeom prst="rect">
                      <a:avLst/>
                    </a:prstGeom>
                    <a:noFill/>
                    <a:ln>
                      <a:noFill/>
                    </a:ln>
                  </pic:spPr>
                </pic:pic>
              </a:graphicData>
            </a:graphic>
          </wp:inline>
        </w:drawing>
      </w:r>
    </w:p>
    <w:p>
      <w:pPr>
        <w:ind w:firstLine="480"/>
      </w:pPr>
      <w:r>
        <w:t>上述各式中，</w:t>
      </w:r>
      <w:r>
        <w:drawing>
          <wp:inline distT="0" distB="0" distL="0" distR="0">
            <wp:extent cx="128270" cy="164465"/>
            <wp:effectExtent l="0" t="0" r="5080" b="5715"/>
            <wp:docPr id="1385" name="图片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图片 138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128270" cy="164465"/>
                    </a:xfrm>
                    <a:prstGeom prst="rect">
                      <a:avLst/>
                    </a:prstGeom>
                    <a:noFill/>
                    <a:ln>
                      <a:noFill/>
                    </a:ln>
                  </pic:spPr>
                </pic:pic>
              </a:graphicData>
            </a:graphic>
          </wp:inline>
        </w:drawing>
      </w:r>
      <w:r>
        <w:t>为水面高程，</w:t>
      </w:r>
      <w:r>
        <w:object>
          <v:shape id="_x0000_i1029" o:spt="75" type="#_x0000_t75" style="height:13.1pt;width:5.6pt;" o:ole="t" filled="f" o:preferrelative="t" stroked="f" coordsize="21600,21600">
            <v:path/>
            <v:fill on="f" focussize="0,0"/>
            <v:stroke on="f" joinstyle="miter"/>
            <v:imagedata r:id="rId106" o:title=""/>
            <o:lock v:ext="edit" aspectratio="t"/>
            <w10:wrap type="none"/>
            <w10:anchorlock/>
          </v:shape>
          <o:OLEObject Type="Embed" ProgID="Equation.DSMT4" ShapeID="_x0000_i1029" DrawAspect="Content" ObjectID="_1468075729" r:id="rId105">
            <o:LockedField>false</o:LockedField>
          </o:OLEObject>
        </w:object>
      </w:r>
      <w:r>
        <w:t>为总水深，</w:t>
      </w:r>
      <w:r>
        <w:drawing>
          <wp:inline distT="0" distB="0" distL="0" distR="0">
            <wp:extent cx="137160" cy="164465"/>
            <wp:effectExtent l="0" t="0" r="15240" b="5715"/>
            <wp:docPr id="1382" name="图片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图片 138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137160" cy="164465"/>
                    </a:xfrm>
                    <a:prstGeom prst="rect">
                      <a:avLst/>
                    </a:prstGeom>
                    <a:noFill/>
                    <a:ln>
                      <a:noFill/>
                    </a:ln>
                  </pic:spPr>
                </pic:pic>
              </a:graphicData>
            </a:graphic>
          </wp:inline>
        </w:drawing>
      </w:r>
      <w:r>
        <w:t>为重力加速度，</w:t>
      </w:r>
      <w:r>
        <w:drawing>
          <wp:inline distT="0" distB="0" distL="0" distR="0">
            <wp:extent cx="155575" cy="164465"/>
            <wp:effectExtent l="0" t="0" r="0" b="5715"/>
            <wp:docPr id="1381" name="图片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 name="图片 138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155575" cy="164465"/>
                    </a:xfrm>
                    <a:prstGeom prst="rect">
                      <a:avLst/>
                    </a:prstGeom>
                    <a:noFill/>
                    <a:ln>
                      <a:noFill/>
                    </a:ln>
                  </pic:spPr>
                </pic:pic>
              </a:graphicData>
            </a:graphic>
          </wp:inline>
        </w:drawing>
      </w:r>
      <w:r>
        <w:t>为水的密度，</w:t>
      </w:r>
      <w:r>
        <w:drawing>
          <wp:inline distT="0" distB="0" distL="0" distR="0">
            <wp:extent cx="191770" cy="228600"/>
            <wp:effectExtent l="0" t="0" r="17780" b="0"/>
            <wp:docPr id="1380" name="图片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图片 138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191770" cy="228600"/>
                    </a:xfrm>
                    <a:prstGeom prst="rect">
                      <a:avLst/>
                    </a:prstGeom>
                    <a:noFill/>
                    <a:ln>
                      <a:noFill/>
                    </a:ln>
                  </pic:spPr>
                </pic:pic>
              </a:graphicData>
            </a:graphic>
          </wp:inline>
        </w:drawing>
      </w:r>
      <w:r>
        <w:t>为（淡）水的参考密度。</w:t>
      </w:r>
      <w:r>
        <w:drawing>
          <wp:inline distT="0" distB="0" distL="0" distR="0">
            <wp:extent cx="804545" cy="201295"/>
            <wp:effectExtent l="0" t="0" r="14605" b="6985"/>
            <wp:docPr id="1379" name="图片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图片 137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804545" cy="201295"/>
                    </a:xfrm>
                    <a:prstGeom prst="rect">
                      <a:avLst/>
                    </a:prstGeom>
                    <a:noFill/>
                    <a:ln>
                      <a:noFill/>
                    </a:ln>
                  </pic:spPr>
                </pic:pic>
              </a:graphicData>
            </a:graphic>
          </wp:inline>
        </w:drawing>
      </w:r>
      <w:r>
        <w:t>为科氏力系数（</w:t>
      </w:r>
      <w:r>
        <w:drawing>
          <wp:inline distT="0" distB="0" distL="0" distR="0">
            <wp:extent cx="164465" cy="164465"/>
            <wp:effectExtent l="0" t="0" r="0" b="5715"/>
            <wp:docPr id="1378" name="图片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图片 137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0" y="0"/>
                      <a:ext cx="164465" cy="164465"/>
                    </a:xfrm>
                    <a:prstGeom prst="rect">
                      <a:avLst/>
                    </a:prstGeom>
                    <a:noFill/>
                    <a:ln>
                      <a:noFill/>
                    </a:ln>
                  </pic:spPr>
                </pic:pic>
              </a:graphicData>
            </a:graphic>
          </wp:inline>
        </w:drawing>
      </w:r>
      <w:r>
        <w:t>旋转角速率，</w:t>
      </w:r>
      <w:r>
        <w:drawing>
          <wp:inline distT="0" distB="0" distL="0" distR="0">
            <wp:extent cx="128270" cy="201295"/>
            <wp:effectExtent l="0" t="0" r="5080" b="6985"/>
            <wp:docPr id="1377" name="图片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图片 137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128270" cy="201295"/>
                    </a:xfrm>
                    <a:prstGeom prst="rect">
                      <a:avLst/>
                    </a:prstGeom>
                    <a:noFill/>
                    <a:ln>
                      <a:noFill/>
                    </a:ln>
                  </pic:spPr>
                </pic:pic>
              </a:graphicData>
            </a:graphic>
          </wp:inline>
        </w:drawing>
      </w:r>
      <w:r>
        <w:t>地理纬度），</w:t>
      </w:r>
      <w:r>
        <w:drawing>
          <wp:inline distT="0" distB="0" distL="0" distR="0">
            <wp:extent cx="173990" cy="228600"/>
            <wp:effectExtent l="0" t="0" r="16510" b="0"/>
            <wp:docPr id="1376" name="图片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图片 137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173990" cy="228600"/>
                    </a:xfrm>
                    <a:prstGeom prst="rect">
                      <a:avLst/>
                    </a:prstGeom>
                    <a:noFill/>
                    <a:ln>
                      <a:noFill/>
                    </a:ln>
                  </pic:spPr>
                </pic:pic>
              </a:graphicData>
            </a:graphic>
          </wp:inline>
        </w:drawing>
      </w:r>
      <w:r>
        <w:t>为大气压强，</w:t>
      </w:r>
      <w:r>
        <w:drawing>
          <wp:inline distT="0" distB="0" distL="0" distR="0">
            <wp:extent cx="164465" cy="237490"/>
            <wp:effectExtent l="0" t="0" r="0" b="13335"/>
            <wp:docPr id="1326" name="图片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 name="图片 132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164465" cy="237490"/>
                    </a:xfrm>
                    <a:prstGeom prst="rect">
                      <a:avLst/>
                    </a:prstGeom>
                    <a:noFill/>
                    <a:ln>
                      <a:noFill/>
                    </a:ln>
                  </pic:spPr>
                </pic:pic>
              </a:graphicData>
            </a:graphic>
          </wp:inline>
        </w:drawing>
      </w:r>
      <w:r>
        <w:t>为辐射应力张量。</w:t>
      </w:r>
      <w:r>
        <w:drawing>
          <wp:inline distT="0" distB="0" distL="0" distR="0">
            <wp:extent cx="137160" cy="173990"/>
            <wp:effectExtent l="0" t="0" r="15240" b="17145"/>
            <wp:docPr id="1325" name="图片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图片 132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137160" cy="173990"/>
                    </a:xfrm>
                    <a:prstGeom prst="rect">
                      <a:avLst/>
                    </a:prstGeom>
                    <a:noFill/>
                    <a:ln>
                      <a:noFill/>
                    </a:ln>
                  </pic:spPr>
                </pic:pic>
              </a:graphicData>
            </a:graphic>
          </wp:inline>
        </w:drawing>
      </w:r>
      <w:r>
        <w:t>和</w:t>
      </w:r>
      <w:r>
        <w:drawing>
          <wp:inline distT="0" distB="0" distL="0" distR="0">
            <wp:extent cx="448310" cy="228600"/>
            <wp:effectExtent l="0" t="0" r="8890" b="0"/>
            <wp:docPr id="1324" name="图片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图片 132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448310" cy="228600"/>
                    </a:xfrm>
                    <a:prstGeom prst="rect">
                      <a:avLst/>
                    </a:prstGeom>
                    <a:noFill/>
                    <a:ln>
                      <a:noFill/>
                    </a:ln>
                  </pic:spPr>
                </pic:pic>
              </a:graphicData>
            </a:graphic>
          </wp:inline>
        </w:drawing>
      </w:r>
      <w:r>
        <w:t>分别为点源的排放量</w:t>
      </w:r>
      <w:bookmarkStart w:id="193" w:name="OLE_LINK15"/>
      <w:r>
        <w:t>和</w:t>
      </w:r>
      <w:bookmarkEnd w:id="193"/>
      <w:r>
        <w:t>速度。</w:t>
      </w:r>
      <w:r>
        <w:drawing>
          <wp:inline distT="0" distB="0" distL="0" distR="0">
            <wp:extent cx="128270" cy="219710"/>
            <wp:effectExtent l="0" t="0" r="5080" b="7620"/>
            <wp:docPr id="1323" name="图片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图片 132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128270" cy="219710"/>
                    </a:xfrm>
                    <a:prstGeom prst="rect">
                      <a:avLst/>
                    </a:prstGeom>
                    <a:noFill/>
                    <a:ln>
                      <a:noFill/>
                    </a:ln>
                  </pic:spPr>
                </pic:pic>
              </a:graphicData>
            </a:graphic>
          </wp:inline>
        </w:drawing>
      </w:r>
      <w:r>
        <w:t>和</w:t>
      </w:r>
      <w:r>
        <w:drawing>
          <wp:inline distT="0" distB="0" distL="0" distR="0">
            <wp:extent cx="118745" cy="219710"/>
            <wp:effectExtent l="0" t="0" r="14605" b="7620"/>
            <wp:docPr id="1322" name="图片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 name="图片 132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118745" cy="219710"/>
                    </a:xfrm>
                    <a:prstGeom prst="rect">
                      <a:avLst/>
                    </a:prstGeom>
                    <a:noFill/>
                    <a:ln>
                      <a:noFill/>
                    </a:ln>
                  </pic:spPr>
                </pic:pic>
              </a:graphicData>
            </a:graphic>
          </wp:inline>
        </w:drawing>
      </w:r>
      <w:r>
        <w:t>为流速在深度上的平均值，定义为：</w:t>
      </w:r>
    </w:p>
    <w:p>
      <w:pPr>
        <w:pStyle w:val="286"/>
        <w:ind w:firstLine="480"/>
      </w:pPr>
      <w:r>
        <w:drawing>
          <wp:inline distT="0" distB="0" distL="0" distR="0">
            <wp:extent cx="722630" cy="328930"/>
            <wp:effectExtent l="0" t="0" r="0" b="14605"/>
            <wp:docPr id="1321" name="图片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 name="图片 132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722630" cy="328930"/>
                    </a:xfrm>
                    <a:prstGeom prst="rect">
                      <a:avLst/>
                    </a:prstGeom>
                    <a:noFill/>
                    <a:ln>
                      <a:noFill/>
                    </a:ln>
                  </pic:spPr>
                </pic:pic>
              </a:graphicData>
            </a:graphic>
          </wp:inline>
        </w:drawing>
      </w:r>
      <w:r>
        <w:t>，</w:t>
      </w:r>
      <w:r>
        <w:drawing>
          <wp:inline distT="0" distB="0" distL="0" distR="0">
            <wp:extent cx="694690" cy="328930"/>
            <wp:effectExtent l="0" t="0" r="0" b="14605"/>
            <wp:docPr id="1320" name="图片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 name="图片 132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694690" cy="328930"/>
                    </a:xfrm>
                    <a:prstGeom prst="rect">
                      <a:avLst/>
                    </a:prstGeom>
                    <a:noFill/>
                    <a:ln>
                      <a:noFill/>
                    </a:ln>
                  </pic:spPr>
                </pic:pic>
              </a:graphicData>
            </a:graphic>
          </wp:inline>
        </w:drawing>
      </w:r>
    </w:p>
    <w:p>
      <w:pPr>
        <w:ind w:firstLine="480"/>
      </w:pPr>
      <w:r>
        <w:drawing>
          <wp:inline distT="0" distB="0" distL="0" distR="0">
            <wp:extent cx="511810" cy="237490"/>
            <wp:effectExtent l="0" t="0" r="2540" b="10160"/>
            <wp:docPr id="1319" name="图片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图片 131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511810" cy="237490"/>
                    </a:xfrm>
                    <a:prstGeom prst="rect">
                      <a:avLst/>
                    </a:prstGeom>
                    <a:noFill/>
                    <a:ln>
                      <a:noFill/>
                    </a:ln>
                  </pic:spPr>
                </pic:pic>
              </a:graphicData>
            </a:graphic>
          </wp:inline>
        </w:drawing>
      </w:r>
      <w:r>
        <w:t>和</w:t>
      </w:r>
      <w:r>
        <w:drawing>
          <wp:inline distT="0" distB="0" distL="0" distR="0">
            <wp:extent cx="521335" cy="237490"/>
            <wp:effectExtent l="0" t="0" r="12065" b="10160"/>
            <wp:docPr id="1318" name="图片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图片 131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521335" cy="237490"/>
                    </a:xfrm>
                    <a:prstGeom prst="rect">
                      <a:avLst/>
                    </a:prstGeom>
                    <a:noFill/>
                    <a:ln>
                      <a:noFill/>
                    </a:ln>
                  </pic:spPr>
                </pic:pic>
              </a:graphicData>
            </a:graphic>
          </wp:inline>
        </w:drawing>
      </w:r>
      <w:r>
        <w:t>为水面风应力张量和河床面应力张量。河床面应力</w:t>
      </w:r>
      <w:r>
        <w:drawing>
          <wp:inline distT="0" distB="0" distL="0" distR="0">
            <wp:extent cx="814070" cy="265430"/>
            <wp:effectExtent l="0" t="0" r="5080" b="1270"/>
            <wp:docPr id="1317" name="图片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 name="图片 131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a:xfrm>
                      <a:off x="0" y="0"/>
                      <a:ext cx="814070" cy="265430"/>
                    </a:xfrm>
                    <a:prstGeom prst="rect">
                      <a:avLst/>
                    </a:prstGeom>
                    <a:noFill/>
                    <a:ln>
                      <a:noFill/>
                    </a:ln>
                  </pic:spPr>
                </pic:pic>
              </a:graphicData>
            </a:graphic>
          </wp:inline>
        </w:drawing>
      </w:r>
      <w:r>
        <w:t>可用阻力平方定律（摩擦阻力与流速平方成正比）确定：</w:t>
      </w:r>
    </w:p>
    <w:p>
      <w:pPr>
        <w:pStyle w:val="286"/>
        <w:ind w:firstLine="480"/>
      </w:pPr>
      <w:r>
        <w:drawing>
          <wp:inline distT="0" distB="0" distL="0" distR="0">
            <wp:extent cx="859790" cy="466090"/>
            <wp:effectExtent l="0" t="0" r="16510" b="10795"/>
            <wp:docPr id="1316" name="图片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 name="图片 131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a:xfrm>
                      <a:off x="0" y="0"/>
                      <a:ext cx="859790" cy="466090"/>
                    </a:xfrm>
                    <a:prstGeom prst="rect">
                      <a:avLst/>
                    </a:prstGeom>
                    <a:noFill/>
                    <a:ln>
                      <a:noFill/>
                    </a:ln>
                  </pic:spPr>
                </pic:pic>
              </a:graphicData>
            </a:graphic>
          </wp:inline>
        </w:drawing>
      </w:r>
    </w:p>
    <w:p>
      <w:pPr>
        <w:ind w:firstLine="480"/>
      </w:pPr>
      <w:r>
        <w:drawing>
          <wp:inline distT="0" distB="0" distL="0" distR="0">
            <wp:extent cx="173990" cy="237490"/>
            <wp:effectExtent l="0" t="0" r="0" b="13335"/>
            <wp:docPr id="1315" name="图片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图片 131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a:xfrm>
                      <a:off x="0" y="0"/>
                      <a:ext cx="173990" cy="237490"/>
                    </a:xfrm>
                    <a:prstGeom prst="rect">
                      <a:avLst/>
                    </a:prstGeom>
                    <a:noFill/>
                    <a:ln>
                      <a:noFill/>
                    </a:ln>
                  </pic:spPr>
                </pic:pic>
              </a:graphicData>
            </a:graphic>
          </wp:inline>
        </w:drawing>
      </w:r>
      <w:r>
        <w:t>为阻力系数或河床摩擦力，</w:t>
      </w:r>
      <w:r>
        <w:drawing>
          <wp:inline distT="0" distB="0" distL="0" distR="0">
            <wp:extent cx="749935" cy="255905"/>
            <wp:effectExtent l="0" t="0" r="12065" b="12065"/>
            <wp:docPr id="1314" name="图片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 name="图片 131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a:xfrm>
                      <a:off x="0" y="0"/>
                      <a:ext cx="749935" cy="255905"/>
                    </a:xfrm>
                    <a:prstGeom prst="rect">
                      <a:avLst/>
                    </a:prstGeom>
                    <a:noFill/>
                    <a:ln>
                      <a:noFill/>
                    </a:ln>
                  </pic:spPr>
                </pic:pic>
              </a:graphicData>
            </a:graphic>
          </wp:inline>
        </w:drawing>
      </w:r>
      <w:r>
        <w:t>为河床面上的水深平均流速，河床面的摩阻流速为</w:t>
      </w:r>
      <w:r>
        <w:drawing>
          <wp:inline distT="0" distB="0" distL="0" distR="0">
            <wp:extent cx="905510" cy="384175"/>
            <wp:effectExtent l="0" t="0" r="8890" b="16510"/>
            <wp:docPr id="1313" name="图片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 name="图片 131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a:xfrm>
                      <a:off x="0" y="0"/>
                      <a:ext cx="905510" cy="384175"/>
                    </a:xfrm>
                    <a:prstGeom prst="rect">
                      <a:avLst/>
                    </a:prstGeom>
                    <a:noFill/>
                    <a:ln>
                      <a:noFill/>
                    </a:ln>
                  </pic:spPr>
                </pic:pic>
              </a:graphicData>
            </a:graphic>
          </wp:inline>
        </w:drawing>
      </w:r>
      <w:r>
        <w:t>。河床摩擦力可用谢才系数</w:t>
      </w:r>
      <w:r>
        <w:rPr>
          <w:i/>
        </w:rPr>
        <w:t>C</w:t>
      </w:r>
      <w:r>
        <w:t>（Chezy number）或</w:t>
      </w:r>
      <w:bookmarkStart w:id="194" w:name="OLE_LINK33"/>
      <w:r>
        <w:t>曼宁系数</w:t>
      </w:r>
      <w:r>
        <w:rPr>
          <w:i/>
        </w:rPr>
        <w:t>M</w:t>
      </w:r>
      <w:bookmarkEnd w:id="194"/>
      <w:r>
        <w:t>（Manning number）来估算：</w:t>
      </w:r>
    </w:p>
    <w:p>
      <w:pPr>
        <w:pStyle w:val="286"/>
        <w:ind w:firstLine="480"/>
      </w:pPr>
      <w:r>
        <w:drawing>
          <wp:inline distT="0" distB="0" distL="0" distR="0">
            <wp:extent cx="548640" cy="393065"/>
            <wp:effectExtent l="0" t="0" r="0" b="5715"/>
            <wp:docPr id="1312" name="图片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图片 131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a:xfrm>
                      <a:off x="0" y="0"/>
                      <a:ext cx="548640" cy="393065"/>
                    </a:xfrm>
                    <a:prstGeom prst="rect">
                      <a:avLst/>
                    </a:prstGeom>
                    <a:noFill/>
                    <a:ln>
                      <a:noFill/>
                    </a:ln>
                  </pic:spPr>
                </pic:pic>
              </a:graphicData>
            </a:graphic>
          </wp:inline>
        </w:drawing>
      </w:r>
      <w:r>
        <w:t>，</w:t>
      </w:r>
      <w:r>
        <w:drawing>
          <wp:inline distT="0" distB="0" distL="0" distR="0">
            <wp:extent cx="859790" cy="448310"/>
            <wp:effectExtent l="0" t="0" r="16510" b="7620"/>
            <wp:docPr id="1238" name="图片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 name="图片 123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a:xfrm>
                      <a:off x="0" y="0"/>
                      <a:ext cx="859790" cy="448310"/>
                    </a:xfrm>
                    <a:prstGeom prst="rect">
                      <a:avLst/>
                    </a:prstGeom>
                    <a:noFill/>
                    <a:ln>
                      <a:noFill/>
                    </a:ln>
                  </pic:spPr>
                </pic:pic>
              </a:graphicData>
            </a:graphic>
          </wp:inline>
        </w:drawing>
      </w:r>
    </w:p>
    <w:p>
      <w:pPr>
        <w:ind w:firstLine="480"/>
      </w:pPr>
      <w:r>
        <w:t>谢才系数的单位是</w:t>
      </w:r>
      <w:r>
        <w:object>
          <v:shape id="_x0000_i1030" o:spt="75" type="#_x0000_t75" style="height:20.55pt;width:36.45pt;" o:ole="t" filled="f" o:preferrelative="t" stroked="f" coordsize="21600,21600">
            <v:path/>
            <v:fill on="f" focussize="0,0"/>
            <v:stroke on="f" joinstyle="miter"/>
            <v:imagedata r:id="rId131" o:title=""/>
            <o:lock v:ext="edit" aspectratio="t"/>
            <w10:wrap type="none"/>
            <w10:anchorlock/>
          </v:shape>
          <o:OLEObject Type="Embed" ProgID="Equations" ShapeID="_x0000_i1030" DrawAspect="Content" ObjectID="_1468075730" r:id="rId130">
            <o:LockedField>false</o:LockedField>
          </o:OLEObject>
        </w:object>
      </w:r>
      <w:r>
        <w:t>，曼宁系数的单位是</w:t>
      </w:r>
      <w:r>
        <w:object>
          <v:shape id="_x0000_i1031" o:spt="75" type="#_x0000_t75" style="height:20.55pt;width:36.45pt;" o:ole="t" filled="f" o:preferrelative="t" stroked="f" coordsize="21600,21600">
            <v:path/>
            <v:fill on="f" focussize="0,0"/>
            <v:stroke on="f" joinstyle="miter"/>
            <v:imagedata r:id="rId133" o:title=""/>
            <o:lock v:ext="edit" aspectratio="t"/>
            <w10:wrap type="none"/>
            <w10:anchorlock/>
          </v:shape>
          <o:OLEObject Type="Embed" ProgID="Equations" ShapeID="_x0000_i1031" DrawAspect="Content" ObjectID="_1468075731" r:id="rId132">
            <o:LockedField>false</o:LockedField>
          </o:OLEObject>
        </w:object>
      </w:r>
      <w:r>
        <w:t>。曼宁系数和河床粗糙高度（糙率）</w:t>
      </w:r>
      <w:r>
        <w:object>
          <v:shape id="_x0000_i1032" o:spt="75" type="#_x0000_t75" style="height:20.55pt;width:13.1pt;" o:ole="t" filled="f" o:preferrelative="t" stroked="f" coordsize="21600,21600">
            <v:path/>
            <v:fill on="f" focussize="0,0"/>
            <v:stroke on="f" joinstyle="miter"/>
            <v:imagedata r:id="rId135" o:title=""/>
            <o:lock v:ext="edit" aspectratio="t"/>
            <w10:wrap type="none"/>
            <w10:anchorlock/>
          </v:shape>
          <o:OLEObject Type="Embed" ProgID="Equations" ShapeID="_x0000_i1032" DrawAspect="Content" ObjectID="_1468075732" r:id="rId134">
            <o:LockedField>false</o:LockedField>
          </o:OLEObject>
        </w:object>
      </w:r>
      <w:r>
        <w:t>关系如下：</w:t>
      </w:r>
    </w:p>
    <w:p>
      <w:pPr>
        <w:pStyle w:val="286"/>
        <w:ind w:firstLine="480"/>
      </w:pPr>
      <w:r>
        <w:object>
          <v:shape id="_x0000_i1033" o:spt="75" type="#_x0000_t75" style="height:36.45pt;width:50.5pt;" o:ole="t" filled="f" o:preferrelative="t" stroked="f" coordsize="21600,21600">
            <v:path/>
            <v:fill on="f" focussize="0,0"/>
            <v:stroke on="f" joinstyle="miter"/>
            <v:imagedata r:id="rId137" o:title=""/>
            <o:lock v:ext="edit" aspectratio="t"/>
            <w10:wrap type="none"/>
            <w10:anchorlock/>
          </v:shape>
          <o:OLEObject Type="Embed" ProgID="Equations" ShapeID="_x0000_i1033" DrawAspect="Content" ObjectID="_1468075733" r:id="rId136">
            <o:LockedField>false</o:LockedField>
          </o:OLEObject>
        </w:object>
      </w:r>
    </w:p>
    <w:p>
      <w:pPr>
        <w:ind w:firstLine="480"/>
      </w:pPr>
      <w:r>
        <w:t xml:space="preserve">曼宁系数值一般介于20-40 </w:t>
      </w:r>
      <w:r>
        <w:object>
          <v:shape id="_x0000_i1034" o:spt="75" type="#_x0000_t75" style="height:20.55pt;width:36.45pt;" o:ole="t" filled="f" o:preferrelative="t" stroked="f" coordsize="21600,21600">
            <v:path/>
            <v:fill on="f" focussize="0,0"/>
            <v:stroke on="f" joinstyle="miter"/>
            <v:imagedata r:id="rId139" o:title=""/>
            <o:lock v:ext="edit" aspectratio="t"/>
            <w10:wrap type="none"/>
            <w10:anchorlock/>
          </v:shape>
          <o:OLEObject Type="Embed" ProgID="Equations" ShapeID="_x0000_i1034" DrawAspect="Content" ObjectID="_1468075734" r:id="rId138">
            <o:LockedField>false</o:LockedField>
          </o:OLEObject>
        </w:object>
      </w:r>
      <w:r>
        <w:t>。</w:t>
      </w:r>
    </w:p>
    <w:p>
      <w:pPr>
        <w:ind w:firstLine="480"/>
      </w:pPr>
      <w:r>
        <w:drawing>
          <wp:inline distT="0" distB="0" distL="0" distR="0">
            <wp:extent cx="511810" cy="237490"/>
            <wp:effectExtent l="0" t="0" r="2540" b="10160"/>
            <wp:docPr id="1375" name="图片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图片 137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511810" cy="237490"/>
                    </a:xfrm>
                    <a:prstGeom prst="rect">
                      <a:avLst/>
                    </a:prstGeom>
                    <a:noFill/>
                    <a:ln>
                      <a:noFill/>
                    </a:ln>
                  </pic:spPr>
                </pic:pic>
              </a:graphicData>
            </a:graphic>
          </wp:inline>
        </w:drawing>
      </w:r>
      <w:r>
        <w:t>为水面风应力张量，风应力</w:t>
      </w:r>
      <w:bookmarkStart w:id="195" w:name="OLE_LINK8"/>
      <w:bookmarkStart w:id="196" w:name="OLE_LINK9"/>
      <w:r>
        <w:object>
          <v:shape id="_x0000_i1035" o:spt="75" type="#_x0000_t75" style="height:21.5pt;width:66.4pt;" o:ole="t" filled="f" o:preferrelative="t" stroked="f" coordsize="21600,21600">
            <v:path/>
            <v:fill on="f" focussize="0,0"/>
            <v:stroke on="f" joinstyle="miter"/>
            <v:imagedata r:id="rId141" o:title=""/>
            <o:lock v:ext="edit" aspectratio="t"/>
            <w10:wrap type="none"/>
            <w10:anchorlock/>
          </v:shape>
          <o:OLEObject Type="Embed" ProgID="Equations" ShapeID="_x0000_i1035" DrawAspect="Content" ObjectID="_1468075735" r:id="rId140">
            <o:LockedField>false</o:LockedField>
          </o:OLEObject>
        </w:object>
      </w:r>
      <w:bookmarkEnd w:id="195"/>
      <w:bookmarkEnd w:id="196"/>
      <w:r>
        <w:t>可通过下面的经验公式来获得</w:t>
      </w:r>
    </w:p>
    <w:p>
      <w:pPr>
        <w:pStyle w:val="286"/>
        <w:ind w:firstLine="480"/>
      </w:pPr>
      <w:bookmarkStart w:id="197" w:name="OLE_LINK10"/>
      <w:bookmarkStart w:id="198" w:name="OLE_LINK11"/>
      <w:r>
        <w:object>
          <v:shape id="_x0000_i1036" o:spt="75" type="#_x0000_t75" style="height:20.55pt;width:77.6pt;" o:ole="t" filled="f" o:preferrelative="t" stroked="f" coordsize="21600,21600">
            <v:path/>
            <v:fill on="f" focussize="0,0"/>
            <v:stroke on="f" joinstyle="miter"/>
            <v:imagedata r:id="rId143" o:title=""/>
            <o:lock v:ext="edit" aspectratio="t"/>
            <w10:wrap type="none"/>
            <w10:anchorlock/>
          </v:shape>
          <o:OLEObject Type="Embed" ProgID="Equations" ShapeID="_x0000_i1036" DrawAspect="Content" ObjectID="_1468075736" r:id="rId142">
            <o:LockedField>false</o:LockedField>
          </o:OLEObject>
        </w:object>
      </w:r>
      <w:bookmarkEnd w:id="197"/>
      <w:bookmarkEnd w:id="198"/>
    </w:p>
    <w:p>
      <w:pPr>
        <w:ind w:firstLine="480"/>
      </w:pPr>
      <w:r>
        <w:t>式中</w:t>
      </w:r>
      <w:r>
        <w:object>
          <v:shape id="_x0000_i1037" o:spt="75" type="#_x0000_t75" style="height:20.55pt;width:13.1pt;" o:ole="t" filled="f" o:preferrelative="t" stroked="f" coordsize="21600,21600">
            <v:path/>
            <v:fill on="f" focussize="0,0"/>
            <v:stroke on="f" joinstyle="miter"/>
            <v:imagedata r:id="rId145" o:title=""/>
            <o:lock v:ext="edit" aspectratio="t"/>
            <w10:wrap type="none"/>
            <w10:anchorlock/>
          </v:shape>
          <o:OLEObject Type="Embed" ProgID="Equations" ShapeID="_x0000_i1037" DrawAspect="Content" ObjectID="_1468075737" r:id="rId144">
            <o:LockedField>false</o:LockedField>
          </o:OLEObject>
        </w:object>
      </w:r>
      <w:r>
        <w:t>为空气密度，</w:t>
      </w:r>
      <w:r>
        <w:object>
          <v:shape id="_x0000_i1038" o:spt="75" type="#_x0000_t75" style="height:20.55pt;width:13.1pt;" o:ole="t" filled="f" o:preferrelative="t" stroked="f" coordsize="21600,21600">
            <v:path/>
            <v:fill on="f" focussize="0,0"/>
            <v:stroke on="f" joinstyle="miter"/>
            <v:imagedata r:id="rId147" o:title=""/>
            <o:lock v:ext="edit" aspectratio="t"/>
            <w10:wrap type="none"/>
            <w10:anchorlock/>
          </v:shape>
          <o:OLEObject Type="Embed" ProgID="Equations" ShapeID="_x0000_i1038" DrawAspect="Content" ObjectID="_1468075738" r:id="rId146">
            <o:LockedField>false</o:LockedField>
          </o:OLEObject>
        </w:object>
      </w:r>
      <w:r>
        <w:t>为空气阻力系数，</w:t>
      </w:r>
      <w:r>
        <w:object>
          <v:shape id="_x0000_i1039" o:spt="75" type="#_x0000_t75" style="height:20.55pt;width:65.45pt;" o:ole="t" filled="f" o:preferrelative="t" stroked="f" coordsize="21600,21600">
            <v:path/>
            <v:fill on="f" focussize="0,0"/>
            <v:stroke on="f" joinstyle="miter"/>
            <v:imagedata r:id="rId149" o:title=""/>
            <o:lock v:ext="edit" aspectratio="t"/>
            <w10:wrap type="none"/>
            <w10:anchorlock/>
          </v:shape>
          <o:OLEObject Type="Embed" ProgID="Equations" ShapeID="_x0000_i1039" DrawAspect="Content" ObjectID="_1468075739" r:id="rId148">
            <o:LockedField>false</o:LockedField>
          </o:OLEObject>
        </w:object>
      </w:r>
      <w:r>
        <w:t>水面以上10 m的风速。风应力产生的摩擦速率可表示为</w:t>
      </w:r>
    </w:p>
    <w:p>
      <w:pPr>
        <w:pStyle w:val="286"/>
        <w:ind w:firstLine="480"/>
      </w:pPr>
      <w:r>
        <w:object>
          <v:shape id="_x0000_i1040" o:spt="75" type="#_x0000_t75" style="height:43.95pt;width:85.1pt;" o:ole="t" filled="f" o:preferrelative="t" stroked="f" coordsize="21600,21600">
            <v:path/>
            <v:fill on="f" focussize="0,0"/>
            <v:stroke on="f" joinstyle="miter"/>
            <v:imagedata r:id="rId151" o:title=""/>
            <o:lock v:ext="edit" aspectratio="t"/>
            <w10:wrap type="none"/>
            <w10:anchorlock/>
          </v:shape>
          <o:OLEObject Type="Embed" ProgID="Equations" ShapeID="_x0000_i1040" DrawAspect="Content" ObjectID="_1468075740" r:id="rId150">
            <o:LockedField>false</o:LockedField>
          </o:OLEObject>
        </w:object>
      </w:r>
    </w:p>
    <w:p>
      <w:pPr>
        <w:ind w:firstLine="480"/>
      </w:pPr>
      <w:r>
        <w:drawing>
          <wp:inline distT="0" distB="0" distL="0" distR="0">
            <wp:extent cx="164465" cy="237490"/>
            <wp:effectExtent l="0" t="0" r="0" b="12700"/>
            <wp:docPr id="1374" name="图片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图片 137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a:xfrm>
                      <a:off x="0" y="0"/>
                      <a:ext cx="164465" cy="237490"/>
                    </a:xfrm>
                    <a:prstGeom prst="rect">
                      <a:avLst/>
                    </a:prstGeom>
                    <a:noFill/>
                    <a:ln>
                      <a:noFill/>
                    </a:ln>
                  </pic:spPr>
                </pic:pic>
              </a:graphicData>
            </a:graphic>
          </wp:inline>
        </w:drawing>
      </w:r>
      <w:r>
        <w:t>为侧向应力，包括粘性摩擦、湍流摩擦和差异对流，它们可基于水深平均流速梯度用</w:t>
      </w:r>
      <w:bookmarkStart w:id="199" w:name="OLE_LINK13"/>
      <w:bookmarkStart w:id="200" w:name="OLE_LINK12"/>
      <w:bookmarkStart w:id="201" w:name="OLE_LINK14"/>
      <w:r>
        <w:t>涡粘</w:t>
      </w:r>
      <w:bookmarkEnd w:id="199"/>
      <w:bookmarkEnd w:id="200"/>
      <w:r>
        <w:t>性系数</w:t>
      </w:r>
      <w:bookmarkEnd w:id="201"/>
      <w:r>
        <w:t>公式来估计：</w:t>
      </w:r>
    </w:p>
    <w:p>
      <w:pPr>
        <w:pStyle w:val="286"/>
        <w:ind w:firstLine="480"/>
      </w:pPr>
      <w:r>
        <w:drawing>
          <wp:inline distT="0" distB="0" distL="0" distR="0">
            <wp:extent cx="749935" cy="420370"/>
            <wp:effectExtent l="0" t="0" r="12065" b="17780"/>
            <wp:docPr id="1373" name="图片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 name="图片 137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a:xfrm>
                      <a:off x="0" y="0"/>
                      <a:ext cx="749935" cy="420370"/>
                    </a:xfrm>
                    <a:prstGeom prst="rect">
                      <a:avLst/>
                    </a:prstGeom>
                    <a:noFill/>
                    <a:ln>
                      <a:noFill/>
                    </a:ln>
                  </pic:spPr>
                </pic:pic>
              </a:graphicData>
            </a:graphic>
          </wp:inline>
        </w:drawing>
      </w:r>
      <w:r>
        <w:t>，</w:t>
      </w:r>
      <w:r>
        <w:drawing>
          <wp:inline distT="0" distB="0" distL="0" distR="0">
            <wp:extent cx="1134110" cy="484505"/>
            <wp:effectExtent l="0" t="0" r="8890" b="11430"/>
            <wp:docPr id="1372" name="图片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图片 137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a:xfrm>
                      <a:off x="0" y="0"/>
                      <a:ext cx="1134110" cy="484505"/>
                    </a:xfrm>
                    <a:prstGeom prst="rect">
                      <a:avLst/>
                    </a:prstGeom>
                    <a:noFill/>
                    <a:ln>
                      <a:noFill/>
                    </a:ln>
                  </pic:spPr>
                </pic:pic>
              </a:graphicData>
            </a:graphic>
          </wp:inline>
        </w:drawing>
      </w:r>
      <w:r>
        <w:t>，</w:t>
      </w:r>
      <w:r>
        <w:drawing>
          <wp:inline distT="0" distB="0" distL="0" distR="0">
            <wp:extent cx="749935" cy="448310"/>
            <wp:effectExtent l="0" t="0" r="12065" b="8255"/>
            <wp:docPr id="1371" name="图片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图片 137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a:xfrm>
                      <a:off x="0" y="0"/>
                      <a:ext cx="749935" cy="448310"/>
                    </a:xfrm>
                    <a:prstGeom prst="rect">
                      <a:avLst/>
                    </a:prstGeom>
                    <a:noFill/>
                    <a:ln>
                      <a:noFill/>
                    </a:ln>
                  </pic:spPr>
                </pic:pic>
              </a:graphicData>
            </a:graphic>
          </wp:inline>
        </w:drawing>
      </w:r>
    </w:p>
    <w:p>
      <w:pPr>
        <w:ind w:firstLine="480"/>
      </w:pPr>
      <w:r>
        <w:t>式中，</w:t>
      </w:r>
      <w:r>
        <w:rPr>
          <w:i/>
        </w:rPr>
        <w:t>A</w:t>
      </w:r>
      <w:r>
        <w:t>为水平涡粘性系数。</w:t>
      </w:r>
    </w:p>
    <w:p>
      <w:pPr>
        <w:ind w:firstLine="480"/>
      </w:pPr>
      <w:r>
        <w:t>根据Kolmogrov和Prandtle理论，紊动</w:t>
      </w:r>
      <w:bookmarkStart w:id="202" w:name="OLE_LINK17"/>
      <w:r>
        <w:t>涡粘性系数</w:t>
      </w:r>
      <w:bookmarkEnd w:id="202"/>
      <w:r>
        <w:object>
          <v:shape id="_x0000_i1041" o:spt="75" type="#_x0000_t75" style="height:20.55pt;width:13.1pt;" o:ole="t" filled="f" o:preferrelative="t" stroked="f" coordsize="21600,21600">
            <v:path/>
            <v:fill on="f" focussize="0,0"/>
            <v:stroke on="f" joinstyle="miter"/>
            <v:imagedata r:id="rId157" o:title=""/>
            <o:lock v:ext="edit" aspectratio="t"/>
            <w10:wrap type="none"/>
            <w10:anchorlock/>
          </v:shape>
          <o:OLEObject Type="Embed" ProgID="Equations" ShapeID="_x0000_i1041" DrawAspect="Content" ObjectID="_1468075741" r:id="rId156">
            <o:LockedField>false</o:LockedField>
          </o:OLEObject>
        </w:object>
      </w:r>
      <w:r>
        <w:t>正比于紊流动能</w:t>
      </w:r>
      <w:r>
        <w:object>
          <v:shape id="_x0000_i1042" o:spt="75" type="#_x0000_t75" style="height:13.1pt;width:5.6pt;" o:ole="t" filled="f" o:preferrelative="t" stroked="f" coordsize="21600,21600">
            <v:path/>
            <v:fill on="f" focussize="0,0"/>
            <v:stroke on="f" joinstyle="miter"/>
            <v:imagedata r:id="rId159" o:title=""/>
            <o:lock v:ext="edit" aspectratio="t"/>
            <w10:wrap type="none"/>
            <w10:anchorlock/>
          </v:shape>
          <o:OLEObject Type="Embed" ProgID="Equations" ShapeID="_x0000_i1042" DrawAspect="Content" ObjectID="_1468075742" r:id="rId158">
            <o:LockedField>false</o:LockedField>
          </o:OLEObject>
        </w:object>
      </w:r>
      <w:r>
        <w:t>的开方及特征涡粘尺度</w:t>
      </w:r>
      <w:r>
        <w:rPr>
          <w:i/>
        </w:rPr>
        <w:t>l</w:t>
      </w:r>
      <w:r>
        <w:t>。如果取耗散尺度为</w:t>
      </w:r>
      <w:r>
        <w:rPr>
          <w:i/>
        </w:rPr>
        <w:t>l</w:t>
      </w:r>
      <w:r>
        <w:t>（耗散率</w:t>
      </w:r>
      <w:r>
        <w:object>
          <v:shape id="_x0000_i1043" o:spt="75" type="#_x0000_t75" style="height:13.1pt;width:50.5pt;" o:ole="t" filled="f" o:preferrelative="t" stroked="f" coordsize="21600,21600">
            <v:path/>
            <v:fill on="f" focussize="0,0"/>
            <v:stroke on="f" joinstyle="miter"/>
            <v:imagedata r:id="rId161" o:title=""/>
            <o:lock v:ext="edit" aspectratio="t"/>
            <w10:wrap type="none"/>
            <w10:anchorlock/>
          </v:shape>
          <o:OLEObject Type="Embed" ProgID="Equations" ShapeID="_x0000_i1043" DrawAspect="Content" ObjectID="_1468075743" r:id="rId160">
            <o:LockedField>false</o:LockedField>
          </o:OLEObject>
        </w:object>
      </w:r>
      <w:r>
        <w:t>），则可以得到以</w:t>
      </w:r>
      <w:r>
        <w:object>
          <v:shape id="_x0000_i1044" o:spt="75" type="#_x0000_t75" style="height:5.6pt;width:5.6pt;" o:ole="t" filled="f" o:preferrelative="t" stroked="f" coordsize="21600,21600">
            <v:path/>
            <v:fill on="f" focussize="0,0"/>
            <v:stroke on="f" joinstyle="miter"/>
            <v:imagedata r:id="rId163" o:title=""/>
            <o:lock v:ext="edit" aspectratio="t"/>
            <w10:wrap type="none"/>
            <w10:anchorlock/>
          </v:shape>
          <o:OLEObject Type="Embed" ProgID="Equations" ShapeID="_x0000_i1044" DrawAspect="Content" ObjectID="_1468075744" r:id="rId162">
            <o:LockedField>false</o:LockedField>
          </o:OLEObject>
        </w:object>
      </w:r>
      <w:r>
        <w:t>和</w:t>
      </w:r>
      <w:r>
        <w:object>
          <v:shape id="_x0000_i1045" o:spt="75" type="#_x0000_t75" style="height:5.6pt;width:5.6pt;" o:ole="t" filled="f" o:preferrelative="t" stroked="f" coordsize="21600,21600">
            <v:path/>
            <v:fill on="f" focussize="0,0"/>
            <v:stroke on="f" joinstyle="miter"/>
            <v:imagedata r:id="rId165" o:title=""/>
            <o:lock v:ext="edit" aspectratio="t"/>
            <w10:wrap type="none"/>
            <w10:anchorlock/>
          </v:shape>
          <o:OLEObject Type="Embed" ProgID="Equations" ShapeID="_x0000_i1045" DrawAspect="Content" ObjectID="_1468075745" r:id="rId164">
            <o:LockedField>false</o:LockedField>
          </o:OLEObject>
        </w:object>
      </w:r>
      <w:r>
        <w:t>表示的涡粘性系数表达式：</w:t>
      </w:r>
    </w:p>
    <w:p>
      <w:pPr>
        <w:pStyle w:val="286"/>
        <w:ind w:firstLine="480"/>
      </w:pPr>
      <w:r>
        <w:object>
          <v:shape id="_x0000_i1046" o:spt="75" type="#_x0000_t75" style="height:28.05pt;width:58.9pt;" o:ole="t" filled="f" o:preferrelative="t" stroked="f" coordsize="21600,21600">
            <v:path/>
            <v:fill on="f" focussize="0,0"/>
            <v:stroke on="f" joinstyle="miter"/>
            <v:imagedata r:id="rId167" o:title=""/>
            <o:lock v:ext="edit" aspectratio="t"/>
            <w10:wrap type="none"/>
            <w10:anchorlock/>
          </v:shape>
          <o:OLEObject Type="Embed" ProgID="Equations" ShapeID="_x0000_i1046" DrawAspect="Content" ObjectID="_1468075746" r:id="rId166">
            <o:LockedField>false</o:LockedField>
          </o:OLEObject>
        </w:object>
      </w:r>
    </w:p>
    <w:p>
      <w:pPr>
        <w:ind w:firstLine="480"/>
      </w:pPr>
      <w:r>
        <w:t>式中</w:t>
      </w:r>
      <w:r>
        <w:object>
          <v:shape id="_x0000_i1047" o:spt="75" type="#_x0000_t75" style="height:21.5pt;width:13.1pt;" o:ole="t" filled="f" o:preferrelative="t" stroked="f" coordsize="21600,21600">
            <v:path/>
            <v:fill on="f" focussize="0,0"/>
            <v:stroke on="f" joinstyle="miter"/>
            <v:imagedata r:id="rId169" o:title=""/>
            <o:lock v:ext="edit" aspectratio="t"/>
            <w10:wrap type="none"/>
            <w10:anchorlock/>
          </v:shape>
          <o:OLEObject Type="Embed" ProgID="Equations" ShapeID="_x0000_i1047" DrawAspect="Content" ObjectID="_1468075747" r:id="rId168">
            <o:LockedField>false</o:LockedField>
          </o:OLEObject>
        </w:object>
      </w:r>
      <w:r>
        <w:t>为经验常数。</w:t>
      </w:r>
    </w:p>
    <w:p>
      <w:pPr>
        <w:ind w:firstLine="480"/>
      </w:pPr>
      <w:r>
        <w:t>对数率涡粘系数可通过下式来计算</w:t>
      </w:r>
    </w:p>
    <w:p>
      <w:pPr>
        <w:pStyle w:val="286"/>
        <w:ind w:firstLine="480"/>
      </w:pPr>
      <w:r>
        <w:object>
          <v:shape id="_x0000_i1048" o:spt="75" type="#_x0000_t75" style="height:43.95pt;width:157.1pt;" o:ole="t" filled="f" o:preferrelative="t" stroked="f" coordsize="21600,21600">
            <v:path/>
            <v:fill on="f" focussize="0,0"/>
            <v:stroke on="f" joinstyle="miter"/>
            <v:imagedata r:id="rId171" o:title=""/>
            <o:lock v:ext="edit" aspectratio="t"/>
            <w10:wrap type="none"/>
            <w10:anchorlock/>
          </v:shape>
          <o:OLEObject Type="Embed" ProgID="Equations" ShapeID="_x0000_i1048" DrawAspect="Content" ObjectID="_1468075748" r:id="rId170">
            <o:LockedField>false</o:LockedField>
          </o:OLEObject>
        </w:object>
      </w:r>
    </w:p>
    <w:p>
      <w:pPr>
        <w:ind w:firstLine="480"/>
      </w:pPr>
      <w:r>
        <w:t>式中</w:t>
      </w:r>
      <w:r>
        <w:object>
          <v:shape id="_x0000_i1049" o:spt="75" type="#_x0000_t75" style="height:20.55pt;width:92.55pt;" o:ole="t" filled="f" o:preferrelative="t" stroked="f" coordsize="21600,21600">
            <v:path/>
            <v:fill on="f" focussize="0,0"/>
            <v:stroke on="f" joinstyle="miter"/>
            <v:imagedata r:id="rId173" o:title=""/>
            <o:lock v:ext="edit" aspectratio="t"/>
            <w10:wrap type="none"/>
            <w10:anchorlock/>
          </v:shape>
          <o:OLEObject Type="Embed" ProgID="Equations" ShapeID="_x0000_i1049" DrawAspect="Content" ObjectID="_1468075749" r:id="rId172">
            <o:LockedField>false</o:LockedField>
          </o:OLEObject>
        </w:object>
      </w:r>
      <w:r>
        <w:t>，</w:t>
      </w:r>
      <w:r>
        <w:object>
          <v:shape id="_x0000_i1050" o:spt="75" type="#_x0000_t75" style="height:20.55pt;width:5.6pt;" o:ole="t" filled="f" o:preferrelative="t" stroked="f" coordsize="21600,21600">
            <v:path/>
            <v:fill on="f" focussize="0,0"/>
            <v:stroke on="f" joinstyle="miter"/>
            <v:imagedata r:id="rId175" o:title=""/>
            <o:lock v:ext="edit" aspectratio="t"/>
            <w10:wrap type="none"/>
            <w10:anchorlock/>
          </v:shape>
          <o:OLEObject Type="Embed" ProgID="Equations" ShapeID="_x0000_i1050" DrawAspect="Content" ObjectID="_1468075750" r:id="rId174">
            <o:LockedField>false</o:LockedField>
          </o:OLEObject>
        </w:object>
      </w:r>
      <w:r>
        <w:t>和</w:t>
      </w:r>
      <w:r>
        <w:object>
          <v:shape id="_x0000_i1051" o:spt="75" type="#_x0000_t75" style="height:20.55pt;width:13.1pt;" o:ole="t" filled="f" o:preferrelative="t" stroked="f" coordsize="21600,21600">
            <v:path/>
            <v:fill on="f" focussize="0,0"/>
            <v:stroke on="f" joinstyle="miter"/>
            <v:imagedata r:id="rId177" o:title=""/>
            <o:lock v:ext="edit" aspectratio="t"/>
            <w10:wrap type="none"/>
            <w10:anchorlock/>
          </v:shape>
          <o:OLEObject Type="Embed" ProgID="Equations" ShapeID="_x0000_i1051" DrawAspect="Content" ObjectID="_1468075751" r:id="rId176">
            <o:LockedField>false</o:LockedField>
          </o:OLEObject>
        </w:object>
      </w:r>
      <w:r>
        <w:t>为常数，当</w:t>
      </w:r>
      <w:r>
        <w:object>
          <v:shape id="_x0000_i1052" o:spt="75" type="#_x0000_t75" style="height:20.55pt;width:5.6pt;" o:ole="t" filled="f" o:preferrelative="t" stroked="f" coordsize="21600,21600">
            <v:path/>
            <v:fill on="f" focussize="0,0"/>
            <v:stroke on="f" joinstyle="miter"/>
            <v:imagedata r:id="rId179" o:title=""/>
            <o:lock v:ext="edit" aspectratio="t"/>
            <w10:wrap type="none"/>
            <w10:anchorlock/>
          </v:shape>
          <o:OLEObject Type="Embed" ProgID="Equations" ShapeID="_x0000_i1052" DrawAspect="Content" ObjectID="_1468075752" r:id="rId178">
            <o:LockedField>false</o:LockedField>
          </o:OLEObject>
        </w:object>
      </w:r>
      <w:r>
        <w:t>=0.41和</w:t>
      </w:r>
      <w:r>
        <w:object>
          <v:shape id="_x0000_i1053" o:spt="75" type="#_x0000_t75" style="height:20.55pt;width:13.1pt;" o:ole="t" filled="f" o:preferrelative="t" stroked="f" coordsize="21600,21600">
            <v:path/>
            <v:fill on="f" focussize="0,0"/>
            <v:stroke on="f" joinstyle="miter"/>
            <v:imagedata r:id="rId181" o:title=""/>
            <o:lock v:ext="edit" aspectratio="t"/>
            <w10:wrap type="none"/>
            <w10:anchorlock/>
          </v:shape>
          <o:OLEObject Type="Embed" ProgID="Equations" ShapeID="_x0000_i1053" DrawAspect="Content" ObjectID="_1468075753" r:id="rId180">
            <o:LockedField>false</o:LockedField>
          </o:OLEObject>
        </w:object>
      </w:r>
      <w:r>
        <w:t>=-0.41时，表达式为一标准抛物线。</w:t>
      </w:r>
    </w:p>
    <w:p>
      <w:pPr>
        <w:ind w:firstLine="480"/>
      </w:pPr>
      <w:r>
        <w:t>Smagorinsky在1996年提出了亚网格尺度上有效涡粘系数与特征长度相关的公式：</w:t>
      </w:r>
    </w:p>
    <w:p>
      <w:pPr>
        <w:pStyle w:val="286"/>
        <w:ind w:firstLine="480"/>
      </w:pPr>
      <w:r>
        <w:object>
          <v:shape id="_x0000_i1054" o:spt="75" type="#_x0000_t75" style="height:20.55pt;width:78.55pt;" o:ole="t" filled="f" o:preferrelative="t" stroked="f" coordsize="21600,21600">
            <v:path/>
            <v:fill on="f" focussize="0,0"/>
            <v:stroke on="f" joinstyle="miter"/>
            <v:imagedata r:id="rId183" o:title=""/>
            <o:lock v:ext="edit" aspectratio="t"/>
            <w10:wrap type="none"/>
            <w10:anchorlock/>
          </v:shape>
          <o:OLEObject Type="Embed" ProgID="Equations" ShapeID="_x0000_i1054" DrawAspect="Content" ObjectID="_1468075754" r:id="rId182">
            <o:LockedField>false</o:LockedField>
          </o:OLEObject>
        </w:object>
      </w:r>
    </w:p>
    <w:p>
      <w:pPr>
        <w:ind w:firstLine="480"/>
      </w:pPr>
      <w:r>
        <w:object>
          <v:shape id="_x0000_i1055" o:spt="75" type="#_x0000_t75" style="height:20.55pt;width:5.6pt;" o:ole="t" filled="f" o:preferrelative="t" stroked="f" coordsize="21600,21600">
            <v:path/>
            <v:fill on="f" focussize="0,0"/>
            <v:stroke on="f" joinstyle="miter"/>
            <v:imagedata r:id="rId185" o:title=""/>
            <o:lock v:ext="edit" aspectratio="t"/>
            <w10:wrap type="none"/>
            <w10:anchorlock/>
          </v:shape>
          <o:OLEObject Type="Embed" ProgID="Equations" ShapeID="_x0000_i1055" DrawAspect="Content" ObjectID="_1468075755" r:id="rId184">
            <o:LockedField>false</o:LockedField>
          </o:OLEObject>
        </w:object>
      </w:r>
      <w:r>
        <w:t>称为</w:t>
      </w:r>
      <w:r>
        <w:rPr>
          <w:rFonts w:asciiTheme="minorEastAsia" w:hAnsiTheme="minorEastAsia" w:eastAsiaTheme="minorEastAsia"/>
        </w:rPr>
        <w:t>“</w:t>
      </w:r>
      <w:r>
        <w:t>Smagorinsky常数</w:t>
      </w:r>
      <w:r>
        <w:rPr>
          <w:rFonts w:asciiTheme="minorEastAsia" w:hAnsiTheme="minorEastAsia" w:eastAsiaTheme="minorEastAsia"/>
        </w:rPr>
        <w:t>”</w:t>
      </w:r>
      <w:r>
        <w:t>，</w:t>
      </w:r>
      <w:r>
        <w:object>
          <v:shape id="_x0000_i1056" o:spt="75" type="#_x0000_t75" style="height:13.1pt;width:5.6pt;" o:ole="t" filled="f" o:preferrelative="t" stroked="f" coordsize="21600,21600">
            <v:path/>
            <v:fill on="f" focussize="0,0"/>
            <v:stroke on="f" joinstyle="miter"/>
            <v:imagedata r:id="rId187" o:title=""/>
            <o:lock v:ext="edit" aspectratio="t"/>
            <w10:wrap type="none"/>
            <w10:anchorlock/>
          </v:shape>
          <o:OLEObject Type="Embed" ProgID="Equations" ShapeID="_x0000_i1056" DrawAspect="Content" ObjectID="_1468075756" r:id="rId186">
            <o:LockedField>false</o:LockedField>
          </o:OLEObject>
        </w:object>
      </w:r>
      <w:r>
        <w:t>代表特征长度，而变形率定义为：</w:t>
      </w:r>
    </w:p>
    <w:p>
      <w:pPr>
        <w:pStyle w:val="286"/>
        <w:ind w:firstLine="480"/>
      </w:pPr>
      <w:r>
        <w:object>
          <v:shape id="_x0000_i1057" o:spt="75" type="#_x0000_t75" style="height:43.95pt;width:101pt;" o:ole="t" filled="f" o:preferrelative="t" stroked="f" coordsize="21600,21600">
            <v:path/>
            <v:fill on="f" focussize="0,0"/>
            <v:stroke on="f" joinstyle="miter"/>
            <v:imagedata r:id="rId189" o:title=""/>
            <o:lock v:ext="edit" aspectratio="t"/>
            <w10:wrap type="none"/>
            <w10:anchorlock/>
          </v:shape>
          <o:OLEObject Type="Embed" ProgID="Equations" ShapeID="_x0000_i1057" DrawAspect="Content" ObjectID="_1468075757" r:id="rId188">
            <o:LockedField>false</o:LockedField>
          </o:OLEObject>
        </w:object>
      </w:r>
      <w:r>
        <w:object>
          <v:shape id="_x0000_i1058" o:spt="75" type="#_x0000_t75" style="height:13.1pt;width:20.55pt;" o:ole="t" filled="f" o:preferrelative="t" stroked="f" coordsize="21600,21600">
            <v:path/>
            <v:fill on="f" focussize="0,0"/>
            <v:stroke on="f" joinstyle="miter"/>
            <v:imagedata r:id="rId191" o:title=""/>
            <o:lock v:ext="edit" aspectratio="t"/>
            <w10:wrap type="none"/>
            <w10:anchorlock/>
          </v:shape>
          <o:OLEObject Type="Embed" ProgID="Equations" ShapeID="_x0000_i1058" DrawAspect="Content" ObjectID="_1468075758" r:id="rId190">
            <o:LockedField>false</o:LockedField>
          </o:OLEObject>
        </w:object>
      </w:r>
      <w:r>
        <w:t>=1, 2</w:t>
      </w:r>
    </w:p>
    <w:p>
      <w:pPr>
        <w:pStyle w:val="456"/>
        <w:ind w:firstLine="482"/>
      </w:pPr>
      <w:r>
        <w:t>水动力水质模型求解方法</w:t>
      </w:r>
    </w:p>
    <w:p>
      <w:pPr>
        <w:ind w:firstLine="482"/>
        <w:rPr>
          <w:b/>
          <w:bCs/>
          <w:lang w:val="en-GB"/>
        </w:rPr>
      </w:pPr>
      <w:r>
        <w:rPr>
          <w:rFonts w:hint="eastAsia"/>
          <w:b/>
          <w:bCs/>
        </w:rPr>
        <w:t>（1）</w:t>
      </w:r>
      <w:r>
        <w:rPr>
          <w:b/>
          <w:bCs/>
          <w:lang w:val="en-GB"/>
        </w:rPr>
        <w:t>离散方法</w:t>
      </w:r>
    </w:p>
    <w:p>
      <w:pPr>
        <w:ind w:firstLine="480"/>
      </w:pPr>
      <w:r>
        <w:rPr>
          <w:lang w:val="en-GB"/>
        </w:rPr>
        <w:t>MIEK21水动力模型采用有限体积法对水动力和物质输运方程进行空间离散。</w:t>
      </w:r>
      <w:r>
        <w:t>在水动力方程和污染物传输（扩散）方程的时间积分使用的是显式差分法，为了维持模型的稳定，模拟时间间隔的选定必须使Courant-Friedrich Levy（CFL）值小于1。理论上如果CFL&lt;1，模型便可稳定性运行。然而CFL的计算只是一个推测性的。因此模型依然会违反CFL准则而发生不稳定的现象。为了解决这个问题，一般将CFL临界值从1降为0.8。</w:t>
      </w:r>
    </w:p>
    <w:p>
      <w:pPr>
        <w:ind w:firstLine="480"/>
      </w:pPr>
      <w:r>
        <w:t>对于笛卡尔坐标下的浅水方程式，CFL定义为</w:t>
      </w:r>
    </w:p>
    <w:p>
      <w:pPr>
        <w:pStyle w:val="286"/>
        <w:ind w:firstLine="480"/>
      </w:pPr>
      <w:r>
        <w:object>
          <v:shape id="_x0000_i1059" o:spt="75" type="#_x0000_t75" style="height:28.05pt;width:194.5pt;" o:ole="t" filled="f" o:preferrelative="t" stroked="f" coordsize="21600,21600">
            <v:path/>
            <v:fill on="f" focussize="0,0"/>
            <v:stroke on="f" joinstyle="miter"/>
            <v:imagedata r:id="rId193" o:title=""/>
            <o:lock v:ext="edit" aspectratio="t"/>
            <w10:wrap type="none"/>
            <w10:anchorlock/>
          </v:shape>
          <o:OLEObject Type="Embed" ProgID="Equations" ShapeID="_x0000_i1059" DrawAspect="Content" ObjectID="_1468075759" r:id="rId192">
            <o:LockedField>false</o:LockedField>
          </o:OLEObject>
        </w:object>
      </w:r>
    </w:p>
    <w:p>
      <w:pPr>
        <w:ind w:firstLine="480"/>
      </w:pPr>
      <w:r>
        <w:t>其中Δ</w:t>
      </w:r>
      <w:r>
        <w:rPr>
          <w:i/>
        </w:rPr>
        <w:t>x</w:t>
      </w:r>
      <w:r>
        <w:t>和Δ</w:t>
      </w:r>
      <w:r>
        <w:rPr>
          <w:i/>
        </w:rPr>
        <w:t>y</w:t>
      </w:r>
      <w:r>
        <w:t>是</w:t>
      </w:r>
      <w:r>
        <w:rPr>
          <w:i/>
        </w:rPr>
        <w:t>x</w:t>
      </w:r>
      <w:r>
        <w:t>和</w:t>
      </w:r>
      <w:r>
        <w:rPr>
          <w:i/>
        </w:rPr>
        <w:t>y</w:t>
      </w:r>
      <w:r>
        <w:t>方向的特征长度，Δ</w:t>
      </w:r>
      <w:r>
        <w:rPr>
          <w:i/>
        </w:rPr>
        <w:t>t</w:t>
      </w:r>
      <w:r>
        <w:t>是时间间距。Δ</w:t>
      </w:r>
      <w:r>
        <w:rPr>
          <w:i/>
        </w:rPr>
        <w:t>x</w:t>
      </w:r>
      <w:r>
        <w:t>和Δ</w:t>
      </w:r>
      <w:r>
        <w:rPr>
          <w:i/>
        </w:rPr>
        <w:t>y</w:t>
      </w:r>
      <w:r>
        <w:t>近似于三角形网格的最小边长，水深和流速值则是发生在三角形的中心。</w:t>
      </w:r>
    </w:p>
    <w:p>
      <w:pPr>
        <w:ind w:firstLine="480"/>
      </w:pPr>
      <w:r>
        <w:t>污染物运移方程式在笛卡尔坐标上的CFL值则定义为</w:t>
      </w:r>
    </w:p>
    <w:p>
      <w:pPr>
        <w:pStyle w:val="286"/>
        <w:ind w:firstLine="480"/>
      </w:pPr>
      <w:r>
        <w:object>
          <v:shape id="_x0000_i1060" o:spt="75" type="#_x0000_t75" style="height:28.05pt;width:108.45pt;" o:ole="t" filled="f" o:preferrelative="t" stroked="f" coordsize="21600,21600">
            <v:path/>
            <v:fill on="f" focussize="0,0"/>
            <v:stroke on="f" joinstyle="miter"/>
            <v:imagedata r:id="rId195" o:title=""/>
            <o:lock v:ext="edit" aspectratio="t"/>
            <w10:wrap type="none"/>
            <w10:anchorlock/>
          </v:shape>
          <o:OLEObject Type="Embed" ProgID="Equations" ShapeID="_x0000_i1060" DrawAspect="Content" ObjectID="_1468075760" r:id="rId194">
            <o:LockedField>false</o:LockedField>
          </o:OLEObject>
        </w:object>
      </w:r>
    </w:p>
    <w:p>
      <w:pPr>
        <w:ind w:firstLine="482"/>
        <w:rPr>
          <w:b/>
          <w:bCs/>
        </w:rPr>
      </w:pPr>
      <w:bookmarkStart w:id="203" w:name="OLE_LINK21"/>
      <w:bookmarkStart w:id="204" w:name="OLE_LINK22"/>
      <w:r>
        <w:rPr>
          <w:rFonts w:hint="eastAsia"/>
          <w:b/>
          <w:bCs/>
        </w:rPr>
        <w:t>（2）干湿边界</w:t>
      </w:r>
    </w:p>
    <w:bookmarkEnd w:id="203"/>
    <w:bookmarkEnd w:id="204"/>
    <w:p>
      <w:pPr>
        <w:ind w:firstLine="480"/>
      </w:pPr>
      <w:r>
        <w:t>一般来说，数值模拟区域中常有部分单元网格是处在干湿交替区，为了避免模型计算出现不稳定性，必须设定一个干水深度、半干半湿或淹没深度、湿水深度。当某一单元的水深小于湿水深度时，在此单元上的水流计算会被相应调整，而当水深小于干深度的时候，</w:t>
      </w:r>
      <w:r>
        <w:rPr>
          <w:lang w:val="en-GB"/>
        </w:rPr>
        <w:t>会被冻结而不参与计算</w:t>
      </w:r>
      <w:r>
        <w:t>。淹没深度是用来检测网格单元是不是已经被淹没，当水深小于淹没水深的单元会做相应调整，即不计算动量方程，但计算连续方程。通常设定湿水深度为0.1 m，淹没深度为0.05 m，干水深度为0.005 m。当湿水深度很小的时候可能会产生不合理的高流速而造成非稳定流态。</w:t>
      </w:r>
    </w:p>
    <w:p>
      <w:pPr>
        <w:ind w:firstLine="482"/>
        <w:rPr>
          <w:b/>
          <w:bCs/>
        </w:rPr>
      </w:pPr>
      <w:r>
        <w:rPr>
          <w:rFonts w:hint="eastAsia"/>
          <w:b/>
          <w:bCs/>
        </w:rPr>
        <w:t>（3）初始流场条件</w:t>
      </w:r>
    </w:p>
    <w:p>
      <w:pPr>
        <w:ind w:firstLine="480"/>
      </w:pPr>
      <w:r>
        <w:t>首先通过设定模型上游和下游边界的水位来获得区域内各单元的水位值，然后以此为初始条件运行模型直至流场稳定，最后提取该稳定流场作为下一步正式模拟的初始流场条件。</w:t>
      </w:r>
    </w:p>
    <w:p>
      <w:pPr>
        <w:pStyle w:val="454"/>
        <w:ind w:firstLine="602"/>
        <w:rPr>
          <w:color w:val="auto"/>
        </w:rPr>
      </w:pPr>
      <w:r>
        <w:rPr>
          <w:color w:val="auto"/>
        </w:rPr>
        <w:t>水文要素影响分析</w:t>
      </w:r>
    </w:p>
    <w:p>
      <w:pPr>
        <w:pStyle w:val="456"/>
        <w:ind w:firstLine="482"/>
      </w:pPr>
      <w:r>
        <w:t>工程对水位影响分析</w:t>
      </w:r>
    </w:p>
    <w:p>
      <w:pPr>
        <w:ind w:firstLine="480"/>
      </w:pPr>
      <w:r>
        <w:t>由于拟建工程采用高桩码头结构，阻水面积较小，码头水工设施的建设可能会引起工程局部较小范围内码头上游水位壅高、下游水位降低和局部流场的调整。</w:t>
      </w:r>
    </w:p>
    <w:p>
      <w:pPr>
        <w:ind w:firstLine="472"/>
      </w:pPr>
      <w:r>
        <w:rPr>
          <w:spacing w:val="-2"/>
        </w:rPr>
        <w:t>根据模型预测结果可知，工程后水位的变化主要集中于拟建工程的上、下游局部区域内，</w:t>
      </w:r>
      <w:r>
        <w:rPr>
          <w:rFonts w:hint="eastAsia"/>
        </w:rPr>
        <w:t>防洪设计洪水条件下，码头平台及引桥上游壅水，壅高最大值为</w:t>
      </w:r>
      <w:r>
        <w:t>2.8cm</w:t>
      </w:r>
      <w:r>
        <w:rPr>
          <w:rFonts w:hint="eastAsia"/>
        </w:rPr>
        <w:t>，位于桩基附近，0.</w:t>
      </w:r>
      <w:r>
        <w:t>5</w:t>
      </w:r>
      <w:r>
        <w:rPr>
          <w:rFonts w:hint="eastAsia"/>
        </w:rPr>
        <w:t>cm水位壅高范围位于工程上游</w:t>
      </w:r>
      <w:r>
        <w:t>440</w:t>
      </w:r>
      <w:r>
        <w:rPr>
          <w:rFonts w:hint="eastAsia"/>
        </w:rPr>
        <w:t>m范围内；码头平台及引桥下游水位降低，降低最大值为</w:t>
      </w:r>
      <w:r>
        <w:t>3.0cm</w:t>
      </w:r>
      <w:r>
        <w:rPr>
          <w:rFonts w:hint="eastAsia"/>
        </w:rPr>
        <w:t>，0.</w:t>
      </w:r>
      <w:r>
        <w:t>5</w:t>
      </w:r>
      <w:r>
        <w:rPr>
          <w:rFonts w:hint="eastAsia"/>
        </w:rPr>
        <w:t>cm水位降低范围位于</w:t>
      </w:r>
      <w:r>
        <w:t>工程下游230m</w:t>
      </w:r>
      <w:r>
        <w:rPr>
          <w:rFonts w:hint="eastAsia"/>
        </w:rPr>
        <w:t>范围</w:t>
      </w:r>
      <w:r>
        <w:t>内</w:t>
      </w:r>
      <w:r>
        <w:rPr>
          <w:rFonts w:hint="eastAsia"/>
        </w:rPr>
        <w:t>。</w:t>
      </w:r>
      <w:r>
        <w:t>由此可见，本工程对本河段水位影响较小。</w:t>
      </w:r>
    </w:p>
    <w:p>
      <w:pPr>
        <w:pStyle w:val="456"/>
        <w:ind w:firstLine="482"/>
      </w:pPr>
      <w:r>
        <w:t>工程对流速影响分析</w:t>
      </w:r>
    </w:p>
    <w:p>
      <w:pPr>
        <w:ind w:firstLine="472"/>
        <w:rPr>
          <w:spacing w:val="-2"/>
        </w:rPr>
      </w:pPr>
      <w:r>
        <w:rPr>
          <w:spacing w:val="-2"/>
        </w:rPr>
        <w:t>根据模型预测结果可知</w:t>
      </w:r>
      <w:r>
        <w:rPr>
          <w:rFonts w:hint="eastAsia"/>
          <w:spacing w:val="-2"/>
        </w:rPr>
        <w:t>，</w:t>
      </w:r>
      <w:r>
        <w:rPr>
          <w:spacing w:val="-2"/>
        </w:rPr>
        <w:t>拟建工程对计算河段的整体流场影响不大，工程后流速的变化主要位于拟建工程上、下游局部区域内</w:t>
      </w:r>
      <w:r>
        <w:rPr>
          <w:rFonts w:hint="eastAsia"/>
        </w:rPr>
        <w:t>。</w:t>
      </w:r>
      <w:r>
        <w:t>防洪设计洪水条件下，</w:t>
      </w:r>
      <w:r>
        <w:rPr>
          <w:rFonts w:hint="eastAsia"/>
        </w:rPr>
        <w:t>码头平台外侧</w:t>
      </w:r>
      <w:r>
        <w:t>流速增大，增大最大值为</w:t>
      </w:r>
      <w:r>
        <w:rPr>
          <w:rFonts w:hint="eastAsia"/>
        </w:rPr>
        <w:t>0.</w:t>
      </w:r>
      <w:r>
        <w:t>03m/s</w:t>
      </w:r>
      <w:r>
        <w:rPr>
          <w:rFonts w:hint="eastAsia"/>
        </w:rPr>
        <w:t>；码头平台及引桥</w:t>
      </w:r>
      <w:r>
        <w:t>上、下游附近流速</w:t>
      </w:r>
      <w:r>
        <w:rPr>
          <w:rFonts w:hint="eastAsia"/>
        </w:rPr>
        <w:t>减小</w:t>
      </w:r>
      <w:r>
        <w:t>，减小最大值为</w:t>
      </w:r>
      <w:r>
        <w:rPr>
          <w:rFonts w:hint="eastAsia"/>
        </w:rPr>
        <w:t>0.</w:t>
      </w:r>
      <w:r>
        <w:t>45m/s。0.01m/s</w:t>
      </w:r>
      <w:r>
        <w:rPr>
          <w:rFonts w:hint="eastAsia"/>
        </w:rPr>
        <w:t>流速影响</w:t>
      </w:r>
      <w:r>
        <w:t>范围</w:t>
      </w:r>
      <w:r>
        <w:rPr>
          <w:rFonts w:hint="eastAsia"/>
        </w:rPr>
        <w:t>为</w:t>
      </w:r>
      <w:r>
        <w:t>工程上游860m、</w:t>
      </w:r>
      <w:r>
        <w:rPr>
          <w:rFonts w:hint="eastAsia"/>
        </w:rPr>
        <w:t>下游</w:t>
      </w:r>
      <w:r>
        <w:t>1490m</w:t>
      </w:r>
      <w:r>
        <w:rPr>
          <w:color w:val="000000"/>
        </w:rPr>
        <w:t>和码头平台外侧宽</w:t>
      </w:r>
      <w:r>
        <w:rPr>
          <w:rFonts w:hint="eastAsia"/>
          <w:color w:val="000000"/>
        </w:rPr>
        <w:t>1020m</w:t>
      </w:r>
      <w:r>
        <w:rPr>
          <w:color w:val="000000"/>
        </w:rPr>
        <w:t>范围</w:t>
      </w:r>
      <w:r>
        <w:t>内</w:t>
      </w:r>
      <w:r>
        <w:rPr>
          <w:rFonts w:hint="eastAsia"/>
        </w:rPr>
        <w:t>。码头近岸流速减小</w:t>
      </w:r>
      <w:r>
        <w:t>，</w:t>
      </w:r>
      <w:r>
        <w:rPr>
          <w:rFonts w:hint="eastAsia"/>
        </w:rPr>
        <w:t>一般</w:t>
      </w:r>
      <w:r>
        <w:t>在</w:t>
      </w:r>
      <w:r>
        <w:rPr>
          <w:rFonts w:hint="eastAsia"/>
        </w:rPr>
        <w:t>0.0</w:t>
      </w:r>
      <w:r>
        <w:t>3m/s范围内。</w:t>
      </w:r>
      <w:r>
        <w:rPr>
          <w:spacing w:val="-2"/>
        </w:rPr>
        <w:t>由此可见，拟建工程的修建对工程附近的流速影响范围和影响值均较小。</w:t>
      </w:r>
    </w:p>
    <w:p>
      <w:pPr>
        <w:ind w:firstLine="480"/>
        <w:rPr>
          <w:position w:val="1"/>
          <w:lang w:val="zh-CN"/>
        </w:rPr>
      </w:pPr>
      <w:r>
        <w:rPr>
          <w:position w:val="1"/>
          <w:lang w:val="zh-CN"/>
        </w:rPr>
        <w:t>从工程前后局部流场对比图看出，工程后，仅在工程局部位置流速大小及流向有变化，其他位置均没变化，河道主流不会受影响。</w:t>
      </w:r>
    </w:p>
    <w:p>
      <w:pPr>
        <w:pStyle w:val="456"/>
        <w:ind w:firstLine="482"/>
      </w:pPr>
      <w:r>
        <w:rPr>
          <w:rFonts w:hint="eastAsia"/>
        </w:rPr>
        <w:t>工程对其他涉水建筑物的影响</w:t>
      </w:r>
    </w:p>
    <w:p>
      <w:pPr>
        <w:ind w:firstLine="472"/>
        <w:rPr>
          <w:spacing w:val="-2"/>
        </w:rPr>
      </w:pPr>
      <w:r>
        <w:rPr>
          <w:rFonts w:hint="eastAsia"/>
          <w:spacing w:val="-2"/>
        </w:rPr>
        <w:t>拟建工程上游约</w:t>
      </w:r>
      <w:r>
        <w:rPr>
          <w:spacing w:val="-2"/>
        </w:rPr>
        <w:t>326m</w:t>
      </w:r>
      <w:r>
        <w:rPr>
          <w:rFonts w:hint="eastAsia"/>
          <w:spacing w:val="-2"/>
        </w:rPr>
        <w:t>处为岳化码头；下游</w:t>
      </w:r>
      <w:r>
        <w:rPr>
          <w:spacing w:val="-2"/>
        </w:rPr>
        <w:t>40m</w:t>
      </w:r>
      <w:r>
        <w:rPr>
          <w:rFonts w:hint="eastAsia"/>
          <w:spacing w:val="-2"/>
        </w:rPr>
        <w:t>处为装卸码头，下游</w:t>
      </w:r>
      <w:r>
        <w:rPr>
          <w:spacing w:val="-2"/>
        </w:rPr>
        <w:t>555m</w:t>
      </w:r>
      <w:r>
        <w:rPr>
          <w:rFonts w:hint="eastAsia"/>
          <w:spacing w:val="-2"/>
        </w:rPr>
        <w:t>处为富润水上加油站，下游</w:t>
      </w:r>
      <w:r>
        <w:rPr>
          <w:spacing w:val="-2"/>
        </w:rPr>
        <w:t>1070m</w:t>
      </w:r>
      <w:r>
        <w:rPr>
          <w:rFonts w:hint="eastAsia"/>
          <w:spacing w:val="-2"/>
        </w:rPr>
        <w:t>处为荆岳大桥海事码头，下游</w:t>
      </w:r>
      <w:r>
        <w:rPr>
          <w:spacing w:val="-2"/>
        </w:rPr>
        <w:t>1500m</w:t>
      </w:r>
      <w:r>
        <w:rPr>
          <w:rFonts w:hint="eastAsia"/>
          <w:spacing w:val="-2"/>
        </w:rPr>
        <w:t>处为荆岳长江大桥，下游约</w:t>
      </w:r>
      <w:r>
        <w:rPr>
          <w:spacing w:val="-2"/>
        </w:rPr>
        <w:t>1750m</w:t>
      </w:r>
      <w:r>
        <w:rPr>
          <w:rFonts w:hint="eastAsia"/>
          <w:spacing w:val="-2"/>
        </w:rPr>
        <w:t>处为道仁矶战备渡口。</w:t>
      </w:r>
    </w:p>
    <w:p>
      <w:pPr>
        <w:ind w:firstLine="472"/>
        <w:rPr>
          <w:spacing w:val="-2"/>
        </w:rPr>
      </w:pPr>
      <w:r>
        <w:rPr>
          <w:rFonts w:hint="eastAsia"/>
          <w:spacing w:val="-2"/>
        </w:rPr>
        <w:t>防洪设计洪水条件下，岳化码头处水位壅高约</w:t>
      </w:r>
      <w:r>
        <w:rPr>
          <w:spacing w:val="-2"/>
        </w:rPr>
        <w:t>0.6</w:t>
      </w:r>
      <w:r>
        <w:rPr>
          <w:rFonts w:hint="eastAsia"/>
          <w:spacing w:val="-2"/>
        </w:rPr>
        <w:t>c</w:t>
      </w:r>
      <w:r>
        <w:rPr>
          <w:spacing w:val="-2"/>
        </w:rPr>
        <w:t>m</w:t>
      </w:r>
      <w:r>
        <w:rPr>
          <w:rFonts w:hint="eastAsia"/>
          <w:spacing w:val="-2"/>
        </w:rPr>
        <w:t>，流速减小约0</w:t>
      </w:r>
      <w:r>
        <w:rPr>
          <w:spacing w:val="-2"/>
        </w:rPr>
        <w:t>.02</w:t>
      </w:r>
      <w:r>
        <w:rPr>
          <w:rFonts w:hint="eastAsia"/>
          <w:spacing w:val="-2"/>
        </w:rPr>
        <w:t>m</w:t>
      </w:r>
      <w:r>
        <w:rPr>
          <w:spacing w:val="-2"/>
        </w:rPr>
        <w:t>/s</w:t>
      </w:r>
      <w:r>
        <w:rPr>
          <w:rFonts w:hint="eastAsia"/>
          <w:spacing w:val="-2"/>
        </w:rPr>
        <w:t>；装卸码头处水位降低约</w:t>
      </w:r>
      <w:r>
        <w:rPr>
          <w:spacing w:val="-2"/>
        </w:rPr>
        <w:t>1.5</w:t>
      </w:r>
      <w:r>
        <w:rPr>
          <w:rFonts w:hint="eastAsia"/>
          <w:spacing w:val="-2"/>
        </w:rPr>
        <w:t>cm，流速减小约0</w:t>
      </w:r>
      <w:r>
        <w:rPr>
          <w:spacing w:val="-2"/>
        </w:rPr>
        <w:t>.25</w:t>
      </w:r>
      <w:r>
        <w:rPr>
          <w:rFonts w:hint="eastAsia"/>
          <w:spacing w:val="-2"/>
        </w:rPr>
        <w:t>m</w:t>
      </w:r>
      <w:r>
        <w:rPr>
          <w:spacing w:val="-2"/>
        </w:rPr>
        <w:t>/s</w:t>
      </w:r>
      <w:r>
        <w:rPr>
          <w:rFonts w:hint="eastAsia"/>
          <w:spacing w:val="-2"/>
        </w:rPr>
        <w:t>；富润水上加油站处水位降低约0</w:t>
      </w:r>
      <w:r>
        <w:rPr>
          <w:spacing w:val="-2"/>
        </w:rPr>
        <w:t>.3</w:t>
      </w:r>
      <w:r>
        <w:rPr>
          <w:rFonts w:hint="eastAsia"/>
          <w:spacing w:val="-2"/>
        </w:rPr>
        <w:t>cm，流速减小约0</w:t>
      </w:r>
      <w:r>
        <w:rPr>
          <w:spacing w:val="-2"/>
        </w:rPr>
        <w:t>.05</w:t>
      </w:r>
      <w:r>
        <w:rPr>
          <w:rFonts w:hint="eastAsia"/>
          <w:spacing w:val="-2"/>
        </w:rPr>
        <w:t>m</w:t>
      </w:r>
      <w:r>
        <w:rPr>
          <w:spacing w:val="-2"/>
        </w:rPr>
        <w:t>/s</w:t>
      </w:r>
      <w:r>
        <w:rPr>
          <w:rFonts w:hint="eastAsia"/>
          <w:spacing w:val="-2"/>
        </w:rPr>
        <w:t>；荆岳大桥海事码头处水位无变化，流速减小约0</w:t>
      </w:r>
      <w:r>
        <w:rPr>
          <w:spacing w:val="-2"/>
        </w:rPr>
        <w:t>.02</w:t>
      </w:r>
      <w:r>
        <w:rPr>
          <w:rFonts w:hint="eastAsia"/>
          <w:spacing w:val="-2"/>
        </w:rPr>
        <w:t>m</w:t>
      </w:r>
      <w:r>
        <w:rPr>
          <w:spacing w:val="-2"/>
        </w:rPr>
        <w:t>/s</w:t>
      </w:r>
      <w:r>
        <w:rPr>
          <w:rFonts w:hint="eastAsia"/>
          <w:spacing w:val="-2"/>
        </w:rPr>
        <w:t>；荆岳长江大桥和道仁矶战备渡口处水位和流速均无变化。</w:t>
      </w:r>
    </w:p>
    <w:p>
      <w:pPr>
        <w:pStyle w:val="456"/>
        <w:ind w:firstLine="482"/>
      </w:pPr>
      <w:r>
        <w:t>工程对河床演变的影响</w:t>
      </w:r>
    </w:p>
    <w:p>
      <w:pPr>
        <w:ind w:firstLine="472"/>
      </w:pPr>
      <w:r>
        <w:rPr>
          <w:spacing w:val="-2"/>
        </w:rPr>
        <w:t>根据模型预测结果和《洪水影响评价报告》可知</w:t>
      </w:r>
      <w:r>
        <w:rPr>
          <w:color w:val="000000"/>
        </w:rPr>
        <w:t>拟建码头工程河段20m岸线基本无变化</w:t>
      </w:r>
      <w:r>
        <w:rPr>
          <w:rFonts w:hint="eastAsia"/>
          <w:color w:val="000000"/>
        </w:rPr>
        <w:t>，</w:t>
      </w:r>
      <w:r>
        <w:rPr>
          <w:color w:val="000000"/>
        </w:rPr>
        <w:t>考虑码头的设计低水位为</w:t>
      </w:r>
      <w:r>
        <w:rPr>
          <w:rFonts w:hint="eastAsia"/>
          <w:color w:val="000000"/>
        </w:rPr>
        <w:t>17.30</w:t>
      </w:r>
      <w:r>
        <w:rPr>
          <w:color w:val="000000"/>
        </w:rPr>
        <w:t>m，分析15m岸线变化，除1998年变化较大外，多年来（1998-2016年），码头工程局部河段岸线基本稳定</w:t>
      </w:r>
      <w:r>
        <w:rPr>
          <w:rFonts w:hint="eastAsia"/>
          <w:color w:val="000000"/>
        </w:rPr>
        <w:t>；</w:t>
      </w:r>
      <w:r>
        <w:rPr>
          <w:color w:val="000000"/>
        </w:rPr>
        <w:t>拟建码头位置的深泓线比较稳定。</w:t>
      </w:r>
    </w:p>
    <w:p>
      <w:pPr>
        <w:ind w:firstLine="480"/>
        <w:rPr>
          <w:color w:val="000000"/>
        </w:rPr>
      </w:pPr>
      <w:r>
        <w:t>本次拟建码头工程位于</w:t>
      </w:r>
      <w:r>
        <w:rPr>
          <w:color w:val="000000"/>
        </w:rPr>
        <w:t>城螺河段</w:t>
      </w:r>
      <w:r>
        <w:rPr>
          <w:rFonts w:hint="eastAsia"/>
          <w:color w:val="000000"/>
        </w:rPr>
        <w:t>，</w:t>
      </w:r>
      <w:r>
        <w:rPr>
          <w:color w:val="000000"/>
        </w:rPr>
        <w:t>近期河床演变特点可概括为：</w:t>
      </w:r>
    </w:p>
    <w:p>
      <w:pPr>
        <w:ind w:firstLine="480"/>
        <w:rPr>
          <w:color w:val="000000"/>
        </w:rPr>
      </w:pPr>
      <w:r>
        <w:rPr>
          <w:color w:val="000000"/>
        </w:rPr>
        <w:t>（1）城螺河段由于两岸边界对水流的控导作用较强，岸线基本稳定；主流线的平面位置年内变动范围基本稳定；该河段河道的总体河势相对稳定。</w:t>
      </w:r>
    </w:p>
    <w:p>
      <w:pPr>
        <w:ind w:firstLine="480"/>
        <w:rPr>
          <w:color w:val="000000"/>
        </w:rPr>
      </w:pPr>
      <w:r>
        <w:rPr>
          <w:color w:val="000000"/>
        </w:rPr>
        <w:t>（2）城螺河段河道变化主要表现为河床冲淤变化，总的情况是冲刷；冲刷的主要表现形式是枯水河床冲刷、高程相对较低的滩面被冲刷。</w:t>
      </w:r>
    </w:p>
    <w:p>
      <w:pPr>
        <w:ind w:firstLine="480"/>
        <w:rPr>
          <w:color w:val="000000"/>
        </w:rPr>
      </w:pPr>
      <w:r>
        <w:rPr>
          <w:color w:val="000000"/>
        </w:rPr>
        <w:t>（3）南阳洲主支汊地位关系相对稳定，左汊为支汊、右汊为主汊。仙峰洲的演变有一定的周期性：于丁家洲一带形成并淤长展宽，后逐年下移，直至在南阳洲左汊落淤，最终冲刷消失，后又进入下一演变周期。</w:t>
      </w:r>
    </w:p>
    <w:p>
      <w:pPr>
        <w:ind w:firstLine="480"/>
      </w:pPr>
      <w:r>
        <w:rPr>
          <w:color w:val="000000"/>
        </w:rPr>
        <w:t>由于影响河床演变的来水来沙条件、江湖关系变化等自然因素长期存在；加之，三峡水库调蓄及岸线开发利用等人为因素的影响，局部河段河势仍会发生一定程度的调整；同时城螺河段两岸基本处于山地自然节点和护岸工程的控制之下，摆动的空间受限，河道整体将继续沿袭现有的特点演变。工程河段河道的总体河势相对稳定，岸线基本稳定，主流线的平面位置年内变化范围基本稳定。</w:t>
      </w:r>
    </w:p>
    <w:p>
      <w:pPr>
        <w:ind w:firstLine="480"/>
      </w:pPr>
      <w:r>
        <w:t>由于工程兴建后对工程所在河段水位、流场的影响均不大，影响范围有限，由此引起河床演变的变化也较小，且随着河床的自动调整，工程对河床演变的影响将趋小。工程建设对工程局部河床演变影响较小。</w:t>
      </w:r>
    </w:p>
    <w:p>
      <w:pPr>
        <w:ind w:firstLine="480"/>
        <w:rPr>
          <w:rFonts w:hint="default" w:ascii="Times New Roman" w:hAnsi="Times New Roman" w:eastAsia="宋体" w:cs="Times New Roman"/>
          <w:lang w:val="en-US" w:eastAsia="zh-CN"/>
        </w:rPr>
      </w:pPr>
      <w:r>
        <w:rPr>
          <w:rFonts w:hint="default" w:ascii="Times New Roman" w:hAnsi="Times New Roman" w:cs="Times New Roman"/>
          <w:lang w:val="en-US" w:eastAsia="zh-CN"/>
        </w:rPr>
        <w:t>根据建设单位提供的《岳阳港道仁矶码头工程洪水影响评价报告》（报批稿），项目建设不会对防汛抢险产生不利影响。</w:t>
      </w:r>
    </w:p>
    <w:p>
      <w:pPr>
        <w:ind w:firstLine="480"/>
      </w:pPr>
      <w:r>
        <w:t>综上，本项目码头平台采用直立式框架结构，底部与长江河岸线基本在一平面线上，没有束窄河道，对长江的水面面积、水量、径流过程、水位、水深、流速、水面宽等基本没有影响。因此，本项目对长江水文要素影响较小。</w:t>
      </w:r>
    </w:p>
    <w:p>
      <w:pPr>
        <w:pStyle w:val="2"/>
        <w:ind w:firstLine="480"/>
        <w:sectPr>
          <w:pgSz w:w="11906" w:h="16838"/>
          <w:pgMar w:top="1440" w:right="1800" w:bottom="1440" w:left="1800" w:header="851" w:footer="850" w:gutter="0"/>
          <w:pgBorders>
            <w:top w:val="none" w:sz="0" w:space="0"/>
            <w:left w:val="none" w:sz="0" w:space="0"/>
            <w:bottom w:val="none" w:sz="0" w:space="0"/>
            <w:right w:val="none" w:sz="0" w:space="0"/>
          </w:pgBorders>
          <w:pgNumType w:fmt="decimal"/>
          <w:cols w:space="720" w:num="1"/>
          <w:docGrid w:type="lines" w:linePitch="326" w:charSpace="0"/>
        </w:sectPr>
      </w:pPr>
    </w:p>
    <w:p>
      <w:pPr>
        <w:pStyle w:val="453"/>
        <w:ind w:firstLine="643" w:firstLineChars="0"/>
        <w:rPr>
          <w:rFonts w:ascii="Times New Roman" w:cs="Times New Roman"/>
        </w:rPr>
      </w:pPr>
      <w:bookmarkStart w:id="205" w:name="_Toc16585"/>
      <w:bookmarkStart w:id="206" w:name="_Toc106697022"/>
      <w:bookmarkStart w:id="207" w:name="_Toc30701"/>
      <w:r>
        <w:rPr>
          <w:rFonts w:ascii="Times New Roman" w:cs="Times New Roman"/>
        </w:rPr>
        <w:t>大气环境影响预测与评价</w:t>
      </w:r>
      <w:bookmarkEnd w:id="205"/>
      <w:bookmarkEnd w:id="206"/>
      <w:bookmarkEnd w:id="207"/>
    </w:p>
    <w:p>
      <w:pPr>
        <w:pStyle w:val="454"/>
        <w:ind w:firstLine="602"/>
        <w:rPr>
          <w:color w:val="auto"/>
        </w:rPr>
      </w:pPr>
      <w:r>
        <w:rPr>
          <w:color w:val="auto"/>
        </w:rPr>
        <w:t>施工期大气环境影响预测与评价</w:t>
      </w:r>
    </w:p>
    <w:p>
      <w:pPr>
        <w:pStyle w:val="458"/>
        <w:ind w:firstLine="480"/>
        <w:rPr>
          <w:rFonts w:cs="Times New Roman"/>
          <w:color w:val="auto"/>
          <w:szCs w:val="24"/>
        </w:rPr>
      </w:pPr>
      <w:r>
        <w:rPr>
          <w:rFonts w:cs="Times New Roman"/>
          <w:color w:val="auto"/>
          <w:szCs w:val="24"/>
        </w:rPr>
        <w:t>施工期大气污染物为施工场地扬尘、运输扬尘、临时建筑材料堆场在空气作用下的起尘、施工船舶、车辆和机械燃油废气以及淤泥恶臭。</w:t>
      </w:r>
    </w:p>
    <w:p>
      <w:pPr>
        <w:pStyle w:val="456"/>
        <w:ind w:firstLine="482"/>
      </w:pPr>
      <w:r>
        <w:t>扬尘环境影响分析</w:t>
      </w:r>
    </w:p>
    <w:p>
      <w:pPr>
        <w:ind w:firstLine="480"/>
      </w:pPr>
      <w:r>
        <w:t>施工期扬尘主要来自于土石方开挖、施工活动扰动、散装施工材料装卸、车辆运输等。根据同类型施工资料，施工作业场地附近地面粉尘浓度可达 1.5mg/m</w:t>
      </w:r>
      <w:r>
        <w:rPr>
          <w:vertAlign w:val="superscript"/>
        </w:rPr>
        <w:t>3</w:t>
      </w:r>
      <w:r>
        <w:t>~30mg/m</w:t>
      </w:r>
      <w:r>
        <w:rPr>
          <w:vertAlign w:val="superscript"/>
        </w:rPr>
        <w:t>3</w:t>
      </w:r>
      <w:r>
        <w:t>，距离施工现场约 200m 外的 TSP 浓度一般低于 0.5mg/m</w:t>
      </w:r>
      <w:r>
        <w:rPr>
          <w:vertAlign w:val="superscript"/>
        </w:rPr>
        <w:t>3</w:t>
      </w:r>
      <w:r>
        <w:t>，施工场地土石方开挖、施工活动、装卸散装材料等产生的扬尘影响范围主要是施工场地周围 100m，施工场地下方向影响范围增加至150~200m。粉尘产生量和施工方法、作业面大小、施工机械、天气状况及洒水频率等都有关系。施工产生的扬尘，基本上都是间歇式排放。施工扬尘产生量与施工管理情况密切相关，若能加强管理，采取如边界围挡、裸露地面覆盖、易扬尘物料覆盖、定期洒水抑尘等抑尘措施，则施工扬尘量将得到有效降低。</w:t>
      </w:r>
    </w:p>
    <w:p>
      <w:pPr>
        <w:ind w:firstLine="480"/>
      </w:pPr>
      <w:r>
        <w:t>车辆运输产生扬尘影响道路两侧的环境空气，路面积尘量在 0.1kg/m</w:t>
      </w:r>
      <w:r>
        <w:rPr>
          <w:vertAlign w:val="superscript"/>
        </w:rPr>
        <w:t>2</w:t>
      </w:r>
      <w:r>
        <w:t>时，道路扬尘影响范围约为20~30m间，而道路积尘量为0.6kg/m</w:t>
      </w:r>
      <w:r>
        <w:rPr>
          <w:vertAlign w:val="superscript"/>
        </w:rPr>
        <w:t>2</w:t>
      </w:r>
      <w:r>
        <w:t>时，汽车行驶时影响范围可达120m~150m。施工过程中对积尘较大的施工区和施工场地外200m的运输道路和进行洒水（每天 4~5 次），可使空气中的扬尘量减少70%以上，有效减少扬尘对附近环境空气的影响。</w:t>
      </w:r>
    </w:p>
    <w:p>
      <w:pPr>
        <w:ind w:firstLine="480"/>
      </w:pPr>
      <w:r>
        <w:t>通过</w:t>
      </w:r>
      <w:r>
        <w:rPr>
          <w:rFonts w:eastAsiaTheme="minorEastAsia"/>
        </w:rPr>
        <w:t>加强施工区的规划管理，</w:t>
      </w:r>
      <w:r>
        <w:t>运输车辆及后方施工场地内堆场采取遮盖措施，运输车辆定期清洗，扬尘能够满足</w:t>
      </w:r>
      <w:r>
        <w:rPr>
          <w:snapToGrid w:val="0"/>
          <w:kern w:val="0"/>
        </w:rPr>
        <w:t>《大气污染物综合排放标准》（GB16297-1996）无组织排放标准。</w:t>
      </w:r>
      <w:r>
        <w:t>施工期扬尘对环境空气的影响是暂时的，随着施工的结束，污染也随之消失。</w:t>
      </w:r>
    </w:p>
    <w:p>
      <w:pPr>
        <w:pStyle w:val="456"/>
        <w:ind w:firstLine="482"/>
      </w:pPr>
      <w:r>
        <w:t>施工船舶、车辆和机械</w:t>
      </w:r>
      <w:r>
        <w:rPr>
          <w:bCs w:val="0"/>
        </w:rPr>
        <w:t>燃油</w:t>
      </w:r>
      <w:r>
        <w:t>废气环境影响分析</w:t>
      </w:r>
    </w:p>
    <w:p>
      <w:pPr>
        <w:ind w:firstLine="480"/>
      </w:pPr>
      <w:r>
        <w:t>施工船舶运行过程中排放少量燃油废气，主要污染因子为</w:t>
      </w:r>
      <w:r>
        <w:rPr>
          <w:spacing w:val="-62"/>
        </w:rPr>
        <w:t xml:space="preserve"> </w:t>
      </w:r>
      <w:r>
        <w:rPr>
          <w:spacing w:val="-1"/>
        </w:rPr>
        <w:t>SO</w:t>
      </w:r>
      <w:r>
        <w:rPr>
          <w:sz w:val="16"/>
          <w:szCs w:val="16"/>
        </w:rPr>
        <w:t>2</w:t>
      </w:r>
      <w:r>
        <w:t>、N</w:t>
      </w:r>
      <w:r>
        <w:rPr>
          <w:spacing w:val="-1"/>
        </w:rPr>
        <w:t>O</w:t>
      </w:r>
      <w:r>
        <w:rPr>
          <w:sz w:val="16"/>
          <w:szCs w:val="16"/>
        </w:rPr>
        <w:t>2</w:t>
      </w:r>
      <w:r>
        <w:t>和烃类，由于本项目施工作业均在岸边或江面上进行，施工作业又具有流动性和间歇性的特点，施工船舶燃油废气将迅速扩散。</w:t>
      </w:r>
    </w:p>
    <w:p>
      <w:pPr>
        <w:ind w:firstLine="480"/>
      </w:pPr>
      <w:r>
        <w:t>本项目施工过程中施工机械主要为项目建设中采用的挖掘机、推土机、装载机等，机械燃油废气和汽车尾气所含的污染物相似，主要有</w:t>
      </w:r>
      <w:r>
        <w:rPr>
          <w:spacing w:val="-46"/>
        </w:rPr>
        <w:t xml:space="preserve"> </w:t>
      </w:r>
      <w:r>
        <w:rPr>
          <w:spacing w:val="-1"/>
        </w:rPr>
        <w:t>SO</w:t>
      </w:r>
      <w:r>
        <w:rPr>
          <w:spacing w:val="1"/>
          <w:sz w:val="16"/>
          <w:szCs w:val="16"/>
        </w:rPr>
        <w:t>2</w:t>
      </w:r>
      <w:r>
        <w:t>、</w:t>
      </w:r>
      <w:r>
        <w:rPr>
          <w:spacing w:val="-1"/>
        </w:rPr>
        <w:t>C</w:t>
      </w:r>
      <w:r>
        <w:t>O、</w:t>
      </w:r>
      <w:r>
        <w:rPr>
          <w:spacing w:val="-1"/>
        </w:rPr>
        <w:t>NO</w:t>
      </w:r>
      <w:r>
        <w:t>x和</w:t>
      </w:r>
      <w:r>
        <w:rPr>
          <w:rFonts w:hint="eastAsia"/>
        </w:rPr>
        <w:t>非甲烷总烃</w:t>
      </w:r>
      <w:r>
        <w:t>等，但产生量不大</w:t>
      </w:r>
      <w:r>
        <w:rPr>
          <w:spacing w:val="-5"/>
        </w:rPr>
        <w:t>，</w:t>
      </w:r>
      <w:r>
        <w:t>影响范围比较局部</w:t>
      </w:r>
      <w:r>
        <w:rPr>
          <w:spacing w:val="-5"/>
        </w:rPr>
        <w:t>。</w:t>
      </w:r>
      <w:r>
        <w:t>根据类似工程分析数据</w:t>
      </w:r>
      <w:r>
        <w:rPr>
          <w:spacing w:val="-4"/>
        </w:rPr>
        <w:t>，</w:t>
      </w:r>
      <w:r>
        <w:t>在最不利气象条件下，燃油废气排放下风向15m至18m，SO</w:t>
      </w:r>
      <w:r>
        <w:rPr>
          <w:vertAlign w:val="subscript"/>
        </w:rPr>
        <w:t>2</w:t>
      </w:r>
      <w:r>
        <w:t>、NOx 的浓度值达0.016mg/m</w:t>
      </w:r>
      <w:r>
        <w:rPr>
          <w:vertAlign w:val="superscript"/>
        </w:rPr>
        <w:t>3</w:t>
      </w:r>
      <w:r>
        <w:t>至0.18mg/m</w:t>
      </w:r>
      <w:r>
        <w:rPr>
          <w:vertAlign w:val="superscript"/>
        </w:rPr>
        <w:t>3</w:t>
      </w:r>
      <w:r>
        <w:t>，说明工程施工机械排放尾气对周围大气环境影响很小，施工结束时，施工机械将撤出，影响将消除。</w:t>
      </w:r>
    </w:p>
    <w:p>
      <w:pPr>
        <w:pStyle w:val="456"/>
        <w:ind w:firstLine="482"/>
      </w:pPr>
      <w:r>
        <w:t>淤泥恶臭环境影响分析</w:t>
      </w:r>
    </w:p>
    <w:p>
      <w:pPr>
        <w:ind w:firstLine="480"/>
      </w:pPr>
      <w:r>
        <w:t>恶臭气体是多组分、低浓度化学物质形成的混合物，成份和含量均难以确定，是一种感官性指标。根据同类工程底泥堆场的类比调查结果，距离底泥堆场30-50m处有轻微臭味，距离80~100m处基本无臭味。本项目底泥疏浚区域距离居民点较远，因此恶臭不会对周围居民的造成显著影响。</w:t>
      </w:r>
    </w:p>
    <w:p>
      <w:pPr>
        <w:ind w:firstLine="482"/>
        <w:rPr>
          <w:b/>
        </w:rPr>
      </w:pPr>
      <w:r>
        <w:rPr>
          <w:b/>
        </w:rPr>
        <w:t>综上所述，随着项目工程的结束，对环境空气的影响将结束，且项目在采取防尘等措施后对环境空气影响较小。</w:t>
      </w:r>
    </w:p>
    <w:p>
      <w:pPr>
        <w:pStyle w:val="454"/>
        <w:ind w:firstLine="602"/>
        <w:rPr>
          <w:color w:val="auto"/>
        </w:rPr>
      </w:pPr>
      <w:r>
        <w:rPr>
          <w:color w:val="auto"/>
        </w:rPr>
        <w:t>运营期大气环境影响预测与评价</w:t>
      </w:r>
    </w:p>
    <w:p>
      <w:pPr>
        <w:pStyle w:val="456"/>
        <w:ind w:firstLine="482"/>
      </w:pPr>
      <w:r>
        <w:rPr>
          <w:rFonts w:hint="eastAsia"/>
          <w:lang w:val="en-US"/>
        </w:rPr>
        <w:t>多年气象资料调查与分析</w:t>
      </w:r>
    </w:p>
    <w:p>
      <w:pPr>
        <w:ind w:firstLine="480"/>
      </w:pPr>
      <w:r>
        <w:rPr>
          <w:rFonts w:hint="eastAsia"/>
        </w:rPr>
        <w:t>1.气象概况</w:t>
      </w:r>
    </w:p>
    <w:p>
      <w:pPr>
        <w:ind w:firstLine="480"/>
      </w:pPr>
      <w:r>
        <w:rPr>
          <w:rFonts w:hint="eastAsia"/>
        </w:rPr>
        <w:t>项目采用岳阳市气象站（57584）资料，气象站位于湖南省岳阳市岳阳楼区，地理坐标为东经113.08度，北纬29.38度，海拔高度53米。气象站始建于1952年，同年正式进行气象观测。</w:t>
      </w:r>
    </w:p>
    <w:p>
      <w:pPr>
        <w:ind w:firstLine="480"/>
      </w:pPr>
      <w:r>
        <w:rPr>
          <w:rFonts w:hint="eastAsia"/>
        </w:rPr>
        <w:t>岳阳市气象站位于本项目西南方向，距项目约18km，拥有长期的气象观测资料，以下资料根据2002-2021年气象数据统计分析。岳阳市气象站气象资料整编表如下表所示：</w:t>
      </w:r>
    </w:p>
    <w:p>
      <w:pPr>
        <w:pStyle w:val="3586"/>
        <w:ind w:left="0"/>
      </w:pPr>
      <w:r>
        <w:t xml:space="preserve"> </w:t>
      </w:r>
      <w:r>
        <w:rPr>
          <w:rFonts w:hint="eastAsia"/>
        </w:rPr>
        <w:t>岳阳市气象站常规气象项目统计（2002~2021）</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67"/>
        <w:gridCol w:w="2863"/>
        <w:gridCol w:w="1454"/>
        <w:gridCol w:w="1601"/>
        <w:gridCol w:w="153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2305"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rPr>
                <w:kern w:val="0"/>
                <w:sz w:val="21"/>
                <w:szCs w:val="21"/>
              </w:rPr>
            </w:pPr>
            <w:r>
              <w:rPr>
                <w:rFonts w:hint="eastAsia"/>
                <w:kern w:val="0"/>
                <w:sz w:val="21"/>
                <w:szCs w:val="21"/>
              </w:rPr>
              <w:t>统计项目</w:t>
            </w:r>
          </w:p>
        </w:tc>
        <w:tc>
          <w:tcPr>
            <w:tcW w:w="85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统计值</w:t>
            </w:r>
          </w:p>
        </w:tc>
        <w:tc>
          <w:tcPr>
            <w:tcW w:w="93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极值出现时间</w:t>
            </w:r>
          </w:p>
        </w:tc>
        <w:tc>
          <w:tcPr>
            <w:tcW w:w="901"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级值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05"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rPr>
                <w:kern w:val="0"/>
                <w:sz w:val="21"/>
                <w:szCs w:val="21"/>
              </w:rPr>
            </w:pPr>
            <w:r>
              <w:rPr>
                <w:rFonts w:hint="eastAsia"/>
                <w:kern w:val="0"/>
                <w:sz w:val="21"/>
                <w:szCs w:val="21"/>
              </w:rPr>
              <w:t>多年平均气温（℃）</w:t>
            </w:r>
          </w:p>
        </w:tc>
        <w:tc>
          <w:tcPr>
            <w:tcW w:w="85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18</w:t>
            </w:r>
          </w:p>
        </w:tc>
        <w:tc>
          <w:tcPr>
            <w:tcW w:w="93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901"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05"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rPr>
                <w:kern w:val="0"/>
                <w:sz w:val="21"/>
                <w:szCs w:val="21"/>
              </w:rPr>
            </w:pPr>
            <w:r>
              <w:rPr>
                <w:rFonts w:hint="eastAsia"/>
                <w:kern w:val="0"/>
                <w:sz w:val="21"/>
                <w:szCs w:val="21"/>
              </w:rPr>
              <w:t>累年极端最高气温（℃）</w:t>
            </w:r>
          </w:p>
        </w:tc>
        <w:tc>
          <w:tcPr>
            <w:tcW w:w="85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36.9</w:t>
            </w:r>
          </w:p>
        </w:tc>
        <w:tc>
          <w:tcPr>
            <w:tcW w:w="93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kern w:val="0"/>
                <w:sz w:val="21"/>
                <w:szCs w:val="21"/>
              </w:rPr>
              <w:t>200</w:t>
            </w:r>
            <w:r>
              <w:rPr>
                <w:rFonts w:hint="eastAsia"/>
                <w:kern w:val="0"/>
                <w:sz w:val="21"/>
                <w:szCs w:val="21"/>
              </w:rPr>
              <w:t>9</w:t>
            </w:r>
            <w:r>
              <w:rPr>
                <w:kern w:val="0"/>
                <w:sz w:val="21"/>
                <w:szCs w:val="21"/>
              </w:rPr>
              <w:t>-0</w:t>
            </w:r>
            <w:r>
              <w:rPr>
                <w:rFonts w:hint="eastAsia"/>
                <w:kern w:val="0"/>
                <w:sz w:val="21"/>
                <w:szCs w:val="21"/>
              </w:rPr>
              <w:t>7</w:t>
            </w:r>
            <w:r>
              <w:rPr>
                <w:kern w:val="0"/>
                <w:sz w:val="21"/>
                <w:szCs w:val="21"/>
              </w:rPr>
              <w:t>-</w:t>
            </w:r>
            <w:r>
              <w:rPr>
                <w:rFonts w:hint="eastAsia"/>
                <w:kern w:val="0"/>
                <w:sz w:val="21"/>
                <w:szCs w:val="21"/>
              </w:rPr>
              <w:t>19</w:t>
            </w:r>
          </w:p>
        </w:tc>
        <w:tc>
          <w:tcPr>
            <w:tcW w:w="901"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39.2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05"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rPr>
                <w:kern w:val="0"/>
                <w:sz w:val="21"/>
                <w:szCs w:val="21"/>
              </w:rPr>
            </w:pPr>
            <w:r>
              <w:rPr>
                <w:rFonts w:hint="eastAsia"/>
                <w:kern w:val="0"/>
                <w:sz w:val="21"/>
                <w:szCs w:val="21"/>
              </w:rPr>
              <w:t>累年极端最低气温（℃）</w:t>
            </w:r>
          </w:p>
        </w:tc>
        <w:tc>
          <w:tcPr>
            <w:tcW w:w="85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kern w:val="0"/>
                <w:sz w:val="21"/>
                <w:szCs w:val="21"/>
              </w:rPr>
              <w:t>-</w:t>
            </w:r>
            <w:r>
              <w:rPr>
                <w:rFonts w:hint="eastAsia"/>
                <w:kern w:val="0"/>
                <w:sz w:val="21"/>
                <w:szCs w:val="21"/>
              </w:rPr>
              <w:t>2.4</w:t>
            </w:r>
          </w:p>
        </w:tc>
        <w:tc>
          <w:tcPr>
            <w:tcW w:w="93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kern w:val="0"/>
                <w:sz w:val="21"/>
                <w:szCs w:val="21"/>
              </w:rPr>
              <w:t>201</w:t>
            </w:r>
            <w:r>
              <w:rPr>
                <w:rFonts w:hint="eastAsia"/>
                <w:kern w:val="0"/>
                <w:sz w:val="21"/>
                <w:szCs w:val="21"/>
              </w:rPr>
              <w:t>3</w:t>
            </w:r>
            <w:r>
              <w:rPr>
                <w:kern w:val="0"/>
                <w:sz w:val="21"/>
                <w:szCs w:val="21"/>
              </w:rPr>
              <w:t>-01-0</w:t>
            </w:r>
            <w:r>
              <w:rPr>
                <w:rFonts w:hint="eastAsia"/>
                <w:kern w:val="0"/>
                <w:sz w:val="21"/>
                <w:szCs w:val="21"/>
              </w:rPr>
              <w:t>4</w:t>
            </w:r>
          </w:p>
        </w:tc>
        <w:tc>
          <w:tcPr>
            <w:tcW w:w="901"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kern w:val="0"/>
                <w:sz w:val="21"/>
                <w:szCs w:val="21"/>
              </w:rPr>
              <w:t>-4.</w:t>
            </w:r>
            <w:r>
              <w:rPr>
                <w:rFonts w:hint="eastAsia"/>
                <w:kern w:val="0"/>
                <w:sz w:val="21"/>
                <w:szCs w:val="21"/>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05"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rPr>
                <w:kern w:val="0"/>
                <w:sz w:val="21"/>
                <w:szCs w:val="21"/>
              </w:rPr>
            </w:pPr>
            <w:r>
              <w:rPr>
                <w:rFonts w:hint="eastAsia"/>
                <w:kern w:val="0"/>
                <w:sz w:val="21"/>
                <w:szCs w:val="21"/>
              </w:rPr>
              <w:t>多年平均气压（hPa）</w:t>
            </w:r>
          </w:p>
        </w:tc>
        <w:tc>
          <w:tcPr>
            <w:tcW w:w="85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kern w:val="0"/>
                <w:sz w:val="21"/>
                <w:szCs w:val="21"/>
              </w:rPr>
              <w:t>10</w:t>
            </w:r>
            <w:r>
              <w:rPr>
                <w:rFonts w:hint="eastAsia"/>
                <w:kern w:val="0"/>
                <w:sz w:val="21"/>
                <w:szCs w:val="21"/>
              </w:rPr>
              <w:t>09.8</w:t>
            </w:r>
          </w:p>
        </w:tc>
        <w:tc>
          <w:tcPr>
            <w:tcW w:w="93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901"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05"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rPr>
                <w:kern w:val="0"/>
                <w:sz w:val="21"/>
                <w:szCs w:val="21"/>
              </w:rPr>
            </w:pPr>
            <w:r>
              <w:rPr>
                <w:rFonts w:hint="eastAsia"/>
                <w:kern w:val="0"/>
                <w:sz w:val="21"/>
                <w:szCs w:val="21"/>
              </w:rPr>
              <w:t>多年平均相对湿度（%）</w:t>
            </w:r>
          </w:p>
        </w:tc>
        <w:tc>
          <w:tcPr>
            <w:tcW w:w="85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75.7</w:t>
            </w:r>
          </w:p>
        </w:tc>
        <w:tc>
          <w:tcPr>
            <w:tcW w:w="93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901"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05"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rPr>
                <w:kern w:val="0"/>
                <w:sz w:val="21"/>
                <w:szCs w:val="21"/>
              </w:rPr>
            </w:pPr>
            <w:r>
              <w:rPr>
                <w:rFonts w:hint="eastAsia"/>
                <w:kern w:val="0"/>
                <w:sz w:val="21"/>
                <w:szCs w:val="21"/>
              </w:rPr>
              <w:t>多年平均降雨量（mm）</w:t>
            </w:r>
          </w:p>
        </w:tc>
        <w:tc>
          <w:tcPr>
            <w:tcW w:w="85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1376.4</w:t>
            </w:r>
          </w:p>
        </w:tc>
        <w:tc>
          <w:tcPr>
            <w:tcW w:w="93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kern w:val="0"/>
                <w:sz w:val="21"/>
                <w:szCs w:val="21"/>
              </w:rPr>
              <w:t>2013-09-24</w:t>
            </w:r>
          </w:p>
        </w:tc>
        <w:tc>
          <w:tcPr>
            <w:tcW w:w="901"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kern w:val="0"/>
                <w:sz w:val="21"/>
                <w:szCs w:val="21"/>
              </w:rPr>
              <w:t>140.1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26" w:type="pct"/>
            <w:vMerge w:val="restar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rPr>
                <w:kern w:val="0"/>
                <w:sz w:val="21"/>
                <w:szCs w:val="21"/>
              </w:rPr>
            </w:pPr>
            <w:r>
              <w:rPr>
                <w:rFonts w:hint="eastAsia"/>
                <w:kern w:val="0"/>
                <w:sz w:val="21"/>
                <w:szCs w:val="21"/>
              </w:rPr>
              <w:t>灾害天气统计</w:t>
            </w:r>
          </w:p>
        </w:tc>
        <w:tc>
          <w:tcPr>
            <w:tcW w:w="16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rPr>
                <w:kern w:val="0"/>
                <w:sz w:val="21"/>
                <w:szCs w:val="21"/>
              </w:rPr>
            </w:pPr>
            <w:r>
              <w:rPr>
                <w:rFonts w:hint="eastAsia"/>
                <w:kern w:val="0"/>
                <w:sz w:val="21"/>
                <w:szCs w:val="21"/>
              </w:rPr>
              <w:t>多年平均沙暴日数（d）</w:t>
            </w:r>
          </w:p>
        </w:tc>
        <w:tc>
          <w:tcPr>
            <w:tcW w:w="85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kern w:val="0"/>
                <w:sz w:val="21"/>
                <w:szCs w:val="21"/>
              </w:rPr>
              <w:t>0.0</w:t>
            </w:r>
          </w:p>
        </w:tc>
        <w:tc>
          <w:tcPr>
            <w:tcW w:w="93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901"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26"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rPr>
                <w:kern w:val="0"/>
                <w:sz w:val="21"/>
                <w:szCs w:val="21"/>
              </w:rPr>
            </w:pPr>
          </w:p>
        </w:tc>
        <w:tc>
          <w:tcPr>
            <w:tcW w:w="16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rPr>
                <w:kern w:val="0"/>
                <w:sz w:val="21"/>
                <w:szCs w:val="21"/>
              </w:rPr>
            </w:pPr>
            <w:r>
              <w:rPr>
                <w:rFonts w:hint="eastAsia"/>
                <w:kern w:val="0"/>
                <w:sz w:val="21"/>
                <w:szCs w:val="21"/>
              </w:rPr>
              <w:t>多年平均雷暴日数（d）</w:t>
            </w:r>
          </w:p>
        </w:tc>
        <w:tc>
          <w:tcPr>
            <w:tcW w:w="85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26.9</w:t>
            </w:r>
          </w:p>
        </w:tc>
        <w:tc>
          <w:tcPr>
            <w:tcW w:w="93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901"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26"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rPr>
                <w:kern w:val="0"/>
                <w:sz w:val="21"/>
                <w:szCs w:val="21"/>
              </w:rPr>
            </w:pPr>
          </w:p>
        </w:tc>
        <w:tc>
          <w:tcPr>
            <w:tcW w:w="16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rPr>
                <w:kern w:val="0"/>
                <w:sz w:val="21"/>
                <w:szCs w:val="21"/>
              </w:rPr>
            </w:pPr>
            <w:r>
              <w:rPr>
                <w:rFonts w:hint="eastAsia"/>
                <w:kern w:val="0"/>
                <w:sz w:val="21"/>
                <w:szCs w:val="21"/>
              </w:rPr>
              <w:t>多年平均冰雹日数（d）</w:t>
            </w:r>
          </w:p>
        </w:tc>
        <w:tc>
          <w:tcPr>
            <w:tcW w:w="85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0.5</w:t>
            </w:r>
          </w:p>
        </w:tc>
        <w:tc>
          <w:tcPr>
            <w:tcW w:w="93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901"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26"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rPr>
                <w:kern w:val="0"/>
                <w:sz w:val="21"/>
                <w:szCs w:val="21"/>
              </w:rPr>
            </w:pPr>
          </w:p>
        </w:tc>
        <w:tc>
          <w:tcPr>
            <w:tcW w:w="16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rPr>
                <w:kern w:val="0"/>
                <w:sz w:val="21"/>
                <w:szCs w:val="21"/>
              </w:rPr>
            </w:pPr>
            <w:r>
              <w:rPr>
                <w:rFonts w:hint="eastAsia"/>
                <w:kern w:val="0"/>
                <w:sz w:val="21"/>
                <w:szCs w:val="21"/>
              </w:rPr>
              <w:t>多年平均大风日数（d）</w:t>
            </w:r>
          </w:p>
        </w:tc>
        <w:tc>
          <w:tcPr>
            <w:tcW w:w="85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3.5</w:t>
            </w:r>
          </w:p>
        </w:tc>
        <w:tc>
          <w:tcPr>
            <w:tcW w:w="93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901"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05"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rPr>
                <w:kern w:val="0"/>
                <w:sz w:val="21"/>
                <w:szCs w:val="21"/>
              </w:rPr>
            </w:pPr>
            <w:r>
              <w:rPr>
                <w:rFonts w:hint="eastAsia"/>
                <w:kern w:val="0"/>
                <w:sz w:val="21"/>
                <w:szCs w:val="21"/>
              </w:rPr>
              <w:t>多年实测极大风速（m/s）、相应风向</w:t>
            </w:r>
          </w:p>
        </w:tc>
        <w:tc>
          <w:tcPr>
            <w:tcW w:w="85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29.8</w:t>
            </w:r>
          </w:p>
        </w:tc>
        <w:tc>
          <w:tcPr>
            <w:tcW w:w="93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kern w:val="0"/>
                <w:sz w:val="21"/>
                <w:szCs w:val="21"/>
              </w:rPr>
              <w:t>200</w:t>
            </w:r>
            <w:r>
              <w:rPr>
                <w:rFonts w:hint="eastAsia"/>
                <w:kern w:val="0"/>
                <w:sz w:val="21"/>
                <w:szCs w:val="21"/>
              </w:rPr>
              <w:t>2</w:t>
            </w:r>
            <w:r>
              <w:rPr>
                <w:kern w:val="0"/>
                <w:sz w:val="21"/>
                <w:szCs w:val="21"/>
              </w:rPr>
              <w:t>-04-</w:t>
            </w:r>
            <w:r>
              <w:rPr>
                <w:rFonts w:hint="eastAsia"/>
                <w:kern w:val="0"/>
                <w:sz w:val="21"/>
                <w:szCs w:val="21"/>
              </w:rPr>
              <w:t>4</w:t>
            </w:r>
          </w:p>
        </w:tc>
        <w:tc>
          <w:tcPr>
            <w:tcW w:w="901"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W</w:t>
            </w:r>
            <w:r>
              <w:rPr>
                <w:kern w:val="0"/>
                <w:sz w:val="21"/>
                <w:szCs w:val="21"/>
              </w:rPr>
              <w:t>N</w:t>
            </w:r>
            <w:r>
              <w:rPr>
                <w:rFonts w:hint="eastAsia"/>
                <w:kern w:val="0"/>
                <w:sz w:val="21"/>
                <w:szCs w:val="21"/>
              </w:rPr>
              <w:t>W</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05"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rPr>
                <w:kern w:val="0"/>
                <w:sz w:val="21"/>
                <w:szCs w:val="21"/>
              </w:rPr>
            </w:pPr>
            <w:r>
              <w:rPr>
                <w:rFonts w:hint="eastAsia"/>
                <w:kern w:val="0"/>
                <w:sz w:val="21"/>
                <w:szCs w:val="21"/>
              </w:rPr>
              <w:t>多年平均风速（m/s）</w:t>
            </w:r>
          </w:p>
        </w:tc>
        <w:tc>
          <w:tcPr>
            <w:tcW w:w="85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kern w:val="0"/>
                <w:sz w:val="21"/>
                <w:szCs w:val="21"/>
              </w:rPr>
              <w:t>2.</w:t>
            </w:r>
            <w:r>
              <w:rPr>
                <w:rFonts w:hint="eastAsia"/>
                <w:kern w:val="0"/>
                <w:sz w:val="21"/>
                <w:szCs w:val="21"/>
              </w:rPr>
              <w:t>5</w:t>
            </w:r>
          </w:p>
        </w:tc>
        <w:tc>
          <w:tcPr>
            <w:tcW w:w="93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901"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05"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rPr>
                <w:kern w:val="0"/>
                <w:sz w:val="21"/>
                <w:szCs w:val="21"/>
              </w:rPr>
            </w:pPr>
            <w:r>
              <w:rPr>
                <w:rFonts w:hint="eastAsia"/>
                <w:kern w:val="0"/>
                <w:sz w:val="21"/>
                <w:szCs w:val="21"/>
              </w:rPr>
              <w:t>多年主导风向、风向频率（%）</w:t>
            </w:r>
          </w:p>
        </w:tc>
        <w:tc>
          <w:tcPr>
            <w:tcW w:w="85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kern w:val="0"/>
                <w:sz w:val="21"/>
                <w:szCs w:val="21"/>
              </w:rPr>
              <w:t xml:space="preserve">NNE </w:t>
            </w:r>
            <w:r>
              <w:rPr>
                <w:rFonts w:hint="eastAsia"/>
                <w:kern w:val="0"/>
                <w:sz w:val="21"/>
                <w:szCs w:val="21"/>
              </w:rPr>
              <w:t>17.32</w:t>
            </w:r>
            <w:r>
              <w:rPr>
                <w:kern w:val="0"/>
                <w:sz w:val="21"/>
                <w:szCs w:val="21"/>
              </w:rPr>
              <w:t>%</w:t>
            </w:r>
          </w:p>
        </w:tc>
        <w:tc>
          <w:tcPr>
            <w:tcW w:w="93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901"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05"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rPr>
                <w:kern w:val="0"/>
                <w:sz w:val="21"/>
                <w:szCs w:val="21"/>
              </w:rPr>
            </w:pPr>
            <w:r>
              <w:rPr>
                <w:rFonts w:hint="eastAsia"/>
                <w:kern w:val="0"/>
                <w:sz w:val="21"/>
                <w:szCs w:val="21"/>
              </w:rPr>
              <w:t>多年静风频率（风速&lt;0.2m/s）（%）</w:t>
            </w:r>
          </w:p>
        </w:tc>
        <w:tc>
          <w:tcPr>
            <w:tcW w:w="85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5.3</w:t>
            </w:r>
          </w:p>
        </w:tc>
        <w:tc>
          <w:tcPr>
            <w:tcW w:w="93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901"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r>
    </w:tbl>
    <w:p>
      <w:pPr>
        <w:ind w:firstLine="480"/>
      </w:pPr>
      <w:r>
        <w:rPr>
          <w:rFonts w:hint="eastAsia"/>
        </w:rPr>
        <w:t>2.气象站风观测数据统计</w:t>
      </w:r>
    </w:p>
    <w:p>
      <w:pPr>
        <w:ind w:firstLine="480"/>
      </w:pPr>
      <w:r>
        <w:rPr>
          <w:rFonts w:hint="eastAsia"/>
        </w:rPr>
        <w:t>（1）月平均风速</w:t>
      </w:r>
    </w:p>
    <w:p>
      <w:pPr>
        <w:ind w:firstLine="480"/>
      </w:pPr>
      <w:r>
        <w:rPr>
          <w:rFonts w:hint="eastAsia"/>
        </w:rPr>
        <w:t>岳阳市气象站月平均风速见下表5-3，07 月平均风速最大（2.3 米/秒），10 月风最小（1.7 米/秒）。</w:t>
      </w:r>
    </w:p>
    <w:p>
      <w:pPr>
        <w:pStyle w:val="3586"/>
        <w:ind w:left="0"/>
      </w:pPr>
      <w:bookmarkStart w:id="208" w:name="_Ref80706062"/>
      <w:r>
        <w:rPr>
          <w:rFonts w:hint="eastAsia"/>
        </w:rPr>
        <w:t xml:space="preserve"> 岳阳市气象站月平均风速统计（单位m/s）</w:t>
      </w:r>
      <w:bookmarkEnd w:id="208"/>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65"/>
        <w:gridCol w:w="621"/>
        <w:gridCol w:w="621"/>
        <w:gridCol w:w="621"/>
        <w:gridCol w:w="621"/>
        <w:gridCol w:w="621"/>
        <w:gridCol w:w="621"/>
        <w:gridCol w:w="621"/>
        <w:gridCol w:w="621"/>
        <w:gridCol w:w="622"/>
        <w:gridCol w:w="622"/>
        <w:gridCol w:w="622"/>
        <w:gridCol w:w="62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2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月份</w:t>
            </w:r>
          </w:p>
        </w:tc>
        <w:tc>
          <w:tcPr>
            <w:tcW w:w="36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w:t>
            </w:r>
          </w:p>
        </w:tc>
        <w:tc>
          <w:tcPr>
            <w:tcW w:w="36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w:t>
            </w:r>
          </w:p>
        </w:tc>
        <w:tc>
          <w:tcPr>
            <w:tcW w:w="36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w:t>
            </w:r>
          </w:p>
        </w:tc>
        <w:tc>
          <w:tcPr>
            <w:tcW w:w="36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w:t>
            </w:r>
          </w:p>
        </w:tc>
        <w:tc>
          <w:tcPr>
            <w:tcW w:w="36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w:t>
            </w:r>
          </w:p>
        </w:tc>
        <w:tc>
          <w:tcPr>
            <w:tcW w:w="36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6</w:t>
            </w:r>
          </w:p>
        </w:tc>
        <w:tc>
          <w:tcPr>
            <w:tcW w:w="36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w:t>
            </w:r>
          </w:p>
        </w:tc>
        <w:tc>
          <w:tcPr>
            <w:tcW w:w="36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8</w:t>
            </w:r>
          </w:p>
        </w:tc>
        <w:tc>
          <w:tcPr>
            <w:tcW w:w="36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9</w:t>
            </w:r>
          </w:p>
        </w:tc>
        <w:tc>
          <w:tcPr>
            <w:tcW w:w="36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w:t>
            </w:r>
            <w:r>
              <w:rPr>
                <w:kern w:val="0"/>
                <w:sz w:val="21"/>
                <w:szCs w:val="21"/>
              </w:rPr>
              <w:t>0</w:t>
            </w:r>
          </w:p>
        </w:tc>
        <w:tc>
          <w:tcPr>
            <w:tcW w:w="36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w:t>
            </w:r>
            <w:r>
              <w:rPr>
                <w:kern w:val="0"/>
                <w:sz w:val="21"/>
                <w:szCs w:val="21"/>
              </w:rPr>
              <w:t>1</w:t>
            </w:r>
          </w:p>
        </w:tc>
        <w:tc>
          <w:tcPr>
            <w:tcW w:w="36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w:t>
            </w:r>
            <w:r>
              <w:rPr>
                <w:kern w:val="0"/>
                <w:sz w:val="21"/>
                <w:szCs w:val="21"/>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2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平均风速</w:t>
            </w:r>
          </w:p>
        </w:tc>
        <w:tc>
          <w:tcPr>
            <w:tcW w:w="36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2.4</w:t>
            </w:r>
          </w:p>
        </w:tc>
        <w:tc>
          <w:tcPr>
            <w:tcW w:w="36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2.6</w:t>
            </w:r>
          </w:p>
        </w:tc>
        <w:tc>
          <w:tcPr>
            <w:tcW w:w="36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2.6</w:t>
            </w:r>
          </w:p>
        </w:tc>
        <w:tc>
          <w:tcPr>
            <w:tcW w:w="36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2.7</w:t>
            </w:r>
          </w:p>
        </w:tc>
        <w:tc>
          <w:tcPr>
            <w:tcW w:w="36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2.5</w:t>
            </w:r>
          </w:p>
        </w:tc>
        <w:tc>
          <w:tcPr>
            <w:tcW w:w="36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2.3</w:t>
            </w:r>
          </w:p>
        </w:tc>
        <w:tc>
          <w:tcPr>
            <w:tcW w:w="36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w:t>
            </w:r>
          </w:p>
        </w:tc>
        <w:tc>
          <w:tcPr>
            <w:tcW w:w="36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2.8</w:t>
            </w:r>
          </w:p>
        </w:tc>
        <w:tc>
          <w:tcPr>
            <w:tcW w:w="36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2.5</w:t>
            </w:r>
          </w:p>
        </w:tc>
        <w:tc>
          <w:tcPr>
            <w:tcW w:w="36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2.3</w:t>
            </w:r>
          </w:p>
        </w:tc>
        <w:tc>
          <w:tcPr>
            <w:tcW w:w="36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2.3</w:t>
            </w:r>
          </w:p>
        </w:tc>
        <w:tc>
          <w:tcPr>
            <w:tcW w:w="36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2.4</w:t>
            </w:r>
          </w:p>
        </w:tc>
      </w:tr>
    </w:tbl>
    <w:p>
      <w:pPr>
        <w:ind w:firstLine="480"/>
      </w:pPr>
      <w:r>
        <w:rPr>
          <w:rFonts w:hint="eastAsia"/>
        </w:rPr>
        <w:t>（2）风向特征</w:t>
      </w:r>
    </w:p>
    <w:p>
      <w:pPr>
        <w:ind w:firstLine="480"/>
      </w:pPr>
      <w:r>
        <w:rPr>
          <w:rFonts w:hint="eastAsia"/>
        </w:rPr>
        <w:t>近20 年资料分析的风向玫瑰图如图1 所示，岳阳市气象站主要风向为NNE 和N、NE，占45.23％，其中以NNE 为主风向，占到全年17.32％左右。</w:t>
      </w:r>
    </w:p>
    <w:p>
      <w:pPr>
        <w:pStyle w:val="3586"/>
        <w:ind w:left="0"/>
      </w:pPr>
      <w:r>
        <w:rPr>
          <w:rFonts w:hint="eastAsia"/>
        </w:rPr>
        <w:t>岳阳市气象站年风向频率统计（单位%）</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61"/>
        <w:gridCol w:w="647"/>
        <w:gridCol w:w="647"/>
        <w:gridCol w:w="647"/>
        <w:gridCol w:w="706"/>
        <w:gridCol w:w="587"/>
        <w:gridCol w:w="647"/>
        <w:gridCol w:w="646"/>
        <w:gridCol w:w="646"/>
        <w:gridCol w:w="646"/>
        <w:gridCol w:w="646"/>
        <w:gridCol w:w="646"/>
        <w:gridCol w:w="6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4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kern w:val="0"/>
                <w:sz w:val="18"/>
                <w:szCs w:val="18"/>
              </w:rPr>
              <w:t>风向</w:t>
            </w: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kern w:val="0"/>
                <w:sz w:val="18"/>
                <w:szCs w:val="18"/>
              </w:rPr>
              <w:t>N</w:t>
            </w: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kern w:val="0"/>
                <w:sz w:val="18"/>
                <w:szCs w:val="18"/>
              </w:rPr>
              <w:t>NNE</w:t>
            </w: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kern w:val="0"/>
                <w:sz w:val="18"/>
                <w:szCs w:val="18"/>
              </w:rPr>
              <w:t>NE</w:t>
            </w:r>
          </w:p>
        </w:tc>
        <w:tc>
          <w:tcPr>
            <w:tcW w:w="41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kern w:val="0"/>
                <w:sz w:val="18"/>
                <w:szCs w:val="18"/>
              </w:rPr>
              <w:t>ENE</w:t>
            </w:r>
          </w:p>
        </w:tc>
        <w:tc>
          <w:tcPr>
            <w:tcW w:w="34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kern w:val="0"/>
                <w:sz w:val="18"/>
                <w:szCs w:val="18"/>
              </w:rPr>
              <w:t>E</w:t>
            </w: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kern w:val="0"/>
                <w:sz w:val="18"/>
                <w:szCs w:val="18"/>
              </w:rPr>
              <w:t>ESE</w:t>
            </w: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kern w:val="0"/>
                <w:sz w:val="18"/>
                <w:szCs w:val="18"/>
              </w:rPr>
              <w:t>SE</w:t>
            </w: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kern w:val="0"/>
                <w:sz w:val="18"/>
                <w:szCs w:val="18"/>
              </w:rPr>
              <w:t>SSE</w:t>
            </w: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kern w:val="0"/>
                <w:sz w:val="18"/>
                <w:szCs w:val="18"/>
              </w:rPr>
              <w:t>S</w:t>
            </w: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kern w:val="0"/>
                <w:sz w:val="18"/>
                <w:szCs w:val="18"/>
              </w:rPr>
              <w:t>SSW</w:t>
            </w: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kern w:val="0"/>
                <w:sz w:val="18"/>
                <w:szCs w:val="18"/>
              </w:rPr>
              <w:t>SW</w:t>
            </w:r>
          </w:p>
        </w:tc>
        <w:tc>
          <w:tcPr>
            <w:tcW w:w="38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kern w:val="0"/>
                <w:sz w:val="18"/>
                <w:szCs w:val="18"/>
              </w:rPr>
              <w:t>WSW</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4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kern w:val="0"/>
                <w:sz w:val="18"/>
                <w:szCs w:val="18"/>
              </w:rPr>
              <w:t>频率</w:t>
            </w:r>
          </w:p>
        </w:tc>
        <w:tc>
          <w:tcPr>
            <w:tcW w:w="70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rFonts w:hint="eastAsia"/>
                <w:kern w:val="0"/>
                <w:sz w:val="18"/>
                <w:szCs w:val="18"/>
              </w:rPr>
              <w:t>17.19</w:t>
            </w:r>
          </w:p>
        </w:tc>
        <w:tc>
          <w:tcPr>
            <w:tcW w:w="70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rFonts w:hint="eastAsia"/>
                <w:kern w:val="0"/>
                <w:sz w:val="18"/>
                <w:szCs w:val="18"/>
              </w:rPr>
              <w:t>17.32</w:t>
            </w:r>
          </w:p>
        </w:tc>
        <w:tc>
          <w:tcPr>
            <w:tcW w:w="70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rFonts w:hint="eastAsia"/>
                <w:kern w:val="0"/>
                <w:sz w:val="18"/>
                <w:szCs w:val="18"/>
              </w:rPr>
              <w:t>10.72</w:t>
            </w:r>
          </w:p>
        </w:tc>
        <w:tc>
          <w:tcPr>
            <w:tcW w:w="769"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rFonts w:hint="eastAsia"/>
                <w:kern w:val="0"/>
                <w:sz w:val="18"/>
                <w:szCs w:val="18"/>
              </w:rPr>
              <w:t>4.16</w:t>
            </w:r>
          </w:p>
        </w:tc>
        <w:tc>
          <w:tcPr>
            <w:tcW w:w="639"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rFonts w:hint="eastAsia"/>
                <w:kern w:val="0"/>
                <w:sz w:val="18"/>
                <w:szCs w:val="18"/>
              </w:rPr>
              <w:t>2.37</w:t>
            </w:r>
          </w:p>
        </w:tc>
        <w:tc>
          <w:tcPr>
            <w:tcW w:w="70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rFonts w:hint="eastAsia"/>
                <w:kern w:val="0"/>
                <w:sz w:val="18"/>
                <w:szCs w:val="18"/>
              </w:rPr>
              <w:t>3.415</w:t>
            </w:r>
          </w:p>
        </w:tc>
        <w:tc>
          <w:tcPr>
            <w:tcW w:w="70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rFonts w:hint="eastAsia"/>
                <w:kern w:val="0"/>
                <w:sz w:val="18"/>
                <w:szCs w:val="18"/>
              </w:rPr>
              <w:t>5.06</w:t>
            </w:r>
          </w:p>
        </w:tc>
        <w:tc>
          <w:tcPr>
            <w:tcW w:w="70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rFonts w:hint="eastAsia"/>
                <w:kern w:val="0"/>
                <w:sz w:val="18"/>
                <w:szCs w:val="18"/>
              </w:rPr>
              <w:t>4.28</w:t>
            </w:r>
          </w:p>
        </w:tc>
        <w:tc>
          <w:tcPr>
            <w:tcW w:w="70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rFonts w:hint="eastAsia"/>
                <w:kern w:val="0"/>
                <w:sz w:val="18"/>
                <w:szCs w:val="18"/>
              </w:rPr>
              <w:t>5.725</w:t>
            </w:r>
          </w:p>
        </w:tc>
        <w:tc>
          <w:tcPr>
            <w:tcW w:w="70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rFonts w:hint="eastAsia"/>
                <w:kern w:val="0"/>
                <w:sz w:val="18"/>
                <w:szCs w:val="18"/>
              </w:rPr>
              <w:t>4.87</w:t>
            </w:r>
          </w:p>
        </w:tc>
        <w:tc>
          <w:tcPr>
            <w:tcW w:w="70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rFonts w:hint="eastAsia"/>
                <w:kern w:val="0"/>
                <w:sz w:val="18"/>
                <w:szCs w:val="18"/>
              </w:rPr>
              <w:t>5.61</w:t>
            </w:r>
          </w:p>
        </w:tc>
        <w:tc>
          <w:tcPr>
            <w:tcW w:w="38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rFonts w:hint="eastAsia"/>
                <w:kern w:val="0"/>
                <w:sz w:val="18"/>
                <w:szCs w:val="18"/>
              </w:rPr>
              <w:t>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4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kern w:val="0"/>
                <w:sz w:val="18"/>
                <w:szCs w:val="18"/>
              </w:rPr>
              <w:t>风向</w:t>
            </w: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kern w:val="0"/>
                <w:sz w:val="18"/>
                <w:szCs w:val="18"/>
              </w:rPr>
              <w:t>W</w:t>
            </w: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kern w:val="0"/>
                <w:sz w:val="18"/>
                <w:szCs w:val="18"/>
              </w:rPr>
              <w:t>WNW</w:t>
            </w: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kern w:val="0"/>
                <w:sz w:val="18"/>
                <w:szCs w:val="18"/>
              </w:rPr>
              <w:t>NW</w:t>
            </w:r>
          </w:p>
        </w:tc>
        <w:tc>
          <w:tcPr>
            <w:tcW w:w="41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kern w:val="0"/>
                <w:sz w:val="18"/>
                <w:szCs w:val="18"/>
              </w:rPr>
              <w:t>NNW</w:t>
            </w:r>
          </w:p>
        </w:tc>
        <w:tc>
          <w:tcPr>
            <w:tcW w:w="34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kern w:val="0"/>
                <w:sz w:val="18"/>
                <w:szCs w:val="18"/>
              </w:rPr>
              <w:t>C</w:t>
            </w: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p>
        </w:tc>
        <w:tc>
          <w:tcPr>
            <w:tcW w:w="38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4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kern w:val="0"/>
                <w:sz w:val="18"/>
                <w:szCs w:val="18"/>
              </w:rPr>
              <w:t>频率</w:t>
            </w:r>
          </w:p>
        </w:tc>
        <w:tc>
          <w:tcPr>
            <w:tcW w:w="70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rFonts w:hint="eastAsia"/>
                <w:kern w:val="0"/>
                <w:sz w:val="18"/>
                <w:szCs w:val="18"/>
              </w:rPr>
              <w:t>2.105</w:t>
            </w:r>
          </w:p>
        </w:tc>
        <w:tc>
          <w:tcPr>
            <w:tcW w:w="70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rFonts w:hint="eastAsia"/>
                <w:kern w:val="0"/>
                <w:sz w:val="18"/>
                <w:szCs w:val="18"/>
              </w:rPr>
              <w:t>1.36</w:t>
            </w:r>
          </w:p>
        </w:tc>
        <w:tc>
          <w:tcPr>
            <w:tcW w:w="70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rFonts w:hint="eastAsia"/>
                <w:kern w:val="0"/>
                <w:sz w:val="18"/>
                <w:szCs w:val="18"/>
              </w:rPr>
              <w:t>1.99</w:t>
            </w:r>
          </w:p>
        </w:tc>
        <w:tc>
          <w:tcPr>
            <w:tcW w:w="769"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rFonts w:hint="eastAsia"/>
                <w:kern w:val="0"/>
                <w:sz w:val="18"/>
                <w:szCs w:val="18"/>
              </w:rPr>
              <w:t>5.51</w:t>
            </w:r>
          </w:p>
        </w:tc>
        <w:tc>
          <w:tcPr>
            <w:tcW w:w="639"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r>
              <w:rPr>
                <w:rFonts w:hint="eastAsia"/>
                <w:kern w:val="0"/>
                <w:sz w:val="18"/>
                <w:szCs w:val="18"/>
              </w:rPr>
              <w:t>5.34</w:t>
            </w: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p>
        </w:tc>
        <w:tc>
          <w:tcPr>
            <w:tcW w:w="38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18"/>
                <w:szCs w:val="18"/>
              </w:rPr>
            </w:pPr>
          </w:p>
        </w:tc>
      </w:tr>
    </w:tbl>
    <w:p>
      <w:pPr>
        <w:pStyle w:val="2057"/>
        <w:spacing w:after="163"/>
        <w:ind w:firstLine="480"/>
      </w:pPr>
      <w:r>
        <w:drawing>
          <wp:inline distT="0" distB="0" distL="0" distR="0">
            <wp:extent cx="4305300" cy="4124325"/>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96"/>
                    <a:stretch>
                      <a:fillRect/>
                    </a:stretch>
                  </pic:blipFill>
                  <pic:spPr>
                    <a:xfrm>
                      <a:off x="0" y="0"/>
                      <a:ext cx="4305300" cy="4124325"/>
                    </a:xfrm>
                    <a:prstGeom prst="rect">
                      <a:avLst/>
                    </a:prstGeom>
                  </pic:spPr>
                </pic:pic>
              </a:graphicData>
            </a:graphic>
          </wp:inline>
        </w:drawing>
      </w:r>
    </w:p>
    <w:p>
      <w:pPr>
        <w:pStyle w:val="3609"/>
        <w:spacing w:line="240" w:lineRule="atLeast"/>
        <w:ind w:left="0"/>
      </w:pPr>
      <w:r>
        <w:t xml:space="preserve">  </w:t>
      </w:r>
      <w:r>
        <w:rPr>
          <w:rFonts w:hint="eastAsia"/>
        </w:rPr>
        <w:t>岳阳</w:t>
      </w:r>
      <w:r>
        <w:t>市风向玫瑰图（静风频率</w:t>
      </w:r>
      <w:r>
        <w:rPr>
          <w:rFonts w:hint="eastAsia"/>
        </w:rPr>
        <w:t>5.3</w:t>
      </w:r>
      <w:r>
        <w:t>%）</w:t>
      </w:r>
    </w:p>
    <w:p>
      <w:pPr>
        <w:ind w:firstLine="480"/>
      </w:pPr>
      <w:r>
        <w:t>各月风向频率如下：</w:t>
      </w:r>
    </w:p>
    <w:p>
      <w:pPr>
        <w:ind w:firstLine="480"/>
        <w:sectPr>
          <w:pgSz w:w="11906" w:h="16838"/>
          <w:pgMar w:top="1440" w:right="1800" w:bottom="1440" w:left="1800" w:header="851" w:footer="850" w:gutter="0"/>
          <w:pgBorders>
            <w:top w:val="none" w:sz="0" w:space="0"/>
            <w:left w:val="none" w:sz="0" w:space="0"/>
            <w:bottom w:val="none" w:sz="0" w:space="0"/>
            <w:right w:val="none" w:sz="0" w:space="0"/>
          </w:pgBorders>
          <w:pgNumType w:fmt="decimal"/>
          <w:cols w:space="720" w:num="1"/>
          <w:docGrid w:type="lines" w:linePitch="326" w:charSpace="0"/>
        </w:sectPr>
      </w:pPr>
    </w:p>
    <w:p>
      <w:pPr>
        <w:pStyle w:val="3586"/>
        <w:ind w:left="0"/>
      </w:pPr>
      <w:r>
        <w:rPr>
          <w:rFonts w:hint="eastAsia"/>
        </w:rPr>
        <w:t>岳阳市</w:t>
      </w:r>
      <w:r>
        <w:t>气象站月风向频率统计（单位%）</w:t>
      </w:r>
    </w:p>
    <w:tbl>
      <w:tblPr>
        <w:tblStyle w:val="87"/>
        <w:tblW w:w="501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22"/>
        <w:gridCol w:w="775"/>
        <w:gridCol w:w="775"/>
        <w:gridCol w:w="775"/>
        <w:gridCol w:w="775"/>
        <w:gridCol w:w="775"/>
        <w:gridCol w:w="775"/>
        <w:gridCol w:w="776"/>
        <w:gridCol w:w="776"/>
        <w:gridCol w:w="776"/>
        <w:gridCol w:w="776"/>
        <w:gridCol w:w="776"/>
        <w:gridCol w:w="776"/>
        <w:gridCol w:w="776"/>
        <w:gridCol w:w="776"/>
        <w:gridCol w:w="776"/>
        <w:gridCol w:w="776"/>
        <w:gridCol w:w="79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29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   频率</w:t>
            </w:r>
          </w:p>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月份</w:t>
            </w:r>
          </w:p>
        </w:tc>
        <w:tc>
          <w:tcPr>
            <w:tcW w:w="27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N</w:t>
            </w:r>
          </w:p>
        </w:tc>
        <w:tc>
          <w:tcPr>
            <w:tcW w:w="27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NNE</w:t>
            </w:r>
          </w:p>
        </w:tc>
        <w:tc>
          <w:tcPr>
            <w:tcW w:w="27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NE</w:t>
            </w:r>
          </w:p>
        </w:tc>
        <w:tc>
          <w:tcPr>
            <w:tcW w:w="27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ENE</w:t>
            </w:r>
          </w:p>
        </w:tc>
        <w:tc>
          <w:tcPr>
            <w:tcW w:w="27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w:t>
            </w:r>
          </w:p>
        </w:tc>
        <w:tc>
          <w:tcPr>
            <w:tcW w:w="27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ESE</w:t>
            </w:r>
          </w:p>
        </w:tc>
        <w:tc>
          <w:tcPr>
            <w:tcW w:w="27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SE</w:t>
            </w:r>
          </w:p>
        </w:tc>
        <w:tc>
          <w:tcPr>
            <w:tcW w:w="27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SSE</w:t>
            </w:r>
          </w:p>
        </w:tc>
        <w:tc>
          <w:tcPr>
            <w:tcW w:w="27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S</w:t>
            </w:r>
          </w:p>
        </w:tc>
        <w:tc>
          <w:tcPr>
            <w:tcW w:w="27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SSW</w:t>
            </w:r>
          </w:p>
        </w:tc>
        <w:tc>
          <w:tcPr>
            <w:tcW w:w="27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SW</w:t>
            </w:r>
          </w:p>
        </w:tc>
        <w:tc>
          <w:tcPr>
            <w:tcW w:w="27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WSW</w:t>
            </w:r>
          </w:p>
        </w:tc>
        <w:tc>
          <w:tcPr>
            <w:tcW w:w="27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W</w:t>
            </w:r>
          </w:p>
        </w:tc>
        <w:tc>
          <w:tcPr>
            <w:tcW w:w="27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WNW</w:t>
            </w:r>
          </w:p>
        </w:tc>
        <w:tc>
          <w:tcPr>
            <w:tcW w:w="27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NW</w:t>
            </w:r>
          </w:p>
        </w:tc>
        <w:tc>
          <w:tcPr>
            <w:tcW w:w="27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NNW</w:t>
            </w:r>
          </w:p>
        </w:tc>
        <w:tc>
          <w:tcPr>
            <w:tcW w:w="281"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 C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29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 月</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18.7</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25.3</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12.2</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3.4</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3.4</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4.4</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3.7</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2.9</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3.6</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2.2</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1.9</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1.6</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1.9</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3.6</w:t>
            </w:r>
          </w:p>
        </w:tc>
        <w:tc>
          <w:tcPr>
            <w:tcW w:w="789"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29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 月</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18.6</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22.8</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12.7</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4.8</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2.9</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3.8</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4.5</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3.6</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3.9</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4.5</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4.5</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2.2</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2.1</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1.8</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2.2</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4.5</w:t>
            </w:r>
          </w:p>
        </w:tc>
        <w:tc>
          <w:tcPr>
            <w:tcW w:w="789"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29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 月</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16.2</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16.8</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11.1</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3.5</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2.7</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4.3</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6.6</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6.1</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5.6</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5.2</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5.2</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2.8</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1.8</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1.5</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2.1</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5.1</w:t>
            </w:r>
          </w:p>
        </w:tc>
        <w:tc>
          <w:tcPr>
            <w:tcW w:w="789"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8" w:hRule="atLeast"/>
          <w:jc w:val="center"/>
        </w:trPr>
        <w:tc>
          <w:tcPr>
            <w:tcW w:w="29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 月</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15</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12.8</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10.5</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2.8</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2.5</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6.9</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7.2</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7.4</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5.1</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7.5</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2.9</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1.5</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2.5</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6.2</w:t>
            </w:r>
          </w:p>
        </w:tc>
        <w:tc>
          <w:tcPr>
            <w:tcW w:w="789"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29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 月</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14.4</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12.6</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10.1</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2.2</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2.2</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4.1</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7.1</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6</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8.2</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5.8</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7.4</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3.2</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2.3</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1.7</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2.4</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5.7</w:t>
            </w:r>
          </w:p>
        </w:tc>
        <w:tc>
          <w:tcPr>
            <w:tcW w:w="789"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29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6 月</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9.8</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8.9</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7.6</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2.9</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2.3</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3.3</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7.9</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6.5</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10.7</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7.1</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7.6</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4.7</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3.3</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1.6</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2.1</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6.3</w:t>
            </w:r>
          </w:p>
        </w:tc>
        <w:tc>
          <w:tcPr>
            <w:tcW w:w="789"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29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 月</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10.2</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6.2</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5.7</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2.6</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1.7</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3.1</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6.8</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8.7</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17.4</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10.4</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7.4</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4.3</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2.5</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1.9</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1.9</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5.5</w:t>
            </w:r>
          </w:p>
        </w:tc>
        <w:tc>
          <w:tcPr>
            <w:tcW w:w="789"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29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8 月</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19.3</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12.7</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9.3</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5.2</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1.6</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2.8</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5.2</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5.6</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7.3</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5.5</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3.6</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2.9</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1.7</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2.2</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8.6</w:t>
            </w:r>
          </w:p>
        </w:tc>
        <w:tc>
          <w:tcPr>
            <w:tcW w:w="789"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29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9 月</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22.3</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21.5</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12.2</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5.2</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3.6</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2.2</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1.7</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1.9</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3.5</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3.9</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2.8</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1.9</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1.6</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7.5</w:t>
            </w:r>
          </w:p>
        </w:tc>
        <w:tc>
          <w:tcPr>
            <w:tcW w:w="789"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29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10 月</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21.7</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23.2</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11.7</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5.8</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2.8</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2.5</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1.9</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1.5</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2.1</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3.6</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3.1</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2.5</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2.3</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1.8</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6</w:t>
            </w:r>
          </w:p>
        </w:tc>
        <w:tc>
          <w:tcPr>
            <w:tcW w:w="789"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29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11 月</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18.1</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20.8</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12.9</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5.8</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3.9</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4.6</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4.4</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2.7</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2.8</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2.6</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4.4</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2.6</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2.5</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1.9</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2.1</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4.7</w:t>
            </w:r>
          </w:p>
        </w:tc>
        <w:tc>
          <w:tcPr>
            <w:tcW w:w="789"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29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12 月</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16.4</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24.2</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15.8</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6.2</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3.5</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3.5</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2.8</w:t>
            </w:r>
          </w:p>
        </w:tc>
        <w:tc>
          <w:tcPr>
            <w:tcW w:w="774"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2.9</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3.3</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4.1</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2.6</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1.6</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1.7</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1.7</w:t>
            </w:r>
          </w:p>
        </w:tc>
        <w:tc>
          <w:tcPr>
            <w:tcW w:w="775"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3.5</w:t>
            </w:r>
          </w:p>
        </w:tc>
        <w:tc>
          <w:tcPr>
            <w:tcW w:w="789"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4.2</w:t>
            </w:r>
          </w:p>
        </w:tc>
      </w:tr>
    </w:tbl>
    <w:p>
      <w:pPr>
        <w:pStyle w:val="34"/>
        <w:spacing w:before="8"/>
        <w:ind w:firstLine="540"/>
        <w:jc w:val="center"/>
        <w:rPr>
          <w:sz w:val="27"/>
        </w:rPr>
        <w:sectPr>
          <w:pgSz w:w="16838" w:h="11906" w:orient="landscape"/>
          <w:pgMar w:top="1800" w:right="1440" w:bottom="1800" w:left="1440" w:header="851" w:footer="850" w:gutter="0"/>
          <w:pgBorders>
            <w:top w:val="none" w:sz="0" w:space="0"/>
            <w:left w:val="none" w:sz="0" w:space="0"/>
            <w:bottom w:val="none" w:sz="0" w:space="0"/>
            <w:right w:val="none" w:sz="0" w:space="0"/>
          </w:pgBorders>
          <w:pgNumType w:fmt="decimal"/>
          <w:cols w:space="720" w:num="1"/>
          <w:docGrid w:type="lines" w:linePitch="326" w:charSpace="0"/>
        </w:sectPr>
      </w:pPr>
    </w:p>
    <w:tbl>
      <w:tblPr>
        <w:tblStyle w:val="8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50"/>
        <w:gridCol w:w="41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4261" w:type="dxa"/>
            <w:vAlign w:val="center"/>
          </w:tcPr>
          <w:p>
            <w:pPr>
              <w:pStyle w:val="2057"/>
              <w:tabs>
                <w:tab w:val="left" w:pos="480"/>
              </w:tabs>
              <w:spacing w:afterLines="0"/>
              <w:ind w:firstLine="0" w:firstLineChars="0"/>
            </w:pPr>
            <w:r>
              <w:drawing>
                <wp:inline distT="0" distB="0" distL="0" distR="0">
                  <wp:extent cx="2374900" cy="2228850"/>
                  <wp:effectExtent l="0" t="0" r="635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97"/>
                          <a:stretch>
                            <a:fillRect/>
                          </a:stretch>
                        </pic:blipFill>
                        <pic:spPr>
                          <a:xfrm>
                            <a:off x="0" y="0"/>
                            <a:ext cx="2374900" cy="2228850"/>
                          </a:xfrm>
                          <a:prstGeom prst="rect">
                            <a:avLst/>
                          </a:prstGeom>
                        </pic:spPr>
                      </pic:pic>
                    </a:graphicData>
                  </a:graphic>
                </wp:inline>
              </w:drawing>
            </w:r>
          </w:p>
        </w:tc>
        <w:tc>
          <w:tcPr>
            <w:tcW w:w="4261" w:type="dxa"/>
            <w:vAlign w:val="center"/>
          </w:tcPr>
          <w:p>
            <w:pPr>
              <w:pStyle w:val="2057"/>
              <w:tabs>
                <w:tab w:val="left" w:pos="480"/>
              </w:tabs>
              <w:spacing w:afterLines="0"/>
              <w:ind w:firstLine="0" w:firstLineChars="0"/>
            </w:pPr>
            <w:r>
              <w:drawing>
                <wp:inline distT="0" distB="0" distL="0" distR="0">
                  <wp:extent cx="2483485" cy="2299335"/>
                  <wp:effectExtent l="0" t="0" r="12065" b="571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98"/>
                          <a:stretch>
                            <a:fillRect/>
                          </a:stretch>
                        </pic:blipFill>
                        <pic:spPr>
                          <a:xfrm>
                            <a:off x="0" y="0"/>
                            <a:ext cx="2483485" cy="229933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2057"/>
              <w:tabs>
                <w:tab w:val="left" w:pos="480"/>
              </w:tabs>
              <w:spacing w:afterLines="0"/>
              <w:ind w:firstLine="0" w:firstLineChars="0"/>
            </w:pPr>
            <w:r>
              <w:rPr>
                <w:rFonts w:hint="eastAsia"/>
              </w:rPr>
              <w:t>1月静风5.2%</w:t>
            </w:r>
          </w:p>
        </w:tc>
        <w:tc>
          <w:tcPr>
            <w:tcW w:w="4261" w:type="dxa"/>
            <w:vAlign w:val="center"/>
          </w:tcPr>
          <w:p>
            <w:pPr>
              <w:pStyle w:val="2057"/>
              <w:tabs>
                <w:tab w:val="left" w:pos="480"/>
              </w:tabs>
              <w:spacing w:afterLines="0"/>
              <w:ind w:firstLine="0" w:firstLineChars="0"/>
            </w:pPr>
            <w:r>
              <w:rPr>
                <w:rFonts w:hint="eastAsia"/>
              </w:rPr>
              <w:t>2月静风5%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2057"/>
              <w:tabs>
                <w:tab w:val="left" w:pos="480"/>
              </w:tabs>
              <w:spacing w:afterLines="0"/>
              <w:ind w:firstLine="0" w:firstLineChars="0"/>
            </w:pPr>
            <w:r>
              <w:drawing>
                <wp:inline distT="0" distB="0" distL="0" distR="0">
                  <wp:extent cx="2469515" cy="2367280"/>
                  <wp:effectExtent l="0" t="0" r="6985" b="1397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99"/>
                          <a:stretch>
                            <a:fillRect/>
                          </a:stretch>
                        </pic:blipFill>
                        <pic:spPr>
                          <a:xfrm>
                            <a:off x="0" y="0"/>
                            <a:ext cx="2469515" cy="2367280"/>
                          </a:xfrm>
                          <a:prstGeom prst="rect">
                            <a:avLst/>
                          </a:prstGeom>
                        </pic:spPr>
                      </pic:pic>
                    </a:graphicData>
                  </a:graphic>
                </wp:inline>
              </w:drawing>
            </w:r>
          </w:p>
        </w:tc>
        <w:tc>
          <w:tcPr>
            <w:tcW w:w="4261" w:type="dxa"/>
            <w:vAlign w:val="center"/>
          </w:tcPr>
          <w:p>
            <w:pPr>
              <w:pStyle w:val="2057"/>
              <w:tabs>
                <w:tab w:val="left" w:pos="480"/>
              </w:tabs>
              <w:spacing w:afterLines="0"/>
              <w:ind w:firstLine="0" w:firstLineChars="0"/>
            </w:pPr>
            <w:r>
              <w:drawing>
                <wp:inline distT="0" distB="0" distL="0" distR="0">
                  <wp:extent cx="2517140" cy="2440305"/>
                  <wp:effectExtent l="0" t="0" r="16510" b="1714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00"/>
                          <a:stretch>
                            <a:fillRect/>
                          </a:stretch>
                        </pic:blipFill>
                        <pic:spPr>
                          <a:xfrm>
                            <a:off x="0" y="0"/>
                            <a:ext cx="2517140" cy="244030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2057"/>
              <w:tabs>
                <w:tab w:val="left" w:pos="480"/>
              </w:tabs>
              <w:spacing w:afterLines="0"/>
              <w:ind w:firstLine="0" w:firstLineChars="0"/>
            </w:pPr>
            <w:r>
              <w:rPr>
                <w:rFonts w:hint="eastAsia"/>
              </w:rPr>
              <w:t>3月静风5.1%</w:t>
            </w:r>
          </w:p>
        </w:tc>
        <w:tc>
          <w:tcPr>
            <w:tcW w:w="4261" w:type="dxa"/>
            <w:vAlign w:val="center"/>
          </w:tcPr>
          <w:p>
            <w:pPr>
              <w:pStyle w:val="2057"/>
              <w:tabs>
                <w:tab w:val="left" w:pos="480"/>
              </w:tabs>
              <w:spacing w:afterLines="0"/>
              <w:ind w:firstLine="0" w:firstLineChars="0"/>
            </w:pPr>
            <w:r>
              <w:rPr>
                <w:rFonts w:hint="eastAsia"/>
              </w:rPr>
              <w:t>4月静风5.1%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6" w:hRule="atLeast"/>
        </w:trPr>
        <w:tc>
          <w:tcPr>
            <w:tcW w:w="4261" w:type="dxa"/>
            <w:vAlign w:val="center"/>
          </w:tcPr>
          <w:p>
            <w:pPr>
              <w:pStyle w:val="2057"/>
              <w:tabs>
                <w:tab w:val="left" w:pos="480"/>
              </w:tabs>
              <w:spacing w:afterLines="0"/>
              <w:ind w:firstLine="0" w:firstLineChars="0"/>
            </w:pPr>
            <w:r>
              <w:drawing>
                <wp:inline distT="0" distB="0" distL="0" distR="0">
                  <wp:extent cx="2221865" cy="2163445"/>
                  <wp:effectExtent l="0" t="0" r="6985" b="825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201"/>
                          <a:stretch>
                            <a:fillRect/>
                          </a:stretch>
                        </pic:blipFill>
                        <pic:spPr>
                          <a:xfrm>
                            <a:off x="0" y="0"/>
                            <a:ext cx="2221865" cy="2163445"/>
                          </a:xfrm>
                          <a:prstGeom prst="rect">
                            <a:avLst/>
                          </a:prstGeom>
                        </pic:spPr>
                      </pic:pic>
                    </a:graphicData>
                  </a:graphic>
                </wp:inline>
              </w:drawing>
            </w:r>
          </w:p>
        </w:tc>
        <w:tc>
          <w:tcPr>
            <w:tcW w:w="4261" w:type="dxa"/>
            <w:vAlign w:val="center"/>
          </w:tcPr>
          <w:p>
            <w:pPr>
              <w:pStyle w:val="2057"/>
              <w:tabs>
                <w:tab w:val="left" w:pos="480"/>
              </w:tabs>
              <w:spacing w:afterLines="0"/>
              <w:ind w:firstLine="0" w:firstLineChars="0"/>
            </w:pPr>
            <w:r>
              <w:drawing>
                <wp:inline distT="0" distB="0" distL="0" distR="0">
                  <wp:extent cx="2400300" cy="232410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202"/>
                          <a:stretch>
                            <a:fillRect/>
                          </a:stretch>
                        </pic:blipFill>
                        <pic:spPr>
                          <a:xfrm>
                            <a:off x="0" y="0"/>
                            <a:ext cx="2400300" cy="232410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2057"/>
              <w:tabs>
                <w:tab w:val="left" w:pos="480"/>
              </w:tabs>
              <w:spacing w:afterLines="0"/>
              <w:ind w:firstLine="0" w:firstLineChars="0"/>
            </w:pPr>
            <w:r>
              <w:rPr>
                <w:rFonts w:hint="eastAsia"/>
              </w:rPr>
              <w:t>5月静风6.1%</w:t>
            </w:r>
          </w:p>
        </w:tc>
        <w:tc>
          <w:tcPr>
            <w:tcW w:w="4261" w:type="dxa"/>
            <w:vAlign w:val="center"/>
          </w:tcPr>
          <w:p>
            <w:pPr>
              <w:pStyle w:val="2057"/>
              <w:tabs>
                <w:tab w:val="left" w:pos="480"/>
              </w:tabs>
              <w:spacing w:afterLines="0"/>
              <w:ind w:firstLine="0" w:firstLineChars="0"/>
            </w:pPr>
            <w:r>
              <w:rPr>
                <w:rFonts w:hint="eastAsia"/>
              </w:rPr>
              <w:t>6月静风8.9%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2057"/>
              <w:tabs>
                <w:tab w:val="left" w:pos="480"/>
              </w:tabs>
              <w:spacing w:afterLines="0"/>
              <w:ind w:firstLine="0" w:firstLineChars="0"/>
            </w:pPr>
            <w:r>
              <w:drawing>
                <wp:inline distT="0" distB="0" distL="0" distR="0">
                  <wp:extent cx="2347595" cy="2239010"/>
                  <wp:effectExtent l="0" t="0" r="14605" b="889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203"/>
                          <a:stretch>
                            <a:fillRect/>
                          </a:stretch>
                        </pic:blipFill>
                        <pic:spPr>
                          <a:xfrm>
                            <a:off x="0" y="0"/>
                            <a:ext cx="2347595" cy="2239010"/>
                          </a:xfrm>
                          <a:prstGeom prst="rect">
                            <a:avLst/>
                          </a:prstGeom>
                        </pic:spPr>
                      </pic:pic>
                    </a:graphicData>
                  </a:graphic>
                </wp:inline>
              </w:drawing>
            </w:r>
          </w:p>
        </w:tc>
        <w:tc>
          <w:tcPr>
            <w:tcW w:w="4261" w:type="dxa"/>
            <w:vAlign w:val="center"/>
          </w:tcPr>
          <w:p>
            <w:pPr>
              <w:pStyle w:val="2057"/>
              <w:tabs>
                <w:tab w:val="left" w:pos="480"/>
              </w:tabs>
              <w:spacing w:afterLines="0"/>
              <w:ind w:firstLine="0" w:firstLineChars="0"/>
            </w:pPr>
            <w:r>
              <w:drawing>
                <wp:inline distT="0" distB="0" distL="0" distR="0">
                  <wp:extent cx="2290445" cy="2219325"/>
                  <wp:effectExtent l="0" t="0" r="14605" b="952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204"/>
                          <a:stretch>
                            <a:fillRect/>
                          </a:stretch>
                        </pic:blipFill>
                        <pic:spPr>
                          <a:xfrm>
                            <a:off x="0" y="0"/>
                            <a:ext cx="2290445" cy="221932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2057"/>
              <w:tabs>
                <w:tab w:val="left" w:pos="480"/>
              </w:tabs>
              <w:spacing w:afterLines="0"/>
              <w:ind w:firstLine="0" w:firstLineChars="0"/>
            </w:pPr>
            <w:r>
              <w:rPr>
                <w:rFonts w:hint="eastAsia"/>
              </w:rPr>
              <w:t>7月静风5.8%</w:t>
            </w:r>
          </w:p>
        </w:tc>
        <w:tc>
          <w:tcPr>
            <w:tcW w:w="4261" w:type="dxa"/>
            <w:vAlign w:val="center"/>
          </w:tcPr>
          <w:p>
            <w:pPr>
              <w:pStyle w:val="2057"/>
              <w:tabs>
                <w:tab w:val="left" w:pos="480"/>
              </w:tabs>
              <w:spacing w:afterLines="0"/>
              <w:ind w:firstLine="0" w:firstLineChars="0"/>
            </w:pPr>
            <w:r>
              <w:rPr>
                <w:rFonts w:hint="eastAsia"/>
              </w:rPr>
              <w:t>8月静风4.3%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2057"/>
              <w:tabs>
                <w:tab w:val="left" w:pos="480"/>
              </w:tabs>
              <w:spacing w:afterLines="0"/>
              <w:ind w:firstLine="0" w:firstLineChars="0"/>
            </w:pPr>
            <w:r>
              <w:drawing>
                <wp:inline distT="0" distB="0" distL="0" distR="0">
                  <wp:extent cx="2560955" cy="2397125"/>
                  <wp:effectExtent l="0" t="0" r="10795" b="317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05"/>
                          <a:stretch>
                            <a:fillRect/>
                          </a:stretch>
                        </pic:blipFill>
                        <pic:spPr>
                          <a:xfrm>
                            <a:off x="0" y="0"/>
                            <a:ext cx="2560955" cy="2397125"/>
                          </a:xfrm>
                          <a:prstGeom prst="rect">
                            <a:avLst/>
                          </a:prstGeom>
                        </pic:spPr>
                      </pic:pic>
                    </a:graphicData>
                  </a:graphic>
                </wp:inline>
              </w:drawing>
            </w:r>
          </w:p>
        </w:tc>
        <w:tc>
          <w:tcPr>
            <w:tcW w:w="4261" w:type="dxa"/>
            <w:vAlign w:val="center"/>
          </w:tcPr>
          <w:p>
            <w:pPr>
              <w:pStyle w:val="2057"/>
              <w:tabs>
                <w:tab w:val="left" w:pos="480"/>
              </w:tabs>
              <w:spacing w:afterLines="0"/>
              <w:ind w:firstLine="0" w:firstLineChars="0"/>
            </w:pPr>
            <w:r>
              <w:drawing>
                <wp:inline distT="0" distB="0" distL="0" distR="0">
                  <wp:extent cx="2535555" cy="2362835"/>
                  <wp:effectExtent l="0" t="0" r="17145" b="1841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206"/>
                          <a:stretch>
                            <a:fillRect/>
                          </a:stretch>
                        </pic:blipFill>
                        <pic:spPr>
                          <a:xfrm>
                            <a:off x="0" y="0"/>
                            <a:ext cx="2535555" cy="236283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2057"/>
              <w:tabs>
                <w:tab w:val="left" w:pos="480"/>
              </w:tabs>
              <w:spacing w:afterLines="0"/>
              <w:ind w:firstLine="0" w:firstLineChars="0"/>
            </w:pPr>
            <w:r>
              <w:rPr>
                <w:rFonts w:hint="eastAsia"/>
              </w:rPr>
              <w:t>9月静风6.3%</w:t>
            </w:r>
          </w:p>
        </w:tc>
        <w:tc>
          <w:tcPr>
            <w:tcW w:w="4261" w:type="dxa"/>
            <w:vAlign w:val="center"/>
          </w:tcPr>
          <w:p>
            <w:pPr>
              <w:pStyle w:val="2057"/>
              <w:tabs>
                <w:tab w:val="left" w:pos="480"/>
              </w:tabs>
              <w:spacing w:afterLines="0"/>
              <w:ind w:firstLine="0" w:firstLineChars="0"/>
            </w:pPr>
            <w:r>
              <w:rPr>
                <w:rFonts w:hint="eastAsia"/>
              </w:rPr>
              <w:t>10月静风7.3%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2057"/>
              <w:tabs>
                <w:tab w:val="left" w:pos="480"/>
              </w:tabs>
              <w:spacing w:afterLines="0"/>
              <w:ind w:firstLine="0" w:firstLineChars="0"/>
            </w:pPr>
            <w:r>
              <w:drawing>
                <wp:inline distT="0" distB="0" distL="0" distR="0">
                  <wp:extent cx="2653030" cy="2496185"/>
                  <wp:effectExtent l="0" t="0" r="13970" b="1841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207"/>
                          <a:stretch>
                            <a:fillRect/>
                          </a:stretch>
                        </pic:blipFill>
                        <pic:spPr>
                          <a:xfrm>
                            <a:off x="0" y="0"/>
                            <a:ext cx="2653030" cy="2496185"/>
                          </a:xfrm>
                          <a:prstGeom prst="rect">
                            <a:avLst/>
                          </a:prstGeom>
                        </pic:spPr>
                      </pic:pic>
                    </a:graphicData>
                  </a:graphic>
                </wp:inline>
              </w:drawing>
            </w:r>
          </w:p>
        </w:tc>
        <w:tc>
          <w:tcPr>
            <w:tcW w:w="4261" w:type="dxa"/>
            <w:vAlign w:val="center"/>
          </w:tcPr>
          <w:p>
            <w:pPr>
              <w:pStyle w:val="2057"/>
              <w:tabs>
                <w:tab w:val="left" w:pos="480"/>
              </w:tabs>
              <w:spacing w:afterLines="0"/>
              <w:ind w:firstLine="0" w:firstLineChars="0"/>
            </w:pPr>
            <w:r>
              <w:drawing>
                <wp:inline distT="0" distB="0" distL="0" distR="0">
                  <wp:extent cx="2532380" cy="2382520"/>
                  <wp:effectExtent l="0" t="0" r="1270" b="1778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208"/>
                          <a:stretch>
                            <a:fillRect/>
                          </a:stretch>
                        </pic:blipFill>
                        <pic:spPr>
                          <a:xfrm>
                            <a:off x="0" y="0"/>
                            <a:ext cx="2532380" cy="238252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vAlign w:val="center"/>
          </w:tcPr>
          <w:p>
            <w:pPr>
              <w:pStyle w:val="2057"/>
              <w:tabs>
                <w:tab w:val="left" w:pos="480"/>
              </w:tabs>
              <w:spacing w:afterLines="0"/>
              <w:ind w:firstLine="0" w:firstLineChars="0"/>
            </w:pPr>
            <w:r>
              <w:rPr>
                <w:rFonts w:hint="eastAsia"/>
              </w:rPr>
              <w:t>11月静风6.4%</w:t>
            </w:r>
          </w:p>
        </w:tc>
        <w:tc>
          <w:tcPr>
            <w:tcW w:w="4261" w:type="dxa"/>
            <w:vAlign w:val="center"/>
          </w:tcPr>
          <w:p>
            <w:pPr>
              <w:pStyle w:val="2057"/>
              <w:tabs>
                <w:tab w:val="left" w:pos="480"/>
              </w:tabs>
              <w:spacing w:afterLines="0"/>
              <w:ind w:firstLine="0" w:firstLineChars="0"/>
            </w:pPr>
            <w:r>
              <w:rPr>
                <w:rFonts w:hint="eastAsia"/>
              </w:rPr>
              <w:t>12月静风4.2%</w:t>
            </w:r>
          </w:p>
        </w:tc>
      </w:tr>
    </w:tbl>
    <w:p>
      <w:pPr>
        <w:pStyle w:val="3609"/>
        <w:spacing w:line="240" w:lineRule="atLeast"/>
        <w:ind w:left="0"/>
      </w:pPr>
      <w:r>
        <w:t xml:space="preserve">  </w:t>
      </w:r>
      <w:r>
        <w:rPr>
          <w:rFonts w:hint="eastAsia" w:ascii="Times New Roman" w:hAnsi="Times New Roman" w:cs="Times New Roman"/>
          <w:bCs w:val="0"/>
        </w:rPr>
        <w:t>岳阳市</w:t>
      </w:r>
      <w:r>
        <w:t>月风向玫瑰图</w:t>
      </w:r>
    </w:p>
    <w:p>
      <w:pPr>
        <w:ind w:firstLine="480"/>
      </w:pPr>
      <w:r>
        <w:rPr>
          <w:rFonts w:hint="eastAsia"/>
        </w:rPr>
        <w:t>（3）风速年际变化特征与周期分析</w:t>
      </w:r>
    </w:p>
    <w:p>
      <w:pPr>
        <w:ind w:firstLine="480"/>
      </w:pPr>
      <w:r>
        <w:rPr>
          <w:rFonts w:hint="eastAsia"/>
        </w:rPr>
        <w:t>根据近</w:t>
      </w:r>
      <w:r>
        <w:t xml:space="preserve"> 20 年资料分析，</w:t>
      </w:r>
      <w:r>
        <w:rPr>
          <w:rFonts w:hint="eastAsia"/>
        </w:rPr>
        <w:t>岳阳</w:t>
      </w:r>
      <w:r>
        <w:t>气象站</w:t>
      </w:r>
      <w:r>
        <w:rPr>
          <w:rFonts w:hint="eastAsia"/>
        </w:rPr>
        <w:t>2002~2005年</w:t>
      </w:r>
      <w:r>
        <w:t>风速呈现</w:t>
      </w:r>
      <w:r>
        <w:rPr>
          <w:rFonts w:hint="eastAsia"/>
        </w:rPr>
        <w:t>下降</w:t>
      </w:r>
      <w:r>
        <w:t>趋势</w:t>
      </w:r>
      <w:r>
        <w:rPr>
          <w:rFonts w:hint="eastAsia"/>
        </w:rPr>
        <w:t>，2006年平均风速最大</w:t>
      </w:r>
      <w:r>
        <w:t xml:space="preserve">（ </w:t>
      </w:r>
      <w:r>
        <w:rPr>
          <w:rFonts w:hint="eastAsia"/>
        </w:rPr>
        <w:t>3.2</w:t>
      </w:r>
      <w:r>
        <w:t>米/ 秒）</w:t>
      </w:r>
      <w:r>
        <w:rPr>
          <w:rFonts w:hint="eastAsia"/>
        </w:rPr>
        <w:t>，之后再次出现下降趋势，2005年</w:t>
      </w:r>
      <w:r>
        <w:t xml:space="preserve">年平均风速最小（ </w:t>
      </w:r>
      <w:r>
        <w:rPr>
          <w:rFonts w:hint="eastAsia"/>
        </w:rPr>
        <w:t>2.2</w:t>
      </w:r>
      <w:r>
        <w:t>米/秒），</w:t>
      </w:r>
      <w:r>
        <w:rPr>
          <w:rFonts w:hint="eastAsia"/>
        </w:rPr>
        <w:t>今年2019~2021年</w:t>
      </w:r>
      <w:r>
        <w:t>年平均</w:t>
      </w:r>
      <w:r>
        <w:rPr>
          <w:rFonts w:hint="eastAsia"/>
        </w:rPr>
        <w:t>风速都为2.3</w:t>
      </w:r>
      <w:r>
        <w:t>米/秒。</w:t>
      </w:r>
    </w:p>
    <w:p>
      <w:pPr>
        <w:pStyle w:val="2057"/>
        <w:spacing w:afterLines="0"/>
        <w:ind w:firstLine="0" w:firstLineChars="0"/>
      </w:pPr>
      <w:r>
        <w:drawing>
          <wp:inline distT="0" distB="0" distL="0" distR="0">
            <wp:extent cx="5274310" cy="3487420"/>
            <wp:effectExtent l="0" t="0" r="2540" b="1778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09"/>
                    <a:stretch>
                      <a:fillRect/>
                    </a:stretch>
                  </pic:blipFill>
                  <pic:spPr>
                    <a:xfrm>
                      <a:off x="0" y="0"/>
                      <a:ext cx="5274310" cy="3487420"/>
                    </a:xfrm>
                    <a:prstGeom prst="rect">
                      <a:avLst/>
                    </a:prstGeom>
                  </pic:spPr>
                </pic:pic>
              </a:graphicData>
            </a:graphic>
          </wp:inline>
        </w:drawing>
      </w:r>
    </w:p>
    <w:p>
      <w:pPr>
        <w:pStyle w:val="3609"/>
        <w:spacing w:line="240" w:lineRule="atLeast"/>
        <w:ind w:left="0"/>
      </w:pPr>
      <w:r>
        <w:rPr>
          <w:rFonts w:hint="eastAsia"/>
        </w:rPr>
        <w:t>岳阳</w:t>
      </w:r>
      <w:r>
        <w:t>（200</w:t>
      </w:r>
      <w:r>
        <w:rPr>
          <w:rFonts w:hint="eastAsia"/>
        </w:rPr>
        <w:t>2</w:t>
      </w:r>
      <w:r>
        <w:t>-20</w:t>
      </w:r>
      <w:r>
        <w:rPr>
          <w:rFonts w:hint="eastAsia"/>
        </w:rPr>
        <w:t>21</w:t>
      </w:r>
      <w:r>
        <w:t>）年</w:t>
      </w:r>
      <w:r>
        <w:rPr>
          <w:bCs/>
        </w:rPr>
        <w:t>平均</w:t>
      </w:r>
      <w:r>
        <w:t>风速（单位：m/s，虚线为趋势线）</w:t>
      </w:r>
    </w:p>
    <w:p>
      <w:pPr>
        <w:ind w:firstLine="480"/>
      </w:pPr>
      <w:r>
        <w:t>3.气象站温度分析</w:t>
      </w:r>
    </w:p>
    <w:p>
      <w:pPr>
        <w:ind w:firstLine="480"/>
      </w:pPr>
      <w:r>
        <w:rPr>
          <w:rFonts w:hint="eastAsia"/>
        </w:rPr>
        <w:t>（1）</w:t>
      </w:r>
      <w:r>
        <w:t>月平均气温与极端气温</w:t>
      </w:r>
    </w:p>
    <w:p>
      <w:pPr>
        <w:ind w:firstLine="480"/>
      </w:pPr>
      <w:r>
        <w:rPr>
          <w:rFonts w:hint="eastAsia"/>
        </w:rPr>
        <w:t>岳阳</w:t>
      </w:r>
      <w:r>
        <w:t>气象站 07 月气温最高</w:t>
      </w:r>
      <w:r>
        <w:rPr>
          <w:rFonts w:hint="eastAsia"/>
        </w:rPr>
        <w:t>（</w:t>
      </w:r>
      <w:r>
        <w:t>2</w:t>
      </w:r>
      <w:r>
        <w:rPr>
          <w:rFonts w:hint="eastAsia"/>
        </w:rPr>
        <w:t>9</w:t>
      </w:r>
      <w:r>
        <w:t>.</w:t>
      </w:r>
      <w:r>
        <w:rPr>
          <w:rFonts w:hint="eastAsia"/>
        </w:rPr>
        <w:t>3</w:t>
      </w:r>
      <w:r>
        <w:t>℃），01 月气温最低（</w:t>
      </w:r>
      <w:r>
        <w:rPr>
          <w:rFonts w:hint="eastAsia"/>
        </w:rPr>
        <w:t>5.5</w:t>
      </w:r>
      <w:r>
        <w:t>℃），近 20</w:t>
      </w:r>
      <w:r>
        <w:rPr>
          <w:rFonts w:hint="eastAsia"/>
        </w:rPr>
        <w:t>年极端最高气温出现在</w:t>
      </w:r>
      <w:r>
        <w:t xml:space="preserve"> 20</w:t>
      </w:r>
      <w:r>
        <w:rPr>
          <w:rFonts w:hint="eastAsia"/>
        </w:rPr>
        <w:t>09</w:t>
      </w:r>
      <w:r>
        <w:t>-0</w:t>
      </w:r>
      <w:r>
        <w:rPr>
          <w:rFonts w:hint="eastAsia"/>
        </w:rPr>
        <w:t>7</w:t>
      </w:r>
      <w:r>
        <w:t>-1</w:t>
      </w:r>
      <w:r>
        <w:rPr>
          <w:rFonts w:hint="eastAsia"/>
        </w:rPr>
        <w:t>9</w:t>
      </w:r>
      <w:r>
        <w:t>（</w:t>
      </w:r>
      <w:r>
        <w:rPr>
          <w:rFonts w:hint="eastAsia"/>
        </w:rPr>
        <w:t>39.2</w:t>
      </w:r>
      <w:r>
        <w:t>℃），近 20 年极端最低气温出现在 20</w:t>
      </w:r>
      <w:r>
        <w:rPr>
          <w:rFonts w:hint="eastAsia"/>
        </w:rPr>
        <w:t>13</w:t>
      </w:r>
      <w:r>
        <w:t>-0</w:t>
      </w:r>
      <w:r>
        <w:rPr>
          <w:rFonts w:hint="eastAsia"/>
        </w:rPr>
        <w:t>1</w:t>
      </w:r>
      <w:r>
        <w:t>-0</w:t>
      </w:r>
      <w:r>
        <w:rPr>
          <w:rFonts w:hint="eastAsia"/>
        </w:rPr>
        <w:t>4</w:t>
      </w:r>
      <w:r>
        <w:t>（-</w:t>
      </w:r>
      <w:r>
        <w:rPr>
          <w:rFonts w:hint="eastAsia"/>
        </w:rPr>
        <w:t>4.2</w:t>
      </w:r>
      <w:r>
        <w:t>℃）。</w:t>
      </w:r>
    </w:p>
    <w:p>
      <w:pPr>
        <w:pStyle w:val="2057"/>
        <w:spacing w:afterLines="0"/>
        <w:ind w:firstLine="0" w:firstLineChars="0"/>
      </w:pPr>
      <w:r>
        <w:drawing>
          <wp:inline distT="0" distB="0" distL="0" distR="0">
            <wp:extent cx="5274310" cy="3627755"/>
            <wp:effectExtent l="0" t="0" r="2540" b="1079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210"/>
                    <a:stretch>
                      <a:fillRect/>
                    </a:stretch>
                  </pic:blipFill>
                  <pic:spPr>
                    <a:xfrm>
                      <a:off x="0" y="0"/>
                      <a:ext cx="5274310" cy="3627755"/>
                    </a:xfrm>
                    <a:prstGeom prst="rect">
                      <a:avLst/>
                    </a:prstGeom>
                  </pic:spPr>
                </pic:pic>
              </a:graphicData>
            </a:graphic>
          </wp:inline>
        </w:drawing>
      </w:r>
    </w:p>
    <w:p>
      <w:pPr>
        <w:pStyle w:val="3609"/>
        <w:spacing w:line="240" w:lineRule="atLeast"/>
        <w:ind w:left="0"/>
      </w:pPr>
      <w:r>
        <w:rPr>
          <w:rFonts w:hint="eastAsia"/>
        </w:rPr>
        <w:t>岳阳</w:t>
      </w:r>
      <w:r>
        <w:t>月平均气温（单位：℃）</w:t>
      </w:r>
    </w:p>
    <w:p>
      <w:pPr>
        <w:ind w:firstLine="480"/>
      </w:pPr>
      <w:r>
        <w:rPr>
          <w:rFonts w:hint="eastAsia"/>
        </w:rPr>
        <w:t>（2）</w:t>
      </w:r>
      <w:r>
        <w:t>温度年际变化趋势与周期分析</w:t>
      </w:r>
    </w:p>
    <w:p>
      <w:pPr>
        <w:ind w:firstLine="480"/>
      </w:pPr>
      <w:r>
        <w:rPr>
          <w:rFonts w:hint="eastAsia"/>
        </w:rPr>
        <w:t>岳阳</w:t>
      </w:r>
      <w:r>
        <w:t>气象站近 20 年气温无明显变化趋势， 20</w:t>
      </w:r>
      <w:r>
        <w:rPr>
          <w:rFonts w:hint="eastAsia"/>
        </w:rPr>
        <w:t>07年、2013年、2018</w:t>
      </w:r>
      <w:r>
        <w:t xml:space="preserve"> 年年平均气温最高（</w:t>
      </w:r>
      <w:r>
        <w:rPr>
          <w:rFonts w:hint="eastAsia"/>
        </w:rPr>
        <w:t>18.5</w:t>
      </w:r>
      <w:r>
        <w:t>℃），20</w:t>
      </w:r>
      <w:r>
        <w:rPr>
          <w:rFonts w:hint="eastAsia"/>
        </w:rPr>
        <w:t>12</w:t>
      </w:r>
      <w:r>
        <w:t>年年平均气温最低（</w:t>
      </w:r>
      <w:r>
        <w:rPr>
          <w:rFonts w:hint="eastAsia"/>
        </w:rPr>
        <w:t>16.9</w:t>
      </w:r>
      <w:r>
        <w:t>℃），周期为 20 年。</w:t>
      </w:r>
    </w:p>
    <w:p>
      <w:pPr>
        <w:pStyle w:val="2057"/>
        <w:spacing w:afterLines="0"/>
        <w:ind w:firstLine="0" w:firstLineChars="0"/>
      </w:pPr>
      <w:r>
        <w:drawing>
          <wp:inline distT="0" distB="0" distL="0" distR="0">
            <wp:extent cx="5274310" cy="3446145"/>
            <wp:effectExtent l="0" t="0" r="2540" b="190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211"/>
                    <a:stretch>
                      <a:fillRect/>
                    </a:stretch>
                  </pic:blipFill>
                  <pic:spPr>
                    <a:xfrm>
                      <a:off x="0" y="0"/>
                      <a:ext cx="5274310" cy="3446145"/>
                    </a:xfrm>
                    <a:prstGeom prst="rect">
                      <a:avLst/>
                    </a:prstGeom>
                  </pic:spPr>
                </pic:pic>
              </a:graphicData>
            </a:graphic>
          </wp:inline>
        </w:drawing>
      </w:r>
    </w:p>
    <w:p>
      <w:pPr>
        <w:pStyle w:val="3609"/>
        <w:spacing w:line="240" w:lineRule="atLeast"/>
        <w:ind w:left="0"/>
      </w:pPr>
      <w:r>
        <w:rPr>
          <w:rFonts w:hint="eastAsia"/>
        </w:rPr>
        <w:t>岳阳</w:t>
      </w:r>
      <w:r>
        <w:t>（200</w:t>
      </w:r>
      <w:r>
        <w:rPr>
          <w:rFonts w:hint="eastAsia"/>
        </w:rPr>
        <w:t>2</w:t>
      </w:r>
      <w:r>
        <w:t>-20</w:t>
      </w:r>
      <w:r>
        <w:rPr>
          <w:rFonts w:hint="eastAsia"/>
        </w:rPr>
        <w:t>21</w:t>
      </w:r>
      <w:r>
        <w:t>）年平均</w:t>
      </w:r>
      <w:r>
        <w:rPr>
          <w:bCs/>
        </w:rPr>
        <w:t>气温</w:t>
      </w:r>
      <w:r>
        <w:t>（单位：℃，虚线为趋势线）</w:t>
      </w:r>
    </w:p>
    <w:p>
      <w:pPr>
        <w:ind w:firstLine="480"/>
      </w:pPr>
      <w:r>
        <w:t>4.气象站降水分析</w:t>
      </w:r>
    </w:p>
    <w:p>
      <w:pPr>
        <w:ind w:firstLine="480"/>
      </w:pPr>
      <w:r>
        <w:rPr>
          <w:rFonts w:hint="eastAsia"/>
        </w:rPr>
        <w:t>（1）</w:t>
      </w:r>
      <w:r>
        <w:t>月平均降水与极端降水</w:t>
      </w:r>
    </w:p>
    <w:p>
      <w:pPr>
        <w:ind w:firstLine="480"/>
      </w:pPr>
      <w:r>
        <w:rPr>
          <w:rFonts w:hint="eastAsia"/>
        </w:rPr>
        <w:t>岳阳</w:t>
      </w:r>
      <w:r>
        <w:t>气象站 0</w:t>
      </w:r>
      <w:r>
        <w:rPr>
          <w:rFonts w:hint="eastAsia"/>
        </w:rPr>
        <w:t>5</w:t>
      </w:r>
      <w:r>
        <w:t xml:space="preserve"> 月降水量最大（</w:t>
      </w:r>
      <w:r>
        <w:rPr>
          <w:rFonts w:hint="eastAsia"/>
        </w:rPr>
        <w:t>206.1</w:t>
      </w:r>
      <w:r>
        <w:t xml:space="preserve"> 毫米），12 月降水量最小（</w:t>
      </w:r>
      <w:r>
        <w:rPr>
          <w:rFonts w:hint="eastAsia"/>
        </w:rPr>
        <w:t>39</w:t>
      </w:r>
      <w:r>
        <w:t xml:space="preserve"> 毫米），近 20 年极端最大日降水出现在 20</w:t>
      </w:r>
      <w:r>
        <w:rPr>
          <w:rFonts w:hint="eastAsia"/>
        </w:rPr>
        <w:t>17</w:t>
      </w:r>
      <w:r>
        <w:t>-0</w:t>
      </w:r>
      <w:r>
        <w:rPr>
          <w:rFonts w:hint="eastAsia"/>
        </w:rPr>
        <w:t>6</w:t>
      </w:r>
      <w:r>
        <w:t>-</w:t>
      </w:r>
      <w:r>
        <w:rPr>
          <w:rFonts w:hint="eastAsia"/>
        </w:rPr>
        <w:t>23</w:t>
      </w:r>
      <w:r>
        <w:t>（</w:t>
      </w:r>
      <w:r>
        <w:rPr>
          <w:rFonts w:hint="eastAsia"/>
        </w:rPr>
        <w:t>239</w:t>
      </w:r>
      <w:r>
        <w:t>毫米）。</w:t>
      </w:r>
    </w:p>
    <w:p>
      <w:pPr>
        <w:pStyle w:val="2057"/>
        <w:spacing w:afterLines="0"/>
        <w:ind w:firstLine="0" w:firstLineChars="0"/>
      </w:pPr>
      <w:r>
        <w:drawing>
          <wp:inline distT="0" distB="0" distL="0" distR="0">
            <wp:extent cx="4417695" cy="3021330"/>
            <wp:effectExtent l="0" t="0" r="1905" b="762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212"/>
                    <a:stretch>
                      <a:fillRect/>
                    </a:stretch>
                  </pic:blipFill>
                  <pic:spPr>
                    <a:xfrm>
                      <a:off x="0" y="0"/>
                      <a:ext cx="4417695" cy="3021330"/>
                    </a:xfrm>
                    <a:prstGeom prst="rect">
                      <a:avLst/>
                    </a:prstGeom>
                  </pic:spPr>
                </pic:pic>
              </a:graphicData>
            </a:graphic>
          </wp:inline>
        </w:drawing>
      </w:r>
    </w:p>
    <w:p>
      <w:pPr>
        <w:pStyle w:val="3609"/>
        <w:spacing w:line="240" w:lineRule="atLeast"/>
        <w:ind w:left="0"/>
      </w:pPr>
      <w:r>
        <w:rPr>
          <w:rFonts w:hint="eastAsia"/>
        </w:rPr>
        <w:t>岳阳</w:t>
      </w:r>
      <w:r>
        <w:t>月平均降水量（单位：毫米）</w:t>
      </w:r>
    </w:p>
    <w:p>
      <w:pPr>
        <w:ind w:firstLine="480"/>
      </w:pPr>
      <w:r>
        <w:rPr>
          <w:rFonts w:hint="eastAsia"/>
        </w:rPr>
        <w:t>（2）</w:t>
      </w:r>
      <w:r>
        <w:t>降水年际变化趋势与周期分析</w:t>
      </w:r>
    </w:p>
    <w:p>
      <w:pPr>
        <w:ind w:firstLine="480"/>
      </w:pPr>
      <w:r>
        <w:rPr>
          <w:rFonts w:hint="eastAsia"/>
        </w:rPr>
        <w:t>岳阳</w:t>
      </w:r>
      <w:r>
        <w:t>气象站近 20 年年降水总量无明显变化趋势，20</w:t>
      </w:r>
      <w:r>
        <w:rPr>
          <w:rFonts w:hint="eastAsia"/>
        </w:rPr>
        <w:t>02</w:t>
      </w:r>
      <w:r>
        <w:t>年年总降水量最大（</w:t>
      </w:r>
      <w:r>
        <w:rPr>
          <w:rFonts w:hint="eastAsia"/>
        </w:rPr>
        <w:t>2110.2</w:t>
      </w:r>
      <w:r>
        <w:t>毫米），20</w:t>
      </w:r>
      <w:r>
        <w:rPr>
          <w:rFonts w:hint="eastAsia"/>
        </w:rPr>
        <w:t>11</w:t>
      </w:r>
      <w:r>
        <w:t>年年总降水量最小（</w:t>
      </w:r>
      <w:r>
        <w:rPr>
          <w:rFonts w:hint="eastAsia"/>
        </w:rPr>
        <w:t>921.6</w:t>
      </w:r>
      <w:r>
        <w:t xml:space="preserve">毫米），周期为 </w:t>
      </w:r>
      <w:r>
        <w:rPr>
          <w:rFonts w:hint="eastAsia"/>
        </w:rPr>
        <w:t>1</w:t>
      </w:r>
      <w:r>
        <w:t>0 年。</w:t>
      </w:r>
    </w:p>
    <w:p>
      <w:pPr>
        <w:ind w:firstLine="0" w:firstLineChars="0"/>
        <w:jc w:val="center"/>
      </w:pPr>
      <w:r>
        <w:drawing>
          <wp:inline distT="0" distB="0" distL="0" distR="0">
            <wp:extent cx="4223385" cy="2834640"/>
            <wp:effectExtent l="0" t="0" r="5715" b="381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213"/>
                    <a:stretch>
                      <a:fillRect/>
                    </a:stretch>
                  </pic:blipFill>
                  <pic:spPr>
                    <a:xfrm>
                      <a:off x="0" y="0"/>
                      <a:ext cx="4223385" cy="2834640"/>
                    </a:xfrm>
                    <a:prstGeom prst="rect">
                      <a:avLst/>
                    </a:prstGeom>
                  </pic:spPr>
                </pic:pic>
              </a:graphicData>
            </a:graphic>
          </wp:inline>
        </w:drawing>
      </w:r>
    </w:p>
    <w:p>
      <w:pPr>
        <w:pStyle w:val="3609"/>
        <w:spacing w:line="240" w:lineRule="atLeast"/>
        <w:ind w:left="0"/>
      </w:pPr>
      <w:r>
        <w:rPr>
          <w:rFonts w:hint="eastAsia"/>
        </w:rPr>
        <w:t>岳阳</w:t>
      </w:r>
      <w:r>
        <w:t>（20</w:t>
      </w:r>
      <w:r>
        <w:rPr>
          <w:rFonts w:hint="eastAsia"/>
        </w:rPr>
        <w:t>02</w:t>
      </w:r>
      <w:r>
        <w:t>-20</w:t>
      </w:r>
      <w:r>
        <w:rPr>
          <w:rFonts w:hint="eastAsia"/>
        </w:rPr>
        <w:t>21</w:t>
      </w:r>
      <w:r>
        <w:t>）年总降水量</w:t>
      </w:r>
      <w:r>
        <w:rPr>
          <w:rFonts w:hint="eastAsia"/>
        </w:rPr>
        <w:t>变化</w:t>
      </w:r>
      <w:r>
        <w:t>（单位：毫米，虚线为趋势线）</w:t>
      </w:r>
    </w:p>
    <w:p>
      <w:pPr>
        <w:ind w:firstLine="480"/>
      </w:pPr>
      <w:r>
        <w:t>5.气象站日照分析</w:t>
      </w:r>
    </w:p>
    <w:p>
      <w:pPr>
        <w:ind w:firstLine="480"/>
      </w:pPr>
      <w:r>
        <w:rPr>
          <w:rFonts w:hint="eastAsia"/>
        </w:rPr>
        <w:t>（1）</w:t>
      </w:r>
      <w:r>
        <w:t>月日照时数</w:t>
      </w:r>
    </w:p>
    <w:p>
      <w:pPr>
        <w:ind w:firstLine="480"/>
      </w:pPr>
      <w:r>
        <w:rPr>
          <w:rFonts w:hint="eastAsia"/>
        </w:rPr>
        <w:t>岳阳</w:t>
      </w:r>
      <w:r>
        <w:t>气象站 07 月日照最长（</w:t>
      </w:r>
      <w:r>
        <w:rPr>
          <w:rFonts w:hint="eastAsia"/>
        </w:rPr>
        <w:t>230.3</w:t>
      </w:r>
      <w:r>
        <w:t xml:space="preserve"> 小时）， 0</w:t>
      </w:r>
      <w:r>
        <w:rPr>
          <w:rFonts w:hint="eastAsia"/>
        </w:rPr>
        <w:t>1</w:t>
      </w:r>
      <w:r>
        <w:t xml:space="preserve"> 月日照最短（</w:t>
      </w:r>
      <w:r>
        <w:rPr>
          <w:rFonts w:hint="eastAsia"/>
        </w:rPr>
        <w:t>81.5</w:t>
      </w:r>
      <w:r>
        <w:t>小时）。</w:t>
      </w:r>
    </w:p>
    <w:p>
      <w:pPr>
        <w:pStyle w:val="2057"/>
        <w:spacing w:afterLines="0"/>
        <w:ind w:firstLine="0" w:firstLineChars="0"/>
      </w:pPr>
      <w:r>
        <w:drawing>
          <wp:inline distT="0" distB="0" distL="0" distR="0">
            <wp:extent cx="4648835" cy="3257550"/>
            <wp:effectExtent l="0" t="0" r="1841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14"/>
                    <a:stretch>
                      <a:fillRect/>
                    </a:stretch>
                  </pic:blipFill>
                  <pic:spPr>
                    <a:xfrm>
                      <a:off x="0" y="0"/>
                      <a:ext cx="4648835" cy="3257550"/>
                    </a:xfrm>
                    <a:prstGeom prst="rect">
                      <a:avLst/>
                    </a:prstGeom>
                  </pic:spPr>
                </pic:pic>
              </a:graphicData>
            </a:graphic>
          </wp:inline>
        </w:drawing>
      </w:r>
    </w:p>
    <w:p>
      <w:pPr>
        <w:pStyle w:val="3609"/>
        <w:spacing w:line="240" w:lineRule="atLeast"/>
        <w:ind w:left="0"/>
      </w:pPr>
      <w:r>
        <w:t xml:space="preserve"> </w:t>
      </w:r>
      <w:r>
        <w:rPr>
          <w:rFonts w:hint="eastAsia"/>
        </w:rPr>
        <w:t xml:space="preserve">  岳阳近二十年（2002-</w:t>
      </w:r>
      <w:r>
        <w:rPr>
          <w:rFonts w:hint="eastAsia"/>
          <w:bCs/>
        </w:rPr>
        <w:t>2021</w:t>
      </w:r>
      <w:r>
        <w:rPr>
          <w:rFonts w:hint="eastAsia"/>
        </w:rPr>
        <w:t>）累计年月总</w:t>
      </w:r>
      <w:r>
        <w:t>日照时数</w:t>
      </w:r>
      <w:r>
        <w:rPr>
          <w:rFonts w:hint="eastAsia"/>
        </w:rPr>
        <w:t>变化</w:t>
      </w:r>
    </w:p>
    <w:p>
      <w:pPr>
        <w:ind w:firstLine="480"/>
      </w:pPr>
      <w:r>
        <w:rPr>
          <w:rFonts w:hint="eastAsia"/>
        </w:rPr>
        <w:t>（2）</w:t>
      </w:r>
      <w:r>
        <w:t>日照时数年际变化趋势与周期分析</w:t>
      </w:r>
    </w:p>
    <w:p>
      <w:pPr>
        <w:ind w:firstLine="480"/>
      </w:pPr>
      <w:r>
        <w:rPr>
          <w:rFonts w:hint="eastAsia"/>
        </w:rPr>
        <w:t>岳阳</w:t>
      </w:r>
      <w:r>
        <w:t>气象站近 20 年年日照时数呈现</w:t>
      </w:r>
      <w:r>
        <w:rPr>
          <w:rFonts w:hint="eastAsia"/>
        </w:rPr>
        <w:t>下降</w:t>
      </w:r>
      <w:r>
        <w:t>趋势</w:t>
      </w:r>
      <w:r>
        <w:rPr>
          <w:rFonts w:hint="eastAsia"/>
        </w:rPr>
        <w:t>，</w:t>
      </w:r>
      <w:r>
        <w:t>20</w:t>
      </w:r>
      <w:r>
        <w:rPr>
          <w:rFonts w:hint="eastAsia"/>
        </w:rPr>
        <w:t>13</w:t>
      </w:r>
      <w:r>
        <w:t xml:space="preserve"> 年年日照时数最长（</w:t>
      </w:r>
      <w:r>
        <w:rPr>
          <w:rFonts w:hint="eastAsia"/>
        </w:rPr>
        <w:t>1981.2</w:t>
      </w:r>
      <w:r>
        <w:t>小时），20</w:t>
      </w:r>
      <w:r>
        <w:rPr>
          <w:rFonts w:hint="eastAsia"/>
        </w:rPr>
        <w:t>20</w:t>
      </w:r>
      <w:r>
        <w:t xml:space="preserve"> 年年日照时数最短（</w:t>
      </w:r>
      <w:r>
        <w:rPr>
          <w:rFonts w:hint="eastAsia"/>
        </w:rPr>
        <w:t>1407.8</w:t>
      </w:r>
      <w:r>
        <w:t>小时）。</w:t>
      </w:r>
    </w:p>
    <w:p>
      <w:pPr>
        <w:pStyle w:val="2057"/>
        <w:spacing w:afterLines="0"/>
        <w:ind w:firstLine="0" w:firstLineChars="0"/>
      </w:pPr>
      <w:r>
        <w:drawing>
          <wp:inline distT="0" distB="0" distL="0" distR="0">
            <wp:extent cx="4428490" cy="2992755"/>
            <wp:effectExtent l="0" t="0" r="10160" b="1714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215"/>
                    <a:stretch>
                      <a:fillRect/>
                    </a:stretch>
                  </pic:blipFill>
                  <pic:spPr>
                    <a:xfrm>
                      <a:off x="0" y="0"/>
                      <a:ext cx="4428490" cy="2992755"/>
                    </a:xfrm>
                    <a:prstGeom prst="rect">
                      <a:avLst/>
                    </a:prstGeom>
                  </pic:spPr>
                </pic:pic>
              </a:graphicData>
            </a:graphic>
          </wp:inline>
        </w:drawing>
      </w:r>
    </w:p>
    <w:p>
      <w:pPr>
        <w:pStyle w:val="3609"/>
        <w:spacing w:line="240" w:lineRule="atLeast"/>
        <w:ind w:left="0"/>
      </w:pPr>
      <w:r>
        <w:t xml:space="preserve"> </w:t>
      </w:r>
      <w:r>
        <w:rPr>
          <w:rFonts w:hint="eastAsia"/>
        </w:rPr>
        <w:t>岳阳</w:t>
      </w:r>
      <w:r>
        <w:t>（200</w:t>
      </w:r>
      <w:r>
        <w:rPr>
          <w:rFonts w:hint="eastAsia"/>
        </w:rPr>
        <w:t>2</w:t>
      </w:r>
      <w:r>
        <w:t>-20</w:t>
      </w:r>
      <w:r>
        <w:rPr>
          <w:rFonts w:hint="eastAsia"/>
        </w:rPr>
        <w:t>21</w:t>
      </w:r>
      <w:r>
        <w:t>）年日照时长（单位：小时，虚线为趋势线）</w:t>
      </w:r>
    </w:p>
    <w:p>
      <w:pPr>
        <w:ind w:firstLine="480"/>
      </w:pPr>
      <w:r>
        <w:t>6.气象站相对湿度分析</w:t>
      </w:r>
    </w:p>
    <w:p>
      <w:pPr>
        <w:ind w:firstLine="480"/>
      </w:pPr>
      <w:r>
        <w:rPr>
          <w:rFonts w:hint="eastAsia"/>
        </w:rPr>
        <w:t>（1）月相对湿度分析</w:t>
      </w:r>
    </w:p>
    <w:p>
      <w:pPr>
        <w:ind w:firstLine="480"/>
      </w:pPr>
      <w:r>
        <w:rPr>
          <w:rFonts w:hint="eastAsia"/>
        </w:rPr>
        <w:t>岳阳气象站 06月平均相对湿度最大（79.4%），12 月平均相对湿度最小（71.3%）。</w:t>
      </w:r>
    </w:p>
    <w:p>
      <w:pPr>
        <w:pStyle w:val="2"/>
        <w:ind w:firstLine="0" w:firstLineChars="0"/>
      </w:pPr>
      <w:r>
        <w:drawing>
          <wp:inline distT="0" distB="0" distL="0" distR="0">
            <wp:extent cx="3975100" cy="2661920"/>
            <wp:effectExtent l="0" t="0" r="6350" b="508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216"/>
                    <a:stretch>
                      <a:fillRect/>
                    </a:stretch>
                  </pic:blipFill>
                  <pic:spPr>
                    <a:xfrm>
                      <a:off x="0" y="0"/>
                      <a:ext cx="3975100" cy="2661920"/>
                    </a:xfrm>
                    <a:prstGeom prst="rect">
                      <a:avLst/>
                    </a:prstGeom>
                  </pic:spPr>
                </pic:pic>
              </a:graphicData>
            </a:graphic>
          </wp:inline>
        </w:drawing>
      </w:r>
    </w:p>
    <w:p>
      <w:pPr>
        <w:pStyle w:val="3609"/>
        <w:spacing w:line="240" w:lineRule="atLeast"/>
        <w:ind w:left="0"/>
      </w:pPr>
      <w:r>
        <w:t xml:space="preserve"> </w:t>
      </w:r>
      <w:r>
        <w:rPr>
          <w:rFonts w:hint="eastAsia"/>
        </w:rPr>
        <w:t>岳阳近</w:t>
      </w:r>
      <w:r>
        <w:rPr>
          <w:rFonts w:hint="eastAsia" w:ascii="Times New Roman" w:hAnsi="Times New Roman" w:cs="Times New Roman"/>
        </w:rPr>
        <w:t>二十</w:t>
      </w:r>
      <w:r>
        <w:rPr>
          <w:rFonts w:hint="eastAsia"/>
        </w:rPr>
        <w:t>年（2002~2021）累</w:t>
      </w:r>
      <w:r>
        <w:rPr>
          <w:rFonts w:hint="eastAsia"/>
          <w:bCs/>
        </w:rPr>
        <w:t>年</w:t>
      </w:r>
      <w:r>
        <w:rPr>
          <w:bCs/>
        </w:rPr>
        <w:t>月</w:t>
      </w:r>
      <w:r>
        <w:t>平均相对湿度（纵轴为百分比）</w:t>
      </w:r>
    </w:p>
    <w:p>
      <w:pPr>
        <w:ind w:firstLine="480"/>
      </w:pPr>
      <w:r>
        <w:rPr>
          <w:rFonts w:hint="eastAsia"/>
        </w:rPr>
        <w:t>（2）</w:t>
      </w:r>
      <w:r>
        <w:t>相对湿度年际变化趋势与周期分析</w:t>
      </w:r>
    </w:p>
    <w:p>
      <w:pPr>
        <w:ind w:firstLine="480"/>
      </w:pPr>
      <w:r>
        <w:rPr>
          <w:rFonts w:hint="eastAsia"/>
        </w:rPr>
        <w:t>岳阳</w:t>
      </w:r>
      <w:r>
        <w:t>气象站近 20 年年平均相对湿度呈现</w:t>
      </w:r>
      <w:r>
        <w:rPr>
          <w:rFonts w:hint="eastAsia"/>
        </w:rPr>
        <w:t>上升</w:t>
      </w:r>
      <w:r>
        <w:t>趋势</w:t>
      </w:r>
      <w:r>
        <w:rPr>
          <w:rFonts w:hint="eastAsia"/>
        </w:rPr>
        <w:t>，</w:t>
      </w:r>
      <w:r>
        <w:t>20</w:t>
      </w:r>
      <w:r>
        <w:rPr>
          <w:rFonts w:hint="eastAsia"/>
        </w:rPr>
        <w:t>20</w:t>
      </w:r>
      <w:r>
        <w:t>年年平均相对湿度最大（</w:t>
      </w:r>
      <w:r>
        <w:rPr>
          <w:rFonts w:hint="eastAsia"/>
        </w:rPr>
        <w:t>81</w:t>
      </w:r>
      <w:r>
        <w:t>.0%），20</w:t>
      </w:r>
      <w:r>
        <w:rPr>
          <w:rFonts w:hint="eastAsia"/>
        </w:rPr>
        <w:t>04</w:t>
      </w:r>
      <w:r>
        <w:t xml:space="preserve"> 年</w:t>
      </w:r>
      <w:r>
        <w:rPr>
          <w:rFonts w:hint="eastAsia"/>
        </w:rPr>
        <w:t>、</w:t>
      </w:r>
      <w:r>
        <w:t>20</w:t>
      </w:r>
      <w:r>
        <w:rPr>
          <w:rFonts w:hint="eastAsia"/>
        </w:rPr>
        <w:t>05</w:t>
      </w:r>
      <w:r>
        <w:t xml:space="preserve"> 年</w:t>
      </w:r>
      <w:r>
        <w:rPr>
          <w:rFonts w:hint="eastAsia"/>
        </w:rPr>
        <w:t>、</w:t>
      </w:r>
      <w:r>
        <w:t>20</w:t>
      </w:r>
      <w:r>
        <w:rPr>
          <w:rFonts w:hint="eastAsia"/>
        </w:rPr>
        <w:t>11</w:t>
      </w:r>
      <w:r>
        <w:t xml:space="preserve"> 年年平均相对湿度最小（</w:t>
      </w:r>
      <w:r>
        <w:rPr>
          <w:rFonts w:hint="eastAsia"/>
        </w:rPr>
        <w:t>70.0</w:t>
      </w:r>
      <w:r>
        <w:t>%）。</w:t>
      </w:r>
    </w:p>
    <w:p>
      <w:pPr>
        <w:pStyle w:val="2057"/>
        <w:spacing w:afterLines="0"/>
        <w:ind w:firstLine="0" w:firstLineChars="0"/>
      </w:pPr>
      <w:r>
        <w:drawing>
          <wp:inline distT="0" distB="0" distL="0" distR="0">
            <wp:extent cx="4607560" cy="3096260"/>
            <wp:effectExtent l="0" t="0" r="2540" b="889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217"/>
                    <a:stretch>
                      <a:fillRect/>
                    </a:stretch>
                  </pic:blipFill>
                  <pic:spPr>
                    <a:xfrm>
                      <a:off x="0" y="0"/>
                      <a:ext cx="4607560" cy="3096260"/>
                    </a:xfrm>
                    <a:prstGeom prst="rect">
                      <a:avLst/>
                    </a:prstGeom>
                  </pic:spPr>
                </pic:pic>
              </a:graphicData>
            </a:graphic>
          </wp:inline>
        </w:drawing>
      </w:r>
    </w:p>
    <w:p>
      <w:pPr>
        <w:pStyle w:val="3609"/>
        <w:spacing w:line="240" w:lineRule="atLeast"/>
        <w:ind w:left="0"/>
      </w:pPr>
      <w:r>
        <w:rPr>
          <w:rFonts w:hint="eastAsia"/>
        </w:rPr>
        <w:t>岳阳</w:t>
      </w:r>
      <w:r>
        <w:t>（200</w:t>
      </w:r>
      <w:r>
        <w:rPr>
          <w:rFonts w:hint="eastAsia"/>
        </w:rPr>
        <w:t>2</w:t>
      </w:r>
      <w:r>
        <w:t>-</w:t>
      </w:r>
      <w:r>
        <w:rPr>
          <w:rFonts w:ascii="Times New Roman" w:hAnsi="Times New Roman" w:cs="Times New Roman"/>
        </w:rPr>
        <w:t>20</w:t>
      </w:r>
      <w:r>
        <w:rPr>
          <w:rFonts w:hint="eastAsia" w:ascii="Times New Roman" w:hAnsi="Times New Roman" w:cs="Times New Roman"/>
        </w:rPr>
        <w:t>21</w:t>
      </w:r>
      <w:r>
        <w:t>）年平均</w:t>
      </w:r>
      <w:r>
        <w:rPr>
          <w:bCs/>
        </w:rPr>
        <w:t>相对湿度</w:t>
      </w:r>
      <w:r>
        <w:t>（纵轴为百分比，虚线为趋势线）</w:t>
      </w:r>
    </w:p>
    <w:p>
      <w:pPr>
        <w:pStyle w:val="456"/>
        <w:ind w:firstLine="482"/>
      </w:pPr>
      <w:r>
        <w:rPr>
          <w:rFonts w:hint="eastAsia"/>
          <w:lang w:val="en-US"/>
        </w:rPr>
        <w:t>基准年气象资料统计</w:t>
      </w:r>
    </w:p>
    <w:p>
      <w:pPr>
        <w:ind w:firstLine="480"/>
      </w:pPr>
      <w:r>
        <w:rPr>
          <w:rFonts w:hint="eastAsia"/>
        </w:rPr>
        <w:t>项目位于岳阳市云溪港区道仁矶港区</w:t>
      </w:r>
      <w:r>
        <w:t>作业区范围</w:t>
      </w:r>
      <w:r>
        <w:rPr>
          <w:rFonts w:hint="eastAsia"/>
        </w:rPr>
        <w:t>，厂址距岳阳市气象台（编号为57584，经纬度为：113.08</w:t>
      </w:r>
      <w:r>
        <w:t>E</w:t>
      </w:r>
      <w:r>
        <w:rPr>
          <w:rFonts w:hint="eastAsia"/>
        </w:rPr>
        <w:t>，29.38</w:t>
      </w:r>
      <w:r>
        <w:t>N</w:t>
      </w:r>
      <w:r>
        <w:rPr>
          <w:rFonts w:hint="eastAsia"/>
        </w:rPr>
        <w:t>）约18km。</w:t>
      </w:r>
    </w:p>
    <w:p>
      <w:pPr>
        <w:ind w:firstLine="480"/>
      </w:pPr>
      <w:r>
        <w:rPr>
          <w:rFonts w:hint="eastAsia"/>
        </w:rPr>
        <w:t>本评价按《环境影响评价技术导则-大气环境》（HJ2.2-2018）有关要求，收集了岳阳市气象台20</w:t>
      </w:r>
      <w:r>
        <w:t>2</w:t>
      </w:r>
      <w:r>
        <w:rPr>
          <w:rFonts w:hint="eastAsia"/>
        </w:rPr>
        <w:t>1年连续常规地面观测资料和探空气象观测资料。</w:t>
      </w:r>
    </w:p>
    <w:p>
      <w:pPr>
        <w:pStyle w:val="3586"/>
        <w:ind w:left="0"/>
      </w:pPr>
      <w:r>
        <w:t xml:space="preserve"> 观测气象数据信息</w:t>
      </w:r>
    </w:p>
    <w:tbl>
      <w:tblPr>
        <w:tblStyle w:val="87"/>
        <w:tblW w:w="501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252"/>
        <w:gridCol w:w="1258"/>
        <w:gridCol w:w="1233"/>
        <w:gridCol w:w="914"/>
        <w:gridCol w:w="37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63" w:hRule="atLeast"/>
          <w:jc w:val="center"/>
        </w:trPr>
        <w:tc>
          <w:tcPr>
            <w:tcW w:w="748"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气象站类型</w:t>
            </w:r>
          </w:p>
        </w:tc>
        <w:tc>
          <w:tcPr>
            <w:tcW w:w="752"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气象站编号</w:t>
            </w:r>
          </w:p>
        </w:tc>
        <w:tc>
          <w:tcPr>
            <w:tcW w:w="73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相对距离/km</w:t>
            </w:r>
          </w:p>
        </w:tc>
        <w:tc>
          <w:tcPr>
            <w:tcW w:w="54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数据年份</w:t>
            </w:r>
          </w:p>
        </w:tc>
        <w:tc>
          <w:tcPr>
            <w:tcW w:w="221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气象要素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748"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地面数据</w:t>
            </w:r>
          </w:p>
        </w:tc>
        <w:tc>
          <w:tcPr>
            <w:tcW w:w="752"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57584</w:t>
            </w:r>
          </w:p>
        </w:tc>
        <w:tc>
          <w:tcPr>
            <w:tcW w:w="73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18</w:t>
            </w:r>
          </w:p>
        </w:tc>
        <w:tc>
          <w:tcPr>
            <w:tcW w:w="54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2021</w:t>
            </w:r>
          </w:p>
        </w:tc>
        <w:tc>
          <w:tcPr>
            <w:tcW w:w="221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风向、风速、总云、低云、干球温度气温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65" w:hRule="atLeast"/>
          <w:jc w:val="center"/>
        </w:trPr>
        <w:tc>
          <w:tcPr>
            <w:tcW w:w="748"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高空数据</w:t>
            </w:r>
          </w:p>
        </w:tc>
        <w:tc>
          <w:tcPr>
            <w:tcW w:w="752"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57584</w:t>
            </w:r>
          </w:p>
        </w:tc>
        <w:tc>
          <w:tcPr>
            <w:tcW w:w="73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18</w:t>
            </w:r>
          </w:p>
        </w:tc>
        <w:tc>
          <w:tcPr>
            <w:tcW w:w="54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2021</w:t>
            </w:r>
          </w:p>
        </w:tc>
        <w:tc>
          <w:tcPr>
            <w:tcW w:w="221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层数、气压、离地高度、干球温度</w:t>
            </w:r>
          </w:p>
        </w:tc>
      </w:tr>
    </w:tbl>
    <w:p>
      <w:pPr>
        <w:ind w:firstLine="480" w:firstLineChars="0"/>
      </w:pPr>
      <w:r>
        <w:rPr>
          <w:rFonts w:ascii="仿宋_GB2312"/>
        </w:rPr>
        <w:t>（</w:t>
      </w:r>
      <w:r>
        <w:t>1</w:t>
      </w:r>
      <w:r>
        <w:rPr>
          <w:rFonts w:ascii="仿宋_GB2312"/>
        </w:rPr>
        <w:t xml:space="preserve">）气温 </w:t>
      </w:r>
      <w:r>
        <w:rPr>
          <w:rFonts w:hint="eastAsia" w:ascii="仿宋_GB2312"/>
        </w:rPr>
        <w:t>岳阳市</w:t>
      </w:r>
      <w:r>
        <w:rPr>
          <w:rFonts w:ascii="仿宋_GB2312"/>
        </w:rPr>
        <w:t>的年平均温度统计资料见下表和下图。</w:t>
      </w:r>
    </w:p>
    <w:p>
      <w:pPr>
        <w:pStyle w:val="3586"/>
        <w:ind w:left="0"/>
        <w:rPr>
          <w:lang w:val="zh-CN"/>
        </w:rPr>
      </w:pPr>
      <w:r>
        <w:t>月平均温度统计表</w:t>
      </w:r>
      <w:r>
        <w:tab/>
      </w:r>
      <w:r>
        <w:t>单位：℃</w:t>
      </w:r>
    </w:p>
    <w:tbl>
      <w:tblPr>
        <w:tblStyle w:val="87"/>
        <w:tblW w:w="4993" w:type="pct"/>
        <w:tblInd w:w="0" w:type="dxa"/>
        <w:tblLayout w:type="autofit"/>
        <w:tblCellMar>
          <w:top w:w="0" w:type="dxa"/>
          <w:left w:w="0" w:type="dxa"/>
          <w:bottom w:w="0" w:type="dxa"/>
          <w:right w:w="0" w:type="dxa"/>
        </w:tblCellMar>
      </w:tblPr>
      <w:tblGrid>
        <w:gridCol w:w="639"/>
        <w:gridCol w:w="638"/>
        <w:gridCol w:w="642"/>
        <w:gridCol w:w="642"/>
        <w:gridCol w:w="639"/>
        <w:gridCol w:w="639"/>
        <w:gridCol w:w="642"/>
        <w:gridCol w:w="640"/>
        <w:gridCol w:w="639"/>
        <w:gridCol w:w="640"/>
        <w:gridCol w:w="642"/>
        <w:gridCol w:w="640"/>
        <w:gridCol w:w="642"/>
      </w:tblGrid>
      <w:tr>
        <w:tblPrEx>
          <w:tblCellMar>
            <w:top w:w="0" w:type="dxa"/>
            <w:left w:w="0" w:type="dxa"/>
            <w:bottom w:w="0" w:type="dxa"/>
            <w:right w:w="0" w:type="dxa"/>
          </w:tblCellMar>
        </w:tblPrEx>
        <w:trPr>
          <w:trHeight w:val="360" w:hRule="exact"/>
        </w:trPr>
        <w:tc>
          <w:tcPr>
            <w:tcW w:w="384" w:type="pct"/>
            <w:tcBorders>
              <w:top w:val="single" w:color="000000" w:sz="12" w:space="0"/>
              <w:left w:val="single" w:color="000000" w:sz="12" w:space="0"/>
              <w:bottom w:val="single" w:color="000000" w:sz="4" w:space="0"/>
              <w:right w:val="single" w:color="000000" w:sz="4" w:space="0"/>
            </w:tcBorders>
          </w:tcPr>
          <w:p>
            <w:pPr>
              <w:tabs>
                <w:tab w:val="clear" w:pos="480"/>
              </w:tabs>
              <w:kinsoku w:val="0"/>
              <w:overflowPunct w:val="0"/>
              <w:autoSpaceDE w:val="0"/>
              <w:autoSpaceDN w:val="0"/>
              <w:adjustRightInd w:val="0"/>
              <w:spacing w:line="273" w:lineRule="exact"/>
              <w:ind w:left="127" w:firstLine="0" w:firstLineChars="0"/>
              <w:jc w:val="left"/>
              <w:rPr>
                <w:kern w:val="0"/>
              </w:rPr>
            </w:pPr>
            <w:r>
              <w:rPr>
                <w:spacing w:val="1"/>
                <w:kern w:val="0"/>
                <w:sz w:val="21"/>
                <w:szCs w:val="21"/>
              </w:rPr>
              <w:t>月份</w:t>
            </w:r>
          </w:p>
        </w:tc>
        <w:tc>
          <w:tcPr>
            <w:tcW w:w="383" w:type="pct"/>
            <w:tcBorders>
              <w:top w:val="single" w:color="000000" w:sz="12"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line="288" w:lineRule="exact"/>
              <w:ind w:left="158" w:firstLine="0" w:firstLineChars="0"/>
              <w:jc w:val="left"/>
              <w:rPr>
                <w:kern w:val="0"/>
              </w:rPr>
            </w:pPr>
            <w:r>
              <w:rPr>
                <w:b/>
                <w:bCs/>
                <w:kern w:val="0"/>
                <w:sz w:val="21"/>
                <w:szCs w:val="21"/>
              </w:rPr>
              <w:t xml:space="preserve">1 </w:t>
            </w:r>
            <w:r>
              <w:rPr>
                <w:kern w:val="0"/>
                <w:sz w:val="21"/>
                <w:szCs w:val="21"/>
              </w:rPr>
              <w:t>月</w:t>
            </w:r>
          </w:p>
        </w:tc>
        <w:tc>
          <w:tcPr>
            <w:tcW w:w="385" w:type="pct"/>
            <w:tcBorders>
              <w:top w:val="single" w:color="000000" w:sz="12"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line="288" w:lineRule="exact"/>
              <w:ind w:left="158" w:firstLine="0" w:firstLineChars="0"/>
              <w:jc w:val="left"/>
              <w:rPr>
                <w:kern w:val="0"/>
              </w:rPr>
            </w:pPr>
            <w:r>
              <w:rPr>
                <w:b/>
                <w:bCs/>
                <w:kern w:val="0"/>
                <w:sz w:val="21"/>
                <w:szCs w:val="21"/>
              </w:rPr>
              <w:t xml:space="preserve">2 </w:t>
            </w:r>
            <w:r>
              <w:rPr>
                <w:kern w:val="0"/>
                <w:sz w:val="21"/>
                <w:szCs w:val="21"/>
              </w:rPr>
              <w:t>月</w:t>
            </w:r>
          </w:p>
        </w:tc>
        <w:tc>
          <w:tcPr>
            <w:tcW w:w="385" w:type="pct"/>
            <w:tcBorders>
              <w:top w:val="single" w:color="000000" w:sz="12"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line="288" w:lineRule="exact"/>
              <w:ind w:left="158" w:firstLine="0" w:firstLineChars="0"/>
              <w:jc w:val="left"/>
              <w:rPr>
                <w:kern w:val="0"/>
              </w:rPr>
            </w:pPr>
            <w:r>
              <w:rPr>
                <w:b/>
                <w:bCs/>
                <w:kern w:val="0"/>
                <w:sz w:val="21"/>
                <w:szCs w:val="21"/>
              </w:rPr>
              <w:t xml:space="preserve">3 </w:t>
            </w:r>
            <w:r>
              <w:rPr>
                <w:kern w:val="0"/>
                <w:sz w:val="21"/>
                <w:szCs w:val="21"/>
              </w:rPr>
              <w:t>月</w:t>
            </w:r>
          </w:p>
        </w:tc>
        <w:tc>
          <w:tcPr>
            <w:tcW w:w="383" w:type="pct"/>
            <w:tcBorders>
              <w:top w:val="single" w:color="000000" w:sz="12"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line="288" w:lineRule="exact"/>
              <w:ind w:left="158" w:firstLine="0" w:firstLineChars="0"/>
              <w:jc w:val="left"/>
              <w:rPr>
                <w:kern w:val="0"/>
              </w:rPr>
            </w:pPr>
            <w:r>
              <w:rPr>
                <w:b/>
                <w:bCs/>
                <w:kern w:val="0"/>
                <w:sz w:val="21"/>
                <w:szCs w:val="21"/>
              </w:rPr>
              <w:t xml:space="preserve">4 </w:t>
            </w:r>
            <w:r>
              <w:rPr>
                <w:kern w:val="0"/>
                <w:sz w:val="21"/>
                <w:szCs w:val="21"/>
              </w:rPr>
              <w:t>月</w:t>
            </w:r>
          </w:p>
        </w:tc>
        <w:tc>
          <w:tcPr>
            <w:tcW w:w="383" w:type="pct"/>
            <w:tcBorders>
              <w:top w:val="single" w:color="000000" w:sz="12"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line="288" w:lineRule="exact"/>
              <w:ind w:left="158" w:firstLine="0" w:firstLineChars="0"/>
              <w:jc w:val="left"/>
              <w:rPr>
                <w:kern w:val="0"/>
              </w:rPr>
            </w:pPr>
            <w:r>
              <w:rPr>
                <w:b/>
                <w:bCs/>
                <w:kern w:val="0"/>
                <w:sz w:val="21"/>
                <w:szCs w:val="21"/>
              </w:rPr>
              <w:t xml:space="preserve">5 </w:t>
            </w:r>
            <w:r>
              <w:rPr>
                <w:kern w:val="0"/>
                <w:sz w:val="21"/>
                <w:szCs w:val="21"/>
              </w:rPr>
              <w:t>月</w:t>
            </w:r>
          </w:p>
        </w:tc>
        <w:tc>
          <w:tcPr>
            <w:tcW w:w="385" w:type="pct"/>
            <w:tcBorders>
              <w:top w:val="single" w:color="000000" w:sz="12"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line="288" w:lineRule="exact"/>
              <w:ind w:left="159" w:firstLine="0" w:firstLineChars="0"/>
              <w:jc w:val="left"/>
              <w:rPr>
                <w:kern w:val="0"/>
              </w:rPr>
            </w:pPr>
            <w:r>
              <w:rPr>
                <w:b/>
                <w:bCs/>
                <w:kern w:val="0"/>
                <w:sz w:val="21"/>
                <w:szCs w:val="21"/>
              </w:rPr>
              <w:t xml:space="preserve">6 </w:t>
            </w:r>
            <w:r>
              <w:rPr>
                <w:kern w:val="0"/>
                <w:sz w:val="21"/>
                <w:szCs w:val="21"/>
              </w:rPr>
              <w:t>月</w:t>
            </w:r>
          </w:p>
        </w:tc>
        <w:tc>
          <w:tcPr>
            <w:tcW w:w="384" w:type="pct"/>
            <w:tcBorders>
              <w:top w:val="single" w:color="000000" w:sz="12"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line="288" w:lineRule="exact"/>
              <w:ind w:left="158" w:firstLine="0" w:firstLineChars="0"/>
              <w:jc w:val="left"/>
              <w:rPr>
                <w:kern w:val="0"/>
              </w:rPr>
            </w:pPr>
            <w:r>
              <w:rPr>
                <w:b/>
                <w:bCs/>
                <w:kern w:val="0"/>
                <w:sz w:val="21"/>
                <w:szCs w:val="21"/>
              </w:rPr>
              <w:t xml:space="preserve">7 </w:t>
            </w:r>
            <w:r>
              <w:rPr>
                <w:kern w:val="0"/>
                <w:sz w:val="21"/>
                <w:szCs w:val="21"/>
              </w:rPr>
              <w:t>月</w:t>
            </w:r>
          </w:p>
        </w:tc>
        <w:tc>
          <w:tcPr>
            <w:tcW w:w="383" w:type="pct"/>
            <w:tcBorders>
              <w:top w:val="single" w:color="000000" w:sz="12"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line="288" w:lineRule="exact"/>
              <w:ind w:left="158" w:firstLine="0" w:firstLineChars="0"/>
              <w:jc w:val="left"/>
              <w:rPr>
                <w:kern w:val="0"/>
              </w:rPr>
            </w:pPr>
            <w:r>
              <w:rPr>
                <w:b/>
                <w:bCs/>
                <w:kern w:val="0"/>
                <w:sz w:val="21"/>
                <w:szCs w:val="21"/>
              </w:rPr>
              <w:t xml:space="preserve">8 </w:t>
            </w:r>
            <w:r>
              <w:rPr>
                <w:kern w:val="0"/>
                <w:sz w:val="21"/>
                <w:szCs w:val="21"/>
              </w:rPr>
              <w:t>月</w:t>
            </w:r>
          </w:p>
        </w:tc>
        <w:tc>
          <w:tcPr>
            <w:tcW w:w="384" w:type="pct"/>
            <w:tcBorders>
              <w:top w:val="single" w:color="000000" w:sz="12"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line="288" w:lineRule="exact"/>
              <w:ind w:left="159" w:firstLine="0" w:firstLineChars="0"/>
              <w:jc w:val="left"/>
              <w:rPr>
                <w:kern w:val="0"/>
              </w:rPr>
            </w:pPr>
            <w:r>
              <w:rPr>
                <w:b/>
                <w:bCs/>
                <w:kern w:val="0"/>
                <w:sz w:val="21"/>
                <w:szCs w:val="21"/>
              </w:rPr>
              <w:t xml:space="preserve">9 </w:t>
            </w:r>
            <w:r>
              <w:rPr>
                <w:kern w:val="0"/>
                <w:sz w:val="21"/>
                <w:szCs w:val="21"/>
              </w:rPr>
              <w:t>月</w:t>
            </w:r>
          </w:p>
        </w:tc>
        <w:tc>
          <w:tcPr>
            <w:tcW w:w="385" w:type="pct"/>
            <w:tcBorders>
              <w:top w:val="single" w:color="000000" w:sz="12"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line="288" w:lineRule="exact"/>
              <w:ind w:left="107" w:firstLine="0" w:firstLineChars="0"/>
              <w:jc w:val="left"/>
              <w:rPr>
                <w:kern w:val="0"/>
              </w:rPr>
            </w:pPr>
            <w:r>
              <w:rPr>
                <w:b/>
                <w:bCs/>
                <w:kern w:val="0"/>
                <w:sz w:val="21"/>
                <w:szCs w:val="21"/>
              </w:rPr>
              <w:t xml:space="preserve">10 </w:t>
            </w:r>
            <w:r>
              <w:rPr>
                <w:kern w:val="0"/>
                <w:sz w:val="21"/>
                <w:szCs w:val="21"/>
              </w:rPr>
              <w:t>月</w:t>
            </w:r>
          </w:p>
        </w:tc>
        <w:tc>
          <w:tcPr>
            <w:tcW w:w="384" w:type="pct"/>
            <w:tcBorders>
              <w:top w:val="single" w:color="000000" w:sz="12" w:space="0"/>
              <w:left w:val="single" w:color="000000" w:sz="4" w:space="0"/>
              <w:bottom w:val="single" w:color="000000" w:sz="4" w:space="0"/>
              <w:right w:val="single" w:color="000000" w:sz="4" w:space="0"/>
            </w:tcBorders>
          </w:tcPr>
          <w:p>
            <w:pPr>
              <w:tabs>
                <w:tab w:val="clear" w:pos="480"/>
              </w:tabs>
              <w:kinsoku w:val="0"/>
              <w:overflowPunct w:val="0"/>
              <w:autoSpaceDE w:val="0"/>
              <w:autoSpaceDN w:val="0"/>
              <w:adjustRightInd w:val="0"/>
              <w:spacing w:line="288" w:lineRule="exact"/>
              <w:ind w:left="105" w:firstLine="0" w:firstLineChars="0"/>
              <w:jc w:val="left"/>
              <w:rPr>
                <w:kern w:val="0"/>
              </w:rPr>
            </w:pPr>
            <w:r>
              <w:rPr>
                <w:b/>
                <w:bCs/>
                <w:kern w:val="0"/>
                <w:sz w:val="21"/>
                <w:szCs w:val="21"/>
              </w:rPr>
              <w:t xml:space="preserve">11 </w:t>
            </w:r>
            <w:r>
              <w:rPr>
                <w:kern w:val="0"/>
                <w:sz w:val="21"/>
                <w:szCs w:val="21"/>
              </w:rPr>
              <w:t>月</w:t>
            </w:r>
          </w:p>
        </w:tc>
        <w:tc>
          <w:tcPr>
            <w:tcW w:w="385" w:type="pct"/>
            <w:tcBorders>
              <w:top w:val="single" w:color="000000" w:sz="12" w:space="0"/>
              <w:left w:val="single" w:color="000000" w:sz="4" w:space="0"/>
              <w:bottom w:val="single" w:color="000000" w:sz="4" w:space="0"/>
              <w:right w:val="single" w:color="000000" w:sz="12" w:space="0"/>
            </w:tcBorders>
          </w:tcPr>
          <w:p>
            <w:pPr>
              <w:tabs>
                <w:tab w:val="clear" w:pos="480"/>
              </w:tabs>
              <w:kinsoku w:val="0"/>
              <w:overflowPunct w:val="0"/>
              <w:autoSpaceDE w:val="0"/>
              <w:autoSpaceDN w:val="0"/>
              <w:adjustRightInd w:val="0"/>
              <w:spacing w:line="288" w:lineRule="exact"/>
              <w:ind w:left="102" w:firstLine="0" w:firstLineChars="0"/>
              <w:jc w:val="left"/>
              <w:rPr>
                <w:kern w:val="0"/>
              </w:rPr>
            </w:pPr>
            <w:r>
              <w:rPr>
                <w:b/>
                <w:bCs/>
                <w:kern w:val="0"/>
                <w:sz w:val="21"/>
                <w:szCs w:val="21"/>
              </w:rPr>
              <w:t>12</w:t>
            </w:r>
            <w:r>
              <w:rPr>
                <w:kern w:val="0"/>
                <w:sz w:val="21"/>
                <w:szCs w:val="21"/>
              </w:rPr>
              <w:t>月</w:t>
            </w:r>
          </w:p>
        </w:tc>
      </w:tr>
      <w:tr>
        <w:tblPrEx>
          <w:tblCellMar>
            <w:top w:w="0" w:type="dxa"/>
            <w:left w:w="0" w:type="dxa"/>
            <w:bottom w:w="0" w:type="dxa"/>
            <w:right w:w="0" w:type="dxa"/>
          </w:tblCellMar>
        </w:tblPrEx>
        <w:trPr>
          <w:trHeight w:val="361" w:hRule="exact"/>
        </w:trPr>
        <w:tc>
          <w:tcPr>
            <w:tcW w:w="384" w:type="pct"/>
            <w:tcBorders>
              <w:top w:val="single" w:color="000000" w:sz="4" w:space="0"/>
              <w:left w:val="single" w:color="000000" w:sz="12" w:space="0"/>
              <w:bottom w:val="single" w:color="000000" w:sz="12" w:space="0"/>
              <w:right w:val="single" w:color="000000" w:sz="4" w:space="0"/>
            </w:tcBorders>
          </w:tcPr>
          <w:p>
            <w:pPr>
              <w:tabs>
                <w:tab w:val="clear" w:pos="480"/>
              </w:tabs>
              <w:kinsoku w:val="0"/>
              <w:overflowPunct w:val="0"/>
              <w:autoSpaceDE w:val="0"/>
              <w:autoSpaceDN w:val="0"/>
              <w:adjustRightInd w:val="0"/>
              <w:spacing w:line="273" w:lineRule="exact"/>
              <w:ind w:left="128" w:firstLine="0" w:firstLineChars="0"/>
              <w:jc w:val="left"/>
              <w:rPr>
                <w:kern w:val="0"/>
              </w:rPr>
            </w:pPr>
            <w:r>
              <w:rPr>
                <w:kern w:val="0"/>
                <w:sz w:val="21"/>
                <w:szCs w:val="21"/>
              </w:rPr>
              <w:t>温度</w:t>
            </w:r>
          </w:p>
        </w:tc>
        <w:tc>
          <w:tcPr>
            <w:tcW w:w="638" w:type="dxa"/>
            <w:tcBorders>
              <w:top w:val="single" w:color="000000" w:sz="4" w:space="0"/>
              <w:left w:val="single" w:color="000000" w:sz="4" w:space="0"/>
              <w:bottom w:val="single" w:color="000000" w:sz="12" w:space="0"/>
              <w:right w:val="single" w:color="000000" w:sz="4" w:space="0"/>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6.96 </w:t>
            </w:r>
          </w:p>
        </w:tc>
        <w:tc>
          <w:tcPr>
            <w:tcW w:w="642" w:type="dxa"/>
            <w:tcBorders>
              <w:top w:val="single" w:color="000000" w:sz="4" w:space="0"/>
              <w:left w:val="single" w:color="000000" w:sz="4" w:space="0"/>
              <w:bottom w:val="single" w:color="000000" w:sz="12" w:space="0"/>
              <w:right w:val="single" w:color="000000" w:sz="4" w:space="0"/>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11.77 </w:t>
            </w:r>
          </w:p>
        </w:tc>
        <w:tc>
          <w:tcPr>
            <w:tcW w:w="642" w:type="dxa"/>
            <w:tcBorders>
              <w:top w:val="single" w:color="000000" w:sz="4" w:space="0"/>
              <w:left w:val="single" w:color="000000" w:sz="4" w:space="0"/>
              <w:bottom w:val="single" w:color="000000" w:sz="12" w:space="0"/>
              <w:right w:val="single" w:color="000000" w:sz="4" w:space="0"/>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13.21 </w:t>
            </w:r>
          </w:p>
        </w:tc>
        <w:tc>
          <w:tcPr>
            <w:tcW w:w="639" w:type="dxa"/>
            <w:tcBorders>
              <w:top w:val="single" w:color="000000" w:sz="4" w:space="0"/>
              <w:left w:val="single" w:color="000000" w:sz="4" w:space="0"/>
              <w:bottom w:val="single" w:color="000000" w:sz="12" w:space="0"/>
              <w:right w:val="single" w:color="000000" w:sz="4" w:space="0"/>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16.46 </w:t>
            </w:r>
          </w:p>
        </w:tc>
        <w:tc>
          <w:tcPr>
            <w:tcW w:w="639" w:type="dxa"/>
            <w:tcBorders>
              <w:top w:val="single" w:color="000000" w:sz="4" w:space="0"/>
              <w:left w:val="single" w:color="000000" w:sz="4" w:space="0"/>
              <w:bottom w:val="single" w:color="000000" w:sz="12" w:space="0"/>
              <w:right w:val="single" w:color="000000" w:sz="4" w:space="0"/>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22.12 </w:t>
            </w:r>
          </w:p>
        </w:tc>
        <w:tc>
          <w:tcPr>
            <w:tcW w:w="642" w:type="dxa"/>
            <w:tcBorders>
              <w:top w:val="single" w:color="000000" w:sz="4" w:space="0"/>
              <w:left w:val="single" w:color="000000" w:sz="4" w:space="0"/>
              <w:bottom w:val="single" w:color="000000" w:sz="12" w:space="0"/>
              <w:right w:val="single" w:color="000000" w:sz="4" w:space="0"/>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27.53 </w:t>
            </w:r>
          </w:p>
        </w:tc>
        <w:tc>
          <w:tcPr>
            <w:tcW w:w="640" w:type="dxa"/>
            <w:tcBorders>
              <w:top w:val="single" w:color="000000" w:sz="4" w:space="0"/>
              <w:left w:val="single" w:color="000000" w:sz="4" w:space="0"/>
              <w:bottom w:val="single" w:color="000000" w:sz="12" w:space="0"/>
              <w:right w:val="single" w:color="000000" w:sz="4" w:space="0"/>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29.78 </w:t>
            </w:r>
          </w:p>
        </w:tc>
        <w:tc>
          <w:tcPr>
            <w:tcW w:w="639" w:type="dxa"/>
            <w:tcBorders>
              <w:top w:val="single" w:color="000000" w:sz="4" w:space="0"/>
              <w:left w:val="single" w:color="000000" w:sz="4" w:space="0"/>
              <w:bottom w:val="single" w:color="000000" w:sz="12" w:space="0"/>
              <w:right w:val="single" w:color="000000" w:sz="4" w:space="0"/>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28.32 </w:t>
            </w:r>
          </w:p>
        </w:tc>
        <w:tc>
          <w:tcPr>
            <w:tcW w:w="640" w:type="dxa"/>
            <w:tcBorders>
              <w:top w:val="single" w:color="000000" w:sz="4" w:space="0"/>
              <w:left w:val="single" w:color="000000" w:sz="4" w:space="0"/>
              <w:bottom w:val="single" w:color="000000" w:sz="12" w:space="0"/>
              <w:right w:val="single" w:color="000000" w:sz="4" w:space="0"/>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28.25 </w:t>
            </w:r>
          </w:p>
        </w:tc>
        <w:tc>
          <w:tcPr>
            <w:tcW w:w="642" w:type="dxa"/>
            <w:tcBorders>
              <w:top w:val="single" w:color="000000" w:sz="4" w:space="0"/>
              <w:left w:val="single" w:color="000000" w:sz="4" w:space="0"/>
              <w:bottom w:val="single" w:color="000000" w:sz="12" w:space="0"/>
              <w:right w:val="single" w:color="000000" w:sz="4" w:space="0"/>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18.88 </w:t>
            </w:r>
          </w:p>
        </w:tc>
        <w:tc>
          <w:tcPr>
            <w:tcW w:w="640" w:type="dxa"/>
            <w:tcBorders>
              <w:top w:val="single" w:color="000000" w:sz="4" w:space="0"/>
              <w:left w:val="single" w:color="000000" w:sz="4" w:space="0"/>
              <w:bottom w:val="single" w:color="000000" w:sz="12" w:space="0"/>
              <w:right w:val="single" w:color="000000" w:sz="4" w:space="0"/>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14.68 </w:t>
            </w:r>
          </w:p>
        </w:tc>
        <w:tc>
          <w:tcPr>
            <w:tcW w:w="642" w:type="dxa"/>
            <w:tcBorders>
              <w:top w:val="single" w:color="000000" w:sz="4" w:space="0"/>
              <w:left w:val="single" w:color="000000" w:sz="4" w:space="0"/>
              <w:bottom w:val="single" w:color="000000" w:sz="12" w:space="0"/>
              <w:right w:val="single" w:color="000000" w:sz="12" w:space="0"/>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9.14 </w:t>
            </w:r>
          </w:p>
        </w:tc>
      </w:tr>
    </w:tbl>
    <w:p>
      <w:pPr>
        <w:pStyle w:val="3586"/>
        <w:numPr>
          <w:ilvl w:val="0"/>
          <w:numId w:val="0"/>
        </w:numPr>
        <w:ind w:left="420" w:hanging="420"/>
        <w:jc w:val="both"/>
      </w:pPr>
      <w:r>
        <w:drawing>
          <wp:inline distT="0" distB="0" distL="114300" distR="114300">
            <wp:extent cx="5271770" cy="2070735"/>
            <wp:effectExtent l="9525" t="9525" r="14605" b="15240"/>
            <wp:docPr id="2054"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pPr>
        <w:pStyle w:val="3609"/>
        <w:spacing w:line="240" w:lineRule="atLeast"/>
        <w:ind w:left="0"/>
        <w:rPr>
          <w:spacing w:val="1"/>
        </w:rPr>
      </w:pPr>
      <w:r>
        <w:rPr>
          <w:rFonts w:ascii="Times New Roman" w:hAnsi="Times New Roman" w:cs="Times New Roman"/>
        </w:rPr>
        <w:t>20</w:t>
      </w:r>
      <w:r>
        <w:rPr>
          <w:rFonts w:hint="eastAsia" w:ascii="Times New Roman" w:hAnsi="Times New Roman" w:cs="Times New Roman"/>
        </w:rPr>
        <w:t>21</w:t>
      </w:r>
      <w:r>
        <w:rPr>
          <w:rFonts w:ascii="Times New Roman" w:hAnsi="Times New Roman" w:cs="Times New Roman"/>
        </w:rPr>
        <w:t xml:space="preserve"> </w:t>
      </w:r>
      <w:r>
        <w:rPr>
          <w:spacing w:val="1"/>
        </w:rPr>
        <w:t>年各月平均温度</w:t>
      </w:r>
      <w:r>
        <w:t>变</w:t>
      </w:r>
      <w:r>
        <w:rPr>
          <w:spacing w:val="1"/>
        </w:rPr>
        <w:t>化曲线图</w:t>
      </w:r>
    </w:p>
    <w:p>
      <w:pPr>
        <w:ind w:firstLine="480"/>
      </w:pPr>
      <w:r>
        <w:rPr>
          <w:rFonts w:ascii="仿宋_GB2312"/>
        </w:rPr>
        <w:t>（</w:t>
      </w:r>
      <w:r>
        <w:t>2</w:t>
      </w:r>
      <w:r>
        <w:rPr>
          <w:rFonts w:ascii="仿宋_GB2312"/>
        </w:rPr>
        <w:t xml:space="preserve">）风速 </w:t>
      </w:r>
      <w:r>
        <w:rPr>
          <w:rFonts w:hint="eastAsia" w:ascii="仿宋_GB2312"/>
        </w:rPr>
        <w:t>岳阳市</w:t>
      </w:r>
      <w:r>
        <w:rPr>
          <w:rFonts w:ascii="仿宋_GB2312"/>
        </w:rPr>
        <w:t>的年风速统计资料见下表和下图。</w:t>
      </w:r>
    </w:p>
    <w:p>
      <w:pPr>
        <w:pStyle w:val="3586"/>
        <w:ind w:left="0"/>
      </w:pPr>
      <w:r>
        <w:t xml:space="preserve"> 年平均风速（m/s）的月变化</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29"/>
        <w:gridCol w:w="652"/>
        <w:gridCol w:w="652"/>
        <w:gridCol w:w="652"/>
        <w:gridCol w:w="652"/>
        <w:gridCol w:w="652"/>
        <w:gridCol w:w="650"/>
        <w:gridCol w:w="650"/>
        <w:gridCol w:w="650"/>
        <w:gridCol w:w="650"/>
        <w:gridCol w:w="650"/>
        <w:gridCol w:w="650"/>
        <w:gridCol w:w="6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31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月份</w:t>
            </w:r>
          </w:p>
        </w:tc>
        <w:tc>
          <w:tcPr>
            <w:tcW w:w="391"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1月</w:t>
            </w:r>
          </w:p>
        </w:tc>
        <w:tc>
          <w:tcPr>
            <w:tcW w:w="391"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2月</w:t>
            </w:r>
          </w:p>
        </w:tc>
        <w:tc>
          <w:tcPr>
            <w:tcW w:w="391"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3月</w:t>
            </w:r>
          </w:p>
        </w:tc>
        <w:tc>
          <w:tcPr>
            <w:tcW w:w="391"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4月</w:t>
            </w:r>
          </w:p>
        </w:tc>
        <w:tc>
          <w:tcPr>
            <w:tcW w:w="391"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5月</w:t>
            </w:r>
          </w:p>
        </w:tc>
        <w:tc>
          <w:tcPr>
            <w:tcW w:w="39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6月</w:t>
            </w:r>
          </w:p>
        </w:tc>
        <w:tc>
          <w:tcPr>
            <w:tcW w:w="39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7月</w:t>
            </w:r>
          </w:p>
        </w:tc>
        <w:tc>
          <w:tcPr>
            <w:tcW w:w="39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8月</w:t>
            </w:r>
          </w:p>
        </w:tc>
        <w:tc>
          <w:tcPr>
            <w:tcW w:w="39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9月</w:t>
            </w:r>
          </w:p>
        </w:tc>
        <w:tc>
          <w:tcPr>
            <w:tcW w:w="39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10月</w:t>
            </w:r>
          </w:p>
        </w:tc>
        <w:tc>
          <w:tcPr>
            <w:tcW w:w="39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11月</w:t>
            </w:r>
          </w:p>
        </w:tc>
        <w:tc>
          <w:tcPr>
            <w:tcW w:w="388"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12月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31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风速</w:t>
            </w:r>
          </w:p>
        </w:tc>
        <w:tc>
          <w:tcPr>
            <w:tcW w:w="650"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2.18 </w:t>
            </w:r>
          </w:p>
        </w:tc>
        <w:tc>
          <w:tcPr>
            <w:tcW w:w="650"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2.31 </w:t>
            </w:r>
          </w:p>
        </w:tc>
        <w:tc>
          <w:tcPr>
            <w:tcW w:w="650"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2.30 </w:t>
            </w:r>
          </w:p>
        </w:tc>
        <w:tc>
          <w:tcPr>
            <w:tcW w:w="650"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2.04 </w:t>
            </w:r>
          </w:p>
        </w:tc>
        <w:tc>
          <w:tcPr>
            <w:tcW w:w="650"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2.21 </w:t>
            </w:r>
          </w:p>
        </w:tc>
        <w:tc>
          <w:tcPr>
            <w:tcW w:w="64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2.17 </w:t>
            </w:r>
          </w:p>
        </w:tc>
        <w:tc>
          <w:tcPr>
            <w:tcW w:w="64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2.63 </w:t>
            </w:r>
          </w:p>
        </w:tc>
        <w:tc>
          <w:tcPr>
            <w:tcW w:w="64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2.17 </w:t>
            </w:r>
          </w:p>
        </w:tc>
        <w:tc>
          <w:tcPr>
            <w:tcW w:w="64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2.31 </w:t>
            </w:r>
          </w:p>
        </w:tc>
        <w:tc>
          <w:tcPr>
            <w:tcW w:w="64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2.62 </w:t>
            </w:r>
          </w:p>
        </w:tc>
        <w:tc>
          <w:tcPr>
            <w:tcW w:w="64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2.08 </w:t>
            </w:r>
          </w:p>
        </w:tc>
        <w:tc>
          <w:tcPr>
            <w:tcW w:w="64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2.09 </w:t>
            </w:r>
          </w:p>
        </w:tc>
      </w:tr>
    </w:tbl>
    <w:p>
      <w:pPr>
        <w:pStyle w:val="2057"/>
        <w:spacing w:afterLines="0"/>
        <w:ind w:firstLine="0" w:firstLineChars="0"/>
        <w:rPr>
          <w:rFonts w:eastAsia="仿宋_GB2312"/>
        </w:rPr>
      </w:pPr>
      <w:r>
        <w:drawing>
          <wp:inline distT="0" distB="0" distL="114300" distR="114300">
            <wp:extent cx="5270500" cy="2028825"/>
            <wp:effectExtent l="4445" t="4445" r="20955" b="5080"/>
            <wp:docPr id="2055"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pPr>
        <w:pStyle w:val="3609"/>
        <w:spacing w:line="240" w:lineRule="atLeast"/>
        <w:ind w:left="0"/>
        <w:rPr>
          <w:bCs/>
        </w:rPr>
      </w:pPr>
      <w:r>
        <w:rPr>
          <w:bCs/>
        </w:rPr>
        <w:t>年平均风速的月变化曲线</w:t>
      </w:r>
    </w:p>
    <w:p>
      <w:pPr>
        <w:ind w:firstLine="480"/>
      </w:pPr>
      <w:r>
        <w:rPr>
          <w:rFonts w:ascii="仿宋_GB2312"/>
        </w:rPr>
        <w:t>另外，还统计了当地的季小时平均风速的日变化情况，具体见下表下图。</w:t>
      </w:r>
    </w:p>
    <w:p>
      <w:pPr>
        <w:pStyle w:val="3586"/>
        <w:ind w:left="0"/>
      </w:pPr>
      <w:r>
        <w:t>季小时平均风速的日变化</w:t>
      </w:r>
    </w:p>
    <w:tbl>
      <w:tblPr>
        <w:tblStyle w:val="87"/>
        <w:tblW w:w="500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86"/>
        <w:gridCol w:w="634"/>
        <w:gridCol w:w="637"/>
        <w:gridCol w:w="634"/>
        <w:gridCol w:w="629"/>
        <w:gridCol w:w="632"/>
        <w:gridCol w:w="627"/>
        <w:gridCol w:w="629"/>
        <w:gridCol w:w="627"/>
        <w:gridCol w:w="629"/>
        <w:gridCol w:w="627"/>
        <w:gridCol w:w="631"/>
        <w:gridCol w:w="62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27" w:hRule="atLeast"/>
          <w:jc w:val="center"/>
        </w:trPr>
        <w:tc>
          <w:tcPr>
            <w:tcW w:w="47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小时</w:t>
            </w:r>
          </w:p>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风速</w:t>
            </w: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w:t>
            </w:r>
          </w:p>
        </w:tc>
        <w:tc>
          <w:tcPr>
            <w:tcW w:w="381"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w:t>
            </w:r>
          </w:p>
        </w:tc>
        <w:tc>
          <w:tcPr>
            <w:tcW w:w="37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w:t>
            </w:r>
          </w:p>
        </w:tc>
        <w:tc>
          <w:tcPr>
            <w:tcW w:w="37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w:t>
            </w:r>
          </w:p>
        </w:tc>
        <w:tc>
          <w:tcPr>
            <w:tcW w:w="378"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w:t>
            </w:r>
          </w:p>
        </w:tc>
        <w:tc>
          <w:tcPr>
            <w:tcW w:w="37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6</w:t>
            </w:r>
          </w:p>
        </w:tc>
        <w:tc>
          <w:tcPr>
            <w:tcW w:w="37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w:t>
            </w:r>
          </w:p>
        </w:tc>
        <w:tc>
          <w:tcPr>
            <w:tcW w:w="37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8</w:t>
            </w:r>
          </w:p>
        </w:tc>
        <w:tc>
          <w:tcPr>
            <w:tcW w:w="37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9</w:t>
            </w:r>
          </w:p>
        </w:tc>
        <w:tc>
          <w:tcPr>
            <w:tcW w:w="37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10</w:t>
            </w:r>
          </w:p>
        </w:tc>
        <w:tc>
          <w:tcPr>
            <w:tcW w:w="37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11</w:t>
            </w:r>
          </w:p>
        </w:tc>
        <w:tc>
          <w:tcPr>
            <w:tcW w:w="37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47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春季</w:t>
            </w:r>
          </w:p>
        </w:tc>
        <w:tc>
          <w:tcPr>
            <w:tcW w:w="63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1.90 </w:t>
            </w:r>
          </w:p>
        </w:tc>
        <w:tc>
          <w:tcPr>
            <w:tcW w:w="63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2.02 </w:t>
            </w:r>
          </w:p>
        </w:tc>
        <w:tc>
          <w:tcPr>
            <w:tcW w:w="63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1.96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1.97 </w:t>
            </w:r>
          </w:p>
        </w:tc>
        <w:tc>
          <w:tcPr>
            <w:tcW w:w="631"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1.97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2.04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1.83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2.03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2.21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2.29 </w:t>
            </w:r>
          </w:p>
        </w:tc>
        <w:tc>
          <w:tcPr>
            <w:tcW w:w="62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2.61 </w:t>
            </w:r>
          </w:p>
        </w:tc>
        <w:tc>
          <w:tcPr>
            <w:tcW w:w="623"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2.61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47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夏季</w:t>
            </w:r>
          </w:p>
        </w:tc>
        <w:tc>
          <w:tcPr>
            <w:tcW w:w="63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1.74 </w:t>
            </w:r>
          </w:p>
        </w:tc>
        <w:tc>
          <w:tcPr>
            <w:tcW w:w="63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1.81 </w:t>
            </w:r>
          </w:p>
        </w:tc>
        <w:tc>
          <w:tcPr>
            <w:tcW w:w="63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1.96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2.02 </w:t>
            </w:r>
          </w:p>
        </w:tc>
        <w:tc>
          <w:tcPr>
            <w:tcW w:w="631"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1.97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2.04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2.03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2.43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2.55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3.02 </w:t>
            </w:r>
          </w:p>
        </w:tc>
        <w:tc>
          <w:tcPr>
            <w:tcW w:w="62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3.21 </w:t>
            </w:r>
          </w:p>
        </w:tc>
        <w:tc>
          <w:tcPr>
            <w:tcW w:w="623"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3.33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47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秋季</w:t>
            </w:r>
          </w:p>
        </w:tc>
        <w:tc>
          <w:tcPr>
            <w:tcW w:w="63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2.08 </w:t>
            </w:r>
          </w:p>
        </w:tc>
        <w:tc>
          <w:tcPr>
            <w:tcW w:w="63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2.14 </w:t>
            </w:r>
          </w:p>
        </w:tc>
        <w:tc>
          <w:tcPr>
            <w:tcW w:w="63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2.28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2.12 </w:t>
            </w:r>
          </w:p>
        </w:tc>
        <w:tc>
          <w:tcPr>
            <w:tcW w:w="631"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2.06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2.02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2.13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2.19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2.43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2.70 </w:t>
            </w:r>
          </w:p>
        </w:tc>
        <w:tc>
          <w:tcPr>
            <w:tcW w:w="62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2.79 </w:t>
            </w:r>
          </w:p>
        </w:tc>
        <w:tc>
          <w:tcPr>
            <w:tcW w:w="623"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3.07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47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冬季</w:t>
            </w:r>
          </w:p>
        </w:tc>
        <w:tc>
          <w:tcPr>
            <w:tcW w:w="63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2.05 </w:t>
            </w:r>
          </w:p>
        </w:tc>
        <w:tc>
          <w:tcPr>
            <w:tcW w:w="63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2.08 </w:t>
            </w:r>
          </w:p>
        </w:tc>
        <w:tc>
          <w:tcPr>
            <w:tcW w:w="63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2.04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1.99 </w:t>
            </w:r>
          </w:p>
        </w:tc>
        <w:tc>
          <w:tcPr>
            <w:tcW w:w="631"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2.07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2.08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2.14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1.96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1.97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2.07 </w:t>
            </w:r>
          </w:p>
        </w:tc>
        <w:tc>
          <w:tcPr>
            <w:tcW w:w="62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2.40 </w:t>
            </w:r>
          </w:p>
        </w:tc>
        <w:tc>
          <w:tcPr>
            <w:tcW w:w="623"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2.66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28" w:hRule="atLeast"/>
          <w:jc w:val="center"/>
        </w:trPr>
        <w:tc>
          <w:tcPr>
            <w:tcW w:w="47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小时</w:t>
            </w:r>
          </w:p>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风速</w:t>
            </w:r>
          </w:p>
        </w:tc>
        <w:tc>
          <w:tcPr>
            <w:tcW w:w="632"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13</w:t>
            </w:r>
          </w:p>
        </w:tc>
        <w:tc>
          <w:tcPr>
            <w:tcW w:w="636"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14</w:t>
            </w:r>
          </w:p>
        </w:tc>
        <w:tc>
          <w:tcPr>
            <w:tcW w:w="632"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15</w:t>
            </w:r>
          </w:p>
        </w:tc>
        <w:tc>
          <w:tcPr>
            <w:tcW w:w="627"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16</w:t>
            </w:r>
          </w:p>
        </w:tc>
        <w:tc>
          <w:tcPr>
            <w:tcW w:w="631"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17</w:t>
            </w:r>
          </w:p>
        </w:tc>
        <w:tc>
          <w:tcPr>
            <w:tcW w:w="626"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18</w:t>
            </w:r>
          </w:p>
        </w:tc>
        <w:tc>
          <w:tcPr>
            <w:tcW w:w="627"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19</w:t>
            </w:r>
          </w:p>
        </w:tc>
        <w:tc>
          <w:tcPr>
            <w:tcW w:w="626"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20</w:t>
            </w:r>
          </w:p>
        </w:tc>
        <w:tc>
          <w:tcPr>
            <w:tcW w:w="627"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21</w:t>
            </w:r>
          </w:p>
        </w:tc>
        <w:tc>
          <w:tcPr>
            <w:tcW w:w="626"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22</w:t>
            </w:r>
          </w:p>
        </w:tc>
        <w:tc>
          <w:tcPr>
            <w:tcW w:w="629"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23</w:t>
            </w:r>
          </w:p>
        </w:tc>
        <w:tc>
          <w:tcPr>
            <w:tcW w:w="623"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47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春季</w:t>
            </w:r>
          </w:p>
        </w:tc>
        <w:tc>
          <w:tcPr>
            <w:tcW w:w="63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2.82 </w:t>
            </w:r>
          </w:p>
        </w:tc>
        <w:tc>
          <w:tcPr>
            <w:tcW w:w="63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2.84 </w:t>
            </w:r>
          </w:p>
        </w:tc>
        <w:tc>
          <w:tcPr>
            <w:tcW w:w="63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2.61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2.50 </w:t>
            </w:r>
          </w:p>
        </w:tc>
        <w:tc>
          <w:tcPr>
            <w:tcW w:w="631"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2.46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2.16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1.89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1.89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2.10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1.85 </w:t>
            </w:r>
          </w:p>
        </w:tc>
        <w:tc>
          <w:tcPr>
            <w:tcW w:w="62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1.93 </w:t>
            </w:r>
          </w:p>
        </w:tc>
        <w:tc>
          <w:tcPr>
            <w:tcW w:w="623"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1.99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47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夏季</w:t>
            </w:r>
          </w:p>
        </w:tc>
        <w:tc>
          <w:tcPr>
            <w:tcW w:w="63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3.25 </w:t>
            </w:r>
          </w:p>
        </w:tc>
        <w:tc>
          <w:tcPr>
            <w:tcW w:w="63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3.31 </w:t>
            </w:r>
          </w:p>
        </w:tc>
        <w:tc>
          <w:tcPr>
            <w:tcW w:w="63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3.27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2.93 </w:t>
            </w:r>
          </w:p>
        </w:tc>
        <w:tc>
          <w:tcPr>
            <w:tcW w:w="631"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2.62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2.13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1.81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1.78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1.71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1.51 </w:t>
            </w:r>
          </w:p>
        </w:tc>
        <w:tc>
          <w:tcPr>
            <w:tcW w:w="62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1.59 </w:t>
            </w:r>
          </w:p>
        </w:tc>
        <w:tc>
          <w:tcPr>
            <w:tcW w:w="623"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1.79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47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秋季</w:t>
            </w:r>
          </w:p>
        </w:tc>
        <w:tc>
          <w:tcPr>
            <w:tcW w:w="63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3.13 </w:t>
            </w:r>
          </w:p>
        </w:tc>
        <w:tc>
          <w:tcPr>
            <w:tcW w:w="63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2.94 </w:t>
            </w:r>
          </w:p>
        </w:tc>
        <w:tc>
          <w:tcPr>
            <w:tcW w:w="63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2.84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2.55 </w:t>
            </w:r>
          </w:p>
        </w:tc>
        <w:tc>
          <w:tcPr>
            <w:tcW w:w="631"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2.31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2.05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2.11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1.96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2.00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1.94 </w:t>
            </w:r>
          </w:p>
        </w:tc>
        <w:tc>
          <w:tcPr>
            <w:tcW w:w="62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2.09 </w:t>
            </w:r>
          </w:p>
        </w:tc>
        <w:tc>
          <w:tcPr>
            <w:tcW w:w="623"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2.21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47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冬季</w:t>
            </w:r>
          </w:p>
        </w:tc>
        <w:tc>
          <w:tcPr>
            <w:tcW w:w="63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2.72 </w:t>
            </w:r>
          </w:p>
        </w:tc>
        <w:tc>
          <w:tcPr>
            <w:tcW w:w="63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2.47 </w:t>
            </w:r>
          </w:p>
        </w:tc>
        <w:tc>
          <w:tcPr>
            <w:tcW w:w="63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2.68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2.49 </w:t>
            </w:r>
          </w:p>
        </w:tc>
        <w:tc>
          <w:tcPr>
            <w:tcW w:w="631"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2.20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2.01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2.03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2.10 </w:t>
            </w:r>
          </w:p>
        </w:tc>
        <w:tc>
          <w:tcPr>
            <w:tcW w:w="6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2.13 </w:t>
            </w:r>
          </w:p>
        </w:tc>
        <w:tc>
          <w:tcPr>
            <w:tcW w:w="626"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2.16 </w:t>
            </w:r>
          </w:p>
        </w:tc>
        <w:tc>
          <w:tcPr>
            <w:tcW w:w="62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2.06 </w:t>
            </w:r>
          </w:p>
        </w:tc>
        <w:tc>
          <w:tcPr>
            <w:tcW w:w="623"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1.92 </w:t>
            </w:r>
          </w:p>
        </w:tc>
      </w:tr>
    </w:tbl>
    <w:p>
      <w:pPr>
        <w:pStyle w:val="2261"/>
        <w:ind w:firstLine="0" w:firstLineChars="0"/>
      </w:pPr>
      <w:r>
        <w:drawing>
          <wp:inline distT="0" distB="0" distL="114300" distR="114300">
            <wp:extent cx="5271135" cy="2199005"/>
            <wp:effectExtent l="9525" t="9525" r="15240" b="20320"/>
            <wp:docPr id="2056"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pPr>
        <w:pStyle w:val="3609"/>
        <w:spacing w:line="240" w:lineRule="atLeast"/>
        <w:ind w:left="0"/>
      </w:pPr>
      <w:r>
        <w:rPr>
          <w:rFonts w:ascii="仿宋_GB2312"/>
        </w:rPr>
        <w:t>季小时平均风速的日变化曲线图</w:t>
      </w:r>
    </w:p>
    <w:p>
      <w:pPr>
        <w:ind w:firstLine="480"/>
        <w:rPr>
          <w:rFonts w:ascii="仿宋_GB2312"/>
        </w:rPr>
        <w:sectPr>
          <w:pgSz w:w="11906" w:h="16838"/>
          <w:pgMar w:top="1440" w:right="1800" w:bottom="1440" w:left="1800" w:header="851" w:footer="850" w:gutter="0"/>
          <w:pgBorders>
            <w:top w:val="none" w:sz="0" w:space="0"/>
            <w:left w:val="none" w:sz="0" w:space="0"/>
            <w:bottom w:val="none" w:sz="0" w:space="0"/>
            <w:right w:val="none" w:sz="0" w:space="0"/>
          </w:pgBorders>
          <w:pgNumType w:fmt="decimal"/>
          <w:cols w:space="720" w:num="1"/>
          <w:docGrid w:type="lines" w:linePitch="326" w:charSpace="0"/>
        </w:sectPr>
      </w:pPr>
      <w:r>
        <w:rPr>
          <w:rFonts w:ascii="仿宋_GB2312"/>
        </w:rPr>
        <w:t>（</w:t>
      </w:r>
      <w:r>
        <w:t>3</w:t>
      </w:r>
      <w:r>
        <w:rPr>
          <w:rFonts w:ascii="仿宋_GB2312"/>
        </w:rPr>
        <w:t>）风向和风频</w:t>
      </w:r>
    </w:p>
    <w:p>
      <w:pPr>
        <w:ind w:firstLine="480"/>
      </w:pPr>
      <w:r>
        <w:rPr>
          <w:rFonts w:hint="eastAsia" w:ascii="宋体" w:hAnsi="宋体" w:cs="宋体"/>
        </w:rPr>
        <w:t>①</w:t>
      </w:r>
      <w:r>
        <w:rPr>
          <w:rFonts w:ascii="仿宋_GB2312"/>
        </w:rPr>
        <w:t xml:space="preserve">风频统计量 </w:t>
      </w:r>
      <w:r>
        <w:rPr>
          <w:rFonts w:hint="eastAsia" w:ascii="仿宋_GB2312"/>
        </w:rPr>
        <w:t>岳阳市</w:t>
      </w:r>
      <w:r>
        <w:rPr>
          <w:rFonts w:ascii="仿宋_GB2312"/>
        </w:rPr>
        <w:t>年均风频月变化统计具体见下表。</w:t>
      </w:r>
    </w:p>
    <w:p>
      <w:pPr>
        <w:pStyle w:val="3586"/>
        <w:ind w:left="0"/>
      </w:pPr>
      <w:r>
        <w:t xml:space="preserve"> 月均风频统计表</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49"/>
        <w:gridCol w:w="819"/>
        <w:gridCol w:w="788"/>
        <w:gridCol w:w="719"/>
        <w:gridCol w:w="828"/>
        <w:gridCol w:w="828"/>
        <w:gridCol w:w="828"/>
        <w:gridCol w:w="828"/>
        <w:gridCol w:w="719"/>
        <w:gridCol w:w="719"/>
        <w:gridCol w:w="786"/>
        <w:gridCol w:w="719"/>
        <w:gridCol w:w="870"/>
        <w:gridCol w:w="719"/>
        <w:gridCol w:w="907"/>
        <w:gridCol w:w="828"/>
        <w:gridCol w:w="859"/>
        <w:gridCol w:w="7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19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月份</w:t>
            </w:r>
          </w:p>
        </w:tc>
        <w:tc>
          <w:tcPr>
            <w:tcW w:w="292"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N</w:t>
            </w:r>
          </w:p>
        </w:tc>
        <w:tc>
          <w:tcPr>
            <w:tcW w:w="281"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NNE</w:t>
            </w:r>
          </w:p>
        </w:tc>
        <w:tc>
          <w:tcPr>
            <w:tcW w:w="25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NE</w:t>
            </w:r>
          </w:p>
        </w:tc>
        <w:tc>
          <w:tcPr>
            <w:tcW w:w="295"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ENE</w:t>
            </w:r>
          </w:p>
        </w:tc>
        <w:tc>
          <w:tcPr>
            <w:tcW w:w="295"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w:t>
            </w:r>
          </w:p>
        </w:tc>
        <w:tc>
          <w:tcPr>
            <w:tcW w:w="295"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ESE</w:t>
            </w:r>
          </w:p>
        </w:tc>
        <w:tc>
          <w:tcPr>
            <w:tcW w:w="295"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SE</w:t>
            </w:r>
          </w:p>
        </w:tc>
        <w:tc>
          <w:tcPr>
            <w:tcW w:w="25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SSE</w:t>
            </w:r>
          </w:p>
        </w:tc>
        <w:tc>
          <w:tcPr>
            <w:tcW w:w="25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S</w:t>
            </w:r>
          </w:p>
        </w:tc>
        <w:tc>
          <w:tcPr>
            <w:tcW w:w="280"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SSW</w:t>
            </w:r>
          </w:p>
        </w:tc>
        <w:tc>
          <w:tcPr>
            <w:tcW w:w="25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SW</w:t>
            </w:r>
          </w:p>
        </w:tc>
        <w:tc>
          <w:tcPr>
            <w:tcW w:w="310"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WSW</w:t>
            </w:r>
          </w:p>
        </w:tc>
        <w:tc>
          <w:tcPr>
            <w:tcW w:w="25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W</w:t>
            </w:r>
          </w:p>
        </w:tc>
        <w:tc>
          <w:tcPr>
            <w:tcW w:w="323"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WNW</w:t>
            </w:r>
          </w:p>
        </w:tc>
        <w:tc>
          <w:tcPr>
            <w:tcW w:w="295"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NW</w:t>
            </w:r>
          </w:p>
        </w:tc>
        <w:tc>
          <w:tcPr>
            <w:tcW w:w="30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NNW</w:t>
            </w:r>
          </w:p>
        </w:tc>
        <w:tc>
          <w:tcPr>
            <w:tcW w:w="25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 C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19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 月</w:t>
            </w:r>
          </w:p>
        </w:tc>
        <w:tc>
          <w:tcPr>
            <w:tcW w:w="81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12.23 </w:t>
            </w:r>
          </w:p>
        </w:tc>
        <w:tc>
          <w:tcPr>
            <w:tcW w:w="78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21.91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12.50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3.90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2.69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3.36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3.63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5.51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4.44 </w:t>
            </w:r>
          </w:p>
        </w:tc>
        <w:tc>
          <w:tcPr>
            <w:tcW w:w="78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3.63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2.82 </w:t>
            </w:r>
          </w:p>
        </w:tc>
        <w:tc>
          <w:tcPr>
            <w:tcW w:w="86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2.02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0.81 </w:t>
            </w:r>
          </w:p>
        </w:tc>
        <w:tc>
          <w:tcPr>
            <w:tcW w:w="90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1.48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1.75 </w:t>
            </w:r>
          </w:p>
        </w:tc>
        <w:tc>
          <w:tcPr>
            <w:tcW w:w="85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5.11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12.23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19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 月</w:t>
            </w:r>
          </w:p>
        </w:tc>
        <w:tc>
          <w:tcPr>
            <w:tcW w:w="81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15.33 </w:t>
            </w:r>
          </w:p>
        </w:tc>
        <w:tc>
          <w:tcPr>
            <w:tcW w:w="78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14.88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10.71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1.64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3.13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2.38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3.72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6.70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5.65 </w:t>
            </w:r>
          </w:p>
        </w:tc>
        <w:tc>
          <w:tcPr>
            <w:tcW w:w="78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5.65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8.04 </w:t>
            </w:r>
          </w:p>
        </w:tc>
        <w:tc>
          <w:tcPr>
            <w:tcW w:w="86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2.83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1.64 </w:t>
            </w:r>
          </w:p>
        </w:tc>
        <w:tc>
          <w:tcPr>
            <w:tcW w:w="90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0.89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1.49 </w:t>
            </w:r>
          </w:p>
        </w:tc>
        <w:tc>
          <w:tcPr>
            <w:tcW w:w="85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4.17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11.16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19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 月</w:t>
            </w:r>
          </w:p>
        </w:tc>
        <w:tc>
          <w:tcPr>
            <w:tcW w:w="81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22.98 </w:t>
            </w:r>
          </w:p>
        </w:tc>
        <w:tc>
          <w:tcPr>
            <w:tcW w:w="78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15.73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14.65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2.15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2.02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1.61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4.03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3.90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3.63 </w:t>
            </w:r>
          </w:p>
        </w:tc>
        <w:tc>
          <w:tcPr>
            <w:tcW w:w="78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3.90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4.84 </w:t>
            </w:r>
          </w:p>
        </w:tc>
        <w:tc>
          <w:tcPr>
            <w:tcW w:w="86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1.08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1.21 </w:t>
            </w:r>
          </w:p>
        </w:tc>
        <w:tc>
          <w:tcPr>
            <w:tcW w:w="90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1.08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2.02 </w:t>
            </w:r>
          </w:p>
        </w:tc>
        <w:tc>
          <w:tcPr>
            <w:tcW w:w="85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4.97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10.22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8" w:hRule="atLeast"/>
          <w:jc w:val="center"/>
        </w:trPr>
        <w:tc>
          <w:tcPr>
            <w:tcW w:w="19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 月</w:t>
            </w:r>
          </w:p>
        </w:tc>
        <w:tc>
          <w:tcPr>
            <w:tcW w:w="81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20.56 </w:t>
            </w:r>
          </w:p>
        </w:tc>
        <w:tc>
          <w:tcPr>
            <w:tcW w:w="78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17.78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14.31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1.94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1.25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0.69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1.39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2.78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2.78 </w:t>
            </w:r>
          </w:p>
        </w:tc>
        <w:tc>
          <w:tcPr>
            <w:tcW w:w="78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4.58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3.89 </w:t>
            </w:r>
          </w:p>
        </w:tc>
        <w:tc>
          <w:tcPr>
            <w:tcW w:w="86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1.81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1.11 </w:t>
            </w:r>
          </w:p>
        </w:tc>
        <w:tc>
          <w:tcPr>
            <w:tcW w:w="90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0.83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1.25 </w:t>
            </w:r>
          </w:p>
        </w:tc>
        <w:tc>
          <w:tcPr>
            <w:tcW w:w="85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6.39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16.67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19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 月</w:t>
            </w:r>
          </w:p>
        </w:tc>
        <w:tc>
          <w:tcPr>
            <w:tcW w:w="81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10.89 </w:t>
            </w:r>
          </w:p>
        </w:tc>
        <w:tc>
          <w:tcPr>
            <w:tcW w:w="78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6.05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6.45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2.15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0.94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1.48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4.44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7.66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12.77 </w:t>
            </w:r>
          </w:p>
        </w:tc>
        <w:tc>
          <w:tcPr>
            <w:tcW w:w="78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8.33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8.33 </w:t>
            </w:r>
          </w:p>
        </w:tc>
        <w:tc>
          <w:tcPr>
            <w:tcW w:w="86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2.69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1.34 </w:t>
            </w:r>
          </w:p>
        </w:tc>
        <w:tc>
          <w:tcPr>
            <w:tcW w:w="90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0.94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3.63 </w:t>
            </w:r>
          </w:p>
        </w:tc>
        <w:tc>
          <w:tcPr>
            <w:tcW w:w="85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7.93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13.98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19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6 月</w:t>
            </w:r>
          </w:p>
        </w:tc>
        <w:tc>
          <w:tcPr>
            <w:tcW w:w="81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9.44 </w:t>
            </w:r>
          </w:p>
        </w:tc>
        <w:tc>
          <w:tcPr>
            <w:tcW w:w="78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8.47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6.11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3.33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0.97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2.36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6.67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5.97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10.00 </w:t>
            </w:r>
          </w:p>
        </w:tc>
        <w:tc>
          <w:tcPr>
            <w:tcW w:w="78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8.19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10.28 </w:t>
            </w:r>
          </w:p>
        </w:tc>
        <w:tc>
          <w:tcPr>
            <w:tcW w:w="86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3.89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2.92 </w:t>
            </w:r>
          </w:p>
        </w:tc>
        <w:tc>
          <w:tcPr>
            <w:tcW w:w="90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1.53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1.39 </w:t>
            </w:r>
          </w:p>
        </w:tc>
        <w:tc>
          <w:tcPr>
            <w:tcW w:w="85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6.11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12.36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19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 月</w:t>
            </w:r>
          </w:p>
        </w:tc>
        <w:tc>
          <w:tcPr>
            <w:tcW w:w="81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10.08 </w:t>
            </w:r>
          </w:p>
        </w:tc>
        <w:tc>
          <w:tcPr>
            <w:tcW w:w="78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6.99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6.59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2.82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0.81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1.48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4.57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5.11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15.05 </w:t>
            </w:r>
          </w:p>
        </w:tc>
        <w:tc>
          <w:tcPr>
            <w:tcW w:w="78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10.48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6.45 </w:t>
            </w:r>
          </w:p>
        </w:tc>
        <w:tc>
          <w:tcPr>
            <w:tcW w:w="86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5.24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3.09 </w:t>
            </w:r>
          </w:p>
        </w:tc>
        <w:tc>
          <w:tcPr>
            <w:tcW w:w="90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1.48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0.94 </w:t>
            </w:r>
          </w:p>
        </w:tc>
        <w:tc>
          <w:tcPr>
            <w:tcW w:w="85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7.26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11.56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19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8 月</w:t>
            </w:r>
          </w:p>
        </w:tc>
        <w:tc>
          <w:tcPr>
            <w:tcW w:w="81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19.89 </w:t>
            </w:r>
          </w:p>
        </w:tc>
        <w:tc>
          <w:tcPr>
            <w:tcW w:w="78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12.63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6.59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3.09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1.21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3.23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5.51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4.30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2.55 </w:t>
            </w:r>
          </w:p>
        </w:tc>
        <w:tc>
          <w:tcPr>
            <w:tcW w:w="78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3.76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7.12 </w:t>
            </w:r>
          </w:p>
        </w:tc>
        <w:tc>
          <w:tcPr>
            <w:tcW w:w="86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2.69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2.28 </w:t>
            </w:r>
          </w:p>
        </w:tc>
        <w:tc>
          <w:tcPr>
            <w:tcW w:w="90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1.61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1.75 </w:t>
            </w:r>
          </w:p>
        </w:tc>
        <w:tc>
          <w:tcPr>
            <w:tcW w:w="85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8.87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12.90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19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9 月</w:t>
            </w:r>
          </w:p>
        </w:tc>
        <w:tc>
          <w:tcPr>
            <w:tcW w:w="81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15.28 </w:t>
            </w:r>
          </w:p>
        </w:tc>
        <w:tc>
          <w:tcPr>
            <w:tcW w:w="78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11.11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11.53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5.42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1.11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4.03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8.47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3.47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3.61 </w:t>
            </w:r>
          </w:p>
        </w:tc>
        <w:tc>
          <w:tcPr>
            <w:tcW w:w="78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3.75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6.53 </w:t>
            </w:r>
          </w:p>
        </w:tc>
        <w:tc>
          <w:tcPr>
            <w:tcW w:w="86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4.58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2.64 </w:t>
            </w:r>
          </w:p>
        </w:tc>
        <w:tc>
          <w:tcPr>
            <w:tcW w:w="90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1.67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1.39 </w:t>
            </w:r>
          </w:p>
        </w:tc>
        <w:tc>
          <w:tcPr>
            <w:tcW w:w="85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8.19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7.22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19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10 月</w:t>
            </w:r>
          </w:p>
        </w:tc>
        <w:tc>
          <w:tcPr>
            <w:tcW w:w="81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17.34 </w:t>
            </w:r>
          </w:p>
        </w:tc>
        <w:tc>
          <w:tcPr>
            <w:tcW w:w="78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29.97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15.32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4.97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2.02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3.63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2.55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1.48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1.88 </w:t>
            </w:r>
          </w:p>
        </w:tc>
        <w:tc>
          <w:tcPr>
            <w:tcW w:w="78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2.15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1.88 </w:t>
            </w:r>
          </w:p>
        </w:tc>
        <w:tc>
          <w:tcPr>
            <w:tcW w:w="86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1.08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1.08 </w:t>
            </w:r>
          </w:p>
        </w:tc>
        <w:tc>
          <w:tcPr>
            <w:tcW w:w="90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1.08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1.75 </w:t>
            </w:r>
          </w:p>
        </w:tc>
        <w:tc>
          <w:tcPr>
            <w:tcW w:w="85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3.09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8.74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19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11 月</w:t>
            </w:r>
          </w:p>
        </w:tc>
        <w:tc>
          <w:tcPr>
            <w:tcW w:w="81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11.94 </w:t>
            </w:r>
          </w:p>
        </w:tc>
        <w:tc>
          <w:tcPr>
            <w:tcW w:w="78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14.31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12.36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7.36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4.03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5.00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4.58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3.47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3.89 </w:t>
            </w:r>
          </w:p>
        </w:tc>
        <w:tc>
          <w:tcPr>
            <w:tcW w:w="78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4.17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8.33 </w:t>
            </w:r>
          </w:p>
        </w:tc>
        <w:tc>
          <w:tcPr>
            <w:tcW w:w="86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3.06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1.67 </w:t>
            </w:r>
          </w:p>
        </w:tc>
        <w:tc>
          <w:tcPr>
            <w:tcW w:w="90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2.22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1.81 </w:t>
            </w:r>
          </w:p>
        </w:tc>
        <w:tc>
          <w:tcPr>
            <w:tcW w:w="85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5.97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5.83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19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12 月</w:t>
            </w:r>
          </w:p>
        </w:tc>
        <w:tc>
          <w:tcPr>
            <w:tcW w:w="81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10.62 </w:t>
            </w:r>
          </w:p>
        </w:tc>
        <w:tc>
          <w:tcPr>
            <w:tcW w:w="78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17.47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14.11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6.18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5.38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2.82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3.63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1.88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2.02 </w:t>
            </w:r>
          </w:p>
        </w:tc>
        <w:tc>
          <w:tcPr>
            <w:tcW w:w="78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5.91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7.93 </w:t>
            </w:r>
          </w:p>
        </w:tc>
        <w:tc>
          <w:tcPr>
            <w:tcW w:w="86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4.30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2.96 </w:t>
            </w:r>
          </w:p>
        </w:tc>
        <w:tc>
          <w:tcPr>
            <w:tcW w:w="90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1.88 </w:t>
            </w:r>
          </w:p>
        </w:tc>
        <w:tc>
          <w:tcPr>
            <w:tcW w:w="82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2.28 </w:t>
            </w:r>
          </w:p>
        </w:tc>
        <w:tc>
          <w:tcPr>
            <w:tcW w:w="85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5.38 </w:t>
            </w:r>
          </w:p>
        </w:tc>
        <w:tc>
          <w:tcPr>
            <w:tcW w:w="71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5.24 </w:t>
            </w:r>
          </w:p>
        </w:tc>
      </w:tr>
    </w:tbl>
    <w:p>
      <w:pPr>
        <w:ind w:firstLine="480"/>
      </w:pPr>
      <w:r>
        <w:rPr>
          <w:rFonts w:hint="eastAsia" w:ascii="仿宋_GB2312"/>
        </w:rPr>
        <w:t>岳阳市</w:t>
      </w:r>
      <w:r>
        <w:rPr>
          <w:rFonts w:ascii="仿宋_GB2312"/>
        </w:rPr>
        <w:t>年风速的季变化见下表。</w:t>
      </w:r>
    </w:p>
    <w:p>
      <w:pPr>
        <w:pStyle w:val="3586"/>
        <w:ind w:left="0"/>
      </w:pPr>
      <w:r>
        <w:t xml:space="preserve"> 年均风频的季变化</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63"/>
        <w:gridCol w:w="850"/>
        <w:gridCol w:w="786"/>
        <w:gridCol w:w="665"/>
        <w:gridCol w:w="769"/>
        <w:gridCol w:w="853"/>
        <w:gridCol w:w="853"/>
        <w:gridCol w:w="766"/>
        <w:gridCol w:w="668"/>
        <w:gridCol w:w="665"/>
        <w:gridCol w:w="786"/>
        <w:gridCol w:w="668"/>
        <w:gridCol w:w="932"/>
        <w:gridCol w:w="668"/>
        <w:gridCol w:w="999"/>
        <w:gridCol w:w="766"/>
        <w:gridCol w:w="915"/>
        <w:gridCol w:w="66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272"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月份</w:t>
            </w:r>
          </w:p>
        </w:tc>
        <w:tc>
          <w:tcPr>
            <w:tcW w:w="303"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N</w:t>
            </w:r>
          </w:p>
        </w:tc>
        <w:tc>
          <w:tcPr>
            <w:tcW w:w="280"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NNE</w:t>
            </w:r>
          </w:p>
        </w:tc>
        <w:tc>
          <w:tcPr>
            <w:tcW w:w="237"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NE</w:t>
            </w:r>
          </w:p>
        </w:tc>
        <w:tc>
          <w:tcPr>
            <w:tcW w:w="274"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ENE</w:t>
            </w:r>
          </w:p>
        </w:tc>
        <w:tc>
          <w:tcPr>
            <w:tcW w:w="304"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w:t>
            </w:r>
          </w:p>
        </w:tc>
        <w:tc>
          <w:tcPr>
            <w:tcW w:w="304"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ESE</w:t>
            </w:r>
          </w:p>
        </w:tc>
        <w:tc>
          <w:tcPr>
            <w:tcW w:w="273"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SE</w:t>
            </w:r>
          </w:p>
        </w:tc>
        <w:tc>
          <w:tcPr>
            <w:tcW w:w="238"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SSE</w:t>
            </w:r>
          </w:p>
        </w:tc>
        <w:tc>
          <w:tcPr>
            <w:tcW w:w="237"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S</w:t>
            </w:r>
          </w:p>
        </w:tc>
        <w:tc>
          <w:tcPr>
            <w:tcW w:w="280"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SSW</w:t>
            </w:r>
          </w:p>
        </w:tc>
        <w:tc>
          <w:tcPr>
            <w:tcW w:w="238"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SW</w:t>
            </w:r>
          </w:p>
        </w:tc>
        <w:tc>
          <w:tcPr>
            <w:tcW w:w="332"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WSW</w:t>
            </w:r>
          </w:p>
        </w:tc>
        <w:tc>
          <w:tcPr>
            <w:tcW w:w="238"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W</w:t>
            </w:r>
          </w:p>
        </w:tc>
        <w:tc>
          <w:tcPr>
            <w:tcW w:w="35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WNW</w:t>
            </w:r>
          </w:p>
        </w:tc>
        <w:tc>
          <w:tcPr>
            <w:tcW w:w="273"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NW</w:t>
            </w:r>
          </w:p>
        </w:tc>
        <w:tc>
          <w:tcPr>
            <w:tcW w:w="326"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NNW</w:t>
            </w:r>
          </w:p>
        </w:tc>
        <w:tc>
          <w:tcPr>
            <w:tcW w:w="235" w:type="pct"/>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 C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272"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春季</w:t>
            </w:r>
          </w:p>
        </w:tc>
        <w:tc>
          <w:tcPr>
            <w:tcW w:w="84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18.12 </w:t>
            </w:r>
          </w:p>
        </w:tc>
        <w:tc>
          <w:tcPr>
            <w:tcW w:w="78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13.13 </w:t>
            </w:r>
          </w:p>
        </w:tc>
        <w:tc>
          <w:tcPr>
            <w:tcW w:w="664"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11.78 </w:t>
            </w:r>
          </w:p>
        </w:tc>
        <w:tc>
          <w:tcPr>
            <w:tcW w:w="76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2.08 </w:t>
            </w:r>
          </w:p>
        </w:tc>
        <w:tc>
          <w:tcPr>
            <w:tcW w:w="85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1.40 </w:t>
            </w:r>
          </w:p>
        </w:tc>
        <w:tc>
          <w:tcPr>
            <w:tcW w:w="85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1.27 </w:t>
            </w:r>
          </w:p>
        </w:tc>
        <w:tc>
          <w:tcPr>
            <w:tcW w:w="76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3.31 </w:t>
            </w:r>
          </w:p>
        </w:tc>
        <w:tc>
          <w:tcPr>
            <w:tcW w:w="66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4.80 </w:t>
            </w:r>
          </w:p>
        </w:tc>
        <w:tc>
          <w:tcPr>
            <w:tcW w:w="664"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6.43 </w:t>
            </w:r>
          </w:p>
        </w:tc>
        <w:tc>
          <w:tcPr>
            <w:tcW w:w="78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5.62 </w:t>
            </w:r>
          </w:p>
        </w:tc>
        <w:tc>
          <w:tcPr>
            <w:tcW w:w="66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5.71 </w:t>
            </w:r>
          </w:p>
        </w:tc>
        <w:tc>
          <w:tcPr>
            <w:tcW w:w="930"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1.86 </w:t>
            </w:r>
          </w:p>
        </w:tc>
        <w:tc>
          <w:tcPr>
            <w:tcW w:w="66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1.22 </w:t>
            </w:r>
          </w:p>
        </w:tc>
        <w:tc>
          <w:tcPr>
            <w:tcW w:w="99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0.95 </w:t>
            </w:r>
          </w:p>
        </w:tc>
        <w:tc>
          <w:tcPr>
            <w:tcW w:w="76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2.31 </w:t>
            </w:r>
          </w:p>
        </w:tc>
        <w:tc>
          <w:tcPr>
            <w:tcW w:w="914"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6.43 </w:t>
            </w:r>
          </w:p>
        </w:tc>
        <w:tc>
          <w:tcPr>
            <w:tcW w:w="65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13.59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272"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夏季</w:t>
            </w:r>
          </w:p>
        </w:tc>
        <w:tc>
          <w:tcPr>
            <w:tcW w:w="84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13.18 </w:t>
            </w:r>
          </w:p>
        </w:tc>
        <w:tc>
          <w:tcPr>
            <w:tcW w:w="78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9.38 </w:t>
            </w:r>
          </w:p>
        </w:tc>
        <w:tc>
          <w:tcPr>
            <w:tcW w:w="664"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6.43 </w:t>
            </w:r>
          </w:p>
        </w:tc>
        <w:tc>
          <w:tcPr>
            <w:tcW w:w="76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3.08 </w:t>
            </w:r>
          </w:p>
        </w:tc>
        <w:tc>
          <w:tcPr>
            <w:tcW w:w="85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1.00 </w:t>
            </w:r>
          </w:p>
        </w:tc>
        <w:tc>
          <w:tcPr>
            <w:tcW w:w="85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2.36 </w:t>
            </w:r>
          </w:p>
        </w:tc>
        <w:tc>
          <w:tcPr>
            <w:tcW w:w="76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5.57 </w:t>
            </w:r>
          </w:p>
        </w:tc>
        <w:tc>
          <w:tcPr>
            <w:tcW w:w="66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5.12 </w:t>
            </w:r>
          </w:p>
        </w:tc>
        <w:tc>
          <w:tcPr>
            <w:tcW w:w="664"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9.19 </w:t>
            </w:r>
          </w:p>
        </w:tc>
        <w:tc>
          <w:tcPr>
            <w:tcW w:w="78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7.47 </w:t>
            </w:r>
          </w:p>
        </w:tc>
        <w:tc>
          <w:tcPr>
            <w:tcW w:w="66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7.93 </w:t>
            </w:r>
          </w:p>
        </w:tc>
        <w:tc>
          <w:tcPr>
            <w:tcW w:w="930"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3.94 </w:t>
            </w:r>
          </w:p>
        </w:tc>
        <w:tc>
          <w:tcPr>
            <w:tcW w:w="66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2.76 </w:t>
            </w:r>
          </w:p>
        </w:tc>
        <w:tc>
          <w:tcPr>
            <w:tcW w:w="99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1.54 </w:t>
            </w:r>
          </w:p>
        </w:tc>
        <w:tc>
          <w:tcPr>
            <w:tcW w:w="76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1.36 </w:t>
            </w:r>
          </w:p>
        </w:tc>
        <w:tc>
          <w:tcPr>
            <w:tcW w:w="914"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7.43 </w:t>
            </w:r>
          </w:p>
        </w:tc>
        <w:tc>
          <w:tcPr>
            <w:tcW w:w="65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12.27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272"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秋季</w:t>
            </w:r>
          </w:p>
        </w:tc>
        <w:tc>
          <w:tcPr>
            <w:tcW w:w="84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14.88 </w:t>
            </w:r>
          </w:p>
        </w:tc>
        <w:tc>
          <w:tcPr>
            <w:tcW w:w="78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18.59 </w:t>
            </w:r>
          </w:p>
        </w:tc>
        <w:tc>
          <w:tcPr>
            <w:tcW w:w="664"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13.10 </w:t>
            </w:r>
          </w:p>
        </w:tc>
        <w:tc>
          <w:tcPr>
            <w:tcW w:w="76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5.91 </w:t>
            </w:r>
          </w:p>
        </w:tc>
        <w:tc>
          <w:tcPr>
            <w:tcW w:w="85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2.38 </w:t>
            </w:r>
          </w:p>
        </w:tc>
        <w:tc>
          <w:tcPr>
            <w:tcW w:w="85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4.21 </w:t>
            </w:r>
          </w:p>
        </w:tc>
        <w:tc>
          <w:tcPr>
            <w:tcW w:w="76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5.17 </w:t>
            </w:r>
          </w:p>
        </w:tc>
        <w:tc>
          <w:tcPr>
            <w:tcW w:w="66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2.79 </w:t>
            </w:r>
          </w:p>
        </w:tc>
        <w:tc>
          <w:tcPr>
            <w:tcW w:w="664"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3.11 </w:t>
            </w:r>
          </w:p>
        </w:tc>
        <w:tc>
          <w:tcPr>
            <w:tcW w:w="78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3.34 </w:t>
            </w:r>
          </w:p>
        </w:tc>
        <w:tc>
          <w:tcPr>
            <w:tcW w:w="66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5.54 </w:t>
            </w:r>
          </w:p>
        </w:tc>
        <w:tc>
          <w:tcPr>
            <w:tcW w:w="930"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2.88 </w:t>
            </w:r>
          </w:p>
        </w:tc>
        <w:tc>
          <w:tcPr>
            <w:tcW w:w="66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1.79 </w:t>
            </w:r>
          </w:p>
        </w:tc>
        <w:tc>
          <w:tcPr>
            <w:tcW w:w="99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1.65 </w:t>
            </w:r>
          </w:p>
        </w:tc>
        <w:tc>
          <w:tcPr>
            <w:tcW w:w="76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1.65 </w:t>
            </w:r>
          </w:p>
        </w:tc>
        <w:tc>
          <w:tcPr>
            <w:tcW w:w="914"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5.72 </w:t>
            </w:r>
          </w:p>
        </w:tc>
        <w:tc>
          <w:tcPr>
            <w:tcW w:w="65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7.28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272"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冬季</w:t>
            </w:r>
          </w:p>
        </w:tc>
        <w:tc>
          <w:tcPr>
            <w:tcW w:w="84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12.64 </w:t>
            </w:r>
          </w:p>
        </w:tc>
        <w:tc>
          <w:tcPr>
            <w:tcW w:w="78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18.19 </w:t>
            </w:r>
          </w:p>
        </w:tc>
        <w:tc>
          <w:tcPr>
            <w:tcW w:w="664"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12.50 </w:t>
            </w:r>
          </w:p>
        </w:tc>
        <w:tc>
          <w:tcPr>
            <w:tcW w:w="76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3.98 </w:t>
            </w:r>
          </w:p>
        </w:tc>
        <w:tc>
          <w:tcPr>
            <w:tcW w:w="85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3.75 </w:t>
            </w:r>
          </w:p>
        </w:tc>
        <w:tc>
          <w:tcPr>
            <w:tcW w:w="85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2.87 </w:t>
            </w:r>
          </w:p>
        </w:tc>
        <w:tc>
          <w:tcPr>
            <w:tcW w:w="76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3.66 </w:t>
            </w:r>
          </w:p>
        </w:tc>
        <w:tc>
          <w:tcPr>
            <w:tcW w:w="66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4.63 </w:t>
            </w:r>
          </w:p>
        </w:tc>
        <w:tc>
          <w:tcPr>
            <w:tcW w:w="664"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3.98 </w:t>
            </w:r>
          </w:p>
        </w:tc>
        <w:tc>
          <w:tcPr>
            <w:tcW w:w="78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5.05 </w:t>
            </w:r>
          </w:p>
        </w:tc>
        <w:tc>
          <w:tcPr>
            <w:tcW w:w="66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6.20 </w:t>
            </w:r>
          </w:p>
        </w:tc>
        <w:tc>
          <w:tcPr>
            <w:tcW w:w="930"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3.06 </w:t>
            </w:r>
          </w:p>
        </w:tc>
        <w:tc>
          <w:tcPr>
            <w:tcW w:w="66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1.81 </w:t>
            </w:r>
          </w:p>
        </w:tc>
        <w:tc>
          <w:tcPr>
            <w:tcW w:w="99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1.44 </w:t>
            </w:r>
          </w:p>
        </w:tc>
        <w:tc>
          <w:tcPr>
            <w:tcW w:w="76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1.85 </w:t>
            </w:r>
          </w:p>
        </w:tc>
        <w:tc>
          <w:tcPr>
            <w:tcW w:w="914"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4.91 </w:t>
            </w:r>
          </w:p>
        </w:tc>
        <w:tc>
          <w:tcPr>
            <w:tcW w:w="65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9.49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272"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全年</w:t>
            </w:r>
          </w:p>
        </w:tc>
        <w:tc>
          <w:tcPr>
            <w:tcW w:w="84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14.71 </w:t>
            </w:r>
          </w:p>
        </w:tc>
        <w:tc>
          <w:tcPr>
            <w:tcW w:w="78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14.79 </w:t>
            </w:r>
          </w:p>
        </w:tc>
        <w:tc>
          <w:tcPr>
            <w:tcW w:w="664"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10.94 </w:t>
            </w:r>
          </w:p>
        </w:tc>
        <w:tc>
          <w:tcPr>
            <w:tcW w:w="76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3.76 </w:t>
            </w:r>
          </w:p>
        </w:tc>
        <w:tc>
          <w:tcPr>
            <w:tcW w:w="85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2.12 </w:t>
            </w:r>
          </w:p>
        </w:tc>
        <w:tc>
          <w:tcPr>
            <w:tcW w:w="852"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2.67 </w:t>
            </w:r>
          </w:p>
        </w:tc>
        <w:tc>
          <w:tcPr>
            <w:tcW w:w="76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4.43 </w:t>
            </w:r>
          </w:p>
        </w:tc>
        <w:tc>
          <w:tcPr>
            <w:tcW w:w="66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4.34 </w:t>
            </w:r>
          </w:p>
        </w:tc>
        <w:tc>
          <w:tcPr>
            <w:tcW w:w="664"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5.70 </w:t>
            </w:r>
          </w:p>
        </w:tc>
        <w:tc>
          <w:tcPr>
            <w:tcW w:w="78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5.38 </w:t>
            </w:r>
          </w:p>
        </w:tc>
        <w:tc>
          <w:tcPr>
            <w:tcW w:w="66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6.35 </w:t>
            </w:r>
          </w:p>
        </w:tc>
        <w:tc>
          <w:tcPr>
            <w:tcW w:w="930"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2.93 </w:t>
            </w:r>
          </w:p>
        </w:tc>
        <w:tc>
          <w:tcPr>
            <w:tcW w:w="667"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1.89 </w:t>
            </w:r>
          </w:p>
        </w:tc>
        <w:tc>
          <w:tcPr>
            <w:tcW w:w="998"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1.39 </w:t>
            </w:r>
          </w:p>
        </w:tc>
        <w:tc>
          <w:tcPr>
            <w:tcW w:w="765"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1.79 </w:t>
            </w:r>
          </w:p>
        </w:tc>
        <w:tc>
          <w:tcPr>
            <w:tcW w:w="914"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6.13 </w:t>
            </w:r>
          </w:p>
        </w:tc>
        <w:tc>
          <w:tcPr>
            <w:tcW w:w="659" w:type="dxa"/>
            <w:tcBorders>
              <w:tl2br w:val="nil"/>
              <w:tr2bl w:val="nil"/>
            </w:tcBorders>
            <w:vAlign w:val="bottom"/>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10.67 </w:t>
            </w:r>
          </w:p>
        </w:tc>
      </w:tr>
    </w:tbl>
    <w:p>
      <w:pPr>
        <w:widowControl/>
        <w:spacing w:line="240" w:lineRule="auto"/>
        <w:ind w:firstLine="0" w:firstLineChars="0"/>
        <w:jc w:val="left"/>
        <w:sectPr>
          <w:pgSz w:w="16838" w:h="11906" w:orient="landscape"/>
          <w:pgMar w:top="1418" w:right="1418" w:bottom="1440" w:left="1418"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ind w:firstLine="480"/>
      </w:pPr>
      <w:r>
        <w:rPr>
          <w:rFonts w:hint="eastAsia" w:ascii="宋体" w:hAnsi="宋体" w:cs="宋体"/>
        </w:rPr>
        <w:t>②</w:t>
      </w:r>
      <w:r>
        <w:rPr>
          <w:rFonts w:ascii="仿宋_GB2312"/>
        </w:rPr>
        <w:t>风向玫瑰图</w:t>
      </w:r>
      <w:r>
        <w:rPr>
          <w:rFonts w:hint="eastAsia"/>
        </w:rPr>
        <w:t>：</w:t>
      </w:r>
      <w:r>
        <w:rPr>
          <w:rFonts w:hint="eastAsia" w:ascii="仿宋_GB2312"/>
        </w:rPr>
        <w:t>岳阳市</w:t>
      </w:r>
      <w:r>
        <w:t>202</w:t>
      </w:r>
      <w:r>
        <w:rPr>
          <w:rFonts w:hint="eastAsia"/>
        </w:rPr>
        <w:t>1</w:t>
      </w:r>
      <w:r>
        <w:rPr>
          <w:rFonts w:ascii="仿宋_GB2312"/>
        </w:rPr>
        <w:t>年风向玫瑰图见下图。</w:t>
      </w:r>
    </w:p>
    <w:p>
      <w:pPr>
        <w:pStyle w:val="2057"/>
        <w:spacing w:afterLines="0"/>
        <w:ind w:firstLine="0" w:firstLineChars="0"/>
      </w:pPr>
      <w:r>
        <w:drawing>
          <wp:inline distT="0" distB="0" distL="0" distR="0">
            <wp:extent cx="5067300" cy="7229475"/>
            <wp:effectExtent l="0" t="0" r="0" b="952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a:xfrm>
                      <a:off x="0" y="0"/>
                      <a:ext cx="5067300" cy="7229475"/>
                    </a:xfrm>
                    <a:prstGeom prst="rect">
                      <a:avLst/>
                    </a:prstGeom>
                    <a:noFill/>
                    <a:ln>
                      <a:noFill/>
                    </a:ln>
                  </pic:spPr>
                </pic:pic>
              </a:graphicData>
            </a:graphic>
          </wp:inline>
        </w:drawing>
      </w:r>
      <w:r>
        <w:t xml:space="preserve"> </w:t>
      </w:r>
    </w:p>
    <w:p>
      <w:pPr>
        <w:pStyle w:val="3609"/>
        <w:spacing w:line="240" w:lineRule="atLeast"/>
        <w:ind w:left="0"/>
      </w:pPr>
      <w:r>
        <w:rPr>
          <w:rFonts w:hint="eastAsia"/>
        </w:rPr>
        <w:t>岳阳市</w:t>
      </w:r>
      <w:r>
        <w:t>2021年风向玫瑰图</w:t>
      </w:r>
    </w:p>
    <w:p>
      <w:pPr>
        <w:pStyle w:val="456"/>
        <w:ind w:firstLine="482"/>
      </w:pPr>
      <w:r>
        <w:rPr>
          <w:rFonts w:hint="eastAsia"/>
          <w:lang w:val="en-US"/>
        </w:rPr>
        <w:t>模型选择</w:t>
      </w:r>
    </w:p>
    <w:p>
      <w:pPr>
        <w:ind w:firstLine="480"/>
      </w:pPr>
      <w:r>
        <w:rPr>
          <w:rFonts w:hint="eastAsia"/>
        </w:rPr>
        <w:t>本次大气评价等级为一级，因此，需采用进一步预测模型开展大气环境影响预测与评价。根据《环境影响评价技术导则-大气环境》（HJ2.2-2018）表3推荐模型适用范围，满足拟建项目进一步预测的模型有AREMOD、ADMS、CALPUFF。</w:t>
      </w:r>
    </w:p>
    <w:p>
      <w:pPr>
        <w:ind w:firstLine="480"/>
        <w:rPr>
          <w:color w:val="000000" w:themeColor="text1"/>
          <w14:textFill>
            <w14:solidFill>
              <w14:schemeClr w14:val="tx1"/>
            </w14:solidFill>
          </w14:textFill>
        </w:rPr>
      </w:pPr>
      <w:r>
        <w:rPr>
          <w:rFonts w:hint="eastAsia"/>
        </w:rPr>
        <w:t>根据</w:t>
      </w:r>
      <w:r>
        <w:rPr>
          <w:rFonts w:hint="eastAsia" w:ascii="仿宋_GB2312"/>
        </w:rPr>
        <w:t>岳阳市</w:t>
      </w:r>
      <w:r>
        <w:rPr>
          <w:rFonts w:hint="eastAsia"/>
        </w:rPr>
        <w:t>气象站20</w:t>
      </w:r>
      <w:r>
        <w:t>2</w:t>
      </w:r>
      <w:r>
        <w:rPr>
          <w:rFonts w:hint="eastAsia"/>
        </w:rPr>
        <w:t>1年的气象统计结</w:t>
      </w:r>
      <w:r>
        <w:rPr>
          <w:rFonts w:hint="eastAsia"/>
          <w:color w:val="000000" w:themeColor="text1"/>
          <w14:textFill>
            <w14:solidFill>
              <w14:schemeClr w14:val="tx1"/>
            </w14:solidFill>
          </w14:textFill>
        </w:rPr>
        <w:t>果：</w:t>
      </w:r>
      <w:r>
        <w:rPr>
          <w:rFonts w:hint="eastAsia" w:ascii="仿宋_GB2312"/>
          <w:color w:val="000000" w:themeColor="text1"/>
          <w14:textFill>
            <w14:solidFill>
              <w14:schemeClr w14:val="tx1"/>
            </w14:solidFill>
          </w14:textFill>
        </w:rPr>
        <w:t>岳阳市</w:t>
      </w:r>
      <w:r>
        <w:rPr>
          <w:rFonts w:hint="eastAsia"/>
          <w:color w:val="000000" w:themeColor="text1"/>
          <w14:textFill>
            <w14:solidFill>
              <w14:schemeClr w14:val="tx1"/>
            </w14:solidFill>
          </w14:textFill>
        </w:rPr>
        <w:t>20</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1年基准年出现风速</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0.5m/s的持续时间为2h，开始于2021年1月4日18：00，持续时间未超过72h；近20年统计的全年静风</w:t>
      </w:r>
      <w:r>
        <w:rPr>
          <w:color w:val="000000" w:themeColor="text1"/>
          <w14:textFill>
            <w14:solidFill>
              <w14:schemeClr w14:val="tx1"/>
            </w14:solidFill>
          </w14:textFill>
        </w:rPr>
        <w:t>（风速≤0.2m/s</w:t>
      </w:r>
      <w:r>
        <w:rPr>
          <w:rFonts w:hint="eastAsia"/>
          <w:color w:val="000000" w:themeColor="text1"/>
          <w14:textFill>
            <w14:solidFill>
              <w14:schemeClr w14:val="tx1"/>
            </w14:solidFill>
          </w14:textFill>
        </w:rPr>
        <w:t>）频率为5.34%，未超过35%。本项目不存在高烟囱，不会发生熏烟现象。因此，本次评价不需要采用CALPUFF模型进行进一步预测。</w:t>
      </w:r>
    </w:p>
    <w:p>
      <w:pPr>
        <w:ind w:firstLine="480"/>
      </w:pPr>
      <w:r>
        <w:rPr>
          <w:rFonts w:hint="eastAsia"/>
        </w:rPr>
        <w:t>本次采用环安大气环境影响评价系统AERMODSYSTEM V4 对本项目进行进一步预测。环安大气环境影响评价系统 AERMODSYSTEM 耦合了《环境影响评价技术导则</w:t>
      </w:r>
    </w:p>
    <w:p>
      <w:pPr>
        <w:ind w:firstLine="0" w:firstLineChars="0"/>
      </w:pPr>
      <w:r>
        <w:rPr>
          <w:rFonts w:hint="eastAsia"/>
        </w:rPr>
        <w:t>大气环境》（HJ2.2-2018）推荐的 AERMOD、AERMAP、AERMET、BPIPRIME 模型，提供导则要求的进一步预测的要求，软件操作简单、功能强大，表现丰富，适用于大气环境影响一级评价。</w:t>
      </w:r>
    </w:p>
    <w:p>
      <w:pPr>
        <w:pStyle w:val="456"/>
        <w:ind w:firstLine="482"/>
      </w:pPr>
      <w:r>
        <w:rPr>
          <w:rFonts w:hint="eastAsia"/>
          <w:lang w:val="en-US"/>
        </w:rPr>
        <w:t>基础数据</w:t>
      </w:r>
    </w:p>
    <w:p>
      <w:pPr>
        <w:ind w:firstLine="480"/>
      </w:pPr>
      <w:r>
        <w:rPr>
          <w:rFonts w:hint="eastAsia"/>
        </w:rPr>
        <w:t>（1）气象数据：项目位于岳阳市云溪港区道仁矶港区</w:t>
      </w:r>
      <w:r>
        <w:t>作业区范围</w:t>
      </w:r>
      <w:r>
        <w:rPr>
          <w:rFonts w:hint="eastAsia"/>
        </w:rPr>
        <w:t>，厂址距岳阳市气象台（编号为57584，经纬度为：113.08</w:t>
      </w:r>
      <w:r>
        <w:t>E</w:t>
      </w:r>
      <w:r>
        <w:rPr>
          <w:rFonts w:hint="eastAsia"/>
        </w:rPr>
        <w:t>，29.38</w:t>
      </w:r>
      <w:r>
        <w:t>N</w:t>
      </w:r>
      <w:r>
        <w:rPr>
          <w:rFonts w:hint="eastAsia"/>
        </w:rPr>
        <w:t>）约18km的2</w:t>
      </w:r>
      <w:r>
        <w:t>02</w:t>
      </w:r>
      <w:r>
        <w:rPr>
          <w:rFonts w:hint="eastAsia"/>
        </w:rPr>
        <w:t>1年地面气象数据和探空数据资料，具体见5</w:t>
      </w:r>
      <w:r>
        <w:t>.</w:t>
      </w:r>
      <w:r>
        <w:rPr>
          <w:rFonts w:hint="eastAsia"/>
        </w:rPr>
        <w:t>3</w:t>
      </w:r>
      <w:r>
        <w:t>.1.2</w:t>
      </w:r>
      <w:r>
        <w:rPr>
          <w:rFonts w:hint="eastAsia"/>
        </w:rPr>
        <w:t>。</w:t>
      </w:r>
    </w:p>
    <w:p>
      <w:pPr>
        <w:ind w:firstLine="480"/>
      </w:pPr>
      <w:r>
        <w:rPr>
          <w:rFonts w:hint="eastAsia"/>
        </w:rPr>
        <w:t>（2）地形数据：本项目地形数据来自EIAProA Generated DEM from SRTM（Shuttle Radar</w:t>
      </w:r>
      <w:r>
        <w:t xml:space="preserve"> Topography Mission</w:t>
      </w:r>
      <w:r>
        <w:rPr>
          <w:rFonts w:hint="eastAsia"/>
        </w:rPr>
        <w:t>。地形数据范围srtm59-07。</w:t>
      </w:r>
    </w:p>
    <w:p>
      <w:pPr>
        <w:pStyle w:val="456"/>
        <w:ind w:firstLine="482"/>
      </w:pPr>
      <w:r>
        <w:rPr>
          <w:rFonts w:hint="eastAsia"/>
          <w:lang w:val="en-US"/>
        </w:rPr>
        <w:t>参数选择</w:t>
      </w:r>
    </w:p>
    <w:p>
      <w:pPr>
        <w:ind w:firstLine="480"/>
      </w:pPr>
      <w:r>
        <w:rPr>
          <w:rFonts w:hint="eastAsia"/>
        </w:rPr>
        <w:t>（1）预测网格设置：本次预测范围为自以厂址为中心</w:t>
      </w:r>
      <w:r>
        <w:t>5</w:t>
      </w:r>
      <w:r>
        <w:rPr>
          <w:rFonts w:hint="eastAsia"/>
        </w:rPr>
        <w:t>km的矩形区域，覆盖了评价范围及污染物短期浓度贡献值占标率大于10%的区域。</w:t>
      </w:r>
      <w:r>
        <w:rPr>
          <w:rFonts w:ascii="仿宋_GB2312"/>
        </w:rPr>
        <w:t>预测范围采用近密远疏网格点，网格定义为</w:t>
      </w:r>
      <w:r>
        <w:t>X</w:t>
      </w:r>
      <w:r>
        <w:rPr>
          <w:rFonts w:ascii="仿宋_GB2312"/>
        </w:rPr>
        <w:t>方向：</w:t>
      </w:r>
      <w:r>
        <w:t>[-2500,-1000,0,1000,2500]100,50,50,100</w:t>
      </w:r>
      <w:r>
        <w:rPr>
          <w:rFonts w:ascii="仿宋_GB2312"/>
        </w:rPr>
        <w:t>；</w:t>
      </w:r>
      <w:r>
        <w:t>Y</w:t>
      </w:r>
      <w:r>
        <w:rPr>
          <w:rFonts w:ascii="仿宋_GB2312"/>
        </w:rPr>
        <w:t>方向</w:t>
      </w:r>
      <w:r>
        <w:t>[-2500,-1000,0,1000,2500]100,50,50,100</w:t>
      </w:r>
      <w:r>
        <w:rPr>
          <w:rFonts w:ascii="仿宋_GB2312"/>
        </w:rPr>
        <w:t>。</w:t>
      </w:r>
    </w:p>
    <w:p>
      <w:pPr>
        <w:ind w:firstLine="480"/>
      </w:pPr>
      <w:r>
        <w:rPr>
          <w:rFonts w:hint="eastAsia" w:ascii="仿宋_GB2312"/>
        </w:rPr>
        <w:t>（2）计算点：</w:t>
      </w:r>
      <w:r>
        <w:rPr>
          <w:rFonts w:hint="eastAsia"/>
        </w:rPr>
        <w:t>本项目设置多个离散点为项目预测范围内的主要敏感点。</w:t>
      </w:r>
    </w:p>
    <w:p>
      <w:pPr>
        <w:pStyle w:val="3586"/>
        <w:ind w:left="0"/>
      </w:pPr>
      <w:r>
        <w:t xml:space="preserve"> 主要环境空气质量敏感点一览表</w:t>
      </w:r>
    </w:p>
    <w:tbl>
      <w:tblPr>
        <w:tblStyle w:val="8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974"/>
        <w:gridCol w:w="1445"/>
        <w:gridCol w:w="972"/>
        <w:gridCol w:w="1128"/>
        <w:gridCol w:w="2102"/>
        <w:gridCol w:w="24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bottom w:val="single" w:color="auto" w:sz="12" w:space="0"/>
            </w:tcBorders>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序号</w:t>
            </w:r>
          </w:p>
        </w:tc>
        <w:tc>
          <w:tcPr>
            <w:tcW w:w="794" w:type="pct"/>
            <w:tcBorders>
              <w:bottom w:val="single" w:color="auto" w:sz="12" w:space="0"/>
            </w:tcBorders>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名称</w:t>
            </w:r>
          </w:p>
        </w:tc>
        <w:tc>
          <w:tcPr>
            <w:tcW w:w="534" w:type="pct"/>
            <w:tcBorders>
              <w:bottom w:val="single" w:color="auto" w:sz="12" w:space="0"/>
            </w:tcBorders>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X</w:t>
            </w:r>
          </w:p>
        </w:tc>
        <w:tc>
          <w:tcPr>
            <w:tcW w:w="620" w:type="pct"/>
            <w:tcBorders>
              <w:bottom w:val="single" w:color="auto" w:sz="12" w:space="0"/>
            </w:tcBorders>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Y</w:t>
            </w:r>
          </w:p>
        </w:tc>
        <w:tc>
          <w:tcPr>
            <w:tcW w:w="1155" w:type="pct"/>
            <w:tcBorders>
              <w:bottom w:val="single" w:color="auto" w:sz="12" w:space="0"/>
            </w:tcBorders>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环境功能区划</w:t>
            </w:r>
          </w:p>
        </w:tc>
        <w:tc>
          <w:tcPr>
            <w:tcW w:w="1360" w:type="pct"/>
            <w:tcBorders>
              <w:bottom w:val="single" w:color="auto" w:sz="12" w:space="0"/>
            </w:tcBorders>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相对厂址方位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535" w:type="pct"/>
            <w:tcBorders>
              <w:top w:val="single" w:color="auto" w:sz="12" w:space="0"/>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w:t>
            </w:r>
          </w:p>
        </w:tc>
        <w:tc>
          <w:tcPr>
            <w:tcW w:w="1442" w:type="dxa"/>
            <w:tcBorders>
              <w:top w:val="single" w:color="auto" w:sz="12" w:space="0"/>
              <w:tl2br w:val="nil"/>
              <w:tr2bl w:val="nil"/>
            </w:tcBorders>
            <w:vAlign w:val="center"/>
          </w:tcPr>
          <w:p>
            <w:pPr>
              <w:pStyle w:val="2133"/>
              <w:adjustRightInd w:val="0"/>
              <w:snapToGrid w:val="0"/>
              <w:spacing w:line="240" w:lineRule="auto"/>
              <w:ind w:left="-120" w:leftChars="-50" w:right="-120" w:rightChars="-50" w:firstLine="0" w:firstLineChars="0"/>
              <w:jc w:val="center"/>
              <w:rPr>
                <w:kern w:val="0"/>
                <w:sz w:val="21"/>
                <w:szCs w:val="21"/>
              </w:rPr>
            </w:pPr>
            <w:r>
              <w:rPr>
                <w:rFonts w:hint="eastAsia" w:cs="Times New Roman"/>
                <w:sz w:val="21"/>
                <w:szCs w:val="21"/>
              </w:rPr>
              <w:t>滨江学校</w:t>
            </w:r>
          </w:p>
        </w:tc>
        <w:tc>
          <w:tcPr>
            <w:tcW w:w="970" w:type="dxa"/>
            <w:tcBorders>
              <w:top w:val="single" w:color="auto" w:sz="12" w:space="0"/>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725.74</w:t>
            </w:r>
          </w:p>
        </w:tc>
        <w:tc>
          <w:tcPr>
            <w:tcW w:w="1126" w:type="dxa"/>
            <w:tcBorders>
              <w:top w:val="single" w:color="auto" w:sz="12" w:space="0"/>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-23.89</w:t>
            </w:r>
          </w:p>
        </w:tc>
        <w:tc>
          <w:tcPr>
            <w:tcW w:w="1155" w:type="pct"/>
            <w:tcBorders>
              <w:top w:val="single" w:color="auto" w:sz="12" w:space="0"/>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op w:val="single" w:color="auto" w:sz="12" w:space="0"/>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kern w:val="0"/>
                <w:sz w:val="21"/>
                <w:szCs w:val="21"/>
              </w:rPr>
            </w:pPr>
            <w:r>
              <w:rPr>
                <w:rFonts w:hint="eastAsia" w:cs="Times New Roman"/>
                <w:sz w:val="21"/>
                <w:szCs w:val="21"/>
              </w:rPr>
              <w:t>大鼓山</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2051.25</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-9.44</w:t>
            </w:r>
          </w:p>
        </w:tc>
        <w:tc>
          <w:tcPr>
            <w:tcW w:w="115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kern w:val="0"/>
                <w:sz w:val="21"/>
                <w:szCs w:val="21"/>
              </w:rPr>
            </w:pPr>
            <w:r>
              <w:rPr>
                <w:rFonts w:hint="eastAsia" w:cs="Times New Roman"/>
                <w:sz w:val="21"/>
                <w:szCs w:val="21"/>
              </w:rPr>
              <w:t>滨江村</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360.96</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-280.32</w:t>
            </w:r>
          </w:p>
        </w:tc>
        <w:tc>
          <w:tcPr>
            <w:tcW w:w="115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SE</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kern w:val="0"/>
                <w:sz w:val="21"/>
                <w:szCs w:val="21"/>
              </w:rPr>
            </w:pPr>
            <w:r>
              <w:rPr>
                <w:rFonts w:hint="eastAsia" w:cs="Times New Roman"/>
                <w:sz w:val="21"/>
                <w:szCs w:val="21"/>
              </w:rPr>
              <w:t>吴家垄</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1083.31</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-370.62</w:t>
            </w:r>
          </w:p>
        </w:tc>
        <w:tc>
          <w:tcPr>
            <w:tcW w:w="115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ESE</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kern w:val="0"/>
                <w:sz w:val="21"/>
                <w:szCs w:val="21"/>
              </w:rPr>
            </w:pPr>
            <w:r>
              <w:rPr>
                <w:rFonts w:hint="eastAsia" w:cs="Times New Roman"/>
                <w:sz w:val="21"/>
                <w:szCs w:val="21"/>
              </w:rPr>
              <w:t>胥芦畈</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2184.88</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-240.59</w:t>
            </w:r>
          </w:p>
        </w:tc>
        <w:tc>
          <w:tcPr>
            <w:tcW w:w="115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6</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kern w:val="0"/>
                <w:sz w:val="21"/>
                <w:szCs w:val="21"/>
              </w:rPr>
            </w:pPr>
            <w:r>
              <w:rPr>
                <w:rFonts w:hint="eastAsia" w:cs="Times New Roman"/>
                <w:sz w:val="21"/>
                <w:szCs w:val="21"/>
              </w:rPr>
              <w:t>橙子岭</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1877.89</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-525.92</w:t>
            </w:r>
          </w:p>
        </w:tc>
        <w:tc>
          <w:tcPr>
            <w:tcW w:w="115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ESE</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kern w:val="0"/>
                <w:sz w:val="21"/>
                <w:szCs w:val="21"/>
              </w:rPr>
            </w:pPr>
            <w:r>
              <w:rPr>
                <w:rFonts w:hint="eastAsia" w:cs="Times New Roman"/>
                <w:sz w:val="21"/>
                <w:szCs w:val="21"/>
              </w:rPr>
              <w:t>芦家屋场</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1155.54</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-543.98</w:t>
            </w:r>
          </w:p>
        </w:tc>
        <w:tc>
          <w:tcPr>
            <w:tcW w:w="115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ESE</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8</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kern w:val="0"/>
                <w:sz w:val="21"/>
                <w:szCs w:val="21"/>
              </w:rPr>
            </w:pPr>
            <w:r>
              <w:rPr>
                <w:rFonts w:hint="eastAsia" w:cs="Times New Roman"/>
                <w:sz w:val="21"/>
                <w:szCs w:val="21"/>
              </w:rPr>
              <w:t>汪家二房</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2135.47</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-968.34</w:t>
            </w:r>
          </w:p>
        </w:tc>
        <w:tc>
          <w:tcPr>
            <w:tcW w:w="115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ESE</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9</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kern w:val="0"/>
                <w:sz w:val="21"/>
                <w:szCs w:val="21"/>
              </w:rPr>
            </w:pPr>
            <w:r>
              <w:rPr>
                <w:rFonts w:hint="eastAsia" w:cs="Times New Roman"/>
                <w:sz w:val="21"/>
                <w:szCs w:val="21"/>
              </w:rPr>
              <w:t>乌石矶</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100.12</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-1102.53</w:t>
            </w:r>
          </w:p>
        </w:tc>
        <w:tc>
          <w:tcPr>
            <w:tcW w:w="115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10</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kern w:val="0"/>
                <w:sz w:val="21"/>
                <w:szCs w:val="21"/>
              </w:rPr>
            </w:pPr>
            <w:r>
              <w:rPr>
                <w:rFonts w:hint="eastAsia" w:cs="Times New Roman"/>
                <w:sz w:val="21"/>
                <w:szCs w:val="21"/>
              </w:rPr>
              <w:t>中屋沙咀</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681.65</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-1253.51</w:t>
            </w:r>
          </w:p>
        </w:tc>
        <w:tc>
          <w:tcPr>
            <w:tcW w:w="115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SSE</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11</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kern w:val="0"/>
                <w:sz w:val="21"/>
                <w:szCs w:val="21"/>
              </w:rPr>
            </w:pPr>
            <w:r>
              <w:rPr>
                <w:rFonts w:hint="eastAsia" w:cs="Times New Roman"/>
                <w:sz w:val="21"/>
                <w:szCs w:val="21"/>
              </w:rPr>
              <w:t>桑泥湖</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1788.79</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-1221</w:t>
            </w:r>
          </w:p>
        </w:tc>
        <w:tc>
          <w:tcPr>
            <w:tcW w:w="115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SE</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12</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kern w:val="0"/>
                <w:sz w:val="21"/>
                <w:szCs w:val="21"/>
              </w:rPr>
            </w:pPr>
            <w:r>
              <w:rPr>
                <w:rFonts w:hint="eastAsia" w:cs="Times New Roman"/>
                <w:sz w:val="21"/>
                <w:szCs w:val="21"/>
              </w:rPr>
              <w:t>屋沙咀</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-1583.28</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1790.9</w:t>
            </w:r>
          </w:p>
        </w:tc>
        <w:tc>
          <w:tcPr>
            <w:tcW w:w="115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NW</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13</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kern w:val="0"/>
                <w:sz w:val="21"/>
                <w:szCs w:val="21"/>
              </w:rPr>
            </w:pPr>
            <w:r>
              <w:rPr>
                <w:rFonts w:hint="eastAsia" w:cs="Times New Roman"/>
                <w:sz w:val="21"/>
                <w:szCs w:val="21"/>
              </w:rPr>
              <w:t>许家高墩</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867.56</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-1559.91</w:t>
            </w:r>
          </w:p>
        </w:tc>
        <w:tc>
          <w:tcPr>
            <w:tcW w:w="115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SSE</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14</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kern w:val="0"/>
                <w:sz w:val="21"/>
                <w:szCs w:val="21"/>
              </w:rPr>
            </w:pPr>
            <w:r>
              <w:rPr>
                <w:rFonts w:hint="eastAsia" w:cs="Times New Roman"/>
                <w:sz w:val="21"/>
                <w:szCs w:val="21"/>
              </w:rPr>
              <w:t>白鹭中学</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-1566.63</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2171.68</w:t>
            </w:r>
          </w:p>
        </w:tc>
        <w:tc>
          <w:tcPr>
            <w:tcW w:w="115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NW</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15</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kern w:val="0"/>
                <w:sz w:val="21"/>
                <w:szCs w:val="21"/>
              </w:rPr>
            </w:pPr>
            <w:r>
              <w:rPr>
                <w:rFonts w:hint="eastAsia" w:cs="Times New Roman"/>
                <w:sz w:val="21"/>
                <w:szCs w:val="21"/>
              </w:rPr>
              <w:t>七房</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186.03</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314.31</w:t>
            </w:r>
          </w:p>
        </w:tc>
        <w:tc>
          <w:tcPr>
            <w:tcW w:w="115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NNE</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16</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六屋</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1123.98</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1469.5</w:t>
            </w:r>
          </w:p>
        </w:tc>
        <w:tc>
          <w:tcPr>
            <w:tcW w:w="1155" w:type="pct"/>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NE</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17</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道仁矶中学</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1774.02</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1029.54</w:t>
            </w:r>
          </w:p>
        </w:tc>
        <w:tc>
          <w:tcPr>
            <w:tcW w:w="1155" w:type="pct"/>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ENE</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18</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高粱咀</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2016.62</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1514.75</w:t>
            </w:r>
          </w:p>
        </w:tc>
        <w:tc>
          <w:tcPr>
            <w:tcW w:w="1155" w:type="pct"/>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NE</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19</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新建</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2410.86</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1497.43</w:t>
            </w:r>
          </w:p>
        </w:tc>
        <w:tc>
          <w:tcPr>
            <w:tcW w:w="1155" w:type="pct"/>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ENE</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20</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胡家垄</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2142.26</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1120.52</w:t>
            </w:r>
          </w:p>
        </w:tc>
        <w:tc>
          <w:tcPr>
            <w:tcW w:w="1155" w:type="pct"/>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ENE</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21</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北斗坡</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2272.22</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799.93</w:t>
            </w:r>
          </w:p>
        </w:tc>
        <w:tc>
          <w:tcPr>
            <w:tcW w:w="1155" w:type="pct"/>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ENE</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22</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胡彭家</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2285.22</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522.67</w:t>
            </w:r>
          </w:p>
        </w:tc>
        <w:tc>
          <w:tcPr>
            <w:tcW w:w="1155" w:type="pct"/>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ENE</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23</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郑家祠堂</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1024.54</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197.75</w:t>
            </w:r>
          </w:p>
        </w:tc>
        <w:tc>
          <w:tcPr>
            <w:tcW w:w="1155" w:type="pct"/>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24</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庙冲</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2356.74</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185.99</w:t>
            </w:r>
          </w:p>
        </w:tc>
        <w:tc>
          <w:tcPr>
            <w:tcW w:w="1155" w:type="pct"/>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53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25</w:t>
            </w:r>
          </w:p>
        </w:tc>
        <w:tc>
          <w:tcPr>
            <w:tcW w:w="1442" w:type="dxa"/>
            <w:tcBorders>
              <w:tl2br w:val="nil"/>
              <w:tr2bl w:val="nil"/>
            </w:tcBorders>
            <w:vAlign w:val="center"/>
          </w:tcPr>
          <w:p>
            <w:pPr>
              <w:pStyle w:val="2133"/>
              <w:adjustRightInd w:val="0"/>
              <w:snapToGrid w:val="0"/>
              <w:spacing w:line="240" w:lineRule="auto"/>
              <w:ind w:left="-120" w:leftChars="-50" w:right="-120" w:rightChars="-50" w:firstLine="0" w:firstLineChars="0"/>
              <w:jc w:val="center"/>
              <w:rPr>
                <w:rFonts w:cs="Times New Roman"/>
                <w:sz w:val="21"/>
                <w:szCs w:val="21"/>
              </w:rPr>
            </w:pPr>
            <w:r>
              <w:rPr>
                <w:rFonts w:hint="eastAsia" w:cs="Times New Roman"/>
                <w:sz w:val="21"/>
                <w:szCs w:val="21"/>
              </w:rPr>
              <w:t>汪杨家</w:t>
            </w:r>
          </w:p>
        </w:tc>
        <w:tc>
          <w:tcPr>
            <w:tcW w:w="9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2445.1</w:t>
            </w:r>
          </w:p>
        </w:tc>
        <w:tc>
          <w:tcPr>
            <w:tcW w:w="1126"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74.48</w:t>
            </w:r>
          </w:p>
        </w:tc>
        <w:tc>
          <w:tcPr>
            <w:tcW w:w="1155" w:type="pct"/>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2470" w:type="dxa"/>
            <w:tcBorders>
              <w:tl2br w:val="nil"/>
              <w:tr2bl w:val="nil"/>
            </w:tcBorders>
            <w:vAlign w:val="center"/>
          </w:tcPr>
          <w:p>
            <w:pPr>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w:t>
            </w:r>
          </w:p>
        </w:tc>
      </w:tr>
    </w:tbl>
    <w:p>
      <w:pPr>
        <w:ind w:firstLine="480"/>
      </w:pPr>
      <w:r>
        <w:rPr>
          <w:rFonts w:hint="eastAsia"/>
        </w:rPr>
        <w:t>（3）干湿沉降：本次项目预测不考虑T</w:t>
      </w:r>
      <w:r>
        <w:t>SP</w:t>
      </w:r>
      <w:r>
        <w:rPr>
          <w:rFonts w:hint="eastAsia"/>
        </w:rPr>
        <w:t>干湿沉降。</w:t>
      </w:r>
    </w:p>
    <w:p>
      <w:pPr>
        <w:ind w:firstLine="480"/>
      </w:pPr>
      <w:r>
        <w:rPr>
          <w:rFonts w:hint="eastAsia"/>
        </w:rPr>
        <w:t>（4）预测因子：T</w:t>
      </w:r>
      <w:r>
        <w:t>SP</w:t>
      </w:r>
      <w:r>
        <w:rPr>
          <w:rFonts w:hint="eastAsia"/>
          <w:lang w:eastAsia="zh-CN"/>
        </w:rPr>
        <w:t>、</w:t>
      </w:r>
      <w:r>
        <w:rPr>
          <w:rFonts w:hint="eastAsia"/>
          <w:lang w:val="en-US" w:eastAsia="zh-CN"/>
        </w:rPr>
        <w:t>PM</w:t>
      </w:r>
      <w:r>
        <w:rPr>
          <w:rFonts w:hint="eastAsia"/>
          <w:vertAlign w:val="subscript"/>
          <w:lang w:val="en-US" w:eastAsia="zh-CN"/>
        </w:rPr>
        <w:t>10</w:t>
      </w:r>
      <w:r>
        <w:rPr>
          <w:rFonts w:hint="eastAsia"/>
          <w:lang w:val="en-US" w:eastAsia="zh-CN"/>
        </w:rPr>
        <w:t>、PM</w:t>
      </w:r>
      <w:r>
        <w:rPr>
          <w:rFonts w:hint="eastAsia"/>
          <w:vertAlign w:val="subscript"/>
          <w:lang w:val="en-US" w:eastAsia="zh-CN"/>
        </w:rPr>
        <w:t>2.5</w:t>
      </w:r>
      <w:r>
        <w:rPr>
          <w:rFonts w:hint="eastAsia"/>
        </w:rPr>
        <w:t>。</w:t>
      </w:r>
    </w:p>
    <w:p>
      <w:pPr>
        <w:spacing w:line="560" w:lineRule="exact"/>
        <w:rPr>
          <w:rFonts w:ascii="仿宋_GB2312" w:eastAsia="仿宋_GB2312" w:cs="Times New Roman"/>
          <w:sz w:val="32"/>
          <w:szCs w:val="32"/>
        </w:rPr>
      </w:pPr>
      <w:r>
        <w:rPr>
          <w:rFonts w:hint="eastAsia"/>
        </w:rPr>
        <w:t>（</w:t>
      </w:r>
      <w:r>
        <w:t>5</w:t>
      </w:r>
      <w:r>
        <w:rPr>
          <w:rFonts w:hint="eastAsia"/>
        </w:rPr>
        <w:t>）背景浓度参数：</w:t>
      </w:r>
      <w:r>
        <w:rPr>
          <w:rFonts w:hint="eastAsia"/>
          <w:lang w:val="en-US" w:eastAsia="zh-CN"/>
        </w:rPr>
        <w:t>PM</w:t>
      </w:r>
      <w:r>
        <w:rPr>
          <w:rFonts w:hint="eastAsia"/>
          <w:vertAlign w:val="subscript"/>
          <w:lang w:val="en-US" w:eastAsia="zh-CN"/>
        </w:rPr>
        <w:t>10</w:t>
      </w:r>
      <w:r>
        <w:rPr>
          <w:rFonts w:hint="eastAsia"/>
          <w:lang w:val="en-US" w:eastAsia="zh-CN"/>
        </w:rPr>
        <w:t>、PM</w:t>
      </w:r>
      <w:r>
        <w:rPr>
          <w:rFonts w:hint="eastAsia"/>
          <w:vertAlign w:val="subscript"/>
          <w:lang w:val="en-US" w:eastAsia="zh-CN"/>
        </w:rPr>
        <w:t>2.5</w:t>
      </w:r>
      <w:r>
        <w:rPr>
          <w:rFonts w:hint="eastAsia"/>
          <w:vertAlign w:val="baseline"/>
          <w:lang w:val="en-US" w:eastAsia="zh-CN"/>
        </w:rPr>
        <w:t>背景浓度采用岳阳市南湖风景区监测站点的2021年监测数据，</w:t>
      </w:r>
      <w:r>
        <w:rPr>
          <w:rFonts w:hint="eastAsia"/>
        </w:rPr>
        <w:t>TSP采用现状补充监测数据。</w:t>
      </w:r>
      <w:r>
        <w:rPr>
          <w:rFonts w:hint="eastAsia"/>
          <w:lang w:val="en-US" w:eastAsia="zh-CN"/>
        </w:rPr>
        <w:t>根据3.7.1章节环境质量现状调查情况，项目</w:t>
      </w:r>
      <w:r>
        <w:rPr>
          <w:rFonts w:ascii="TimesNewRomanPSMT" w:hAnsi="TimesNewRomanPSMT" w:eastAsia="TimesNewRomanPSMT" w:cs="TimesNewRomanPSMT"/>
          <w:b w:val="0"/>
          <w:bCs w:val="0"/>
          <w:color w:val="000000"/>
          <w:sz w:val="24"/>
          <w:szCs w:val="24"/>
        </w:rPr>
        <w:t>PM</w:t>
      </w:r>
      <w:r>
        <w:rPr>
          <w:rFonts w:hint="default" w:ascii="TimesNewRomanPSMT" w:hAnsi="TimesNewRomanPSMT" w:eastAsia="TimesNewRomanPSMT" w:cs="TimesNewRomanPSMT"/>
          <w:b w:val="0"/>
          <w:bCs w:val="0"/>
          <w:color w:val="000000"/>
          <w:sz w:val="15"/>
          <w:szCs w:val="15"/>
        </w:rPr>
        <w:t>2.5</w:t>
      </w:r>
      <w:r>
        <w:rPr>
          <w:rFonts w:hint="eastAsia" w:ascii="Times New Roman" w:hAnsi="Times New Roman" w:eastAsia="宋体" w:cs="Times New Roman"/>
          <w:b w:val="0"/>
          <w:bCs w:val="0"/>
          <w:sz w:val="24"/>
          <w:szCs w:val="24"/>
          <w:lang w:val="en-US" w:eastAsia="zh-CN"/>
        </w:rPr>
        <w:t>超过环境空气</w:t>
      </w:r>
      <w:r>
        <w:rPr>
          <w:rFonts w:hint="eastAsia" w:ascii="Times New Roman" w:hAnsi="Times New Roman" w:eastAsia="宋体" w:cs="Times New Roman"/>
          <w:b w:val="0"/>
          <w:bCs w:val="0"/>
          <w:sz w:val="24"/>
          <w:szCs w:val="24"/>
        </w:rPr>
        <w:t>质量标准，</w:t>
      </w:r>
      <w:r>
        <w:rPr>
          <w:rFonts w:hint="eastAsia" w:ascii="Times New Roman" w:hAnsi="Times New Roman" w:eastAsia="宋体" w:cs="Times New Roman"/>
          <w:b w:val="0"/>
          <w:bCs w:val="0"/>
          <w:sz w:val="24"/>
          <w:szCs w:val="24"/>
          <w:lang w:val="en-US" w:eastAsia="zh-CN"/>
        </w:rPr>
        <w:t>项目所在地为不达标区</w:t>
      </w:r>
      <w:r>
        <w:rPr>
          <w:rFonts w:hint="eastAsia" w:ascii="Times New Roman" w:hAnsi="Times New Roman" w:cs="Times New Roman"/>
          <w:b w:val="0"/>
          <w:bCs w:val="0"/>
          <w:sz w:val="24"/>
          <w:szCs w:val="24"/>
          <w:lang w:val="en-US" w:eastAsia="zh-CN"/>
        </w:rPr>
        <w:t>。根据岳阳市生态环境保护委员会下发的关于印发《岳阳市环境空气质量限期达标规划（2020-2026）》的通知（岳生环委发[2020]10号）相关内容，</w:t>
      </w:r>
      <w:r>
        <w:rPr>
          <w:rFonts w:hint="eastAsia" w:ascii="Times New Roman" w:hAnsi="Times New Roman" w:eastAsia="宋体" w:cs="Times New Roman"/>
          <w:color w:val="000000" w:themeColor="text1"/>
          <w:sz w:val="24"/>
          <w:szCs w:val="24"/>
          <w14:textFill>
            <w14:solidFill>
              <w14:schemeClr w14:val="tx1"/>
            </w14:solidFill>
          </w14:textFill>
        </w:rPr>
        <w:t>到2026年，全市二氧化硫、二氧化氮、臭氧、PM</w:t>
      </w:r>
      <w:r>
        <w:rPr>
          <w:rFonts w:hint="eastAsia" w:ascii="Times New Roman" w:hAnsi="Times New Roman" w:eastAsia="宋体" w:cs="Times New Roman"/>
          <w:color w:val="000000" w:themeColor="text1"/>
          <w:sz w:val="24"/>
          <w:szCs w:val="24"/>
          <w:vertAlign w:val="subscript"/>
          <w14:textFill>
            <w14:solidFill>
              <w14:schemeClr w14:val="tx1"/>
            </w14:solidFill>
          </w14:textFill>
        </w:rPr>
        <w:t>10</w:t>
      </w:r>
      <w:r>
        <w:rPr>
          <w:rFonts w:hint="eastAsia" w:ascii="Times New Roman" w:hAnsi="Times New Roman" w:eastAsia="宋体" w:cs="Times New Roman"/>
          <w:color w:val="000000" w:themeColor="text1"/>
          <w:sz w:val="24"/>
          <w:szCs w:val="24"/>
          <w14:textFill>
            <w14:solidFill>
              <w14:schemeClr w14:val="tx1"/>
            </w14:solidFill>
          </w14:textFill>
        </w:rPr>
        <w:t>、PM</w:t>
      </w:r>
      <w:r>
        <w:rPr>
          <w:rFonts w:hint="eastAsia" w:ascii="Times New Roman" w:hAnsi="Times New Roman" w:eastAsia="宋体" w:cs="Times New Roman"/>
          <w:color w:val="000000" w:themeColor="text1"/>
          <w:sz w:val="24"/>
          <w:szCs w:val="24"/>
          <w:vertAlign w:val="subscript"/>
          <w14:textFill>
            <w14:solidFill>
              <w14:schemeClr w14:val="tx1"/>
            </w14:solidFill>
          </w14:textFill>
        </w:rPr>
        <w:t>2.5</w:t>
      </w:r>
      <w:r>
        <w:rPr>
          <w:rFonts w:hint="eastAsia" w:ascii="Times New Roman" w:hAnsi="Times New Roman" w:eastAsia="宋体" w:cs="Times New Roman"/>
          <w:color w:val="000000" w:themeColor="text1"/>
          <w:sz w:val="24"/>
          <w:szCs w:val="24"/>
          <w14:textFill>
            <w14:solidFill>
              <w14:schemeClr w14:val="tx1"/>
            </w14:solidFill>
          </w14:textFill>
        </w:rPr>
        <w:t>和一氧化碳大气污染物的年统计浓度全部稳定达到国家空气质量二级标准</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即</w:t>
      </w:r>
      <w:r>
        <w:rPr>
          <w:rFonts w:hint="eastAsia" w:ascii="Times New Roman" w:hAnsi="Times New Roman" w:eastAsia="宋体" w:cs="Times New Roman"/>
          <w:color w:val="000000" w:themeColor="text1"/>
          <w:sz w:val="24"/>
          <w:szCs w:val="24"/>
          <w14:textFill>
            <w14:solidFill>
              <w14:schemeClr w14:val="tx1"/>
            </w14:solidFill>
          </w14:textFill>
        </w:rPr>
        <w:t>PM</w:t>
      </w:r>
      <w:r>
        <w:rPr>
          <w:rFonts w:hint="eastAsia" w:ascii="Times New Roman" w:hAnsi="Times New Roman" w:eastAsia="宋体" w:cs="Times New Roman"/>
          <w:color w:val="000000" w:themeColor="text1"/>
          <w:sz w:val="24"/>
          <w:szCs w:val="24"/>
          <w:vertAlign w:val="subscript"/>
          <w14:textFill>
            <w14:solidFill>
              <w14:schemeClr w14:val="tx1"/>
            </w14:solidFill>
          </w14:textFill>
        </w:rPr>
        <w:t>2.5</w:t>
      </w: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达标规划浓度为35</w:t>
      </w:r>
      <w:r>
        <w:t>μg/m³</w:t>
      </w:r>
      <w:r>
        <w:rPr>
          <w:rFonts w:hint="eastAsia" w:ascii="Times New Roman" w:hAnsi="Times New Roman" w:eastAsia="宋体" w:cs="Times New Roman"/>
          <w:color w:val="000000" w:themeColor="text1"/>
          <w:sz w:val="24"/>
          <w:szCs w:val="24"/>
          <w14:textFill>
            <w14:solidFill>
              <w14:schemeClr w14:val="tx1"/>
            </w14:solidFill>
          </w14:textFill>
        </w:rPr>
        <w:t>。</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）模型输出参数：正常工况下，</w:t>
      </w:r>
      <w:r>
        <w:rPr>
          <w:rFonts w:ascii="TimesNewRomanPSMT" w:hAnsi="TimesNewRomanPSMT" w:eastAsia="TimesNewRomanPSMT" w:cs="TimesNewRomanPSMT"/>
          <w:b w:val="0"/>
          <w:bCs w:val="0"/>
          <w:color w:val="000000"/>
          <w:sz w:val="24"/>
          <w:szCs w:val="24"/>
        </w:rPr>
        <w:t>PM</w:t>
      </w:r>
      <w:r>
        <w:rPr>
          <w:rFonts w:hint="default" w:ascii="TimesNewRomanPSMT" w:hAnsi="TimesNewRomanPSMT" w:eastAsia="TimesNewRomanPSMT" w:cs="TimesNewRomanPSMT"/>
          <w:b w:val="0"/>
          <w:bCs w:val="0"/>
          <w:color w:val="000000"/>
          <w:sz w:val="15"/>
          <w:szCs w:val="15"/>
        </w:rPr>
        <w:t>10</w:t>
      </w:r>
      <w:r>
        <w:rPr>
          <w:rFonts w:ascii="仿宋" w:hAnsi="仿宋" w:eastAsia="仿宋" w:cs="仿宋"/>
          <w:b w:val="0"/>
          <w:bCs w:val="0"/>
          <w:color w:val="000000"/>
          <w:sz w:val="24"/>
          <w:szCs w:val="24"/>
        </w:rPr>
        <w:t>、</w:t>
      </w:r>
      <w:r>
        <w:rPr>
          <w:rFonts w:hint="default" w:ascii="TimesNewRomanPSMT" w:hAnsi="TimesNewRomanPSMT" w:eastAsia="TimesNewRomanPSMT" w:cs="TimesNewRomanPSMT"/>
          <w:b w:val="0"/>
          <w:bCs w:val="0"/>
          <w:color w:val="000000"/>
          <w:sz w:val="24"/>
          <w:szCs w:val="24"/>
        </w:rPr>
        <w:t>PM</w:t>
      </w:r>
      <w:r>
        <w:rPr>
          <w:rFonts w:hint="default" w:ascii="TimesNewRomanPSMT" w:hAnsi="TimesNewRomanPSMT" w:eastAsia="TimesNewRomanPSMT" w:cs="TimesNewRomanPSMT"/>
          <w:b w:val="0"/>
          <w:bCs w:val="0"/>
          <w:color w:val="000000"/>
          <w:sz w:val="15"/>
          <w:szCs w:val="15"/>
        </w:rPr>
        <w:t>2.5</w:t>
      </w:r>
      <w:r>
        <w:rPr>
          <w:rFonts w:hint="eastAsia" w:ascii="TimesNewRomanPSMT" w:hAnsi="TimesNewRomanPSMT" w:eastAsia="宋体" w:cs="TimesNewRomanPSMT"/>
          <w:b w:val="0"/>
          <w:bCs w:val="0"/>
          <w:color w:val="000000"/>
          <w:sz w:val="15"/>
          <w:szCs w:val="15"/>
          <w:lang w:eastAsia="zh-CN"/>
        </w:rPr>
        <w:t>、</w:t>
      </w:r>
      <w:r>
        <w:rPr>
          <w:rFonts w:hint="eastAsia"/>
          <w:color w:val="000000" w:themeColor="text1"/>
          <w14:textFill>
            <w14:solidFill>
              <w14:schemeClr w14:val="tx1"/>
            </w14:solidFill>
          </w14:textFill>
        </w:rPr>
        <w:t>TSP输出</w:t>
      </w:r>
      <w:r>
        <w:rPr>
          <w:rFonts w:hint="eastAsia"/>
          <w:color w:val="000000" w:themeColor="text1"/>
          <w:lang w:val="en-US" w:eastAsia="zh-CN"/>
          <w14:textFill>
            <w14:solidFill>
              <w14:schemeClr w14:val="tx1"/>
            </w14:solidFill>
          </w14:textFill>
        </w:rPr>
        <w:t>日均值</w:t>
      </w:r>
      <w:r>
        <w:rPr>
          <w:rFonts w:hint="eastAsia"/>
          <w:color w:val="000000" w:themeColor="text1"/>
          <w14:textFill>
            <w14:solidFill>
              <w14:schemeClr w14:val="tx1"/>
            </w14:solidFill>
          </w14:textFill>
        </w:rPr>
        <w:t>第1大值和全时段值</w:t>
      </w:r>
      <w:r>
        <w:rPr>
          <w:rFonts w:hint="eastAsia"/>
          <w:color w:val="000000" w:themeColor="text1"/>
          <w:lang w:val="en-US" w:eastAsia="zh-CN"/>
          <w14:textFill>
            <w14:solidFill>
              <w14:schemeClr w14:val="tx1"/>
            </w14:solidFill>
          </w14:textFill>
        </w:rPr>
        <w:t>第1大值</w:t>
      </w:r>
      <w:r>
        <w:rPr>
          <w:rFonts w:hint="eastAsia"/>
          <w:color w:val="000000" w:themeColor="text1"/>
          <w14:textFill>
            <w14:solidFill>
              <w14:schemeClr w14:val="tx1"/>
            </w14:solidFill>
          </w14:textFill>
        </w:rPr>
        <w:t>。</w:t>
      </w:r>
    </w:p>
    <w:p>
      <w:pPr>
        <w:pStyle w:val="456"/>
        <w:ind w:firstLine="482"/>
      </w:pPr>
      <w:r>
        <w:rPr>
          <w:rFonts w:hint="eastAsia"/>
          <w:lang w:val="en-US"/>
        </w:rPr>
        <w:t>预测内容</w:t>
      </w:r>
    </w:p>
    <w:p>
      <w:pPr>
        <w:ind w:firstLine="480"/>
        <w:rPr>
          <w:sz w:val="21"/>
        </w:rPr>
      </w:pPr>
      <w:r>
        <w:rPr>
          <w:rFonts w:hint="eastAsia"/>
        </w:rPr>
        <w:t>（1）预测</w:t>
      </w:r>
      <w:r>
        <w:t>方案</w:t>
      </w:r>
      <w:r>
        <w:rPr>
          <w:rFonts w:hint="eastAsia"/>
          <w:sz w:val="21"/>
        </w:rPr>
        <w:t>：</w:t>
      </w:r>
      <w:r>
        <w:rPr>
          <w:rFonts w:ascii="仿宋_GB2312"/>
        </w:rPr>
        <w:t>根据环境现状质量章节，本项目属于不达标区，</w:t>
      </w:r>
      <w:r>
        <w:rPr>
          <w:rFonts w:hint="eastAsia" w:ascii="仿宋_GB2312"/>
        </w:rPr>
        <w:t>不达标因子为</w:t>
      </w:r>
      <w:r>
        <w:t>PM</w:t>
      </w:r>
      <w:r>
        <w:rPr>
          <w:vertAlign w:val="subscript"/>
        </w:rPr>
        <w:t>2.5</w:t>
      </w:r>
      <w:r>
        <w:rPr>
          <w:rFonts w:hint="eastAsia" w:ascii="仿宋_GB2312"/>
        </w:rPr>
        <w:t>，</w:t>
      </w:r>
      <w:r>
        <w:rPr>
          <w:rFonts w:ascii="仿宋_GB2312"/>
        </w:rPr>
        <w:t>因此主要进行不达标区的评价，对照《环境影响评价技术导则</w:t>
      </w:r>
      <w:r>
        <w:t>-</w:t>
      </w:r>
      <w:r>
        <w:rPr>
          <w:rFonts w:ascii="仿宋_GB2312"/>
        </w:rPr>
        <w:t>大气环境》（</w:t>
      </w:r>
      <w:r>
        <w:t>HJ2.2-2018)</w:t>
      </w:r>
      <w:r>
        <w:rPr>
          <w:rFonts w:ascii="仿宋_GB2312"/>
        </w:rPr>
        <w:t>表</w:t>
      </w:r>
      <w:r>
        <w:t>5</w:t>
      </w:r>
      <w:r>
        <w:rPr>
          <w:rFonts w:ascii="仿宋_GB2312"/>
        </w:rPr>
        <w:t>预测内容和评价要求，本次预测方案如下：</w:t>
      </w:r>
    </w:p>
    <w:p>
      <w:pPr>
        <w:pStyle w:val="3586"/>
        <w:ind w:left="0"/>
      </w:pPr>
      <w:r>
        <w:t xml:space="preserve">  本项目预测方案</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083"/>
        <w:gridCol w:w="1554"/>
        <w:gridCol w:w="1867"/>
        <w:gridCol w:w="1711"/>
        <w:gridCol w:w="28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blHeader/>
          <w:jc w:val="center"/>
        </w:trPr>
        <w:tc>
          <w:tcPr>
            <w:tcW w:w="595" w:type="pct"/>
            <w:tcBorders>
              <w:bottom w:val="single" w:color="auto" w:sz="12" w:space="0"/>
            </w:tcBorders>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评价对象</w:t>
            </w:r>
          </w:p>
        </w:tc>
        <w:tc>
          <w:tcPr>
            <w:tcW w:w="854" w:type="pct"/>
            <w:tcBorders>
              <w:bottom w:val="single" w:color="auto" w:sz="12" w:space="0"/>
            </w:tcBorders>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污染源</w:t>
            </w:r>
          </w:p>
        </w:tc>
        <w:tc>
          <w:tcPr>
            <w:tcW w:w="1026" w:type="pct"/>
            <w:tcBorders>
              <w:bottom w:val="single" w:color="auto" w:sz="12" w:space="0"/>
            </w:tcBorders>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污染源排放形式</w:t>
            </w:r>
          </w:p>
        </w:tc>
        <w:tc>
          <w:tcPr>
            <w:tcW w:w="940" w:type="pct"/>
            <w:tcBorders>
              <w:bottom w:val="single" w:color="auto" w:sz="12" w:space="0"/>
            </w:tcBorders>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预测内容</w:t>
            </w:r>
          </w:p>
        </w:tc>
        <w:tc>
          <w:tcPr>
            <w:tcW w:w="1585" w:type="pct"/>
            <w:tcBorders>
              <w:bottom w:val="single" w:color="auto" w:sz="12" w:space="0"/>
            </w:tcBorders>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评价内容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5" w:type="pct"/>
            <w:vMerge w:val="restart"/>
            <w:tcBorders>
              <w:top w:val="single" w:color="auto" w:sz="12" w:space="0"/>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不达标区评价</w:t>
            </w:r>
          </w:p>
        </w:tc>
        <w:tc>
          <w:tcPr>
            <w:tcW w:w="854" w:type="pct"/>
            <w:tcBorders>
              <w:top w:val="single" w:color="auto" w:sz="12" w:space="0"/>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新增污染源</w:t>
            </w:r>
          </w:p>
        </w:tc>
        <w:tc>
          <w:tcPr>
            <w:tcW w:w="1026" w:type="pct"/>
            <w:tcBorders>
              <w:top w:val="single" w:color="auto" w:sz="12" w:space="0"/>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正常排放</w:t>
            </w:r>
          </w:p>
        </w:tc>
        <w:tc>
          <w:tcPr>
            <w:tcW w:w="940" w:type="pct"/>
            <w:tcBorders>
              <w:top w:val="single" w:color="auto" w:sz="12" w:space="0"/>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短期浓度、长期浓度</w:t>
            </w:r>
          </w:p>
        </w:tc>
        <w:tc>
          <w:tcPr>
            <w:tcW w:w="1585" w:type="pct"/>
            <w:tcBorders>
              <w:top w:val="single" w:color="auto" w:sz="12" w:space="0"/>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最大浓度占标率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5"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85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新增污染源-“以新带老”污染源-区域削减污染源+其他在建、拟建的污染源</w:t>
            </w:r>
          </w:p>
        </w:tc>
        <w:tc>
          <w:tcPr>
            <w:tcW w:w="102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正常排放</w:t>
            </w:r>
          </w:p>
        </w:tc>
        <w:tc>
          <w:tcPr>
            <w:tcW w:w="94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短期浓度、长期浓度</w:t>
            </w:r>
          </w:p>
        </w:tc>
        <w:tc>
          <w:tcPr>
            <w:tcW w:w="158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r>
              <w:rPr>
                <w:rFonts w:hint="eastAsia"/>
                <w:kern w:val="0"/>
                <w:sz w:val="21"/>
                <w:szCs w:val="21"/>
              </w:rPr>
              <w:t>叠加达标规划目标浓度后的保证率日平均质量浓度和年平均质量浓度的占标率，或短期浓度的达标情况；</w:t>
            </w:r>
          </w:p>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评价年平均质量浓度变化率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5" w:type="pct"/>
            <w:vMerge w:val="continue"/>
            <w:tcBorders>
              <w:tl2br w:val="nil"/>
              <w:tr2bl w:val="nil"/>
            </w:tcBorders>
            <w:vAlign w:val="center"/>
          </w:tcPr>
          <w:p>
            <w:pPr>
              <w:pStyle w:val="2057"/>
              <w:spacing w:after="156"/>
              <w:ind w:firstLine="480"/>
              <w:rPr>
                <w:rFonts w:eastAsia="仿宋_GB2312"/>
              </w:rPr>
            </w:pPr>
          </w:p>
        </w:tc>
        <w:tc>
          <w:tcPr>
            <w:tcW w:w="85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新增污染源</w:t>
            </w:r>
          </w:p>
        </w:tc>
        <w:tc>
          <w:tcPr>
            <w:tcW w:w="102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非正常排放</w:t>
            </w:r>
          </w:p>
        </w:tc>
        <w:tc>
          <w:tcPr>
            <w:tcW w:w="94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1h平均质量浓度</w:t>
            </w:r>
          </w:p>
        </w:tc>
        <w:tc>
          <w:tcPr>
            <w:tcW w:w="158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最大浓度占标率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大气环境防护距离</w:t>
            </w:r>
          </w:p>
        </w:tc>
        <w:tc>
          <w:tcPr>
            <w:tcW w:w="854"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新增污染源</w:t>
            </w:r>
          </w:p>
        </w:tc>
        <w:tc>
          <w:tcPr>
            <w:tcW w:w="102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正常排放</w:t>
            </w:r>
          </w:p>
        </w:tc>
        <w:tc>
          <w:tcPr>
            <w:tcW w:w="94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短期浓度</w:t>
            </w:r>
          </w:p>
        </w:tc>
        <w:tc>
          <w:tcPr>
            <w:tcW w:w="1585"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大气环境防护距离</w:t>
            </w:r>
          </w:p>
        </w:tc>
      </w:tr>
    </w:tbl>
    <w:p>
      <w:pPr>
        <w:ind w:firstLine="480"/>
      </w:pPr>
      <w:r>
        <w:rPr>
          <w:rFonts w:hint="eastAsia"/>
        </w:rPr>
        <w:t>（2）预测范围：本次大气预测设置以拟建项目厂界中心为坐标中心原点，谷歌经纬度坐标为（N29.52312703°，E113.22376599°），以东西向为X坐标轴，南北向为Y坐标轴的坐标系。</w:t>
      </w:r>
    </w:p>
    <w:p>
      <w:pPr>
        <w:ind w:firstLine="480"/>
      </w:pPr>
      <w:r>
        <w:rPr>
          <w:rFonts w:hint="eastAsia"/>
        </w:rPr>
        <w:t>根据评价等级和评价范围计算结果，本项目评价范围为5km×5km的矩形。根据项目实际情况、敏感保护目标情况，设置2个预测范围：</w:t>
      </w:r>
    </w:p>
    <w:p>
      <w:pPr>
        <w:ind w:firstLine="480"/>
      </w:pPr>
      <w:r>
        <w:rPr>
          <w:rFonts w:hint="eastAsia"/>
        </w:rPr>
        <w:t>①预测范围1：以项目厂区中心点（N29.52312703°，E113.22376599°）为原点，东西向为X坐标轴、南北向为Y坐标轴，东西向5.00km×南北5.00km的矩形。左下角坐标为（-</w:t>
      </w:r>
      <w:r>
        <w:t>25</w:t>
      </w:r>
      <w:r>
        <w:rPr>
          <w:rFonts w:hint="eastAsia"/>
        </w:rPr>
        <w:t>00,-</w:t>
      </w:r>
      <w:r>
        <w:t>25</w:t>
      </w:r>
      <w:r>
        <w:rPr>
          <w:rFonts w:hint="eastAsia"/>
        </w:rPr>
        <w:t>00），右上角坐标为（</w:t>
      </w:r>
      <w:r>
        <w:t>25</w:t>
      </w:r>
      <w:r>
        <w:rPr>
          <w:rFonts w:hint="eastAsia"/>
        </w:rPr>
        <w:t>00,</w:t>
      </w:r>
      <w:r>
        <w:t>25</w:t>
      </w:r>
      <w:r>
        <w:rPr>
          <w:rFonts w:hint="eastAsia"/>
        </w:rPr>
        <w:t>00），预测范围覆盖评价范围。</w:t>
      </w:r>
    </w:p>
    <w:p>
      <w:pPr>
        <w:ind w:firstLine="480"/>
      </w:pPr>
      <w:r>
        <w:rPr>
          <w:rFonts w:hint="eastAsia"/>
        </w:rPr>
        <w:t>②预测范围</w:t>
      </w:r>
      <w:r>
        <w:t>2</w:t>
      </w:r>
      <w:r>
        <w:rPr>
          <w:rFonts w:hint="eastAsia"/>
        </w:rPr>
        <w:t>：以项目厂区中心点（N29.52312703°，E113.22376599°）为原点，东西向为X坐标轴、南北向为Y坐标轴，边长2.5km的矩形，左下角坐标为（-1000，-1000），右上角坐标为（1000，1000），此为大气环境防护距离预测范围。</w:t>
      </w:r>
    </w:p>
    <w:p>
      <w:pPr>
        <w:ind w:firstLine="480"/>
      </w:pPr>
      <w:r>
        <w:rPr>
          <w:rFonts w:hint="eastAsia"/>
        </w:rPr>
        <w:t>（3）预测源强</w:t>
      </w:r>
    </w:p>
    <w:p>
      <w:pPr>
        <w:spacing w:line="360" w:lineRule="auto"/>
        <w:ind w:firstLine="480" w:firstLineChars="200"/>
        <w:rPr>
          <w:rFonts w:hint="eastAsia" w:ascii="Times New Roman" w:hAnsi="Times New Roman" w:cs="Times New Roman"/>
        </w:rPr>
      </w:pPr>
      <w:r>
        <w:rPr>
          <w:rFonts w:hint="eastAsia" w:ascii="Times New Roman" w:hAnsi="Times New Roman" w:cs="Times New Roman"/>
        </w:rPr>
        <w:t>颗粒物中的不同粒径所占的比例参考环境保护部《PM</w:t>
      </w:r>
      <w:r>
        <w:rPr>
          <w:rFonts w:hint="eastAsia" w:ascii="Times New Roman" w:hAnsi="Times New Roman" w:cs="Times New Roman"/>
          <w:vertAlign w:val="subscript"/>
        </w:rPr>
        <w:t>2.5</w:t>
      </w:r>
      <w:r>
        <w:rPr>
          <w:rFonts w:hint="eastAsia" w:ascii="Times New Roman" w:hAnsi="Times New Roman" w:cs="Times New Roman"/>
        </w:rPr>
        <w:t xml:space="preserve"> 排放量核算技术规范（火电厂、水泥工业企业）（征求意见稿）编制说明中的系数》，PM</w:t>
      </w:r>
      <w:r>
        <w:rPr>
          <w:rFonts w:hint="eastAsia" w:ascii="Times New Roman" w:hAnsi="Times New Roman" w:cs="Times New Roman"/>
          <w:vertAlign w:val="subscript"/>
        </w:rPr>
        <w:t>10</w:t>
      </w:r>
      <w:r>
        <w:rPr>
          <w:rFonts w:hint="eastAsia" w:ascii="Times New Roman" w:hAnsi="Times New Roman" w:cs="Times New Roman"/>
        </w:rPr>
        <w:t>占总颗粒物的23%，PM</w:t>
      </w:r>
      <w:r>
        <w:rPr>
          <w:rFonts w:hint="eastAsia" w:ascii="Times New Roman" w:hAnsi="Times New Roman" w:cs="Times New Roman"/>
          <w:vertAlign w:val="subscript"/>
        </w:rPr>
        <w:t>2.5</w:t>
      </w:r>
      <w:r>
        <w:rPr>
          <w:rFonts w:hint="eastAsia" w:ascii="Times New Roman" w:hAnsi="Times New Roman" w:cs="Times New Roman"/>
        </w:rPr>
        <w:t>占总颗粒物的6%。</w:t>
      </w:r>
    </w:p>
    <w:p>
      <w:pPr>
        <w:ind w:firstLine="480"/>
      </w:pPr>
      <w:r>
        <w:rPr>
          <w:rFonts w:hint="eastAsia" w:ascii="仿宋" w:hAnsi="仿宋" w:eastAsia="仿宋"/>
        </w:rPr>
        <w:t>①</w:t>
      </w:r>
      <w:r>
        <w:rPr>
          <w:rFonts w:hint="eastAsia"/>
        </w:rPr>
        <w:t>拟建项目正常工况排放污染源</w:t>
      </w:r>
    </w:p>
    <w:p>
      <w:pPr>
        <w:pStyle w:val="3586"/>
        <w:ind w:left="0"/>
      </w:pPr>
      <w:r>
        <w:t xml:space="preserve">  </w:t>
      </w:r>
      <w:r>
        <w:rPr>
          <w:rFonts w:hint="eastAsia"/>
        </w:rPr>
        <w:t>正常工况预测源强一览表</w:t>
      </w:r>
    </w:p>
    <w:tbl>
      <w:tblPr>
        <w:tblStyle w:val="87"/>
        <w:tblW w:w="507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991"/>
        <w:gridCol w:w="1353"/>
        <w:gridCol w:w="982"/>
        <w:gridCol w:w="982"/>
        <w:gridCol w:w="1148"/>
        <w:gridCol w:w="1143"/>
        <w:gridCol w:w="1324"/>
        <w:gridCol w:w="130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537" w:type="pct"/>
            <w:vMerge w:val="restart"/>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面源编号</w:t>
            </w:r>
          </w:p>
        </w:tc>
        <w:tc>
          <w:tcPr>
            <w:tcW w:w="733" w:type="pct"/>
            <w:vMerge w:val="restart"/>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面源名称</w:t>
            </w:r>
          </w:p>
        </w:tc>
        <w:tc>
          <w:tcPr>
            <w:tcW w:w="1686" w:type="pct"/>
            <w:gridSpan w:val="3"/>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矩形面源</w:t>
            </w:r>
          </w:p>
        </w:tc>
        <w:tc>
          <w:tcPr>
            <w:tcW w:w="619" w:type="pct"/>
            <w:vMerge w:val="restart"/>
            <w:tcBorders>
              <w:bottom w:val="single" w:color="auto" w:sz="12" w:space="0"/>
            </w:tcBorders>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污染物</w:t>
            </w:r>
          </w:p>
        </w:tc>
        <w:tc>
          <w:tcPr>
            <w:tcW w:w="717" w:type="pct"/>
            <w:vMerge w:val="restart"/>
            <w:tcBorders>
              <w:bottom w:val="single" w:color="auto" w:sz="12" w:space="0"/>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eastAsia="宋体"/>
                <w:b/>
                <w:bCs/>
                <w:kern w:val="0"/>
                <w:sz w:val="21"/>
                <w:szCs w:val="21"/>
                <w:lang w:eastAsia="zh-CN"/>
              </w:rPr>
            </w:pPr>
            <w:r>
              <w:rPr>
                <w:rFonts w:hint="eastAsia"/>
                <w:b/>
                <w:bCs/>
                <w:kern w:val="0"/>
                <w:sz w:val="21"/>
                <w:szCs w:val="21"/>
              </w:rPr>
              <w:t>排放速率</w:t>
            </w:r>
            <w:r>
              <w:rPr>
                <w:rFonts w:hint="eastAsia"/>
                <w:kern w:val="0"/>
                <w:sz w:val="21"/>
                <w:szCs w:val="21"/>
                <w:lang w:eastAsia="zh-CN"/>
              </w:rPr>
              <w:t>（</w:t>
            </w:r>
            <w:r>
              <w:rPr>
                <w:rFonts w:hint="eastAsia"/>
                <w:kern w:val="0"/>
                <w:sz w:val="21"/>
                <w:szCs w:val="21"/>
              </w:rPr>
              <w:t>kg/h</w:t>
            </w:r>
            <w:r>
              <w:rPr>
                <w:rFonts w:hint="eastAsia"/>
                <w:kern w:val="0"/>
                <w:sz w:val="21"/>
                <w:szCs w:val="21"/>
                <w:lang w:eastAsia="zh-CN"/>
              </w:rPr>
              <w:t>）</w:t>
            </w:r>
          </w:p>
        </w:tc>
        <w:tc>
          <w:tcPr>
            <w:tcW w:w="706" w:type="pct"/>
            <w:vMerge w:val="restart"/>
            <w:tcBorders>
              <w:bottom w:val="single" w:color="auto" w:sz="12" w:space="0"/>
            </w:tcBorders>
            <w:vAlign w:val="center"/>
          </w:tcPr>
          <w:p>
            <w:pPr>
              <w:tabs>
                <w:tab w:val="clear" w:pos="480"/>
              </w:tabs>
              <w:kinsoku w:val="0"/>
              <w:overflowPunct w:val="0"/>
              <w:autoSpaceDE w:val="0"/>
              <w:autoSpaceDN w:val="0"/>
              <w:adjustRightInd w:val="0"/>
              <w:spacing w:line="240" w:lineRule="atLeast"/>
              <w:ind w:firstLine="0" w:firstLineChars="0"/>
              <w:jc w:val="center"/>
              <w:rPr>
                <w:rFonts w:hint="default" w:eastAsia="宋体"/>
                <w:b/>
                <w:bCs/>
                <w:kern w:val="0"/>
                <w:sz w:val="21"/>
                <w:szCs w:val="21"/>
                <w:lang w:val="en-US" w:eastAsia="zh-CN"/>
              </w:rPr>
            </w:pPr>
            <w:r>
              <w:rPr>
                <w:rFonts w:hint="eastAsia"/>
                <w:b/>
                <w:bCs/>
                <w:kern w:val="0"/>
                <w:sz w:val="21"/>
                <w:szCs w:val="21"/>
                <w:lang w:val="en-US" w:eastAsia="zh-CN"/>
              </w:rPr>
              <w:t>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73" w:hRule="atLeast"/>
          <w:jc w:val="center"/>
        </w:trPr>
        <w:tc>
          <w:tcPr>
            <w:tcW w:w="537" w:type="pct"/>
            <w:vMerge w:val="continue"/>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p>
        </w:tc>
        <w:tc>
          <w:tcPr>
            <w:tcW w:w="733" w:type="pct"/>
            <w:vMerge w:val="continue"/>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p>
        </w:tc>
        <w:tc>
          <w:tcPr>
            <w:tcW w:w="532" w:type="pct"/>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长度</w:t>
            </w:r>
          </w:p>
        </w:tc>
        <w:tc>
          <w:tcPr>
            <w:tcW w:w="532" w:type="pct"/>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宽度</w:t>
            </w:r>
          </w:p>
        </w:tc>
        <w:tc>
          <w:tcPr>
            <w:tcW w:w="622" w:type="pct"/>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有效高度</w:t>
            </w:r>
          </w:p>
        </w:tc>
        <w:tc>
          <w:tcPr>
            <w:tcW w:w="619" w:type="pct"/>
            <w:vMerge w:val="continue"/>
            <w:tcBorders>
              <w:top w:val="single" w:color="auto" w:sz="12" w:space="0"/>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717" w:type="pct"/>
            <w:vMerge w:val="continue"/>
            <w:tcBorders>
              <w:top w:val="single" w:color="auto" w:sz="12" w:space="0"/>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706" w:type="pct"/>
            <w:vMerge w:val="continue"/>
            <w:tcBorders>
              <w:top w:val="single" w:color="auto" w:sz="12" w:space="0"/>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537" w:type="pct"/>
            <w:vMerge w:val="continue"/>
            <w:tcBorders>
              <w:bottom w:val="single" w:color="auto" w:sz="12" w:space="0"/>
            </w:tcBorders>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p>
        </w:tc>
        <w:tc>
          <w:tcPr>
            <w:tcW w:w="733" w:type="pct"/>
            <w:vMerge w:val="continue"/>
            <w:tcBorders>
              <w:bottom w:val="single" w:color="auto" w:sz="12" w:space="0"/>
            </w:tcBorders>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p>
        </w:tc>
        <w:tc>
          <w:tcPr>
            <w:tcW w:w="532" w:type="pct"/>
            <w:tcBorders>
              <w:bottom w:val="single" w:color="auto" w:sz="12" w:space="0"/>
            </w:tcBorders>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m</w:t>
            </w:r>
          </w:p>
        </w:tc>
        <w:tc>
          <w:tcPr>
            <w:tcW w:w="532" w:type="pct"/>
            <w:tcBorders>
              <w:bottom w:val="single" w:color="auto" w:sz="12" w:space="0"/>
            </w:tcBorders>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m</w:t>
            </w:r>
          </w:p>
        </w:tc>
        <w:tc>
          <w:tcPr>
            <w:tcW w:w="622" w:type="pct"/>
            <w:tcBorders>
              <w:bottom w:val="single" w:color="auto" w:sz="12" w:space="0"/>
            </w:tcBorders>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m</w:t>
            </w:r>
          </w:p>
        </w:tc>
        <w:tc>
          <w:tcPr>
            <w:tcW w:w="619" w:type="pct"/>
            <w:vMerge w:val="continue"/>
            <w:tcBorders>
              <w:bottom w:val="single" w:color="auto" w:sz="12" w:space="0"/>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717" w:type="pct"/>
            <w:vMerge w:val="continue"/>
            <w:tcBorders>
              <w:bottom w:val="single" w:color="auto" w:sz="12" w:space="0"/>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706" w:type="pct"/>
            <w:vMerge w:val="continue"/>
            <w:tcBorders>
              <w:bottom w:val="single" w:color="auto" w:sz="12" w:space="0"/>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537" w:type="pct"/>
            <w:vMerge w:val="restart"/>
            <w:tcBorders>
              <w:top w:val="single" w:color="auto" w:sz="12" w:space="0"/>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1</w:t>
            </w:r>
          </w:p>
        </w:tc>
        <w:tc>
          <w:tcPr>
            <w:tcW w:w="733" w:type="pct"/>
            <w:vMerge w:val="restart"/>
            <w:tcBorders>
              <w:top w:val="single" w:color="auto" w:sz="12" w:space="0"/>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1#泊位</w:t>
            </w:r>
          </w:p>
        </w:tc>
        <w:tc>
          <w:tcPr>
            <w:tcW w:w="532" w:type="pct"/>
            <w:vMerge w:val="restart"/>
            <w:tcBorders>
              <w:top w:val="single" w:color="auto" w:sz="12" w:space="0"/>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123.00</w:t>
            </w:r>
          </w:p>
        </w:tc>
        <w:tc>
          <w:tcPr>
            <w:tcW w:w="532" w:type="pct"/>
            <w:vMerge w:val="restart"/>
            <w:tcBorders>
              <w:top w:val="single" w:color="auto" w:sz="12" w:space="0"/>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21.60</w:t>
            </w:r>
          </w:p>
        </w:tc>
        <w:tc>
          <w:tcPr>
            <w:tcW w:w="622" w:type="pct"/>
            <w:vMerge w:val="restart"/>
            <w:tcBorders>
              <w:top w:val="single" w:color="auto" w:sz="12" w:space="0"/>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5</w:t>
            </w:r>
          </w:p>
        </w:tc>
        <w:tc>
          <w:tcPr>
            <w:tcW w:w="619" w:type="pct"/>
            <w:tcBorders>
              <w:top w:val="single" w:color="auto" w:sz="12" w:space="0"/>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TSP</w:t>
            </w:r>
          </w:p>
        </w:tc>
        <w:tc>
          <w:tcPr>
            <w:tcW w:w="717" w:type="pct"/>
            <w:tcBorders>
              <w:top w:val="single" w:color="auto" w:sz="12" w:space="0"/>
            </w:tcBorders>
            <w:vAlign w:val="center"/>
          </w:tcPr>
          <w:p>
            <w:pPr>
              <w:pStyle w:val="2057"/>
              <w:spacing w:afterLines="0" w:line="240" w:lineRule="atLeast"/>
              <w:ind w:firstLine="0" w:firstLineChars="0"/>
              <w:rPr>
                <w:rFonts w:hint="default" w:eastAsia="宋体"/>
                <w:color w:val="000000" w:themeColor="text1"/>
                <w:kern w:val="44"/>
                <w:sz w:val="21"/>
                <w:szCs w:val="21"/>
                <w:lang w:val="en-US" w:eastAsia="zh-CN"/>
                <w14:textFill>
                  <w14:solidFill>
                    <w14:schemeClr w14:val="tx1"/>
                  </w14:solidFill>
                </w14:textFill>
              </w:rPr>
            </w:pPr>
            <w:r>
              <w:rPr>
                <w:rFonts w:hint="eastAsia"/>
                <w:color w:val="000000" w:themeColor="text1"/>
                <w:kern w:val="44"/>
                <w:sz w:val="21"/>
                <w:szCs w:val="21"/>
                <w:lang w:val="en-US" w:eastAsia="zh-CN"/>
                <w14:textFill>
                  <w14:solidFill>
                    <w14:schemeClr w14:val="tx1"/>
                  </w14:solidFill>
                </w14:textFill>
              </w:rPr>
              <w:t>0.058</w:t>
            </w:r>
          </w:p>
        </w:tc>
        <w:tc>
          <w:tcPr>
            <w:tcW w:w="706" w:type="pct"/>
            <w:tcBorders>
              <w:top w:val="single" w:color="auto" w:sz="12" w:space="0"/>
            </w:tcBorders>
            <w:vAlign w:val="center"/>
          </w:tcPr>
          <w:p>
            <w:pPr>
              <w:widowControl/>
              <w:tabs>
                <w:tab w:val="clear" w:pos="480"/>
              </w:tabs>
              <w:spacing w:line="240" w:lineRule="auto"/>
              <w:ind w:firstLine="0" w:firstLineChars="0"/>
              <w:jc w:val="center"/>
              <w:rPr>
                <w:rFonts w:ascii="Times New Roman" w:hAnsi="Times New Roman" w:eastAsia="宋体" w:cs="Times New Roman"/>
                <w:color w:val="000000"/>
                <w:kern w:val="2"/>
                <w:sz w:val="22"/>
                <w:szCs w:val="22"/>
                <w:lang w:val="en-US" w:eastAsia="zh-CN" w:bidi="ar-SA"/>
              </w:rPr>
            </w:pPr>
            <w:r>
              <w:rPr>
                <w:rFonts w:hint="eastAsia"/>
                <w:color w:val="000000"/>
                <w:sz w:val="22"/>
                <w:szCs w:val="22"/>
                <w:lang w:val="en-US" w:eastAsia="zh-CN"/>
              </w:rPr>
              <w:t>0.463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537"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p>
        </w:tc>
        <w:tc>
          <w:tcPr>
            <w:tcW w:w="733"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2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1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default" w:eastAsia="宋体"/>
                <w:kern w:val="0"/>
                <w:sz w:val="21"/>
                <w:szCs w:val="21"/>
                <w:lang w:val="en-US" w:eastAsia="zh-CN"/>
              </w:rPr>
            </w:pPr>
            <w:r>
              <w:rPr>
                <w:rFonts w:hint="eastAsia"/>
                <w:kern w:val="0"/>
                <w:sz w:val="21"/>
                <w:szCs w:val="21"/>
                <w:lang w:val="en-US" w:eastAsia="zh-CN"/>
              </w:rPr>
              <w:t>PM</w:t>
            </w:r>
            <w:r>
              <w:rPr>
                <w:rFonts w:hint="eastAsia"/>
                <w:kern w:val="0"/>
                <w:sz w:val="21"/>
                <w:szCs w:val="21"/>
                <w:vertAlign w:val="subscript"/>
                <w:lang w:val="en-US" w:eastAsia="zh-CN"/>
              </w:rPr>
              <w:t>10</w:t>
            </w:r>
          </w:p>
        </w:tc>
        <w:tc>
          <w:tcPr>
            <w:tcW w:w="132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0.015</w:t>
            </w:r>
          </w:p>
        </w:tc>
        <w:tc>
          <w:tcPr>
            <w:tcW w:w="130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0.116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537"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p>
        </w:tc>
        <w:tc>
          <w:tcPr>
            <w:tcW w:w="733"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2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1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default" w:eastAsia="宋体"/>
                <w:kern w:val="0"/>
                <w:sz w:val="21"/>
                <w:szCs w:val="21"/>
                <w:lang w:val="en-US" w:eastAsia="zh-CN"/>
              </w:rPr>
            </w:pPr>
            <w:r>
              <w:rPr>
                <w:rFonts w:hint="eastAsia"/>
                <w:kern w:val="0"/>
                <w:sz w:val="21"/>
                <w:szCs w:val="21"/>
                <w:lang w:val="en-US" w:eastAsia="zh-CN"/>
              </w:rPr>
              <w:t>PM</w:t>
            </w:r>
            <w:r>
              <w:rPr>
                <w:rFonts w:hint="eastAsia"/>
                <w:kern w:val="0"/>
                <w:sz w:val="21"/>
                <w:szCs w:val="21"/>
                <w:vertAlign w:val="subscript"/>
                <w:lang w:val="en-US" w:eastAsia="zh-CN"/>
              </w:rPr>
              <w:t>2.5</w:t>
            </w:r>
          </w:p>
        </w:tc>
        <w:tc>
          <w:tcPr>
            <w:tcW w:w="132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0.003</w:t>
            </w:r>
          </w:p>
        </w:tc>
        <w:tc>
          <w:tcPr>
            <w:tcW w:w="130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0.028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537" w:type="pct"/>
            <w:vMerge w:val="restar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w:t>
            </w:r>
          </w:p>
        </w:tc>
        <w:tc>
          <w:tcPr>
            <w:tcW w:w="733"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2#泊位</w:t>
            </w:r>
          </w:p>
        </w:tc>
        <w:tc>
          <w:tcPr>
            <w:tcW w:w="532"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123.00</w:t>
            </w:r>
          </w:p>
        </w:tc>
        <w:tc>
          <w:tcPr>
            <w:tcW w:w="532"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21.60</w:t>
            </w:r>
          </w:p>
        </w:tc>
        <w:tc>
          <w:tcPr>
            <w:tcW w:w="622"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5</w:t>
            </w:r>
          </w:p>
        </w:tc>
        <w:tc>
          <w:tcPr>
            <w:tcW w:w="61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TSP</w:t>
            </w:r>
          </w:p>
        </w:tc>
        <w:tc>
          <w:tcPr>
            <w:tcW w:w="717" w:type="pct"/>
            <w:tcBorders>
              <w:tl2br w:val="nil"/>
              <w:tr2bl w:val="nil"/>
            </w:tcBorders>
            <w:vAlign w:val="center"/>
          </w:tcPr>
          <w:p>
            <w:pPr>
              <w:pStyle w:val="2057"/>
              <w:spacing w:afterLines="0" w:line="240" w:lineRule="atLeast"/>
              <w:ind w:firstLine="0" w:firstLineChars="0"/>
              <w:rPr>
                <w:rFonts w:hint="eastAsia" w:ascii="Times New Roman" w:hAnsi="Times New Roman" w:cs="Times New Roman"/>
                <w:color w:val="000000" w:themeColor="text1"/>
                <w:kern w:val="44"/>
                <w:sz w:val="21"/>
                <w:szCs w:val="21"/>
                <w14:textFill>
                  <w14:solidFill>
                    <w14:schemeClr w14:val="tx1"/>
                  </w14:solidFill>
                </w14:textFill>
              </w:rPr>
            </w:pPr>
            <w:r>
              <w:rPr>
                <w:rFonts w:hint="eastAsia" w:ascii="Times New Roman" w:hAnsi="Times New Roman" w:cs="Times New Roman"/>
                <w:color w:val="000000" w:themeColor="text1"/>
                <w:kern w:val="44"/>
                <w:sz w:val="21"/>
                <w:szCs w:val="21"/>
                <w:lang w:val="en-US" w:eastAsia="zh-CN"/>
                <w14:textFill>
                  <w14:solidFill>
                    <w14:schemeClr w14:val="tx1"/>
                  </w14:solidFill>
                </w14:textFill>
              </w:rPr>
              <w:t>0.224</w:t>
            </w:r>
          </w:p>
        </w:tc>
        <w:tc>
          <w:tcPr>
            <w:tcW w:w="706" w:type="pct"/>
            <w:tcBorders>
              <w:tl2br w:val="nil"/>
              <w:tr2bl w:val="nil"/>
            </w:tcBorders>
            <w:vAlign w:val="center"/>
          </w:tcPr>
          <w:p>
            <w:pPr>
              <w:pStyle w:val="2057"/>
              <w:spacing w:afterLines="0"/>
              <w:jc w:val="both"/>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cs="Times New Roman"/>
                <w:color w:val="000000" w:themeColor="text1"/>
                <w:kern w:val="44"/>
                <w:sz w:val="21"/>
                <w:szCs w:val="21"/>
                <w:lang w:val="en-US" w:eastAsia="zh-CN"/>
                <w14:textFill>
                  <w14:solidFill>
                    <w14:schemeClr w14:val="tx1"/>
                  </w14:solidFill>
                </w14:textFill>
              </w:rPr>
              <w:t>1.930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537"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p>
        </w:tc>
        <w:tc>
          <w:tcPr>
            <w:tcW w:w="733"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2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1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r>
              <w:rPr>
                <w:rFonts w:hint="eastAsia"/>
                <w:kern w:val="0"/>
                <w:sz w:val="21"/>
                <w:szCs w:val="21"/>
                <w:lang w:val="en-US" w:eastAsia="zh-CN"/>
              </w:rPr>
              <w:t>PM</w:t>
            </w:r>
            <w:r>
              <w:rPr>
                <w:rFonts w:hint="eastAsia"/>
                <w:kern w:val="0"/>
                <w:sz w:val="21"/>
                <w:szCs w:val="21"/>
                <w:vertAlign w:val="subscript"/>
                <w:lang w:val="en-US" w:eastAsia="zh-CN"/>
              </w:rPr>
              <w:t>10</w:t>
            </w:r>
          </w:p>
        </w:tc>
        <w:tc>
          <w:tcPr>
            <w:tcW w:w="132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0.061</w:t>
            </w:r>
          </w:p>
        </w:tc>
        <w:tc>
          <w:tcPr>
            <w:tcW w:w="130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0.483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537"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p>
        </w:tc>
        <w:tc>
          <w:tcPr>
            <w:tcW w:w="733"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2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1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r>
              <w:rPr>
                <w:rFonts w:hint="eastAsia"/>
                <w:kern w:val="0"/>
                <w:sz w:val="21"/>
                <w:szCs w:val="21"/>
                <w:lang w:val="en-US" w:eastAsia="zh-CN"/>
              </w:rPr>
              <w:t>PM</w:t>
            </w:r>
            <w:r>
              <w:rPr>
                <w:rFonts w:hint="eastAsia"/>
                <w:kern w:val="0"/>
                <w:sz w:val="21"/>
                <w:szCs w:val="21"/>
                <w:vertAlign w:val="subscript"/>
                <w:lang w:val="en-US" w:eastAsia="zh-CN"/>
              </w:rPr>
              <w:t>2.5</w:t>
            </w:r>
          </w:p>
        </w:tc>
        <w:tc>
          <w:tcPr>
            <w:tcW w:w="132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0.015</w:t>
            </w:r>
          </w:p>
        </w:tc>
        <w:tc>
          <w:tcPr>
            <w:tcW w:w="130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0.116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537" w:type="pct"/>
            <w:vMerge w:val="restar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3</w:t>
            </w:r>
          </w:p>
        </w:tc>
        <w:tc>
          <w:tcPr>
            <w:tcW w:w="733"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3#泊位</w:t>
            </w:r>
          </w:p>
        </w:tc>
        <w:tc>
          <w:tcPr>
            <w:tcW w:w="532"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123.00</w:t>
            </w:r>
          </w:p>
        </w:tc>
        <w:tc>
          <w:tcPr>
            <w:tcW w:w="532"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21.60</w:t>
            </w:r>
          </w:p>
        </w:tc>
        <w:tc>
          <w:tcPr>
            <w:tcW w:w="622"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5</w:t>
            </w:r>
          </w:p>
        </w:tc>
        <w:tc>
          <w:tcPr>
            <w:tcW w:w="61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TSP</w:t>
            </w:r>
          </w:p>
        </w:tc>
        <w:tc>
          <w:tcPr>
            <w:tcW w:w="717" w:type="pct"/>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cs="Times New Roman"/>
                <w:color w:val="000000" w:themeColor="text1"/>
                <w:kern w:val="44"/>
                <w:sz w:val="21"/>
                <w:szCs w:val="21"/>
                <w:lang w:val="en-US" w:eastAsia="zh-CN"/>
                <w14:textFill>
                  <w14:solidFill>
                    <w14:schemeClr w14:val="tx1"/>
                  </w14:solidFill>
                </w14:textFill>
              </w:rPr>
              <w:t>0.224</w:t>
            </w:r>
          </w:p>
        </w:tc>
        <w:tc>
          <w:tcPr>
            <w:tcW w:w="706" w:type="pct"/>
            <w:tcBorders>
              <w:tl2br w:val="nil"/>
              <w:tr2bl w:val="nil"/>
            </w:tcBorders>
            <w:vAlign w:val="center"/>
          </w:tcPr>
          <w:p>
            <w:pPr>
              <w:pStyle w:val="2057"/>
              <w:spacing w:afterLines="0"/>
              <w:jc w:val="both"/>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cs="Times New Roman"/>
                <w:color w:val="000000" w:themeColor="text1"/>
                <w:kern w:val="44"/>
                <w:sz w:val="21"/>
                <w:szCs w:val="21"/>
                <w:lang w:val="en-US" w:eastAsia="zh-CN"/>
                <w14:textFill>
                  <w14:solidFill>
                    <w14:schemeClr w14:val="tx1"/>
                  </w14:solidFill>
                </w14:textFill>
              </w:rPr>
              <w:t>1.930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537"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p>
        </w:tc>
        <w:tc>
          <w:tcPr>
            <w:tcW w:w="733"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2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1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r>
              <w:rPr>
                <w:rFonts w:hint="eastAsia"/>
                <w:kern w:val="0"/>
                <w:sz w:val="21"/>
                <w:szCs w:val="21"/>
                <w:lang w:val="en-US" w:eastAsia="zh-CN"/>
              </w:rPr>
              <w:t>PM</w:t>
            </w:r>
            <w:r>
              <w:rPr>
                <w:rFonts w:hint="eastAsia"/>
                <w:kern w:val="0"/>
                <w:sz w:val="21"/>
                <w:szCs w:val="21"/>
                <w:vertAlign w:val="subscript"/>
                <w:lang w:val="en-US" w:eastAsia="zh-CN"/>
              </w:rPr>
              <w:t>10</w:t>
            </w:r>
          </w:p>
        </w:tc>
        <w:tc>
          <w:tcPr>
            <w:tcW w:w="132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0.061</w:t>
            </w:r>
          </w:p>
        </w:tc>
        <w:tc>
          <w:tcPr>
            <w:tcW w:w="130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0.483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537"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p>
        </w:tc>
        <w:tc>
          <w:tcPr>
            <w:tcW w:w="733"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2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1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r>
              <w:rPr>
                <w:rFonts w:hint="eastAsia"/>
                <w:kern w:val="0"/>
                <w:sz w:val="21"/>
                <w:szCs w:val="21"/>
                <w:lang w:val="en-US" w:eastAsia="zh-CN"/>
              </w:rPr>
              <w:t>PM</w:t>
            </w:r>
            <w:r>
              <w:rPr>
                <w:rFonts w:hint="eastAsia"/>
                <w:kern w:val="0"/>
                <w:sz w:val="21"/>
                <w:szCs w:val="21"/>
                <w:vertAlign w:val="subscript"/>
                <w:lang w:val="en-US" w:eastAsia="zh-CN"/>
              </w:rPr>
              <w:t>2.5</w:t>
            </w:r>
          </w:p>
        </w:tc>
        <w:tc>
          <w:tcPr>
            <w:tcW w:w="132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0.015</w:t>
            </w:r>
          </w:p>
        </w:tc>
        <w:tc>
          <w:tcPr>
            <w:tcW w:w="130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0.116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537" w:type="pct"/>
            <w:vMerge w:val="restar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4</w:t>
            </w:r>
          </w:p>
        </w:tc>
        <w:tc>
          <w:tcPr>
            <w:tcW w:w="733"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4#泊位</w:t>
            </w:r>
          </w:p>
        </w:tc>
        <w:tc>
          <w:tcPr>
            <w:tcW w:w="532"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123.00</w:t>
            </w:r>
          </w:p>
        </w:tc>
        <w:tc>
          <w:tcPr>
            <w:tcW w:w="532"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21.60</w:t>
            </w:r>
          </w:p>
        </w:tc>
        <w:tc>
          <w:tcPr>
            <w:tcW w:w="622"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5</w:t>
            </w:r>
          </w:p>
        </w:tc>
        <w:tc>
          <w:tcPr>
            <w:tcW w:w="61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TSP</w:t>
            </w:r>
          </w:p>
        </w:tc>
        <w:tc>
          <w:tcPr>
            <w:tcW w:w="717" w:type="pct"/>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cs="Times New Roman"/>
                <w:color w:val="000000" w:themeColor="text1"/>
                <w:kern w:val="44"/>
                <w:sz w:val="21"/>
                <w:szCs w:val="21"/>
                <w:lang w:val="en-US" w:eastAsia="zh-CN"/>
                <w14:textFill>
                  <w14:solidFill>
                    <w14:schemeClr w14:val="tx1"/>
                  </w14:solidFill>
                </w14:textFill>
              </w:rPr>
              <w:t>0.148</w:t>
            </w:r>
          </w:p>
        </w:tc>
        <w:tc>
          <w:tcPr>
            <w:tcW w:w="706" w:type="pct"/>
            <w:tcBorders>
              <w:tl2br w:val="nil"/>
              <w:tr2bl w:val="nil"/>
            </w:tcBorders>
            <w:vAlign w:val="center"/>
          </w:tcPr>
          <w:p>
            <w:pPr>
              <w:pStyle w:val="2057"/>
              <w:spacing w:afterLines="0"/>
              <w:jc w:val="both"/>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cs="Times New Roman"/>
                <w:color w:val="000000" w:themeColor="text1"/>
                <w:kern w:val="44"/>
                <w:sz w:val="21"/>
                <w:szCs w:val="21"/>
                <w:lang w:val="en-US" w:eastAsia="zh-CN"/>
                <w14:textFill>
                  <w14:solidFill>
                    <w14:schemeClr w14:val="tx1"/>
                  </w14:solidFill>
                </w14:textFill>
              </w:rPr>
              <w:t>1.172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537"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p>
        </w:tc>
        <w:tc>
          <w:tcPr>
            <w:tcW w:w="733"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2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1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r>
              <w:rPr>
                <w:rFonts w:hint="eastAsia"/>
                <w:kern w:val="0"/>
                <w:sz w:val="21"/>
                <w:szCs w:val="21"/>
                <w:lang w:val="en-US" w:eastAsia="zh-CN"/>
              </w:rPr>
              <w:t>PM</w:t>
            </w:r>
            <w:r>
              <w:rPr>
                <w:rFonts w:hint="eastAsia"/>
                <w:kern w:val="0"/>
                <w:sz w:val="21"/>
                <w:szCs w:val="21"/>
                <w:vertAlign w:val="subscript"/>
                <w:lang w:val="en-US" w:eastAsia="zh-CN"/>
              </w:rPr>
              <w:t>10</w:t>
            </w:r>
          </w:p>
        </w:tc>
        <w:tc>
          <w:tcPr>
            <w:tcW w:w="132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0.037</w:t>
            </w:r>
          </w:p>
        </w:tc>
        <w:tc>
          <w:tcPr>
            <w:tcW w:w="130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0.293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537"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p>
        </w:tc>
        <w:tc>
          <w:tcPr>
            <w:tcW w:w="733"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2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1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r>
              <w:rPr>
                <w:rFonts w:hint="eastAsia"/>
                <w:kern w:val="0"/>
                <w:sz w:val="21"/>
                <w:szCs w:val="21"/>
                <w:lang w:val="en-US" w:eastAsia="zh-CN"/>
              </w:rPr>
              <w:t>PM</w:t>
            </w:r>
            <w:r>
              <w:rPr>
                <w:rFonts w:hint="eastAsia"/>
                <w:kern w:val="0"/>
                <w:sz w:val="21"/>
                <w:szCs w:val="21"/>
                <w:vertAlign w:val="subscript"/>
                <w:lang w:val="en-US" w:eastAsia="zh-CN"/>
              </w:rPr>
              <w:t>2.5</w:t>
            </w:r>
          </w:p>
        </w:tc>
        <w:tc>
          <w:tcPr>
            <w:tcW w:w="132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0.009</w:t>
            </w:r>
          </w:p>
        </w:tc>
        <w:tc>
          <w:tcPr>
            <w:tcW w:w="130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0.070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537" w:type="pct"/>
            <w:vMerge w:val="restar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w:t>
            </w:r>
          </w:p>
        </w:tc>
        <w:tc>
          <w:tcPr>
            <w:tcW w:w="733"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5#泊位</w:t>
            </w:r>
          </w:p>
        </w:tc>
        <w:tc>
          <w:tcPr>
            <w:tcW w:w="532"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123.00</w:t>
            </w:r>
          </w:p>
        </w:tc>
        <w:tc>
          <w:tcPr>
            <w:tcW w:w="532"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21.60</w:t>
            </w:r>
          </w:p>
        </w:tc>
        <w:tc>
          <w:tcPr>
            <w:tcW w:w="622"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5</w:t>
            </w:r>
          </w:p>
        </w:tc>
        <w:tc>
          <w:tcPr>
            <w:tcW w:w="61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TSP</w:t>
            </w:r>
          </w:p>
        </w:tc>
        <w:tc>
          <w:tcPr>
            <w:tcW w:w="717" w:type="pct"/>
            <w:tcBorders>
              <w:tl2br w:val="nil"/>
              <w:tr2bl w:val="nil"/>
            </w:tcBorders>
            <w:vAlign w:val="center"/>
          </w:tcPr>
          <w:p>
            <w:pPr>
              <w:pStyle w:val="2057"/>
              <w:spacing w:afterLines="0" w:line="240" w:lineRule="atLeast"/>
              <w:ind w:firstLine="0" w:firstLineChars="0"/>
              <w:rPr>
                <w:rFonts w:hint="eastAsia" w:ascii="Times New Roman" w:hAnsi="Times New Roman" w:cs="Times New Roman"/>
                <w:color w:val="000000" w:themeColor="text1"/>
                <w:kern w:val="44"/>
                <w:sz w:val="21"/>
                <w:szCs w:val="21"/>
                <w14:textFill>
                  <w14:solidFill>
                    <w14:schemeClr w14:val="tx1"/>
                  </w14:solidFill>
                </w14:textFill>
              </w:rPr>
            </w:pPr>
            <w:r>
              <w:rPr>
                <w:rFonts w:hint="eastAsia" w:ascii="Times New Roman" w:hAnsi="Times New Roman" w:cs="Times New Roman"/>
                <w:color w:val="000000" w:themeColor="text1"/>
                <w:kern w:val="44"/>
                <w:sz w:val="21"/>
                <w:szCs w:val="21"/>
                <w:lang w:val="en-US" w:eastAsia="zh-CN"/>
                <w14:textFill>
                  <w14:solidFill>
                    <w14:schemeClr w14:val="tx1"/>
                  </w14:solidFill>
                </w14:textFill>
              </w:rPr>
              <w:t>0.162</w:t>
            </w:r>
          </w:p>
        </w:tc>
        <w:tc>
          <w:tcPr>
            <w:tcW w:w="706" w:type="pct"/>
            <w:tcBorders>
              <w:tl2br w:val="nil"/>
              <w:tr2bl w:val="nil"/>
            </w:tcBorders>
            <w:vAlign w:val="center"/>
          </w:tcPr>
          <w:p>
            <w:pPr>
              <w:pStyle w:val="2057"/>
              <w:spacing w:afterLines="0"/>
              <w:jc w:val="both"/>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cs="Times New Roman"/>
                <w:color w:val="000000" w:themeColor="text1"/>
                <w:kern w:val="44"/>
                <w:sz w:val="21"/>
                <w:szCs w:val="21"/>
                <w:lang w:val="en-US" w:eastAsia="zh-CN"/>
                <w14:textFill>
                  <w14:solidFill>
                    <w14:schemeClr w14:val="tx1"/>
                  </w14:solidFill>
                </w14:textFill>
              </w:rPr>
              <w:t>1.287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537"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p>
        </w:tc>
        <w:tc>
          <w:tcPr>
            <w:tcW w:w="733"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2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1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r>
              <w:rPr>
                <w:rFonts w:hint="eastAsia"/>
                <w:kern w:val="0"/>
                <w:sz w:val="21"/>
                <w:szCs w:val="21"/>
                <w:lang w:val="en-US" w:eastAsia="zh-CN"/>
              </w:rPr>
              <w:t>PM</w:t>
            </w:r>
            <w:r>
              <w:rPr>
                <w:rFonts w:hint="eastAsia"/>
                <w:kern w:val="0"/>
                <w:sz w:val="21"/>
                <w:szCs w:val="21"/>
                <w:vertAlign w:val="subscript"/>
                <w:lang w:val="en-US" w:eastAsia="zh-CN"/>
              </w:rPr>
              <w:t>10</w:t>
            </w:r>
          </w:p>
        </w:tc>
        <w:tc>
          <w:tcPr>
            <w:tcW w:w="132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0.041</w:t>
            </w:r>
          </w:p>
        </w:tc>
        <w:tc>
          <w:tcPr>
            <w:tcW w:w="130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0.322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537"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p>
        </w:tc>
        <w:tc>
          <w:tcPr>
            <w:tcW w:w="733"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2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1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r>
              <w:rPr>
                <w:rFonts w:hint="eastAsia"/>
                <w:kern w:val="0"/>
                <w:sz w:val="21"/>
                <w:szCs w:val="21"/>
                <w:lang w:val="en-US" w:eastAsia="zh-CN"/>
              </w:rPr>
              <w:t>PM</w:t>
            </w:r>
            <w:r>
              <w:rPr>
                <w:rFonts w:hint="eastAsia"/>
                <w:kern w:val="0"/>
                <w:sz w:val="21"/>
                <w:szCs w:val="21"/>
                <w:vertAlign w:val="subscript"/>
                <w:lang w:val="en-US" w:eastAsia="zh-CN"/>
              </w:rPr>
              <w:t>2.5</w:t>
            </w:r>
          </w:p>
        </w:tc>
        <w:tc>
          <w:tcPr>
            <w:tcW w:w="132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0.010</w:t>
            </w:r>
          </w:p>
        </w:tc>
        <w:tc>
          <w:tcPr>
            <w:tcW w:w="130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0.077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537" w:type="pct"/>
            <w:vMerge w:val="restar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6</w:t>
            </w:r>
          </w:p>
        </w:tc>
        <w:tc>
          <w:tcPr>
            <w:tcW w:w="733"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6#泊位</w:t>
            </w:r>
          </w:p>
        </w:tc>
        <w:tc>
          <w:tcPr>
            <w:tcW w:w="532"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110.0</w:t>
            </w:r>
          </w:p>
        </w:tc>
        <w:tc>
          <w:tcPr>
            <w:tcW w:w="532"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19.2</w:t>
            </w:r>
          </w:p>
        </w:tc>
        <w:tc>
          <w:tcPr>
            <w:tcW w:w="622"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5</w:t>
            </w:r>
          </w:p>
        </w:tc>
        <w:tc>
          <w:tcPr>
            <w:tcW w:w="61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TSP</w:t>
            </w:r>
          </w:p>
        </w:tc>
        <w:tc>
          <w:tcPr>
            <w:tcW w:w="717" w:type="pct"/>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cs="Times New Roman"/>
                <w:color w:val="000000" w:themeColor="text1"/>
                <w:kern w:val="44"/>
                <w:sz w:val="21"/>
                <w:szCs w:val="21"/>
                <w:lang w:val="en-US" w:eastAsia="zh-CN"/>
                <w14:textFill>
                  <w14:solidFill>
                    <w14:schemeClr w14:val="tx1"/>
                  </w14:solidFill>
                </w14:textFill>
              </w:rPr>
              <w:t>0.065</w:t>
            </w:r>
          </w:p>
        </w:tc>
        <w:tc>
          <w:tcPr>
            <w:tcW w:w="706" w:type="pct"/>
            <w:tcBorders>
              <w:tl2br w:val="nil"/>
              <w:tr2bl w:val="nil"/>
            </w:tcBorders>
            <w:vAlign w:val="center"/>
          </w:tcPr>
          <w:p>
            <w:pPr>
              <w:pStyle w:val="2057"/>
              <w:spacing w:afterLines="0"/>
              <w:jc w:val="both"/>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cs="Times New Roman"/>
                <w:color w:val="000000" w:themeColor="text1"/>
                <w:kern w:val="44"/>
                <w:sz w:val="21"/>
                <w:szCs w:val="21"/>
                <w:lang w:val="en-US" w:eastAsia="zh-CN"/>
                <w14:textFill>
                  <w14:solidFill>
                    <w14:schemeClr w14:val="tx1"/>
                  </w14:solidFill>
                </w14:textFill>
              </w:rPr>
              <w:t>0.515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537"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p>
        </w:tc>
        <w:tc>
          <w:tcPr>
            <w:tcW w:w="733"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2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1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r>
              <w:rPr>
                <w:rFonts w:hint="eastAsia"/>
                <w:kern w:val="0"/>
                <w:sz w:val="21"/>
                <w:szCs w:val="21"/>
                <w:lang w:val="en-US" w:eastAsia="zh-CN"/>
              </w:rPr>
              <w:t>PM</w:t>
            </w:r>
            <w:r>
              <w:rPr>
                <w:rFonts w:hint="eastAsia"/>
                <w:kern w:val="0"/>
                <w:sz w:val="21"/>
                <w:szCs w:val="21"/>
                <w:vertAlign w:val="subscript"/>
                <w:lang w:val="en-US" w:eastAsia="zh-CN"/>
              </w:rPr>
              <w:t>10</w:t>
            </w:r>
          </w:p>
        </w:tc>
        <w:tc>
          <w:tcPr>
            <w:tcW w:w="132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0.016</w:t>
            </w:r>
          </w:p>
        </w:tc>
        <w:tc>
          <w:tcPr>
            <w:tcW w:w="130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0.129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537"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p>
        </w:tc>
        <w:tc>
          <w:tcPr>
            <w:tcW w:w="733"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2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1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r>
              <w:rPr>
                <w:rFonts w:hint="eastAsia"/>
                <w:kern w:val="0"/>
                <w:sz w:val="21"/>
                <w:szCs w:val="21"/>
                <w:lang w:val="en-US" w:eastAsia="zh-CN"/>
              </w:rPr>
              <w:t>PM</w:t>
            </w:r>
            <w:r>
              <w:rPr>
                <w:rFonts w:hint="eastAsia"/>
                <w:kern w:val="0"/>
                <w:sz w:val="21"/>
                <w:szCs w:val="21"/>
                <w:vertAlign w:val="subscript"/>
                <w:lang w:val="en-US" w:eastAsia="zh-CN"/>
              </w:rPr>
              <w:t>2.5</w:t>
            </w:r>
          </w:p>
        </w:tc>
        <w:tc>
          <w:tcPr>
            <w:tcW w:w="132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0.004</w:t>
            </w:r>
          </w:p>
        </w:tc>
        <w:tc>
          <w:tcPr>
            <w:tcW w:w="130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0.031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537" w:type="pct"/>
            <w:vMerge w:val="restar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7</w:t>
            </w:r>
          </w:p>
        </w:tc>
        <w:tc>
          <w:tcPr>
            <w:tcW w:w="733" w:type="pct"/>
            <w:vMerge w:val="restart"/>
            <w:tcBorders>
              <w:tl2br w:val="nil"/>
              <w:tr2bl w:val="nil"/>
            </w:tcBorders>
            <w:vAlign w:val="center"/>
          </w:tcPr>
          <w:p>
            <w:pPr>
              <w:pStyle w:val="2057"/>
              <w:spacing w:afterLines="0" w:line="240" w:lineRule="atLeast"/>
              <w:ind w:firstLine="0" w:firstLineChars="0"/>
              <w:rPr>
                <w:color w:val="000000" w:themeColor="text1"/>
                <w:kern w:val="44"/>
                <w:sz w:val="21"/>
                <w:szCs w:val="21"/>
                <w14:textFill>
                  <w14:solidFill>
                    <w14:schemeClr w14:val="tx1"/>
                  </w14:solidFill>
                </w14:textFill>
              </w:rPr>
            </w:pPr>
            <w:r>
              <w:rPr>
                <w:rFonts w:hint="eastAsia"/>
                <w:color w:val="000000" w:themeColor="text1"/>
                <w:kern w:val="44"/>
                <w:sz w:val="21"/>
                <w:szCs w:val="21"/>
                <w14:textFill>
                  <w14:solidFill>
                    <w14:schemeClr w14:val="tx1"/>
                  </w14:solidFill>
                </w14:textFill>
              </w:rPr>
              <w:t>卸车料棚</w:t>
            </w:r>
          </w:p>
        </w:tc>
        <w:tc>
          <w:tcPr>
            <w:tcW w:w="532"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30.00</w:t>
            </w:r>
          </w:p>
        </w:tc>
        <w:tc>
          <w:tcPr>
            <w:tcW w:w="532"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84.00</w:t>
            </w:r>
          </w:p>
        </w:tc>
        <w:tc>
          <w:tcPr>
            <w:tcW w:w="622" w:type="pct"/>
            <w:vMerge w:val="restart"/>
            <w:tcBorders>
              <w:tl2br w:val="nil"/>
              <w:tr2bl w:val="nil"/>
            </w:tcBorders>
            <w:vAlign w:val="center"/>
          </w:tcPr>
          <w:p>
            <w:pPr>
              <w:pStyle w:val="2057"/>
              <w:spacing w:afterLines="0" w:line="240" w:lineRule="atLeast"/>
              <w:ind w:firstLine="0" w:firstLineChars="0"/>
              <w:rPr>
                <w:kern w:val="0"/>
                <w:sz w:val="21"/>
                <w:szCs w:val="21"/>
              </w:rPr>
            </w:pPr>
            <w:r>
              <w:rPr>
                <w:rFonts w:hint="eastAsia"/>
                <w:color w:val="000000" w:themeColor="text1"/>
                <w:kern w:val="44"/>
                <w:sz w:val="21"/>
                <w:szCs w:val="21"/>
                <w14:textFill>
                  <w14:solidFill>
                    <w14:schemeClr w14:val="tx1"/>
                  </w14:solidFill>
                </w14:textFill>
              </w:rPr>
              <w:t>5</w:t>
            </w:r>
          </w:p>
        </w:tc>
        <w:tc>
          <w:tcPr>
            <w:tcW w:w="61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TSP</w:t>
            </w:r>
          </w:p>
        </w:tc>
        <w:tc>
          <w:tcPr>
            <w:tcW w:w="717" w:type="pct"/>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cs="Times New Roman"/>
                <w:color w:val="000000" w:themeColor="text1"/>
                <w:kern w:val="44"/>
                <w:sz w:val="21"/>
                <w:szCs w:val="21"/>
                <w:lang w:val="en-US" w:eastAsia="zh-CN"/>
                <w14:textFill>
                  <w14:solidFill>
                    <w14:schemeClr w14:val="tx1"/>
                  </w14:solidFill>
                </w14:textFill>
              </w:rPr>
              <w:t>0.158</w:t>
            </w:r>
          </w:p>
        </w:tc>
        <w:tc>
          <w:tcPr>
            <w:tcW w:w="706" w:type="pct"/>
            <w:tcBorders>
              <w:tl2br w:val="nil"/>
              <w:tr2bl w:val="nil"/>
            </w:tcBorders>
            <w:vAlign w:val="center"/>
          </w:tcPr>
          <w:p>
            <w:pPr>
              <w:pStyle w:val="2057"/>
              <w:spacing w:afterLines="0"/>
              <w:jc w:val="both"/>
              <w:rPr>
                <w:rFonts w:hint="default"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cs="Times New Roman"/>
                <w:color w:val="000000" w:themeColor="text1"/>
                <w:kern w:val="44"/>
                <w:sz w:val="21"/>
                <w:szCs w:val="21"/>
                <w:lang w:val="en-US" w:eastAsia="zh-CN"/>
                <w14:textFill>
                  <w14:solidFill>
                    <w14:schemeClr w14:val="tx1"/>
                  </w14:solidFill>
                </w14:textFill>
              </w:rPr>
              <w:t>1.225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537"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p>
        </w:tc>
        <w:tc>
          <w:tcPr>
            <w:tcW w:w="733"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2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1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r>
              <w:rPr>
                <w:rFonts w:hint="eastAsia"/>
                <w:kern w:val="0"/>
                <w:sz w:val="21"/>
                <w:szCs w:val="21"/>
                <w:lang w:val="en-US" w:eastAsia="zh-CN"/>
              </w:rPr>
              <w:t>PM</w:t>
            </w:r>
            <w:r>
              <w:rPr>
                <w:rFonts w:hint="eastAsia"/>
                <w:kern w:val="0"/>
                <w:sz w:val="21"/>
                <w:szCs w:val="21"/>
                <w:vertAlign w:val="subscript"/>
                <w:lang w:val="en-US" w:eastAsia="zh-CN"/>
              </w:rPr>
              <w:t>10</w:t>
            </w:r>
          </w:p>
        </w:tc>
        <w:tc>
          <w:tcPr>
            <w:tcW w:w="132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0.040</w:t>
            </w:r>
          </w:p>
        </w:tc>
        <w:tc>
          <w:tcPr>
            <w:tcW w:w="130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0.314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537"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p>
        </w:tc>
        <w:tc>
          <w:tcPr>
            <w:tcW w:w="733"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53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22" w:type="pct"/>
            <w:vMerge w:val="continue"/>
            <w:tcBorders>
              <w:tl2br w:val="nil"/>
              <w:tr2bl w:val="nil"/>
            </w:tcBorders>
            <w:vAlign w:val="center"/>
          </w:tcPr>
          <w:p>
            <w:pPr>
              <w:pStyle w:val="2057"/>
              <w:spacing w:afterLines="0" w:line="240" w:lineRule="atLeast"/>
              <w:ind w:firstLine="0" w:firstLineChars="0"/>
              <w:rPr>
                <w:rFonts w:hint="eastAsia"/>
                <w:color w:val="000000" w:themeColor="text1"/>
                <w:kern w:val="44"/>
                <w:sz w:val="21"/>
                <w:szCs w:val="21"/>
                <w14:textFill>
                  <w14:solidFill>
                    <w14:schemeClr w14:val="tx1"/>
                  </w14:solidFill>
                </w14:textFill>
              </w:rPr>
            </w:pPr>
          </w:p>
        </w:tc>
        <w:tc>
          <w:tcPr>
            <w:tcW w:w="61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r>
              <w:rPr>
                <w:rFonts w:hint="eastAsia"/>
                <w:kern w:val="0"/>
                <w:sz w:val="21"/>
                <w:szCs w:val="21"/>
                <w:lang w:val="en-US" w:eastAsia="zh-CN"/>
              </w:rPr>
              <w:t>PM</w:t>
            </w:r>
            <w:r>
              <w:rPr>
                <w:rFonts w:hint="eastAsia"/>
                <w:kern w:val="0"/>
                <w:sz w:val="21"/>
                <w:szCs w:val="21"/>
                <w:vertAlign w:val="subscript"/>
                <w:lang w:val="en-US" w:eastAsia="zh-CN"/>
              </w:rPr>
              <w:t>2.5</w:t>
            </w:r>
          </w:p>
        </w:tc>
        <w:tc>
          <w:tcPr>
            <w:tcW w:w="132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0.009</w:t>
            </w:r>
          </w:p>
        </w:tc>
        <w:tc>
          <w:tcPr>
            <w:tcW w:w="1304" w:type="dxa"/>
            <w:tcBorders>
              <w:tl2br w:val="nil"/>
              <w:tr2bl w:val="nil"/>
            </w:tcBorders>
            <w:vAlign w:val="center"/>
          </w:tcPr>
          <w:p>
            <w:pPr>
              <w:pStyle w:val="2057"/>
              <w:spacing w:afterLines="0" w:line="240" w:lineRule="atLeast"/>
              <w:ind w:firstLine="0" w:firstLineChars="0"/>
              <w:rPr>
                <w:rFonts w:hint="eastAsia" w:ascii="Times New Roman" w:hAnsi="Times New Roman" w:eastAsia="宋体" w:cs="Times New Roman"/>
                <w:color w:val="000000" w:themeColor="text1"/>
                <w:kern w:val="44"/>
                <w:sz w:val="21"/>
                <w:szCs w:val="21"/>
                <w:lang w:val="en-US" w:eastAsia="zh-CN"/>
                <w14:textFill>
                  <w14:solidFill>
                    <w14:schemeClr w14:val="tx1"/>
                  </w14:solidFill>
                </w14:textFill>
              </w:rPr>
            </w:pPr>
            <w:r>
              <w:rPr>
                <w:rFonts w:hint="eastAsia" w:ascii="Times New Roman" w:hAnsi="Times New Roman" w:eastAsia="宋体" w:cs="Times New Roman"/>
                <w:i w:val="0"/>
                <w:iCs w:val="0"/>
                <w:color w:val="000000" w:themeColor="text1"/>
                <w:kern w:val="44"/>
                <w:sz w:val="21"/>
                <w:szCs w:val="21"/>
                <w:u w:val="none"/>
                <w:lang w:val="en-US" w:eastAsia="zh-CN" w:bidi="ar"/>
                <w14:textFill>
                  <w14:solidFill>
                    <w14:schemeClr w14:val="tx1"/>
                  </w14:solidFill>
                </w14:textFill>
              </w:rPr>
              <w:t>0.075</w:t>
            </w:r>
          </w:p>
        </w:tc>
      </w:tr>
    </w:tbl>
    <w:p>
      <w:pPr>
        <w:ind w:firstLine="480"/>
      </w:pPr>
      <w:r>
        <w:rPr>
          <w:rFonts w:hint="eastAsia"/>
        </w:rPr>
        <w:t>②非正常工况排放污染源：干雾除尘系统障碍。</w:t>
      </w:r>
    </w:p>
    <w:p>
      <w:pPr>
        <w:pStyle w:val="3586"/>
        <w:ind w:left="0"/>
      </w:pPr>
      <w:r>
        <w:t xml:space="preserve">  </w:t>
      </w:r>
      <w:r>
        <w:rPr>
          <w:rFonts w:hint="eastAsia"/>
        </w:rPr>
        <w:t>非正常工况预测源强一览表</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65"/>
        <w:gridCol w:w="2769"/>
        <w:gridCol w:w="2132"/>
        <w:gridCol w:w="29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789" w:type="pct"/>
            <w:vMerge w:val="restart"/>
            <w:tcBorders>
              <w:bottom w:val="single" w:color="auto" w:sz="12" w:space="0"/>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序号</w:t>
            </w:r>
          </w:p>
        </w:tc>
        <w:tc>
          <w:tcPr>
            <w:tcW w:w="1490" w:type="pct"/>
            <w:vMerge w:val="restart"/>
            <w:tcBorders>
              <w:bottom w:val="single" w:color="auto" w:sz="12" w:space="0"/>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产污环节</w:t>
            </w:r>
          </w:p>
        </w:tc>
        <w:tc>
          <w:tcPr>
            <w:tcW w:w="1147" w:type="pct"/>
            <w:vMerge w:val="restart"/>
            <w:tcBorders>
              <w:bottom w:val="single" w:color="auto" w:sz="12" w:space="0"/>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污染物</w:t>
            </w:r>
          </w:p>
        </w:tc>
        <w:tc>
          <w:tcPr>
            <w:tcW w:w="1571" w:type="pct"/>
            <w:vMerge w:val="restart"/>
            <w:tcBorders>
              <w:bottom w:val="single" w:color="auto" w:sz="12" w:space="0"/>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年排放量（</w:t>
            </w:r>
            <w:r>
              <w:rPr>
                <w:b/>
                <w:bCs w:val="0"/>
                <w:sz w:val="21"/>
                <w:szCs w:val="21"/>
              </w:rPr>
              <w:t>kg/h</w:t>
            </w:r>
            <w:r>
              <w:rPr>
                <w:rFonts w:hint="eastAsia"/>
                <w:b/>
                <w:bCs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789" w:type="pct"/>
            <w:vMerge w:val="continue"/>
            <w:tcBorders>
              <w:top w:val="single" w:color="auto" w:sz="12" w:space="0"/>
              <w:bottom w:val="single" w:color="auto" w:sz="12" w:space="0"/>
              <w:tl2br w:val="nil"/>
              <w:tr2bl w:val="nil"/>
            </w:tcBorders>
            <w:vAlign w:val="center"/>
          </w:tcPr>
          <w:p>
            <w:pPr>
              <w:pStyle w:val="2057"/>
              <w:tabs>
                <w:tab w:val="left" w:pos="480"/>
              </w:tabs>
              <w:spacing w:after="156"/>
              <w:ind w:left="2400" w:firstLine="480"/>
            </w:pPr>
          </w:p>
        </w:tc>
        <w:tc>
          <w:tcPr>
            <w:tcW w:w="1490" w:type="pct"/>
            <w:vMerge w:val="continue"/>
            <w:tcBorders>
              <w:top w:val="single" w:color="auto" w:sz="12" w:space="0"/>
              <w:bottom w:val="single" w:color="auto" w:sz="12" w:space="0"/>
              <w:tl2br w:val="nil"/>
              <w:tr2bl w:val="nil"/>
            </w:tcBorders>
            <w:vAlign w:val="center"/>
          </w:tcPr>
          <w:p>
            <w:pPr>
              <w:pStyle w:val="2057"/>
              <w:tabs>
                <w:tab w:val="left" w:pos="480"/>
              </w:tabs>
              <w:spacing w:after="156"/>
              <w:ind w:left="2400" w:firstLine="480"/>
            </w:pPr>
          </w:p>
        </w:tc>
        <w:tc>
          <w:tcPr>
            <w:tcW w:w="1147" w:type="pct"/>
            <w:vMerge w:val="continue"/>
            <w:tcBorders>
              <w:top w:val="single" w:color="auto" w:sz="12" w:space="0"/>
              <w:bottom w:val="single" w:color="auto" w:sz="12" w:space="0"/>
              <w:tl2br w:val="nil"/>
              <w:tr2bl w:val="nil"/>
            </w:tcBorders>
            <w:vAlign w:val="center"/>
          </w:tcPr>
          <w:p>
            <w:pPr>
              <w:pStyle w:val="2057"/>
              <w:tabs>
                <w:tab w:val="left" w:pos="480"/>
              </w:tabs>
              <w:spacing w:after="156"/>
              <w:ind w:left="2400" w:firstLine="480"/>
            </w:pPr>
          </w:p>
        </w:tc>
        <w:tc>
          <w:tcPr>
            <w:tcW w:w="1571" w:type="pct"/>
            <w:vMerge w:val="continue"/>
            <w:tcBorders>
              <w:top w:val="single" w:color="auto" w:sz="12" w:space="0"/>
              <w:bottom w:val="single" w:color="auto" w:sz="12" w:space="0"/>
              <w:tl2br w:val="nil"/>
              <w:tr2bl w:val="nil"/>
            </w:tcBorders>
            <w:vAlign w:val="center"/>
          </w:tcPr>
          <w:p>
            <w:pPr>
              <w:pStyle w:val="2057"/>
              <w:tabs>
                <w:tab w:val="left" w:pos="480"/>
              </w:tabs>
              <w:spacing w:after="156"/>
              <w:ind w:left="2400" w:firstLine="480"/>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89" w:type="pct"/>
            <w:tcBorders>
              <w:top w:val="single" w:color="auto" w:sz="12" w:space="0"/>
              <w:tl2br w:val="nil"/>
              <w:tr2bl w:val="nil"/>
            </w:tcBorders>
            <w:vAlign w:val="center"/>
          </w:tcPr>
          <w:p>
            <w:pPr>
              <w:pStyle w:val="2057"/>
              <w:tabs>
                <w:tab w:val="left" w:pos="480"/>
              </w:tabs>
              <w:spacing w:afterLines="0"/>
              <w:ind w:firstLine="0" w:firstLineChars="0"/>
              <w:rPr>
                <w:sz w:val="21"/>
                <w:szCs w:val="21"/>
              </w:rPr>
            </w:pPr>
            <w:r>
              <w:rPr>
                <w:sz w:val="21"/>
                <w:szCs w:val="21"/>
              </w:rPr>
              <w:t>1</w:t>
            </w:r>
          </w:p>
        </w:tc>
        <w:tc>
          <w:tcPr>
            <w:tcW w:w="1490" w:type="pct"/>
            <w:tcBorders>
              <w:top w:val="single" w:color="auto" w:sz="12" w:space="0"/>
              <w:tl2br w:val="nil"/>
              <w:tr2bl w:val="nil"/>
            </w:tcBorders>
            <w:vAlign w:val="center"/>
          </w:tcPr>
          <w:p>
            <w:pPr>
              <w:pStyle w:val="2057"/>
              <w:tabs>
                <w:tab w:val="left" w:pos="480"/>
              </w:tabs>
              <w:spacing w:afterLines="0"/>
              <w:ind w:firstLine="0" w:firstLineChars="0"/>
              <w:rPr>
                <w:sz w:val="21"/>
                <w:szCs w:val="21"/>
              </w:rPr>
            </w:pPr>
            <w:r>
              <w:rPr>
                <w:sz w:val="21"/>
                <w:szCs w:val="21"/>
              </w:rPr>
              <w:t>1#泊位</w:t>
            </w:r>
            <w:r>
              <w:rPr>
                <w:rFonts w:hint="eastAsia"/>
                <w:sz w:val="21"/>
                <w:szCs w:val="21"/>
              </w:rPr>
              <w:t>装船起尘</w:t>
            </w:r>
          </w:p>
        </w:tc>
        <w:tc>
          <w:tcPr>
            <w:tcW w:w="1147" w:type="pct"/>
            <w:tcBorders>
              <w:top w:val="single" w:color="auto" w:sz="12" w:space="0"/>
              <w:tl2br w:val="nil"/>
              <w:tr2bl w:val="nil"/>
            </w:tcBorders>
            <w:vAlign w:val="center"/>
          </w:tcPr>
          <w:p>
            <w:pPr>
              <w:pStyle w:val="2057"/>
              <w:tabs>
                <w:tab w:val="left" w:pos="480"/>
              </w:tabs>
              <w:spacing w:afterLines="0"/>
              <w:ind w:firstLine="0" w:firstLineChars="0"/>
              <w:rPr>
                <w:sz w:val="21"/>
                <w:szCs w:val="21"/>
              </w:rPr>
            </w:pPr>
            <w:r>
              <w:rPr>
                <w:sz w:val="21"/>
                <w:szCs w:val="21"/>
              </w:rPr>
              <w:t>TSP</w:t>
            </w:r>
          </w:p>
        </w:tc>
        <w:tc>
          <w:tcPr>
            <w:tcW w:w="1571" w:type="pct"/>
            <w:tcBorders>
              <w:top w:val="single" w:color="auto" w:sz="12" w:space="0"/>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 xml:space="preserve">0.585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89"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w:t>
            </w:r>
          </w:p>
        </w:tc>
        <w:tc>
          <w:tcPr>
            <w:tcW w:w="1490"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2</w:t>
            </w:r>
            <w:r>
              <w:rPr>
                <w:sz w:val="21"/>
                <w:szCs w:val="21"/>
              </w:rPr>
              <w:t>#泊位</w:t>
            </w:r>
            <w:r>
              <w:rPr>
                <w:rFonts w:hint="eastAsia"/>
                <w:sz w:val="21"/>
                <w:szCs w:val="21"/>
              </w:rPr>
              <w:t>卸船起尘</w:t>
            </w:r>
          </w:p>
        </w:tc>
        <w:tc>
          <w:tcPr>
            <w:tcW w:w="1147"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TSP</w:t>
            </w:r>
          </w:p>
        </w:tc>
        <w:tc>
          <w:tcPr>
            <w:tcW w:w="15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 xml:space="preserve">2.437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89"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3</w:t>
            </w:r>
          </w:p>
        </w:tc>
        <w:tc>
          <w:tcPr>
            <w:tcW w:w="1490"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3#泊位</w:t>
            </w:r>
            <w:r>
              <w:rPr>
                <w:rFonts w:hint="eastAsia"/>
                <w:sz w:val="21"/>
                <w:szCs w:val="21"/>
              </w:rPr>
              <w:t>卸船起尘</w:t>
            </w:r>
          </w:p>
        </w:tc>
        <w:tc>
          <w:tcPr>
            <w:tcW w:w="1147" w:type="pct"/>
            <w:tcBorders>
              <w:tl2br w:val="nil"/>
              <w:tr2bl w:val="nil"/>
            </w:tcBorders>
          </w:tcPr>
          <w:p>
            <w:pPr>
              <w:pStyle w:val="2057"/>
              <w:tabs>
                <w:tab w:val="left" w:pos="480"/>
              </w:tabs>
              <w:spacing w:afterLines="0"/>
              <w:ind w:firstLine="0" w:firstLineChars="0"/>
              <w:rPr>
                <w:sz w:val="21"/>
                <w:szCs w:val="21"/>
              </w:rPr>
            </w:pPr>
            <w:r>
              <w:rPr>
                <w:sz w:val="21"/>
                <w:szCs w:val="21"/>
              </w:rPr>
              <w:t>TSP</w:t>
            </w:r>
          </w:p>
        </w:tc>
        <w:tc>
          <w:tcPr>
            <w:tcW w:w="15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 xml:space="preserve">2.437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89"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4</w:t>
            </w:r>
          </w:p>
        </w:tc>
        <w:tc>
          <w:tcPr>
            <w:tcW w:w="1490"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4#泊位</w:t>
            </w:r>
            <w:r>
              <w:rPr>
                <w:rFonts w:hint="eastAsia"/>
                <w:sz w:val="21"/>
                <w:szCs w:val="21"/>
              </w:rPr>
              <w:t>卸船起尘</w:t>
            </w:r>
          </w:p>
        </w:tc>
        <w:tc>
          <w:tcPr>
            <w:tcW w:w="1147" w:type="pct"/>
            <w:tcBorders>
              <w:tl2br w:val="nil"/>
              <w:tr2bl w:val="nil"/>
            </w:tcBorders>
          </w:tcPr>
          <w:p>
            <w:pPr>
              <w:pStyle w:val="2057"/>
              <w:tabs>
                <w:tab w:val="left" w:pos="480"/>
              </w:tabs>
              <w:spacing w:afterLines="0"/>
              <w:ind w:firstLine="0" w:firstLineChars="0"/>
              <w:rPr>
                <w:sz w:val="21"/>
                <w:szCs w:val="21"/>
              </w:rPr>
            </w:pPr>
            <w:r>
              <w:rPr>
                <w:sz w:val="21"/>
                <w:szCs w:val="21"/>
              </w:rPr>
              <w:t>TSP</w:t>
            </w:r>
          </w:p>
        </w:tc>
        <w:tc>
          <w:tcPr>
            <w:tcW w:w="15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 xml:space="preserve">10.280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89"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5</w:t>
            </w:r>
          </w:p>
        </w:tc>
        <w:tc>
          <w:tcPr>
            <w:tcW w:w="1490"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5#泊位</w:t>
            </w:r>
            <w:r>
              <w:rPr>
                <w:rFonts w:hint="eastAsia"/>
                <w:sz w:val="21"/>
                <w:szCs w:val="21"/>
              </w:rPr>
              <w:t>卸船起尘</w:t>
            </w:r>
          </w:p>
        </w:tc>
        <w:tc>
          <w:tcPr>
            <w:tcW w:w="1147" w:type="pct"/>
            <w:tcBorders>
              <w:tl2br w:val="nil"/>
              <w:tr2bl w:val="nil"/>
            </w:tcBorders>
          </w:tcPr>
          <w:p>
            <w:pPr>
              <w:pStyle w:val="2057"/>
              <w:tabs>
                <w:tab w:val="left" w:pos="480"/>
              </w:tabs>
              <w:spacing w:afterLines="0"/>
              <w:ind w:firstLine="0" w:firstLineChars="0"/>
              <w:rPr>
                <w:sz w:val="21"/>
                <w:szCs w:val="21"/>
              </w:rPr>
            </w:pPr>
            <w:r>
              <w:rPr>
                <w:sz w:val="21"/>
                <w:szCs w:val="21"/>
              </w:rPr>
              <w:t>TSP</w:t>
            </w:r>
          </w:p>
        </w:tc>
        <w:tc>
          <w:tcPr>
            <w:tcW w:w="15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 xml:space="preserve">1.624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89"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6</w:t>
            </w:r>
          </w:p>
        </w:tc>
        <w:tc>
          <w:tcPr>
            <w:tcW w:w="1490"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6#泊位</w:t>
            </w:r>
            <w:r>
              <w:rPr>
                <w:rFonts w:hint="eastAsia"/>
                <w:sz w:val="21"/>
                <w:szCs w:val="21"/>
              </w:rPr>
              <w:t>卸船起尘</w:t>
            </w:r>
          </w:p>
        </w:tc>
        <w:tc>
          <w:tcPr>
            <w:tcW w:w="1147" w:type="pct"/>
            <w:tcBorders>
              <w:tl2br w:val="nil"/>
              <w:tr2bl w:val="nil"/>
            </w:tcBorders>
          </w:tcPr>
          <w:p>
            <w:pPr>
              <w:pStyle w:val="2057"/>
              <w:tabs>
                <w:tab w:val="left" w:pos="480"/>
              </w:tabs>
              <w:spacing w:afterLines="0"/>
              <w:ind w:firstLine="0" w:firstLineChars="0"/>
              <w:rPr>
                <w:sz w:val="21"/>
                <w:szCs w:val="21"/>
              </w:rPr>
            </w:pPr>
            <w:r>
              <w:rPr>
                <w:sz w:val="21"/>
                <w:szCs w:val="21"/>
              </w:rPr>
              <w:t>TSP</w:t>
            </w:r>
          </w:p>
        </w:tc>
        <w:tc>
          <w:tcPr>
            <w:tcW w:w="15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 xml:space="preserve">0.650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89"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7</w:t>
            </w:r>
          </w:p>
        </w:tc>
        <w:tc>
          <w:tcPr>
            <w:tcW w:w="1490"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卸车料棚自卸车起尘</w:t>
            </w:r>
          </w:p>
        </w:tc>
        <w:tc>
          <w:tcPr>
            <w:tcW w:w="1147" w:type="pct"/>
            <w:tcBorders>
              <w:tl2br w:val="nil"/>
              <w:tr2bl w:val="nil"/>
            </w:tcBorders>
          </w:tcPr>
          <w:p>
            <w:pPr>
              <w:pStyle w:val="2057"/>
              <w:tabs>
                <w:tab w:val="left" w:pos="480"/>
              </w:tabs>
              <w:spacing w:afterLines="0"/>
              <w:ind w:firstLine="0" w:firstLineChars="0"/>
              <w:rPr>
                <w:sz w:val="21"/>
                <w:szCs w:val="21"/>
              </w:rPr>
            </w:pPr>
            <w:r>
              <w:rPr>
                <w:sz w:val="21"/>
                <w:szCs w:val="21"/>
              </w:rPr>
              <w:t>TSP</w:t>
            </w:r>
          </w:p>
        </w:tc>
        <w:tc>
          <w:tcPr>
            <w:tcW w:w="15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 xml:space="preserve">0.585 </w:t>
            </w:r>
          </w:p>
        </w:tc>
      </w:tr>
    </w:tbl>
    <w:p>
      <w:pPr>
        <w:ind w:firstLine="480"/>
      </w:pPr>
      <w:r>
        <w:rPr>
          <w:rFonts w:hint="eastAsia" w:ascii="仿宋" w:hAnsi="仿宋" w:eastAsia="仿宋"/>
        </w:rPr>
        <w:t>③</w:t>
      </w:r>
      <w:r>
        <w:rPr>
          <w:rFonts w:hint="eastAsia"/>
        </w:rPr>
        <w:t>区域拟建、在建项目：根据现场勘察结合咨询当地生态环境局、业主等结果，项目评价范围内无与项目排放污染物有关的其他在建项目、已批复环境影响评价文件的拟建项目。</w:t>
      </w:r>
    </w:p>
    <w:p>
      <w:pPr>
        <w:ind w:firstLine="480"/>
        <w:rPr>
          <w:rFonts w:hint="eastAsia"/>
          <w:lang w:val="en-US" w:eastAsia="zh-CN"/>
        </w:rPr>
      </w:pPr>
      <w:r>
        <w:rPr>
          <w:rFonts w:hint="eastAsia" w:ascii="仿宋" w:hAnsi="仿宋" w:eastAsia="仿宋"/>
        </w:rPr>
        <w:t>④</w:t>
      </w:r>
      <w:r>
        <w:rPr>
          <w:rFonts w:hint="eastAsia"/>
        </w:rPr>
        <w:t>区域削减源强：</w:t>
      </w:r>
      <w:r>
        <w:rPr>
          <w:rFonts w:hint="eastAsia"/>
          <w:lang w:val="en-US" w:eastAsia="zh-CN"/>
        </w:rPr>
        <w:t>根据现场调查情况，项目区域的削减源来自兴达码头项目堆场产生的源强计算如下：</w:t>
      </w:r>
    </w:p>
    <w:p>
      <w:pPr>
        <w:ind w:firstLine="0" w:firstLineChars="0"/>
        <w:jc w:val="center"/>
      </w:pPr>
      <w:r>
        <w:drawing>
          <wp:inline distT="0" distB="0" distL="114300" distR="114300">
            <wp:extent cx="2143125" cy="733425"/>
            <wp:effectExtent l="0" t="0" r="9525" b="952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222"/>
                    <a:stretch>
                      <a:fillRect/>
                    </a:stretch>
                  </pic:blipFill>
                  <pic:spPr>
                    <a:xfrm>
                      <a:off x="0" y="0"/>
                      <a:ext cx="2143125" cy="733425"/>
                    </a:xfrm>
                    <a:prstGeom prst="rect">
                      <a:avLst/>
                    </a:prstGeom>
                    <a:noFill/>
                    <a:ln>
                      <a:noFill/>
                    </a:ln>
                  </pic:spPr>
                </pic:pic>
              </a:graphicData>
            </a:graphic>
          </wp:inline>
        </w:drawing>
      </w:r>
    </w:p>
    <w:p>
      <w:pPr>
        <w:ind w:firstLine="480" w:firstLineChars="200"/>
        <w:jc w:val="left"/>
        <w:rPr>
          <w:rFonts w:hint="eastAsia"/>
          <w:lang w:val="en-US" w:eastAsia="zh-CN"/>
        </w:rPr>
      </w:pPr>
      <w:r>
        <w:rPr>
          <w:rFonts w:hint="eastAsia"/>
          <w:lang w:val="en-US" w:eastAsia="zh-CN"/>
        </w:rPr>
        <w:t>式中：Q为堆场起尘量( kg)；</w:t>
      </w:r>
    </w:p>
    <w:p>
      <w:pPr>
        <w:ind w:firstLine="480" w:firstLineChars="200"/>
        <w:jc w:val="left"/>
        <w:rPr>
          <w:rFonts w:hint="eastAsia"/>
          <w:lang w:val="en-US" w:eastAsia="zh-CN"/>
        </w:rPr>
      </w:pPr>
      <w:r>
        <w:rPr>
          <w:rFonts w:hint="eastAsia"/>
          <w:lang w:val="en-US" w:eastAsia="zh-CN"/>
        </w:rPr>
        <w:t>α为货物类型起尘调节系数；</w:t>
      </w:r>
    </w:p>
    <w:p>
      <w:pPr>
        <w:ind w:firstLine="480" w:firstLineChars="200"/>
        <w:jc w:val="left"/>
        <w:rPr>
          <w:rFonts w:hint="eastAsia"/>
          <w:lang w:val="en-US" w:eastAsia="zh-CN"/>
        </w:rPr>
      </w:pPr>
      <w:r>
        <w:rPr>
          <w:rFonts w:hint="eastAsia"/>
          <w:lang w:val="en-US" w:eastAsia="zh-CN"/>
        </w:rPr>
        <w:t>U为风速( m/s) ，多堆堆场表面风速取单堆的89%；</w:t>
      </w:r>
    </w:p>
    <w:p>
      <w:pPr>
        <w:ind w:firstLine="480" w:firstLineChars="200"/>
        <w:jc w:val="left"/>
        <w:rPr>
          <w:rFonts w:hint="eastAsia"/>
          <w:lang w:val="en-US" w:eastAsia="zh-CN"/>
        </w:rPr>
      </w:pPr>
      <w:r>
        <w:rPr>
          <w:rFonts w:hint="eastAsia"/>
          <w:lang w:val="en-US" w:eastAsia="zh-CN"/>
        </w:rPr>
        <w:t>Uo为混合粒径颗粒的起动风速( m/s)；</w:t>
      </w:r>
    </w:p>
    <w:p>
      <w:pPr>
        <w:ind w:firstLine="480" w:firstLineChars="200"/>
        <w:jc w:val="left"/>
        <w:rPr>
          <w:rFonts w:hint="eastAsia"/>
          <w:lang w:val="en-US" w:eastAsia="zh-CN"/>
        </w:rPr>
      </w:pPr>
      <w:r>
        <w:rPr>
          <w:rFonts w:hint="eastAsia"/>
          <w:lang w:val="en-US" w:eastAsia="zh-CN"/>
        </w:rPr>
        <w:t>S为堆垛表面积( m</w:t>
      </w:r>
      <w:r>
        <w:rPr>
          <w:rFonts w:hint="eastAsia"/>
          <w:vertAlign w:val="superscript"/>
          <w:lang w:val="en-US" w:eastAsia="zh-CN"/>
        </w:rPr>
        <w:t>2</w:t>
      </w:r>
      <w:r>
        <w:rPr>
          <w:rFonts w:hint="eastAsia"/>
          <w:lang w:val="en-US" w:eastAsia="zh-CN"/>
        </w:rPr>
        <w:t>)；</w:t>
      </w:r>
    </w:p>
    <w:p>
      <w:pPr>
        <w:ind w:firstLine="480" w:firstLineChars="200"/>
        <w:jc w:val="left"/>
        <w:rPr>
          <w:rFonts w:hint="eastAsia"/>
          <w:lang w:val="en-US" w:eastAsia="zh-CN"/>
        </w:rPr>
      </w:pPr>
      <w:r>
        <w:rPr>
          <w:rFonts w:hint="eastAsia"/>
          <w:lang w:val="en-US" w:eastAsia="zh-CN"/>
        </w:rPr>
        <w:t>w为含水率( %)。</w:t>
      </w:r>
    </w:p>
    <w:p>
      <w:pPr>
        <w:pStyle w:val="3586"/>
        <w:ind w:left="0"/>
      </w:pPr>
      <w:r>
        <w:rPr>
          <w:rFonts w:hint="eastAsia"/>
          <w:lang w:val="en-US" w:eastAsia="zh-CN"/>
        </w:rPr>
        <w:t>区域削减无组织源强一览表</w:t>
      </w:r>
    </w:p>
    <w:tbl>
      <w:tblPr>
        <w:tblStyle w:val="87"/>
        <w:tblW w:w="4997" w:type="pct"/>
        <w:tblInd w:w="0" w:type="dxa"/>
        <w:tblLayout w:type="autofit"/>
        <w:tblCellMar>
          <w:top w:w="0" w:type="dxa"/>
          <w:left w:w="108" w:type="dxa"/>
          <w:bottom w:w="0" w:type="dxa"/>
          <w:right w:w="108" w:type="dxa"/>
        </w:tblCellMar>
      </w:tblPr>
      <w:tblGrid>
        <w:gridCol w:w="426"/>
        <w:gridCol w:w="1132"/>
        <w:gridCol w:w="759"/>
        <w:gridCol w:w="794"/>
        <w:gridCol w:w="689"/>
        <w:gridCol w:w="568"/>
        <w:gridCol w:w="568"/>
        <w:gridCol w:w="590"/>
        <w:gridCol w:w="548"/>
        <w:gridCol w:w="636"/>
        <w:gridCol w:w="502"/>
        <w:gridCol w:w="689"/>
        <w:gridCol w:w="689"/>
        <w:gridCol w:w="690"/>
      </w:tblGrid>
      <w:tr>
        <w:tblPrEx>
          <w:tblCellMar>
            <w:top w:w="0" w:type="dxa"/>
            <w:left w:w="108" w:type="dxa"/>
            <w:bottom w:w="0" w:type="dxa"/>
            <w:right w:w="108" w:type="dxa"/>
          </w:tblCellMar>
        </w:tblPrEx>
        <w:trPr>
          <w:trHeight w:val="397" w:hRule="atLeast"/>
        </w:trPr>
        <w:tc>
          <w:tcPr>
            <w:tcW w:w="257" w:type="pct"/>
            <w:vMerge w:val="restart"/>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r>
              <w:rPr>
                <w:rFonts w:hint="eastAsia" w:ascii="Times New Roman" w:hAnsi="Times New Roman" w:cs="Times New Roman"/>
                <w:b w:val="0"/>
                <w:sz w:val="21"/>
                <w:szCs w:val="21"/>
              </w:rPr>
              <w:t>编号</w:t>
            </w:r>
          </w:p>
        </w:tc>
        <w:tc>
          <w:tcPr>
            <w:tcW w:w="656" w:type="pct"/>
            <w:vMerge w:val="restart"/>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r>
              <w:rPr>
                <w:rFonts w:hint="eastAsia" w:ascii="Times New Roman" w:hAnsi="Times New Roman" w:cs="Times New Roman"/>
                <w:b w:val="0"/>
                <w:sz w:val="21"/>
                <w:szCs w:val="21"/>
              </w:rPr>
              <w:t>名称</w:t>
            </w:r>
          </w:p>
        </w:tc>
        <w:tc>
          <w:tcPr>
            <w:tcW w:w="654" w:type="pct"/>
            <w:gridSpan w:val="2"/>
            <w:vMerge w:val="restart"/>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r>
              <w:rPr>
                <w:rFonts w:hint="eastAsia" w:ascii="Times New Roman" w:hAnsi="Times New Roman" w:cs="Times New Roman"/>
                <w:b w:val="0"/>
                <w:sz w:val="21"/>
                <w:szCs w:val="21"/>
              </w:rPr>
              <w:t>面源起点坐标/m</w:t>
            </w:r>
          </w:p>
        </w:tc>
        <w:tc>
          <w:tcPr>
            <w:tcW w:w="343" w:type="pct"/>
            <w:vMerge w:val="restart"/>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r>
              <w:rPr>
                <w:rFonts w:hint="eastAsia" w:ascii="Times New Roman" w:hAnsi="Times New Roman" w:cs="Times New Roman"/>
                <w:b w:val="0"/>
                <w:sz w:val="21"/>
                <w:szCs w:val="21"/>
              </w:rPr>
              <w:t>面源海拔高度/m</w:t>
            </w:r>
          </w:p>
        </w:tc>
        <w:tc>
          <w:tcPr>
            <w:tcW w:w="343" w:type="pct"/>
            <w:vMerge w:val="restart"/>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r>
              <w:rPr>
                <w:rFonts w:hint="eastAsia" w:ascii="Times New Roman" w:hAnsi="Times New Roman" w:cs="Times New Roman"/>
                <w:b w:val="0"/>
                <w:sz w:val="21"/>
                <w:szCs w:val="21"/>
              </w:rPr>
              <w:t>面源长度/m</w:t>
            </w:r>
          </w:p>
        </w:tc>
        <w:tc>
          <w:tcPr>
            <w:tcW w:w="343" w:type="pct"/>
            <w:vMerge w:val="restart"/>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r>
              <w:rPr>
                <w:rFonts w:hint="eastAsia" w:ascii="Times New Roman" w:hAnsi="Times New Roman" w:cs="Times New Roman"/>
                <w:b w:val="0"/>
                <w:sz w:val="21"/>
                <w:szCs w:val="21"/>
              </w:rPr>
              <w:t>面源宽度/m</w:t>
            </w:r>
          </w:p>
        </w:tc>
        <w:tc>
          <w:tcPr>
            <w:tcW w:w="343" w:type="pct"/>
            <w:vMerge w:val="restart"/>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r>
              <w:rPr>
                <w:rFonts w:hint="eastAsia" w:ascii="Times New Roman" w:hAnsi="Times New Roman" w:cs="Times New Roman"/>
                <w:b w:val="0"/>
                <w:sz w:val="21"/>
                <w:szCs w:val="21"/>
              </w:rPr>
              <w:t>与正北向夹角/ °</w:t>
            </w:r>
          </w:p>
        </w:tc>
        <w:tc>
          <w:tcPr>
            <w:tcW w:w="343" w:type="pct"/>
            <w:vMerge w:val="restart"/>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r>
              <w:rPr>
                <w:rFonts w:hint="eastAsia" w:ascii="Times New Roman" w:hAnsi="Times New Roman" w:cs="Times New Roman"/>
                <w:b w:val="0"/>
                <w:sz w:val="21"/>
                <w:szCs w:val="21"/>
              </w:rPr>
              <w:t>面源有效排放高度/m</w:t>
            </w:r>
          </w:p>
        </w:tc>
        <w:tc>
          <w:tcPr>
            <w:tcW w:w="343" w:type="pct"/>
            <w:vMerge w:val="restart"/>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r>
              <w:rPr>
                <w:rFonts w:hint="eastAsia" w:ascii="Times New Roman" w:hAnsi="Times New Roman" w:cs="Times New Roman"/>
                <w:b w:val="0"/>
                <w:sz w:val="21"/>
                <w:szCs w:val="21"/>
              </w:rPr>
              <w:t>年排放小时数/h</w:t>
            </w:r>
          </w:p>
        </w:tc>
        <w:tc>
          <w:tcPr>
            <w:tcW w:w="343" w:type="pct"/>
            <w:vMerge w:val="restart"/>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r>
              <w:rPr>
                <w:rFonts w:hint="eastAsia" w:ascii="Times New Roman" w:hAnsi="Times New Roman" w:cs="Times New Roman"/>
                <w:b w:val="0"/>
                <w:sz w:val="21"/>
                <w:szCs w:val="21"/>
              </w:rPr>
              <w:t>排放工况</w:t>
            </w:r>
          </w:p>
        </w:tc>
        <w:tc>
          <w:tcPr>
            <w:tcW w:w="1029" w:type="pct"/>
            <w:gridSpan w:val="3"/>
            <w:tcBorders>
              <w:top w:val="single" w:color="auto" w:sz="4" w:space="0"/>
              <w:left w:val="nil"/>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r>
              <w:rPr>
                <w:rFonts w:hint="eastAsia" w:ascii="Times New Roman" w:hAnsi="Times New Roman" w:cs="Times New Roman"/>
                <w:b w:val="0"/>
                <w:sz w:val="21"/>
                <w:szCs w:val="21"/>
              </w:rPr>
              <w:t>污染物排放速率/（kg/h）</w:t>
            </w:r>
          </w:p>
        </w:tc>
      </w:tr>
      <w:tr>
        <w:tblPrEx>
          <w:tblCellMar>
            <w:top w:w="0" w:type="dxa"/>
            <w:left w:w="108" w:type="dxa"/>
            <w:bottom w:w="0" w:type="dxa"/>
            <w:right w:w="108" w:type="dxa"/>
          </w:tblCellMar>
        </w:tblPrEx>
        <w:trPr>
          <w:trHeight w:val="397" w:hRule="atLeast"/>
        </w:trPr>
        <w:tc>
          <w:tcPr>
            <w:tcW w:w="257" w:type="pct"/>
            <w:vMerge w:val="continue"/>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p>
        </w:tc>
        <w:tc>
          <w:tcPr>
            <w:tcW w:w="656" w:type="pct"/>
            <w:vMerge w:val="continue"/>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p>
        </w:tc>
        <w:tc>
          <w:tcPr>
            <w:tcW w:w="654" w:type="pct"/>
            <w:gridSpan w:val="2"/>
            <w:vMerge w:val="continue"/>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p>
        </w:tc>
        <w:tc>
          <w:tcPr>
            <w:tcW w:w="343" w:type="pct"/>
            <w:vMerge w:val="continue"/>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p>
        </w:tc>
        <w:tc>
          <w:tcPr>
            <w:tcW w:w="343" w:type="pct"/>
            <w:vMerge w:val="continue"/>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p>
        </w:tc>
        <w:tc>
          <w:tcPr>
            <w:tcW w:w="343" w:type="pct"/>
            <w:vMerge w:val="continue"/>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p>
        </w:tc>
        <w:tc>
          <w:tcPr>
            <w:tcW w:w="343" w:type="pct"/>
            <w:vMerge w:val="continue"/>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p>
        </w:tc>
        <w:tc>
          <w:tcPr>
            <w:tcW w:w="343" w:type="pct"/>
            <w:vMerge w:val="continue"/>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p>
        </w:tc>
        <w:tc>
          <w:tcPr>
            <w:tcW w:w="343" w:type="pct"/>
            <w:vMerge w:val="continue"/>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p>
        </w:tc>
        <w:tc>
          <w:tcPr>
            <w:tcW w:w="343" w:type="pct"/>
            <w:vMerge w:val="continue"/>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p>
        </w:tc>
        <w:tc>
          <w:tcPr>
            <w:tcW w:w="343" w:type="pct"/>
            <w:vMerge w:val="restart"/>
            <w:tcBorders>
              <w:top w:val="nil"/>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r>
              <w:rPr>
                <w:rFonts w:hint="eastAsia" w:ascii="Times New Roman" w:hAnsi="Times New Roman" w:cs="Times New Roman"/>
                <w:b w:val="0"/>
                <w:sz w:val="21"/>
                <w:szCs w:val="21"/>
              </w:rPr>
              <w:t>颗粒物</w:t>
            </w:r>
          </w:p>
        </w:tc>
        <w:tc>
          <w:tcPr>
            <w:tcW w:w="343" w:type="pct"/>
            <w:vMerge w:val="restart"/>
            <w:tcBorders>
              <w:top w:val="nil"/>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r>
              <w:rPr>
                <w:rFonts w:hint="eastAsia"/>
                <w:sz w:val="21"/>
                <w:szCs w:val="21"/>
                <w:lang w:val="en-US" w:eastAsia="zh-CN"/>
              </w:rPr>
              <w:t>PM</w:t>
            </w:r>
            <w:r>
              <w:rPr>
                <w:rFonts w:hint="eastAsia"/>
                <w:sz w:val="21"/>
                <w:szCs w:val="21"/>
                <w:vertAlign w:val="subscript"/>
                <w:lang w:val="en-US" w:eastAsia="zh-CN"/>
              </w:rPr>
              <w:t>10</w:t>
            </w:r>
          </w:p>
        </w:tc>
        <w:tc>
          <w:tcPr>
            <w:tcW w:w="343" w:type="pct"/>
            <w:vMerge w:val="restart"/>
            <w:tcBorders>
              <w:top w:val="nil"/>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sz w:val="21"/>
                <w:szCs w:val="21"/>
              </w:rPr>
            </w:pPr>
            <w:r>
              <w:rPr>
                <w:rFonts w:hint="eastAsia"/>
                <w:sz w:val="21"/>
                <w:szCs w:val="21"/>
                <w:lang w:val="en-US" w:eastAsia="zh-CN"/>
              </w:rPr>
              <w:t>PM</w:t>
            </w:r>
            <w:r>
              <w:rPr>
                <w:rFonts w:hint="eastAsia"/>
                <w:sz w:val="21"/>
                <w:szCs w:val="21"/>
                <w:vertAlign w:val="subscript"/>
                <w:lang w:val="en-US" w:eastAsia="zh-CN"/>
              </w:rPr>
              <w:t>2.5</w:t>
            </w:r>
          </w:p>
        </w:tc>
      </w:tr>
      <w:tr>
        <w:tblPrEx>
          <w:tblCellMar>
            <w:top w:w="0" w:type="dxa"/>
            <w:left w:w="108" w:type="dxa"/>
            <w:bottom w:w="0" w:type="dxa"/>
            <w:right w:w="108" w:type="dxa"/>
          </w:tblCellMar>
        </w:tblPrEx>
        <w:trPr>
          <w:trHeight w:val="397" w:hRule="atLeast"/>
        </w:trPr>
        <w:tc>
          <w:tcPr>
            <w:tcW w:w="257" w:type="pct"/>
            <w:vMerge w:val="continue"/>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sz w:val="21"/>
                <w:szCs w:val="21"/>
              </w:rPr>
            </w:pPr>
          </w:p>
        </w:tc>
        <w:tc>
          <w:tcPr>
            <w:tcW w:w="656" w:type="pct"/>
            <w:vMerge w:val="continue"/>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sz w:val="21"/>
                <w:szCs w:val="21"/>
              </w:rPr>
            </w:pPr>
          </w:p>
        </w:tc>
        <w:tc>
          <w:tcPr>
            <w:tcW w:w="311" w:type="pct"/>
            <w:tcBorders>
              <w:top w:val="nil"/>
              <w:left w:val="nil"/>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i w:val="0"/>
                <w:iCs w:val="0"/>
                <w:sz w:val="21"/>
                <w:szCs w:val="21"/>
              </w:rPr>
            </w:pPr>
            <w:r>
              <w:rPr>
                <w:rFonts w:hint="eastAsia" w:ascii="Times New Roman" w:hAnsi="Times New Roman" w:cs="Times New Roman"/>
                <w:b w:val="0"/>
                <w:i w:val="0"/>
                <w:iCs w:val="0"/>
                <w:sz w:val="21"/>
                <w:szCs w:val="21"/>
              </w:rPr>
              <w:t>X</w:t>
            </w:r>
          </w:p>
        </w:tc>
        <w:tc>
          <w:tcPr>
            <w:tcW w:w="343" w:type="pct"/>
            <w:tcBorders>
              <w:top w:val="nil"/>
              <w:left w:val="nil"/>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b w:val="0"/>
                <w:i w:val="0"/>
                <w:iCs w:val="0"/>
                <w:sz w:val="21"/>
                <w:szCs w:val="21"/>
              </w:rPr>
            </w:pPr>
            <w:r>
              <w:rPr>
                <w:rFonts w:hint="eastAsia" w:ascii="Times New Roman" w:hAnsi="Times New Roman" w:cs="Times New Roman"/>
                <w:b w:val="0"/>
                <w:i w:val="0"/>
                <w:iCs w:val="0"/>
                <w:sz w:val="21"/>
                <w:szCs w:val="21"/>
              </w:rPr>
              <w:t>Y</w:t>
            </w:r>
          </w:p>
        </w:tc>
        <w:tc>
          <w:tcPr>
            <w:tcW w:w="343" w:type="pct"/>
            <w:vMerge w:val="continue"/>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sz w:val="21"/>
                <w:szCs w:val="21"/>
              </w:rPr>
            </w:pPr>
          </w:p>
        </w:tc>
        <w:tc>
          <w:tcPr>
            <w:tcW w:w="343" w:type="pct"/>
            <w:vMerge w:val="continue"/>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sz w:val="21"/>
                <w:szCs w:val="21"/>
              </w:rPr>
            </w:pPr>
          </w:p>
        </w:tc>
        <w:tc>
          <w:tcPr>
            <w:tcW w:w="343" w:type="pct"/>
            <w:vMerge w:val="continue"/>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sz w:val="21"/>
                <w:szCs w:val="21"/>
              </w:rPr>
            </w:pPr>
          </w:p>
        </w:tc>
        <w:tc>
          <w:tcPr>
            <w:tcW w:w="343" w:type="pct"/>
            <w:vMerge w:val="continue"/>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sz w:val="21"/>
                <w:szCs w:val="21"/>
              </w:rPr>
            </w:pPr>
          </w:p>
        </w:tc>
        <w:tc>
          <w:tcPr>
            <w:tcW w:w="343" w:type="pct"/>
            <w:vMerge w:val="continue"/>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sz w:val="21"/>
                <w:szCs w:val="21"/>
              </w:rPr>
            </w:pPr>
          </w:p>
        </w:tc>
        <w:tc>
          <w:tcPr>
            <w:tcW w:w="343" w:type="pct"/>
            <w:vMerge w:val="continue"/>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sz w:val="21"/>
                <w:szCs w:val="21"/>
              </w:rPr>
            </w:pPr>
          </w:p>
        </w:tc>
        <w:tc>
          <w:tcPr>
            <w:tcW w:w="343" w:type="pct"/>
            <w:vMerge w:val="continue"/>
            <w:tcBorders>
              <w:top w:val="single" w:color="auto" w:sz="4" w:space="0"/>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sz w:val="21"/>
                <w:szCs w:val="21"/>
              </w:rPr>
            </w:pPr>
          </w:p>
        </w:tc>
        <w:tc>
          <w:tcPr>
            <w:tcW w:w="343" w:type="pct"/>
            <w:vMerge w:val="continue"/>
            <w:tcBorders>
              <w:top w:val="nil"/>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sz w:val="21"/>
                <w:szCs w:val="21"/>
              </w:rPr>
            </w:pPr>
          </w:p>
        </w:tc>
        <w:tc>
          <w:tcPr>
            <w:tcW w:w="343" w:type="pct"/>
            <w:vMerge w:val="continue"/>
            <w:tcBorders>
              <w:top w:val="nil"/>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sz w:val="21"/>
                <w:szCs w:val="21"/>
              </w:rPr>
            </w:pPr>
          </w:p>
        </w:tc>
        <w:tc>
          <w:tcPr>
            <w:tcW w:w="343" w:type="pct"/>
            <w:vMerge w:val="continue"/>
            <w:tcBorders>
              <w:top w:val="nil"/>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sz w:val="21"/>
                <w:szCs w:val="21"/>
              </w:rPr>
            </w:pPr>
          </w:p>
        </w:tc>
      </w:tr>
      <w:tr>
        <w:tblPrEx>
          <w:tblCellMar>
            <w:top w:w="0" w:type="dxa"/>
            <w:left w:w="108" w:type="dxa"/>
            <w:bottom w:w="0" w:type="dxa"/>
            <w:right w:w="108" w:type="dxa"/>
          </w:tblCellMar>
        </w:tblPrEx>
        <w:trPr>
          <w:trHeight w:val="397" w:hRule="atLeast"/>
        </w:trPr>
        <w:tc>
          <w:tcPr>
            <w:tcW w:w="257" w:type="pct"/>
            <w:tcBorders>
              <w:top w:val="nil"/>
              <w:left w:val="single" w:color="auto" w:sz="4" w:space="0"/>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sz w:val="21"/>
                <w:szCs w:val="21"/>
              </w:rPr>
            </w:pPr>
            <w:r>
              <w:rPr>
                <w:rFonts w:hint="eastAsia" w:ascii="Times New Roman" w:hAnsi="Times New Roman" w:cs="Times New Roman"/>
                <w:sz w:val="21"/>
                <w:szCs w:val="21"/>
              </w:rPr>
              <w:t>1</w:t>
            </w:r>
          </w:p>
        </w:tc>
        <w:tc>
          <w:tcPr>
            <w:tcW w:w="656" w:type="pct"/>
            <w:tcBorders>
              <w:top w:val="nil"/>
              <w:left w:val="nil"/>
              <w:bottom w:val="single" w:color="auto" w:sz="4" w:space="0"/>
              <w:right w:val="single" w:color="auto" w:sz="4" w:space="0"/>
            </w:tcBorders>
            <w:vAlign w:val="center"/>
          </w:tcPr>
          <w:p>
            <w:pPr>
              <w:pStyle w:val="2057"/>
              <w:spacing w:afterLines="0"/>
              <w:ind w:firstLine="0" w:firstLineChars="0"/>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兴达码头堆场</w:t>
            </w:r>
          </w:p>
        </w:tc>
        <w:tc>
          <w:tcPr>
            <w:tcW w:w="311" w:type="pct"/>
            <w:tcBorders>
              <w:top w:val="nil"/>
              <w:left w:val="nil"/>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sz w:val="21"/>
                <w:szCs w:val="21"/>
              </w:rPr>
            </w:pPr>
            <w:r>
              <w:rPr>
                <w:rFonts w:hint="eastAsia" w:ascii="Times New Roman" w:hAnsi="Times New Roman" w:cs="Times New Roman"/>
                <w:sz w:val="21"/>
                <w:szCs w:val="21"/>
              </w:rPr>
              <w:t>-85.14</w:t>
            </w:r>
          </w:p>
        </w:tc>
        <w:tc>
          <w:tcPr>
            <w:tcW w:w="343" w:type="pct"/>
            <w:tcBorders>
              <w:top w:val="nil"/>
              <w:left w:val="nil"/>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sz w:val="21"/>
                <w:szCs w:val="21"/>
              </w:rPr>
            </w:pPr>
            <w:r>
              <w:rPr>
                <w:rFonts w:hint="eastAsia" w:ascii="Times New Roman" w:hAnsi="Times New Roman" w:cs="Times New Roman"/>
                <w:sz w:val="21"/>
                <w:szCs w:val="21"/>
              </w:rPr>
              <w:t>105.35</w:t>
            </w:r>
          </w:p>
        </w:tc>
        <w:tc>
          <w:tcPr>
            <w:tcW w:w="343" w:type="pct"/>
            <w:tcBorders>
              <w:top w:val="nil"/>
              <w:left w:val="nil"/>
              <w:bottom w:val="single" w:color="auto" w:sz="4" w:space="0"/>
              <w:right w:val="single" w:color="auto" w:sz="4" w:space="0"/>
            </w:tcBorders>
            <w:vAlign w:val="center"/>
          </w:tcPr>
          <w:p>
            <w:pPr>
              <w:pStyle w:val="2057"/>
              <w:spacing w:afterLines="0"/>
              <w:ind w:firstLine="0" w:firstLineChars="0"/>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35.24</w:t>
            </w:r>
          </w:p>
        </w:tc>
        <w:tc>
          <w:tcPr>
            <w:tcW w:w="343" w:type="pct"/>
            <w:tcBorders>
              <w:top w:val="nil"/>
              <w:left w:val="nil"/>
              <w:bottom w:val="single" w:color="auto" w:sz="4" w:space="0"/>
              <w:right w:val="single" w:color="auto" w:sz="4" w:space="0"/>
            </w:tcBorders>
            <w:vAlign w:val="center"/>
          </w:tcPr>
          <w:p>
            <w:pPr>
              <w:pStyle w:val="2057"/>
              <w:spacing w:afterLines="0"/>
              <w:ind w:firstLine="0" w:firstLineChars="0"/>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176</w:t>
            </w:r>
          </w:p>
        </w:tc>
        <w:tc>
          <w:tcPr>
            <w:tcW w:w="343" w:type="pct"/>
            <w:tcBorders>
              <w:top w:val="nil"/>
              <w:left w:val="nil"/>
              <w:bottom w:val="single" w:color="auto" w:sz="4" w:space="0"/>
              <w:right w:val="single" w:color="auto" w:sz="4" w:space="0"/>
            </w:tcBorders>
            <w:vAlign w:val="center"/>
          </w:tcPr>
          <w:p>
            <w:pPr>
              <w:pStyle w:val="2057"/>
              <w:spacing w:afterLines="0"/>
              <w:ind w:firstLine="0" w:firstLineChars="0"/>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70</w:t>
            </w:r>
          </w:p>
        </w:tc>
        <w:tc>
          <w:tcPr>
            <w:tcW w:w="343" w:type="pct"/>
            <w:tcBorders>
              <w:top w:val="nil"/>
              <w:left w:val="nil"/>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sz w:val="21"/>
                <w:szCs w:val="21"/>
              </w:rPr>
            </w:pPr>
            <w:r>
              <w:rPr>
                <w:rFonts w:hint="eastAsia" w:ascii="Times New Roman" w:hAnsi="Times New Roman" w:cs="Times New Roman"/>
                <w:sz w:val="21"/>
                <w:szCs w:val="21"/>
              </w:rPr>
              <w:t>0</w:t>
            </w:r>
          </w:p>
        </w:tc>
        <w:tc>
          <w:tcPr>
            <w:tcW w:w="343" w:type="pct"/>
            <w:tcBorders>
              <w:top w:val="nil"/>
              <w:left w:val="nil"/>
              <w:bottom w:val="single" w:color="auto" w:sz="4" w:space="0"/>
              <w:right w:val="single" w:color="auto" w:sz="4" w:space="0"/>
            </w:tcBorders>
            <w:vAlign w:val="center"/>
          </w:tcPr>
          <w:p>
            <w:pPr>
              <w:pStyle w:val="2057"/>
              <w:spacing w:afterLines="0"/>
              <w:ind w:firstLine="0" w:firstLineChars="0"/>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val="en-US" w:eastAsia="zh-CN"/>
              </w:rPr>
              <w:t>3</w:t>
            </w:r>
          </w:p>
        </w:tc>
        <w:tc>
          <w:tcPr>
            <w:tcW w:w="343" w:type="pct"/>
            <w:tcBorders>
              <w:top w:val="nil"/>
              <w:left w:val="nil"/>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sz w:val="21"/>
                <w:szCs w:val="21"/>
              </w:rPr>
            </w:pPr>
            <w:r>
              <w:rPr>
                <w:rFonts w:hint="eastAsia" w:ascii="Times New Roman" w:hAnsi="Times New Roman" w:cs="Times New Roman"/>
                <w:sz w:val="21"/>
                <w:szCs w:val="21"/>
              </w:rPr>
              <w:t>7200</w:t>
            </w:r>
          </w:p>
        </w:tc>
        <w:tc>
          <w:tcPr>
            <w:tcW w:w="343" w:type="pct"/>
            <w:tcBorders>
              <w:top w:val="nil"/>
              <w:left w:val="nil"/>
              <w:bottom w:val="single" w:color="auto" w:sz="4" w:space="0"/>
              <w:right w:val="single" w:color="auto" w:sz="4" w:space="0"/>
            </w:tcBorders>
            <w:vAlign w:val="center"/>
          </w:tcPr>
          <w:p>
            <w:pPr>
              <w:pStyle w:val="2057"/>
              <w:spacing w:afterLines="0"/>
              <w:ind w:firstLine="0" w:firstLineChars="0"/>
              <w:rPr>
                <w:rFonts w:hint="eastAsia" w:ascii="Times New Roman" w:hAnsi="Times New Roman" w:cs="Times New Roman"/>
                <w:sz w:val="21"/>
                <w:szCs w:val="21"/>
              </w:rPr>
            </w:pPr>
          </w:p>
        </w:tc>
        <w:tc>
          <w:tcPr>
            <w:tcW w:w="343" w:type="pct"/>
            <w:tcBorders>
              <w:top w:val="nil"/>
              <w:left w:val="nil"/>
              <w:bottom w:val="single" w:color="auto" w:sz="4" w:space="0"/>
              <w:right w:val="single" w:color="auto" w:sz="4" w:space="0"/>
            </w:tcBorders>
            <w:vAlign w:val="center"/>
          </w:tcPr>
          <w:p>
            <w:pPr>
              <w:pStyle w:val="2057"/>
              <w:spacing w:afterLines="0"/>
              <w:ind w:firstLine="0" w:firstLineChars="0"/>
              <w:rPr>
                <w:rFonts w:hint="default" w:ascii="Times New Roman" w:hAnsi="Times New Roman" w:cs="Times New Roman"/>
                <w:sz w:val="21"/>
                <w:szCs w:val="21"/>
                <w:lang w:val="en-US"/>
              </w:rPr>
            </w:pPr>
            <w:r>
              <w:rPr>
                <w:rFonts w:hint="eastAsia" w:ascii="Times New Roman" w:hAnsi="Times New Roman" w:cs="Times New Roman"/>
                <w:sz w:val="21"/>
                <w:szCs w:val="21"/>
                <w:lang w:val="en-US" w:eastAsia="zh-CN"/>
              </w:rPr>
              <w:t>3.692</w:t>
            </w:r>
          </w:p>
        </w:tc>
        <w:tc>
          <w:tcPr>
            <w:tcW w:w="343" w:type="pct"/>
            <w:tcBorders>
              <w:top w:val="nil"/>
              <w:left w:val="nil"/>
              <w:bottom w:val="single" w:color="auto" w:sz="4" w:space="0"/>
              <w:right w:val="single" w:color="auto" w:sz="4" w:space="0"/>
            </w:tcBorders>
            <w:vAlign w:val="center"/>
          </w:tcPr>
          <w:p>
            <w:pPr>
              <w:pStyle w:val="2057"/>
              <w:spacing w:afterLines="0"/>
              <w:ind w:firstLine="0" w:firstLineChars="0"/>
              <w:rPr>
                <w:rFonts w:hint="default" w:ascii="Times New Roman" w:hAnsi="Times New Roman" w:cs="Times New Roman"/>
                <w:sz w:val="21"/>
                <w:szCs w:val="21"/>
                <w:lang w:val="en-US"/>
              </w:rPr>
            </w:pPr>
            <w:r>
              <w:rPr>
                <w:rFonts w:hint="eastAsia" w:ascii="Times New Roman" w:hAnsi="Times New Roman" w:cs="Times New Roman"/>
                <w:sz w:val="21"/>
                <w:szCs w:val="21"/>
                <w:lang w:val="en-US" w:eastAsia="zh-CN"/>
              </w:rPr>
              <w:t>0.922</w:t>
            </w:r>
          </w:p>
        </w:tc>
        <w:tc>
          <w:tcPr>
            <w:tcW w:w="343" w:type="pct"/>
            <w:tcBorders>
              <w:top w:val="nil"/>
              <w:left w:val="nil"/>
              <w:bottom w:val="single" w:color="auto" w:sz="4" w:space="0"/>
              <w:right w:val="single" w:color="auto" w:sz="4" w:space="0"/>
            </w:tcBorders>
            <w:vAlign w:val="center"/>
          </w:tcPr>
          <w:p>
            <w:pPr>
              <w:pStyle w:val="2057"/>
              <w:spacing w:afterLines="0"/>
              <w:ind w:firstLine="0" w:firstLineChars="0"/>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0.222</w:t>
            </w:r>
          </w:p>
        </w:tc>
      </w:tr>
    </w:tbl>
    <w:p>
      <w:pPr>
        <w:pStyle w:val="456"/>
        <w:ind w:firstLine="482"/>
      </w:pPr>
      <w:r>
        <w:rPr>
          <w:rFonts w:hint="eastAsia"/>
          <w:lang w:val="en-US"/>
        </w:rPr>
        <w:t>预测</w:t>
      </w:r>
      <w:r>
        <w:rPr>
          <w:rFonts w:hint="eastAsia" w:ascii="Times New Roman" w:hAnsi="Times New Roman" w:cs="Times New Roman"/>
          <w:lang w:val="en-US"/>
        </w:rPr>
        <w:t>结果</w:t>
      </w:r>
      <w:r>
        <w:rPr>
          <w:rFonts w:hint="eastAsia"/>
          <w:lang w:val="en-US"/>
        </w:rPr>
        <w:t>与评价</w:t>
      </w:r>
    </w:p>
    <w:p>
      <w:pPr>
        <w:ind w:firstLine="480"/>
        <w:rPr>
          <w:b/>
          <w:bCs/>
        </w:rPr>
      </w:pPr>
      <w:r>
        <w:rPr>
          <w:rFonts w:hint="eastAsia"/>
          <w:b/>
          <w:bCs/>
        </w:rPr>
        <w:t>（1）</w:t>
      </w:r>
      <w:r>
        <w:rPr>
          <w:b/>
          <w:bCs/>
        </w:rPr>
        <w:t>正常排放情况下主要环境空气保护目标及网格点各污染物</w:t>
      </w:r>
      <w:r>
        <w:rPr>
          <w:rFonts w:hint="eastAsia"/>
          <w:b/>
          <w:bCs/>
        </w:rPr>
        <w:t>短期浓度和长期浓度贡献值</w:t>
      </w:r>
      <w:r>
        <w:rPr>
          <w:b/>
          <w:bCs/>
        </w:rPr>
        <w:t>最大值及占标率</w:t>
      </w:r>
      <w:r>
        <w:rPr>
          <w:rFonts w:hint="eastAsia"/>
          <w:b/>
          <w:bCs/>
        </w:rPr>
        <w:t>。</w:t>
      </w:r>
    </w:p>
    <w:p>
      <w:pPr>
        <w:pStyle w:val="208"/>
        <w:ind w:firstLine="480"/>
        <w:rPr>
          <w:rFonts w:hint="default" w:ascii="Times New Roman" w:eastAsia="宋体"/>
          <w:lang w:val="en-US" w:eastAsia="zh-CN"/>
        </w:rPr>
      </w:pPr>
      <w:r>
        <w:rPr>
          <w:rFonts w:hint="eastAsia" w:ascii="Times New Roman"/>
          <w:lang w:val="en-US" w:eastAsia="zh-CN"/>
        </w:rPr>
        <w:t>1）TSP</w:t>
      </w:r>
    </w:p>
    <w:p>
      <w:pPr>
        <w:pStyle w:val="208"/>
        <w:ind w:firstLine="480"/>
        <w:rPr>
          <w:rFonts w:ascii="Times New Roman"/>
        </w:rPr>
      </w:pPr>
      <w:r>
        <w:rPr>
          <w:rFonts w:ascii="Times New Roman"/>
        </w:rPr>
        <w:t>TSP日均浓度和年均浓度贡献值最大浓度值综合情况一览表预测结果见下表。</w:t>
      </w:r>
    </w:p>
    <w:p>
      <w:pPr>
        <w:pStyle w:val="3586"/>
        <w:ind w:left="0"/>
      </w:pPr>
      <w:r>
        <w:rPr>
          <w:rFonts w:hint="eastAsia"/>
        </w:rPr>
        <w:t>正常排放T</w:t>
      </w:r>
      <w:r>
        <w:t>SP</w:t>
      </w:r>
      <w:r>
        <w:rPr>
          <w:rFonts w:hint="eastAsia"/>
          <w:lang w:val="en-US" w:eastAsia="zh-CN"/>
        </w:rPr>
        <w:t>24小时平均</w:t>
      </w:r>
      <w:r>
        <w:rPr>
          <w:rFonts w:hint="eastAsia"/>
        </w:rPr>
        <w:t>贡献值浓度值</w:t>
      </w:r>
      <w:r>
        <w:rPr>
          <w:rFonts w:hint="eastAsia"/>
          <w:lang w:val="en-US" w:eastAsia="zh-CN"/>
        </w:rPr>
        <w:t>预测结果</w:t>
      </w:r>
      <w:r>
        <w:rPr>
          <w:rFonts w:hint="eastAsia"/>
        </w:rPr>
        <w:t>表</w:t>
      </w:r>
    </w:p>
    <w:tbl>
      <w:tblPr>
        <w:tblStyle w:val="88"/>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57"/>
        <w:gridCol w:w="857"/>
        <w:gridCol w:w="859"/>
        <w:gridCol w:w="859"/>
        <w:gridCol w:w="857"/>
        <w:gridCol w:w="1452"/>
        <w:gridCol w:w="1634"/>
        <w:gridCol w:w="860"/>
        <w:gridCol w:w="86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restar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污染物</w:t>
            </w:r>
          </w:p>
        </w:tc>
        <w:tc>
          <w:tcPr>
            <w:tcW w:w="471" w:type="pct"/>
            <w:vMerge w:val="restart"/>
            <w:tcBorders>
              <w:tl2br w:val="nil"/>
              <w:tr2bl w:val="nil"/>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预测点</w:t>
            </w:r>
          </w:p>
        </w:tc>
        <w:tc>
          <w:tcPr>
            <w:tcW w:w="472" w:type="pct"/>
            <w:tcBorders>
              <w:tl2br w:val="nil"/>
              <w:tr2bl w:val="nil"/>
            </w:tcBorders>
            <w:vAlign w:val="center"/>
          </w:tcPr>
          <w:p>
            <w:pPr>
              <w:pStyle w:val="2057"/>
              <w:tabs>
                <w:tab w:val="left" w:pos="480"/>
              </w:tabs>
              <w:spacing w:afterLines="0"/>
              <w:ind w:firstLine="0" w:firstLineChars="0"/>
              <w:rPr>
                <w:b/>
                <w:bCs w:val="0"/>
                <w:sz w:val="21"/>
                <w:szCs w:val="21"/>
              </w:rPr>
            </w:pPr>
            <w:r>
              <w:rPr>
                <w:b/>
                <w:bCs w:val="0"/>
                <w:sz w:val="21"/>
                <w:szCs w:val="21"/>
              </w:rPr>
              <w:t>X/</w:t>
            </w:r>
          </w:p>
        </w:tc>
        <w:tc>
          <w:tcPr>
            <w:tcW w:w="472" w:type="pct"/>
            <w:tcBorders>
              <w:tl2br w:val="nil"/>
              <w:tr2bl w:val="nil"/>
            </w:tcBorders>
            <w:vAlign w:val="center"/>
          </w:tcPr>
          <w:p>
            <w:pPr>
              <w:pStyle w:val="2057"/>
              <w:tabs>
                <w:tab w:val="left" w:pos="480"/>
              </w:tabs>
              <w:spacing w:afterLines="0"/>
              <w:ind w:firstLine="0" w:firstLineChars="0"/>
              <w:rPr>
                <w:b/>
                <w:bCs w:val="0"/>
                <w:sz w:val="21"/>
                <w:szCs w:val="21"/>
              </w:rPr>
            </w:pPr>
            <w:r>
              <w:rPr>
                <w:b/>
                <w:bCs w:val="0"/>
                <w:sz w:val="21"/>
                <w:szCs w:val="21"/>
              </w:rPr>
              <w:t>Y/</w:t>
            </w:r>
          </w:p>
        </w:tc>
        <w:tc>
          <w:tcPr>
            <w:tcW w:w="471" w:type="pct"/>
            <w:vMerge w:val="restart"/>
            <w:tcBorders>
              <w:tl2br w:val="nil"/>
              <w:tr2bl w:val="nil"/>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平均</w:t>
            </w:r>
          </w:p>
          <w:p>
            <w:pPr>
              <w:pStyle w:val="2057"/>
              <w:tabs>
                <w:tab w:val="left" w:pos="480"/>
              </w:tabs>
              <w:spacing w:afterLines="0"/>
              <w:ind w:firstLine="0" w:firstLineChars="0"/>
              <w:rPr>
                <w:b/>
                <w:bCs w:val="0"/>
                <w:sz w:val="21"/>
                <w:szCs w:val="21"/>
              </w:rPr>
            </w:pPr>
            <w:r>
              <w:rPr>
                <w:rFonts w:hint="eastAsia"/>
                <w:b/>
                <w:bCs w:val="0"/>
                <w:sz w:val="21"/>
                <w:szCs w:val="21"/>
              </w:rPr>
              <w:t>时段</w:t>
            </w:r>
          </w:p>
        </w:tc>
        <w:tc>
          <w:tcPr>
            <w:tcW w:w="798" w:type="pct"/>
            <w:tcBorders>
              <w:tl2br w:val="nil"/>
              <w:tr2bl w:val="nil"/>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最大贡献值/</w:t>
            </w:r>
          </w:p>
        </w:tc>
        <w:tc>
          <w:tcPr>
            <w:tcW w:w="898" w:type="pct"/>
            <w:vMerge w:val="restart"/>
            <w:tcBorders>
              <w:tl2br w:val="nil"/>
              <w:tr2bl w:val="nil"/>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出现时间</w:t>
            </w:r>
          </w:p>
        </w:tc>
        <w:tc>
          <w:tcPr>
            <w:tcW w:w="472" w:type="pct"/>
            <w:tcBorders>
              <w:tl2br w:val="nil"/>
              <w:tr2bl w:val="nil"/>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占标率/</w:t>
            </w:r>
          </w:p>
        </w:tc>
        <w:tc>
          <w:tcPr>
            <w:tcW w:w="472" w:type="pct"/>
            <w:vMerge w:val="restart"/>
            <w:tcBorders>
              <w:tl2br w:val="nil"/>
              <w:tr2bl w:val="nil"/>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达标</w:t>
            </w:r>
          </w:p>
          <w:p>
            <w:pPr>
              <w:pStyle w:val="2057"/>
              <w:tabs>
                <w:tab w:val="left" w:pos="480"/>
              </w:tabs>
              <w:spacing w:afterLines="0"/>
              <w:ind w:firstLine="0" w:firstLineChars="0"/>
              <w:rPr>
                <w:b/>
                <w:bCs w:val="0"/>
                <w:sz w:val="21"/>
                <w:szCs w:val="21"/>
              </w:rPr>
            </w:pPr>
            <w:r>
              <w:rPr>
                <w:rFonts w:hint="eastAsia"/>
                <w:b/>
                <w:bCs w:val="0"/>
                <w:sz w:val="21"/>
                <w:szCs w:val="21"/>
              </w:rPr>
              <w:t>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vMerge w:val="continue"/>
            <w:tcBorders>
              <w:bottom w:val="single" w:color="auto" w:sz="12" w:space="0"/>
              <w:tl2br w:val="nil"/>
              <w:tr2bl w:val="nil"/>
            </w:tcBorders>
            <w:vAlign w:val="center"/>
          </w:tcPr>
          <w:p>
            <w:pPr>
              <w:pStyle w:val="2057"/>
              <w:tabs>
                <w:tab w:val="left" w:pos="480"/>
              </w:tabs>
              <w:spacing w:afterLines="0"/>
              <w:ind w:firstLine="0" w:firstLineChars="0"/>
              <w:rPr>
                <w:sz w:val="21"/>
                <w:szCs w:val="21"/>
              </w:rPr>
            </w:pPr>
          </w:p>
        </w:tc>
        <w:tc>
          <w:tcPr>
            <w:tcW w:w="472" w:type="pct"/>
            <w:tcBorders>
              <w:bottom w:val="single" w:color="auto" w:sz="12" w:space="0"/>
              <w:tl2br w:val="nil"/>
              <w:tr2bl w:val="nil"/>
            </w:tcBorders>
            <w:vAlign w:val="center"/>
          </w:tcPr>
          <w:p>
            <w:pPr>
              <w:pStyle w:val="2057"/>
              <w:tabs>
                <w:tab w:val="left" w:pos="480"/>
              </w:tabs>
              <w:spacing w:afterLines="0"/>
              <w:ind w:firstLine="0" w:firstLineChars="0"/>
              <w:rPr>
                <w:b/>
                <w:bCs w:val="0"/>
                <w:sz w:val="21"/>
                <w:szCs w:val="21"/>
              </w:rPr>
            </w:pPr>
            <w:r>
              <w:rPr>
                <w:b/>
                <w:bCs w:val="0"/>
                <w:sz w:val="21"/>
                <w:szCs w:val="21"/>
              </w:rPr>
              <w:t>m</w:t>
            </w:r>
          </w:p>
        </w:tc>
        <w:tc>
          <w:tcPr>
            <w:tcW w:w="472" w:type="pct"/>
            <w:tcBorders>
              <w:bottom w:val="single" w:color="auto" w:sz="12" w:space="0"/>
              <w:tl2br w:val="nil"/>
              <w:tr2bl w:val="nil"/>
            </w:tcBorders>
            <w:vAlign w:val="center"/>
          </w:tcPr>
          <w:p>
            <w:pPr>
              <w:pStyle w:val="2057"/>
              <w:tabs>
                <w:tab w:val="left" w:pos="480"/>
              </w:tabs>
              <w:spacing w:afterLines="0"/>
              <w:ind w:firstLine="0" w:firstLineChars="0"/>
              <w:rPr>
                <w:b/>
                <w:bCs w:val="0"/>
                <w:sz w:val="21"/>
                <w:szCs w:val="21"/>
              </w:rPr>
            </w:pPr>
            <w:r>
              <w:rPr>
                <w:b/>
                <w:bCs w:val="0"/>
                <w:sz w:val="21"/>
                <w:szCs w:val="21"/>
              </w:rPr>
              <w:t>m</w:t>
            </w:r>
          </w:p>
        </w:tc>
        <w:tc>
          <w:tcPr>
            <w:tcW w:w="471" w:type="pct"/>
            <w:vMerge w:val="continue"/>
            <w:tcBorders>
              <w:bottom w:val="single" w:color="auto" w:sz="12" w:space="0"/>
              <w:tl2br w:val="nil"/>
              <w:tr2bl w:val="nil"/>
            </w:tcBorders>
            <w:vAlign w:val="center"/>
          </w:tcPr>
          <w:p>
            <w:pPr>
              <w:pStyle w:val="2057"/>
              <w:tabs>
                <w:tab w:val="left" w:pos="480"/>
              </w:tabs>
              <w:spacing w:afterLines="0"/>
              <w:ind w:firstLine="0" w:firstLineChars="0"/>
              <w:rPr>
                <w:b/>
                <w:bCs w:val="0"/>
                <w:sz w:val="21"/>
                <w:szCs w:val="21"/>
              </w:rPr>
            </w:pPr>
          </w:p>
        </w:tc>
        <w:tc>
          <w:tcPr>
            <w:tcW w:w="798" w:type="pct"/>
            <w:tcBorders>
              <w:bottom w:val="single" w:color="auto" w:sz="12" w:space="0"/>
              <w:tl2br w:val="nil"/>
              <w:tr2bl w:val="nil"/>
            </w:tcBorders>
            <w:vAlign w:val="center"/>
          </w:tcPr>
          <w:p>
            <w:pPr>
              <w:pStyle w:val="2057"/>
              <w:tabs>
                <w:tab w:val="left" w:pos="480"/>
              </w:tabs>
              <w:spacing w:afterLines="0"/>
              <w:ind w:firstLine="0" w:firstLineChars="0"/>
              <w:rPr>
                <w:b/>
                <w:bCs w:val="0"/>
                <w:sz w:val="21"/>
                <w:szCs w:val="21"/>
              </w:rPr>
            </w:pPr>
            <w:r>
              <w:rPr>
                <w:b/>
                <w:bCs w:val="0"/>
                <w:sz w:val="21"/>
                <w:szCs w:val="21"/>
              </w:rPr>
              <w:t>(μg/m³)</w:t>
            </w:r>
          </w:p>
        </w:tc>
        <w:tc>
          <w:tcPr>
            <w:tcW w:w="898" w:type="pct"/>
            <w:vMerge w:val="continue"/>
            <w:tcBorders>
              <w:bottom w:val="single" w:color="auto" w:sz="12" w:space="0"/>
              <w:tl2br w:val="nil"/>
              <w:tr2bl w:val="nil"/>
            </w:tcBorders>
            <w:vAlign w:val="center"/>
          </w:tcPr>
          <w:p>
            <w:pPr>
              <w:pStyle w:val="2057"/>
              <w:tabs>
                <w:tab w:val="left" w:pos="480"/>
              </w:tabs>
              <w:spacing w:afterLines="0"/>
              <w:ind w:firstLine="0" w:firstLineChars="0"/>
              <w:rPr>
                <w:b/>
                <w:bCs w:val="0"/>
                <w:sz w:val="21"/>
                <w:szCs w:val="21"/>
              </w:rPr>
            </w:pPr>
          </w:p>
        </w:tc>
        <w:tc>
          <w:tcPr>
            <w:tcW w:w="472" w:type="pct"/>
            <w:tcBorders>
              <w:bottom w:val="single" w:color="auto" w:sz="12" w:space="0"/>
              <w:tl2br w:val="nil"/>
              <w:tr2bl w:val="nil"/>
            </w:tcBorders>
            <w:vAlign w:val="center"/>
          </w:tcPr>
          <w:p>
            <w:pPr>
              <w:pStyle w:val="2057"/>
              <w:tabs>
                <w:tab w:val="left" w:pos="480"/>
              </w:tabs>
              <w:spacing w:afterLines="0"/>
              <w:ind w:firstLine="0" w:firstLineChars="0"/>
              <w:rPr>
                <w:b/>
                <w:bCs w:val="0"/>
                <w:sz w:val="21"/>
                <w:szCs w:val="21"/>
              </w:rPr>
            </w:pPr>
            <w:r>
              <w:rPr>
                <w:b/>
                <w:bCs w:val="0"/>
                <w:sz w:val="21"/>
                <w:szCs w:val="21"/>
              </w:rPr>
              <w:t>%</w:t>
            </w:r>
          </w:p>
        </w:tc>
        <w:tc>
          <w:tcPr>
            <w:tcW w:w="472" w:type="pct"/>
            <w:vMerge w:val="continue"/>
            <w:tcBorders>
              <w:bottom w:val="single" w:color="auto" w:sz="12" w:space="0"/>
              <w:tl2br w:val="nil"/>
              <w:tr2bl w:val="nil"/>
            </w:tcBorders>
            <w:vAlign w:val="center"/>
          </w:tcPr>
          <w:p>
            <w:pPr>
              <w:pStyle w:val="2057"/>
              <w:tabs>
                <w:tab w:val="left" w:pos="480"/>
              </w:tabs>
              <w:spacing w:afterLines="0"/>
              <w:ind w:firstLine="0" w:firstLineChars="0"/>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restart"/>
            <w:tcBorders>
              <w:tl2br w:val="nil"/>
              <w:tr2bl w:val="nil"/>
            </w:tcBorders>
            <w:vAlign w:val="center"/>
          </w:tcPr>
          <w:p>
            <w:pPr>
              <w:pStyle w:val="2057"/>
              <w:tabs>
                <w:tab w:val="left" w:pos="480"/>
              </w:tabs>
              <w:spacing w:afterLines="0"/>
              <w:ind w:firstLine="0" w:firstLineChars="0"/>
              <w:rPr>
                <w:sz w:val="21"/>
                <w:szCs w:val="21"/>
              </w:rPr>
            </w:pPr>
            <w:r>
              <w:rPr>
                <w:sz w:val="21"/>
                <w:szCs w:val="21"/>
              </w:rPr>
              <w:t>TSP</w:t>
            </w:r>
          </w:p>
        </w:tc>
        <w:tc>
          <w:tcPr>
            <w:tcW w:w="471" w:type="pct"/>
            <w:tcBorders>
              <w:top w:val="single" w:color="auto" w:sz="12" w:space="0"/>
            </w:tcBorders>
            <w:vAlign w:val="center"/>
          </w:tcPr>
          <w:p>
            <w:pPr>
              <w:pStyle w:val="2057"/>
              <w:tabs>
                <w:tab w:val="left" w:pos="480"/>
              </w:tabs>
              <w:spacing w:afterLines="0"/>
              <w:ind w:firstLine="0" w:firstLineChars="0"/>
              <w:rPr>
                <w:sz w:val="21"/>
                <w:szCs w:val="21"/>
              </w:rPr>
            </w:pPr>
            <w:r>
              <w:rPr>
                <w:rFonts w:hint="eastAsia"/>
                <w:sz w:val="21"/>
                <w:szCs w:val="21"/>
              </w:rPr>
              <w:t>滨江学校</w:t>
            </w:r>
          </w:p>
        </w:tc>
        <w:tc>
          <w:tcPr>
            <w:tcW w:w="472" w:type="pct"/>
            <w:tcBorders>
              <w:top w:val="single" w:color="auto" w:sz="12" w:space="0"/>
            </w:tcBorders>
            <w:vAlign w:val="center"/>
          </w:tcPr>
          <w:p>
            <w:pPr>
              <w:pStyle w:val="2057"/>
              <w:tabs>
                <w:tab w:val="left" w:pos="480"/>
              </w:tabs>
              <w:spacing w:afterLines="0"/>
              <w:ind w:firstLine="0" w:firstLineChars="0"/>
              <w:rPr>
                <w:sz w:val="21"/>
                <w:szCs w:val="21"/>
              </w:rPr>
            </w:pPr>
            <w:r>
              <w:rPr>
                <w:sz w:val="21"/>
                <w:szCs w:val="21"/>
              </w:rPr>
              <w:t>726</w:t>
            </w:r>
          </w:p>
        </w:tc>
        <w:tc>
          <w:tcPr>
            <w:tcW w:w="472" w:type="pct"/>
            <w:tcBorders>
              <w:top w:val="single" w:color="auto" w:sz="12" w:space="0"/>
            </w:tcBorders>
            <w:vAlign w:val="center"/>
          </w:tcPr>
          <w:p>
            <w:pPr>
              <w:pStyle w:val="2057"/>
              <w:tabs>
                <w:tab w:val="left" w:pos="480"/>
              </w:tabs>
              <w:spacing w:afterLines="0"/>
              <w:ind w:firstLine="0" w:firstLineChars="0"/>
              <w:rPr>
                <w:sz w:val="21"/>
                <w:szCs w:val="21"/>
              </w:rPr>
            </w:pPr>
            <w:r>
              <w:rPr>
                <w:sz w:val="21"/>
                <w:szCs w:val="21"/>
              </w:rPr>
              <w:t>-24</w:t>
            </w:r>
          </w:p>
        </w:tc>
        <w:tc>
          <w:tcPr>
            <w:tcW w:w="471" w:type="pct"/>
            <w:tcBorders>
              <w:top w:val="single" w:color="auto" w:sz="12" w:space="0"/>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op w:val="single" w:color="auto" w:sz="12" w:space="0"/>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0.43</w:t>
            </w:r>
          </w:p>
        </w:tc>
        <w:tc>
          <w:tcPr>
            <w:tcW w:w="898" w:type="pct"/>
            <w:tcBorders>
              <w:top w:val="single" w:color="auto" w:sz="12" w:space="0"/>
            </w:tcBorders>
            <w:vAlign w:val="center"/>
          </w:tcPr>
          <w:p>
            <w:pPr>
              <w:pStyle w:val="2057"/>
              <w:tabs>
                <w:tab w:val="left" w:pos="480"/>
              </w:tabs>
              <w:spacing w:afterLines="0"/>
              <w:ind w:firstLine="0" w:firstLineChars="0"/>
              <w:rPr>
                <w:sz w:val="21"/>
                <w:szCs w:val="21"/>
              </w:rPr>
            </w:pPr>
            <w:r>
              <w:rPr>
                <w:sz w:val="21"/>
                <w:szCs w:val="21"/>
              </w:rPr>
              <w:t>2021/06/06</w:t>
            </w:r>
          </w:p>
        </w:tc>
        <w:tc>
          <w:tcPr>
            <w:tcW w:w="860" w:type="dxa"/>
            <w:tcBorders>
              <w:top w:val="single" w:color="auto" w:sz="12" w:space="0"/>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0.14</w:t>
            </w:r>
          </w:p>
        </w:tc>
        <w:tc>
          <w:tcPr>
            <w:tcW w:w="472" w:type="pct"/>
            <w:tcBorders>
              <w:top w:val="single" w:color="auto" w:sz="12" w:space="0"/>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大鼓山</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2,051</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-9</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0.15</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2021/06/29</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0.05</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滨江村</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361</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-280</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1.47</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2021/06/21</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0.49</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吴家垄</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1,083</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-371</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0.29</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2021/12/21</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0.10</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胥芦畈</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2,185</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-241</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0.10</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2021/11/30</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0.03</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橙子岭</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1,878</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-526</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0.18</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2021/11/30</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0.06</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芦家屋场</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1,156</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-544</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0.33</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2021/12/21</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0.11</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汪家二房</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2,135</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-968</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0.17</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2021/12/21</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0.06</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乌石矶</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100</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-1,103</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1.08</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2021/12/05</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0.36</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中屋沙咀</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682</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-1,254</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0.34</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2021/08/09</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0.11</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桑泥湖</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1,789</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-1,221</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0.20</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2021/06/21</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0.07</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许家高墩</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-1,583</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1,791</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0.43</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2021/06/02</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0.14</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屋沙咀</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868</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-1,560</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0.28</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2021/08/09</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0.09</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白鹭中学</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-1,567</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2,172</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0.28</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2021/06/02</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0.09</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七房</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186</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314</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2.37</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2021/12/31</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0.79</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六屋</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1,124</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1,470</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0.77</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2021/12/31</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0.26</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道仁矶中学</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1,774</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1,030</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0.35</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2021/12/22</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0.12</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高粱咀</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2,017</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1,515</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0.24</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2021/02/14</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0.08</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新建</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2,411</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1,497</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0.23</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2021/12/22</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0.08</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胡家垄</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2,142</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1,121</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0.22</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2021/12/22</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0.07</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北斗坡</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2,272</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800</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0.20</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2021/06/06</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0.07</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胡彭家</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2,285</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523</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0.24</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2021/06/06</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0.08</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郑家祠堂</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1,025</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198</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0.45</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2021/06/06</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0.15</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区域最大值</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-300</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100</w:t>
            </w:r>
          </w:p>
        </w:tc>
        <w:tc>
          <w:tcPr>
            <w:tcW w:w="471"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125.62</w:t>
            </w:r>
          </w:p>
        </w:tc>
        <w:tc>
          <w:tcPr>
            <w:tcW w:w="898" w:type="pct"/>
            <w:tcBorders>
              <w:tl2br w:val="nil"/>
              <w:tr2bl w:val="nil"/>
            </w:tcBorders>
            <w:vAlign w:val="center"/>
          </w:tcPr>
          <w:p>
            <w:pPr>
              <w:pStyle w:val="2057"/>
              <w:tabs>
                <w:tab w:val="left" w:pos="480"/>
              </w:tabs>
              <w:spacing w:afterLines="0"/>
              <w:ind w:firstLine="0" w:firstLineChars="0"/>
              <w:rPr>
                <w:sz w:val="21"/>
                <w:szCs w:val="21"/>
              </w:rPr>
            </w:pPr>
            <w:r>
              <w:rPr>
                <w:sz w:val="21"/>
                <w:szCs w:val="21"/>
              </w:rPr>
              <w:t>2021/12/31</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41.87</w:t>
            </w:r>
          </w:p>
        </w:tc>
        <w:tc>
          <w:tcPr>
            <w:tcW w:w="472" w:type="pc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达标</w:t>
            </w:r>
          </w:p>
        </w:tc>
      </w:tr>
    </w:tbl>
    <w:p>
      <w:pPr>
        <w:pStyle w:val="3586"/>
        <w:ind w:left="0"/>
        <w:rPr>
          <w:rFonts w:hint="default" w:ascii="Times New Roman" w:hAnsi="Times New Roman" w:eastAsia="宋体" w:cs="Times New Roman"/>
          <w:b/>
          <w:bCs w:val="0"/>
          <w:sz w:val="21"/>
          <w:szCs w:val="21"/>
          <w:lang w:eastAsia="zh-CN"/>
        </w:rPr>
      </w:pPr>
      <w:r>
        <w:rPr>
          <w:rFonts w:hint="default" w:ascii="Times New Roman" w:hAnsi="Times New Roman" w:cs="Times New Roman"/>
          <w:sz w:val="21"/>
          <w:szCs w:val="21"/>
          <w:lang w:val="en-US" w:eastAsia="zh-CN"/>
        </w:rPr>
        <w:t>正常</w:t>
      </w:r>
      <w:r>
        <w:rPr>
          <w:rFonts w:hint="default" w:ascii="Times New Roman" w:hAnsi="Times New Roman" w:eastAsia="宋体" w:cs="Times New Roman"/>
          <w:b/>
          <w:bCs w:val="0"/>
          <w:sz w:val="21"/>
          <w:szCs w:val="21"/>
          <w:lang w:eastAsia="zh-CN"/>
        </w:rPr>
        <w:t>排放TSP</w:t>
      </w:r>
      <w:r>
        <w:rPr>
          <w:rFonts w:hint="default" w:ascii="Times New Roman" w:hAnsi="Times New Roman" w:cs="Times New Roman"/>
          <w:sz w:val="21"/>
          <w:szCs w:val="21"/>
          <w:lang w:val="en-US" w:eastAsia="zh-CN"/>
        </w:rPr>
        <w:t>年平均贡献值浓度预测结果表</w:t>
      </w:r>
    </w:p>
    <w:tbl>
      <w:tblPr>
        <w:tblStyle w:val="88"/>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044"/>
        <w:gridCol w:w="1046"/>
        <w:gridCol w:w="1046"/>
        <w:gridCol w:w="1047"/>
        <w:gridCol w:w="1047"/>
        <w:gridCol w:w="1769"/>
        <w:gridCol w:w="1047"/>
        <w:gridCol w:w="10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restar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污染物</w:t>
            </w:r>
          </w:p>
        </w:tc>
        <w:tc>
          <w:tcPr>
            <w:tcW w:w="575" w:type="pct"/>
            <w:vMerge w:val="restar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预测点</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X/</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Y/</w:t>
            </w:r>
          </w:p>
        </w:tc>
        <w:tc>
          <w:tcPr>
            <w:tcW w:w="575" w:type="pct"/>
            <w:vMerge w:val="restar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平均</w:t>
            </w:r>
          </w:p>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时段</w:t>
            </w:r>
          </w:p>
        </w:tc>
        <w:tc>
          <w:tcPr>
            <w:tcW w:w="972"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最大贡献值/</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占标率/</w:t>
            </w:r>
          </w:p>
        </w:tc>
        <w:tc>
          <w:tcPr>
            <w:tcW w:w="575" w:type="pct"/>
            <w:vMerge w:val="restar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m</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m</w:t>
            </w:r>
          </w:p>
        </w:tc>
        <w:tc>
          <w:tcPr>
            <w:tcW w:w="575"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(μg/m³)</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w:t>
            </w:r>
          </w:p>
        </w:tc>
        <w:tc>
          <w:tcPr>
            <w:tcW w:w="575"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restar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TSP</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滨江学校</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726</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0.03</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大鼓山</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2,051</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-9</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滨江村</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361</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-280</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0.07</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0.03</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吴家垄</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1,083</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-371</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胥芦畈</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2,185</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-241</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橙子岭</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1,878</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-526</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芦家屋场</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1,156</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-544</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汪家二房</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2,135</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-968</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乌石矶</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100</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-1,103</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0.09</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0.05</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中屋沙咀</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682</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-1,254</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0.03</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桑泥湖</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1,789</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-1,221</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许家高墩</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-1,583</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1,791</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0.03</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0.02</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屋沙咀</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868</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-1,560</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0.02</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白鹭中学</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-1,567</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2,172</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0.03</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七房</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186</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314</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0.17</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0.08</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六屋</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1,124</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1,470</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0.02</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道仁矶中学</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1,774</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1,030</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高粱咀</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2,017</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1,515</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新建</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2,411</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1,497</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胡家垄</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2,142</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1,121</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北斗坡</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2,272</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800</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胡彭家</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2,285</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523</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郑家祠堂</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1,025</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198</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0.02</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区域最大值</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-400</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-100</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年均</w:t>
            </w:r>
          </w:p>
        </w:tc>
        <w:tc>
          <w:tcPr>
            <w:tcW w:w="972"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44.11</w:t>
            </w:r>
          </w:p>
        </w:tc>
        <w:tc>
          <w:tcPr>
            <w:tcW w:w="575" w:type="pc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22.05</w:t>
            </w:r>
          </w:p>
        </w:tc>
        <w:tc>
          <w:tcPr>
            <w:tcW w:w="575" w:type="pc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bl>
    <w:p>
      <w:pPr>
        <w:spacing w:line="360" w:lineRule="auto"/>
        <w:ind w:firstLine="480" w:firstLineChars="200"/>
        <w:rPr>
          <w:rFonts w:hint="default" w:ascii="Times New Roman" w:hAnsi="Times New Roman" w:eastAsia="宋体" w:cs="Times New Roman"/>
          <w:b w:val="0"/>
          <w:sz w:val="24"/>
          <w:lang w:eastAsia="zh-CN"/>
        </w:rPr>
      </w:pPr>
      <w:r>
        <w:rPr>
          <w:rFonts w:hint="default" w:ascii="Times New Roman" w:hAnsi="Times New Roman" w:eastAsia="宋体" w:cs="Times New Roman"/>
          <w:b w:val="0"/>
          <w:sz w:val="24"/>
          <w:lang w:eastAsia="zh-CN"/>
        </w:rPr>
        <w:t>TSP叠加环境质量现状值污染源排放的TSP对评价区域内各环境敏感点的24小时平均浓度叠加值范围在109.00μg/m³～109.01μg/m³之间，占标率为36.33%～36.34%之间，各敏感点24小时平均浓度叠加值均达标；区域最大地面浓度点叠加值为182.90μg/m³，占标率为60.97%，均达标。</w:t>
      </w:r>
    </w:p>
    <w:p>
      <w:pPr>
        <w:spacing w:line="360" w:lineRule="auto"/>
        <w:ind w:firstLine="480" w:firstLineChars="200"/>
        <w:rPr>
          <w:rFonts w:hint="default" w:ascii="Times New Roman" w:hAnsi="Times New Roman" w:eastAsia="宋体" w:cs="Times New Roman"/>
          <w:b w:val="0"/>
          <w:sz w:val="24"/>
          <w:lang w:eastAsia="zh-CN"/>
        </w:rPr>
      </w:pPr>
      <w:r>
        <w:rPr>
          <w:rFonts w:hint="default" w:ascii="Times New Roman" w:hAnsi="Times New Roman" w:eastAsia="宋体" w:cs="Times New Roman"/>
          <w:b w:val="0"/>
          <w:sz w:val="24"/>
          <w:lang w:eastAsia="zh-CN"/>
        </w:rPr>
        <w:t>TSP叠加环境质量现状值污染源排放的TSP对评价区域内各环境敏感点的年平均浓度叠加值范围在106.28μg/m³～108.99μg/m³之间，占标率为53.14%～54.49%之间，各敏感点年平均浓度叠加值均达标；区域最大地面浓度点叠加值为147.53μg/m³，占标率为73.77%，均达标。</w:t>
      </w:r>
    </w:p>
    <w:p>
      <w:pPr>
        <w:ind w:firstLine="480"/>
      </w:pPr>
      <w:r>
        <w:rPr>
          <w:rFonts w:hint="eastAsia"/>
        </w:rPr>
        <w:t>评价范围内敏感点、网格点进行影响预测分析发现：项目敏感点TSP的短期浓度贡献值的最大浓度占标率≤100%，年均浓度贡献值的最大浓度占标率≤30%。</w:t>
      </w:r>
    </w:p>
    <w:p>
      <w:pPr>
        <w:pStyle w:val="208"/>
        <w:rPr>
          <w:rFonts w:hint="default" w:ascii="Times New Roman" w:hAnsi="Times New Roman" w:cs="Times New Roman"/>
          <w:vertAlign w:val="baseline"/>
          <w:lang w:val="en-US" w:eastAsia="zh-CN"/>
        </w:rPr>
      </w:pPr>
      <w:r>
        <w:rPr>
          <w:rFonts w:hint="eastAsia" w:ascii="Times New Roman" w:hAnsi="Times New Roman" w:cs="Times New Roman"/>
          <w:lang w:val="en-US" w:eastAsia="zh-CN"/>
        </w:rPr>
        <w:t>2）PM</w:t>
      </w:r>
      <w:r>
        <w:rPr>
          <w:rFonts w:hint="eastAsia" w:ascii="Times New Roman" w:hAnsi="Times New Roman" w:cs="Times New Roman"/>
          <w:vertAlign w:val="subscript"/>
          <w:lang w:val="en-US" w:eastAsia="zh-CN"/>
        </w:rPr>
        <w:t>10</w:t>
      </w:r>
    </w:p>
    <w:p>
      <w:pPr>
        <w:pStyle w:val="3586"/>
        <w:ind w:left="0"/>
      </w:pPr>
      <w:r>
        <w:rPr>
          <w:rFonts w:hint="eastAsia"/>
        </w:rPr>
        <w:t>正常排放</w:t>
      </w:r>
      <w:r>
        <w:rPr>
          <w:rFonts w:hint="eastAsia"/>
          <w:lang w:val="en-US" w:eastAsia="zh-CN"/>
        </w:rPr>
        <w:t>PM</w:t>
      </w:r>
      <w:r>
        <w:rPr>
          <w:rFonts w:hint="eastAsia"/>
          <w:vertAlign w:val="subscript"/>
          <w:lang w:val="en-US" w:eastAsia="zh-CN"/>
        </w:rPr>
        <w:t>10</w:t>
      </w:r>
      <w:r>
        <w:rPr>
          <w:rFonts w:hint="eastAsia"/>
          <w:vertAlign w:val="baseline"/>
          <w:lang w:val="en-US" w:eastAsia="zh-CN"/>
        </w:rPr>
        <w:t>24小时</w:t>
      </w:r>
      <w:r>
        <w:rPr>
          <w:rFonts w:hint="eastAsia"/>
        </w:rPr>
        <w:t>贡献值最大浓度</w:t>
      </w:r>
      <w:r>
        <w:rPr>
          <w:rFonts w:hint="eastAsia"/>
          <w:lang w:val="en-US" w:eastAsia="zh-CN"/>
        </w:rPr>
        <w:t>预测结果一览表</w:t>
      </w:r>
    </w:p>
    <w:tbl>
      <w:tblPr>
        <w:tblStyle w:val="88"/>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57"/>
        <w:gridCol w:w="857"/>
        <w:gridCol w:w="859"/>
        <w:gridCol w:w="859"/>
        <w:gridCol w:w="857"/>
        <w:gridCol w:w="1452"/>
        <w:gridCol w:w="1634"/>
        <w:gridCol w:w="860"/>
        <w:gridCol w:w="86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restart"/>
            <w:tcBorders>
              <w:tl2br w:val="nil"/>
              <w:tr2bl w:val="nil"/>
            </w:tcBorders>
            <w:vAlign w:val="center"/>
          </w:tcPr>
          <w:p>
            <w:pPr>
              <w:pStyle w:val="2057"/>
              <w:tabs>
                <w:tab w:val="left" w:pos="480"/>
              </w:tabs>
              <w:spacing w:afterLines="0"/>
              <w:ind w:firstLine="0" w:firstLineChars="0"/>
              <w:rPr>
                <w:sz w:val="21"/>
                <w:szCs w:val="21"/>
              </w:rPr>
            </w:pPr>
            <w:r>
              <w:rPr>
                <w:rFonts w:hint="eastAsia"/>
                <w:sz w:val="21"/>
                <w:szCs w:val="21"/>
              </w:rPr>
              <w:t>污染物</w:t>
            </w:r>
          </w:p>
        </w:tc>
        <w:tc>
          <w:tcPr>
            <w:tcW w:w="471" w:type="pct"/>
            <w:vMerge w:val="restart"/>
            <w:tcBorders>
              <w:tl2br w:val="nil"/>
              <w:tr2bl w:val="nil"/>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预测点</w:t>
            </w:r>
          </w:p>
        </w:tc>
        <w:tc>
          <w:tcPr>
            <w:tcW w:w="472" w:type="pct"/>
            <w:tcBorders>
              <w:tl2br w:val="nil"/>
              <w:tr2bl w:val="nil"/>
            </w:tcBorders>
            <w:vAlign w:val="center"/>
          </w:tcPr>
          <w:p>
            <w:pPr>
              <w:pStyle w:val="2057"/>
              <w:tabs>
                <w:tab w:val="left" w:pos="480"/>
              </w:tabs>
              <w:spacing w:afterLines="0"/>
              <w:ind w:firstLine="0" w:firstLineChars="0"/>
              <w:rPr>
                <w:b/>
                <w:bCs w:val="0"/>
                <w:sz w:val="21"/>
                <w:szCs w:val="21"/>
              </w:rPr>
            </w:pPr>
            <w:r>
              <w:rPr>
                <w:b/>
                <w:bCs w:val="0"/>
                <w:sz w:val="21"/>
                <w:szCs w:val="21"/>
              </w:rPr>
              <w:t>X/</w:t>
            </w:r>
          </w:p>
        </w:tc>
        <w:tc>
          <w:tcPr>
            <w:tcW w:w="472" w:type="pct"/>
            <w:tcBorders>
              <w:tl2br w:val="nil"/>
              <w:tr2bl w:val="nil"/>
            </w:tcBorders>
            <w:vAlign w:val="center"/>
          </w:tcPr>
          <w:p>
            <w:pPr>
              <w:pStyle w:val="2057"/>
              <w:tabs>
                <w:tab w:val="left" w:pos="480"/>
              </w:tabs>
              <w:spacing w:afterLines="0"/>
              <w:ind w:firstLine="0" w:firstLineChars="0"/>
              <w:rPr>
                <w:b/>
                <w:bCs w:val="0"/>
                <w:sz w:val="21"/>
                <w:szCs w:val="21"/>
              </w:rPr>
            </w:pPr>
            <w:r>
              <w:rPr>
                <w:b/>
                <w:bCs w:val="0"/>
                <w:sz w:val="21"/>
                <w:szCs w:val="21"/>
              </w:rPr>
              <w:t>Y/</w:t>
            </w:r>
          </w:p>
        </w:tc>
        <w:tc>
          <w:tcPr>
            <w:tcW w:w="471" w:type="pct"/>
            <w:vMerge w:val="restart"/>
            <w:tcBorders>
              <w:tl2br w:val="nil"/>
              <w:tr2bl w:val="nil"/>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平均</w:t>
            </w:r>
          </w:p>
          <w:p>
            <w:pPr>
              <w:pStyle w:val="2057"/>
              <w:tabs>
                <w:tab w:val="left" w:pos="480"/>
              </w:tabs>
              <w:spacing w:afterLines="0"/>
              <w:ind w:firstLine="0" w:firstLineChars="0"/>
              <w:rPr>
                <w:b/>
                <w:bCs w:val="0"/>
                <w:sz w:val="21"/>
                <w:szCs w:val="21"/>
              </w:rPr>
            </w:pPr>
            <w:r>
              <w:rPr>
                <w:rFonts w:hint="eastAsia"/>
                <w:b/>
                <w:bCs w:val="0"/>
                <w:sz w:val="21"/>
                <w:szCs w:val="21"/>
              </w:rPr>
              <w:t>时段</w:t>
            </w:r>
          </w:p>
        </w:tc>
        <w:tc>
          <w:tcPr>
            <w:tcW w:w="798" w:type="pct"/>
            <w:tcBorders>
              <w:tl2br w:val="nil"/>
              <w:tr2bl w:val="nil"/>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最大贡献值/</w:t>
            </w:r>
          </w:p>
        </w:tc>
        <w:tc>
          <w:tcPr>
            <w:tcW w:w="898" w:type="pct"/>
            <w:vMerge w:val="restart"/>
            <w:tcBorders>
              <w:tl2br w:val="nil"/>
              <w:tr2bl w:val="nil"/>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出现时间</w:t>
            </w:r>
          </w:p>
        </w:tc>
        <w:tc>
          <w:tcPr>
            <w:tcW w:w="472" w:type="pct"/>
            <w:tcBorders>
              <w:tl2br w:val="nil"/>
              <w:tr2bl w:val="nil"/>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占标率/</w:t>
            </w:r>
          </w:p>
        </w:tc>
        <w:tc>
          <w:tcPr>
            <w:tcW w:w="472" w:type="pct"/>
            <w:vMerge w:val="restart"/>
            <w:tcBorders>
              <w:tl2br w:val="nil"/>
              <w:tr2bl w:val="nil"/>
            </w:tcBorders>
            <w:vAlign w:val="center"/>
          </w:tcPr>
          <w:p>
            <w:pPr>
              <w:pStyle w:val="2057"/>
              <w:tabs>
                <w:tab w:val="left" w:pos="480"/>
              </w:tabs>
              <w:spacing w:afterLines="0"/>
              <w:ind w:firstLine="0" w:firstLineChars="0"/>
              <w:rPr>
                <w:b/>
                <w:bCs w:val="0"/>
                <w:sz w:val="21"/>
                <w:szCs w:val="21"/>
              </w:rPr>
            </w:pPr>
            <w:r>
              <w:rPr>
                <w:rFonts w:hint="eastAsia"/>
                <w:b/>
                <w:bCs w:val="0"/>
                <w:sz w:val="21"/>
                <w:szCs w:val="21"/>
              </w:rPr>
              <w:t>达标</w:t>
            </w:r>
          </w:p>
          <w:p>
            <w:pPr>
              <w:pStyle w:val="2057"/>
              <w:tabs>
                <w:tab w:val="left" w:pos="480"/>
              </w:tabs>
              <w:spacing w:afterLines="0"/>
              <w:ind w:firstLine="0" w:firstLineChars="0"/>
              <w:rPr>
                <w:b/>
                <w:bCs w:val="0"/>
                <w:sz w:val="21"/>
                <w:szCs w:val="21"/>
              </w:rPr>
            </w:pPr>
            <w:r>
              <w:rPr>
                <w:rFonts w:hint="eastAsia"/>
                <w:b/>
                <w:bCs w:val="0"/>
                <w:sz w:val="21"/>
                <w:szCs w:val="21"/>
              </w:rPr>
              <w:t>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sz w:val="21"/>
                <w:szCs w:val="21"/>
              </w:rPr>
            </w:pPr>
          </w:p>
        </w:tc>
        <w:tc>
          <w:tcPr>
            <w:tcW w:w="471" w:type="pct"/>
            <w:vMerge w:val="continue"/>
            <w:tcBorders>
              <w:bottom w:val="single" w:color="auto" w:sz="12" w:space="0"/>
              <w:tl2br w:val="nil"/>
              <w:tr2bl w:val="nil"/>
            </w:tcBorders>
            <w:vAlign w:val="center"/>
          </w:tcPr>
          <w:p>
            <w:pPr>
              <w:pStyle w:val="2057"/>
              <w:tabs>
                <w:tab w:val="left" w:pos="480"/>
              </w:tabs>
              <w:spacing w:afterLines="0"/>
              <w:ind w:firstLine="0" w:firstLineChars="0"/>
              <w:rPr>
                <w:sz w:val="21"/>
                <w:szCs w:val="21"/>
              </w:rPr>
            </w:pPr>
          </w:p>
        </w:tc>
        <w:tc>
          <w:tcPr>
            <w:tcW w:w="472" w:type="pct"/>
            <w:tcBorders>
              <w:bottom w:val="single" w:color="auto" w:sz="12" w:space="0"/>
              <w:tl2br w:val="nil"/>
              <w:tr2bl w:val="nil"/>
            </w:tcBorders>
            <w:vAlign w:val="center"/>
          </w:tcPr>
          <w:p>
            <w:pPr>
              <w:pStyle w:val="2057"/>
              <w:tabs>
                <w:tab w:val="left" w:pos="480"/>
              </w:tabs>
              <w:spacing w:afterLines="0"/>
              <w:ind w:firstLine="0" w:firstLineChars="0"/>
              <w:rPr>
                <w:b/>
                <w:bCs w:val="0"/>
                <w:sz w:val="21"/>
                <w:szCs w:val="21"/>
              </w:rPr>
            </w:pPr>
            <w:r>
              <w:rPr>
                <w:b/>
                <w:bCs w:val="0"/>
                <w:sz w:val="21"/>
                <w:szCs w:val="21"/>
              </w:rPr>
              <w:t>m</w:t>
            </w:r>
          </w:p>
        </w:tc>
        <w:tc>
          <w:tcPr>
            <w:tcW w:w="472" w:type="pct"/>
            <w:tcBorders>
              <w:bottom w:val="single" w:color="auto" w:sz="12" w:space="0"/>
              <w:tl2br w:val="nil"/>
              <w:tr2bl w:val="nil"/>
            </w:tcBorders>
            <w:vAlign w:val="center"/>
          </w:tcPr>
          <w:p>
            <w:pPr>
              <w:pStyle w:val="2057"/>
              <w:tabs>
                <w:tab w:val="left" w:pos="480"/>
              </w:tabs>
              <w:spacing w:afterLines="0"/>
              <w:ind w:firstLine="0" w:firstLineChars="0"/>
              <w:rPr>
                <w:b/>
                <w:bCs w:val="0"/>
                <w:sz w:val="21"/>
                <w:szCs w:val="21"/>
              </w:rPr>
            </w:pPr>
            <w:r>
              <w:rPr>
                <w:b/>
                <w:bCs w:val="0"/>
                <w:sz w:val="21"/>
                <w:szCs w:val="21"/>
              </w:rPr>
              <w:t>m</w:t>
            </w:r>
          </w:p>
        </w:tc>
        <w:tc>
          <w:tcPr>
            <w:tcW w:w="471" w:type="pct"/>
            <w:vMerge w:val="continue"/>
            <w:tcBorders>
              <w:bottom w:val="single" w:color="auto" w:sz="12" w:space="0"/>
              <w:tl2br w:val="nil"/>
              <w:tr2bl w:val="nil"/>
            </w:tcBorders>
            <w:vAlign w:val="center"/>
          </w:tcPr>
          <w:p>
            <w:pPr>
              <w:pStyle w:val="2057"/>
              <w:tabs>
                <w:tab w:val="left" w:pos="480"/>
              </w:tabs>
              <w:spacing w:afterLines="0"/>
              <w:ind w:firstLine="0" w:firstLineChars="0"/>
              <w:rPr>
                <w:b/>
                <w:bCs w:val="0"/>
                <w:sz w:val="21"/>
                <w:szCs w:val="21"/>
              </w:rPr>
            </w:pPr>
          </w:p>
        </w:tc>
        <w:tc>
          <w:tcPr>
            <w:tcW w:w="798" w:type="pct"/>
            <w:tcBorders>
              <w:bottom w:val="single" w:color="auto" w:sz="12" w:space="0"/>
              <w:tl2br w:val="nil"/>
              <w:tr2bl w:val="nil"/>
            </w:tcBorders>
            <w:vAlign w:val="center"/>
          </w:tcPr>
          <w:p>
            <w:pPr>
              <w:pStyle w:val="2057"/>
              <w:tabs>
                <w:tab w:val="left" w:pos="480"/>
              </w:tabs>
              <w:spacing w:afterLines="0"/>
              <w:ind w:firstLine="0" w:firstLineChars="0"/>
              <w:rPr>
                <w:b/>
                <w:bCs w:val="0"/>
                <w:sz w:val="21"/>
                <w:szCs w:val="21"/>
              </w:rPr>
            </w:pPr>
            <w:r>
              <w:rPr>
                <w:b/>
                <w:bCs w:val="0"/>
                <w:sz w:val="21"/>
                <w:szCs w:val="21"/>
              </w:rPr>
              <w:t>(μg/m³)</w:t>
            </w:r>
          </w:p>
        </w:tc>
        <w:tc>
          <w:tcPr>
            <w:tcW w:w="898" w:type="pct"/>
            <w:vMerge w:val="continue"/>
            <w:tcBorders>
              <w:bottom w:val="single" w:color="auto" w:sz="12" w:space="0"/>
              <w:tl2br w:val="nil"/>
              <w:tr2bl w:val="nil"/>
            </w:tcBorders>
            <w:vAlign w:val="center"/>
          </w:tcPr>
          <w:p>
            <w:pPr>
              <w:pStyle w:val="2057"/>
              <w:tabs>
                <w:tab w:val="left" w:pos="480"/>
              </w:tabs>
              <w:spacing w:afterLines="0"/>
              <w:ind w:firstLine="0" w:firstLineChars="0"/>
              <w:rPr>
                <w:b/>
                <w:bCs w:val="0"/>
                <w:sz w:val="21"/>
                <w:szCs w:val="21"/>
              </w:rPr>
            </w:pPr>
          </w:p>
        </w:tc>
        <w:tc>
          <w:tcPr>
            <w:tcW w:w="472" w:type="pct"/>
            <w:tcBorders>
              <w:bottom w:val="single" w:color="auto" w:sz="12" w:space="0"/>
              <w:tl2br w:val="nil"/>
              <w:tr2bl w:val="nil"/>
            </w:tcBorders>
            <w:vAlign w:val="center"/>
          </w:tcPr>
          <w:p>
            <w:pPr>
              <w:pStyle w:val="2057"/>
              <w:tabs>
                <w:tab w:val="left" w:pos="480"/>
              </w:tabs>
              <w:spacing w:afterLines="0"/>
              <w:ind w:firstLine="0" w:firstLineChars="0"/>
              <w:rPr>
                <w:b/>
                <w:bCs w:val="0"/>
                <w:sz w:val="21"/>
                <w:szCs w:val="21"/>
              </w:rPr>
            </w:pPr>
            <w:r>
              <w:rPr>
                <w:b/>
                <w:bCs w:val="0"/>
                <w:sz w:val="21"/>
                <w:szCs w:val="21"/>
              </w:rPr>
              <w:t>%</w:t>
            </w:r>
          </w:p>
        </w:tc>
        <w:tc>
          <w:tcPr>
            <w:tcW w:w="472" w:type="pct"/>
            <w:vMerge w:val="continue"/>
            <w:tcBorders>
              <w:bottom w:val="single" w:color="auto" w:sz="12" w:space="0"/>
              <w:tl2br w:val="nil"/>
              <w:tr2bl w:val="nil"/>
            </w:tcBorders>
            <w:vAlign w:val="center"/>
          </w:tcPr>
          <w:p>
            <w:pPr>
              <w:pStyle w:val="2057"/>
              <w:tabs>
                <w:tab w:val="left" w:pos="480"/>
              </w:tabs>
              <w:spacing w:afterLines="0"/>
              <w:ind w:firstLine="0" w:firstLineChars="0"/>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restar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PM</w:t>
            </w:r>
            <w:r>
              <w:rPr>
                <w:rFonts w:hint="eastAsia" w:ascii="Times New Roman" w:hAnsi="Times New Roman" w:cs="Times New Roman"/>
                <w:sz w:val="21"/>
                <w:szCs w:val="21"/>
                <w:vertAlign w:val="subscript"/>
                <w:lang w:val="en-US" w:eastAsia="zh-CN"/>
              </w:rPr>
              <w:t>10</w:t>
            </w:r>
          </w:p>
        </w:tc>
        <w:tc>
          <w:tcPr>
            <w:tcW w:w="471" w:type="pct"/>
            <w:tcBorders>
              <w:top w:val="single" w:color="auto" w:sz="12" w:space="0"/>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滨江学校</w:t>
            </w:r>
          </w:p>
        </w:tc>
        <w:tc>
          <w:tcPr>
            <w:tcW w:w="472" w:type="pct"/>
            <w:tcBorders>
              <w:top w:val="single" w:color="auto" w:sz="12" w:space="0"/>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726</w:t>
            </w:r>
          </w:p>
        </w:tc>
        <w:tc>
          <w:tcPr>
            <w:tcW w:w="472" w:type="pct"/>
            <w:tcBorders>
              <w:top w:val="single" w:color="auto" w:sz="12" w:space="0"/>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w:t>
            </w:r>
          </w:p>
        </w:tc>
        <w:tc>
          <w:tcPr>
            <w:tcW w:w="471" w:type="pct"/>
            <w:tcBorders>
              <w:top w:val="single" w:color="auto" w:sz="12" w:space="0"/>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op w:val="single" w:color="auto" w:sz="12" w:space="0"/>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1.19</w:t>
            </w:r>
          </w:p>
        </w:tc>
        <w:tc>
          <w:tcPr>
            <w:tcW w:w="898" w:type="pct"/>
            <w:tcBorders>
              <w:top w:val="single" w:color="auto" w:sz="12" w:space="0"/>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2021/06/06</w:t>
            </w:r>
          </w:p>
        </w:tc>
        <w:tc>
          <w:tcPr>
            <w:tcW w:w="860" w:type="dxa"/>
            <w:tcBorders>
              <w:top w:val="single" w:color="auto" w:sz="12" w:space="0"/>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0.80</w:t>
            </w:r>
          </w:p>
        </w:tc>
        <w:tc>
          <w:tcPr>
            <w:tcW w:w="472" w:type="pct"/>
            <w:tcBorders>
              <w:top w:val="single" w:color="auto" w:sz="12" w:space="0"/>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大鼓山</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2,051</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-9</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0.24</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2021/06/29</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0.16</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滨江村</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361</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-280</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2.06</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2021/06/21</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1.37</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吴家垄</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1,083</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-371</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0.53</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2021/12/21</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0.35</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胥芦畈</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2,185</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-241</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0.17</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2021/11/30</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0.11</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橙子岭</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1,878</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-526</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0.27</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2021/11/30</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0.18</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芦家屋场</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1,156</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-544</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0.72</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2021/12/21</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0.48</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汪家二房</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2,135</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-968</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0.41</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2021/12/21</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0.27</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乌石矶</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100</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-1,103</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1.66</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2021/12/05</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1.11</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中屋沙咀</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682</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-1,254</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0.90</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2021/08/09</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0.60</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桑泥湖</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1,789</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-1,221</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0.42</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2021/06/21</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0.28</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许家高墩</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-1,583</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1,791</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0.85</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2021/06/02</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0.57</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屋沙咀</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868</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-1,560</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0.77</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2021/08/09</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0.51</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白鹭中学</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-1,567</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2,172</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0.38</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2021/06/02</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0.25</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七房</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186</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314</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2.55</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2021/12/31</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1.70</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六屋</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1,124</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1,470</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1.19</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2021/12/31</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0.79</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道仁矶中学</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1,774</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1,030</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0.57</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2021/12/22</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0.38</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高粱咀</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2,017</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1,515</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0.46</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2021/02/14</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0.31</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新建</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2,411</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1,497</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0.39</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2021/12/22</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0.26</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胡家垄</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2,142</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1,121</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0.39</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2021/12/22</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0.26</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北斗坡</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2,272</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800</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0.37</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2021/06/06</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0.25</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胡彭家</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2,285</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523</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0.68</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2021/06/06</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0.45</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郑家祠堂</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1,025</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198</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1.14</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2021/06/06</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0.76</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区域最大值</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-300</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100</w:t>
            </w:r>
          </w:p>
        </w:tc>
        <w:tc>
          <w:tcPr>
            <w:tcW w:w="471"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34.26</w:t>
            </w:r>
          </w:p>
        </w:tc>
        <w:tc>
          <w:tcPr>
            <w:tcW w:w="898"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ascii="Times New Roman" w:hAnsi="Times New Roman" w:cs="Times New Roman"/>
                <w:sz w:val="21"/>
                <w:szCs w:val="21"/>
              </w:rPr>
              <w:t>2021/12/31</w:t>
            </w:r>
          </w:p>
        </w:tc>
        <w:tc>
          <w:tcPr>
            <w:tcW w:w="860"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22.84</w:t>
            </w:r>
          </w:p>
        </w:tc>
        <w:tc>
          <w:tcPr>
            <w:tcW w:w="472" w:type="pct"/>
            <w:tcBorders>
              <w:tl2br w:val="nil"/>
              <w:tr2bl w:val="nil"/>
            </w:tcBorders>
            <w:vAlign w:val="center"/>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cs="Times New Roman"/>
                <w:sz w:val="21"/>
                <w:szCs w:val="21"/>
              </w:rPr>
              <w:t>达标</w:t>
            </w:r>
          </w:p>
        </w:tc>
      </w:tr>
    </w:tbl>
    <w:p>
      <w:pPr>
        <w:pStyle w:val="3586"/>
        <w:ind w:left="0"/>
        <w:rPr>
          <w:rFonts w:hint="eastAsia" w:ascii="Times New Roman" w:hAnsi="Times New Roman" w:cs="Times New Roman"/>
        </w:rPr>
      </w:pPr>
      <w:r>
        <w:rPr>
          <w:rFonts w:hint="default" w:ascii="Times New Roman" w:hAnsi="Times New Roman" w:cs="Times New Roman"/>
        </w:rPr>
        <w:t>正常排放</w:t>
      </w:r>
      <w:r>
        <w:rPr>
          <w:rFonts w:hint="default" w:ascii="Times New Roman" w:hAnsi="Times New Roman" w:cs="Times New Roman"/>
          <w:lang w:val="en-US" w:eastAsia="zh-CN"/>
        </w:rPr>
        <w:t>PM</w:t>
      </w:r>
      <w:r>
        <w:rPr>
          <w:rFonts w:hint="default" w:ascii="Times New Roman" w:hAnsi="Times New Roman" w:cs="Times New Roman"/>
          <w:vertAlign w:val="subscript"/>
          <w:lang w:val="en-US" w:eastAsia="zh-CN"/>
        </w:rPr>
        <w:t>10</w:t>
      </w:r>
      <w:r>
        <w:rPr>
          <w:rFonts w:hint="default" w:ascii="Times New Roman" w:hAnsi="Times New Roman" w:cs="Times New Roman"/>
        </w:rPr>
        <w:t>年平均贡献值浓度值</w:t>
      </w:r>
      <w:r>
        <w:rPr>
          <w:rFonts w:hint="eastAsia" w:ascii="Times New Roman" w:hAnsi="Times New Roman" w:cs="Times New Roman"/>
          <w:lang w:val="en-US" w:eastAsia="zh-CN"/>
        </w:rPr>
        <w:t>预测结果</w:t>
      </w:r>
      <w:r>
        <w:rPr>
          <w:rFonts w:hint="default" w:ascii="Times New Roman" w:hAnsi="Times New Roman" w:cs="Times New Roman"/>
        </w:rPr>
        <w:t>一览表</w:t>
      </w:r>
    </w:p>
    <w:tbl>
      <w:tblPr>
        <w:tblStyle w:val="88"/>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044"/>
        <w:gridCol w:w="1182"/>
        <w:gridCol w:w="910"/>
        <w:gridCol w:w="1047"/>
        <w:gridCol w:w="1047"/>
        <w:gridCol w:w="1769"/>
        <w:gridCol w:w="1047"/>
        <w:gridCol w:w="10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restar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污染物</w:t>
            </w:r>
          </w:p>
        </w:tc>
        <w:tc>
          <w:tcPr>
            <w:tcW w:w="650" w:type="pct"/>
            <w:vMerge w:val="restar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预测点</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X/</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Y/</w:t>
            </w:r>
          </w:p>
        </w:tc>
        <w:tc>
          <w:tcPr>
            <w:tcW w:w="575" w:type="pct"/>
            <w:vMerge w:val="restar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平均</w:t>
            </w:r>
          </w:p>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时段</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最大贡献值/</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占标率/</w:t>
            </w:r>
          </w:p>
        </w:tc>
        <w:tc>
          <w:tcPr>
            <w:tcW w:w="575" w:type="pct"/>
            <w:vMerge w:val="restar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m</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m</w:t>
            </w:r>
          </w:p>
        </w:tc>
        <w:tc>
          <w:tcPr>
            <w:tcW w:w="575"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(μg/m³)</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w:t>
            </w:r>
          </w:p>
        </w:tc>
        <w:tc>
          <w:tcPr>
            <w:tcW w:w="575"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restar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PM</w:t>
            </w:r>
            <w:r>
              <w:rPr>
                <w:rFonts w:hint="default" w:ascii="Times New Roman" w:hAnsi="Times New Roman" w:eastAsia="宋体" w:cs="Times New Roman"/>
                <w:b w:val="0"/>
                <w:sz w:val="21"/>
                <w:szCs w:val="21"/>
                <w:vertAlign w:val="subscript"/>
                <w:lang w:eastAsia="zh-CN"/>
              </w:rPr>
              <w:t>10</w:t>
            </w: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滨江学校</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726</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-24</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0.03</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0.04</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大鼓山</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2,051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-9</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滨江村</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361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-280</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0.07</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0.11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吴家垄</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1,083</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-371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0.02</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胥芦畈</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2,185</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-241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0.00</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橙子岭</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1,878</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-526</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芦家屋场</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1,156</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-544</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0.02</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汪家二房</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2,135</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-968</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乌石矶</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100</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-1,103</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0.11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0.16</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中屋沙咀</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682</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-1,254</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0.03</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0.05</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桑泥湖</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1,789</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-1,221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许家高墩</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-1,583</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1,791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0.03</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0.05</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屋沙咀</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868</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-1,560</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0.03</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0.04</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白鹭中学</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-1,567</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2,172</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0.03</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0.04</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七房</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186</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314</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0.16</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0.23</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六屋</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1,124</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1,470</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0.03</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0.04</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道仁矶中学</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1,774</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1,030</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0.02</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高粱咀</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2,017</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1,515</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0.02</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新建</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2,411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1,497</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胡家垄</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2,142</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1,121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北斗坡</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2,272</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800</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胡彭家</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2,285</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523</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郑家祠堂</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1,025</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198</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0.02</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0.03</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区域最大值</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-400</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-100</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13.42</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19.17</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bl>
    <w:p>
      <w:pPr>
        <w:spacing w:line="360" w:lineRule="auto"/>
        <w:ind w:firstLine="480" w:firstLineChars="200"/>
        <w:rPr>
          <w:rFonts w:hint="default" w:ascii="Times New Roman" w:hAnsi="Times New Roman" w:eastAsia="宋体" w:cs="Times New Roman"/>
          <w:b w:val="0"/>
          <w:sz w:val="24"/>
          <w:lang w:eastAsia="zh-CN"/>
        </w:rPr>
      </w:pPr>
      <w:r>
        <w:rPr>
          <w:rFonts w:hint="default" w:ascii="Times New Roman" w:hAnsi="Times New Roman" w:eastAsia="宋体" w:cs="Times New Roman"/>
          <w:b w:val="0"/>
          <w:sz w:val="24"/>
          <w:lang w:eastAsia="zh-CN"/>
        </w:rPr>
        <w:t>污染源排放的PM</w:t>
      </w:r>
      <w:r>
        <w:rPr>
          <w:rFonts w:hint="default" w:ascii="Times New Roman" w:hAnsi="Times New Roman" w:eastAsia="宋体" w:cs="Times New Roman"/>
          <w:b w:val="0"/>
          <w:sz w:val="24"/>
          <w:vertAlign w:val="subscript"/>
          <w:lang w:eastAsia="zh-CN"/>
        </w:rPr>
        <w:t>10</w:t>
      </w:r>
      <w:r>
        <w:rPr>
          <w:rFonts w:hint="default" w:ascii="Times New Roman" w:hAnsi="Times New Roman" w:eastAsia="宋体" w:cs="Times New Roman"/>
          <w:b w:val="0"/>
          <w:sz w:val="24"/>
          <w:lang w:eastAsia="zh-CN"/>
        </w:rPr>
        <w:t>对评价区域内各环境敏感点的24小时平均浓度贡献值范围在0.17μg/m³～2.55μg/m³之间，占标率为0.11%～1.70%之间，各敏感点24小时平均浓度贡献值均达标；区域最大地面浓度点贡献值为34.26μg/m³，占标率为22.84%，均达标。</w:t>
      </w:r>
    </w:p>
    <w:p>
      <w:pPr>
        <w:spacing w:line="360" w:lineRule="auto"/>
        <w:ind w:firstLine="480" w:firstLineChars="200"/>
        <w:rPr>
          <w:rFonts w:hint="default" w:ascii="Times New Roman" w:hAnsi="Times New Roman" w:eastAsia="宋体" w:cs="Times New Roman"/>
          <w:b w:val="0"/>
          <w:sz w:val="24"/>
          <w:lang w:eastAsia="zh-CN"/>
        </w:rPr>
      </w:pPr>
      <w:r>
        <w:rPr>
          <w:rFonts w:hint="default" w:ascii="Times New Roman" w:hAnsi="Times New Roman" w:eastAsia="宋体" w:cs="Times New Roman"/>
          <w:b w:val="0"/>
          <w:sz w:val="24"/>
          <w:lang w:eastAsia="zh-CN"/>
        </w:rPr>
        <w:t>污染源排放的PM</w:t>
      </w:r>
      <w:r>
        <w:rPr>
          <w:rFonts w:hint="default" w:ascii="Times New Roman" w:hAnsi="Times New Roman" w:eastAsia="宋体" w:cs="Times New Roman"/>
          <w:b w:val="0"/>
          <w:sz w:val="24"/>
          <w:vertAlign w:val="subscript"/>
          <w:lang w:eastAsia="zh-CN"/>
        </w:rPr>
        <w:t>10</w:t>
      </w:r>
      <w:r>
        <w:rPr>
          <w:rFonts w:hint="default" w:ascii="Times New Roman" w:hAnsi="Times New Roman" w:eastAsia="宋体" w:cs="Times New Roman"/>
          <w:b w:val="0"/>
          <w:sz w:val="24"/>
          <w:lang w:eastAsia="zh-CN"/>
        </w:rPr>
        <w:t>对评价区域内各环境敏感点的年平均浓度贡献值范围在0.00μg/m³～0.16μg/m³之间，占标率为0.01%～0.23%之间，各敏感点年平均浓度贡献值均达标；区域最大地面浓度点贡献值为13.42μg/m³，占标率为19.17%，均达标。</w:t>
      </w:r>
    </w:p>
    <w:p>
      <w:pPr>
        <w:ind w:firstLine="480"/>
      </w:pPr>
      <w:r>
        <w:rPr>
          <w:rFonts w:hint="eastAsia"/>
        </w:rPr>
        <w:t>评价范围内敏感点、网格点进行影响预测分析发现：项目敏感点</w:t>
      </w:r>
      <w:r>
        <w:rPr>
          <w:rFonts w:hint="default" w:ascii="Times New Roman" w:hAnsi="Times New Roman" w:eastAsia="宋体" w:cs="Times New Roman"/>
          <w:b w:val="0"/>
          <w:sz w:val="24"/>
          <w:lang w:eastAsia="zh-CN"/>
        </w:rPr>
        <w:t>PM</w:t>
      </w:r>
      <w:r>
        <w:rPr>
          <w:rFonts w:hint="default" w:ascii="Times New Roman" w:hAnsi="Times New Roman" w:eastAsia="宋体" w:cs="Times New Roman"/>
          <w:b w:val="0"/>
          <w:sz w:val="24"/>
          <w:vertAlign w:val="subscript"/>
          <w:lang w:eastAsia="zh-CN"/>
        </w:rPr>
        <w:t>10</w:t>
      </w:r>
      <w:r>
        <w:rPr>
          <w:rFonts w:hint="eastAsia"/>
        </w:rPr>
        <w:t>的短期浓度贡献值的最大浓度占标率≤100%，年均浓度贡献值的最大浓度占标率≤30%。</w:t>
      </w:r>
    </w:p>
    <w:p>
      <w:pPr>
        <w:pStyle w:val="208"/>
        <w:rPr>
          <w:rFonts w:hint="default" w:ascii="Times New Roman" w:hAnsi="Times New Roman" w:cs="Times New Roman"/>
          <w:vertAlign w:val="baseline"/>
          <w:lang w:val="en-US" w:eastAsia="zh-CN"/>
        </w:rPr>
      </w:pPr>
      <w:r>
        <w:rPr>
          <w:rFonts w:hint="eastAsia" w:ascii="Times New Roman" w:hAnsi="Times New Roman" w:cs="Times New Roman"/>
          <w:lang w:val="en-US" w:eastAsia="zh-CN"/>
        </w:rPr>
        <w:t>3）PM</w:t>
      </w:r>
      <w:r>
        <w:rPr>
          <w:rFonts w:hint="eastAsia" w:ascii="Times New Roman" w:hAnsi="Times New Roman" w:cs="Times New Roman"/>
          <w:vertAlign w:val="subscript"/>
          <w:lang w:val="en-US" w:eastAsia="zh-CN"/>
        </w:rPr>
        <w:t>2.5</w:t>
      </w:r>
    </w:p>
    <w:p>
      <w:pPr>
        <w:pStyle w:val="3586"/>
        <w:ind w:left="0"/>
      </w:pPr>
      <w:r>
        <w:rPr>
          <w:rFonts w:hint="eastAsia"/>
        </w:rPr>
        <w:t>正常排放</w:t>
      </w:r>
      <w:r>
        <w:rPr>
          <w:rFonts w:hint="eastAsia"/>
          <w:lang w:val="en-US" w:eastAsia="zh-CN"/>
        </w:rPr>
        <w:t>PM</w:t>
      </w:r>
      <w:r>
        <w:rPr>
          <w:rFonts w:hint="eastAsia"/>
          <w:vertAlign w:val="subscript"/>
          <w:lang w:val="en-US" w:eastAsia="zh-CN"/>
        </w:rPr>
        <w:t>2.5</w:t>
      </w:r>
      <w:r>
        <w:rPr>
          <w:rFonts w:hint="eastAsia"/>
          <w:vertAlign w:val="baseline"/>
          <w:lang w:val="en-US" w:eastAsia="zh-CN"/>
        </w:rPr>
        <w:t>24小时</w:t>
      </w:r>
      <w:r>
        <w:rPr>
          <w:rFonts w:hint="eastAsia"/>
        </w:rPr>
        <w:t>贡献值浓度</w:t>
      </w:r>
      <w:r>
        <w:rPr>
          <w:rFonts w:hint="eastAsia"/>
          <w:lang w:val="en-US" w:eastAsia="zh-CN"/>
        </w:rPr>
        <w:t>预测结果</w:t>
      </w:r>
      <w:r>
        <w:rPr>
          <w:rFonts w:hint="eastAsia"/>
        </w:rPr>
        <w:t>一览表</w:t>
      </w:r>
    </w:p>
    <w:tbl>
      <w:tblPr>
        <w:tblStyle w:val="88"/>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57"/>
        <w:gridCol w:w="857"/>
        <w:gridCol w:w="859"/>
        <w:gridCol w:w="859"/>
        <w:gridCol w:w="857"/>
        <w:gridCol w:w="1452"/>
        <w:gridCol w:w="1634"/>
        <w:gridCol w:w="860"/>
        <w:gridCol w:w="86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restar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污染物</w:t>
            </w:r>
          </w:p>
        </w:tc>
        <w:tc>
          <w:tcPr>
            <w:tcW w:w="471" w:type="pct"/>
            <w:vMerge w:val="restart"/>
            <w:tcBorders>
              <w:tl2br w:val="nil"/>
              <w:tr2bl w:val="nil"/>
            </w:tcBorders>
            <w:vAlign w:val="center"/>
          </w:tcPr>
          <w:p>
            <w:pPr>
              <w:pStyle w:val="2057"/>
              <w:tabs>
                <w:tab w:val="left" w:pos="480"/>
              </w:tabs>
              <w:spacing w:afterLines="0"/>
              <w:ind w:firstLine="0" w:firstLineChars="0"/>
              <w:jc w:val="center"/>
              <w:rPr>
                <w:b/>
                <w:bCs w:val="0"/>
                <w:sz w:val="21"/>
                <w:szCs w:val="21"/>
              </w:rPr>
            </w:pPr>
            <w:r>
              <w:rPr>
                <w:rFonts w:hint="eastAsia"/>
                <w:b/>
                <w:bCs w:val="0"/>
                <w:sz w:val="21"/>
                <w:szCs w:val="21"/>
              </w:rPr>
              <w:t>预测点</w:t>
            </w:r>
          </w:p>
        </w:tc>
        <w:tc>
          <w:tcPr>
            <w:tcW w:w="472" w:type="pct"/>
            <w:tcBorders>
              <w:tl2br w:val="nil"/>
              <w:tr2bl w:val="nil"/>
            </w:tcBorders>
            <w:vAlign w:val="center"/>
          </w:tcPr>
          <w:p>
            <w:pPr>
              <w:pStyle w:val="2057"/>
              <w:tabs>
                <w:tab w:val="left" w:pos="480"/>
              </w:tabs>
              <w:spacing w:afterLines="0"/>
              <w:ind w:firstLine="0" w:firstLineChars="0"/>
              <w:jc w:val="center"/>
              <w:rPr>
                <w:b/>
                <w:bCs w:val="0"/>
                <w:sz w:val="21"/>
                <w:szCs w:val="21"/>
              </w:rPr>
            </w:pPr>
            <w:r>
              <w:rPr>
                <w:b/>
                <w:bCs w:val="0"/>
                <w:sz w:val="21"/>
                <w:szCs w:val="21"/>
              </w:rPr>
              <w:t>X/</w:t>
            </w:r>
          </w:p>
        </w:tc>
        <w:tc>
          <w:tcPr>
            <w:tcW w:w="472" w:type="pct"/>
            <w:tcBorders>
              <w:tl2br w:val="nil"/>
              <w:tr2bl w:val="nil"/>
            </w:tcBorders>
            <w:vAlign w:val="center"/>
          </w:tcPr>
          <w:p>
            <w:pPr>
              <w:pStyle w:val="2057"/>
              <w:tabs>
                <w:tab w:val="left" w:pos="480"/>
              </w:tabs>
              <w:spacing w:afterLines="0"/>
              <w:ind w:firstLine="0" w:firstLineChars="0"/>
              <w:jc w:val="center"/>
              <w:rPr>
                <w:b/>
                <w:bCs w:val="0"/>
                <w:sz w:val="21"/>
                <w:szCs w:val="21"/>
              </w:rPr>
            </w:pPr>
            <w:r>
              <w:rPr>
                <w:b/>
                <w:bCs w:val="0"/>
                <w:sz w:val="21"/>
                <w:szCs w:val="21"/>
              </w:rPr>
              <w:t>Y/</w:t>
            </w:r>
          </w:p>
        </w:tc>
        <w:tc>
          <w:tcPr>
            <w:tcW w:w="471" w:type="pct"/>
            <w:vMerge w:val="restart"/>
            <w:tcBorders>
              <w:tl2br w:val="nil"/>
              <w:tr2bl w:val="nil"/>
            </w:tcBorders>
            <w:vAlign w:val="center"/>
          </w:tcPr>
          <w:p>
            <w:pPr>
              <w:pStyle w:val="2057"/>
              <w:tabs>
                <w:tab w:val="left" w:pos="480"/>
              </w:tabs>
              <w:spacing w:afterLines="0"/>
              <w:ind w:firstLine="0" w:firstLineChars="0"/>
              <w:jc w:val="center"/>
              <w:rPr>
                <w:b/>
                <w:bCs w:val="0"/>
                <w:sz w:val="21"/>
                <w:szCs w:val="21"/>
              </w:rPr>
            </w:pPr>
            <w:r>
              <w:rPr>
                <w:rFonts w:hint="eastAsia"/>
                <w:b/>
                <w:bCs w:val="0"/>
                <w:sz w:val="21"/>
                <w:szCs w:val="21"/>
              </w:rPr>
              <w:t>平均</w:t>
            </w:r>
          </w:p>
          <w:p>
            <w:pPr>
              <w:pStyle w:val="2057"/>
              <w:tabs>
                <w:tab w:val="left" w:pos="480"/>
              </w:tabs>
              <w:spacing w:afterLines="0"/>
              <w:ind w:firstLine="0" w:firstLineChars="0"/>
              <w:jc w:val="center"/>
              <w:rPr>
                <w:b/>
                <w:bCs w:val="0"/>
                <w:sz w:val="21"/>
                <w:szCs w:val="21"/>
              </w:rPr>
            </w:pPr>
            <w:r>
              <w:rPr>
                <w:rFonts w:hint="eastAsia"/>
                <w:b/>
                <w:bCs w:val="0"/>
                <w:sz w:val="21"/>
                <w:szCs w:val="21"/>
              </w:rPr>
              <w:t>时段</w:t>
            </w:r>
          </w:p>
        </w:tc>
        <w:tc>
          <w:tcPr>
            <w:tcW w:w="798" w:type="pct"/>
            <w:tcBorders>
              <w:tl2br w:val="nil"/>
              <w:tr2bl w:val="nil"/>
            </w:tcBorders>
            <w:vAlign w:val="center"/>
          </w:tcPr>
          <w:p>
            <w:pPr>
              <w:pStyle w:val="2057"/>
              <w:tabs>
                <w:tab w:val="left" w:pos="480"/>
              </w:tabs>
              <w:spacing w:afterLines="0"/>
              <w:ind w:firstLine="0" w:firstLineChars="0"/>
              <w:jc w:val="center"/>
              <w:rPr>
                <w:b/>
                <w:bCs w:val="0"/>
                <w:sz w:val="21"/>
                <w:szCs w:val="21"/>
              </w:rPr>
            </w:pPr>
            <w:r>
              <w:rPr>
                <w:rFonts w:hint="eastAsia"/>
                <w:b/>
                <w:bCs w:val="0"/>
                <w:sz w:val="21"/>
                <w:szCs w:val="21"/>
              </w:rPr>
              <w:t>最大贡献值/</w:t>
            </w:r>
          </w:p>
        </w:tc>
        <w:tc>
          <w:tcPr>
            <w:tcW w:w="898" w:type="pct"/>
            <w:vMerge w:val="restart"/>
            <w:tcBorders>
              <w:tl2br w:val="nil"/>
              <w:tr2bl w:val="nil"/>
            </w:tcBorders>
            <w:vAlign w:val="center"/>
          </w:tcPr>
          <w:p>
            <w:pPr>
              <w:pStyle w:val="2057"/>
              <w:tabs>
                <w:tab w:val="left" w:pos="480"/>
              </w:tabs>
              <w:spacing w:afterLines="0"/>
              <w:ind w:firstLine="0" w:firstLineChars="0"/>
              <w:jc w:val="center"/>
              <w:rPr>
                <w:b/>
                <w:bCs w:val="0"/>
                <w:sz w:val="21"/>
                <w:szCs w:val="21"/>
              </w:rPr>
            </w:pPr>
            <w:r>
              <w:rPr>
                <w:rFonts w:hint="eastAsia"/>
                <w:b/>
                <w:bCs w:val="0"/>
                <w:sz w:val="21"/>
                <w:szCs w:val="21"/>
              </w:rPr>
              <w:t>出现时间</w:t>
            </w:r>
          </w:p>
        </w:tc>
        <w:tc>
          <w:tcPr>
            <w:tcW w:w="472" w:type="pct"/>
            <w:tcBorders>
              <w:tl2br w:val="nil"/>
              <w:tr2bl w:val="nil"/>
            </w:tcBorders>
            <w:vAlign w:val="center"/>
          </w:tcPr>
          <w:p>
            <w:pPr>
              <w:pStyle w:val="2057"/>
              <w:tabs>
                <w:tab w:val="left" w:pos="480"/>
              </w:tabs>
              <w:spacing w:afterLines="0"/>
              <w:ind w:firstLine="0" w:firstLineChars="0"/>
              <w:jc w:val="center"/>
              <w:rPr>
                <w:b/>
                <w:bCs w:val="0"/>
                <w:sz w:val="21"/>
                <w:szCs w:val="21"/>
              </w:rPr>
            </w:pPr>
            <w:r>
              <w:rPr>
                <w:rFonts w:hint="eastAsia"/>
                <w:b/>
                <w:bCs w:val="0"/>
                <w:sz w:val="21"/>
                <w:szCs w:val="21"/>
              </w:rPr>
              <w:t>占标率/</w:t>
            </w:r>
          </w:p>
        </w:tc>
        <w:tc>
          <w:tcPr>
            <w:tcW w:w="472" w:type="pct"/>
            <w:vMerge w:val="restart"/>
            <w:tcBorders>
              <w:tl2br w:val="nil"/>
              <w:tr2bl w:val="nil"/>
            </w:tcBorders>
            <w:vAlign w:val="center"/>
          </w:tcPr>
          <w:p>
            <w:pPr>
              <w:pStyle w:val="2057"/>
              <w:tabs>
                <w:tab w:val="left" w:pos="480"/>
              </w:tabs>
              <w:spacing w:afterLines="0"/>
              <w:ind w:firstLine="0" w:firstLineChars="0"/>
              <w:jc w:val="center"/>
              <w:rPr>
                <w:b/>
                <w:bCs w:val="0"/>
                <w:sz w:val="21"/>
                <w:szCs w:val="21"/>
              </w:rPr>
            </w:pPr>
            <w:r>
              <w:rPr>
                <w:rFonts w:hint="eastAsia"/>
                <w:b/>
                <w:bCs w:val="0"/>
                <w:sz w:val="21"/>
                <w:szCs w:val="21"/>
              </w:rPr>
              <w:t>达标</w:t>
            </w:r>
          </w:p>
          <w:p>
            <w:pPr>
              <w:pStyle w:val="2057"/>
              <w:tabs>
                <w:tab w:val="left" w:pos="480"/>
              </w:tabs>
              <w:spacing w:afterLines="0"/>
              <w:ind w:firstLine="0" w:firstLineChars="0"/>
              <w:jc w:val="center"/>
              <w:rPr>
                <w:b/>
                <w:bCs w:val="0"/>
                <w:sz w:val="21"/>
                <w:szCs w:val="21"/>
              </w:rPr>
            </w:pPr>
            <w:r>
              <w:rPr>
                <w:rFonts w:hint="eastAsia"/>
                <w:b/>
                <w:bCs w:val="0"/>
                <w:sz w:val="21"/>
                <w:szCs w:val="21"/>
              </w:rPr>
              <w:t>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sz w:val="21"/>
                <w:szCs w:val="21"/>
              </w:rPr>
            </w:pPr>
          </w:p>
        </w:tc>
        <w:tc>
          <w:tcPr>
            <w:tcW w:w="471" w:type="pct"/>
            <w:vMerge w:val="continue"/>
            <w:tcBorders>
              <w:bottom w:val="single" w:color="auto" w:sz="12" w:space="0"/>
              <w:tl2br w:val="nil"/>
              <w:tr2bl w:val="nil"/>
            </w:tcBorders>
            <w:vAlign w:val="center"/>
          </w:tcPr>
          <w:p>
            <w:pPr>
              <w:pStyle w:val="2057"/>
              <w:tabs>
                <w:tab w:val="left" w:pos="480"/>
              </w:tabs>
              <w:spacing w:afterLines="0"/>
              <w:ind w:firstLine="0" w:firstLineChars="0"/>
              <w:jc w:val="center"/>
              <w:rPr>
                <w:sz w:val="21"/>
                <w:szCs w:val="21"/>
              </w:rPr>
            </w:pPr>
          </w:p>
        </w:tc>
        <w:tc>
          <w:tcPr>
            <w:tcW w:w="472" w:type="pct"/>
            <w:tcBorders>
              <w:bottom w:val="single" w:color="auto" w:sz="12" w:space="0"/>
              <w:tl2br w:val="nil"/>
              <w:tr2bl w:val="nil"/>
            </w:tcBorders>
            <w:vAlign w:val="center"/>
          </w:tcPr>
          <w:p>
            <w:pPr>
              <w:pStyle w:val="2057"/>
              <w:tabs>
                <w:tab w:val="left" w:pos="480"/>
              </w:tabs>
              <w:spacing w:afterLines="0"/>
              <w:ind w:firstLine="0" w:firstLineChars="0"/>
              <w:jc w:val="center"/>
              <w:rPr>
                <w:b/>
                <w:bCs w:val="0"/>
                <w:sz w:val="21"/>
                <w:szCs w:val="21"/>
              </w:rPr>
            </w:pPr>
            <w:r>
              <w:rPr>
                <w:b/>
                <w:bCs w:val="0"/>
                <w:sz w:val="21"/>
                <w:szCs w:val="21"/>
              </w:rPr>
              <w:t>m</w:t>
            </w:r>
          </w:p>
        </w:tc>
        <w:tc>
          <w:tcPr>
            <w:tcW w:w="472" w:type="pct"/>
            <w:tcBorders>
              <w:bottom w:val="single" w:color="auto" w:sz="12" w:space="0"/>
              <w:tl2br w:val="nil"/>
              <w:tr2bl w:val="nil"/>
            </w:tcBorders>
            <w:vAlign w:val="center"/>
          </w:tcPr>
          <w:p>
            <w:pPr>
              <w:pStyle w:val="2057"/>
              <w:tabs>
                <w:tab w:val="left" w:pos="480"/>
              </w:tabs>
              <w:spacing w:afterLines="0"/>
              <w:ind w:firstLine="0" w:firstLineChars="0"/>
              <w:jc w:val="center"/>
              <w:rPr>
                <w:b/>
                <w:bCs w:val="0"/>
                <w:sz w:val="21"/>
                <w:szCs w:val="21"/>
              </w:rPr>
            </w:pPr>
            <w:r>
              <w:rPr>
                <w:b/>
                <w:bCs w:val="0"/>
                <w:sz w:val="21"/>
                <w:szCs w:val="21"/>
              </w:rPr>
              <w:t>m</w:t>
            </w:r>
          </w:p>
        </w:tc>
        <w:tc>
          <w:tcPr>
            <w:tcW w:w="471" w:type="pct"/>
            <w:vMerge w:val="continue"/>
            <w:tcBorders>
              <w:bottom w:val="single" w:color="auto" w:sz="12" w:space="0"/>
              <w:tl2br w:val="nil"/>
              <w:tr2bl w:val="nil"/>
            </w:tcBorders>
            <w:vAlign w:val="center"/>
          </w:tcPr>
          <w:p>
            <w:pPr>
              <w:pStyle w:val="2057"/>
              <w:tabs>
                <w:tab w:val="left" w:pos="480"/>
              </w:tabs>
              <w:spacing w:afterLines="0"/>
              <w:ind w:firstLine="0" w:firstLineChars="0"/>
              <w:jc w:val="center"/>
              <w:rPr>
                <w:b/>
                <w:bCs w:val="0"/>
                <w:sz w:val="21"/>
                <w:szCs w:val="21"/>
              </w:rPr>
            </w:pPr>
          </w:p>
        </w:tc>
        <w:tc>
          <w:tcPr>
            <w:tcW w:w="798" w:type="pct"/>
            <w:tcBorders>
              <w:bottom w:val="single" w:color="auto" w:sz="12" w:space="0"/>
              <w:tl2br w:val="nil"/>
              <w:tr2bl w:val="nil"/>
            </w:tcBorders>
            <w:vAlign w:val="center"/>
          </w:tcPr>
          <w:p>
            <w:pPr>
              <w:pStyle w:val="2057"/>
              <w:tabs>
                <w:tab w:val="left" w:pos="480"/>
              </w:tabs>
              <w:spacing w:afterLines="0"/>
              <w:ind w:firstLine="0" w:firstLineChars="0"/>
              <w:jc w:val="center"/>
              <w:rPr>
                <w:b/>
                <w:bCs w:val="0"/>
                <w:sz w:val="21"/>
                <w:szCs w:val="21"/>
              </w:rPr>
            </w:pPr>
            <w:r>
              <w:rPr>
                <w:b/>
                <w:bCs w:val="0"/>
                <w:sz w:val="21"/>
                <w:szCs w:val="21"/>
              </w:rPr>
              <w:t>(μg/m³)</w:t>
            </w:r>
          </w:p>
        </w:tc>
        <w:tc>
          <w:tcPr>
            <w:tcW w:w="898" w:type="pct"/>
            <w:vMerge w:val="continue"/>
            <w:tcBorders>
              <w:bottom w:val="single" w:color="auto" w:sz="12" w:space="0"/>
              <w:tl2br w:val="nil"/>
              <w:tr2bl w:val="nil"/>
            </w:tcBorders>
            <w:vAlign w:val="center"/>
          </w:tcPr>
          <w:p>
            <w:pPr>
              <w:pStyle w:val="2057"/>
              <w:tabs>
                <w:tab w:val="left" w:pos="480"/>
              </w:tabs>
              <w:spacing w:afterLines="0"/>
              <w:ind w:firstLine="0" w:firstLineChars="0"/>
              <w:jc w:val="center"/>
              <w:rPr>
                <w:b/>
                <w:bCs w:val="0"/>
                <w:sz w:val="21"/>
                <w:szCs w:val="21"/>
              </w:rPr>
            </w:pPr>
          </w:p>
        </w:tc>
        <w:tc>
          <w:tcPr>
            <w:tcW w:w="472" w:type="pct"/>
            <w:tcBorders>
              <w:bottom w:val="single" w:color="auto" w:sz="12" w:space="0"/>
              <w:tl2br w:val="nil"/>
              <w:tr2bl w:val="nil"/>
            </w:tcBorders>
            <w:vAlign w:val="center"/>
          </w:tcPr>
          <w:p>
            <w:pPr>
              <w:pStyle w:val="2057"/>
              <w:tabs>
                <w:tab w:val="left" w:pos="480"/>
              </w:tabs>
              <w:spacing w:afterLines="0"/>
              <w:ind w:firstLine="0" w:firstLineChars="0"/>
              <w:jc w:val="center"/>
              <w:rPr>
                <w:b/>
                <w:bCs w:val="0"/>
                <w:sz w:val="21"/>
                <w:szCs w:val="21"/>
              </w:rPr>
            </w:pPr>
            <w:r>
              <w:rPr>
                <w:b/>
                <w:bCs w:val="0"/>
                <w:sz w:val="21"/>
                <w:szCs w:val="21"/>
              </w:rPr>
              <w:t>%</w:t>
            </w:r>
          </w:p>
        </w:tc>
        <w:tc>
          <w:tcPr>
            <w:tcW w:w="472" w:type="pct"/>
            <w:vMerge w:val="continue"/>
            <w:tcBorders>
              <w:bottom w:val="single" w:color="auto" w:sz="12" w:space="0"/>
              <w:tl2br w:val="nil"/>
              <w:tr2bl w:val="nil"/>
            </w:tcBorders>
            <w:vAlign w:val="center"/>
          </w:tcPr>
          <w:p>
            <w:pPr>
              <w:pStyle w:val="2057"/>
              <w:tabs>
                <w:tab w:val="left" w:pos="480"/>
              </w:tabs>
              <w:spacing w:afterLines="0"/>
              <w:ind w:firstLine="0" w:firstLineChars="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restar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PM</w:t>
            </w:r>
            <w:r>
              <w:rPr>
                <w:rFonts w:hint="eastAsia" w:ascii="Times New Roman" w:hAnsi="Times New Roman" w:cs="Times New Roman"/>
                <w:sz w:val="21"/>
                <w:szCs w:val="21"/>
                <w:vertAlign w:val="subscript"/>
                <w:lang w:val="en-US" w:eastAsia="zh-CN"/>
              </w:rPr>
              <w:t>2.5</w:t>
            </w:r>
          </w:p>
        </w:tc>
        <w:tc>
          <w:tcPr>
            <w:tcW w:w="471" w:type="pct"/>
            <w:tcBorders>
              <w:top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滨江学校</w:t>
            </w:r>
          </w:p>
        </w:tc>
        <w:tc>
          <w:tcPr>
            <w:tcW w:w="472" w:type="pct"/>
            <w:tcBorders>
              <w:top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726</w:t>
            </w:r>
          </w:p>
        </w:tc>
        <w:tc>
          <w:tcPr>
            <w:tcW w:w="472" w:type="pct"/>
            <w:tcBorders>
              <w:top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w:t>
            </w:r>
          </w:p>
        </w:tc>
        <w:tc>
          <w:tcPr>
            <w:tcW w:w="471" w:type="pct"/>
            <w:tcBorders>
              <w:top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op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0.20</w:t>
            </w:r>
          </w:p>
        </w:tc>
        <w:tc>
          <w:tcPr>
            <w:tcW w:w="898" w:type="pct"/>
            <w:tcBorders>
              <w:top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2021/06/06</w:t>
            </w:r>
          </w:p>
        </w:tc>
        <w:tc>
          <w:tcPr>
            <w:tcW w:w="860" w:type="dxa"/>
            <w:tcBorders>
              <w:top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0.27</w:t>
            </w:r>
          </w:p>
        </w:tc>
        <w:tc>
          <w:tcPr>
            <w:tcW w:w="472" w:type="pct"/>
            <w:tcBorders>
              <w:top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大鼓山</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2,051</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-9</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0.06</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2021/06/29</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0.07</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滨江村</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361</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-280</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0.43</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2021/06/21</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0.58</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吴家垄</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1,083</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-371</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0.14</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2021/12/21</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0.19</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胥芦畈</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2,185</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-241</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0.05</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2021/11/30</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0.06</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橙子岭</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1,878</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-526</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0.07</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2021/11/30</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0.09</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芦家屋场</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1,156</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-544</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0.16</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2021/12/21</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0.21</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汪家二房</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2,135</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-968</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0.10</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2021/12/21</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0.13</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乌石矶</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100</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-1,103</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0.43</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2021/12/05</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0.57</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中屋沙咀</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682</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-1,254</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0.23</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2021/08/09</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0.30</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桑泥湖</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1,789</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-1,221</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0.11</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2021/06/21</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0.15</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许家高墩</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-1,583</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1,791</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0.25</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2021/06/02</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0.33</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屋沙咀</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868</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-1,560</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0.20</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2021/08/09</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0.26</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白鹭中学</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-1,567</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2,172</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0.12</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2021/06/02</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0.16</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七房</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186</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314</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0.61</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2021/12/31</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0.82</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六屋</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1,124</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1,470</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0.32</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2021/12/31</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0.43</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道仁矶中学</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1,774</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1,030</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0.14</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2021/12/22</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0.18</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高粱咀</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2,017</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1,515</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0.12</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2021/02/14</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0.16</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新建</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2,411</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1,497</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0.10</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2021/12/22</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0.13</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胡家垄</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2,142</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1,121</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0.09</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2021/12/22</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0.12</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北斗坡</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2,272</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800</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0.13</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2021/06/06</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0.18</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胡彭家</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2,285</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523</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0.17</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2021/06/06</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0.23</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郑家祠堂</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1,025</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198</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0.25</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2021/06/06</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0.33</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71" w:type="pct"/>
            <w:vMerge w:val="continue"/>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区域最大值</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-300</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100</w:t>
            </w:r>
          </w:p>
        </w:tc>
        <w:tc>
          <w:tcPr>
            <w:tcW w:w="471"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24小时</w:t>
            </w:r>
          </w:p>
        </w:tc>
        <w:tc>
          <w:tcPr>
            <w:tcW w:w="1452"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8.53</w:t>
            </w:r>
          </w:p>
        </w:tc>
        <w:tc>
          <w:tcPr>
            <w:tcW w:w="898"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ascii="Times New Roman" w:hAnsi="Times New Roman" w:cs="Times New Roman"/>
                <w:sz w:val="21"/>
                <w:szCs w:val="21"/>
              </w:rPr>
              <w:t>2021/12/31</w:t>
            </w:r>
          </w:p>
        </w:tc>
        <w:tc>
          <w:tcPr>
            <w:tcW w:w="860" w:type="dxa"/>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11.37</w:t>
            </w:r>
          </w:p>
        </w:tc>
        <w:tc>
          <w:tcPr>
            <w:tcW w:w="472" w:type="pct"/>
            <w:tcBorders>
              <w:tl2br w:val="nil"/>
              <w:tr2bl w:val="nil"/>
            </w:tcBorders>
            <w:vAlign w:val="center"/>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rPr>
              <w:t>达标</w:t>
            </w:r>
          </w:p>
        </w:tc>
      </w:tr>
    </w:tbl>
    <w:p>
      <w:pPr>
        <w:pStyle w:val="3586"/>
        <w:ind w:left="0"/>
        <w:rPr>
          <w:rFonts w:hint="eastAsia" w:ascii="Times New Roman" w:hAnsi="Times New Roman" w:cs="Times New Roman"/>
        </w:rPr>
      </w:pPr>
      <w:r>
        <w:rPr>
          <w:rFonts w:hint="default" w:ascii="Times New Roman" w:hAnsi="Times New Roman" w:cs="Times New Roman"/>
        </w:rPr>
        <w:t>正常排放</w:t>
      </w:r>
      <w:r>
        <w:rPr>
          <w:rFonts w:hint="default" w:ascii="Times New Roman" w:hAnsi="Times New Roman" w:cs="Times New Roman"/>
          <w:lang w:val="en-US" w:eastAsia="zh-CN"/>
        </w:rPr>
        <w:t>PM</w:t>
      </w:r>
      <w:r>
        <w:rPr>
          <w:rFonts w:hint="eastAsia" w:ascii="Times New Roman" w:hAnsi="Times New Roman" w:cs="Times New Roman"/>
          <w:vertAlign w:val="subscript"/>
          <w:lang w:val="en-US" w:eastAsia="zh-CN"/>
        </w:rPr>
        <w:t>2.5</w:t>
      </w:r>
      <w:r>
        <w:rPr>
          <w:rFonts w:hint="default" w:ascii="Times New Roman" w:hAnsi="Times New Roman" w:cs="Times New Roman"/>
        </w:rPr>
        <w:t>年平均贡献值浓度</w:t>
      </w:r>
      <w:r>
        <w:rPr>
          <w:rFonts w:hint="eastAsia" w:ascii="Times New Roman" w:hAnsi="Times New Roman" w:cs="Times New Roman"/>
          <w:lang w:val="en-US" w:eastAsia="zh-CN"/>
        </w:rPr>
        <w:t>预测结果</w:t>
      </w:r>
      <w:r>
        <w:rPr>
          <w:rFonts w:hint="default" w:ascii="Times New Roman" w:hAnsi="Times New Roman" w:cs="Times New Roman"/>
        </w:rPr>
        <w:t>一览表</w:t>
      </w:r>
    </w:p>
    <w:tbl>
      <w:tblPr>
        <w:tblStyle w:val="88"/>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044"/>
        <w:gridCol w:w="1182"/>
        <w:gridCol w:w="910"/>
        <w:gridCol w:w="1047"/>
        <w:gridCol w:w="1047"/>
        <w:gridCol w:w="1769"/>
        <w:gridCol w:w="1047"/>
        <w:gridCol w:w="10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restar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污染物</w:t>
            </w:r>
          </w:p>
        </w:tc>
        <w:tc>
          <w:tcPr>
            <w:tcW w:w="650" w:type="pct"/>
            <w:vMerge w:val="restar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预测点</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X/</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Y/</w:t>
            </w:r>
          </w:p>
        </w:tc>
        <w:tc>
          <w:tcPr>
            <w:tcW w:w="575" w:type="pct"/>
            <w:vMerge w:val="restar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平均</w:t>
            </w:r>
          </w:p>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时段</w:t>
            </w: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最大贡献值/</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占标率/</w:t>
            </w:r>
          </w:p>
        </w:tc>
        <w:tc>
          <w:tcPr>
            <w:tcW w:w="575" w:type="pct"/>
            <w:vMerge w:val="restar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m</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m</w:t>
            </w:r>
          </w:p>
        </w:tc>
        <w:tc>
          <w:tcPr>
            <w:tcW w:w="575"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972"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(μg/m³)</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w:t>
            </w:r>
          </w:p>
        </w:tc>
        <w:tc>
          <w:tcPr>
            <w:tcW w:w="575"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restar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eastAsia" w:ascii="Times New Roman" w:hAnsi="Times New Roman" w:cs="Times New Roman"/>
                <w:sz w:val="21"/>
                <w:szCs w:val="21"/>
                <w:lang w:val="en-US" w:eastAsia="zh-CN"/>
              </w:rPr>
              <w:t>PM</w:t>
            </w:r>
            <w:r>
              <w:rPr>
                <w:rFonts w:hint="eastAsia" w:ascii="Times New Roman" w:hAnsi="Times New Roman" w:cs="Times New Roman"/>
                <w:sz w:val="21"/>
                <w:szCs w:val="21"/>
                <w:vertAlign w:val="subscript"/>
                <w:lang w:val="en-US" w:eastAsia="zh-CN"/>
              </w:rPr>
              <w:t>2.5</w:t>
            </w: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滨江学校</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726</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-24</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0.02</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大鼓山</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2,051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-9</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滨江村</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361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-280</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0.02</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0.05</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吴家垄</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1,083</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-371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胥芦畈</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2,185</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-241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橙子岭</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1,878</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-526</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芦家屋场</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1,156</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-544</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汪家二房</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2,135</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-968</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乌石矶</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100</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-1,103</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0.03</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0.07</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中屋沙咀</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682</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-1,254</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0.02</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桑泥湖</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1,789</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-1,221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许家高墩</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-1,583</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1,791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0.03</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屋沙咀</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868</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-1,560</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0.02</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白鹭中学</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-1,567</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2,172</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0.02</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七房</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186</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314</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0.04</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0.10</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六屋</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1,124</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1,470</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0.02</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道仁矶中学</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1,774</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1,030</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高粱咀</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2,017</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1,515</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新建</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2,411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1,497</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胡家垄</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2,142</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1,121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北斗坡</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2,272</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800</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胡彭家</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2,285</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523</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郑家祠堂</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1,025</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198</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vMerge w:val="continue"/>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区域最大值</w:t>
            </w: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-400</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-100</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年均</w:t>
            </w: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3.34</w:t>
            </w: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9.53</w:t>
            </w: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74"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65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500"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c>
          <w:tcPr>
            <w:tcW w:w="176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p>
        </w:tc>
        <w:tc>
          <w:tcPr>
            <w:tcW w:w="1043" w:type="dxa"/>
            <w:tcBorders>
              <w:tl2br w:val="nil"/>
              <w:tr2bl w:val="nil"/>
            </w:tcBorders>
            <w:vAlign w:val="top"/>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p>
        </w:tc>
        <w:tc>
          <w:tcPr>
            <w:tcW w:w="575" w:type="pct"/>
            <w:tcBorders>
              <w:tl2br w:val="nil"/>
              <w:tr2bl w:val="nil"/>
            </w:tcBorders>
            <w:vAlign w:val="center"/>
          </w:tcPr>
          <w:p>
            <w:pPr>
              <w:pStyle w:val="2057"/>
              <w:tabs>
                <w:tab w:val="left" w:pos="480"/>
              </w:tabs>
              <w:spacing w:afterLines="0"/>
              <w:ind w:firstLine="0" w:firstLineChars="0"/>
              <w:rPr>
                <w:rFonts w:hint="default" w:ascii="Times New Roman" w:hAnsi="Times New Roman" w:eastAsia="宋体" w:cs="Times New Roman"/>
                <w:b w:val="0"/>
                <w:sz w:val="21"/>
                <w:szCs w:val="21"/>
                <w:vertAlign w:val="baseline"/>
                <w:lang w:eastAsia="zh-CN"/>
              </w:rPr>
            </w:pPr>
          </w:p>
        </w:tc>
      </w:tr>
    </w:tbl>
    <w:p>
      <w:pPr>
        <w:spacing w:line="360" w:lineRule="auto"/>
        <w:ind w:firstLine="480" w:firstLineChars="200"/>
        <w:rPr>
          <w:rFonts w:hint="default" w:ascii="Times New Roman" w:hAnsi="Times New Roman" w:eastAsia="宋体" w:cs="Times New Roman"/>
          <w:b w:val="0"/>
          <w:sz w:val="24"/>
          <w:szCs w:val="24"/>
          <w:lang w:eastAsia="zh-CN"/>
        </w:rPr>
      </w:pPr>
      <w:r>
        <w:rPr>
          <w:rFonts w:hint="default" w:ascii="Times New Roman" w:hAnsi="Times New Roman" w:eastAsia="宋体" w:cs="Times New Roman"/>
          <w:b w:val="0"/>
          <w:sz w:val="24"/>
          <w:szCs w:val="24"/>
          <w:lang w:eastAsia="zh-CN"/>
        </w:rPr>
        <w:t>新增污染源正常排放PM</w:t>
      </w:r>
      <w:r>
        <w:rPr>
          <w:rFonts w:hint="default" w:ascii="Times New Roman" w:hAnsi="Times New Roman" w:eastAsia="宋体" w:cs="Times New Roman"/>
          <w:b w:val="0"/>
          <w:sz w:val="24"/>
          <w:szCs w:val="24"/>
          <w:vertAlign w:val="subscript"/>
          <w:lang w:eastAsia="zh-CN"/>
        </w:rPr>
        <w:t>2.5</w:t>
      </w:r>
      <w:r>
        <w:rPr>
          <w:rFonts w:hint="default" w:ascii="Times New Roman" w:hAnsi="Times New Roman" w:eastAsia="宋体" w:cs="Times New Roman"/>
          <w:b w:val="0"/>
          <w:sz w:val="24"/>
          <w:szCs w:val="24"/>
          <w:lang w:eastAsia="zh-CN"/>
        </w:rPr>
        <w:t>污染源排放的PM</w:t>
      </w:r>
      <w:r>
        <w:rPr>
          <w:rFonts w:hint="default" w:ascii="Times New Roman" w:hAnsi="Times New Roman" w:eastAsia="宋体" w:cs="Times New Roman"/>
          <w:b w:val="0"/>
          <w:sz w:val="24"/>
          <w:szCs w:val="24"/>
          <w:vertAlign w:val="subscript"/>
          <w:lang w:eastAsia="zh-CN"/>
        </w:rPr>
        <w:t>2.5</w:t>
      </w:r>
      <w:r>
        <w:rPr>
          <w:rFonts w:hint="default" w:ascii="Times New Roman" w:hAnsi="Times New Roman" w:eastAsia="宋体" w:cs="Times New Roman"/>
          <w:b w:val="0"/>
          <w:sz w:val="24"/>
          <w:szCs w:val="24"/>
          <w:lang w:eastAsia="zh-CN"/>
        </w:rPr>
        <w:t>对评价区域内各环境敏感点的24小时平均浓度贡献值范围在0.05μg/m³～0.61μg/m³之间，占标率为0.06%～0.82%之间，各敏感点24小时平均浓度贡献值均达标；区域最大地面浓度点贡献值为8.53μg/m³，占标率为11.37%，均达标。</w:t>
      </w:r>
    </w:p>
    <w:p>
      <w:pPr>
        <w:spacing w:line="360" w:lineRule="auto"/>
        <w:ind w:firstLine="480" w:firstLineChars="200"/>
        <w:rPr>
          <w:rFonts w:hint="default" w:ascii="Times New Roman" w:hAnsi="Times New Roman" w:eastAsia="宋体" w:cs="Times New Roman"/>
          <w:b w:val="0"/>
          <w:sz w:val="24"/>
          <w:szCs w:val="24"/>
          <w:lang w:eastAsia="zh-CN"/>
        </w:rPr>
      </w:pPr>
      <w:r>
        <w:rPr>
          <w:rFonts w:hint="default" w:ascii="Times New Roman" w:hAnsi="Times New Roman" w:eastAsia="宋体" w:cs="Times New Roman"/>
          <w:b w:val="0"/>
          <w:sz w:val="24"/>
          <w:szCs w:val="24"/>
          <w:lang w:eastAsia="zh-CN"/>
        </w:rPr>
        <w:t>新增污染源正常排放PM</w:t>
      </w:r>
      <w:r>
        <w:rPr>
          <w:rFonts w:hint="default" w:ascii="Times New Roman" w:hAnsi="Times New Roman" w:eastAsia="宋体" w:cs="Times New Roman"/>
          <w:b w:val="0"/>
          <w:sz w:val="24"/>
          <w:szCs w:val="24"/>
          <w:vertAlign w:val="subscript"/>
          <w:lang w:eastAsia="zh-CN"/>
        </w:rPr>
        <w:t>2.5</w:t>
      </w:r>
      <w:r>
        <w:rPr>
          <w:rFonts w:hint="default" w:ascii="Times New Roman" w:hAnsi="Times New Roman" w:eastAsia="宋体" w:cs="Times New Roman"/>
          <w:b w:val="0"/>
          <w:sz w:val="24"/>
          <w:szCs w:val="24"/>
          <w:lang w:eastAsia="zh-CN"/>
        </w:rPr>
        <w:t>5污染源排放的PM</w:t>
      </w:r>
      <w:r>
        <w:rPr>
          <w:rFonts w:hint="default" w:ascii="Times New Roman" w:hAnsi="Times New Roman" w:eastAsia="宋体" w:cs="Times New Roman"/>
          <w:b w:val="0"/>
          <w:sz w:val="24"/>
          <w:szCs w:val="24"/>
          <w:vertAlign w:val="subscript"/>
          <w:lang w:eastAsia="zh-CN"/>
        </w:rPr>
        <w:t>2.5</w:t>
      </w:r>
      <w:r>
        <w:rPr>
          <w:rFonts w:hint="default" w:ascii="Times New Roman" w:hAnsi="Times New Roman" w:eastAsia="宋体" w:cs="Times New Roman"/>
          <w:b w:val="0"/>
          <w:sz w:val="24"/>
          <w:szCs w:val="24"/>
          <w:lang w:eastAsia="zh-CN"/>
        </w:rPr>
        <w:t>对评价区域内各环境敏感点的年平均浓度贡献值范围在0.00μg/m³～0.04μg/m³之间，占标率为0.00%～0.10%之间，各敏感点年平均浓度贡献值均达标；区域最大地面浓度点贡献值为3.34μg/m³，占标率为9.53%，均达标。</w:t>
      </w:r>
    </w:p>
    <w:p>
      <w:pPr>
        <w:ind w:firstLine="480"/>
      </w:pPr>
      <w:r>
        <w:rPr>
          <w:rFonts w:hint="eastAsia"/>
        </w:rPr>
        <w:t>评价范围内敏感点、网格点进行影响预测分析发现：项目敏感点</w:t>
      </w:r>
      <w:r>
        <w:rPr>
          <w:rFonts w:hint="default" w:ascii="Times New Roman" w:hAnsi="Times New Roman" w:eastAsia="宋体" w:cs="Times New Roman"/>
          <w:b w:val="0"/>
          <w:sz w:val="24"/>
          <w:lang w:eastAsia="zh-CN"/>
        </w:rPr>
        <w:t>PM</w:t>
      </w:r>
      <w:r>
        <w:rPr>
          <w:rFonts w:hint="eastAsia" w:ascii="Times New Roman" w:hAnsi="Times New Roman" w:cs="Times New Roman"/>
          <w:b w:val="0"/>
          <w:sz w:val="24"/>
          <w:vertAlign w:val="subscript"/>
          <w:lang w:val="en-US" w:eastAsia="zh-CN"/>
        </w:rPr>
        <w:t>2.5</w:t>
      </w:r>
      <w:r>
        <w:rPr>
          <w:rFonts w:hint="eastAsia"/>
        </w:rPr>
        <w:t>的短期浓度贡献值的最大浓度占标率≤100%，年均浓度贡献值的最大浓度占标率≤30%。</w:t>
      </w:r>
    </w:p>
    <w:p>
      <w:pPr>
        <w:ind w:firstLine="480"/>
        <w:rPr>
          <w:b/>
          <w:bCs/>
        </w:rPr>
      </w:pPr>
      <w:r>
        <w:rPr>
          <w:rFonts w:hint="eastAsia"/>
          <w:b/>
          <w:bCs/>
        </w:rPr>
        <w:t>（2）</w:t>
      </w:r>
      <w:r>
        <w:rPr>
          <w:rFonts w:hint="eastAsia"/>
          <w:b/>
          <w:bCs/>
          <w:lang w:val="en-US" w:eastAsia="zh-CN"/>
        </w:rPr>
        <w:t>叠加环境现状、削减源和达标规划后的预测结果</w:t>
      </w:r>
      <w:r>
        <w:rPr>
          <w:rFonts w:hint="eastAsia"/>
          <w:b/>
          <w:bCs/>
        </w:rPr>
        <w:t>。</w:t>
      </w:r>
    </w:p>
    <w:p>
      <w:pPr>
        <w:pStyle w:val="208"/>
        <w:ind w:firstLine="480"/>
        <w:rPr>
          <w:rFonts w:hint="default" w:ascii="Times New Roman" w:hAnsi="Times New Roman" w:eastAsia="宋体" w:cs="Times New Roman"/>
          <w:lang w:val="en-US" w:eastAsia="zh-CN"/>
        </w:rPr>
      </w:pPr>
      <w:r>
        <w:rPr>
          <w:rFonts w:hint="eastAsia" w:ascii="Times New Roman" w:hAnsi="Times New Roman" w:cs="Times New Roman"/>
          <w:lang w:val="en-US" w:eastAsia="zh-CN"/>
        </w:rPr>
        <w:t>1）</w:t>
      </w:r>
      <w:r>
        <w:rPr>
          <w:rFonts w:hint="default" w:ascii="Times New Roman" w:hAnsi="Times New Roman" w:cs="Times New Roman"/>
        </w:rPr>
        <w:t>TSP</w:t>
      </w:r>
      <w:r>
        <w:rPr>
          <w:rFonts w:hint="eastAsia" w:ascii="Times New Roman" w:hAnsi="Times New Roman" w:cs="Times New Roman"/>
          <w:lang w:val="en-US" w:eastAsia="zh-CN"/>
        </w:rPr>
        <w:t>叠加环境质量现状和削减源</w:t>
      </w:r>
    </w:p>
    <w:p>
      <w:pPr>
        <w:pStyle w:val="3586"/>
        <w:ind w:left="0"/>
        <w:rPr>
          <w:rFonts w:hint="eastAsia" w:ascii="Times New Roman" w:hAnsi="Times New Roman" w:eastAsia="宋体" w:cs="Times New Roman"/>
          <w:b/>
          <w:bCs/>
          <w:kern w:val="2"/>
          <w:sz w:val="21"/>
          <w:szCs w:val="20"/>
          <w:lang w:val="en-US" w:eastAsia="zh-CN" w:bidi="ar-SA"/>
        </w:rPr>
      </w:pPr>
      <w:r>
        <w:rPr>
          <w:rFonts w:hint="eastAsia" w:ascii="Times New Roman" w:hAnsi="Times New Roman" w:eastAsia="宋体" w:cs="Times New Roman"/>
          <w:b/>
          <w:bCs/>
          <w:kern w:val="2"/>
          <w:sz w:val="21"/>
          <w:szCs w:val="20"/>
          <w:lang w:val="en-US" w:eastAsia="zh-CN" w:bidi="ar-SA"/>
        </w:rPr>
        <w:t>污染源TSP评价</w:t>
      </w:r>
      <w:r>
        <w:rPr>
          <w:rFonts w:hint="eastAsia" w:ascii="Times New Roman" w:hAnsi="Times New Roman" w:cs="Times New Roman"/>
          <w:lang w:val="en-US" w:eastAsia="zh-CN"/>
        </w:rPr>
        <w:t>区域</w:t>
      </w:r>
      <w:r>
        <w:rPr>
          <w:rFonts w:hint="eastAsia" w:ascii="Times New Roman" w:hAnsi="Times New Roman" w:eastAsia="宋体" w:cs="Times New Roman"/>
          <w:b/>
          <w:bCs/>
          <w:kern w:val="2"/>
          <w:sz w:val="21"/>
          <w:szCs w:val="20"/>
          <w:lang w:val="en-US" w:eastAsia="zh-CN" w:bidi="ar-SA"/>
        </w:rPr>
        <w:t>内各环境敏感点的24小时平均叠加值浓度预测结果表</w:t>
      </w:r>
    </w:p>
    <w:tbl>
      <w:tblPr>
        <w:tblStyle w:val="88"/>
        <w:tblW w:w="959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92"/>
        <w:gridCol w:w="1117"/>
        <w:gridCol w:w="630"/>
        <w:gridCol w:w="645"/>
        <w:gridCol w:w="795"/>
        <w:gridCol w:w="1185"/>
        <w:gridCol w:w="812"/>
        <w:gridCol w:w="812"/>
        <w:gridCol w:w="812"/>
        <w:gridCol w:w="812"/>
        <w:gridCol w:w="815"/>
        <w:gridCol w:w="5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restar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污染物</w:t>
            </w:r>
          </w:p>
        </w:tc>
        <w:tc>
          <w:tcPr>
            <w:tcW w:w="1117" w:type="dxa"/>
            <w:vMerge w:val="restar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预测点</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X/</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Y/</w:t>
            </w:r>
          </w:p>
        </w:tc>
        <w:tc>
          <w:tcPr>
            <w:tcW w:w="795" w:type="dxa"/>
            <w:vMerge w:val="restar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平均</w:t>
            </w:r>
          </w:p>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时段</w:t>
            </w:r>
          </w:p>
        </w:tc>
        <w:tc>
          <w:tcPr>
            <w:tcW w:w="1185" w:type="dxa"/>
            <w:vMerge w:val="restar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出现时间</w:t>
            </w:r>
          </w:p>
        </w:tc>
        <w:tc>
          <w:tcPr>
            <w:tcW w:w="812"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贡献值浓度/</w:t>
            </w:r>
          </w:p>
        </w:tc>
        <w:tc>
          <w:tcPr>
            <w:tcW w:w="812"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削减源浓度/</w:t>
            </w:r>
          </w:p>
        </w:tc>
        <w:tc>
          <w:tcPr>
            <w:tcW w:w="812"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现状值/</w:t>
            </w:r>
          </w:p>
        </w:tc>
        <w:tc>
          <w:tcPr>
            <w:tcW w:w="812"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叠加值/</w:t>
            </w:r>
          </w:p>
        </w:tc>
        <w:tc>
          <w:tcPr>
            <w:tcW w:w="815"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占标率/</w:t>
            </w:r>
          </w:p>
        </w:tc>
        <w:tc>
          <w:tcPr>
            <w:tcW w:w="572" w:type="dxa"/>
            <w:vMerge w:val="restar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m</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m</w:t>
            </w:r>
          </w:p>
        </w:tc>
        <w:tc>
          <w:tcPr>
            <w:tcW w:w="795"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85"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812"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(μg/m³)</w:t>
            </w:r>
          </w:p>
        </w:tc>
        <w:tc>
          <w:tcPr>
            <w:tcW w:w="812"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(μg/m³)</w:t>
            </w:r>
          </w:p>
        </w:tc>
        <w:tc>
          <w:tcPr>
            <w:tcW w:w="812"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(μg/m³)</w:t>
            </w:r>
          </w:p>
        </w:tc>
        <w:tc>
          <w:tcPr>
            <w:tcW w:w="812"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(μg/m³)</w:t>
            </w:r>
          </w:p>
        </w:tc>
        <w:tc>
          <w:tcPr>
            <w:tcW w:w="81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w:t>
            </w:r>
          </w:p>
        </w:tc>
        <w:tc>
          <w:tcPr>
            <w:tcW w:w="57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restar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TSP</w:t>
            </w: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滨江学校</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726</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2021/08/20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36.33</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大鼓山</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2,051</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-9</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2021/08/27</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36.33</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滨江村</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361</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-280</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2021/11/25</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36.33</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吴家垄</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1,083</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-371</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2021/12/02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36.33</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胥芦畈</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2,185</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-241</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2021/05/27</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36.33</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橙子岭</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1,878</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-526</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2021/04/22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36.33</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芦家屋场</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1,156</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-544</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2021/10/10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36.33</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汪家二房</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2,135</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-968</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2021/07/13</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36.33</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乌石矶</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100</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-1,103</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2021/04/16</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36.33</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中屋沙咀</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682</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-1,254</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2021/11/13</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36.33</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桑泥湖</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1,789</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-1,221</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2021/01/01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36.33</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许家高墩</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-1,583</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1,791</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2021/10/31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36.33</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屋沙咀</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868</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-1,560</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2021/06/08</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36.33</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白鹭中学</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-1,567</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2,172</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2021/03/12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36.33</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七房</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186</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314</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2021/08/26</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109.01</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36.34</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六屋</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1,124</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1,470</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2021/01/27</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36.33</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道仁矶中学</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1,774</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1,030</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2021/01/21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36.33</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高粱咀</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2,017</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1,515</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2021/02/07</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36.33</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新建</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2,411</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1,497</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2021/01/24</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36.33</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胡家垄</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2,142</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1,121</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2021/01/23</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36.33</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北斗坡</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2,272</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800</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2021/06/27</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36.33</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胡彭家</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2,285</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523</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2021/05/19</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36.33</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郑家祠堂</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1,025</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198</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2021/02/04</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36.33</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区域最大值</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-400</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-100</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2021/12/29</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79.71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5.80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182.90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60.97</w:t>
            </w:r>
          </w:p>
        </w:tc>
        <w:tc>
          <w:tcPr>
            <w:tcW w:w="572" w:type="dxa"/>
            <w:tcBorders>
              <w:tl2br w:val="nil"/>
              <w:tr2bl w:val="nil"/>
            </w:tcBorders>
            <w:vAlign w:val="center"/>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tc>
      </w:tr>
    </w:tbl>
    <w:p>
      <w:pPr>
        <w:pStyle w:val="3586"/>
        <w:ind w:left="0"/>
      </w:pPr>
      <w:r>
        <w:rPr>
          <w:rFonts w:hint="eastAsia"/>
          <w:lang w:val="en-US" w:eastAsia="zh-CN"/>
        </w:rPr>
        <w:t>污染源TSP评价区域内各环境敏感点的年平均叠加浓度预测结果表</w:t>
      </w:r>
    </w:p>
    <w:tbl>
      <w:tblPr>
        <w:tblStyle w:val="88"/>
        <w:tblW w:w="501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09"/>
        <w:gridCol w:w="1296"/>
        <w:gridCol w:w="711"/>
        <w:gridCol w:w="746"/>
        <w:gridCol w:w="780"/>
        <w:gridCol w:w="813"/>
        <w:gridCol w:w="813"/>
        <w:gridCol w:w="813"/>
        <w:gridCol w:w="813"/>
        <w:gridCol w:w="813"/>
        <w:gridCol w:w="8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restart"/>
            <w:vAlign w:val="center"/>
          </w:tcPr>
          <w:p>
            <w:pPr>
              <w:pStyle w:val="2057"/>
              <w:tabs>
                <w:tab w:val="left" w:pos="480"/>
              </w:tabs>
              <w:spacing w:afterLines="0"/>
              <w:ind w:firstLine="0" w:firstLineChars="0"/>
              <w:jc w:val="center"/>
              <w:rPr>
                <w:b/>
                <w:bCs w:val="0"/>
                <w:sz w:val="21"/>
                <w:szCs w:val="21"/>
              </w:rPr>
            </w:pPr>
            <w:r>
              <w:rPr>
                <w:rFonts w:hint="eastAsia"/>
                <w:b/>
                <w:bCs w:val="0"/>
                <w:sz w:val="21"/>
                <w:szCs w:val="21"/>
              </w:rPr>
              <w:t>污染物</w:t>
            </w:r>
          </w:p>
        </w:tc>
        <w:tc>
          <w:tcPr>
            <w:tcW w:w="709" w:type="pct"/>
            <w:vMerge w:val="restart"/>
            <w:vAlign w:val="center"/>
          </w:tcPr>
          <w:p>
            <w:pPr>
              <w:pStyle w:val="2057"/>
              <w:tabs>
                <w:tab w:val="left" w:pos="480"/>
              </w:tabs>
              <w:spacing w:afterLines="0"/>
              <w:ind w:firstLine="0" w:firstLineChars="0"/>
              <w:jc w:val="center"/>
              <w:rPr>
                <w:b/>
                <w:bCs w:val="0"/>
                <w:sz w:val="21"/>
                <w:szCs w:val="21"/>
              </w:rPr>
            </w:pPr>
            <w:r>
              <w:rPr>
                <w:rFonts w:hint="eastAsia"/>
                <w:b/>
                <w:bCs w:val="0"/>
                <w:sz w:val="21"/>
                <w:szCs w:val="21"/>
              </w:rPr>
              <w:t>预测点</w:t>
            </w:r>
          </w:p>
        </w:tc>
        <w:tc>
          <w:tcPr>
            <w:tcW w:w="389" w:type="pct"/>
            <w:vAlign w:val="center"/>
          </w:tcPr>
          <w:p>
            <w:pPr>
              <w:pStyle w:val="2057"/>
              <w:tabs>
                <w:tab w:val="left" w:pos="480"/>
              </w:tabs>
              <w:spacing w:afterLines="0"/>
              <w:ind w:firstLine="0" w:firstLineChars="0"/>
              <w:jc w:val="center"/>
              <w:rPr>
                <w:b/>
                <w:bCs w:val="0"/>
                <w:sz w:val="21"/>
                <w:szCs w:val="21"/>
              </w:rPr>
            </w:pPr>
            <w:r>
              <w:rPr>
                <w:b/>
                <w:bCs w:val="0"/>
                <w:sz w:val="21"/>
                <w:szCs w:val="21"/>
              </w:rPr>
              <w:t>X/</w:t>
            </w:r>
          </w:p>
        </w:tc>
        <w:tc>
          <w:tcPr>
            <w:tcW w:w="408" w:type="pct"/>
            <w:vAlign w:val="center"/>
          </w:tcPr>
          <w:p>
            <w:pPr>
              <w:pStyle w:val="2057"/>
              <w:tabs>
                <w:tab w:val="left" w:pos="480"/>
              </w:tabs>
              <w:spacing w:afterLines="0"/>
              <w:ind w:firstLine="0" w:firstLineChars="0"/>
              <w:jc w:val="center"/>
              <w:rPr>
                <w:b/>
                <w:bCs w:val="0"/>
                <w:sz w:val="21"/>
                <w:szCs w:val="21"/>
              </w:rPr>
            </w:pPr>
            <w:r>
              <w:rPr>
                <w:b/>
                <w:bCs w:val="0"/>
                <w:sz w:val="21"/>
                <w:szCs w:val="21"/>
              </w:rPr>
              <w:t>Y/</w:t>
            </w:r>
          </w:p>
        </w:tc>
        <w:tc>
          <w:tcPr>
            <w:tcW w:w="427" w:type="pct"/>
            <w:vMerge w:val="restart"/>
            <w:vAlign w:val="center"/>
          </w:tcPr>
          <w:p>
            <w:pPr>
              <w:pStyle w:val="2057"/>
              <w:tabs>
                <w:tab w:val="left" w:pos="480"/>
              </w:tabs>
              <w:spacing w:afterLines="0"/>
              <w:ind w:firstLine="0" w:firstLineChars="0"/>
              <w:jc w:val="center"/>
              <w:rPr>
                <w:b/>
                <w:bCs w:val="0"/>
                <w:sz w:val="21"/>
                <w:szCs w:val="21"/>
              </w:rPr>
            </w:pPr>
            <w:r>
              <w:rPr>
                <w:rFonts w:hint="eastAsia"/>
                <w:b/>
                <w:bCs w:val="0"/>
                <w:sz w:val="21"/>
                <w:szCs w:val="21"/>
              </w:rPr>
              <w:t>平均</w:t>
            </w:r>
          </w:p>
          <w:p>
            <w:pPr>
              <w:pStyle w:val="2057"/>
              <w:tabs>
                <w:tab w:val="left" w:pos="480"/>
              </w:tabs>
              <w:spacing w:afterLines="0"/>
              <w:ind w:firstLine="0" w:firstLineChars="0"/>
              <w:jc w:val="center"/>
              <w:rPr>
                <w:b/>
                <w:bCs w:val="0"/>
                <w:sz w:val="21"/>
                <w:szCs w:val="21"/>
              </w:rPr>
            </w:pPr>
            <w:r>
              <w:rPr>
                <w:rFonts w:hint="eastAsia"/>
                <w:b/>
                <w:bCs w:val="0"/>
                <w:sz w:val="21"/>
                <w:szCs w:val="21"/>
              </w:rPr>
              <w:t>时段</w:t>
            </w:r>
          </w:p>
        </w:tc>
        <w:tc>
          <w:tcPr>
            <w:tcW w:w="811" w:type="dxa"/>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eastAsia" w:ascii="Times New Roman" w:hAnsi="Times New Roman" w:cs="Times New Roman"/>
                <w:b/>
                <w:bCs w:val="0"/>
                <w:sz w:val="21"/>
                <w:szCs w:val="21"/>
                <w:lang w:eastAsia="zh-CN"/>
              </w:rPr>
              <w:t>贡献值浓度/</w:t>
            </w:r>
          </w:p>
        </w:tc>
        <w:tc>
          <w:tcPr>
            <w:tcW w:w="811" w:type="dxa"/>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eastAsia" w:ascii="Times New Roman" w:hAnsi="Times New Roman" w:cs="Times New Roman"/>
                <w:b/>
                <w:bCs w:val="0"/>
                <w:sz w:val="21"/>
                <w:szCs w:val="21"/>
                <w:lang w:eastAsia="zh-CN"/>
              </w:rPr>
              <w:t>削减源浓度/</w:t>
            </w:r>
          </w:p>
        </w:tc>
        <w:tc>
          <w:tcPr>
            <w:tcW w:w="445" w:type="pct"/>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eastAsia" w:ascii="Times New Roman" w:hAnsi="Times New Roman" w:cs="Times New Roman"/>
                <w:b/>
                <w:bCs w:val="0"/>
                <w:sz w:val="21"/>
                <w:szCs w:val="21"/>
                <w:lang w:eastAsia="zh-CN"/>
              </w:rPr>
              <w:t>现状值/</w:t>
            </w:r>
          </w:p>
        </w:tc>
        <w:tc>
          <w:tcPr>
            <w:tcW w:w="445" w:type="pct"/>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eastAsia" w:ascii="Times New Roman" w:hAnsi="Times New Roman" w:cs="Times New Roman"/>
                <w:b/>
                <w:bCs w:val="0"/>
                <w:sz w:val="21"/>
                <w:szCs w:val="21"/>
                <w:lang w:eastAsia="zh-CN"/>
              </w:rPr>
              <w:t>叠加值/</w:t>
            </w:r>
          </w:p>
        </w:tc>
        <w:tc>
          <w:tcPr>
            <w:tcW w:w="445" w:type="pct"/>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eastAsia" w:ascii="Times New Roman" w:hAnsi="Times New Roman" w:cs="Times New Roman"/>
                <w:b/>
                <w:bCs w:val="0"/>
                <w:sz w:val="21"/>
                <w:szCs w:val="21"/>
                <w:lang w:eastAsia="zh-CN"/>
              </w:rPr>
              <w:t>占标率/</w:t>
            </w:r>
          </w:p>
        </w:tc>
        <w:tc>
          <w:tcPr>
            <w:tcW w:w="447" w:type="pct"/>
            <w:vMerge w:val="restart"/>
            <w:tcBorders>
              <w:tl2br w:val="nil"/>
              <w:tr2bl w:val="nil"/>
            </w:tcBorders>
            <w:vAlign w:val="center"/>
          </w:tcPr>
          <w:p>
            <w:pPr>
              <w:pStyle w:val="2057"/>
              <w:tabs>
                <w:tab w:val="left" w:pos="480"/>
              </w:tabs>
              <w:spacing w:afterLines="0"/>
              <w:ind w:firstLine="0" w:firstLineChars="0"/>
              <w:jc w:val="center"/>
              <w:rPr>
                <w:b/>
                <w:bCs w:val="0"/>
                <w:sz w:val="21"/>
                <w:szCs w:val="21"/>
              </w:rPr>
            </w:pPr>
            <w:r>
              <w:rPr>
                <w:rFonts w:hint="eastAsia"/>
                <w:b/>
                <w:bCs w:val="0"/>
                <w:sz w:val="21"/>
                <w:szCs w:val="21"/>
              </w:rPr>
              <w:t>达标</w:t>
            </w:r>
          </w:p>
          <w:p>
            <w:pPr>
              <w:pStyle w:val="2057"/>
              <w:tabs>
                <w:tab w:val="left" w:pos="480"/>
              </w:tabs>
              <w:spacing w:afterLines="0"/>
              <w:ind w:firstLine="0" w:firstLineChars="0"/>
              <w:jc w:val="center"/>
              <w:rPr>
                <w:sz w:val="21"/>
                <w:szCs w:val="21"/>
              </w:rPr>
            </w:pPr>
            <w:r>
              <w:rPr>
                <w:rFonts w:hint="eastAsia"/>
                <w:b/>
                <w:bCs w:val="0"/>
                <w:sz w:val="21"/>
                <w:szCs w:val="21"/>
              </w:rPr>
              <w:t>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bottom w:val="single" w:color="auto" w:sz="12" w:space="0"/>
            </w:tcBorders>
            <w:vAlign w:val="center"/>
          </w:tcPr>
          <w:p>
            <w:pPr>
              <w:pStyle w:val="2057"/>
              <w:tabs>
                <w:tab w:val="left" w:pos="480"/>
              </w:tabs>
              <w:spacing w:afterLines="0"/>
              <w:ind w:firstLine="0" w:firstLineChars="0"/>
              <w:jc w:val="center"/>
              <w:rPr>
                <w:b/>
                <w:bCs w:val="0"/>
                <w:sz w:val="21"/>
                <w:szCs w:val="21"/>
              </w:rPr>
            </w:pPr>
          </w:p>
        </w:tc>
        <w:tc>
          <w:tcPr>
            <w:tcW w:w="709" w:type="pct"/>
            <w:vMerge w:val="continue"/>
            <w:tcBorders>
              <w:bottom w:val="single" w:color="auto" w:sz="12" w:space="0"/>
            </w:tcBorders>
            <w:vAlign w:val="center"/>
          </w:tcPr>
          <w:p>
            <w:pPr>
              <w:pStyle w:val="2057"/>
              <w:tabs>
                <w:tab w:val="left" w:pos="480"/>
              </w:tabs>
              <w:spacing w:afterLines="0"/>
              <w:ind w:firstLine="0" w:firstLineChars="0"/>
              <w:jc w:val="center"/>
              <w:rPr>
                <w:b/>
                <w:bCs w:val="0"/>
                <w:sz w:val="21"/>
                <w:szCs w:val="21"/>
              </w:rPr>
            </w:pPr>
          </w:p>
        </w:tc>
        <w:tc>
          <w:tcPr>
            <w:tcW w:w="389" w:type="pct"/>
            <w:tcBorders>
              <w:bottom w:val="single" w:color="auto" w:sz="12" w:space="0"/>
            </w:tcBorders>
            <w:vAlign w:val="center"/>
          </w:tcPr>
          <w:p>
            <w:pPr>
              <w:pStyle w:val="2057"/>
              <w:tabs>
                <w:tab w:val="left" w:pos="480"/>
              </w:tabs>
              <w:spacing w:afterLines="0"/>
              <w:ind w:firstLine="0" w:firstLineChars="0"/>
              <w:jc w:val="center"/>
              <w:rPr>
                <w:b/>
                <w:bCs w:val="0"/>
                <w:sz w:val="21"/>
                <w:szCs w:val="21"/>
              </w:rPr>
            </w:pPr>
            <w:r>
              <w:rPr>
                <w:b/>
                <w:bCs w:val="0"/>
                <w:sz w:val="21"/>
                <w:szCs w:val="21"/>
              </w:rPr>
              <w:t>m</w:t>
            </w:r>
          </w:p>
        </w:tc>
        <w:tc>
          <w:tcPr>
            <w:tcW w:w="408" w:type="pct"/>
            <w:tcBorders>
              <w:bottom w:val="single" w:color="auto" w:sz="12" w:space="0"/>
            </w:tcBorders>
            <w:vAlign w:val="center"/>
          </w:tcPr>
          <w:p>
            <w:pPr>
              <w:pStyle w:val="2057"/>
              <w:tabs>
                <w:tab w:val="left" w:pos="480"/>
              </w:tabs>
              <w:spacing w:afterLines="0"/>
              <w:ind w:firstLine="0" w:firstLineChars="0"/>
              <w:jc w:val="center"/>
              <w:rPr>
                <w:b/>
                <w:bCs w:val="0"/>
                <w:sz w:val="21"/>
                <w:szCs w:val="21"/>
              </w:rPr>
            </w:pPr>
            <w:r>
              <w:rPr>
                <w:b/>
                <w:bCs w:val="0"/>
                <w:sz w:val="21"/>
                <w:szCs w:val="21"/>
              </w:rPr>
              <w:t>m</w:t>
            </w:r>
          </w:p>
        </w:tc>
        <w:tc>
          <w:tcPr>
            <w:tcW w:w="427" w:type="pct"/>
            <w:vMerge w:val="continue"/>
            <w:tcBorders>
              <w:bottom w:val="single" w:color="auto" w:sz="12" w:space="0"/>
            </w:tcBorders>
            <w:vAlign w:val="center"/>
          </w:tcPr>
          <w:p>
            <w:pPr>
              <w:pStyle w:val="2057"/>
              <w:tabs>
                <w:tab w:val="left" w:pos="480"/>
              </w:tabs>
              <w:spacing w:afterLines="0"/>
              <w:ind w:firstLine="0" w:firstLineChars="0"/>
              <w:jc w:val="center"/>
              <w:rPr>
                <w:b/>
                <w:bCs w:val="0"/>
                <w:sz w:val="21"/>
                <w:szCs w:val="21"/>
              </w:rPr>
            </w:pPr>
          </w:p>
        </w:tc>
        <w:tc>
          <w:tcPr>
            <w:tcW w:w="445" w:type="pct"/>
            <w:tcBorders>
              <w:bottom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default" w:ascii="Times New Roman" w:hAnsi="Times New Roman" w:cs="Times New Roman"/>
                <w:b/>
                <w:bCs w:val="0"/>
                <w:sz w:val="21"/>
                <w:szCs w:val="21"/>
                <w:lang w:eastAsia="zh-CN"/>
              </w:rPr>
              <w:t>(μg/m³)</w:t>
            </w:r>
          </w:p>
        </w:tc>
        <w:tc>
          <w:tcPr>
            <w:tcW w:w="445" w:type="pct"/>
            <w:tcBorders>
              <w:bottom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default" w:ascii="Times New Roman" w:hAnsi="Times New Roman" w:cs="Times New Roman"/>
                <w:b/>
                <w:bCs w:val="0"/>
                <w:sz w:val="21"/>
                <w:szCs w:val="21"/>
                <w:lang w:eastAsia="zh-CN"/>
              </w:rPr>
              <w:t>(μg/m³)</w:t>
            </w:r>
          </w:p>
        </w:tc>
        <w:tc>
          <w:tcPr>
            <w:tcW w:w="445" w:type="pct"/>
            <w:tcBorders>
              <w:bottom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default" w:ascii="Times New Roman" w:hAnsi="Times New Roman" w:cs="Times New Roman"/>
                <w:b/>
                <w:bCs w:val="0"/>
                <w:sz w:val="21"/>
                <w:szCs w:val="21"/>
                <w:lang w:eastAsia="zh-CN"/>
              </w:rPr>
              <w:t>(μg/m³)</w:t>
            </w:r>
          </w:p>
        </w:tc>
        <w:tc>
          <w:tcPr>
            <w:tcW w:w="445" w:type="pct"/>
            <w:tcBorders>
              <w:bottom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default" w:ascii="Times New Roman" w:hAnsi="Times New Roman" w:cs="Times New Roman"/>
                <w:b/>
                <w:bCs w:val="0"/>
                <w:sz w:val="21"/>
                <w:szCs w:val="21"/>
                <w:lang w:eastAsia="zh-CN"/>
              </w:rPr>
              <w:t>(μg/m³)</w:t>
            </w:r>
          </w:p>
        </w:tc>
        <w:tc>
          <w:tcPr>
            <w:tcW w:w="445" w:type="pct"/>
            <w:tcBorders>
              <w:bottom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default" w:ascii="Times New Roman" w:hAnsi="Times New Roman" w:cs="Times New Roman"/>
                <w:b/>
                <w:bCs w:val="0"/>
                <w:sz w:val="21"/>
                <w:szCs w:val="21"/>
                <w:lang w:eastAsia="zh-CN"/>
              </w:rPr>
              <w:t>%</w:t>
            </w:r>
          </w:p>
        </w:tc>
        <w:tc>
          <w:tcPr>
            <w:tcW w:w="447" w:type="pct"/>
            <w:vMerge w:val="continue"/>
            <w:tcBorders>
              <w:tl2br w:val="nil"/>
              <w:tr2bl w:val="nil"/>
            </w:tcBorders>
            <w:vAlign w:val="center"/>
          </w:tcPr>
          <w:p>
            <w:pPr>
              <w:pStyle w:val="2057"/>
              <w:tabs>
                <w:tab w:val="left" w:pos="480"/>
              </w:tabs>
              <w:spacing w:afterLines="0"/>
              <w:ind w:firstLine="0" w:firstLineChars="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restart"/>
            <w:tcBorders>
              <w:top w:val="single" w:color="auto" w:sz="12" w:space="0"/>
              <w:tl2br w:val="nil"/>
              <w:tr2bl w:val="nil"/>
            </w:tcBorders>
            <w:vAlign w:val="center"/>
          </w:tcPr>
          <w:p>
            <w:pPr>
              <w:pStyle w:val="2057"/>
              <w:tabs>
                <w:tab w:val="left" w:pos="480"/>
              </w:tabs>
              <w:spacing w:afterLines="0"/>
              <w:ind w:firstLine="0" w:firstLineChars="0"/>
              <w:jc w:val="center"/>
              <w:rPr>
                <w:sz w:val="21"/>
                <w:szCs w:val="21"/>
              </w:rPr>
            </w:pPr>
            <w:r>
              <w:rPr>
                <w:sz w:val="21"/>
                <w:szCs w:val="21"/>
              </w:rPr>
              <w:t>TSP</w:t>
            </w:r>
          </w:p>
        </w:tc>
        <w:tc>
          <w:tcPr>
            <w:tcW w:w="709" w:type="pct"/>
            <w:tcBorders>
              <w:top w:val="single" w:color="auto" w:sz="12" w:space="0"/>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滨江学校</w:t>
            </w:r>
          </w:p>
        </w:tc>
        <w:tc>
          <w:tcPr>
            <w:tcW w:w="389" w:type="pct"/>
            <w:tcBorders>
              <w:top w:val="single" w:color="auto" w:sz="12" w:space="0"/>
              <w:tl2br w:val="nil"/>
              <w:tr2bl w:val="nil"/>
            </w:tcBorders>
            <w:vAlign w:val="center"/>
          </w:tcPr>
          <w:p>
            <w:pPr>
              <w:pStyle w:val="2057"/>
              <w:tabs>
                <w:tab w:val="left" w:pos="480"/>
              </w:tabs>
              <w:spacing w:afterLines="0"/>
              <w:ind w:firstLine="0" w:firstLineChars="0"/>
              <w:jc w:val="center"/>
              <w:rPr>
                <w:sz w:val="21"/>
                <w:szCs w:val="21"/>
              </w:rPr>
            </w:pPr>
            <w:r>
              <w:rPr>
                <w:sz w:val="21"/>
                <w:szCs w:val="21"/>
              </w:rPr>
              <w:t>726</w:t>
            </w:r>
          </w:p>
        </w:tc>
        <w:tc>
          <w:tcPr>
            <w:tcW w:w="408" w:type="pct"/>
            <w:tcBorders>
              <w:top w:val="single" w:color="auto" w:sz="12" w:space="0"/>
              <w:tl2br w:val="nil"/>
              <w:tr2bl w:val="nil"/>
            </w:tcBorders>
            <w:vAlign w:val="center"/>
          </w:tcPr>
          <w:p>
            <w:pPr>
              <w:pStyle w:val="2057"/>
              <w:tabs>
                <w:tab w:val="left" w:pos="480"/>
              </w:tabs>
              <w:spacing w:afterLines="0"/>
              <w:ind w:firstLine="0" w:firstLineChars="0"/>
              <w:jc w:val="center"/>
              <w:rPr>
                <w:sz w:val="21"/>
                <w:szCs w:val="21"/>
              </w:rPr>
            </w:pPr>
            <w:r>
              <w:rPr>
                <w:sz w:val="21"/>
                <w:szCs w:val="21"/>
              </w:rPr>
              <w:t>-24</w:t>
            </w:r>
          </w:p>
        </w:tc>
        <w:tc>
          <w:tcPr>
            <w:tcW w:w="427" w:type="pct"/>
            <w:tcBorders>
              <w:top w:val="single" w:color="auto" w:sz="12" w:space="0"/>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op w:val="single" w:color="auto" w:sz="12" w:space="0"/>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0.03</w:t>
            </w:r>
          </w:p>
        </w:tc>
        <w:tc>
          <w:tcPr>
            <w:tcW w:w="811" w:type="dxa"/>
            <w:tcBorders>
              <w:top w:val="single" w:color="auto" w:sz="12" w:space="0"/>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0.13</w:t>
            </w:r>
          </w:p>
        </w:tc>
        <w:tc>
          <w:tcPr>
            <w:tcW w:w="811" w:type="dxa"/>
            <w:tcBorders>
              <w:top w:val="single" w:color="auto" w:sz="12" w:space="0"/>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op w:val="single" w:color="auto" w:sz="12" w:space="0"/>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108.90</w:t>
            </w:r>
          </w:p>
        </w:tc>
        <w:tc>
          <w:tcPr>
            <w:tcW w:w="811" w:type="dxa"/>
            <w:tcBorders>
              <w:top w:val="single" w:color="auto" w:sz="12" w:space="0"/>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54.45</w:t>
            </w:r>
          </w:p>
        </w:tc>
        <w:tc>
          <w:tcPr>
            <w:tcW w:w="814" w:type="dxa"/>
            <w:tcBorders>
              <w:bottom w:val="single" w:color="auto" w:sz="12" w:space="0"/>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pStyle w:val="2057"/>
              <w:tabs>
                <w:tab w:val="left" w:pos="480"/>
              </w:tabs>
              <w:spacing w:afterLines="0"/>
              <w:ind w:firstLine="0" w:firstLineChars="0"/>
              <w:jc w:val="center"/>
              <w:rPr>
                <w:sz w:val="21"/>
                <w:szCs w:val="21"/>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大鼓山</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2,051</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-9</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0.02</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108.99</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54.49</w:t>
            </w:r>
          </w:p>
        </w:tc>
        <w:tc>
          <w:tcPr>
            <w:tcW w:w="814" w:type="dxa"/>
            <w:tcBorders>
              <w:top w:val="single" w:color="auto" w:sz="12" w:space="0"/>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pStyle w:val="2057"/>
              <w:tabs>
                <w:tab w:val="left" w:pos="480"/>
              </w:tabs>
              <w:spacing w:afterLines="0"/>
              <w:ind w:firstLine="0" w:firstLineChars="0"/>
              <w:jc w:val="center"/>
              <w:rPr>
                <w:sz w:val="21"/>
                <w:szCs w:val="21"/>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滨江村</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361</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-280</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0.07</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0.52</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108.55</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54.28</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pStyle w:val="2057"/>
              <w:tabs>
                <w:tab w:val="left" w:pos="480"/>
              </w:tabs>
              <w:spacing w:afterLines="0"/>
              <w:ind w:firstLine="0" w:firstLineChars="0"/>
              <w:jc w:val="center"/>
              <w:rPr>
                <w:sz w:val="21"/>
                <w:szCs w:val="21"/>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吴家垄</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1,083</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-371</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0.01</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0.06</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108.95</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54.47</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pStyle w:val="2057"/>
              <w:tabs>
                <w:tab w:val="left" w:pos="480"/>
              </w:tabs>
              <w:spacing w:afterLines="0"/>
              <w:ind w:firstLine="0" w:firstLineChars="0"/>
              <w:jc w:val="center"/>
              <w:rPr>
                <w:sz w:val="21"/>
                <w:szCs w:val="21"/>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胥芦畈</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2,185</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-241</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0.02</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108.99</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54.49</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pStyle w:val="2057"/>
              <w:tabs>
                <w:tab w:val="left" w:pos="480"/>
              </w:tabs>
              <w:spacing w:afterLines="0"/>
              <w:ind w:firstLine="0" w:firstLineChars="0"/>
              <w:jc w:val="center"/>
              <w:rPr>
                <w:sz w:val="21"/>
                <w:szCs w:val="21"/>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橙子岭</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1,878</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-526</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0.01</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0.02</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108.98</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54.49</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芦家屋场</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1,156</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-544</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0.01</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0.06</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108.95</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54.48</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汪家二房</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2,135</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-968</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0.02</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108.99</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54.49</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乌石矶</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100</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-1,103</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0.09</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0.49</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108.61</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54.30</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中屋沙咀</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682</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-1,254</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0.03</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0.13</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108.89</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54.45</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桑泥湖</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1,789</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-1,221</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0.01</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0.03</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108.98</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54.49</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许家高墩</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-1,583</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1,791</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0.03</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0.11</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108.92</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54.46</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屋沙咀</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868</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-1,560</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0.02</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0.09</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108.93</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54.47</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白鹭中学</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-1,567</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2,172</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0.03</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0.08</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108.94</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54.47</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七房</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186</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314</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0.17</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2.88</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106.28</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53.14</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六屋</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1,124</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1,470</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0.02</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0.11</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108.91</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54.46</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道仁矶中学</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1,774</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1,030</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0.01</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0.04</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108.97</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54.48</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高粱咀</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2,017</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1,515</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0.01</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0.04</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108.97</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54.49</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新建</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2,411</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1,497</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0.01</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0.02</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108.98</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54.49</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胡家垄</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2,142</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1,121</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0.01</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0.03</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108.98</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54.49</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北斗坡</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2,272</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800</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0.01</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0.03</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108.98</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54.49</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胡彭家</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2,285</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523</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0.01</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0.02</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108.98</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54.49</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郑家祠堂</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1,025</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198</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0.02</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0.08</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108.94</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54.47</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区域最大值</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-300</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100</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44.11</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5.57</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109.00</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147.53</w:t>
            </w:r>
          </w:p>
        </w:tc>
        <w:tc>
          <w:tcPr>
            <w:tcW w:w="811"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default" w:ascii="Times New Roman" w:hAnsi="Times New Roman" w:cs="Times New Roman"/>
                <w:sz w:val="21"/>
                <w:szCs w:val="21"/>
                <w:lang w:eastAsia="zh-CN"/>
              </w:rPr>
              <w:t>73.77</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bl>
    <w:p>
      <w:pPr>
        <w:spacing w:line="360" w:lineRule="auto"/>
        <w:ind w:firstLine="480" w:firstLineChars="200"/>
        <w:rPr>
          <w:rFonts w:hint="default" w:ascii="Times New Roman" w:hAnsi="Times New Roman" w:eastAsia="宋体" w:cs="Times New Roman"/>
          <w:b w:val="0"/>
          <w:sz w:val="24"/>
          <w:szCs w:val="24"/>
          <w:lang w:eastAsia="zh-CN"/>
        </w:rPr>
      </w:pPr>
      <w:r>
        <w:rPr>
          <w:rFonts w:hint="default" w:ascii="Times New Roman" w:hAnsi="Times New Roman" w:eastAsia="宋体" w:cs="Times New Roman"/>
          <w:b w:val="0"/>
          <w:sz w:val="24"/>
          <w:szCs w:val="24"/>
          <w:lang w:eastAsia="zh-CN"/>
        </w:rPr>
        <w:t>TSP叠加环境质量现状值污染源排放的TSP对评价区域内各环境敏感点的24小时平均浓度叠加值范围在109.00μg/m³～109.01μg/m³之间，占标率为36.33%～36.34%之间，各敏感点24小时平均浓度叠加值均达标；区域最大地面浓度点叠加值为182.90μg/m³，占标率为60.97%，均达标。</w:t>
      </w:r>
    </w:p>
    <w:p>
      <w:pPr>
        <w:spacing w:line="360" w:lineRule="auto"/>
        <w:ind w:firstLine="480" w:firstLineChars="200"/>
        <w:rPr>
          <w:rFonts w:hint="default" w:ascii="Times New Roman" w:hAnsi="Times New Roman" w:eastAsia="宋体" w:cs="Times New Roman"/>
          <w:b w:val="0"/>
          <w:sz w:val="24"/>
          <w:szCs w:val="24"/>
          <w:lang w:eastAsia="zh-CN"/>
        </w:rPr>
      </w:pPr>
      <w:r>
        <w:rPr>
          <w:rFonts w:hint="default" w:ascii="Times New Roman" w:hAnsi="Times New Roman" w:eastAsia="宋体" w:cs="Times New Roman"/>
          <w:b w:val="0"/>
          <w:sz w:val="24"/>
          <w:szCs w:val="24"/>
          <w:lang w:eastAsia="zh-CN"/>
        </w:rPr>
        <w:t>TSP叠加环境质量现状值污染源排放的TSP对评价区域内各环境敏感点的年平均浓度叠加值范围在106.28μg/m³～108.99μg/m³之间，占标率为53.14%～54.49%之间，各敏感点年平均浓度叠加值均达标；区域最大地面浓度点叠加值为147.53μg/m³，占标率为73.77%，均达标。</w:t>
      </w:r>
    </w:p>
    <w:p>
      <w:pPr>
        <w:ind w:firstLine="480"/>
      </w:pPr>
      <w:r>
        <w:t>评价范围内敏感点、网格点进行影响预测分析发现：拟建项目敏感点TSP的日均浓度叠加值的最大浓度占标率≤100%，全时段叠加值的最大浓度占标率≤100%。</w:t>
      </w:r>
    </w:p>
    <w:p>
      <w:pPr>
        <w:pStyle w:val="2057"/>
        <w:spacing w:afterLines="0"/>
        <w:ind w:firstLine="0" w:firstLineChars="0"/>
      </w:pPr>
      <w:r>
        <w:rPr>
          <w:rFonts w:hint="eastAsia"/>
        </w:rPr>
        <w:drawing>
          <wp:inline distT="0" distB="0" distL="114300" distR="114300">
            <wp:extent cx="5289550" cy="3741420"/>
            <wp:effectExtent l="0" t="0" r="6350" b="11430"/>
            <wp:docPr id="67" name="图片 67" descr="TSP保证率日均浓度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TSP保证率日均浓度分布图"/>
                    <pic:cNvPicPr>
                      <a:picLocks noChangeAspect="1"/>
                    </pic:cNvPicPr>
                  </pic:nvPicPr>
                  <pic:blipFill>
                    <a:blip r:embed="rId223"/>
                    <a:stretch>
                      <a:fillRect/>
                    </a:stretch>
                  </pic:blipFill>
                  <pic:spPr>
                    <a:xfrm>
                      <a:off x="0" y="0"/>
                      <a:ext cx="5289550" cy="3741420"/>
                    </a:xfrm>
                    <a:prstGeom prst="rect">
                      <a:avLst/>
                    </a:prstGeom>
                  </pic:spPr>
                </pic:pic>
              </a:graphicData>
            </a:graphic>
          </wp:inline>
        </w:drawing>
      </w:r>
    </w:p>
    <w:p>
      <w:pPr>
        <w:pStyle w:val="3609"/>
        <w:spacing w:line="240" w:lineRule="atLeast"/>
        <w:ind w:left="0"/>
        <w:rPr>
          <w:b/>
          <w:bCs/>
        </w:rPr>
      </w:pPr>
      <w:r>
        <w:rPr>
          <w:rFonts w:hint="eastAsia"/>
          <w:b/>
          <w:bCs/>
        </w:rPr>
        <w:t>TSP</w:t>
      </w:r>
      <w:r>
        <w:rPr>
          <w:rFonts w:hint="eastAsia"/>
          <w:b/>
          <w:bCs/>
          <w:lang w:val="en-US" w:eastAsia="zh-CN"/>
        </w:rPr>
        <w:t>叠加后保证率</w:t>
      </w:r>
      <w:r>
        <w:rPr>
          <w:rFonts w:hint="eastAsia"/>
          <w:b/>
          <w:bCs/>
        </w:rPr>
        <w:t>日均浓度</w:t>
      </w:r>
      <w:r>
        <w:rPr>
          <w:rFonts w:hint="eastAsia"/>
          <w:b/>
          <w:bCs/>
          <w:lang w:val="en-US" w:eastAsia="zh-CN"/>
        </w:rPr>
        <w:t>分布图</w:t>
      </w:r>
    </w:p>
    <w:p>
      <w:pPr>
        <w:pStyle w:val="2057"/>
        <w:spacing w:afterLines="0"/>
        <w:ind w:firstLine="0" w:firstLineChars="0"/>
      </w:pPr>
      <w:r>
        <w:rPr>
          <w:rFonts w:hint="eastAsia"/>
        </w:rPr>
        <w:drawing>
          <wp:inline distT="0" distB="0" distL="114300" distR="114300">
            <wp:extent cx="5339080" cy="3776980"/>
            <wp:effectExtent l="0" t="0" r="13970" b="13970"/>
            <wp:docPr id="68" name="图片 68" descr="TSP年均浓度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TSP年均浓度分布图"/>
                    <pic:cNvPicPr>
                      <a:picLocks noChangeAspect="1"/>
                    </pic:cNvPicPr>
                  </pic:nvPicPr>
                  <pic:blipFill>
                    <a:blip r:embed="rId224"/>
                    <a:stretch>
                      <a:fillRect/>
                    </a:stretch>
                  </pic:blipFill>
                  <pic:spPr>
                    <a:xfrm>
                      <a:off x="0" y="0"/>
                      <a:ext cx="5339080" cy="3776980"/>
                    </a:xfrm>
                    <a:prstGeom prst="rect">
                      <a:avLst/>
                    </a:prstGeom>
                  </pic:spPr>
                </pic:pic>
              </a:graphicData>
            </a:graphic>
          </wp:inline>
        </w:drawing>
      </w:r>
    </w:p>
    <w:p>
      <w:pPr>
        <w:pStyle w:val="3609"/>
        <w:spacing w:line="240" w:lineRule="atLeast"/>
        <w:ind w:left="0"/>
        <w:rPr>
          <w:rFonts w:hint="eastAsia"/>
          <w:b/>
          <w:bCs/>
        </w:rPr>
      </w:pPr>
      <w:r>
        <w:rPr>
          <w:rFonts w:hint="default" w:ascii="Times New Roman" w:hAnsi="Times New Roman" w:cs="Times New Roman"/>
          <w:b/>
          <w:bCs/>
        </w:rPr>
        <w:t>TSP</w:t>
      </w:r>
      <w:r>
        <w:rPr>
          <w:rFonts w:hint="eastAsia"/>
          <w:b/>
          <w:bCs/>
          <w:lang w:val="en-US" w:eastAsia="zh-CN"/>
        </w:rPr>
        <w:t>叠加后</w:t>
      </w:r>
      <w:r>
        <w:rPr>
          <w:rFonts w:hint="eastAsia"/>
          <w:b/>
          <w:bCs/>
        </w:rPr>
        <w:t>年均浓度</w:t>
      </w:r>
      <w:r>
        <w:rPr>
          <w:rFonts w:hint="eastAsia"/>
          <w:b/>
          <w:bCs/>
          <w:lang w:val="en-US" w:eastAsia="zh-CN"/>
        </w:rPr>
        <w:t>分布</w:t>
      </w:r>
      <w:r>
        <w:rPr>
          <w:rFonts w:hint="eastAsia"/>
          <w:b/>
          <w:bCs/>
        </w:rPr>
        <w:t>图</w:t>
      </w:r>
    </w:p>
    <w:p>
      <w:pPr>
        <w:ind w:firstLine="480"/>
        <w:rPr>
          <w:rFonts w:hint="eastAsia" w:ascii="Times New Roman" w:hAnsi="Times New Roman" w:cs="Times New Roman"/>
          <w:lang w:val="en-US" w:eastAsia="zh-CN"/>
        </w:rPr>
      </w:pPr>
      <w:r>
        <w:rPr>
          <w:rFonts w:hint="eastAsia" w:ascii="Times New Roman" w:hAnsi="Times New Roman" w:cs="Times New Roman"/>
          <w:lang w:val="en-US" w:eastAsia="zh-CN"/>
        </w:rPr>
        <w:t>2）PM</w:t>
      </w:r>
      <w:r>
        <w:rPr>
          <w:rFonts w:hint="eastAsia" w:ascii="Times New Roman" w:hAnsi="Times New Roman" w:cs="Times New Roman"/>
          <w:vertAlign w:val="subscript"/>
          <w:lang w:val="en-US" w:eastAsia="zh-CN"/>
        </w:rPr>
        <w:t>10</w:t>
      </w:r>
      <w:r>
        <w:rPr>
          <w:rFonts w:hint="eastAsia" w:ascii="Times New Roman" w:hAnsi="Times New Roman" w:cs="Times New Roman"/>
          <w:lang w:val="en-US" w:eastAsia="zh-CN"/>
        </w:rPr>
        <w:t>叠加环境质量现状和削减源</w:t>
      </w:r>
    </w:p>
    <w:p>
      <w:pPr>
        <w:pStyle w:val="3586"/>
        <w:ind w:left="0"/>
        <w:rPr>
          <w:rFonts w:hint="eastAsia" w:ascii="Times New Roman" w:hAnsi="Times New Roman" w:eastAsia="宋体" w:cs="Times New Roman"/>
          <w:b/>
          <w:bCs/>
          <w:kern w:val="2"/>
          <w:sz w:val="21"/>
          <w:szCs w:val="20"/>
          <w:lang w:val="en-US" w:eastAsia="zh-CN" w:bidi="ar-SA"/>
        </w:rPr>
      </w:pPr>
      <w:r>
        <w:rPr>
          <w:rFonts w:hint="eastAsia" w:ascii="Times New Roman" w:hAnsi="Times New Roman" w:eastAsia="宋体" w:cs="Times New Roman"/>
          <w:b/>
          <w:bCs/>
          <w:kern w:val="2"/>
          <w:sz w:val="21"/>
          <w:szCs w:val="20"/>
          <w:lang w:val="en-US" w:eastAsia="zh-CN" w:bidi="ar-SA"/>
        </w:rPr>
        <w:t>污染源</w:t>
      </w:r>
      <w:r>
        <w:rPr>
          <w:rFonts w:hint="eastAsia" w:ascii="Times New Roman" w:hAnsi="Times New Roman" w:cs="Times New Roman"/>
          <w:lang w:val="en-US" w:eastAsia="zh-CN"/>
        </w:rPr>
        <w:t>PM</w:t>
      </w:r>
      <w:r>
        <w:rPr>
          <w:rFonts w:hint="eastAsia" w:ascii="Times New Roman" w:hAnsi="Times New Roman" w:cs="Times New Roman"/>
          <w:vertAlign w:val="subscript"/>
          <w:lang w:val="en-US" w:eastAsia="zh-CN"/>
        </w:rPr>
        <w:t>10</w:t>
      </w:r>
      <w:r>
        <w:rPr>
          <w:rFonts w:hint="eastAsia" w:ascii="Times New Roman" w:hAnsi="Times New Roman" w:eastAsia="宋体" w:cs="Times New Roman"/>
          <w:b/>
          <w:bCs/>
          <w:kern w:val="2"/>
          <w:sz w:val="21"/>
          <w:szCs w:val="20"/>
          <w:lang w:val="en-US" w:eastAsia="zh-CN" w:bidi="ar-SA"/>
        </w:rPr>
        <w:t>评价</w:t>
      </w:r>
      <w:r>
        <w:rPr>
          <w:rFonts w:hint="eastAsia" w:ascii="Times New Roman" w:hAnsi="Times New Roman" w:cs="Times New Roman"/>
          <w:lang w:val="en-US" w:eastAsia="zh-CN"/>
        </w:rPr>
        <w:t>区域</w:t>
      </w:r>
      <w:r>
        <w:rPr>
          <w:rFonts w:hint="eastAsia" w:ascii="Times New Roman" w:hAnsi="Times New Roman" w:eastAsia="宋体" w:cs="Times New Roman"/>
          <w:b/>
          <w:bCs/>
          <w:kern w:val="2"/>
          <w:sz w:val="21"/>
          <w:szCs w:val="20"/>
          <w:lang w:val="en-US" w:eastAsia="zh-CN" w:bidi="ar-SA"/>
        </w:rPr>
        <w:t>内各环境敏感点的</w:t>
      </w:r>
      <w:r>
        <w:rPr>
          <w:rFonts w:hint="eastAsia" w:ascii="Times New Roman" w:hAnsi="Times New Roman" w:cs="Times New Roman"/>
          <w:b/>
          <w:bCs/>
          <w:kern w:val="2"/>
          <w:sz w:val="21"/>
          <w:szCs w:val="20"/>
          <w:lang w:val="en-US" w:eastAsia="zh-CN" w:bidi="ar-SA"/>
        </w:rPr>
        <w:t>95%保证率</w:t>
      </w:r>
      <w:r>
        <w:rPr>
          <w:rFonts w:hint="eastAsia" w:ascii="Times New Roman" w:hAnsi="Times New Roman" w:eastAsia="宋体" w:cs="Times New Roman"/>
          <w:b/>
          <w:bCs/>
          <w:kern w:val="2"/>
          <w:sz w:val="21"/>
          <w:szCs w:val="20"/>
          <w:lang w:val="en-US" w:eastAsia="zh-CN" w:bidi="ar-SA"/>
        </w:rPr>
        <w:t>24小时平均叠加值浓度预测结果表</w:t>
      </w:r>
    </w:p>
    <w:tbl>
      <w:tblPr>
        <w:tblStyle w:val="88"/>
        <w:tblW w:w="959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92"/>
        <w:gridCol w:w="1117"/>
        <w:gridCol w:w="630"/>
        <w:gridCol w:w="645"/>
        <w:gridCol w:w="795"/>
        <w:gridCol w:w="1185"/>
        <w:gridCol w:w="812"/>
        <w:gridCol w:w="812"/>
        <w:gridCol w:w="812"/>
        <w:gridCol w:w="812"/>
        <w:gridCol w:w="815"/>
        <w:gridCol w:w="5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restar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污染物</w:t>
            </w:r>
          </w:p>
        </w:tc>
        <w:tc>
          <w:tcPr>
            <w:tcW w:w="1117" w:type="dxa"/>
            <w:vMerge w:val="restar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预测点</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X/</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Y/</w:t>
            </w:r>
          </w:p>
        </w:tc>
        <w:tc>
          <w:tcPr>
            <w:tcW w:w="795" w:type="dxa"/>
            <w:vMerge w:val="restar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平均</w:t>
            </w:r>
          </w:p>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时段</w:t>
            </w:r>
          </w:p>
        </w:tc>
        <w:tc>
          <w:tcPr>
            <w:tcW w:w="1185" w:type="dxa"/>
            <w:vMerge w:val="restar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出现时间</w:t>
            </w:r>
          </w:p>
        </w:tc>
        <w:tc>
          <w:tcPr>
            <w:tcW w:w="812"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贡献值浓度/</w:t>
            </w:r>
          </w:p>
        </w:tc>
        <w:tc>
          <w:tcPr>
            <w:tcW w:w="812"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削减源浓度/</w:t>
            </w:r>
          </w:p>
        </w:tc>
        <w:tc>
          <w:tcPr>
            <w:tcW w:w="812"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现状值/</w:t>
            </w:r>
          </w:p>
        </w:tc>
        <w:tc>
          <w:tcPr>
            <w:tcW w:w="812"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叠加值/</w:t>
            </w:r>
          </w:p>
        </w:tc>
        <w:tc>
          <w:tcPr>
            <w:tcW w:w="815"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占标率/</w:t>
            </w:r>
          </w:p>
        </w:tc>
        <w:tc>
          <w:tcPr>
            <w:tcW w:w="572" w:type="dxa"/>
            <w:vMerge w:val="restar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m</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m</w:t>
            </w:r>
          </w:p>
        </w:tc>
        <w:tc>
          <w:tcPr>
            <w:tcW w:w="795"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85"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812"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(μg/m³)</w:t>
            </w:r>
          </w:p>
        </w:tc>
        <w:tc>
          <w:tcPr>
            <w:tcW w:w="812"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(μg/m³)</w:t>
            </w:r>
          </w:p>
        </w:tc>
        <w:tc>
          <w:tcPr>
            <w:tcW w:w="812"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(μg/m³)</w:t>
            </w:r>
          </w:p>
        </w:tc>
        <w:tc>
          <w:tcPr>
            <w:tcW w:w="812"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(μg/m³)</w:t>
            </w:r>
          </w:p>
        </w:tc>
        <w:tc>
          <w:tcPr>
            <w:tcW w:w="81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w:t>
            </w:r>
          </w:p>
        </w:tc>
        <w:tc>
          <w:tcPr>
            <w:tcW w:w="57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restar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PM</w:t>
            </w:r>
            <w:r>
              <w:rPr>
                <w:rFonts w:hint="eastAsia" w:ascii="Times New Roman" w:hAnsi="Times New Roman" w:cs="Times New Roman"/>
                <w:sz w:val="21"/>
                <w:szCs w:val="21"/>
                <w:vertAlign w:val="subscript"/>
                <w:lang w:val="en-US" w:eastAsia="zh-CN"/>
              </w:rPr>
              <w:t>10</w:t>
            </w: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滨江学校</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726</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2021/02/12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0.13</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0.97</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119.16</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79.44</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大鼓山</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2,051</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-9</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2021/02/12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0.10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119.91</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79.94</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滨江村</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361</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-280</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2021/04/17</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119.00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79.33</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吴家垄</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1,083</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-371</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2021/02/12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0.13</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0.41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119.72</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79.82</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胥芦畈</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2,185</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-241</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2021/02/12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0.04</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0.29</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119.75</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79.83</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橙子岭</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1,878</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-526</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2021/02/12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0.09</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0.35</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119.74</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79.82</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芦家屋场</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1,156</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-544</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2021/01/27</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0.28</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119.74</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79.83</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汪家二房</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2,135</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-968</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2021/02/12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0.04</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0.11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119.93</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79.95</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乌石矶</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100</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-1,103</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2021/04/17</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0.04</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119.00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118.96</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79.31</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中屋沙咀</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682</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-1,254</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2021/01/27</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0.08</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0.29</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119.79</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79.86</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桑泥湖</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1,789</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-1,221</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2021/01/27</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0.03</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0.24</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119.79</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79.86</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许家高墩</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-1,583</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1,791</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2021/02/12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0.07</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0.21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119.86</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79.91</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屋沙咀</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868</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-1,560</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2021/01/27</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0.05</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0.17</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119.88</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79.92</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白鹭中学</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-1,567</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2,172</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2021/02/12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0.07</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0.18</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119.89</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79.92</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七房</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186</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314</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2021/01/15</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0.39</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2.47</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121.00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118.92</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79.28</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六屋</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1,124</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1,470</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2021/02/12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0.06</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0.20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119.86</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79.91</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道仁矶中学</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1,774</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1,030</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2021/02/12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0.03</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0.18</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119.85</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79.90</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高粱咀</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2,017</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1,515</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2021/02/12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0.05</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0.24</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119.82</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79.88</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新建</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2,411</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1,497</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2021/02/12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0.03</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0.15</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119.89</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79.92</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胡家垄</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2,142</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1,121</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2021/02/12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0.10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119.92</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79.95</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北斗坡</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2,272</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800</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2021/01/27</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120.00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80.00</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胡彭家</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2,285</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523</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2021/01/27</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120.00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80.00</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郑家祠堂</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1,025</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198</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2021/02/12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0.04</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0.31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119.73</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79.82</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区域最大值</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-400</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-100</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2021/01/15</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10.81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0.49</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121.00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131.32</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87.55</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bl>
    <w:p>
      <w:pPr>
        <w:pStyle w:val="3586"/>
        <w:ind w:left="0"/>
      </w:pPr>
      <w:r>
        <w:rPr>
          <w:rFonts w:hint="eastAsia"/>
          <w:lang w:val="en-US" w:eastAsia="zh-CN"/>
        </w:rPr>
        <w:t>污染源</w:t>
      </w:r>
      <w:r>
        <w:rPr>
          <w:rFonts w:hint="eastAsia" w:ascii="Times New Roman" w:hAnsi="Times New Roman" w:cs="Times New Roman"/>
          <w:lang w:val="en-US" w:eastAsia="zh-CN"/>
        </w:rPr>
        <w:t>PM</w:t>
      </w:r>
      <w:r>
        <w:rPr>
          <w:rFonts w:hint="eastAsia" w:ascii="Times New Roman" w:hAnsi="Times New Roman" w:cs="Times New Roman"/>
          <w:vertAlign w:val="subscript"/>
          <w:lang w:val="en-US" w:eastAsia="zh-CN"/>
        </w:rPr>
        <w:t>10</w:t>
      </w:r>
      <w:r>
        <w:rPr>
          <w:rFonts w:hint="eastAsia"/>
          <w:lang w:val="en-US" w:eastAsia="zh-CN"/>
        </w:rPr>
        <w:t>评价区域内各环境敏感点的年平均叠加浓度预测结果表</w:t>
      </w:r>
    </w:p>
    <w:tbl>
      <w:tblPr>
        <w:tblStyle w:val="88"/>
        <w:tblW w:w="501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09"/>
        <w:gridCol w:w="1296"/>
        <w:gridCol w:w="711"/>
        <w:gridCol w:w="746"/>
        <w:gridCol w:w="780"/>
        <w:gridCol w:w="813"/>
        <w:gridCol w:w="813"/>
        <w:gridCol w:w="813"/>
        <w:gridCol w:w="813"/>
        <w:gridCol w:w="813"/>
        <w:gridCol w:w="8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restart"/>
            <w:vAlign w:val="center"/>
          </w:tcPr>
          <w:p>
            <w:pPr>
              <w:pStyle w:val="2057"/>
              <w:tabs>
                <w:tab w:val="left" w:pos="480"/>
              </w:tabs>
              <w:spacing w:afterLines="0"/>
              <w:ind w:firstLine="0" w:firstLineChars="0"/>
              <w:jc w:val="center"/>
              <w:rPr>
                <w:b/>
                <w:bCs w:val="0"/>
                <w:sz w:val="21"/>
                <w:szCs w:val="21"/>
              </w:rPr>
            </w:pPr>
            <w:r>
              <w:rPr>
                <w:rFonts w:hint="eastAsia"/>
                <w:b/>
                <w:bCs w:val="0"/>
                <w:sz w:val="21"/>
                <w:szCs w:val="21"/>
              </w:rPr>
              <w:t>污染物</w:t>
            </w:r>
          </w:p>
        </w:tc>
        <w:tc>
          <w:tcPr>
            <w:tcW w:w="709" w:type="pct"/>
            <w:vMerge w:val="restart"/>
            <w:vAlign w:val="center"/>
          </w:tcPr>
          <w:p>
            <w:pPr>
              <w:pStyle w:val="2057"/>
              <w:tabs>
                <w:tab w:val="left" w:pos="480"/>
              </w:tabs>
              <w:spacing w:afterLines="0"/>
              <w:ind w:firstLine="0" w:firstLineChars="0"/>
              <w:jc w:val="center"/>
              <w:rPr>
                <w:b/>
                <w:bCs w:val="0"/>
                <w:sz w:val="21"/>
                <w:szCs w:val="21"/>
              </w:rPr>
            </w:pPr>
            <w:r>
              <w:rPr>
                <w:rFonts w:hint="eastAsia"/>
                <w:b/>
                <w:bCs w:val="0"/>
                <w:sz w:val="21"/>
                <w:szCs w:val="21"/>
              </w:rPr>
              <w:t>预测点</w:t>
            </w:r>
          </w:p>
        </w:tc>
        <w:tc>
          <w:tcPr>
            <w:tcW w:w="389" w:type="pct"/>
            <w:vAlign w:val="center"/>
          </w:tcPr>
          <w:p>
            <w:pPr>
              <w:pStyle w:val="2057"/>
              <w:tabs>
                <w:tab w:val="left" w:pos="480"/>
              </w:tabs>
              <w:spacing w:afterLines="0"/>
              <w:ind w:firstLine="0" w:firstLineChars="0"/>
              <w:jc w:val="center"/>
              <w:rPr>
                <w:b/>
                <w:bCs w:val="0"/>
                <w:sz w:val="21"/>
                <w:szCs w:val="21"/>
              </w:rPr>
            </w:pPr>
            <w:r>
              <w:rPr>
                <w:b/>
                <w:bCs w:val="0"/>
                <w:sz w:val="21"/>
                <w:szCs w:val="21"/>
              </w:rPr>
              <w:t>X/</w:t>
            </w:r>
          </w:p>
        </w:tc>
        <w:tc>
          <w:tcPr>
            <w:tcW w:w="408" w:type="pct"/>
            <w:vAlign w:val="center"/>
          </w:tcPr>
          <w:p>
            <w:pPr>
              <w:pStyle w:val="2057"/>
              <w:tabs>
                <w:tab w:val="left" w:pos="480"/>
              </w:tabs>
              <w:spacing w:afterLines="0"/>
              <w:ind w:firstLine="0" w:firstLineChars="0"/>
              <w:jc w:val="center"/>
              <w:rPr>
                <w:b/>
                <w:bCs w:val="0"/>
                <w:sz w:val="21"/>
                <w:szCs w:val="21"/>
              </w:rPr>
            </w:pPr>
            <w:r>
              <w:rPr>
                <w:b/>
                <w:bCs w:val="0"/>
                <w:sz w:val="21"/>
                <w:szCs w:val="21"/>
              </w:rPr>
              <w:t>Y/</w:t>
            </w:r>
          </w:p>
        </w:tc>
        <w:tc>
          <w:tcPr>
            <w:tcW w:w="427" w:type="pct"/>
            <w:vMerge w:val="restart"/>
            <w:vAlign w:val="center"/>
          </w:tcPr>
          <w:p>
            <w:pPr>
              <w:pStyle w:val="2057"/>
              <w:tabs>
                <w:tab w:val="left" w:pos="480"/>
              </w:tabs>
              <w:spacing w:afterLines="0"/>
              <w:ind w:firstLine="0" w:firstLineChars="0"/>
              <w:jc w:val="center"/>
              <w:rPr>
                <w:b/>
                <w:bCs w:val="0"/>
                <w:sz w:val="21"/>
                <w:szCs w:val="21"/>
              </w:rPr>
            </w:pPr>
            <w:r>
              <w:rPr>
                <w:rFonts w:hint="eastAsia"/>
                <w:b/>
                <w:bCs w:val="0"/>
                <w:sz w:val="21"/>
                <w:szCs w:val="21"/>
              </w:rPr>
              <w:t>平均</w:t>
            </w:r>
          </w:p>
          <w:p>
            <w:pPr>
              <w:pStyle w:val="2057"/>
              <w:tabs>
                <w:tab w:val="left" w:pos="480"/>
              </w:tabs>
              <w:spacing w:afterLines="0"/>
              <w:ind w:firstLine="0" w:firstLineChars="0"/>
              <w:jc w:val="center"/>
              <w:rPr>
                <w:b/>
                <w:bCs w:val="0"/>
                <w:sz w:val="21"/>
                <w:szCs w:val="21"/>
              </w:rPr>
            </w:pPr>
            <w:r>
              <w:rPr>
                <w:rFonts w:hint="eastAsia"/>
                <w:b/>
                <w:bCs w:val="0"/>
                <w:sz w:val="21"/>
                <w:szCs w:val="21"/>
              </w:rPr>
              <w:t>时段</w:t>
            </w:r>
          </w:p>
        </w:tc>
        <w:tc>
          <w:tcPr>
            <w:tcW w:w="811" w:type="dxa"/>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eastAsia" w:ascii="Times New Roman" w:hAnsi="Times New Roman" w:cs="Times New Roman"/>
                <w:b/>
                <w:bCs w:val="0"/>
                <w:sz w:val="21"/>
                <w:szCs w:val="21"/>
                <w:lang w:eastAsia="zh-CN"/>
              </w:rPr>
              <w:t>贡献值浓度/</w:t>
            </w:r>
          </w:p>
        </w:tc>
        <w:tc>
          <w:tcPr>
            <w:tcW w:w="811" w:type="dxa"/>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eastAsia" w:ascii="Times New Roman" w:hAnsi="Times New Roman" w:cs="Times New Roman"/>
                <w:b/>
                <w:bCs w:val="0"/>
                <w:sz w:val="21"/>
                <w:szCs w:val="21"/>
                <w:lang w:eastAsia="zh-CN"/>
              </w:rPr>
              <w:t>削减源浓度/</w:t>
            </w:r>
          </w:p>
        </w:tc>
        <w:tc>
          <w:tcPr>
            <w:tcW w:w="445" w:type="pct"/>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eastAsia" w:ascii="Times New Roman" w:hAnsi="Times New Roman" w:cs="Times New Roman"/>
                <w:b/>
                <w:bCs w:val="0"/>
                <w:sz w:val="21"/>
                <w:szCs w:val="21"/>
                <w:lang w:eastAsia="zh-CN"/>
              </w:rPr>
              <w:t>现状值/</w:t>
            </w:r>
          </w:p>
        </w:tc>
        <w:tc>
          <w:tcPr>
            <w:tcW w:w="445" w:type="pct"/>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eastAsia" w:ascii="Times New Roman" w:hAnsi="Times New Roman" w:cs="Times New Roman"/>
                <w:b/>
                <w:bCs w:val="0"/>
                <w:sz w:val="21"/>
                <w:szCs w:val="21"/>
                <w:lang w:eastAsia="zh-CN"/>
              </w:rPr>
              <w:t>叠加值/</w:t>
            </w:r>
          </w:p>
        </w:tc>
        <w:tc>
          <w:tcPr>
            <w:tcW w:w="445" w:type="pct"/>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eastAsia" w:ascii="Times New Roman" w:hAnsi="Times New Roman" w:cs="Times New Roman"/>
                <w:b/>
                <w:bCs w:val="0"/>
                <w:sz w:val="21"/>
                <w:szCs w:val="21"/>
                <w:lang w:eastAsia="zh-CN"/>
              </w:rPr>
              <w:t>占标率/</w:t>
            </w:r>
          </w:p>
        </w:tc>
        <w:tc>
          <w:tcPr>
            <w:tcW w:w="447" w:type="pct"/>
            <w:vMerge w:val="restart"/>
            <w:tcBorders>
              <w:tl2br w:val="nil"/>
              <w:tr2bl w:val="nil"/>
            </w:tcBorders>
            <w:vAlign w:val="center"/>
          </w:tcPr>
          <w:p>
            <w:pPr>
              <w:pStyle w:val="2057"/>
              <w:tabs>
                <w:tab w:val="left" w:pos="480"/>
              </w:tabs>
              <w:spacing w:afterLines="0"/>
              <w:ind w:firstLine="0" w:firstLineChars="0"/>
              <w:jc w:val="center"/>
              <w:rPr>
                <w:b/>
                <w:bCs w:val="0"/>
                <w:sz w:val="21"/>
                <w:szCs w:val="21"/>
              </w:rPr>
            </w:pPr>
            <w:r>
              <w:rPr>
                <w:rFonts w:hint="eastAsia"/>
                <w:b/>
                <w:bCs w:val="0"/>
                <w:sz w:val="21"/>
                <w:szCs w:val="21"/>
              </w:rPr>
              <w:t>达标</w:t>
            </w:r>
          </w:p>
          <w:p>
            <w:pPr>
              <w:pStyle w:val="2057"/>
              <w:tabs>
                <w:tab w:val="left" w:pos="480"/>
              </w:tabs>
              <w:spacing w:afterLines="0"/>
              <w:ind w:firstLine="0" w:firstLineChars="0"/>
              <w:jc w:val="center"/>
              <w:rPr>
                <w:sz w:val="21"/>
                <w:szCs w:val="21"/>
              </w:rPr>
            </w:pPr>
            <w:r>
              <w:rPr>
                <w:rFonts w:hint="eastAsia"/>
                <w:b/>
                <w:bCs w:val="0"/>
                <w:sz w:val="21"/>
                <w:szCs w:val="21"/>
              </w:rPr>
              <w:t>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bottom w:val="single" w:color="auto" w:sz="12" w:space="0"/>
            </w:tcBorders>
            <w:vAlign w:val="center"/>
          </w:tcPr>
          <w:p>
            <w:pPr>
              <w:pStyle w:val="2057"/>
              <w:tabs>
                <w:tab w:val="left" w:pos="480"/>
              </w:tabs>
              <w:spacing w:afterLines="0"/>
              <w:ind w:firstLine="0" w:firstLineChars="0"/>
              <w:jc w:val="center"/>
              <w:rPr>
                <w:b/>
                <w:bCs w:val="0"/>
                <w:sz w:val="21"/>
                <w:szCs w:val="21"/>
              </w:rPr>
            </w:pPr>
          </w:p>
        </w:tc>
        <w:tc>
          <w:tcPr>
            <w:tcW w:w="709" w:type="pct"/>
            <w:vMerge w:val="continue"/>
            <w:tcBorders>
              <w:bottom w:val="single" w:color="auto" w:sz="12" w:space="0"/>
            </w:tcBorders>
            <w:vAlign w:val="center"/>
          </w:tcPr>
          <w:p>
            <w:pPr>
              <w:pStyle w:val="2057"/>
              <w:tabs>
                <w:tab w:val="left" w:pos="480"/>
              </w:tabs>
              <w:spacing w:afterLines="0"/>
              <w:ind w:firstLine="0" w:firstLineChars="0"/>
              <w:jc w:val="center"/>
              <w:rPr>
                <w:b/>
                <w:bCs w:val="0"/>
                <w:sz w:val="21"/>
                <w:szCs w:val="21"/>
              </w:rPr>
            </w:pPr>
          </w:p>
        </w:tc>
        <w:tc>
          <w:tcPr>
            <w:tcW w:w="389" w:type="pct"/>
            <w:tcBorders>
              <w:bottom w:val="single" w:color="auto" w:sz="12" w:space="0"/>
            </w:tcBorders>
            <w:vAlign w:val="center"/>
          </w:tcPr>
          <w:p>
            <w:pPr>
              <w:pStyle w:val="2057"/>
              <w:tabs>
                <w:tab w:val="left" w:pos="480"/>
              </w:tabs>
              <w:spacing w:afterLines="0"/>
              <w:ind w:firstLine="0" w:firstLineChars="0"/>
              <w:jc w:val="center"/>
              <w:rPr>
                <w:b/>
                <w:bCs w:val="0"/>
                <w:sz w:val="21"/>
                <w:szCs w:val="21"/>
              </w:rPr>
            </w:pPr>
            <w:r>
              <w:rPr>
                <w:b/>
                <w:bCs w:val="0"/>
                <w:sz w:val="21"/>
                <w:szCs w:val="21"/>
              </w:rPr>
              <w:t>m</w:t>
            </w:r>
          </w:p>
        </w:tc>
        <w:tc>
          <w:tcPr>
            <w:tcW w:w="408" w:type="pct"/>
            <w:tcBorders>
              <w:bottom w:val="single" w:color="auto" w:sz="12" w:space="0"/>
            </w:tcBorders>
            <w:vAlign w:val="center"/>
          </w:tcPr>
          <w:p>
            <w:pPr>
              <w:pStyle w:val="2057"/>
              <w:tabs>
                <w:tab w:val="left" w:pos="480"/>
              </w:tabs>
              <w:spacing w:afterLines="0"/>
              <w:ind w:firstLine="0" w:firstLineChars="0"/>
              <w:jc w:val="center"/>
              <w:rPr>
                <w:b/>
                <w:bCs w:val="0"/>
                <w:sz w:val="21"/>
                <w:szCs w:val="21"/>
              </w:rPr>
            </w:pPr>
            <w:r>
              <w:rPr>
                <w:b/>
                <w:bCs w:val="0"/>
                <w:sz w:val="21"/>
                <w:szCs w:val="21"/>
              </w:rPr>
              <w:t>m</w:t>
            </w:r>
          </w:p>
        </w:tc>
        <w:tc>
          <w:tcPr>
            <w:tcW w:w="427" w:type="pct"/>
            <w:vMerge w:val="continue"/>
            <w:tcBorders>
              <w:bottom w:val="single" w:color="auto" w:sz="12" w:space="0"/>
            </w:tcBorders>
            <w:vAlign w:val="center"/>
          </w:tcPr>
          <w:p>
            <w:pPr>
              <w:pStyle w:val="2057"/>
              <w:tabs>
                <w:tab w:val="left" w:pos="480"/>
              </w:tabs>
              <w:spacing w:afterLines="0"/>
              <w:ind w:firstLine="0" w:firstLineChars="0"/>
              <w:jc w:val="center"/>
              <w:rPr>
                <w:b/>
                <w:bCs w:val="0"/>
                <w:sz w:val="21"/>
                <w:szCs w:val="21"/>
              </w:rPr>
            </w:pPr>
          </w:p>
        </w:tc>
        <w:tc>
          <w:tcPr>
            <w:tcW w:w="445" w:type="pct"/>
            <w:tcBorders>
              <w:bottom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default" w:ascii="Times New Roman" w:hAnsi="Times New Roman" w:cs="Times New Roman"/>
                <w:b/>
                <w:bCs w:val="0"/>
                <w:sz w:val="21"/>
                <w:szCs w:val="21"/>
                <w:lang w:eastAsia="zh-CN"/>
              </w:rPr>
              <w:t>(μg/m³)</w:t>
            </w:r>
          </w:p>
        </w:tc>
        <w:tc>
          <w:tcPr>
            <w:tcW w:w="445" w:type="pct"/>
            <w:tcBorders>
              <w:bottom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default" w:ascii="Times New Roman" w:hAnsi="Times New Roman" w:cs="Times New Roman"/>
                <w:b/>
                <w:bCs w:val="0"/>
                <w:sz w:val="21"/>
                <w:szCs w:val="21"/>
                <w:lang w:eastAsia="zh-CN"/>
              </w:rPr>
              <w:t>(μg/m³)</w:t>
            </w:r>
          </w:p>
        </w:tc>
        <w:tc>
          <w:tcPr>
            <w:tcW w:w="445" w:type="pct"/>
            <w:tcBorders>
              <w:bottom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default" w:ascii="Times New Roman" w:hAnsi="Times New Roman" w:cs="Times New Roman"/>
                <w:b/>
                <w:bCs w:val="0"/>
                <w:sz w:val="21"/>
                <w:szCs w:val="21"/>
                <w:lang w:eastAsia="zh-CN"/>
              </w:rPr>
              <w:t>(μg/m³)</w:t>
            </w:r>
          </w:p>
        </w:tc>
        <w:tc>
          <w:tcPr>
            <w:tcW w:w="445" w:type="pct"/>
            <w:tcBorders>
              <w:bottom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default" w:ascii="Times New Roman" w:hAnsi="Times New Roman" w:cs="Times New Roman"/>
                <w:b/>
                <w:bCs w:val="0"/>
                <w:sz w:val="21"/>
                <w:szCs w:val="21"/>
                <w:lang w:eastAsia="zh-CN"/>
              </w:rPr>
              <w:t>(μg/m³)</w:t>
            </w:r>
          </w:p>
        </w:tc>
        <w:tc>
          <w:tcPr>
            <w:tcW w:w="445" w:type="pct"/>
            <w:tcBorders>
              <w:bottom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default" w:ascii="Times New Roman" w:hAnsi="Times New Roman" w:cs="Times New Roman"/>
                <w:b/>
                <w:bCs w:val="0"/>
                <w:sz w:val="21"/>
                <w:szCs w:val="21"/>
                <w:lang w:eastAsia="zh-CN"/>
              </w:rPr>
              <w:t>%</w:t>
            </w:r>
          </w:p>
        </w:tc>
        <w:tc>
          <w:tcPr>
            <w:tcW w:w="447" w:type="pct"/>
            <w:vMerge w:val="continue"/>
            <w:tcBorders>
              <w:tl2br w:val="nil"/>
              <w:tr2bl w:val="nil"/>
            </w:tcBorders>
            <w:vAlign w:val="center"/>
          </w:tcPr>
          <w:p>
            <w:pPr>
              <w:pStyle w:val="2057"/>
              <w:tabs>
                <w:tab w:val="left" w:pos="480"/>
              </w:tabs>
              <w:spacing w:afterLines="0"/>
              <w:ind w:firstLine="0" w:firstLineChars="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restart"/>
            <w:tcBorders>
              <w:top w:val="single" w:color="auto" w:sz="12" w:space="0"/>
              <w:tl2br w:val="nil"/>
              <w:tr2bl w:val="nil"/>
            </w:tcBorders>
            <w:vAlign w:val="center"/>
          </w:tcPr>
          <w:p>
            <w:pPr>
              <w:pStyle w:val="2057"/>
              <w:tabs>
                <w:tab w:val="left" w:pos="480"/>
              </w:tabs>
              <w:spacing w:afterLines="0"/>
              <w:ind w:firstLine="0" w:firstLineChars="0"/>
              <w:jc w:val="center"/>
              <w:rPr>
                <w:sz w:val="21"/>
                <w:szCs w:val="21"/>
              </w:rPr>
            </w:pPr>
            <w:r>
              <w:rPr>
                <w:rFonts w:hint="eastAsia" w:ascii="Times New Roman" w:hAnsi="Times New Roman" w:cs="Times New Roman"/>
                <w:sz w:val="21"/>
                <w:szCs w:val="21"/>
                <w:lang w:val="en-US" w:eastAsia="zh-CN"/>
              </w:rPr>
              <w:t>PM</w:t>
            </w:r>
            <w:r>
              <w:rPr>
                <w:rFonts w:hint="eastAsia" w:ascii="Times New Roman" w:hAnsi="Times New Roman" w:cs="Times New Roman"/>
                <w:sz w:val="21"/>
                <w:szCs w:val="21"/>
                <w:vertAlign w:val="subscript"/>
                <w:lang w:val="en-US" w:eastAsia="zh-CN"/>
              </w:rPr>
              <w:t>10</w:t>
            </w:r>
          </w:p>
        </w:tc>
        <w:tc>
          <w:tcPr>
            <w:tcW w:w="709" w:type="pct"/>
            <w:tcBorders>
              <w:top w:val="single" w:color="auto" w:sz="12" w:space="0"/>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滨江学校</w:t>
            </w:r>
          </w:p>
        </w:tc>
        <w:tc>
          <w:tcPr>
            <w:tcW w:w="389" w:type="pct"/>
            <w:tcBorders>
              <w:top w:val="single" w:color="auto" w:sz="12" w:space="0"/>
              <w:tl2br w:val="nil"/>
              <w:tr2bl w:val="nil"/>
            </w:tcBorders>
            <w:vAlign w:val="center"/>
          </w:tcPr>
          <w:p>
            <w:pPr>
              <w:pStyle w:val="2057"/>
              <w:tabs>
                <w:tab w:val="left" w:pos="480"/>
              </w:tabs>
              <w:spacing w:afterLines="0"/>
              <w:ind w:firstLine="0" w:firstLineChars="0"/>
              <w:jc w:val="center"/>
              <w:rPr>
                <w:sz w:val="21"/>
                <w:szCs w:val="21"/>
              </w:rPr>
            </w:pPr>
            <w:r>
              <w:rPr>
                <w:sz w:val="21"/>
                <w:szCs w:val="21"/>
              </w:rPr>
              <w:t>726</w:t>
            </w:r>
          </w:p>
        </w:tc>
        <w:tc>
          <w:tcPr>
            <w:tcW w:w="408" w:type="pct"/>
            <w:tcBorders>
              <w:top w:val="single" w:color="auto" w:sz="12" w:space="0"/>
              <w:tl2br w:val="nil"/>
              <w:tr2bl w:val="nil"/>
            </w:tcBorders>
            <w:vAlign w:val="center"/>
          </w:tcPr>
          <w:p>
            <w:pPr>
              <w:pStyle w:val="2057"/>
              <w:tabs>
                <w:tab w:val="left" w:pos="480"/>
              </w:tabs>
              <w:spacing w:afterLines="0"/>
              <w:ind w:firstLine="0" w:firstLineChars="0"/>
              <w:jc w:val="center"/>
              <w:rPr>
                <w:sz w:val="21"/>
                <w:szCs w:val="21"/>
              </w:rPr>
            </w:pPr>
            <w:r>
              <w:rPr>
                <w:sz w:val="21"/>
                <w:szCs w:val="21"/>
              </w:rPr>
              <w:t>-24</w:t>
            </w:r>
          </w:p>
        </w:tc>
        <w:tc>
          <w:tcPr>
            <w:tcW w:w="427" w:type="pct"/>
            <w:tcBorders>
              <w:top w:val="single" w:color="auto" w:sz="12" w:space="0"/>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op w:val="single" w:color="auto" w:sz="12" w:space="0"/>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0.03</w:t>
            </w:r>
          </w:p>
        </w:tc>
        <w:tc>
          <w:tcPr>
            <w:tcW w:w="811" w:type="dxa"/>
            <w:tcBorders>
              <w:top w:val="single" w:color="auto" w:sz="12" w:space="0"/>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0.11</w:t>
            </w:r>
          </w:p>
        </w:tc>
        <w:tc>
          <w:tcPr>
            <w:tcW w:w="811" w:type="dxa"/>
            <w:tcBorders>
              <w:top w:val="single" w:color="auto" w:sz="12" w:space="0"/>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op w:val="single" w:color="auto" w:sz="12" w:space="0"/>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56.54</w:t>
            </w:r>
          </w:p>
        </w:tc>
        <w:tc>
          <w:tcPr>
            <w:tcW w:w="811" w:type="dxa"/>
            <w:tcBorders>
              <w:top w:val="single" w:color="auto" w:sz="12" w:space="0"/>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80.76</w:t>
            </w:r>
          </w:p>
        </w:tc>
        <w:tc>
          <w:tcPr>
            <w:tcW w:w="814" w:type="dxa"/>
            <w:tcBorders>
              <w:bottom w:val="single" w:color="auto" w:sz="12" w:space="0"/>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pStyle w:val="2057"/>
              <w:tabs>
                <w:tab w:val="left" w:pos="480"/>
              </w:tabs>
              <w:spacing w:afterLines="0"/>
              <w:ind w:firstLine="0" w:firstLineChars="0"/>
              <w:jc w:val="center"/>
              <w:rPr>
                <w:sz w:val="21"/>
                <w:szCs w:val="21"/>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大鼓山</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2,051</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-9</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80.87</w:t>
            </w:r>
          </w:p>
        </w:tc>
        <w:tc>
          <w:tcPr>
            <w:tcW w:w="814" w:type="dxa"/>
            <w:tcBorders>
              <w:top w:val="single" w:color="auto" w:sz="12" w:space="0"/>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pStyle w:val="2057"/>
              <w:tabs>
                <w:tab w:val="left" w:pos="480"/>
              </w:tabs>
              <w:spacing w:afterLines="0"/>
              <w:ind w:firstLine="0" w:firstLineChars="0"/>
              <w:jc w:val="center"/>
              <w:rPr>
                <w:sz w:val="21"/>
                <w:szCs w:val="21"/>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滨江村</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361</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-280</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0.07</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0.47</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56.23</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80.32</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pStyle w:val="2057"/>
              <w:tabs>
                <w:tab w:val="left" w:pos="480"/>
              </w:tabs>
              <w:spacing w:afterLines="0"/>
              <w:ind w:firstLine="0" w:firstLineChars="0"/>
              <w:jc w:val="center"/>
              <w:rPr>
                <w:sz w:val="21"/>
                <w:szCs w:val="21"/>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吴家垄</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1,083</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-371</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0.07</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56.56</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80.80</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pStyle w:val="2057"/>
              <w:tabs>
                <w:tab w:val="left" w:pos="480"/>
              </w:tabs>
              <w:spacing w:afterLines="0"/>
              <w:ind w:firstLine="0" w:firstLineChars="0"/>
              <w:jc w:val="center"/>
              <w:rPr>
                <w:sz w:val="21"/>
                <w:szCs w:val="21"/>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胥芦畈</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2,185</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-241</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80.87</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pStyle w:val="2057"/>
              <w:tabs>
                <w:tab w:val="left" w:pos="480"/>
              </w:tabs>
              <w:spacing w:afterLines="0"/>
              <w:ind w:firstLine="0" w:firstLineChars="0"/>
              <w:jc w:val="center"/>
              <w:rPr>
                <w:sz w:val="21"/>
                <w:szCs w:val="21"/>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橙子岭</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1,878</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-526</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80.86</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芦家屋场</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1,156</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-544</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0.07</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56.57</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80.81</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汪家二房</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2,135</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-968</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80.86</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乌石矶</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100</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-1,103</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0.49</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56.24</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80.34</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中屋沙咀</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682</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-1,254</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0.03</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0.16</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56.50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80.71</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桑泥湖</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1,789</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-1,221</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0.04</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56.59</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80.85</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许家高墩</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-1,583</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1,791</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0.03</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56.54</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80.77</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屋沙咀</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868</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-1,560</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0.03</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56.54</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80.77</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白鹭中学</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-1,567</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2,172</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0.03</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0.08</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56.56</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80.80</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七房</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186</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314</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0.16</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2.09</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54.69</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78.13</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六屋</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1,124</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1,470</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0.03</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56.52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80.75</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道仁矶中学</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1,774</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1,030</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0.05</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56.58</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80.83</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高粱咀</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2,017</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1,515</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0.05</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56.59</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80.84</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新建</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2,411</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1,497</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0.03</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80.85</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胡家垄</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2,142</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1,121</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0.04</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56.59</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80.85</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北斗坡</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2,272</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800</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0.03</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56.59</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80.85</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胡彭家</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2,285</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523</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0.03</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80.85</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郑家祠堂</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1,025</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198</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0.08</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56.56</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80.80</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区域最大值</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-300</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100</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13.42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4.20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56.62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65.84</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94.06</w:t>
            </w:r>
          </w:p>
        </w:tc>
        <w:tc>
          <w:tcPr>
            <w:tcW w:w="814" w:type="dxa"/>
            <w:tcBorders>
              <w:tl2br w:val="nil"/>
              <w:tr2bl w:val="nil"/>
            </w:tcBorders>
            <w:vAlign w:val="top"/>
          </w:tcPr>
          <w:p>
            <w:pPr>
              <w:pStyle w:val="2057"/>
              <w:tabs>
                <w:tab w:val="left" w:pos="480"/>
              </w:tabs>
              <w:spacing w:afterLines="0"/>
              <w:ind w:firstLine="0" w:firstLineChars="0"/>
              <w:jc w:val="center"/>
              <w:rPr>
                <w:rFonts w:ascii="Times New Roman" w:hAnsi="Times New Roman" w:cs="Times New Roman"/>
                <w:sz w:val="21"/>
                <w:szCs w:val="21"/>
              </w:rPr>
            </w:pPr>
            <w:r>
              <w:rPr>
                <w:rFonts w:hint="eastAsia" w:ascii="Times New Roman" w:hAnsi="Times New Roman" w:cs="Times New Roman"/>
                <w:sz w:val="21"/>
                <w:szCs w:val="21"/>
                <w:lang w:eastAsia="zh-CN"/>
              </w:rPr>
              <w:t>达标</w:t>
            </w:r>
          </w:p>
        </w:tc>
      </w:tr>
    </w:tbl>
    <w:p>
      <w:pPr>
        <w:spacing w:line="360" w:lineRule="auto"/>
        <w:ind w:firstLine="480" w:firstLineChars="200"/>
        <w:rPr>
          <w:rFonts w:hint="default" w:ascii="Times New Roman" w:hAnsi="Times New Roman" w:eastAsia="宋体" w:cs="Times New Roman"/>
          <w:b w:val="0"/>
          <w:sz w:val="24"/>
          <w:lang w:eastAsia="zh-CN"/>
        </w:rPr>
      </w:pPr>
      <w:r>
        <w:rPr>
          <w:rFonts w:hint="default" w:ascii="Times New Roman" w:hAnsi="Times New Roman" w:eastAsia="宋体" w:cs="Times New Roman"/>
          <w:b w:val="0"/>
          <w:sz w:val="24"/>
          <w:lang w:eastAsia="zh-CN"/>
        </w:rPr>
        <w:t>PM</w:t>
      </w:r>
      <w:r>
        <w:rPr>
          <w:rFonts w:hint="default" w:ascii="Times New Roman" w:hAnsi="Times New Roman" w:eastAsia="宋体" w:cs="Times New Roman"/>
          <w:b w:val="0"/>
          <w:sz w:val="24"/>
          <w:vertAlign w:val="subscript"/>
          <w:lang w:eastAsia="zh-CN"/>
        </w:rPr>
        <w:t>10</w:t>
      </w:r>
      <w:r>
        <w:rPr>
          <w:rFonts w:hint="default" w:ascii="Times New Roman" w:hAnsi="Times New Roman" w:eastAsia="宋体" w:cs="Times New Roman"/>
          <w:b w:val="0"/>
          <w:sz w:val="24"/>
          <w:lang w:eastAsia="zh-CN"/>
        </w:rPr>
        <w:t>叠加质量现状污染源排放的PM</w:t>
      </w:r>
      <w:r>
        <w:rPr>
          <w:rFonts w:hint="default" w:ascii="Times New Roman" w:hAnsi="Times New Roman" w:eastAsia="宋体" w:cs="Times New Roman"/>
          <w:b w:val="0"/>
          <w:sz w:val="24"/>
          <w:vertAlign w:val="subscript"/>
          <w:lang w:eastAsia="zh-CN"/>
        </w:rPr>
        <w:t>10</w:t>
      </w:r>
      <w:r>
        <w:rPr>
          <w:rFonts w:hint="default" w:ascii="Times New Roman" w:hAnsi="Times New Roman" w:eastAsia="宋体" w:cs="Times New Roman"/>
          <w:b w:val="0"/>
          <w:sz w:val="24"/>
          <w:lang w:eastAsia="zh-CN"/>
        </w:rPr>
        <w:t>对评价区域内各环境敏感点的24小时平均浓度叠加值范围在118.92μg/m³～120.00μg/m³之间，占标率为79.28%～80.00%之间，各敏感点24小时平均浓度叠加值均达标；区域最大地面浓度点叠加值为131.32μg/m³，占标率为87.55%，均达标。</w:t>
      </w:r>
    </w:p>
    <w:p>
      <w:pPr>
        <w:spacing w:line="360" w:lineRule="auto"/>
        <w:ind w:firstLine="480" w:firstLineChars="200"/>
        <w:rPr>
          <w:rFonts w:hint="default" w:ascii="Times New Roman" w:hAnsi="Times New Roman" w:eastAsia="宋体" w:cs="Times New Roman"/>
          <w:b w:val="0"/>
          <w:sz w:val="24"/>
          <w:lang w:eastAsia="zh-CN"/>
        </w:rPr>
      </w:pPr>
      <w:r>
        <w:rPr>
          <w:rFonts w:hint="default" w:ascii="Times New Roman" w:hAnsi="Times New Roman" w:eastAsia="宋体" w:cs="Times New Roman"/>
          <w:b w:val="0"/>
          <w:sz w:val="24"/>
          <w:lang w:eastAsia="zh-CN"/>
        </w:rPr>
        <w:t>PM</w:t>
      </w:r>
      <w:r>
        <w:rPr>
          <w:rFonts w:hint="default" w:ascii="Times New Roman" w:hAnsi="Times New Roman" w:eastAsia="宋体" w:cs="Times New Roman"/>
          <w:b w:val="0"/>
          <w:sz w:val="24"/>
          <w:vertAlign w:val="subscript"/>
          <w:lang w:eastAsia="zh-CN"/>
        </w:rPr>
        <w:t>10</w:t>
      </w:r>
      <w:r>
        <w:rPr>
          <w:rFonts w:hint="default" w:ascii="Times New Roman" w:hAnsi="Times New Roman" w:eastAsia="宋体" w:cs="Times New Roman"/>
          <w:b w:val="0"/>
          <w:sz w:val="24"/>
          <w:lang w:eastAsia="zh-CN"/>
        </w:rPr>
        <w:t>叠加质量现状污染源排放的PM</w:t>
      </w:r>
      <w:r>
        <w:rPr>
          <w:rFonts w:hint="default" w:ascii="Times New Roman" w:hAnsi="Times New Roman" w:eastAsia="宋体" w:cs="Times New Roman"/>
          <w:b w:val="0"/>
          <w:sz w:val="24"/>
          <w:vertAlign w:val="subscript"/>
          <w:lang w:eastAsia="zh-CN"/>
        </w:rPr>
        <w:t>10</w:t>
      </w:r>
      <w:r>
        <w:rPr>
          <w:rFonts w:hint="default" w:ascii="Times New Roman" w:hAnsi="Times New Roman" w:eastAsia="宋体" w:cs="Times New Roman"/>
          <w:b w:val="0"/>
          <w:sz w:val="24"/>
          <w:lang w:eastAsia="zh-CN"/>
        </w:rPr>
        <w:t>对评价区域内各环境敏感点的年平均浓度叠加值范围在54.69μg/m³～56.61μg/m³之间，占标率为78.13%～80.87%之间，各敏感点年平均浓度叠加值均达标；区域最大地面浓度点叠加值为65.84μg/m³，占标率为94.06%，均达标。</w:t>
      </w:r>
    </w:p>
    <w:p>
      <w:pPr>
        <w:ind w:firstLine="480"/>
      </w:pPr>
      <w:r>
        <w:t>评价范围内敏感点、网格点进行影响预测分析发现：拟建项目敏感点TSP的日均浓度叠加值的最大浓度占标率≤100%，全时段叠加值的最大浓度占标率≤100%。</w:t>
      </w:r>
    </w:p>
    <w:p>
      <w:pPr>
        <w:pStyle w:val="2057"/>
        <w:spacing w:afterLines="0"/>
        <w:ind w:firstLine="0" w:firstLineChars="0"/>
      </w:pPr>
      <w:r>
        <w:rPr>
          <w:rFonts w:hint="eastAsia"/>
        </w:rPr>
        <w:drawing>
          <wp:inline distT="0" distB="0" distL="114300" distR="114300">
            <wp:extent cx="5259070" cy="3720465"/>
            <wp:effectExtent l="0" t="0" r="17780" b="13335"/>
            <wp:docPr id="58" name="图片 58" descr="正常排放叠加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正常排放叠加值"/>
                    <pic:cNvPicPr>
                      <a:picLocks noChangeAspect="1"/>
                    </pic:cNvPicPr>
                  </pic:nvPicPr>
                  <pic:blipFill>
                    <a:blip r:embed="rId225"/>
                    <a:stretch>
                      <a:fillRect/>
                    </a:stretch>
                  </pic:blipFill>
                  <pic:spPr>
                    <a:xfrm>
                      <a:off x="0" y="0"/>
                      <a:ext cx="5259070" cy="3720465"/>
                    </a:xfrm>
                    <a:prstGeom prst="rect">
                      <a:avLst/>
                    </a:prstGeom>
                  </pic:spPr>
                </pic:pic>
              </a:graphicData>
            </a:graphic>
          </wp:inline>
        </w:drawing>
      </w:r>
    </w:p>
    <w:p>
      <w:pPr>
        <w:pStyle w:val="3609"/>
        <w:spacing w:line="240" w:lineRule="atLeast"/>
        <w:ind w:left="0"/>
      </w:pPr>
      <w:r>
        <w:rPr>
          <w:rFonts w:hint="eastAsia" w:ascii="Times New Roman" w:hAnsi="Times New Roman" w:cs="Times New Roman"/>
          <w:b/>
          <w:bCs/>
          <w:lang w:val="en-US" w:eastAsia="zh-CN"/>
        </w:rPr>
        <w:t>PM10</w:t>
      </w:r>
      <w:r>
        <w:rPr>
          <w:rFonts w:hint="eastAsia"/>
          <w:b/>
          <w:bCs/>
          <w:lang w:val="en-US" w:eastAsia="zh-CN"/>
        </w:rPr>
        <w:t>叠加后保证率</w:t>
      </w:r>
      <w:r>
        <w:rPr>
          <w:rFonts w:hint="eastAsia"/>
          <w:b/>
          <w:bCs/>
        </w:rPr>
        <w:t>日均浓度</w:t>
      </w:r>
      <w:r>
        <w:rPr>
          <w:rFonts w:hint="eastAsia"/>
          <w:b/>
          <w:bCs/>
          <w:lang w:val="en-US" w:eastAsia="zh-CN"/>
        </w:rPr>
        <w:t>分布图</w:t>
      </w:r>
    </w:p>
    <w:p>
      <w:pPr>
        <w:pStyle w:val="2057"/>
        <w:spacing w:afterLines="0"/>
        <w:ind w:firstLine="0" w:firstLineChars="0"/>
      </w:pPr>
      <w:r>
        <w:rPr>
          <w:rFonts w:hint="eastAsia"/>
        </w:rPr>
        <w:drawing>
          <wp:inline distT="0" distB="0" distL="114300" distR="114300">
            <wp:extent cx="5487035" cy="3881755"/>
            <wp:effectExtent l="0" t="0" r="18415" b="4445"/>
            <wp:docPr id="69" name="图片 69" descr="PM10年平均浓度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PM10年平均浓度分布图"/>
                    <pic:cNvPicPr>
                      <a:picLocks noChangeAspect="1"/>
                    </pic:cNvPicPr>
                  </pic:nvPicPr>
                  <pic:blipFill>
                    <a:blip r:embed="rId226"/>
                    <a:stretch>
                      <a:fillRect/>
                    </a:stretch>
                  </pic:blipFill>
                  <pic:spPr>
                    <a:xfrm>
                      <a:off x="0" y="0"/>
                      <a:ext cx="5487035" cy="3881755"/>
                    </a:xfrm>
                    <a:prstGeom prst="rect">
                      <a:avLst/>
                    </a:prstGeom>
                  </pic:spPr>
                </pic:pic>
              </a:graphicData>
            </a:graphic>
          </wp:inline>
        </w:drawing>
      </w:r>
    </w:p>
    <w:p>
      <w:pPr>
        <w:pStyle w:val="3609"/>
        <w:spacing w:line="240" w:lineRule="atLeast"/>
        <w:ind w:left="0"/>
        <w:rPr>
          <w:rFonts w:hint="eastAsia"/>
        </w:rPr>
      </w:pPr>
      <w:r>
        <w:rPr>
          <w:rFonts w:hint="eastAsia"/>
          <w:b/>
          <w:bCs/>
          <w:lang w:val="en-US" w:eastAsia="zh-CN"/>
        </w:rPr>
        <w:t>PM</w:t>
      </w:r>
      <w:r>
        <w:rPr>
          <w:rFonts w:hint="eastAsia"/>
          <w:b/>
          <w:bCs/>
          <w:vertAlign w:val="subscript"/>
          <w:lang w:val="en-US" w:eastAsia="zh-CN"/>
        </w:rPr>
        <w:t>10</w:t>
      </w:r>
      <w:r>
        <w:rPr>
          <w:rFonts w:hint="eastAsia"/>
          <w:b/>
          <w:bCs/>
          <w:lang w:val="en-US" w:eastAsia="zh-CN"/>
        </w:rPr>
        <w:t>叠加后年</w:t>
      </w:r>
      <w:r>
        <w:rPr>
          <w:rFonts w:hint="eastAsia"/>
          <w:b/>
          <w:bCs/>
        </w:rPr>
        <w:t>均浓度</w:t>
      </w:r>
      <w:r>
        <w:rPr>
          <w:rFonts w:hint="eastAsia"/>
          <w:b/>
          <w:bCs/>
          <w:lang w:val="en-US" w:eastAsia="zh-CN"/>
        </w:rPr>
        <w:t>分布图</w:t>
      </w:r>
    </w:p>
    <w:p>
      <w:pPr>
        <w:numPr>
          <w:ilvl w:val="0"/>
          <w:numId w:val="64"/>
        </w:numPr>
        <w:ind w:firstLine="480"/>
        <w:rPr>
          <w:rFonts w:hint="eastAsia" w:ascii="Times New Roman" w:hAnsi="Times New Roman" w:cs="Times New Roman"/>
          <w:lang w:val="en-US" w:eastAsia="zh-CN"/>
        </w:rPr>
      </w:pPr>
      <w:r>
        <w:rPr>
          <w:rFonts w:hint="eastAsia" w:ascii="Times New Roman" w:hAnsi="Times New Roman" w:cs="Times New Roman"/>
          <w:lang w:val="en-US" w:eastAsia="zh-CN"/>
        </w:rPr>
        <w:t>PM</w:t>
      </w:r>
      <w:r>
        <w:rPr>
          <w:rFonts w:hint="eastAsia" w:ascii="Times New Roman" w:hAnsi="Times New Roman" w:cs="Times New Roman"/>
          <w:vertAlign w:val="subscript"/>
          <w:lang w:val="en-US" w:eastAsia="zh-CN"/>
        </w:rPr>
        <w:t>2.5</w:t>
      </w:r>
      <w:r>
        <w:rPr>
          <w:rFonts w:hint="eastAsia" w:ascii="Times New Roman" w:hAnsi="Times New Roman" w:cs="Times New Roman"/>
          <w:lang w:val="en-US" w:eastAsia="zh-CN"/>
        </w:rPr>
        <w:t>叠加削减源和达标规划值</w:t>
      </w:r>
    </w:p>
    <w:p>
      <w:pPr>
        <w:numPr>
          <w:ilvl w:val="0"/>
          <w:numId w:val="0"/>
        </w:numPr>
        <w:ind w:firstLine="480"/>
        <w:rPr>
          <w:rFonts w:hint="default" w:ascii="Times New Roman" w:hAnsi="Times New Roman" w:cs="Times New Roman"/>
          <w:lang w:val="en-US" w:eastAsia="zh-CN"/>
        </w:rPr>
      </w:pPr>
      <w:r>
        <w:rPr>
          <w:rFonts w:hint="eastAsia" w:ascii="Times New Roman" w:hAnsi="Times New Roman" w:cs="Times New Roman"/>
          <w:lang w:val="en-US" w:eastAsia="zh-CN"/>
        </w:rPr>
        <w:t>根据《环境影响评价技术导则 大气环境》（HJ2.2-2018）8.8.1.2不达标区环境影响评价，应在各预测点上叠加达标规划中达标年的目标浓度，分析达标规划年的保证率日平均浓度和年平均质量浓度的达标情况。</w:t>
      </w:r>
      <w:r>
        <w:rPr>
          <w:rFonts w:hint="eastAsia" w:ascii="Times New Roman" w:hAnsi="Times New Roman" w:cs="Times New Roman"/>
          <w:b w:val="0"/>
          <w:bCs w:val="0"/>
          <w:sz w:val="24"/>
          <w:szCs w:val="24"/>
          <w:lang w:val="en-US" w:eastAsia="zh-CN"/>
        </w:rPr>
        <w:t>根据岳阳市生态环境保护委员会下发的关于印发《岳阳市环境空气质量限期达标规划（2020-2026）》的通知（岳生环委发[2020]10号）相关内容，</w:t>
      </w:r>
      <w:r>
        <w:rPr>
          <w:rFonts w:hint="eastAsia" w:ascii="Times New Roman" w:hAnsi="Times New Roman" w:eastAsia="宋体" w:cs="Times New Roman"/>
          <w:color w:val="000000" w:themeColor="text1"/>
          <w:sz w:val="24"/>
          <w:szCs w:val="24"/>
          <w14:textFill>
            <w14:solidFill>
              <w14:schemeClr w14:val="tx1"/>
            </w14:solidFill>
          </w14:textFill>
        </w:rPr>
        <w:t>到2026年，全市二氧化硫、二氧化氮、臭氧、PM</w:t>
      </w:r>
      <w:r>
        <w:rPr>
          <w:rFonts w:hint="eastAsia" w:ascii="Times New Roman" w:hAnsi="Times New Roman" w:eastAsia="宋体" w:cs="Times New Roman"/>
          <w:color w:val="000000" w:themeColor="text1"/>
          <w:sz w:val="24"/>
          <w:szCs w:val="24"/>
          <w:vertAlign w:val="subscript"/>
          <w14:textFill>
            <w14:solidFill>
              <w14:schemeClr w14:val="tx1"/>
            </w14:solidFill>
          </w14:textFill>
        </w:rPr>
        <w:t>10</w:t>
      </w:r>
      <w:r>
        <w:rPr>
          <w:rFonts w:hint="eastAsia" w:ascii="Times New Roman" w:hAnsi="Times New Roman" w:eastAsia="宋体" w:cs="Times New Roman"/>
          <w:color w:val="000000" w:themeColor="text1"/>
          <w:sz w:val="24"/>
          <w:szCs w:val="24"/>
          <w14:textFill>
            <w14:solidFill>
              <w14:schemeClr w14:val="tx1"/>
            </w14:solidFill>
          </w14:textFill>
        </w:rPr>
        <w:t>、PM</w:t>
      </w:r>
      <w:r>
        <w:rPr>
          <w:rFonts w:hint="eastAsia" w:ascii="Times New Roman" w:hAnsi="Times New Roman" w:eastAsia="宋体" w:cs="Times New Roman"/>
          <w:color w:val="000000" w:themeColor="text1"/>
          <w:sz w:val="24"/>
          <w:szCs w:val="24"/>
          <w:vertAlign w:val="subscript"/>
          <w14:textFill>
            <w14:solidFill>
              <w14:schemeClr w14:val="tx1"/>
            </w14:solidFill>
          </w14:textFill>
        </w:rPr>
        <w:t>2.5</w:t>
      </w:r>
      <w:r>
        <w:rPr>
          <w:rFonts w:hint="eastAsia" w:ascii="Times New Roman" w:hAnsi="Times New Roman" w:eastAsia="宋体" w:cs="Times New Roman"/>
          <w:color w:val="000000" w:themeColor="text1"/>
          <w:sz w:val="24"/>
          <w:szCs w:val="24"/>
          <w14:textFill>
            <w14:solidFill>
              <w14:schemeClr w14:val="tx1"/>
            </w14:solidFill>
          </w14:textFill>
        </w:rPr>
        <w:t>和一氧化碳大气污染物的年统计浓度全部稳定达到国家空气质量二级标准</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即</w:t>
      </w:r>
      <w:r>
        <w:rPr>
          <w:rFonts w:hint="eastAsia" w:ascii="Times New Roman" w:hAnsi="Times New Roman" w:eastAsia="宋体" w:cs="Times New Roman"/>
          <w:color w:val="000000" w:themeColor="text1"/>
          <w:sz w:val="24"/>
          <w:szCs w:val="24"/>
          <w14:textFill>
            <w14:solidFill>
              <w14:schemeClr w14:val="tx1"/>
            </w14:solidFill>
          </w14:textFill>
        </w:rPr>
        <w:t>PM</w:t>
      </w:r>
      <w:r>
        <w:rPr>
          <w:rFonts w:hint="eastAsia" w:ascii="Times New Roman" w:hAnsi="Times New Roman" w:eastAsia="宋体" w:cs="Times New Roman"/>
          <w:color w:val="000000" w:themeColor="text1"/>
          <w:sz w:val="24"/>
          <w:szCs w:val="24"/>
          <w:vertAlign w:val="subscript"/>
          <w14:textFill>
            <w14:solidFill>
              <w14:schemeClr w14:val="tx1"/>
            </w14:solidFill>
          </w14:textFill>
        </w:rPr>
        <w:t>2.5</w:t>
      </w: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达标规划浓度为35</w:t>
      </w:r>
      <w:r>
        <w:t>μg/m³</w:t>
      </w:r>
      <w:r>
        <w:rPr>
          <w:rFonts w:hint="eastAsia" w:ascii="Times New Roman" w:hAnsi="Times New Roman" w:eastAsia="宋体" w:cs="Times New Roman"/>
          <w:color w:val="000000" w:themeColor="text1"/>
          <w:sz w:val="24"/>
          <w:szCs w:val="24"/>
          <w14:textFill>
            <w14:solidFill>
              <w14:schemeClr w14:val="tx1"/>
            </w14:solidFill>
          </w14:textFill>
        </w:rPr>
        <w:t>。</w:t>
      </w:r>
    </w:p>
    <w:p>
      <w:pPr>
        <w:pStyle w:val="3586"/>
        <w:ind w:left="0"/>
        <w:rPr>
          <w:rFonts w:hint="eastAsia" w:ascii="Times New Roman" w:hAnsi="Times New Roman" w:eastAsia="宋体" w:cs="Times New Roman"/>
          <w:b/>
          <w:bCs/>
          <w:kern w:val="2"/>
          <w:sz w:val="21"/>
          <w:szCs w:val="20"/>
          <w:lang w:val="en-US" w:eastAsia="zh-CN" w:bidi="ar-SA"/>
        </w:rPr>
      </w:pPr>
      <w:r>
        <w:rPr>
          <w:rFonts w:hint="eastAsia" w:ascii="Times New Roman" w:hAnsi="Times New Roman" w:eastAsia="宋体" w:cs="Times New Roman"/>
          <w:b/>
          <w:bCs/>
          <w:kern w:val="2"/>
          <w:sz w:val="21"/>
          <w:szCs w:val="20"/>
          <w:lang w:val="en-US" w:eastAsia="zh-CN" w:bidi="ar-SA"/>
        </w:rPr>
        <w:t>污染源</w:t>
      </w:r>
      <w:r>
        <w:rPr>
          <w:rFonts w:hint="eastAsia" w:ascii="Times New Roman" w:hAnsi="Times New Roman" w:cs="Times New Roman"/>
          <w:lang w:val="en-US" w:eastAsia="zh-CN"/>
        </w:rPr>
        <w:t>PM</w:t>
      </w:r>
      <w:r>
        <w:rPr>
          <w:rFonts w:hint="eastAsia" w:ascii="Times New Roman" w:hAnsi="Times New Roman" w:cs="Times New Roman"/>
          <w:vertAlign w:val="subscript"/>
          <w:lang w:val="en-US" w:eastAsia="zh-CN"/>
        </w:rPr>
        <w:t>2.5</w:t>
      </w:r>
      <w:r>
        <w:rPr>
          <w:rFonts w:hint="eastAsia" w:ascii="Times New Roman" w:hAnsi="Times New Roman" w:eastAsia="宋体" w:cs="Times New Roman"/>
          <w:b/>
          <w:bCs/>
          <w:kern w:val="2"/>
          <w:sz w:val="21"/>
          <w:szCs w:val="20"/>
          <w:lang w:val="en-US" w:eastAsia="zh-CN" w:bidi="ar-SA"/>
        </w:rPr>
        <w:t>评价</w:t>
      </w:r>
      <w:r>
        <w:rPr>
          <w:rFonts w:hint="eastAsia" w:ascii="Times New Roman" w:hAnsi="Times New Roman" w:cs="Times New Roman"/>
          <w:lang w:val="en-US" w:eastAsia="zh-CN"/>
        </w:rPr>
        <w:t>区域</w:t>
      </w:r>
      <w:r>
        <w:rPr>
          <w:rFonts w:hint="eastAsia" w:ascii="Times New Roman" w:hAnsi="Times New Roman" w:eastAsia="宋体" w:cs="Times New Roman"/>
          <w:b/>
          <w:bCs/>
          <w:kern w:val="2"/>
          <w:sz w:val="21"/>
          <w:szCs w:val="20"/>
          <w:lang w:val="en-US" w:eastAsia="zh-CN" w:bidi="ar-SA"/>
        </w:rPr>
        <w:t>内各环境敏感点的</w:t>
      </w:r>
      <w:r>
        <w:rPr>
          <w:rFonts w:hint="eastAsia" w:ascii="Times New Roman" w:hAnsi="Times New Roman" w:cs="Times New Roman"/>
          <w:b/>
          <w:bCs/>
          <w:kern w:val="2"/>
          <w:sz w:val="21"/>
          <w:szCs w:val="20"/>
          <w:lang w:val="en-US" w:eastAsia="zh-CN" w:bidi="ar-SA"/>
        </w:rPr>
        <w:t>95%保证率</w:t>
      </w:r>
      <w:r>
        <w:rPr>
          <w:rFonts w:hint="eastAsia" w:ascii="Times New Roman" w:hAnsi="Times New Roman" w:eastAsia="宋体" w:cs="Times New Roman"/>
          <w:b/>
          <w:bCs/>
          <w:kern w:val="2"/>
          <w:sz w:val="21"/>
          <w:szCs w:val="20"/>
          <w:lang w:val="en-US" w:eastAsia="zh-CN" w:bidi="ar-SA"/>
        </w:rPr>
        <w:t>24小时平均叠加值浓度预测结果表</w:t>
      </w:r>
    </w:p>
    <w:tbl>
      <w:tblPr>
        <w:tblStyle w:val="88"/>
        <w:tblW w:w="959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92"/>
        <w:gridCol w:w="1117"/>
        <w:gridCol w:w="630"/>
        <w:gridCol w:w="645"/>
        <w:gridCol w:w="795"/>
        <w:gridCol w:w="1185"/>
        <w:gridCol w:w="812"/>
        <w:gridCol w:w="812"/>
        <w:gridCol w:w="812"/>
        <w:gridCol w:w="812"/>
        <w:gridCol w:w="815"/>
        <w:gridCol w:w="5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restar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污染物</w:t>
            </w:r>
          </w:p>
        </w:tc>
        <w:tc>
          <w:tcPr>
            <w:tcW w:w="1117" w:type="dxa"/>
            <w:vMerge w:val="restar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预测点</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X/</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Y/</w:t>
            </w:r>
          </w:p>
        </w:tc>
        <w:tc>
          <w:tcPr>
            <w:tcW w:w="795" w:type="dxa"/>
            <w:vMerge w:val="restar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平均</w:t>
            </w:r>
          </w:p>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时段</w:t>
            </w:r>
          </w:p>
        </w:tc>
        <w:tc>
          <w:tcPr>
            <w:tcW w:w="1185" w:type="dxa"/>
            <w:vMerge w:val="restar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出现时间</w:t>
            </w:r>
          </w:p>
        </w:tc>
        <w:tc>
          <w:tcPr>
            <w:tcW w:w="812"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贡献值浓度/</w:t>
            </w:r>
          </w:p>
        </w:tc>
        <w:tc>
          <w:tcPr>
            <w:tcW w:w="812"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削减源浓度/</w:t>
            </w:r>
          </w:p>
        </w:tc>
        <w:tc>
          <w:tcPr>
            <w:tcW w:w="812"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val="en-US" w:eastAsia="zh-CN"/>
              </w:rPr>
              <w:t>达标规划浓度</w:t>
            </w:r>
            <w:r>
              <w:rPr>
                <w:rFonts w:hint="eastAsia" w:ascii="Times New Roman" w:hAnsi="Times New Roman" w:cs="Times New Roman"/>
                <w:sz w:val="21"/>
                <w:szCs w:val="21"/>
                <w:lang w:eastAsia="zh-CN"/>
              </w:rPr>
              <w:t>/</w:t>
            </w:r>
          </w:p>
        </w:tc>
        <w:tc>
          <w:tcPr>
            <w:tcW w:w="812"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叠加值/</w:t>
            </w:r>
          </w:p>
        </w:tc>
        <w:tc>
          <w:tcPr>
            <w:tcW w:w="815"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占标率/</w:t>
            </w:r>
          </w:p>
        </w:tc>
        <w:tc>
          <w:tcPr>
            <w:tcW w:w="572" w:type="dxa"/>
            <w:vMerge w:val="restart"/>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达标</w:t>
            </w:r>
          </w:p>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m</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m</w:t>
            </w:r>
          </w:p>
        </w:tc>
        <w:tc>
          <w:tcPr>
            <w:tcW w:w="795"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85"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812"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(μg/m³)</w:t>
            </w:r>
          </w:p>
        </w:tc>
        <w:tc>
          <w:tcPr>
            <w:tcW w:w="812"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(μg/m³)</w:t>
            </w:r>
          </w:p>
        </w:tc>
        <w:tc>
          <w:tcPr>
            <w:tcW w:w="812"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(μg/m³)</w:t>
            </w:r>
          </w:p>
        </w:tc>
        <w:tc>
          <w:tcPr>
            <w:tcW w:w="812"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(μg/m³)</w:t>
            </w:r>
          </w:p>
        </w:tc>
        <w:tc>
          <w:tcPr>
            <w:tcW w:w="81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w:t>
            </w:r>
          </w:p>
        </w:tc>
        <w:tc>
          <w:tcPr>
            <w:tcW w:w="57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restart"/>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PM</w:t>
            </w:r>
            <w:r>
              <w:rPr>
                <w:rFonts w:hint="eastAsia" w:ascii="Times New Roman" w:hAnsi="Times New Roman" w:cs="Times New Roman"/>
                <w:sz w:val="21"/>
                <w:szCs w:val="21"/>
                <w:vertAlign w:val="subscript"/>
                <w:lang w:val="en-US" w:eastAsia="zh-CN"/>
              </w:rPr>
              <w:t>2.5</w:t>
            </w: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滨江学校</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726</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2021/12/31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64.99</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86.65</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大鼓山</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2,051</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-9</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2021/12/31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86.66</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滨江村</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361</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-280</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2021/12/31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64.99</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86.65</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吴家垄</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1,083</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-371</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2021/12/31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64.99</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86.65</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胥芦畈</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2,185</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-241</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2021/12/31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86.66</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橙子岭</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1,878</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-526</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2021/12/31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64.99</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86.66</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芦家屋场</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1,156</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-544</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2021/12/31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64.99</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86.65</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汪家二房</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2,135</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-968</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2021/12/31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64.99</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86.66</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乌石矶</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100</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-1,103</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2021/12/31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0.33</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0.50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64.83</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86.43</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中屋沙咀</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682</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-1,254</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2021/01/21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0.07</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64.94</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86.58</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桑泥湖</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1,789</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-1,221</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2021/12/31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86.66</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许家高墩</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-1,583</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1,791</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2021/12/31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86.67</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屋沙咀</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868</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-1,560</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2021/01/21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0.04</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64.96</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86.62</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白鹭中学</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-1,567</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2,172</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2021/12/31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86.67</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七房</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186</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314</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2021/01/15</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0.12</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0.59</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64.53</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86.04</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六屋</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1,124</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1,470</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2021/01/15</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0.03</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64.97</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86.63</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道仁矶中学</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1,774</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1,030</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2021/01/15</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86.67</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高粱咀</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2,017</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1,515</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2021/01/15</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86.66</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新建</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2,411</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1,497</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2021/01/15</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86.67</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胡家垄</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2,142</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1,121</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2021/01/15</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86.67</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北斗坡</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2,272</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800</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2021/01/21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86.67</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胡彭家</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2,285</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523</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2021/01/15</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86.67</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郑家祠堂</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1,025</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198</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2021/12/31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0.03</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64.98</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86.64</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592" w:type="dxa"/>
            <w:vMerge w:val="continue"/>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p>
        </w:tc>
        <w:tc>
          <w:tcPr>
            <w:tcW w:w="1117" w:type="dxa"/>
            <w:tcBorders>
              <w:tl2br w:val="nil"/>
              <w:tr2bl w:val="nil"/>
            </w:tcBorders>
            <w:vAlign w:val="center"/>
          </w:tcPr>
          <w:p>
            <w:pPr>
              <w:pStyle w:val="2057"/>
              <w:tabs>
                <w:tab w:val="left" w:pos="480"/>
              </w:tabs>
              <w:spacing w:afterLines="0"/>
              <w:ind w:firstLine="0" w:firstLineChars="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区域最大值</w:t>
            </w:r>
          </w:p>
        </w:tc>
        <w:tc>
          <w:tcPr>
            <w:tcW w:w="630"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-400</w:t>
            </w:r>
          </w:p>
        </w:tc>
        <w:tc>
          <w:tcPr>
            <w:tcW w:w="645" w:type="dxa"/>
            <w:tcBorders>
              <w:tl2br w:val="nil"/>
              <w:tr2bl w:val="nil"/>
            </w:tcBorders>
            <w:vAlign w:val="center"/>
          </w:tcPr>
          <w:p>
            <w:pPr>
              <w:pStyle w:val="2057"/>
              <w:tabs>
                <w:tab w:val="left" w:pos="480"/>
              </w:tabs>
              <w:spacing w:afterLines="0"/>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-100</w:t>
            </w:r>
          </w:p>
        </w:tc>
        <w:tc>
          <w:tcPr>
            <w:tcW w:w="795" w:type="dxa"/>
            <w:tcBorders>
              <w:tl2br w:val="nil"/>
              <w:tr2bl w:val="nil"/>
            </w:tcBorders>
            <w:vAlign w:val="center"/>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24小时</w:t>
            </w:r>
          </w:p>
        </w:tc>
        <w:tc>
          <w:tcPr>
            <w:tcW w:w="118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2021/01/21</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0.06</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0.00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65.00</w:t>
            </w:r>
          </w:p>
        </w:tc>
        <w:tc>
          <w:tcPr>
            <w:tcW w:w="812"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65.06</w:t>
            </w:r>
          </w:p>
        </w:tc>
        <w:tc>
          <w:tcPr>
            <w:tcW w:w="815" w:type="dxa"/>
            <w:tcBorders>
              <w:tl2br w:val="nil"/>
              <w:tr2bl w:val="nil"/>
            </w:tcBorders>
            <w:vAlign w:val="top"/>
          </w:tcPr>
          <w:p>
            <w:pPr>
              <w:pStyle w:val="2057"/>
              <w:tabs>
                <w:tab w:val="left" w:pos="480"/>
              </w:tabs>
              <w:spacing w:afterLines="0"/>
              <w:ind w:firstLine="0" w:firstLineChars="0"/>
              <w:rPr>
                <w:rFonts w:hint="default"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86.75</w:t>
            </w:r>
          </w:p>
        </w:tc>
        <w:tc>
          <w:tcPr>
            <w:tcW w:w="572" w:type="dxa"/>
            <w:tcBorders>
              <w:tl2br w:val="nil"/>
              <w:tr2bl w:val="nil"/>
            </w:tcBorders>
            <w:vAlign w:val="top"/>
          </w:tcPr>
          <w:p>
            <w:pPr>
              <w:pStyle w:val="2057"/>
              <w:tabs>
                <w:tab w:val="left" w:pos="480"/>
              </w:tabs>
              <w:spacing w:afterLines="0"/>
              <w:ind w:firstLine="0" w:firstLineChars="0"/>
              <w:rPr>
                <w:rFonts w:hint="eastAsia" w:ascii="Times New Roman" w:hAnsi="Times New Roman" w:cs="Times New Roman"/>
                <w:sz w:val="21"/>
                <w:szCs w:val="21"/>
                <w:lang w:eastAsia="zh-CN"/>
              </w:rPr>
            </w:pPr>
            <w:r>
              <w:rPr>
                <w:rFonts w:hint="default" w:ascii="Times New Roman" w:hAnsi="Times New Roman" w:eastAsia="宋体" w:cs="Times New Roman"/>
                <w:b w:val="0"/>
                <w:sz w:val="21"/>
                <w:szCs w:val="21"/>
                <w:vertAlign w:val="baseline"/>
                <w:lang w:eastAsia="zh-CN"/>
              </w:rPr>
              <w:t>达标</w:t>
            </w:r>
          </w:p>
        </w:tc>
      </w:tr>
    </w:tbl>
    <w:p>
      <w:pPr>
        <w:pStyle w:val="3586"/>
        <w:ind w:left="0"/>
      </w:pPr>
      <w:r>
        <w:rPr>
          <w:rFonts w:hint="eastAsia"/>
          <w:lang w:val="en-US" w:eastAsia="zh-CN"/>
        </w:rPr>
        <w:t>污染源</w:t>
      </w:r>
      <w:r>
        <w:rPr>
          <w:rFonts w:hint="eastAsia" w:ascii="Times New Roman" w:hAnsi="Times New Roman" w:cs="Times New Roman"/>
          <w:lang w:val="en-US" w:eastAsia="zh-CN"/>
        </w:rPr>
        <w:t>PM</w:t>
      </w:r>
      <w:r>
        <w:rPr>
          <w:rFonts w:hint="eastAsia" w:ascii="Times New Roman" w:hAnsi="Times New Roman" w:cs="Times New Roman"/>
          <w:vertAlign w:val="subscript"/>
          <w:lang w:val="en-US" w:eastAsia="zh-CN"/>
        </w:rPr>
        <w:t>10</w:t>
      </w:r>
      <w:r>
        <w:rPr>
          <w:rFonts w:hint="eastAsia"/>
          <w:lang w:val="en-US" w:eastAsia="zh-CN"/>
        </w:rPr>
        <w:t>评价区域内各环境敏感点的年平均叠加浓度预测结果表</w:t>
      </w:r>
    </w:p>
    <w:tbl>
      <w:tblPr>
        <w:tblStyle w:val="88"/>
        <w:tblW w:w="501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09"/>
        <w:gridCol w:w="1296"/>
        <w:gridCol w:w="711"/>
        <w:gridCol w:w="746"/>
        <w:gridCol w:w="780"/>
        <w:gridCol w:w="813"/>
        <w:gridCol w:w="813"/>
        <w:gridCol w:w="813"/>
        <w:gridCol w:w="813"/>
        <w:gridCol w:w="813"/>
        <w:gridCol w:w="8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restart"/>
            <w:vAlign w:val="center"/>
          </w:tcPr>
          <w:p>
            <w:pPr>
              <w:pStyle w:val="2057"/>
              <w:tabs>
                <w:tab w:val="left" w:pos="480"/>
              </w:tabs>
              <w:spacing w:afterLines="0"/>
              <w:ind w:firstLine="0" w:firstLineChars="0"/>
              <w:jc w:val="center"/>
              <w:rPr>
                <w:b/>
                <w:bCs w:val="0"/>
                <w:sz w:val="21"/>
                <w:szCs w:val="21"/>
              </w:rPr>
            </w:pPr>
            <w:r>
              <w:rPr>
                <w:rFonts w:hint="eastAsia"/>
                <w:b/>
                <w:bCs w:val="0"/>
                <w:sz w:val="21"/>
                <w:szCs w:val="21"/>
              </w:rPr>
              <w:t>污染物</w:t>
            </w:r>
          </w:p>
        </w:tc>
        <w:tc>
          <w:tcPr>
            <w:tcW w:w="709" w:type="pct"/>
            <w:vMerge w:val="restart"/>
            <w:vAlign w:val="center"/>
          </w:tcPr>
          <w:p>
            <w:pPr>
              <w:pStyle w:val="2057"/>
              <w:tabs>
                <w:tab w:val="left" w:pos="480"/>
              </w:tabs>
              <w:spacing w:afterLines="0"/>
              <w:ind w:firstLine="0" w:firstLineChars="0"/>
              <w:jc w:val="center"/>
              <w:rPr>
                <w:b/>
                <w:bCs w:val="0"/>
                <w:sz w:val="21"/>
                <w:szCs w:val="21"/>
              </w:rPr>
            </w:pPr>
            <w:r>
              <w:rPr>
                <w:rFonts w:hint="eastAsia"/>
                <w:b/>
                <w:bCs w:val="0"/>
                <w:sz w:val="21"/>
                <w:szCs w:val="21"/>
              </w:rPr>
              <w:t>预测点</w:t>
            </w:r>
          </w:p>
        </w:tc>
        <w:tc>
          <w:tcPr>
            <w:tcW w:w="389" w:type="pct"/>
            <w:vAlign w:val="center"/>
          </w:tcPr>
          <w:p>
            <w:pPr>
              <w:pStyle w:val="2057"/>
              <w:tabs>
                <w:tab w:val="left" w:pos="480"/>
              </w:tabs>
              <w:spacing w:afterLines="0"/>
              <w:ind w:firstLine="0" w:firstLineChars="0"/>
              <w:jc w:val="center"/>
              <w:rPr>
                <w:b/>
                <w:bCs w:val="0"/>
                <w:sz w:val="21"/>
                <w:szCs w:val="21"/>
              </w:rPr>
            </w:pPr>
            <w:r>
              <w:rPr>
                <w:b/>
                <w:bCs w:val="0"/>
                <w:sz w:val="21"/>
                <w:szCs w:val="21"/>
              </w:rPr>
              <w:t>X/</w:t>
            </w:r>
          </w:p>
        </w:tc>
        <w:tc>
          <w:tcPr>
            <w:tcW w:w="408" w:type="pct"/>
            <w:vAlign w:val="center"/>
          </w:tcPr>
          <w:p>
            <w:pPr>
              <w:pStyle w:val="2057"/>
              <w:tabs>
                <w:tab w:val="left" w:pos="480"/>
              </w:tabs>
              <w:spacing w:afterLines="0"/>
              <w:ind w:firstLine="0" w:firstLineChars="0"/>
              <w:jc w:val="center"/>
              <w:rPr>
                <w:b/>
                <w:bCs w:val="0"/>
                <w:sz w:val="21"/>
                <w:szCs w:val="21"/>
              </w:rPr>
            </w:pPr>
            <w:r>
              <w:rPr>
                <w:b/>
                <w:bCs w:val="0"/>
                <w:sz w:val="21"/>
                <w:szCs w:val="21"/>
              </w:rPr>
              <w:t>Y/</w:t>
            </w:r>
          </w:p>
        </w:tc>
        <w:tc>
          <w:tcPr>
            <w:tcW w:w="427" w:type="pct"/>
            <w:vMerge w:val="restart"/>
            <w:vAlign w:val="center"/>
          </w:tcPr>
          <w:p>
            <w:pPr>
              <w:pStyle w:val="2057"/>
              <w:tabs>
                <w:tab w:val="left" w:pos="480"/>
              </w:tabs>
              <w:spacing w:afterLines="0"/>
              <w:ind w:firstLine="0" w:firstLineChars="0"/>
              <w:jc w:val="center"/>
              <w:rPr>
                <w:b/>
                <w:bCs w:val="0"/>
                <w:sz w:val="21"/>
                <w:szCs w:val="21"/>
              </w:rPr>
            </w:pPr>
            <w:r>
              <w:rPr>
                <w:rFonts w:hint="eastAsia"/>
                <w:b/>
                <w:bCs w:val="0"/>
                <w:sz w:val="21"/>
                <w:szCs w:val="21"/>
              </w:rPr>
              <w:t>平均</w:t>
            </w:r>
          </w:p>
          <w:p>
            <w:pPr>
              <w:pStyle w:val="2057"/>
              <w:tabs>
                <w:tab w:val="left" w:pos="480"/>
              </w:tabs>
              <w:spacing w:afterLines="0"/>
              <w:ind w:firstLine="0" w:firstLineChars="0"/>
              <w:jc w:val="center"/>
              <w:rPr>
                <w:b/>
                <w:bCs w:val="0"/>
                <w:sz w:val="21"/>
                <w:szCs w:val="21"/>
              </w:rPr>
            </w:pPr>
            <w:r>
              <w:rPr>
                <w:rFonts w:hint="eastAsia"/>
                <w:b/>
                <w:bCs w:val="0"/>
                <w:sz w:val="21"/>
                <w:szCs w:val="21"/>
              </w:rPr>
              <w:t>时段</w:t>
            </w:r>
          </w:p>
        </w:tc>
        <w:tc>
          <w:tcPr>
            <w:tcW w:w="811" w:type="dxa"/>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eastAsia" w:ascii="Times New Roman" w:hAnsi="Times New Roman" w:cs="Times New Roman"/>
                <w:b/>
                <w:bCs w:val="0"/>
                <w:sz w:val="21"/>
                <w:szCs w:val="21"/>
                <w:lang w:eastAsia="zh-CN"/>
              </w:rPr>
              <w:t>贡献值浓度/</w:t>
            </w:r>
          </w:p>
        </w:tc>
        <w:tc>
          <w:tcPr>
            <w:tcW w:w="811" w:type="dxa"/>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eastAsia" w:ascii="Times New Roman" w:hAnsi="Times New Roman" w:cs="Times New Roman"/>
                <w:b/>
                <w:bCs w:val="0"/>
                <w:sz w:val="21"/>
                <w:szCs w:val="21"/>
                <w:lang w:eastAsia="zh-CN"/>
              </w:rPr>
              <w:t>削减源浓度/</w:t>
            </w:r>
          </w:p>
        </w:tc>
        <w:tc>
          <w:tcPr>
            <w:tcW w:w="445" w:type="pct"/>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eastAsia" w:ascii="Times New Roman" w:hAnsi="Times New Roman" w:cs="Times New Roman"/>
                <w:b/>
                <w:bCs w:val="0"/>
                <w:sz w:val="21"/>
                <w:szCs w:val="21"/>
                <w:lang w:eastAsia="zh-CN"/>
              </w:rPr>
              <w:t>现状值/</w:t>
            </w:r>
          </w:p>
        </w:tc>
        <w:tc>
          <w:tcPr>
            <w:tcW w:w="445" w:type="pct"/>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eastAsia" w:ascii="Times New Roman" w:hAnsi="Times New Roman" w:cs="Times New Roman"/>
                <w:b/>
                <w:bCs w:val="0"/>
                <w:sz w:val="21"/>
                <w:szCs w:val="21"/>
                <w:lang w:eastAsia="zh-CN"/>
              </w:rPr>
              <w:t>叠加值/</w:t>
            </w:r>
          </w:p>
        </w:tc>
        <w:tc>
          <w:tcPr>
            <w:tcW w:w="445" w:type="pct"/>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eastAsia" w:ascii="Times New Roman" w:hAnsi="Times New Roman" w:cs="Times New Roman"/>
                <w:b/>
                <w:bCs w:val="0"/>
                <w:sz w:val="21"/>
                <w:szCs w:val="21"/>
                <w:lang w:eastAsia="zh-CN"/>
              </w:rPr>
              <w:t>占标率/</w:t>
            </w:r>
          </w:p>
        </w:tc>
        <w:tc>
          <w:tcPr>
            <w:tcW w:w="447" w:type="pct"/>
            <w:vMerge w:val="restart"/>
            <w:tcBorders>
              <w:tl2br w:val="nil"/>
              <w:tr2bl w:val="nil"/>
            </w:tcBorders>
            <w:vAlign w:val="center"/>
          </w:tcPr>
          <w:p>
            <w:pPr>
              <w:pStyle w:val="2057"/>
              <w:tabs>
                <w:tab w:val="left" w:pos="480"/>
              </w:tabs>
              <w:spacing w:afterLines="0"/>
              <w:ind w:firstLine="0" w:firstLineChars="0"/>
              <w:jc w:val="center"/>
              <w:rPr>
                <w:b/>
                <w:bCs w:val="0"/>
                <w:sz w:val="21"/>
                <w:szCs w:val="21"/>
              </w:rPr>
            </w:pPr>
            <w:r>
              <w:rPr>
                <w:rFonts w:hint="eastAsia"/>
                <w:b/>
                <w:bCs w:val="0"/>
                <w:sz w:val="21"/>
                <w:szCs w:val="21"/>
              </w:rPr>
              <w:t>达标</w:t>
            </w:r>
          </w:p>
          <w:p>
            <w:pPr>
              <w:pStyle w:val="2057"/>
              <w:tabs>
                <w:tab w:val="left" w:pos="480"/>
              </w:tabs>
              <w:spacing w:afterLines="0"/>
              <w:ind w:firstLine="0" w:firstLineChars="0"/>
              <w:jc w:val="center"/>
              <w:rPr>
                <w:sz w:val="21"/>
                <w:szCs w:val="21"/>
              </w:rPr>
            </w:pPr>
            <w:r>
              <w:rPr>
                <w:rFonts w:hint="eastAsia"/>
                <w:b/>
                <w:bCs w:val="0"/>
                <w:sz w:val="21"/>
                <w:szCs w:val="21"/>
              </w:rPr>
              <w:t>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bottom w:val="single" w:color="auto" w:sz="12" w:space="0"/>
            </w:tcBorders>
            <w:vAlign w:val="center"/>
          </w:tcPr>
          <w:p>
            <w:pPr>
              <w:pStyle w:val="2057"/>
              <w:tabs>
                <w:tab w:val="left" w:pos="480"/>
              </w:tabs>
              <w:spacing w:afterLines="0"/>
              <w:ind w:firstLine="0" w:firstLineChars="0"/>
              <w:jc w:val="center"/>
              <w:rPr>
                <w:b/>
                <w:bCs w:val="0"/>
                <w:sz w:val="21"/>
                <w:szCs w:val="21"/>
              </w:rPr>
            </w:pPr>
          </w:p>
        </w:tc>
        <w:tc>
          <w:tcPr>
            <w:tcW w:w="709" w:type="pct"/>
            <w:vMerge w:val="continue"/>
            <w:tcBorders>
              <w:bottom w:val="single" w:color="auto" w:sz="12" w:space="0"/>
            </w:tcBorders>
            <w:vAlign w:val="center"/>
          </w:tcPr>
          <w:p>
            <w:pPr>
              <w:pStyle w:val="2057"/>
              <w:tabs>
                <w:tab w:val="left" w:pos="480"/>
              </w:tabs>
              <w:spacing w:afterLines="0"/>
              <w:ind w:firstLine="0" w:firstLineChars="0"/>
              <w:jc w:val="center"/>
              <w:rPr>
                <w:b/>
                <w:bCs w:val="0"/>
                <w:sz w:val="21"/>
                <w:szCs w:val="21"/>
              </w:rPr>
            </w:pPr>
          </w:p>
        </w:tc>
        <w:tc>
          <w:tcPr>
            <w:tcW w:w="389" w:type="pct"/>
            <w:tcBorders>
              <w:bottom w:val="single" w:color="auto" w:sz="12" w:space="0"/>
            </w:tcBorders>
            <w:vAlign w:val="center"/>
          </w:tcPr>
          <w:p>
            <w:pPr>
              <w:pStyle w:val="2057"/>
              <w:tabs>
                <w:tab w:val="left" w:pos="480"/>
              </w:tabs>
              <w:spacing w:afterLines="0"/>
              <w:ind w:firstLine="0" w:firstLineChars="0"/>
              <w:jc w:val="center"/>
              <w:rPr>
                <w:b/>
                <w:bCs w:val="0"/>
                <w:sz w:val="21"/>
                <w:szCs w:val="21"/>
              </w:rPr>
            </w:pPr>
            <w:r>
              <w:rPr>
                <w:b/>
                <w:bCs w:val="0"/>
                <w:sz w:val="21"/>
                <w:szCs w:val="21"/>
              </w:rPr>
              <w:t>m</w:t>
            </w:r>
          </w:p>
        </w:tc>
        <w:tc>
          <w:tcPr>
            <w:tcW w:w="408" w:type="pct"/>
            <w:tcBorders>
              <w:bottom w:val="single" w:color="auto" w:sz="12" w:space="0"/>
            </w:tcBorders>
            <w:vAlign w:val="center"/>
          </w:tcPr>
          <w:p>
            <w:pPr>
              <w:pStyle w:val="2057"/>
              <w:tabs>
                <w:tab w:val="left" w:pos="480"/>
              </w:tabs>
              <w:spacing w:afterLines="0"/>
              <w:ind w:firstLine="0" w:firstLineChars="0"/>
              <w:jc w:val="center"/>
              <w:rPr>
                <w:b/>
                <w:bCs w:val="0"/>
                <w:sz w:val="21"/>
                <w:szCs w:val="21"/>
              </w:rPr>
            </w:pPr>
            <w:r>
              <w:rPr>
                <w:b/>
                <w:bCs w:val="0"/>
                <w:sz w:val="21"/>
                <w:szCs w:val="21"/>
              </w:rPr>
              <w:t>m</w:t>
            </w:r>
          </w:p>
        </w:tc>
        <w:tc>
          <w:tcPr>
            <w:tcW w:w="427" w:type="pct"/>
            <w:vMerge w:val="continue"/>
            <w:tcBorders>
              <w:bottom w:val="single" w:color="auto" w:sz="12" w:space="0"/>
            </w:tcBorders>
            <w:vAlign w:val="center"/>
          </w:tcPr>
          <w:p>
            <w:pPr>
              <w:pStyle w:val="2057"/>
              <w:tabs>
                <w:tab w:val="left" w:pos="480"/>
              </w:tabs>
              <w:spacing w:afterLines="0"/>
              <w:ind w:firstLine="0" w:firstLineChars="0"/>
              <w:jc w:val="center"/>
              <w:rPr>
                <w:b/>
                <w:bCs w:val="0"/>
                <w:sz w:val="21"/>
                <w:szCs w:val="21"/>
              </w:rPr>
            </w:pPr>
          </w:p>
        </w:tc>
        <w:tc>
          <w:tcPr>
            <w:tcW w:w="445" w:type="pct"/>
            <w:tcBorders>
              <w:bottom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default" w:ascii="Times New Roman" w:hAnsi="Times New Roman" w:cs="Times New Roman"/>
                <w:b/>
                <w:bCs w:val="0"/>
                <w:sz w:val="21"/>
                <w:szCs w:val="21"/>
                <w:lang w:eastAsia="zh-CN"/>
              </w:rPr>
              <w:t>(μg/m³)</w:t>
            </w:r>
          </w:p>
        </w:tc>
        <w:tc>
          <w:tcPr>
            <w:tcW w:w="445" w:type="pct"/>
            <w:tcBorders>
              <w:bottom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default" w:ascii="Times New Roman" w:hAnsi="Times New Roman" w:cs="Times New Roman"/>
                <w:b/>
                <w:bCs w:val="0"/>
                <w:sz w:val="21"/>
                <w:szCs w:val="21"/>
                <w:lang w:eastAsia="zh-CN"/>
              </w:rPr>
              <w:t>(μg/m³)</w:t>
            </w:r>
          </w:p>
        </w:tc>
        <w:tc>
          <w:tcPr>
            <w:tcW w:w="445" w:type="pct"/>
            <w:tcBorders>
              <w:bottom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default" w:ascii="Times New Roman" w:hAnsi="Times New Roman" w:cs="Times New Roman"/>
                <w:b/>
                <w:bCs w:val="0"/>
                <w:sz w:val="21"/>
                <w:szCs w:val="21"/>
                <w:lang w:eastAsia="zh-CN"/>
              </w:rPr>
              <w:t>(μg/m³)</w:t>
            </w:r>
          </w:p>
        </w:tc>
        <w:tc>
          <w:tcPr>
            <w:tcW w:w="445" w:type="pct"/>
            <w:tcBorders>
              <w:bottom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default" w:ascii="Times New Roman" w:hAnsi="Times New Roman" w:cs="Times New Roman"/>
                <w:b/>
                <w:bCs w:val="0"/>
                <w:sz w:val="21"/>
                <w:szCs w:val="21"/>
                <w:lang w:eastAsia="zh-CN"/>
              </w:rPr>
              <w:t>(μg/m³)</w:t>
            </w:r>
          </w:p>
        </w:tc>
        <w:tc>
          <w:tcPr>
            <w:tcW w:w="445" w:type="pct"/>
            <w:tcBorders>
              <w:bottom w:val="single" w:color="auto" w:sz="12" w:space="0"/>
            </w:tcBorders>
            <w:vAlign w:val="center"/>
          </w:tcPr>
          <w:p>
            <w:pPr>
              <w:pStyle w:val="2057"/>
              <w:tabs>
                <w:tab w:val="left" w:pos="480"/>
              </w:tabs>
              <w:spacing w:afterLines="0"/>
              <w:ind w:firstLine="0" w:firstLineChars="0"/>
              <w:jc w:val="center"/>
              <w:rPr>
                <w:rFonts w:ascii="Times New Roman" w:hAnsi="Times New Roman" w:cs="Times New Roman"/>
                <w:b/>
                <w:bCs w:val="0"/>
                <w:sz w:val="21"/>
                <w:szCs w:val="21"/>
              </w:rPr>
            </w:pPr>
            <w:r>
              <w:rPr>
                <w:rFonts w:hint="default" w:ascii="Times New Roman" w:hAnsi="Times New Roman" w:cs="Times New Roman"/>
                <w:b/>
                <w:bCs w:val="0"/>
                <w:sz w:val="21"/>
                <w:szCs w:val="21"/>
                <w:lang w:eastAsia="zh-CN"/>
              </w:rPr>
              <w:t>%</w:t>
            </w:r>
          </w:p>
        </w:tc>
        <w:tc>
          <w:tcPr>
            <w:tcW w:w="447" w:type="pct"/>
            <w:vMerge w:val="continue"/>
            <w:tcBorders>
              <w:tl2br w:val="nil"/>
              <w:tr2bl w:val="nil"/>
            </w:tcBorders>
            <w:vAlign w:val="center"/>
          </w:tcPr>
          <w:p>
            <w:pPr>
              <w:pStyle w:val="2057"/>
              <w:tabs>
                <w:tab w:val="left" w:pos="480"/>
              </w:tabs>
              <w:spacing w:afterLines="0"/>
              <w:ind w:firstLine="0" w:firstLineChars="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restart"/>
            <w:tcBorders>
              <w:top w:val="single" w:color="auto" w:sz="12" w:space="0"/>
              <w:tl2br w:val="nil"/>
              <w:tr2bl w:val="nil"/>
            </w:tcBorders>
            <w:vAlign w:val="center"/>
          </w:tcPr>
          <w:p>
            <w:pPr>
              <w:pStyle w:val="2057"/>
              <w:tabs>
                <w:tab w:val="left" w:pos="480"/>
              </w:tabs>
              <w:spacing w:afterLines="0"/>
              <w:ind w:firstLine="0" w:firstLineChars="0"/>
              <w:jc w:val="center"/>
              <w:rPr>
                <w:rFonts w:hint="default"/>
                <w:sz w:val="21"/>
                <w:szCs w:val="21"/>
                <w:lang w:val="en-US"/>
              </w:rPr>
            </w:pPr>
            <w:r>
              <w:rPr>
                <w:rFonts w:hint="eastAsia" w:ascii="Times New Roman" w:hAnsi="Times New Roman" w:cs="Times New Roman"/>
                <w:sz w:val="21"/>
                <w:szCs w:val="21"/>
                <w:lang w:val="en-US" w:eastAsia="zh-CN"/>
              </w:rPr>
              <w:t>PM</w:t>
            </w:r>
            <w:r>
              <w:rPr>
                <w:rFonts w:hint="eastAsia" w:ascii="Times New Roman" w:hAnsi="Times New Roman" w:cs="Times New Roman"/>
                <w:sz w:val="21"/>
                <w:szCs w:val="21"/>
                <w:vertAlign w:val="subscript"/>
                <w:lang w:val="en-US" w:eastAsia="zh-CN"/>
              </w:rPr>
              <w:t>2.5</w:t>
            </w:r>
          </w:p>
        </w:tc>
        <w:tc>
          <w:tcPr>
            <w:tcW w:w="709" w:type="pct"/>
            <w:tcBorders>
              <w:top w:val="single" w:color="auto" w:sz="12" w:space="0"/>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滨江学校</w:t>
            </w:r>
          </w:p>
        </w:tc>
        <w:tc>
          <w:tcPr>
            <w:tcW w:w="389" w:type="pct"/>
            <w:tcBorders>
              <w:top w:val="single" w:color="auto" w:sz="12" w:space="0"/>
              <w:tl2br w:val="nil"/>
              <w:tr2bl w:val="nil"/>
            </w:tcBorders>
            <w:vAlign w:val="center"/>
          </w:tcPr>
          <w:p>
            <w:pPr>
              <w:pStyle w:val="2057"/>
              <w:tabs>
                <w:tab w:val="left" w:pos="480"/>
              </w:tabs>
              <w:spacing w:afterLines="0"/>
              <w:ind w:firstLine="0" w:firstLineChars="0"/>
              <w:jc w:val="center"/>
              <w:rPr>
                <w:sz w:val="21"/>
                <w:szCs w:val="21"/>
              </w:rPr>
            </w:pPr>
            <w:r>
              <w:rPr>
                <w:sz w:val="21"/>
                <w:szCs w:val="21"/>
              </w:rPr>
              <w:t>726</w:t>
            </w:r>
          </w:p>
        </w:tc>
        <w:tc>
          <w:tcPr>
            <w:tcW w:w="408" w:type="pct"/>
            <w:tcBorders>
              <w:top w:val="single" w:color="auto" w:sz="12" w:space="0"/>
              <w:tl2br w:val="nil"/>
              <w:tr2bl w:val="nil"/>
            </w:tcBorders>
            <w:vAlign w:val="center"/>
          </w:tcPr>
          <w:p>
            <w:pPr>
              <w:pStyle w:val="2057"/>
              <w:tabs>
                <w:tab w:val="left" w:pos="480"/>
              </w:tabs>
              <w:spacing w:afterLines="0"/>
              <w:ind w:firstLine="0" w:firstLineChars="0"/>
              <w:jc w:val="center"/>
              <w:rPr>
                <w:sz w:val="21"/>
                <w:szCs w:val="21"/>
              </w:rPr>
            </w:pPr>
            <w:r>
              <w:rPr>
                <w:sz w:val="21"/>
                <w:szCs w:val="21"/>
              </w:rPr>
              <w:t>-24</w:t>
            </w:r>
          </w:p>
        </w:tc>
        <w:tc>
          <w:tcPr>
            <w:tcW w:w="427" w:type="pct"/>
            <w:tcBorders>
              <w:top w:val="single" w:color="auto" w:sz="12" w:space="0"/>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op w:val="single" w:color="auto" w:sz="12" w:space="0"/>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op w:val="single" w:color="auto" w:sz="12" w:space="0"/>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0.03</w:t>
            </w:r>
          </w:p>
        </w:tc>
        <w:tc>
          <w:tcPr>
            <w:tcW w:w="811" w:type="dxa"/>
            <w:tcBorders>
              <w:top w:val="single" w:color="auto" w:sz="12" w:space="0"/>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op w:val="single" w:color="auto" w:sz="12" w:space="0"/>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34.98</w:t>
            </w:r>
          </w:p>
        </w:tc>
        <w:tc>
          <w:tcPr>
            <w:tcW w:w="811" w:type="dxa"/>
            <w:tcBorders>
              <w:top w:val="single" w:color="auto" w:sz="12" w:space="0"/>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99.94</w:t>
            </w:r>
          </w:p>
        </w:tc>
        <w:tc>
          <w:tcPr>
            <w:tcW w:w="814" w:type="dxa"/>
            <w:tcBorders>
              <w:bottom w:val="single" w:color="auto" w:sz="12" w:space="0"/>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pStyle w:val="2057"/>
              <w:tabs>
                <w:tab w:val="left" w:pos="480"/>
              </w:tabs>
              <w:spacing w:afterLines="0"/>
              <w:ind w:firstLine="0" w:firstLineChars="0"/>
              <w:jc w:val="center"/>
              <w:rPr>
                <w:sz w:val="21"/>
                <w:szCs w:val="21"/>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大鼓山</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2,051</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-9</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99.99</w:t>
            </w:r>
          </w:p>
        </w:tc>
        <w:tc>
          <w:tcPr>
            <w:tcW w:w="814" w:type="dxa"/>
            <w:tcBorders>
              <w:top w:val="single" w:color="auto" w:sz="12" w:space="0"/>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pStyle w:val="2057"/>
              <w:tabs>
                <w:tab w:val="left" w:pos="480"/>
              </w:tabs>
              <w:spacing w:afterLines="0"/>
              <w:ind w:firstLine="0" w:firstLineChars="0"/>
              <w:jc w:val="center"/>
              <w:rPr>
                <w:sz w:val="21"/>
                <w:szCs w:val="21"/>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滨江村</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361</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-280</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34.90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99.73</w:t>
            </w:r>
          </w:p>
        </w:tc>
        <w:tc>
          <w:tcPr>
            <w:tcW w:w="814"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pStyle w:val="2057"/>
              <w:tabs>
                <w:tab w:val="left" w:pos="480"/>
              </w:tabs>
              <w:spacing w:afterLines="0"/>
              <w:ind w:firstLine="0" w:firstLineChars="0"/>
              <w:jc w:val="center"/>
              <w:rPr>
                <w:sz w:val="21"/>
                <w:szCs w:val="21"/>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吴家垄</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1,083</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-371</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34.99</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99.96</w:t>
            </w:r>
          </w:p>
        </w:tc>
        <w:tc>
          <w:tcPr>
            <w:tcW w:w="814"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pStyle w:val="2057"/>
              <w:tabs>
                <w:tab w:val="left" w:pos="480"/>
              </w:tabs>
              <w:spacing w:afterLines="0"/>
              <w:ind w:firstLine="0" w:firstLineChars="0"/>
              <w:jc w:val="center"/>
              <w:rPr>
                <w:sz w:val="21"/>
                <w:szCs w:val="21"/>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胥芦畈</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2,185</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-241</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99.99</w:t>
            </w:r>
          </w:p>
        </w:tc>
        <w:tc>
          <w:tcPr>
            <w:tcW w:w="814"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pStyle w:val="2057"/>
              <w:tabs>
                <w:tab w:val="left" w:pos="480"/>
              </w:tabs>
              <w:spacing w:afterLines="0"/>
              <w:ind w:firstLine="0" w:firstLineChars="0"/>
              <w:jc w:val="center"/>
              <w:rPr>
                <w:sz w:val="21"/>
                <w:szCs w:val="21"/>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橙子岭</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1,878</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-526</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99.99</w:t>
            </w:r>
          </w:p>
        </w:tc>
        <w:tc>
          <w:tcPr>
            <w:tcW w:w="814"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芦家屋场</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1,156</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-544</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34.99</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99.96</w:t>
            </w:r>
          </w:p>
        </w:tc>
        <w:tc>
          <w:tcPr>
            <w:tcW w:w="814"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汪家二房</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2,135</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-968</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99.99</w:t>
            </w:r>
          </w:p>
        </w:tc>
        <w:tc>
          <w:tcPr>
            <w:tcW w:w="814"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乌石矶</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100</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-1,103</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0.03</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0.12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34.91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99.74</w:t>
            </w:r>
          </w:p>
        </w:tc>
        <w:tc>
          <w:tcPr>
            <w:tcW w:w="814"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中屋沙咀</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682</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-1,254</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0.04</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34.97</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99.92</w:t>
            </w:r>
          </w:p>
        </w:tc>
        <w:tc>
          <w:tcPr>
            <w:tcW w:w="814"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桑泥湖</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1,789</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-1,221</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34.99</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99.98</w:t>
            </w:r>
          </w:p>
        </w:tc>
        <w:tc>
          <w:tcPr>
            <w:tcW w:w="814"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许家高墩</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-1,583</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1,791</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0.03</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34.98</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99.95</w:t>
            </w:r>
          </w:p>
        </w:tc>
        <w:tc>
          <w:tcPr>
            <w:tcW w:w="814"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屋沙咀</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868</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-1,560</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0.03</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34.98</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99.94</w:t>
            </w:r>
          </w:p>
        </w:tc>
        <w:tc>
          <w:tcPr>
            <w:tcW w:w="814"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白鹭中学</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-1,567</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2,172</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34.99</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99.96</w:t>
            </w:r>
          </w:p>
        </w:tc>
        <w:tc>
          <w:tcPr>
            <w:tcW w:w="814"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七房</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186</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314</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0.04</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0.50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34.53</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98.67</w:t>
            </w:r>
          </w:p>
        </w:tc>
        <w:tc>
          <w:tcPr>
            <w:tcW w:w="814"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六屋</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1,124</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1,470</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0.03</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34.98</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99.94</w:t>
            </w:r>
          </w:p>
        </w:tc>
        <w:tc>
          <w:tcPr>
            <w:tcW w:w="814"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道仁矶中学</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1,774</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1,030</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34.99</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99.98</w:t>
            </w:r>
          </w:p>
        </w:tc>
        <w:tc>
          <w:tcPr>
            <w:tcW w:w="814"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高粱咀</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2,017</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1,515</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34.99</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99.98</w:t>
            </w:r>
          </w:p>
        </w:tc>
        <w:tc>
          <w:tcPr>
            <w:tcW w:w="814"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新建</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2,411</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1,497</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34.99</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99.98</w:t>
            </w:r>
          </w:p>
        </w:tc>
        <w:tc>
          <w:tcPr>
            <w:tcW w:w="814"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胡家垄</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2,142</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1,121</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34.99</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99.98</w:t>
            </w:r>
          </w:p>
        </w:tc>
        <w:tc>
          <w:tcPr>
            <w:tcW w:w="814"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北斗坡</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2,272</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800</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34.99</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99.98</w:t>
            </w:r>
          </w:p>
        </w:tc>
        <w:tc>
          <w:tcPr>
            <w:tcW w:w="814"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胡彭家</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2,285</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523</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0.01</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34.99</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99.98</w:t>
            </w:r>
          </w:p>
        </w:tc>
        <w:tc>
          <w:tcPr>
            <w:tcW w:w="814"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郑家祠堂</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1,025</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198</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0.02</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34.98</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99.96</w:t>
            </w:r>
          </w:p>
        </w:tc>
        <w:tc>
          <w:tcPr>
            <w:tcW w:w="814"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388" w:type="pct"/>
            <w:vMerge w:val="continue"/>
            <w:tcBorders>
              <w:tl2br w:val="nil"/>
              <w:tr2bl w:val="nil"/>
            </w:tcBorders>
            <w:vAlign w:val="center"/>
          </w:tcPr>
          <w:p>
            <w:pPr>
              <w:ind w:firstLine="360"/>
              <w:jc w:val="center"/>
              <w:rPr>
                <w:rFonts w:ascii="宋体" w:hAnsi="宋体" w:cs="宋体"/>
                <w:sz w:val="18"/>
              </w:rPr>
            </w:pPr>
          </w:p>
        </w:tc>
        <w:tc>
          <w:tcPr>
            <w:tcW w:w="709"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区域最大值</w:t>
            </w:r>
          </w:p>
        </w:tc>
        <w:tc>
          <w:tcPr>
            <w:tcW w:w="389"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-300</w:t>
            </w:r>
          </w:p>
        </w:tc>
        <w:tc>
          <w:tcPr>
            <w:tcW w:w="408" w:type="pct"/>
            <w:tcBorders>
              <w:tl2br w:val="nil"/>
              <w:tr2bl w:val="nil"/>
            </w:tcBorders>
            <w:vAlign w:val="center"/>
          </w:tcPr>
          <w:p>
            <w:pPr>
              <w:pStyle w:val="2057"/>
              <w:tabs>
                <w:tab w:val="left" w:pos="480"/>
              </w:tabs>
              <w:spacing w:afterLines="0"/>
              <w:ind w:firstLine="0" w:firstLineChars="0"/>
              <w:jc w:val="center"/>
              <w:rPr>
                <w:sz w:val="21"/>
                <w:szCs w:val="21"/>
              </w:rPr>
            </w:pPr>
            <w:r>
              <w:rPr>
                <w:sz w:val="21"/>
                <w:szCs w:val="21"/>
              </w:rPr>
              <w:t>100</w:t>
            </w:r>
          </w:p>
        </w:tc>
        <w:tc>
          <w:tcPr>
            <w:tcW w:w="427" w:type="pct"/>
            <w:tcBorders>
              <w:tl2br w:val="nil"/>
              <w:tr2bl w:val="nil"/>
            </w:tcBorders>
            <w:vAlign w:val="center"/>
          </w:tcPr>
          <w:p>
            <w:pPr>
              <w:pStyle w:val="2057"/>
              <w:tabs>
                <w:tab w:val="left" w:pos="480"/>
              </w:tabs>
              <w:spacing w:afterLines="0"/>
              <w:ind w:firstLine="0" w:firstLineChars="0"/>
              <w:jc w:val="center"/>
              <w:rPr>
                <w:sz w:val="21"/>
                <w:szCs w:val="21"/>
              </w:rPr>
            </w:pPr>
            <w:r>
              <w:rPr>
                <w:rFonts w:hint="eastAsia"/>
                <w:sz w:val="21"/>
                <w:szCs w:val="21"/>
              </w:rPr>
              <w:t>年均</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0.00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35.00</w:t>
            </w:r>
          </w:p>
        </w:tc>
        <w:tc>
          <w:tcPr>
            <w:tcW w:w="811"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99.99</w:t>
            </w:r>
          </w:p>
        </w:tc>
        <w:tc>
          <w:tcPr>
            <w:tcW w:w="814" w:type="dxa"/>
            <w:tcBorders>
              <w:tl2br w:val="nil"/>
              <w:tr2bl w:val="nil"/>
            </w:tcBorders>
            <w:vAlign w:val="top"/>
          </w:tcPr>
          <w:p>
            <w:pPr>
              <w:pStyle w:val="2057"/>
              <w:tabs>
                <w:tab w:val="left" w:pos="480"/>
              </w:tabs>
              <w:spacing w:afterLines="0"/>
              <w:ind w:firstLine="0" w:firstLineChars="0"/>
              <w:rPr>
                <w:rFonts w:ascii="Times New Roman" w:hAnsi="Times New Roman" w:cs="Times New Roman"/>
                <w:sz w:val="21"/>
                <w:szCs w:val="21"/>
              </w:rPr>
            </w:pPr>
            <w:r>
              <w:rPr>
                <w:rFonts w:hint="default" w:ascii="Times New Roman" w:hAnsi="Times New Roman" w:eastAsia="宋体" w:cs="Times New Roman"/>
                <w:b w:val="0"/>
                <w:sz w:val="21"/>
                <w:szCs w:val="21"/>
                <w:vertAlign w:val="baseline"/>
                <w:lang w:eastAsia="zh-CN"/>
              </w:rPr>
              <w:t>达标</w:t>
            </w:r>
          </w:p>
        </w:tc>
      </w:tr>
    </w:tbl>
    <w:p>
      <w:pPr>
        <w:spacing w:line="360" w:lineRule="auto"/>
        <w:ind w:firstLine="480" w:firstLineChars="200"/>
        <w:rPr>
          <w:rFonts w:hint="default" w:ascii="Times New Roman" w:hAnsi="Times New Roman" w:eastAsia="宋体" w:cs="Times New Roman"/>
          <w:b w:val="0"/>
          <w:sz w:val="24"/>
          <w:szCs w:val="24"/>
          <w:lang w:eastAsia="zh-CN"/>
        </w:rPr>
      </w:pPr>
      <w:r>
        <w:rPr>
          <w:rFonts w:hint="default" w:ascii="Times New Roman" w:hAnsi="Times New Roman" w:eastAsia="宋体" w:cs="Times New Roman"/>
          <w:b w:val="0"/>
          <w:sz w:val="24"/>
          <w:szCs w:val="24"/>
          <w:lang w:eastAsia="zh-CN"/>
        </w:rPr>
        <w:t>PM</w:t>
      </w:r>
      <w:r>
        <w:rPr>
          <w:rFonts w:hint="default" w:ascii="Times New Roman" w:hAnsi="Times New Roman" w:eastAsia="宋体" w:cs="Times New Roman"/>
          <w:b w:val="0"/>
          <w:sz w:val="24"/>
          <w:szCs w:val="24"/>
          <w:vertAlign w:val="subscript"/>
          <w:lang w:eastAsia="zh-CN"/>
        </w:rPr>
        <w:t>2.5</w:t>
      </w:r>
      <w:r>
        <w:rPr>
          <w:rFonts w:hint="default" w:ascii="Times New Roman" w:hAnsi="Times New Roman" w:eastAsia="宋体" w:cs="Times New Roman"/>
          <w:b w:val="0"/>
          <w:sz w:val="24"/>
          <w:szCs w:val="24"/>
          <w:lang w:eastAsia="zh-CN"/>
        </w:rPr>
        <w:t>叠加质量现状污染源排放的PM</w:t>
      </w:r>
      <w:r>
        <w:rPr>
          <w:rFonts w:hint="default" w:ascii="Times New Roman" w:hAnsi="Times New Roman" w:eastAsia="宋体" w:cs="Times New Roman"/>
          <w:b w:val="0"/>
          <w:sz w:val="24"/>
          <w:szCs w:val="24"/>
          <w:vertAlign w:val="subscript"/>
          <w:lang w:eastAsia="zh-CN"/>
        </w:rPr>
        <w:t>2.5</w:t>
      </w:r>
      <w:r>
        <w:rPr>
          <w:rFonts w:hint="default" w:ascii="Times New Roman" w:hAnsi="Times New Roman" w:eastAsia="宋体" w:cs="Times New Roman"/>
          <w:b w:val="0"/>
          <w:sz w:val="24"/>
          <w:szCs w:val="24"/>
          <w:lang w:eastAsia="zh-CN"/>
        </w:rPr>
        <w:t>对评价区域内各环境敏感点的24小时平均浓度叠加值范围在64.53μg/m³～65.00μg/m³之间，占标率为86.04%～86.67%之间，各敏感点24小时平均浓度叠加值均达标；区域最大地面浓度点叠加值为65.06μg/m³，占标率为86.75%，均达标。</w:t>
      </w:r>
    </w:p>
    <w:p>
      <w:pPr>
        <w:spacing w:line="360" w:lineRule="auto"/>
        <w:ind w:firstLine="480" w:firstLineChars="200"/>
        <w:rPr>
          <w:rFonts w:hint="default" w:ascii="Times New Roman" w:hAnsi="Times New Roman" w:eastAsia="宋体" w:cs="Times New Roman"/>
          <w:b w:val="0"/>
          <w:sz w:val="24"/>
          <w:szCs w:val="24"/>
          <w:lang w:eastAsia="zh-CN"/>
        </w:rPr>
      </w:pPr>
      <w:r>
        <w:rPr>
          <w:rFonts w:hint="default" w:ascii="Times New Roman" w:hAnsi="Times New Roman" w:eastAsia="宋体" w:cs="Times New Roman"/>
          <w:b w:val="0"/>
          <w:sz w:val="24"/>
          <w:szCs w:val="24"/>
          <w:lang w:eastAsia="zh-CN"/>
        </w:rPr>
        <w:t>PM</w:t>
      </w:r>
      <w:r>
        <w:rPr>
          <w:rFonts w:hint="default" w:ascii="Times New Roman" w:hAnsi="Times New Roman" w:eastAsia="宋体" w:cs="Times New Roman"/>
          <w:b w:val="0"/>
          <w:sz w:val="24"/>
          <w:szCs w:val="24"/>
          <w:vertAlign w:val="subscript"/>
          <w:lang w:eastAsia="zh-CN"/>
        </w:rPr>
        <w:t>2.5</w:t>
      </w:r>
      <w:r>
        <w:rPr>
          <w:rFonts w:hint="default" w:ascii="Times New Roman" w:hAnsi="Times New Roman" w:eastAsia="宋体" w:cs="Times New Roman"/>
          <w:b w:val="0"/>
          <w:sz w:val="24"/>
          <w:szCs w:val="24"/>
          <w:lang w:eastAsia="zh-CN"/>
        </w:rPr>
        <w:t>叠加质量现状污染源排放的PM</w:t>
      </w:r>
      <w:r>
        <w:rPr>
          <w:rFonts w:hint="default" w:ascii="Times New Roman" w:hAnsi="Times New Roman" w:eastAsia="宋体" w:cs="Times New Roman"/>
          <w:b w:val="0"/>
          <w:sz w:val="24"/>
          <w:szCs w:val="24"/>
          <w:vertAlign w:val="subscript"/>
          <w:lang w:eastAsia="zh-CN"/>
        </w:rPr>
        <w:t>2.5</w:t>
      </w:r>
      <w:r>
        <w:rPr>
          <w:rFonts w:hint="default" w:ascii="Times New Roman" w:hAnsi="Times New Roman" w:eastAsia="宋体" w:cs="Times New Roman"/>
          <w:b w:val="0"/>
          <w:sz w:val="24"/>
          <w:szCs w:val="24"/>
          <w:lang w:eastAsia="zh-CN"/>
        </w:rPr>
        <w:t>对评价区域内各环境敏感点的年平均浓度叠加值范围在34.53μg/m³～35.00μg/m³之间，占标率为98.67%～99.99%之间，各敏感点年平均浓度叠加值均达标；区域最大地面浓度点叠加值为35.00μg/m³，占标率为99.99%，均达标。</w:t>
      </w:r>
    </w:p>
    <w:p>
      <w:pPr>
        <w:ind w:firstLine="480"/>
      </w:pPr>
      <w:r>
        <w:t>评价范围内敏感点、网格点进行影响预测分析发现：拟建项目敏感点</w:t>
      </w:r>
      <w:r>
        <w:rPr>
          <w:rFonts w:hint="default" w:ascii="Times New Roman" w:hAnsi="Times New Roman" w:eastAsia="宋体" w:cs="Times New Roman"/>
          <w:b w:val="0"/>
          <w:sz w:val="24"/>
          <w:szCs w:val="24"/>
          <w:lang w:eastAsia="zh-CN"/>
        </w:rPr>
        <w:t>PM</w:t>
      </w:r>
      <w:r>
        <w:rPr>
          <w:rFonts w:hint="default" w:ascii="Times New Roman" w:hAnsi="Times New Roman" w:eastAsia="宋体" w:cs="Times New Roman"/>
          <w:b w:val="0"/>
          <w:sz w:val="24"/>
          <w:szCs w:val="24"/>
          <w:vertAlign w:val="subscript"/>
          <w:lang w:eastAsia="zh-CN"/>
        </w:rPr>
        <w:t>2.5</w:t>
      </w:r>
      <w:r>
        <w:t>的</w:t>
      </w:r>
      <w:r>
        <w:rPr>
          <w:rFonts w:hint="eastAsia"/>
          <w:lang w:val="en-US" w:eastAsia="zh-CN"/>
        </w:rPr>
        <w:t>95%保证率</w:t>
      </w:r>
      <w:r>
        <w:t>日均浓度叠加值的最大浓度占标率≤100%，全时段叠加值的最大浓度占标率≤100%。</w:t>
      </w:r>
    </w:p>
    <w:p>
      <w:pPr>
        <w:pStyle w:val="2057"/>
        <w:spacing w:afterLines="0"/>
        <w:ind w:firstLine="0" w:firstLineChars="0"/>
        <w:rPr>
          <w:rFonts w:hint="eastAsia" w:eastAsia="宋体"/>
          <w:lang w:eastAsia="zh-CN"/>
        </w:rPr>
      </w:pPr>
      <w:r>
        <w:rPr>
          <w:rFonts w:hint="eastAsia" w:eastAsia="宋体"/>
          <w:lang w:eastAsia="zh-CN"/>
        </w:rPr>
        <w:drawing>
          <wp:inline distT="0" distB="0" distL="114300" distR="114300">
            <wp:extent cx="5756910" cy="4072255"/>
            <wp:effectExtent l="0" t="0" r="15240" b="4445"/>
            <wp:docPr id="70" name="图片 70" descr="PM2.5保证率日均浓度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PM2.5保证率日均浓度分布图"/>
                    <pic:cNvPicPr>
                      <a:picLocks noChangeAspect="1"/>
                    </pic:cNvPicPr>
                  </pic:nvPicPr>
                  <pic:blipFill>
                    <a:blip r:embed="rId227"/>
                    <a:stretch>
                      <a:fillRect/>
                    </a:stretch>
                  </pic:blipFill>
                  <pic:spPr>
                    <a:xfrm>
                      <a:off x="0" y="0"/>
                      <a:ext cx="5756910" cy="4072255"/>
                    </a:xfrm>
                    <a:prstGeom prst="rect">
                      <a:avLst/>
                    </a:prstGeom>
                  </pic:spPr>
                </pic:pic>
              </a:graphicData>
            </a:graphic>
          </wp:inline>
        </w:drawing>
      </w:r>
    </w:p>
    <w:p>
      <w:pPr>
        <w:pStyle w:val="3609"/>
        <w:spacing w:line="240" w:lineRule="atLeast"/>
        <w:ind w:left="0"/>
      </w:pPr>
      <w:r>
        <w:rPr>
          <w:rFonts w:hint="eastAsia" w:ascii="Times New Roman" w:hAnsi="Times New Roman" w:cs="Times New Roman"/>
          <w:b/>
          <w:bCs/>
          <w:lang w:val="en-US" w:eastAsia="zh-CN"/>
        </w:rPr>
        <w:t>PM</w:t>
      </w:r>
      <w:r>
        <w:rPr>
          <w:rFonts w:hint="eastAsia" w:ascii="Times New Roman" w:hAnsi="Times New Roman" w:cs="Times New Roman"/>
          <w:b/>
          <w:bCs/>
          <w:vertAlign w:val="subscript"/>
          <w:lang w:val="en-US" w:eastAsia="zh-CN"/>
        </w:rPr>
        <w:t>2.5</w:t>
      </w:r>
      <w:r>
        <w:rPr>
          <w:rFonts w:hint="eastAsia"/>
          <w:b/>
          <w:bCs/>
          <w:lang w:val="en-US" w:eastAsia="zh-CN"/>
        </w:rPr>
        <w:t>叠加后保证率</w:t>
      </w:r>
      <w:r>
        <w:rPr>
          <w:rFonts w:hint="eastAsia"/>
          <w:b/>
          <w:bCs/>
        </w:rPr>
        <w:t>日均浓度</w:t>
      </w:r>
      <w:r>
        <w:rPr>
          <w:rFonts w:hint="eastAsia"/>
          <w:b/>
          <w:bCs/>
          <w:lang w:val="en-US" w:eastAsia="zh-CN"/>
        </w:rPr>
        <w:t>分布图</w:t>
      </w:r>
    </w:p>
    <w:p>
      <w:pPr>
        <w:pStyle w:val="2057"/>
        <w:spacing w:afterLines="0"/>
        <w:ind w:firstLine="0" w:firstLineChars="0"/>
        <w:rPr>
          <w:rFonts w:hint="eastAsia" w:eastAsia="宋体"/>
          <w:lang w:eastAsia="zh-CN"/>
        </w:rPr>
      </w:pPr>
      <w:r>
        <w:rPr>
          <w:rFonts w:hint="eastAsia" w:eastAsia="宋体"/>
          <w:lang w:eastAsia="zh-CN"/>
        </w:rPr>
        <w:drawing>
          <wp:inline distT="0" distB="0" distL="114300" distR="114300">
            <wp:extent cx="5756910" cy="4072255"/>
            <wp:effectExtent l="0" t="0" r="15240" b="4445"/>
            <wp:docPr id="94" name="图片 94" descr="pm2.5年平均浓度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pm2.5年平均浓度分布图"/>
                    <pic:cNvPicPr>
                      <a:picLocks noChangeAspect="1"/>
                    </pic:cNvPicPr>
                  </pic:nvPicPr>
                  <pic:blipFill>
                    <a:blip r:embed="rId228"/>
                    <a:stretch>
                      <a:fillRect/>
                    </a:stretch>
                  </pic:blipFill>
                  <pic:spPr>
                    <a:xfrm>
                      <a:off x="0" y="0"/>
                      <a:ext cx="5756910" cy="4072255"/>
                    </a:xfrm>
                    <a:prstGeom prst="rect">
                      <a:avLst/>
                    </a:prstGeom>
                  </pic:spPr>
                </pic:pic>
              </a:graphicData>
            </a:graphic>
          </wp:inline>
        </w:drawing>
      </w:r>
    </w:p>
    <w:p>
      <w:pPr>
        <w:pStyle w:val="3609"/>
        <w:spacing w:line="240" w:lineRule="atLeast"/>
        <w:ind w:left="0"/>
      </w:pPr>
      <w:r>
        <w:t xml:space="preserve"> </w:t>
      </w:r>
      <w:r>
        <w:rPr>
          <w:rFonts w:hint="eastAsia" w:ascii="Times New Roman" w:hAnsi="Times New Roman" w:cs="Times New Roman"/>
          <w:b/>
          <w:bCs/>
          <w:lang w:val="en-US" w:eastAsia="zh-CN"/>
        </w:rPr>
        <w:t>PM</w:t>
      </w:r>
      <w:r>
        <w:rPr>
          <w:rFonts w:hint="eastAsia" w:ascii="Times New Roman" w:hAnsi="Times New Roman" w:cs="Times New Roman"/>
          <w:b/>
          <w:bCs/>
          <w:vertAlign w:val="subscript"/>
          <w:lang w:val="en-US" w:eastAsia="zh-CN"/>
        </w:rPr>
        <w:t>2.5</w:t>
      </w:r>
      <w:r>
        <w:rPr>
          <w:rFonts w:hint="eastAsia" w:ascii="Times New Roman" w:hAnsi="Times New Roman" w:cs="Times New Roman"/>
          <w:b/>
          <w:bCs/>
        </w:rPr>
        <w:t>年均</w:t>
      </w:r>
      <w:r>
        <w:rPr>
          <w:rFonts w:hint="eastAsia"/>
        </w:rPr>
        <w:t>浓度</w:t>
      </w:r>
      <w:r>
        <w:rPr>
          <w:rFonts w:hint="eastAsia"/>
          <w:lang w:val="en-US" w:eastAsia="zh-CN"/>
        </w:rPr>
        <w:t>分布图</w:t>
      </w:r>
    </w:p>
    <w:p>
      <w:pPr>
        <w:ind w:firstLine="480"/>
      </w:pPr>
      <w:r>
        <w:rPr>
          <w:rFonts w:hint="eastAsia"/>
        </w:rPr>
        <w:t>（</w:t>
      </w:r>
      <w:r>
        <w:rPr>
          <w:rFonts w:hint="eastAsia"/>
          <w:lang w:val="en-US" w:eastAsia="zh-CN"/>
        </w:rPr>
        <w:t>3</w:t>
      </w:r>
      <w:r>
        <w:rPr>
          <w:rFonts w:hint="eastAsia"/>
        </w:rPr>
        <w:t>）大气环境防护距离</w:t>
      </w:r>
    </w:p>
    <w:p>
      <w:pPr>
        <w:ind w:firstLine="480"/>
      </w:pPr>
      <w:r>
        <w:rPr>
          <w:rFonts w:hint="eastAsia"/>
        </w:rPr>
        <w:t>根据《环境影响评价技术导则-大气环境》（HJ2.2-2018），建设项目需进行大气防护距离计算。需采用进一步预测模型模拟评价基准年内，项目所有污染源对厂界外主要污染物的短期贡献浓度分布，厂界外预测网格分辨率不应超过50m。</w:t>
      </w:r>
    </w:p>
    <w:p>
      <w:pPr>
        <w:ind w:firstLine="480"/>
      </w:pPr>
      <w:r>
        <w:rPr>
          <w:rFonts w:hint="eastAsia"/>
        </w:rPr>
        <w:t>本评价在计算大气防护距离时，采用AERMOD模型预测进一步预测时，预测网格分辨率为50m×50m，满足HJ2.2-2018中对于大气防护距离设置预测要求。大气防护距离的预测结果见下表。</w:t>
      </w:r>
    </w:p>
    <w:p>
      <w:pPr>
        <w:pStyle w:val="3586"/>
        <w:ind w:left="0"/>
      </w:pPr>
      <w:r>
        <w:rPr>
          <w:rFonts w:hint="eastAsia"/>
        </w:rPr>
        <w:t xml:space="preserve"> 大气防护距离计算结果</w:t>
      </w:r>
    </w:p>
    <w:tbl>
      <w:tblPr>
        <w:tblStyle w:val="87"/>
        <w:tblW w:w="500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970"/>
        <w:gridCol w:w="3072"/>
        <w:gridCol w:w="306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163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污染物</w:t>
            </w:r>
          </w:p>
        </w:tc>
        <w:tc>
          <w:tcPr>
            <w:tcW w:w="168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厂界外是否超标</w:t>
            </w:r>
          </w:p>
        </w:tc>
        <w:tc>
          <w:tcPr>
            <w:tcW w:w="168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最远超标距离/m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163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lang w:val="en-US" w:eastAsia="zh-CN"/>
              </w:rPr>
              <w:t>TSP</w:t>
            </w:r>
          </w:p>
        </w:tc>
        <w:tc>
          <w:tcPr>
            <w:tcW w:w="168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否</w:t>
            </w:r>
          </w:p>
        </w:tc>
        <w:tc>
          <w:tcPr>
            <w:tcW w:w="168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163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default"/>
                <w:kern w:val="0"/>
                <w:sz w:val="21"/>
                <w:szCs w:val="21"/>
                <w:lang w:val="en-US" w:eastAsia="zh-CN"/>
              </w:rPr>
            </w:pPr>
            <w:r>
              <w:rPr>
                <w:rFonts w:hint="eastAsia"/>
                <w:kern w:val="0"/>
                <w:sz w:val="21"/>
                <w:szCs w:val="21"/>
                <w:lang w:val="en-US" w:eastAsia="zh-CN"/>
              </w:rPr>
              <w:t>PM</w:t>
            </w:r>
            <w:r>
              <w:rPr>
                <w:rFonts w:hint="eastAsia"/>
                <w:kern w:val="0"/>
                <w:sz w:val="21"/>
                <w:szCs w:val="21"/>
                <w:vertAlign w:val="subscript"/>
                <w:lang w:val="en-US" w:eastAsia="zh-CN"/>
              </w:rPr>
              <w:t>10</w:t>
            </w:r>
          </w:p>
        </w:tc>
        <w:tc>
          <w:tcPr>
            <w:tcW w:w="3072"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r>
              <w:rPr>
                <w:rFonts w:hint="eastAsia"/>
                <w:kern w:val="0"/>
                <w:sz w:val="21"/>
                <w:szCs w:val="21"/>
              </w:rPr>
              <w:t>否</w:t>
            </w:r>
          </w:p>
        </w:tc>
        <w:tc>
          <w:tcPr>
            <w:tcW w:w="3067"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r>
              <w:rPr>
                <w:rFonts w:hint="eastAsia"/>
                <w:kern w:val="0"/>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163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default"/>
                <w:kern w:val="0"/>
                <w:sz w:val="21"/>
                <w:szCs w:val="21"/>
                <w:lang w:val="en-US" w:eastAsia="zh-CN"/>
              </w:rPr>
            </w:pPr>
            <w:r>
              <w:rPr>
                <w:rFonts w:hint="eastAsia"/>
                <w:kern w:val="0"/>
                <w:sz w:val="21"/>
                <w:szCs w:val="21"/>
                <w:lang w:val="en-US" w:eastAsia="zh-CN"/>
              </w:rPr>
              <w:t>PM</w:t>
            </w:r>
            <w:r>
              <w:rPr>
                <w:rFonts w:hint="eastAsia"/>
                <w:kern w:val="0"/>
                <w:sz w:val="21"/>
                <w:szCs w:val="21"/>
                <w:vertAlign w:val="subscript"/>
                <w:lang w:val="en-US" w:eastAsia="zh-CN"/>
              </w:rPr>
              <w:t>2.5</w:t>
            </w:r>
          </w:p>
        </w:tc>
        <w:tc>
          <w:tcPr>
            <w:tcW w:w="3072"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r>
              <w:rPr>
                <w:rFonts w:hint="eastAsia"/>
                <w:kern w:val="0"/>
                <w:sz w:val="21"/>
                <w:szCs w:val="21"/>
              </w:rPr>
              <w:t>否</w:t>
            </w:r>
          </w:p>
        </w:tc>
        <w:tc>
          <w:tcPr>
            <w:tcW w:w="3067" w:type="dxa"/>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eastAsia"/>
                <w:kern w:val="0"/>
                <w:sz w:val="21"/>
                <w:szCs w:val="21"/>
              </w:rPr>
            </w:pPr>
            <w:r>
              <w:rPr>
                <w:rFonts w:hint="eastAsia"/>
                <w:kern w:val="0"/>
                <w:sz w:val="21"/>
                <w:szCs w:val="21"/>
              </w:rPr>
              <w:t>0</w:t>
            </w:r>
          </w:p>
        </w:tc>
      </w:tr>
    </w:tbl>
    <w:p>
      <w:pPr>
        <w:ind w:firstLine="480"/>
      </w:pPr>
      <w:r>
        <w:rPr>
          <w:rFonts w:hint="eastAsia"/>
        </w:rPr>
        <w:t>根据《环境影响评价技术导则-大气环境》（HJ2.2-2018），从厂界起所有超过环境质量短期浓度标准值的网格区域，以自厂界起至超标区域的最远垂直距离作为大气环境防护距离。</w:t>
      </w:r>
    </w:p>
    <w:p>
      <w:pPr>
        <w:ind w:firstLine="480"/>
        <w:rPr>
          <w:rFonts w:hint="eastAsia"/>
        </w:rPr>
      </w:pPr>
      <w:r>
        <w:rPr>
          <w:rFonts w:hint="eastAsia"/>
        </w:rPr>
        <w:t>由上文预测结果可知，项目厂界外TSP日均浓度预测值均不超过环境质量短期浓度标准值，因此本项目无需设置大气防护距离。</w:t>
      </w:r>
    </w:p>
    <w:p>
      <w:pPr>
        <w:ind w:firstLine="480"/>
        <w:rPr>
          <w:rFonts w:hint="eastAsia" w:ascii="Times New Roman" w:hAnsi="Times New Roman" w:cs="Times New Roman"/>
          <w:lang w:val="en-US" w:eastAsia="zh-CN"/>
        </w:rPr>
      </w:pPr>
      <w:r>
        <w:rPr>
          <w:rFonts w:hint="eastAsia" w:ascii="Times New Roman" w:hAnsi="Times New Roman" w:cs="Times New Roman"/>
          <w:lang w:eastAsia="zh-CN"/>
        </w:rPr>
        <w:t>（</w:t>
      </w:r>
      <w:r>
        <w:rPr>
          <w:rFonts w:hint="eastAsia" w:ascii="Times New Roman" w:hAnsi="Times New Roman" w:cs="Times New Roman"/>
          <w:lang w:val="en-US" w:eastAsia="zh-CN"/>
        </w:rPr>
        <w:t>4</w:t>
      </w:r>
      <w:r>
        <w:rPr>
          <w:rFonts w:hint="eastAsia" w:ascii="Times New Roman" w:hAnsi="Times New Roman" w:cs="Times New Roman"/>
          <w:lang w:eastAsia="zh-CN"/>
        </w:rPr>
        <w:t>）</w:t>
      </w:r>
      <w:r>
        <w:rPr>
          <w:rFonts w:hint="eastAsia" w:ascii="Times New Roman" w:hAnsi="Times New Roman" w:cs="Times New Roman"/>
          <w:lang w:val="en-US" w:eastAsia="zh-CN"/>
        </w:rPr>
        <w:t>年平均质量浓度变化率</w:t>
      </w:r>
    </w:p>
    <w:p>
      <w:pPr>
        <w:keepNext w:val="0"/>
        <w:keepLines w:val="0"/>
        <w:widowControl/>
        <w:suppressLineNumbers w:val="0"/>
        <w:ind w:firstLine="480"/>
        <w:jc w:val="left"/>
        <w:rPr>
          <w:rFonts w:hint="eastAsia" w:ascii="Times New Roman" w:hAnsi="Times New Roman" w:eastAsia="宋体" w:cs="Times New Roman"/>
          <w:b w:val="0"/>
          <w:bCs w:val="0"/>
          <w:kern w:val="2"/>
          <w:sz w:val="24"/>
          <w:szCs w:val="24"/>
          <w:lang w:val="en-US" w:eastAsia="zh-CN" w:bidi="ar"/>
        </w:rPr>
      </w:pPr>
      <w:r>
        <w:rPr>
          <w:rFonts w:hint="eastAsia" w:ascii="Times New Roman" w:hAnsi="Times New Roman" w:eastAsia="宋体" w:cs="Times New Roman"/>
          <w:b w:val="0"/>
          <w:bCs w:val="0"/>
          <w:kern w:val="2"/>
          <w:sz w:val="24"/>
          <w:szCs w:val="24"/>
          <w:lang w:val="en-US" w:eastAsia="zh-CN" w:bidi="ar"/>
        </w:rPr>
        <w:t>本评价根据 HJ2.2—2018 中要求，计算了 PM</w:t>
      </w:r>
      <w:r>
        <w:rPr>
          <w:rFonts w:hint="eastAsia" w:ascii="Times New Roman" w:hAnsi="Times New Roman" w:cs="Times New Roman"/>
          <w:b w:val="0"/>
          <w:bCs w:val="0"/>
          <w:kern w:val="2"/>
          <w:sz w:val="24"/>
          <w:szCs w:val="24"/>
          <w:vertAlign w:val="subscript"/>
          <w:lang w:val="en-US" w:eastAsia="zh-CN" w:bidi="ar"/>
        </w:rPr>
        <w:t>2.5</w:t>
      </w:r>
      <w:r>
        <w:rPr>
          <w:rFonts w:hint="eastAsia" w:ascii="Times New Roman" w:hAnsi="Times New Roman" w:eastAsia="宋体" w:cs="Times New Roman"/>
          <w:b w:val="0"/>
          <w:bCs w:val="0"/>
          <w:kern w:val="2"/>
          <w:sz w:val="24"/>
          <w:szCs w:val="24"/>
          <w:lang w:val="en-US" w:eastAsia="zh-CN" w:bidi="ar"/>
        </w:rPr>
        <w:t>的年平</w:t>
      </w:r>
      <w:r>
        <w:rPr>
          <w:rFonts w:hint="eastAsia" w:ascii="Times New Roman" w:hAnsi="Times New Roman" w:cs="Times New Roman"/>
          <w:b w:val="0"/>
          <w:bCs w:val="0"/>
          <w:kern w:val="2"/>
          <w:sz w:val="24"/>
          <w:szCs w:val="24"/>
          <w:lang w:val="en-US" w:eastAsia="zh-CN" w:bidi="ar"/>
        </w:rPr>
        <w:t>均</w:t>
      </w:r>
      <w:r>
        <w:rPr>
          <w:rFonts w:hint="eastAsia" w:ascii="Times New Roman" w:hAnsi="Times New Roman" w:eastAsia="宋体" w:cs="Times New Roman"/>
          <w:b w:val="0"/>
          <w:bCs w:val="0"/>
          <w:kern w:val="2"/>
          <w:sz w:val="24"/>
          <w:szCs w:val="24"/>
          <w:lang w:val="en-US" w:eastAsia="zh-CN" w:bidi="ar"/>
        </w:rPr>
        <w:t>质量浓度</w:t>
      </w:r>
      <w:r>
        <w:rPr>
          <w:rFonts w:hint="eastAsia" w:ascii="Times New Roman" w:hAnsi="Times New Roman" w:cs="Times New Roman"/>
          <w:b w:val="0"/>
          <w:bCs w:val="0"/>
          <w:kern w:val="2"/>
          <w:sz w:val="24"/>
          <w:szCs w:val="24"/>
          <w:lang w:val="en-US" w:eastAsia="zh-CN" w:bidi="ar"/>
        </w:rPr>
        <w:t>变化</w:t>
      </w:r>
      <w:r>
        <w:rPr>
          <w:rFonts w:hint="eastAsia" w:ascii="Times New Roman" w:hAnsi="Times New Roman" w:eastAsia="宋体" w:cs="Times New Roman"/>
          <w:b w:val="0"/>
          <w:bCs w:val="0"/>
          <w:kern w:val="2"/>
          <w:sz w:val="24"/>
          <w:szCs w:val="24"/>
          <w:lang w:val="en-US" w:eastAsia="zh-CN" w:bidi="ar"/>
        </w:rPr>
        <w:t xml:space="preserve">率 k 值。k 值 的计算方法如下： 式中： </w:t>
      </w:r>
    </w:p>
    <w:p>
      <w:pPr>
        <w:pStyle w:val="2"/>
        <w:rPr>
          <w:rFonts w:hint="eastAsia"/>
        </w:rPr>
      </w:pPr>
      <w:r>
        <w:drawing>
          <wp:inline distT="0" distB="0" distL="114300" distR="114300">
            <wp:extent cx="3371850" cy="523875"/>
            <wp:effectExtent l="0" t="0" r="0" b="9525"/>
            <wp:docPr id="9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8"/>
                    <pic:cNvPicPr>
                      <a:picLocks noChangeAspect="1"/>
                    </pic:cNvPicPr>
                  </pic:nvPicPr>
                  <pic:blipFill>
                    <a:blip r:embed="rId229"/>
                    <a:stretch>
                      <a:fillRect/>
                    </a:stretch>
                  </pic:blipFill>
                  <pic:spPr>
                    <a:xfrm>
                      <a:off x="0" y="0"/>
                      <a:ext cx="3371850" cy="523875"/>
                    </a:xfrm>
                    <a:prstGeom prst="rect">
                      <a:avLst/>
                    </a:prstGeom>
                    <a:noFill/>
                    <a:ln>
                      <a:noFill/>
                    </a:ln>
                  </pic:spPr>
                </pic:pic>
              </a:graphicData>
            </a:graphic>
          </wp:inline>
        </w:drawing>
      </w:r>
    </w:p>
    <w:p>
      <w:pPr>
        <w:keepNext w:val="0"/>
        <w:keepLines w:val="0"/>
        <w:widowControl/>
        <w:suppressLineNumbers w:val="0"/>
        <w:ind w:firstLine="480"/>
        <w:jc w:val="left"/>
        <w:rPr>
          <w:rFonts w:hint="eastAsia" w:ascii="Times New Roman" w:hAnsi="Times New Roman" w:cs="Times New Roman"/>
        </w:rPr>
      </w:pPr>
      <w:r>
        <w:rPr>
          <w:rFonts w:hint="eastAsia" w:ascii="Times New Roman" w:hAnsi="Times New Roman" w:eastAsia="宋体" w:cs="Times New Roman"/>
          <w:b w:val="0"/>
          <w:bCs w:val="0"/>
          <w:kern w:val="2"/>
          <w:sz w:val="24"/>
          <w:szCs w:val="24"/>
          <w:lang w:val="en-US" w:eastAsia="zh-CN" w:bidi="ar"/>
        </w:rPr>
        <w:t>k—预测范围年平</w:t>
      </w:r>
      <w:r>
        <w:rPr>
          <w:rFonts w:hint="eastAsia" w:ascii="Times New Roman" w:hAnsi="Times New Roman" w:cs="Times New Roman"/>
          <w:b w:val="0"/>
          <w:bCs w:val="0"/>
          <w:kern w:val="2"/>
          <w:sz w:val="24"/>
          <w:szCs w:val="24"/>
          <w:lang w:val="en-US" w:eastAsia="zh-CN" w:bidi="ar"/>
        </w:rPr>
        <w:t>均</w:t>
      </w:r>
      <w:r>
        <w:rPr>
          <w:rFonts w:hint="eastAsia" w:ascii="Times New Roman" w:hAnsi="Times New Roman" w:eastAsia="宋体" w:cs="Times New Roman"/>
          <w:b w:val="0"/>
          <w:bCs w:val="0"/>
          <w:kern w:val="2"/>
          <w:sz w:val="24"/>
          <w:szCs w:val="24"/>
          <w:lang w:val="en-US" w:eastAsia="zh-CN" w:bidi="ar"/>
        </w:rPr>
        <w:t>质量浓度</w:t>
      </w:r>
      <w:r>
        <w:rPr>
          <w:rFonts w:hint="eastAsia" w:ascii="Times New Roman" w:hAnsi="Times New Roman" w:cs="Times New Roman"/>
          <w:b w:val="0"/>
          <w:bCs w:val="0"/>
          <w:kern w:val="2"/>
          <w:sz w:val="24"/>
          <w:szCs w:val="24"/>
          <w:lang w:val="en-US" w:eastAsia="zh-CN" w:bidi="ar"/>
        </w:rPr>
        <w:t>变化</w:t>
      </w:r>
      <w:r>
        <w:rPr>
          <w:rFonts w:hint="eastAsia" w:ascii="Times New Roman" w:hAnsi="Times New Roman" w:eastAsia="宋体" w:cs="Times New Roman"/>
          <w:b w:val="0"/>
          <w:bCs w:val="0"/>
          <w:kern w:val="2"/>
          <w:sz w:val="24"/>
          <w:szCs w:val="24"/>
          <w:lang w:val="en-US" w:eastAsia="zh-CN" w:bidi="ar"/>
        </w:rPr>
        <w:t xml:space="preserve">率。%； </w:t>
      </w:r>
    </w:p>
    <w:p>
      <w:pPr>
        <w:keepNext w:val="0"/>
        <w:keepLines w:val="0"/>
        <w:widowControl/>
        <w:suppressLineNumbers w:val="0"/>
        <w:ind w:firstLine="480"/>
        <w:jc w:val="left"/>
        <w:rPr>
          <w:rFonts w:hint="default" w:ascii="Times New Roman" w:hAnsi="Times New Roman" w:cs="Times New Roman"/>
        </w:rPr>
      </w:pPr>
      <w:r>
        <w:rPr>
          <w:rFonts w:hint="default" w:ascii="Times New Roman" w:hAnsi="Times New Roman" w:eastAsia="宋体" w:cs="Times New Roman"/>
          <w:b w:val="0"/>
          <w:bCs w:val="0"/>
          <w:kern w:val="2"/>
          <w:sz w:val="24"/>
          <w:szCs w:val="24"/>
          <w:lang w:val="en-US" w:eastAsia="zh-CN" w:bidi="ar"/>
        </w:rPr>
        <w:t>C 本项目（α）—本项目对</w:t>
      </w:r>
      <w:r>
        <w:rPr>
          <w:rFonts w:hint="default" w:ascii="Times New Roman" w:hAnsi="Times New Roman" w:cs="Times New Roman"/>
          <w:b w:val="0"/>
          <w:bCs w:val="0"/>
          <w:kern w:val="2"/>
          <w:sz w:val="24"/>
          <w:szCs w:val="24"/>
          <w:lang w:val="en-US" w:eastAsia="zh-CN" w:bidi="ar"/>
        </w:rPr>
        <w:t>所</w:t>
      </w:r>
      <w:r>
        <w:rPr>
          <w:rFonts w:hint="default" w:ascii="Times New Roman" w:hAnsi="Times New Roman" w:eastAsia="宋体" w:cs="Times New Roman"/>
          <w:b w:val="0"/>
          <w:bCs w:val="0"/>
          <w:kern w:val="2"/>
          <w:sz w:val="24"/>
          <w:szCs w:val="24"/>
          <w:lang w:val="en-US" w:eastAsia="zh-CN" w:bidi="ar"/>
        </w:rPr>
        <w:t>有网格点的年平</w:t>
      </w:r>
      <w:r>
        <w:rPr>
          <w:rFonts w:hint="default" w:ascii="Times New Roman" w:hAnsi="Times New Roman" w:cs="Times New Roman"/>
          <w:b w:val="0"/>
          <w:bCs w:val="0"/>
          <w:kern w:val="2"/>
          <w:sz w:val="24"/>
          <w:szCs w:val="24"/>
          <w:lang w:val="en-US" w:eastAsia="zh-CN" w:bidi="ar"/>
        </w:rPr>
        <w:t>均</w:t>
      </w:r>
      <w:r>
        <w:rPr>
          <w:rFonts w:hint="default" w:ascii="Times New Roman" w:hAnsi="Times New Roman" w:eastAsia="宋体" w:cs="Times New Roman"/>
          <w:b w:val="0"/>
          <w:bCs w:val="0"/>
          <w:kern w:val="2"/>
          <w:sz w:val="24"/>
          <w:szCs w:val="24"/>
          <w:lang w:val="en-US" w:eastAsia="zh-CN" w:bidi="ar"/>
        </w:rPr>
        <w:t>质量浓度</w:t>
      </w:r>
      <w:r>
        <w:rPr>
          <w:rFonts w:hint="default" w:ascii="Times New Roman" w:hAnsi="Times New Roman" w:cs="Times New Roman"/>
          <w:b w:val="0"/>
          <w:bCs w:val="0"/>
          <w:kern w:val="2"/>
          <w:sz w:val="24"/>
          <w:szCs w:val="24"/>
          <w:lang w:val="en-US" w:eastAsia="zh-CN" w:bidi="ar"/>
        </w:rPr>
        <w:t>贡献</w:t>
      </w:r>
      <w:r>
        <w:rPr>
          <w:rFonts w:hint="default" w:ascii="Times New Roman" w:hAnsi="Times New Roman" w:eastAsia="宋体" w:cs="Times New Roman"/>
          <w:b w:val="0"/>
          <w:bCs w:val="0"/>
          <w:kern w:val="2"/>
          <w:sz w:val="24"/>
          <w:szCs w:val="24"/>
          <w:lang w:val="en-US" w:eastAsia="zh-CN" w:bidi="ar"/>
        </w:rPr>
        <w:t>值的算数</w:t>
      </w:r>
      <w:r>
        <w:rPr>
          <w:rFonts w:hint="default" w:ascii="Times New Roman" w:hAnsi="Times New Roman" w:cs="Times New Roman"/>
          <w:b w:val="0"/>
          <w:bCs w:val="0"/>
          <w:kern w:val="2"/>
          <w:sz w:val="24"/>
          <w:szCs w:val="24"/>
          <w:lang w:val="en-US" w:eastAsia="zh-CN" w:bidi="ar"/>
        </w:rPr>
        <w:t>平均值</w:t>
      </w:r>
      <w:r>
        <w:rPr>
          <w:rFonts w:hint="default" w:ascii="Times New Roman" w:hAnsi="Times New Roman" w:eastAsia="宋体" w:cs="Times New Roman"/>
          <w:b w:val="0"/>
          <w:bCs w:val="0"/>
          <w:kern w:val="2"/>
          <w:sz w:val="24"/>
          <w:szCs w:val="24"/>
          <w:lang w:val="en-US" w:eastAsia="zh-CN" w:bidi="ar"/>
        </w:rPr>
        <w:t>，μg/m</w:t>
      </w:r>
      <w:r>
        <w:rPr>
          <w:rFonts w:hint="default" w:ascii="Times New Roman" w:hAnsi="Times New Roman" w:eastAsia="宋体" w:cs="Times New Roman"/>
          <w:b w:val="0"/>
          <w:bCs w:val="0"/>
          <w:kern w:val="2"/>
          <w:sz w:val="24"/>
          <w:szCs w:val="24"/>
          <w:vertAlign w:val="superscript"/>
          <w:lang w:val="en-US" w:eastAsia="zh-CN" w:bidi="ar"/>
        </w:rPr>
        <w:t>3</w:t>
      </w:r>
      <w:r>
        <w:rPr>
          <w:rFonts w:hint="default" w:ascii="Times New Roman" w:hAnsi="Times New Roman" w:eastAsia="宋体" w:cs="Times New Roman"/>
          <w:b w:val="0"/>
          <w:bCs w:val="0"/>
          <w:kern w:val="2"/>
          <w:sz w:val="24"/>
          <w:szCs w:val="24"/>
          <w:lang w:val="en-US" w:eastAsia="zh-CN" w:bidi="ar"/>
        </w:rPr>
        <w:t xml:space="preserve">； </w:t>
      </w:r>
    </w:p>
    <w:p>
      <w:pPr>
        <w:keepNext w:val="0"/>
        <w:keepLines w:val="0"/>
        <w:widowControl/>
        <w:suppressLineNumbers w:val="0"/>
        <w:ind w:firstLine="480"/>
        <w:jc w:val="left"/>
        <w:rPr>
          <w:rFonts w:hint="default" w:ascii="Times New Roman" w:hAnsi="Times New Roman" w:eastAsia="宋体" w:cs="Times New Roman"/>
          <w:b w:val="0"/>
          <w:bCs w:val="0"/>
          <w:kern w:val="2"/>
          <w:sz w:val="24"/>
          <w:szCs w:val="24"/>
          <w:lang w:val="en-US" w:eastAsia="zh-CN" w:bidi="ar"/>
        </w:rPr>
      </w:pPr>
      <w:r>
        <w:rPr>
          <w:rFonts w:hint="default" w:ascii="Times New Roman" w:hAnsi="Times New Roman" w:eastAsia="宋体" w:cs="Times New Roman"/>
          <w:b w:val="0"/>
          <w:bCs w:val="0"/>
          <w:kern w:val="2"/>
          <w:sz w:val="24"/>
          <w:szCs w:val="24"/>
          <w:lang w:val="en-US" w:eastAsia="zh-CN" w:bidi="ar"/>
        </w:rPr>
        <w:t>C 区域削减（α）—区域削减污染源</w:t>
      </w:r>
      <w:r>
        <w:rPr>
          <w:rFonts w:hint="default" w:ascii="Times New Roman" w:hAnsi="Times New Roman" w:cs="Times New Roman"/>
          <w:b w:val="0"/>
          <w:bCs w:val="0"/>
          <w:kern w:val="2"/>
          <w:sz w:val="24"/>
          <w:szCs w:val="24"/>
          <w:lang w:val="en-US" w:eastAsia="zh-CN" w:bidi="ar"/>
        </w:rPr>
        <w:t>所</w:t>
      </w:r>
      <w:r>
        <w:rPr>
          <w:rFonts w:hint="default" w:ascii="Times New Roman" w:hAnsi="Times New Roman" w:eastAsia="宋体" w:cs="Times New Roman"/>
          <w:b w:val="0"/>
          <w:bCs w:val="0"/>
          <w:kern w:val="2"/>
          <w:sz w:val="24"/>
          <w:szCs w:val="24"/>
          <w:lang w:val="en-US" w:eastAsia="zh-CN" w:bidi="ar"/>
        </w:rPr>
        <w:t>有网格点的年平</w:t>
      </w:r>
      <w:r>
        <w:rPr>
          <w:rFonts w:hint="default" w:ascii="Times New Roman" w:hAnsi="Times New Roman" w:cs="Times New Roman"/>
          <w:b w:val="0"/>
          <w:bCs w:val="0"/>
          <w:kern w:val="2"/>
          <w:sz w:val="24"/>
          <w:szCs w:val="24"/>
          <w:lang w:val="en-US" w:eastAsia="zh-CN" w:bidi="ar"/>
        </w:rPr>
        <w:t>均</w:t>
      </w:r>
      <w:r>
        <w:rPr>
          <w:rFonts w:hint="default" w:ascii="Times New Roman" w:hAnsi="Times New Roman" w:eastAsia="宋体" w:cs="Times New Roman"/>
          <w:b w:val="0"/>
          <w:bCs w:val="0"/>
          <w:kern w:val="2"/>
          <w:sz w:val="24"/>
          <w:szCs w:val="24"/>
          <w:lang w:val="en-US" w:eastAsia="zh-CN" w:bidi="ar"/>
        </w:rPr>
        <w:t>质量浓度</w:t>
      </w:r>
      <w:r>
        <w:rPr>
          <w:rFonts w:hint="default" w:ascii="Times New Roman" w:hAnsi="Times New Roman" w:cs="Times New Roman"/>
          <w:b w:val="0"/>
          <w:bCs w:val="0"/>
          <w:kern w:val="2"/>
          <w:sz w:val="24"/>
          <w:szCs w:val="24"/>
          <w:lang w:val="en-US" w:eastAsia="zh-CN" w:bidi="ar"/>
        </w:rPr>
        <w:t>贡献</w:t>
      </w:r>
      <w:r>
        <w:rPr>
          <w:rFonts w:hint="default" w:ascii="Times New Roman" w:hAnsi="Times New Roman" w:eastAsia="宋体" w:cs="Times New Roman"/>
          <w:b w:val="0"/>
          <w:bCs w:val="0"/>
          <w:kern w:val="2"/>
          <w:sz w:val="24"/>
          <w:szCs w:val="24"/>
          <w:lang w:val="en-US" w:eastAsia="zh-CN" w:bidi="ar"/>
        </w:rPr>
        <w:t>值的算数</w:t>
      </w:r>
      <w:r>
        <w:rPr>
          <w:rFonts w:hint="default" w:ascii="Times New Roman" w:hAnsi="Times New Roman" w:cs="Times New Roman"/>
          <w:b w:val="0"/>
          <w:bCs w:val="0"/>
          <w:kern w:val="2"/>
          <w:sz w:val="24"/>
          <w:szCs w:val="24"/>
          <w:lang w:val="en-US" w:eastAsia="zh-CN" w:bidi="ar"/>
        </w:rPr>
        <w:t>平均值</w:t>
      </w:r>
      <w:r>
        <w:rPr>
          <w:rFonts w:hint="default" w:ascii="Times New Roman" w:hAnsi="Times New Roman" w:eastAsia="宋体" w:cs="Times New Roman"/>
          <w:b w:val="0"/>
          <w:bCs w:val="0"/>
          <w:kern w:val="2"/>
          <w:sz w:val="24"/>
          <w:szCs w:val="24"/>
          <w:lang w:val="en-US" w:eastAsia="zh-CN" w:bidi="ar"/>
        </w:rPr>
        <w:t>，μg/m</w:t>
      </w:r>
      <w:r>
        <w:rPr>
          <w:rFonts w:hint="default" w:ascii="Times New Roman" w:hAnsi="Times New Roman" w:eastAsia="宋体" w:cs="Times New Roman"/>
          <w:b w:val="0"/>
          <w:bCs w:val="0"/>
          <w:kern w:val="2"/>
          <w:sz w:val="24"/>
          <w:szCs w:val="24"/>
          <w:vertAlign w:val="superscript"/>
          <w:lang w:val="en-US" w:eastAsia="zh-CN" w:bidi="ar"/>
        </w:rPr>
        <w:t>3</w:t>
      </w:r>
      <w:r>
        <w:rPr>
          <w:rFonts w:hint="default" w:ascii="Times New Roman" w:hAnsi="Times New Roman" w:eastAsia="宋体" w:cs="Times New Roman"/>
          <w:b w:val="0"/>
          <w:bCs w:val="0"/>
          <w:kern w:val="2"/>
          <w:sz w:val="24"/>
          <w:szCs w:val="24"/>
          <w:lang w:val="en-US" w:eastAsia="zh-CN" w:bidi="ar"/>
        </w:rPr>
        <w:t xml:space="preserve">。 </w:t>
      </w:r>
    </w:p>
    <w:p>
      <w:pPr>
        <w:keepNext w:val="0"/>
        <w:keepLines w:val="0"/>
        <w:widowControl/>
        <w:suppressLineNumbers w:val="0"/>
        <w:ind w:firstLine="480"/>
        <w:jc w:val="left"/>
        <w:rPr>
          <w:rFonts w:hint="default" w:ascii="Times New Roman" w:hAnsi="Times New Roman" w:eastAsia="宋体" w:cs="Times New Roman"/>
          <w:b w:val="0"/>
          <w:bCs w:val="0"/>
          <w:kern w:val="2"/>
          <w:sz w:val="24"/>
          <w:szCs w:val="24"/>
          <w:lang w:val="en-US" w:eastAsia="zh-CN" w:bidi="ar"/>
        </w:rPr>
      </w:pPr>
      <w:r>
        <w:rPr>
          <w:rFonts w:hint="eastAsia" w:ascii="Times New Roman" w:hAnsi="Times New Roman" w:cs="Times New Roman"/>
          <w:b w:val="0"/>
          <w:bCs w:val="0"/>
          <w:kern w:val="2"/>
          <w:sz w:val="24"/>
          <w:szCs w:val="24"/>
          <w:lang w:val="en-US" w:eastAsia="zh-CN" w:bidi="ar"/>
        </w:rPr>
        <w:t>当</w:t>
      </w:r>
      <w:r>
        <w:rPr>
          <w:rFonts w:hint="default" w:ascii="Times New Roman" w:hAnsi="Times New Roman" w:eastAsia="宋体" w:cs="Times New Roman"/>
          <w:b w:val="0"/>
          <w:bCs w:val="0"/>
          <w:kern w:val="2"/>
          <w:sz w:val="24"/>
          <w:szCs w:val="24"/>
          <w:lang w:val="en-US" w:eastAsia="zh-CN" w:bidi="ar"/>
        </w:rPr>
        <w:t xml:space="preserve"> k 小于-20%时，可</w:t>
      </w:r>
      <w:r>
        <w:rPr>
          <w:rFonts w:hint="eastAsia" w:ascii="Times New Roman" w:hAnsi="Times New Roman" w:cs="Times New Roman"/>
          <w:b w:val="0"/>
          <w:bCs w:val="0"/>
          <w:kern w:val="2"/>
          <w:sz w:val="24"/>
          <w:szCs w:val="24"/>
          <w:lang w:val="en-US" w:eastAsia="zh-CN" w:bidi="ar"/>
        </w:rPr>
        <w:t>认为</w:t>
      </w:r>
      <w:r>
        <w:rPr>
          <w:rFonts w:hint="default" w:ascii="Times New Roman" w:hAnsi="Times New Roman" w:eastAsia="宋体" w:cs="Times New Roman"/>
          <w:b w:val="0"/>
          <w:bCs w:val="0"/>
          <w:kern w:val="2"/>
          <w:sz w:val="24"/>
          <w:szCs w:val="24"/>
          <w:lang w:val="en-US" w:eastAsia="zh-CN" w:bidi="ar"/>
        </w:rPr>
        <w:t>区域环境质量整体</w:t>
      </w:r>
      <w:r>
        <w:rPr>
          <w:rFonts w:hint="eastAsia" w:ascii="Times New Roman" w:hAnsi="Times New Roman" w:cs="Times New Roman"/>
          <w:b w:val="0"/>
          <w:bCs w:val="0"/>
          <w:kern w:val="2"/>
          <w:sz w:val="24"/>
          <w:szCs w:val="24"/>
          <w:lang w:val="en-US" w:eastAsia="zh-CN" w:bidi="ar"/>
        </w:rPr>
        <w:t>得以</w:t>
      </w:r>
      <w:r>
        <w:rPr>
          <w:rFonts w:hint="default" w:ascii="Times New Roman" w:hAnsi="Times New Roman" w:eastAsia="宋体" w:cs="Times New Roman"/>
          <w:b w:val="0"/>
          <w:bCs w:val="0"/>
          <w:kern w:val="2"/>
          <w:sz w:val="24"/>
          <w:szCs w:val="24"/>
          <w:lang w:val="en-US" w:eastAsia="zh-CN" w:bidi="ar"/>
        </w:rPr>
        <w:t>改善。本项目建成后各污染物的 年</w:t>
      </w:r>
      <w:r>
        <w:rPr>
          <w:rFonts w:hint="eastAsia" w:ascii="Times New Roman" w:hAnsi="Times New Roman" w:cs="Times New Roman"/>
          <w:b w:val="0"/>
          <w:bCs w:val="0"/>
          <w:kern w:val="2"/>
          <w:sz w:val="24"/>
          <w:szCs w:val="24"/>
          <w:lang w:val="en-US" w:eastAsia="zh-CN" w:bidi="ar"/>
        </w:rPr>
        <w:t>平均质量浓度变化率</w:t>
      </w:r>
      <w:r>
        <w:rPr>
          <w:rFonts w:hint="default" w:ascii="Times New Roman" w:hAnsi="Times New Roman" w:eastAsia="宋体" w:cs="Times New Roman"/>
          <w:b w:val="0"/>
          <w:bCs w:val="0"/>
          <w:kern w:val="2"/>
          <w:sz w:val="24"/>
          <w:szCs w:val="24"/>
          <w:lang w:val="en-US" w:eastAsia="zh-CN" w:bidi="ar"/>
        </w:rPr>
        <w:t>见下表。</w:t>
      </w:r>
    </w:p>
    <w:p>
      <w:pPr>
        <w:pStyle w:val="3586"/>
        <w:ind w:left="0"/>
      </w:pPr>
      <w:r>
        <w:rPr>
          <w:rFonts w:hint="eastAsia"/>
        </w:rPr>
        <w:t>大气防护距离计算结果</w:t>
      </w:r>
    </w:p>
    <w:tbl>
      <w:tblPr>
        <w:tblStyle w:val="8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4477"/>
        <w:gridCol w:w="462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246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污染物</w:t>
            </w:r>
          </w:p>
        </w:tc>
        <w:tc>
          <w:tcPr>
            <w:tcW w:w="253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default" w:eastAsia="宋体"/>
                <w:kern w:val="0"/>
                <w:sz w:val="21"/>
                <w:szCs w:val="21"/>
                <w:lang w:val="en-US" w:eastAsia="zh-CN"/>
              </w:rPr>
            </w:pPr>
            <w:r>
              <w:rPr>
                <w:rFonts w:hint="eastAsia"/>
                <w:kern w:val="0"/>
                <w:sz w:val="21"/>
                <w:szCs w:val="21"/>
                <w:lang w:val="en-US" w:eastAsia="zh-CN"/>
              </w:rPr>
              <w:t>K值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246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default"/>
                <w:kern w:val="0"/>
                <w:sz w:val="21"/>
                <w:szCs w:val="21"/>
                <w:lang w:val="en-US" w:eastAsia="zh-CN"/>
              </w:rPr>
            </w:pPr>
            <w:r>
              <w:rPr>
                <w:rFonts w:hint="eastAsia"/>
                <w:kern w:val="0"/>
                <w:sz w:val="21"/>
                <w:szCs w:val="21"/>
                <w:lang w:val="en-US" w:eastAsia="zh-CN"/>
              </w:rPr>
              <w:t>PM</w:t>
            </w:r>
            <w:r>
              <w:rPr>
                <w:rFonts w:hint="eastAsia"/>
                <w:kern w:val="0"/>
                <w:sz w:val="21"/>
                <w:szCs w:val="21"/>
                <w:vertAlign w:val="subscript"/>
                <w:lang w:val="en-US" w:eastAsia="zh-CN"/>
              </w:rPr>
              <w:t>2.5</w:t>
            </w:r>
          </w:p>
        </w:tc>
        <w:tc>
          <w:tcPr>
            <w:tcW w:w="2539"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default" w:eastAsia="宋体"/>
                <w:kern w:val="0"/>
                <w:sz w:val="21"/>
                <w:szCs w:val="21"/>
                <w:lang w:val="en-US" w:eastAsia="zh-CN"/>
              </w:rPr>
            </w:pPr>
            <w:r>
              <w:rPr>
                <w:rFonts w:hint="eastAsia"/>
                <w:kern w:val="0"/>
                <w:sz w:val="21"/>
                <w:szCs w:val="21"/>
                <w:lang w:val="en-US" w:eastAsia="zh-CN"/>
              </w:rPr>
              <w:t>-67.17</w:t>
            </w:r>
          </w:p>
        </w:tc>
      </w:tr>
    </w:tbl>
    <w:p>
      <w:pPr>
        <w:widowControl/>
        <w:ind w:firstLine="480"/>
        <w:jc w:val="left"/>
        <w:rPr>
          <w:rFonts w:hint="default" w:ascii="Times New Roman" w:hAnsi="Times New Roman" w:cs="Times New Roman"/>
          <w:lang w:val="en-US" w:eastAsia="zh-CN" w:bidi="ar"/>
        </w:rPr>
      </w:pPr>
      <w:r>
        <w:rPr>
          <w:rFonts w:hint="default" w:ascii="Times New Roman" w:hAnsi="Times New Roman" w:cs="Times New Roman"/>
          <w:lang w:val="en-US" w:eastAsia="zh-CN" w:bidi="ar"/>
        </w:rPr>
        <w:t>根据上表的结果显示，本项目的实施在叠加了规划浓度后，区域环境质量整体改善。</w:t>
      </w:r>
    </w:p>
    <w:p>
      <w:pPr>
        <w:pStyle w:val="456"/>
        <w:ind w:firstLine="482"/>
      </w:pPr>
      <w:r>
        <w:rPr>
          <w:rFonts w:hint="eastAsia"/>
          <w:lang w:val="en-US"/>
        </w:rPr>
        <w:t>污染物排放量核算</w:t>
      </w:r>
    </w:p>
    <w:p>
      <w:pPr>
        <w:ind w:firstLine="480"/>
      </w:pPr>
      <w:r>
        <w:rPr>
          <w:rFonts w:hint="eastAsia"/>
        </w:rPr>
        <w:t>本项目无组织排放量核算见下表。</w:t>
      </w:r>
    </w:p>
    <w:p>
      <w:pPr>
        <w:pStyle w:val="3586"/>
        <w:ind w:left="0"/>
      </w:pPr>
      <w:r>
        <w:rPr>
          <w:rFonts w:hint="eastAsia"/>
        </w:rPr>
        <w:t>大气污染物无组织排放量核算表</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94"/>
        <w:gridCol w:w="1724"/>
        <w:gridCol w:w="933"/>
        <w:gridCol w:w="2234"/>
        <w:gridCol w:w="1103"/>
        <w:gridCol w:w="1313"/>
        <w:gridCol w:w="138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319" w:type="pct"/>
            <w:vMerge w:val="restart"/>
            <w:vAlign w:val="center"/>
          </w:tcPr>
          <w:p>
            <w:pPr>
              <w:pStyle w:val="2057"/>
              <w:tabs>
                <w:tab w:val="left" w:pos="480"/>
              </w:tabs>
              <w:spacing w:afterLines="0" w:line="240" w:lineRule="atLeast"/>
              <w:ind w:firstLine="0" w:firstLineChars="0"/>
              <w:rPr>
                <w:sz w:val="21"/>
                <w:szCs w:val="21"/>
              </w:rPr>
            </w:pPr>
            <w:r>
              <w:rPr>
                <w:sz w:val="21"/>
                <w:szCs w:val="21"/>
              </w:rPr>
              <w:t>序号</w:t>
            </w:r>
          </w:p>
        </w:tc>
        <w:tc>
          <w:tcPr>
            <w:tcW w:w="928" w:type="pct"/>
            <w:vMerge w:val="restart"/>
            <w:vAlign w:val="center"/>
          </w:tcPr>
          <w:p>
            <w:pPr>
              <w:pStyle w:val="2057"/>
              <w:tabs>
                <w:tab w:val="left" w:pos="480"/>
              </w:tabs>
              <w:spacing w:afterLines="0" w:line="240" w:lineRule="atLeast"/>
              <w:ind w:firstLine="0" w:firstLineChars="0"/>
              <w:rPr>
                <w:sz w:val="21"/>
                <w:szCs w:val="21"/>
              </w:rPr>
            </w:pPr>
            <w:r>
              <w:rPr>
                <w:sz w:val="21"/>
                <w:szCs w:val="21"/>
              </w:rPr>
              <w:t>产污环节</w:t>
            </w:r>
          </w:p>
        </w:tc>
        <w:tc>
          <w:tcPr>
            <w:tcW w:w="500" w:type="pct"/>
            <w:vMerge w:val="restart"/>
            <w:vAlign w:val="center"/>
          </w:tcPr>
          <w:p>
            <w:pPr>
              <w:pStyle w:val="2057"/>
              <w:tabs>
                <w:tab w:val="left" w:pos="480"/>
              </w:tabs>
              <w:spacing w:afterLines="0" w:line="240" w:lineRule="atLeast"/>
              <w:ind w:firstLine="0" w:firstLineChars="0"/>
              <w:rPr>
                <w:sz w:val="21"/>
                <w:szCs w:val="21"/>
              </w:rPr>
            </w:pPr>
            <w:r>
              <w:rPr>
                <w:sz w:val="21"/>
                <w:szCs w:val="21"/>
              </w:rPr>
              <w:t>污染物</w:t>
            </w:r>
          </w:p>
        </w:tc>
        <w:tc>
          <w:tcPr>
            <w:tcW w:w="1203" w:type="pct"/>
            <w:vMerge w:val="restart"/>
            <w:vAlign w:val="center"/>
          </w:tcPr>
          <w:p>
            <w:pPr>
              <w:pStyle w:val="2057"/>
              <w:tabs>
                <w:tab w:val="left" w:pos="480"/>
              </w:tabs>
              <w:spacing w:afterLines="0" w:line="240" w:lineRule="atLeast"/>
              <w:ind w:firstLine="0" w:firstLineChars="0"/>
              <w:rPr>
                <w:sz w:val="21"/>
                <w:szCs w:val="21"/>
              </w:rPr>
            </w:pPr>
            <w:r>
              <w:rPr>
                <w:sz w:val="21"/>
                <w:szCs w:val="21"/>
              </w:rPr>
              <w:t>污染防治措施</w:t>
            </w:r>
          </w:p>
        </w:tc>
        <w:tc>
          <w:tcPr>
            <w:tcW w:w="1300" w:type="pct"/>
            <w:gridSpan w:val="2"/>
            <w:vAlign w:val="center"/>
          </w:tcPr>
          <w:p>
            <w:pPr>
              <w:pStyle w:val="2057"/>
              <w:tabs>
                <w:tab w:val="left" w:pos="480"/>
              </w:tabs>
              <w:spacing w:afterLines="0" w:line="240" w:lineRule="atLeast"/>
              <w:ind w:firstLine="0" w:firstLineChars="0"/>
              <w:rPr>
                <w:sz w:val="21"/>
                <w:szCs w:val="21"/>
              </w:rPr>
            </w:pPr>
            <w:r>
              <w:rPr>
                <w:sz w:val="21"/>
                <w:szCs w:val="21"/>
              </w:rPr>
              <w:t>国家污染排放标准</w:t>
            </w:r>
          </w:p>
        </w:tc>
        <w:tc>
          <w:tcPr>
            <w:tcW w:w="746" w:type="pct"/>
            <w:vMerge w:val="restart"/>
            <w:tcBorders>
              <w:bottom w:val="single" w:color="auto" w:sz="12" w:space="0"/>
            </w:tcBorders>
            <w:vAlign w:val="center"/>
          </w:tcPr>
          <w:p>
            <w:pPr>
              <w:pStyle w:val="2057"/>
              <w:tabs>
                <w:tab w:val="left" w:pos="480"/>
              </w:tabs>
              <w:spacing w:afterLines="0" w:line="240" w:lineRule="atLeast"/>
              <w:ind w:firstLine="0" w:firstLineChars="0"/>
              <w:rPr>
                <w:sz w:val="21"/>
                <w:szCs w:val="21"/>
              </w:rPr>
            </w:pPr>
            <w:r>
              <w:rPr>
                <w:sz w:val="21"/>
                <w:szCs w:val="21"/>
              </w:rPr>
              <w:t>年排放量（t/a）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319" w:type="pct"/>
            <w:vMerge w:val="continue"/>
            <w:tcBorders>
              <w:bottom w:val="single" w:color="auto" w:sz="12" w:space="0"/>
            </w:tcBorders>
            <w:vAlign w:val="center"/>
          </w:tcPr>
          <w:p>
            <w:pPr>
              <w:pStyle w:val="2057"/>
              <w:tabs>
                <w:tab w:val="left" w:pos="480"/>
              </w:tabs>
              <w:spacing w:afterLines="0" w:line="240" w:lineRule="atLeast"/>
              <w:ind w:firstLine="0" w:firstLineChars="0"/>
              <w:rPr>
                <w:sz w:val="21"/>
                <w:szCs w:val="21"/>
              </w:rPr>
            </w:pPr>
          </w:p>
        </w:tc>
        <w:tc>
          <w:tcPr>
            <w:tcW w:w="928" w:type="pct"/>
            <w:vMerge w:val="continue"/>
            <w:tcBorders>
              <w:bottom w:val="single" w:color="auto" w:sz="12" w:space="0"/>
            </w:tcBorders>
            <w:vAlign w:val="center"/>
          </w:tcPr>
          <w:p>
            <w:pPr>
              <w:pStyle w:val="2057"/>
              <w:tabs>
                <w:tab w:val="left" w:pos="480"/>
              </w:tabs>
              <w:spacing w:afterLines="0" w:line="240" w:lineRule="atLeast"/>
              <w:ind w:firstLine="0" w:firstLineChars="0"/>
              <w:rPr>
                <w:sz w:val="21"/>
                <w:szCs w:val="21"/>
              </w:rPr>
            </w:pPr>
          </w:p>
        </w:tc>
        <w:tc>
          <w:tcPr>
            <w:tcW w:w="500" w:type="pct"/>
            <w:vMerge w:val="continue"/>
            <w:tcBorders>
              <w:bottom w:val="single" w:color="auto" w:sz="12" w:space="0"/>
            </w:tcBorders>
            <w:vAlign w:val="center"/>
          </w:tcPr>
          <w:p>
            <w:pPr>
              <w:pStyle w:val="2057"/>
              <w:tabs>
                <w:tab w:val="left" w:pos="480"/>
              </w:tabs>
              <w:spacing w:afterLines="0" w:line="240" w:lineRule="atLeast"/>
              <w:ind w:firstLine="0" w:firstLineChars="0"/>
              <w:rPr>
                <w:sz w:val="21"/>
                <w:szCs w:val="21"/>
              </w:rPr>
            </w:pPr>
          </w:p>
        </w:tc>
        <w:tc>
          <w:tcPr>
            <w:tcW w:w="1203" w:type="pct"/>
            <w:vMerge w:val="continue"/>
            <w:tcBorders>
              <w:bottom w:val="single" w:color="auto" w:sz="12" w:space="0"/>
            </w:tcBorders>
            <w:vAlign w:val="center"/>
          </w:tcPr>
          <w:p>
            <w:pPr>
              <w:pStyle w:val="2057"/>
              <w:tabs>
                <w:tab w:val="left" w:pos="480"/>
              </w:tabs>
              <w:spacing w:afterLines="0" w:line="240" w:lineRule="atLeast"/>
              <w:ind w:firstLine="0" w:firstLineChars="0"/>
              <w:rPr>
                <w:sz w:val="21"/>
                <w:szCs w:val="21"/>
              </w:rPr>
            </w:pPr>
          </w:p>
        </w:tc>
        <w:tc>
          <w:tcPr>
            <w:tcW w:w="594" w:type="pct"/>
            <w:tcBorders>
              <w:bottom w:val="single" w:color="auto" w:sz="12" w:space="0"/>
            </w:tcBorders>
            <w:vAlign w:val="center"/>
          </w:tcPr>
          <w:p>
            <w:pPr>
              <w:pStyle w:val="2057"/>
              <w:tabs>
                <w:tab w:val="left" w:pos="480"/>
              </w:tabs>
              <w:spacing w:afterLines="0" w:line="240" w:lineRule="atLeast"/>
              <w:ind w:firstLine="0" w:firstLineChars="0"/>
              <w:rPr>
                <w:sz w:val="21"/>
                <w:szCs w:val="21"/>
              </w:rPr>
            </w:pPr>
            <w:r>
              <w:rPr>
                <w:sz w:val="21"/>
                <w:szCs w:val="21"/>
              </w:rPr>
              <w:t>标准名称</w:t>
            </w:r>
          </w:p>
        </w:tc>
        <w:tc>
          <w:tcPr>
            <w:tcW w:w="706" w:type="pct"/>
            <w:tcBorders>
              <w:bottom w:val="single" w:color="auto" w:sz="12" w:space="0"/>
            </w:tcBorders>
            <w:vAlign w:val="center"/>
          </w:tcPr>
          <w:p>
            <w:pPr>
              <w:pStyle w:val="2057"/>
              <w:tabs>
                <w:tab w:val="left" w:pos="480"/>
              </w:tabs>
              <w:spacing w:afterLines="0" w:line="240" w:lineRule="atLeast"/>
              <w:ind w:firstLine="0" w:firstLineChars="0"/>
              <w:rPr>
                <w:sz w:val="21"/>
                <w:szCs w:val="21"/>
              </w:rPr>
            </w:pPr>
            <w:r>
              <w:rPr>
                <w:sz w:val="21"/>
                <w:szCs w:val="21"/>
              </w:rPr>
              <w:t>浓度限值（mg/m</w:t>
            </w:r>
            <w:r>
              <w:rPr>
                <w:sz w:val="21"/>
                <w:szCs w:val="21"/>
                <w:vertAlign w:val="superscript"/>
              </w:rPr>
              <w:t>3</w:t>
            </w:r>
            <w:r>
              <w:rPr>
                <w:sz w:val="21"/>
                <w:szCs w:val="21"/>
              </w:rPr>
              <w:t>）</w:t>
            </w:r>
          </w:p>
        </w:tc>
        <w:tc>
          <w:tcPr>
            <w:tcW w:w="746" w:type="pct"/>
            <w:vMerge w:val="continue"/>
            <w:tcBorders>
              <w:top w:val="single" w:color="auto" w:sz="12" w:space="0"/>
              <w:bottom w:val="single" w:color="auto" w:sz="12" w:space="0"/>
              <w:tl2br w:val="nil"/>
              <w:tr2bl w:val="nil"/>
            </w:tcBorders>
            <w:vAlign w:val="center"/>
          </w:tcPr>
          <w:p>
            <w:pPr>
              <w:pStyle w:val="2057"/>
              <w:tabs>
                <w:tab w:val="left" w:pos="480"/>
              </w:tabs>
              <w:spacing w:afterLines="0" w:line="240" w:lineRule="atLeast"/>
              <w:ind w:firstLine="0" w:firstLineChars="0"/>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vMerge w:val="restart"/>
            <w:tcBorders>
              <w:top w:val="single" w:color="auto" w:sz="12" w:space="0"/>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1</w:t>
            </w:r>
          </w:p>
        </w:tc>
        <w:tc>
          <w:tcPr>
            <w:tcW w:w="928" w:type="pct"/>
            <w:vMerge w:val="restart"/>
            <w:tcBorders>
              <w:top w:val="single" w:color="auto" w:sz="12" w:space="0"/>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道路扬尘</w:t>
            </w:r>
          </w:p>
        </w:tc>
        <w:tc>
          <w:tcPr>
            <w:tcW w:w="500" w:type="pct"/>
            <w:tcBorders>
              <w:top w:val="single" w:color="auto" w:sz="12" w:space="0"/>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TSP</w:t>
            </w:r>
          </w:p>
        </w:tc>
        <w:tc>
          <w:tcPr>
            <w:tcW w:w="1203" w:type="pct"/>
            <w:vMerge w:val="restart"/>
            <w:tcBorders>
              <w:top w:val="single" w:color="auto" w:sz="12" w:space="0"/>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洒水</w:t>
            </w:r>
          </w:p>
        </w:tc>
        <w:tc>
          <w:tcPr>
            <w:tcW w:w="594" w:type="pct"/>
            <w:vMerge w:val="restart"/>
            <w:tcBorders>
              <w:top w:val="single" w:color="auto" w:sz="12" w:space="0"/>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《大气污染物排放标准》（GB16297-1996）</w:t>
            </w:r>
          </w:p>
        </w:tc>
        <w:tc>
          <w:tcPr>
            <w:tcW w:w="706" w:type="pct"/>
            <w:vMerge w:val="restart"/>
            <w:tcBorders>
              <w:top w:val="single" w:color="auto" w:sz="12" w:space="0"/>
            </w:tcBorders>
            <w:vAlign w:val="center"/>
          </w:tcPr>
          <w:p>
            <w:pPr>
              <w:pStyle w:val="2057"/>
              <w:tabs>
                <w:tab w:val="left" w:pos="480"/>
              </w:tabs>
              <w:spacing w:afterLines="0" w:line="240" w:lineRule="atLeast"/>
              <w:ind w:firstLine="0" w:firstLineChars="0"/>
              <w:rPr>
                <w:sz w:val="21"/>
                <w:szCs w:val="21"/>
              </w:rPr>
            </w:pPr>
            <w:r>
              <w:rPr>
                <w:sz w:val="21"/>
                <w:szCs w:val="21"/>
              </w:rPr>
              <w:t>1.0</w:t>
            </w:r>
          </w:p>
        </w:tc>
        <w:tc>
          <w:tcPr>
            <w:tcW w:w="1386" w:type="dxa"/>
            <w:tcBorders>
              <w:top w:val="single" w:color="auto" w:sz="12" w:space="0"/>
            </w:tcBorders>
            <w:vAlign w:val="center"/>
          </w:tcPr>
          <w:p>
            <w:pPr>
              <w:pStyle w:val="2057"/>
              <w:tabs>
                <w:tab w:val="left" w:pos="480"/>
              </w:tabs>
              <w:spacing w:afterLines="0" w:line="240" w:lineRule="atLeast"/>
              <w:ind w:firstLine="0" w:firstLineChars="0"/>
              <w:rPr>
                <w:sz w:val="21"/>
                <w:szCs w:val="21"/>
              </w:rPr>
            </w:pPr>
            <w:r>
              <w:rPr>
                <w:sz w:val="21"/>
                <w:szCs w:val="21"/>
              </w:rPr>
              <w:t>0.279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928"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PM</w:t>
            </w:r>
            <w:r>
              <w:rPr>
                <w:sz w:val="21"/>
                <w:szCs w:val="21"/>
                <w:vertAlign w:val="subscript"/>
              </w:rPr>
              <w:t>10</w:t>
            </w:r>
          </w:p>
        </w:tc>
        <w:tc>
          <w:tcPr>
            <w:tcW w:w="1203"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vMerge w:val="continue"/>
            <w:vAlign w:val="center"/>
          </w:tcPr>
          <w:p>
            <w:pPr>
              <w:pStyle w:val="2057"/>
              <w:tabs>
                <w:tab w:val="left" w:pos="480"/>
              </w:tabs>
              <w:spacing w:after="156" w:line="240" w:lineRule="atLeast"/>
              <w:ind w:firstLine="420"/>
              <w:rPr>
                <w:sz w:val="21"/>
                <w:szCs w:val="21"/>
              </w:rPr>
            </w:pPr>
          </w:p>
        </w:tc>
        <w:tc>
          <w:tcPr>
            <w:tcW w:w="1386" w:type="dxa"/>
            <w:vAlign w:val="center"/>
          </w:tcPr>
          <w:p>
            <w:pPr>
              <w:pStyle w:val="2057"/>
              <w:tabs>
                <w:tab w:val="left" w:pos="480"/>
              </w:tabs>
              <w:spacing w:afterLines="0" w:line="240" w:lineRule="atLeast"/>
              <w:ind w:firstLine="0" w:firstLineChars="0"/>
              <w:rPr>
                <w:sz w:val="21"/>
                <w:szCs w:val="21"/>
              </w:rPr>
            </w:pPr>
            <w:r>
              <w:rPr>
                <w:sz w:val="21"/>
                <w:szCs w:val="21"/>
              </w:rPr>
              <w:t>0.094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928"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PM</w:t>
            </w:r>
            <w:r>
              <w:rPr>
                <w:sz w:val="21"/>
                <w:szCs w:val="21"/>
                <w:vertAlign w:val="subscript"/>
              </w:rPr>
              <w:t>2.5</w:t>
            </w:r>
          </w:p>
        </w:tc>
        <w:tc>
          <w:tcPr>
            <w:tcW w:w="1203"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vMerge w:val="continue"/>
            <w:vAlign w:val="center"/>
          </w:tcPr>
          <w:p>
            <w:pPr>
              <w:pStyle w:val="2057"/>
              <w:tabs>
                <w:tab w:val="left" w:pos="480"/>
              </w:tabs>
              <w:spacing w:afterLines="0" w:line="240" w:lineRule="atLeast"/>
              <w:ind w:firstLine="0" w:firstLineChars="0"/>
              <w:rPr>
                <w:sz w:val="21"/>
                <w:szCs w:val="21"/>
              </w:rPr>
            </w:pPr>
          </w:p>
        </w:tc>
        <w:tc>
          <w:tcPr>
            <w:tcW w:w="1386" w:type="dxa"/>
            <w:vAlign w:val="center"/>
          </w:tcPr>
          <w:p>
            <w:pPr>
              <w:pStyle w:val="2057"/>
              <w:tabs>
                <w:tab w:val="left" w:pos="480"/>
              </w:tabs>
              <w:spacing w:afterLines="0" w:line="240" w:lineRule="atLeast"/>
              <w:ind w:firstLine="0" w:firstLineChars="0"/>
              <w:rPr>
                <w:sz w:val="21"/>
                <w:szCs w:val="21"/>
              </w:rPr>
            </w:pPr>
            <w:r>
              <w:rPr>
                <w:sz w:val="21"/>
                <w:szCs w:val="21"/>
              </w:rPr>
              <w:t>0.033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vMerge w:val="restar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2</w:t>
            </w:r>
          </w:p>
        </w:tc>
        <w:tc>
          <w:tcPr>
            <w:tcW w:w="928" w:type="pct"/>
            <w:vMerge w:val="restar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装卸机械和汽车尾气</w:t>
            </w: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S</w:t>
            </w:r>
            <w:r>
              <w:rPr>
                <w:sz w:val="21"/>
                <w:szCs w:val="21"/>
              </w:rPr>
              <w:t>O</w:t>
            </w:r>
            <w:r>
              <w:rPr>
                <w:sz w:val="21"/>
                <w:szCs w:val="21"/>
                <w:vertAlign w:val="subscript"/>
              </w:rPr>
              <w:t>2</w:t>
            </w:r>
          </w:p>
        </w:tc>
        <w:tc>
          <w:tcPr>
            <w:tcW w:w="1203" w:type="pct"/>
            <w:vMerge w:val="restar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洒水抑尘</w:t>
            </w: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0</w:t>
            </w:r>
            <w:r>
              <w:rPr>
                <w:sz w:val="21"/>
                <w:szCs w:val="21"/>
              </w:rPr>
              <w:t>.4</w:t>
            </w:r>
          </w:p>
        </w:tc>
        <w:tc>
          <w:tcPr>
            <w:tcW w:w="1386" w:type="dxa"/>
            <w:tcBorders>
              <w:tl2br w:val="nil"/>
              <w:tr2bl w:val="nil"/>
            </w:tcBorders>
          </w:tcPr>
          <w:p>
            <w:pPr>
              <w:pStyle w:val="2057"/>
              <w:tabs>
                <w:tab w:val="left" w:pos="480"/>
              </w:tabs>
              <w:spacing w:afterLines="0" w:line="240" w:lineRule="atLeast"/>
              <w:ind w:firstLine="0" w:firstLineChars="0"/>
              <w:rPr>
                <w:sz w:val="21"/>
                <w:szCs w:val="21"/>
              </w:rPr>
            </w:pPr>
            <w:r>
              <w:rPr>
                <w:rFonts w:hint="eastAsia"/>
                <w:sz w:val="21"/>
                <w:szCs w:val="21"/>
              </w:rPr>
              <w:t>0.00001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928"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CO</w:t>
            </w:r>
          </w:p>
        </w:tc>
        <w:tc>
          <w:tcPr>
            <w:tcW w:w="1203"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c>
          <w:tcPr>
            <w:tcW w:w="1386" w:type="dxa"/>
            <w:tcBorders>
              <w:tl2br w:val="nil"/>
              <w:tr2bl w:val="nil"/>
            </w:tcBorders>
          </w:tcPr>
          <w:p>
            <w:pPr>
              <w:pStyle w:val="2057"/>
              <w:tabs>
                <w:tab w:val="left" w:pos="480"/>
              </w:tabs>
              <w:spacing w:afterLines="0" w:line="240" w:lineRule="atLeast"/>
              <w:ind w:firstLine="0" w:firstLineChars="0"/>
              <w:rPr>
                <w:sz w:val="21"/>
                <w:szCs w:val="21"/>
              </w:rPr>
            </w:pPr>
            <w:r>
              <w:rPr>
                <w:sz w:val="21"/>
                <w:szCs w:val="21"/>
              </w:rPr>
              <w:t>0.03923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928"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NOx</w:t>
            </w:r>
          </w:p>
        </w:tc>
        <w:tc>
          <w:tcPr>
            <w:tcW w:w="1203"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0</w:t>
            </w:r>
            <w:r>
              <w:rPr>
                <w:sz w:val="21"/>
                <w:szCs w:val="21"/>
              </w:rPr>
              <w:t>.12</w:t>
            </w:r>
          </w:p>
        </w:tc>
        <w:tc>
          <w:tcPr>
            <w:tcW w:w="1386" w:type="dxa"/>
            <w:tcBorders>
              <w:tl2br w:val="nil"/>
              <w:tr2bl w:val="nil"/>
            </w:tcBorders>
          </w:tcPr>
          <w:p>
            <w:pPr>
              <w:pStyle w:val="2057"/>
              <w:tabs>
                <w:tab w:val="left" w:pos="480"/>
              </w:tabs>
              <w:spacing w:afterLines="0" w:line="240" w:lineRule="atLeast"/>
              <w:ind w:firstLine="0" w:firstLineChars="0"/>
              <w:rPr>
                <w:sz w:val="21"/>
                <w:szCs w:val="21"/>
              </w:rPr>
            </w:pPr>
            <w:r>
              <w:rPr>
                <w:sz w:val="21"/>
                <w:szCs w:val="21"/>
              </w:rPr>
              <w:t>0.08418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928"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HC</w:t>
            </w:r>
          </w:p>
        </w:tc>
        <w:tc>
          <w:tcPr>
            <w:tcW w:w="1203"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w:t>
            </w:r>
          </w:p>
        </w:tc>
        <w:tc>
          <w:tcPr>
            <w:tcW w:w="1386" w:type="dxa"/>
            <w:tcBorders>
              <w:tl2br w:val="nil"/>
              <w:tr2bl w:val="nil"/>
            </w:tcBorders>
          </w:tcPr>
          <w:p>
            <w:pPr>
              <w:pStyle w:val="2057"/>
              <w:tabs>
                <w:tab w:val="left" w:pos="480"/>
              </w:tabs>
              <w:spacing w:afterLines="0" w:line="240" w:lineRule="atLeast"/>
              <w:ind w:firstLine="0" w:firstLineChars="0"/>
              <w:rPr>
                <w:sz w:val="21"/>
                <w:szCs w:val="21"/>
              </w:rPr>
            </w:pPr>
            <w:r>
              <w:rPr>
                <w:sz w:val="21"/>
                <w:szCs w:val="21"/>
              </w:rPr>
              <w:t>0.0023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928"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PM</w:t>
            </w:r>
            <w:r>
              <w:rPr>
                <w:rFonts w:hint="eastAsia"/>
                <w:sz w:val="21"/>
                <w:szCs w:val="21"/>
                <w:vertAlign w:val="subscript"/>
              </w:rPr>
              <w:t>10</w:t>
            </w:r>
          </w:p>
        </w:tc>
        <w:tc>
          <w:tcPr>
            <w:tcW w:w="1203"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vMerge w:val="restar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1</w:t>
            </w:r>
            <w:r>
              <w:rPr>
                <w:sz w:val="21"/>
                <w:szCs w:val="21"/>
              </w:rPr>
              <w:t>.0</w:t>
            </w:r>
          </w:p>
        </w:tc>
        <w:tc>
          <w:tcPr>
            <w:tcW w:w="1386" w:type="dxa"/>
            <w:tcBorders>
              <w:tl2br w:val="nil"/>
              <w:tr2bl w:val="nil"/>
            </w:tcBorders>
          </w:tcPr>
          <w:p>
            <w:pPr>
              <w:pStyle w:val="2057"/>
              <w:tabs>
                <w:tab w:val="left" w:pos="480"/>
              </w:tabs>
              <w:spacing w:afterLines="0" w:line="240" w:lineRule="atLeast"/>
              <w:ind w:firstLine="0" w:firstLineChars="0"/>
              <w:rPr>
                <w:sz w:val="21"/>
                <w:szCs w:val="21"/>
              </w:rPr>
            </w:pPr>
            <w:r>
              <w:rPr>
                <w:sz w:val="21"/>
                <w:szCs w:val="21"/>
              </w:rPr>
              <w:t>0.00053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928"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PM</w:t>
            </w:r>
            <w:r>
              <w:rPr>
                <w:rFonts w:hint="eastAsia"/>
                <w:sz w:val="21"/>
                <w:szCs w:val="21"/>
                <w:vertAlign w:val="subscript"/>
              </w:rPr>
              <w:t>2.5</w:t>
            </w:r>
          </w:p>
        </w:tc>
        <w:tc>
          <w:tcPr>
            <w:tcW w:w="1203"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1386" w:type="dxa"/>
            <w:tcBorders>
              <w:tl2br w:val="nil"/>
              <w:tr2bl w:val="nil"/>
            </w:tcBorders>
          </w:tcPr>
          <w:p>
            <w:pPr>
              <w:pStyle w:val="2057"/>
              <w:tabs>
                <w:tab w:val="left" w:pos="480"/>
              </w:tabs>
              <w:spacing w:afterLines="0" w:line="240" w:lineRule="atLeast"/>
              <w:ind w:firstLine="0" w:firstLineChars="0"/>
              <w:rPr>
                <w:sz w:val="21"/>
                <w:szCs w:val="21"/>
              </w:rPr>
            </w:pPr>
            <w:r>
              <w:rPr>
                <w:sz w:val="21"/>
                <w:szCs w:val="21"/>
              </w:rPr>
              <w:t>0.00016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3</w:t>
            </w:r>
          </w:p>
        </w:tc>
        <w:tc>
          <w:tcPr>
            <w:tcW w:w="92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1</w:t>
            </w:r>
            <w:r>
              <w:rPr>
                <w:sz w:val="21"/>
                <w:szCs w:val="21"/>
              </w:rPr>
              <w:t>#</w:t>
            </w:r>
            <w:r>
              <w:rPr>
                <w:rFonts w:hint="eastAsia"/>
                <w:sz w:val="21"/>
                <w:szCs w:val="21"/>
              </w:rPr>
              <w:t>泊位</w:t>
            </w:r>
            <w:r>
              <w:rPr>
                <w:sz w:val="21"/>
                <w:szCs w:val="21"/>
              </w:rPr>
              <w:t>装卸起尘</w:t>
            </w: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TSP</w:t>
            </w:r>
          </w:p>
        </w:tc>
        <w:tc>
          <w:tcPr>
            <w:tcW w:w="1203"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封闭廊道+雾式除尘+前端伸缩溜筒</w:t>
            </w: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1</w:t>
            </w:r>
            <w:r>
              <w:rPr>
                <w:sz w:val="21"/>
                <w:szCs w:val="21"/>
              </w:rPr>
              <w:t>.0</w:t>
            </w:r>
          </w:p>
        </w:tc>
        <w:tc>
          <w:tcPr>
            <w:tcW w:w="1386" w:type="dxa"/>
            <w:tcBorders>
              <w:tl2br w:val="nil"/>
              <w:tr2bl w:val="nil"/>
            </w:tcBorders>
            <w:vAlign w:val="center"/>
          </w:tcPr>
          <w:p>
            <w:pPr>
              <w:widowControl/>
              <w:tabs>
                <w:tab w:val="clear" w:pos="480"/>
              </w:tabs>
              <w:spacing w:line="240" w:lineRule="auto"/>
              <w:ind w:firstLine="0" w:firstLineChars="0"/>
              <w:jc w:val="center"/>
              <w:rPr>
                <w:sz w:val="21"/>
                <w:szCs w:val="21"/>
              </w:rPr>
            </w:pPr>
            <w:r>
              <w:rPr>
                <w:rFonts w:hint="eastAsia"/>
                <w:color w:val="000000"/>
                <w:sz w:val="22"/>
                <w:szCs w:val="22"/>
              </w:rPr>
              <w:t xml:space="preserve">0.463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4</w:t>
            </w:r>
          </w:p>
        </w:tc>
        <w:tc>
          <w:tcPr>
            <w:tcW w:w="928"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2#</w:t>
            </w:r>
            <w:r>
              <w:rPr>
                <w:rFonts w:hint="eastAsia"/>
                <w:sz w:val="21"/>
                <w:szCs w:val="21"/>
              </w:rPr>
              <w:t>泊位</w:t>
            </w:r>
            <w:r>
              <w:rPr>
                <w:sz w:val="21"/>
                <w:szCs w:val="21"/>
              </w:rPr>
              <w:t>装卸起尘</w:t>
            </w: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TSP</w:t>
            </w:r>
          </w:p>
        </w:tc>
        <w:tc>
          <w:tcPr>
            <w:tcW w:w="1203" w:type="pct"/>
            <w:vMerge w:val="restar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喷雾抑尘装置+炮雾机</w:t>
            </w: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1.0</w:t>
            </w:r>
          </w:p>
        </w:tc>
        <w:tc>
          <w:tcPr>
            <w:tcW w:w="1386" w:type="dxa"/>
            <w:tcBorders>
              <w:tl2br w:val="nil"/>
              <w:tr2bl w:val="nil"/>
            </w:tcBorders>
            <w:vAlign w:val="center"/>
          </w:tcPr>
          <w:p>
            <w:pPr>
              <w:widowControl/>
              <w:tabs>
                <w:tab w:val="clear" w:pos="480"/>
              </w:tabs>
              <w:spacing w:line="240" w:lineRule="auto"/>
              <w:ind w:firstLine="0" w:firstLineChars="0"/>
              <w:jc w:val="center"/>
              <w:rPr>
                <w:sz w:val="21"/>
                <w:szCs w:val="21"/>
              </w:rPr>
            </w:pPr>
            <w:r>
              <w:rPr>
                <w:rFonts w:hint="eastAsia"/>
                <w:color w:val="000000"/>
                <w:sz w:val="22"/>
                <w:szCs w:val="22"/>
              </w:rPr>
              <w:t xml:space="preserve">1.930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5</w:t>
            </w:r>
          </w:p>
        </w:tc>
        <w:tc>
          <w:tcPr>
            <w:tcW w:w="928"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3#</w:t>
            </w:r>
            <w:r>
              <w:rPr>
                <w:rFonts w:hint="eastAsia"/>
                <w:sz w:val="21"/>
                <w:szCs w:val="21"/>
              </w:rPr>
              <w:t>泊位</w:t>
            </w:r>
            <w:r>
              <w:rPr>
                <w:sz w:val="21"/>
                <w:szCs w:val="21"/>
              </w:rPr>
              <w:t>装卸起尘</w:t>
            </w: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TSP</w:t>
            </w:r>
          </w:p>
        </w:tc>
        <w:tc>
          <w:tcPr>
            <w:tcW w:w="1203"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1.0</w:t>
            </w:r>
          </w:p>
        </w:tc>
        <w:tc>
          <w:tcPr>
            <w:tcW w:w="1386" w:type="dxa"/>
            <w:tcBorders>
              <w:tl2br w:val="nil"/>
              <w:tr2bl w:val="nil"/>
            </w:tcBorders>
            <w:vAlign w:val="center"/>
          </w:tcPr>
          <w:p>
            <w:pPr>
              <w:widowControl/>
              <w:tabs>
                <w:tab w:val="clear" w:pos="480"/>
              </w:tabs>
              <w:spacing w:line="240" w:lineRule="auto"/>
              <w:ind w:firstLine="0" w:firstLineChars="0"/>
              <w:jc w:val="center"/>
              <w:rPr>
                <w:sz w:val="21"/>
                <w:szCs w:val="21"/>
              </w:rPr>
            </w:pPr>
            <w:r>
              <w:rPr>
                <w:rFonts w:hint="eastAsia"/>
                <w:color w:val="000000"/>
                <w:sz w:val="22"/>
                <w:szCs w:val="22"/>
              </w:rPr>
              <w:t xml:space="preserve">1.930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6</w:t>
            </w:r>
          </w:p>
        </w:tc>
        <w:tc>
          <w:tcPr>
            <w:tcW w:w="928" w:type="pct"/>
            <w:tcBorders>
              <w:tl2br w:val="nil"/>
              <w:tr2bl w:val="nil"/>
            </w:tcBorders>
          </w:tcPr>
          <w:p>
            <w:pPr>
              <w:pStyle w:val="2057"/>
              <w:tabs>
                <w:tab w:val="left" w:pos="480"/>
              </w:tabs>
              <w:spacing w:afterLines="0" w:line="240" w:lineRule="atLeast"/>
              <w:ind w:firstLine="0" w:firstLineChars="0"/>
              <w:rPr>
                <w:sz w:val="21"/>
                <w:szCs w:val="21"/>
              </w:rPr>
            </w:pPr>
            <w:r>
              <w:rPr>
                <w:sz w:val="21"/>
                <w:szCs w:val="21"/>
              </w:rPr>
              <w:t>4#</w:t>
            </w:r>
            <w:r>
              <w:rPr>
                <w:rFonts w:hint="eastAsia"/>
                <w:sz w:val="21"/>
                <w:szCs w:val="21"/>
              </w:rPr>
              <w:t>泊位</w:t>
            </w:r>
            <w:r>
              <w:rPr>
                <w:sz w:val="21"/>
                <w:szCs w:val="21"/>
              </w:rPr>
              <w:t>装卸起尘</w:t>
            </w: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TSP</w:t>
            </w:r>
          </w:p>
        </w:tc>
        <w:tc>
          <w:tcPr>
            <w:tcW w:w="1203"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1.0</w:t>
            </w:r>
          </w:p>
        </w:tc>
        <w:tc>
          <w:tcPr>
            <w:tcW w:w="1386" w:type="dxa"/>
            <w:tcBorders>
              <w:tl2br w:val="nil"/>
              <w:tr2bl w:val="nil"/>
            </w:tcBorders>
            <w:vAlign w:val="center"/>
          </w:tcPr>
          <w:p>
            <w:pPr>
              <w:widowControl/>
              <w:tabs>
                <w:tab w:val="clear" w:pos="480"/>
              </w:tabs>
              <w:spacing w:line="240" w:lineRule="auto"/>
              <w:ind w:firstLine="0" w:firstLineChars="0"/>
              <w:jc w:val="center"/>
              <w:rPr>
                <w:sz w:val="21"/>
                <w:szCs w:val="21"/>
              </w:rPr>
            </w:pPr>
            <w:r>
              <w:rPr>
                <w:rFonts w:hint="eastAsia"/>
                <w:color w:val="000000"/>
                <w:sz w:val="22"/>
                <w:szCs w:val="22"/>
              </w:rPr>
              <w:t xml:space="preserve">1.172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7</w:t>
            </w:r>
          </w:p>
        </w:tc>
        <w:tc>
          <w:tcPr>
            <w:tcW w:w="928"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5#</w:t>
            </w:r>
            <w:r>
              <w:rPr>
                <w:rFonts w:hint="eastAsia"/>
                <w:sz w:val="21"/>
                <w:szCs w:val="21"/>
              </w:rPr>
              <w:t>泊位</w:t>
            </w:r>
            <w:r>
              <w:rPr>
                <w:sz w:val="21"/>
                <w:szCs w:val="21"/>
              </w:rPr>
              <w:t>装卸起尘</w:t>
            </w: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TSP</w:t>
            </w:r>
          </w:p>
        </w:tc>
        <w:tc>
          <w:tcPr>
            <w:tcW w:w="1203"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螺旋卸船机+负压收集+控制船舱敞口面积</w:t>
            </w: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1.0</w:t>
            </w:r>
          </w:p>
        </w:tc>
        <w:tc>
          <w:tcPr>
            <w:tcW w:w="1386" w:type="dxa"/>
            <w:tcBorders>
              <w:tl2br w:val="nil"/>
              <w:tr2bl w:val="nil"/>
            </w:tcBorders>
            <w:vAlign w:val="center"/>
          </w:tcPr>
          <w:p>
            <w:pPr>
              <w:widowControl/>
              <w:tabs>
                <w:tab w:val="clear" w:pos="480"/>
              </w:tabs>
              <w:spacing w:line="240" w:lineRule="auto"/>
              <w:ind w:firstLine="0" w:firstLineChars="0"/>
              <w:jc w:val="center"/>
              <w:rPr>
                <w:sz w:val="21"/>
                <w:szCs w:val="21"/>
              </w:rPr>
            </w:pPr>
            <w:r>
              <w:rPr>
                <w:rFonts w:hint="eastAsia"/>
                <w:color w:val="000000"/>
                <w:sz w:val="22"/>
                <w:szCs w:val="22"/>
              </w:rPr>
              <w:t xml:space="preserve">1.287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8</w:t>
            </w:r>
          </w:p>
        </w:tc>
        <w:tc>
          <w:tcPr>
            <w:tcW w:w="928"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6#</w:t>
            </w:r>
            <w:r>
              <w:rPr>
                <w:rFonts w:hint="eastAsia"/>
                <w:sz w:val="21"/>
                <w:szCs w:val="21"/>
              </w:rPr>
              <w:t>泊位</w:t>
            </w:r>
            <w:r>
              <w:rPr>
                <w:sz w:val="21"/>
                <w:szCs w:val="21"/>
              </w:rPr>
              <w:t>装卸起尘</w:t>
            </w: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TSP</w:t>
            </w:r>
          </w:p>
        </w:tc>
        <w:tc>
          <w:tcPr>
            <w:tcW w:w="1203"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喷雾抑尘装置+炮雾机</w:t>
            </w: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1.0</w:t>
            </w:r>
          </w:p>
        </w:tc>
        <w:tc>
          <w:tcPr>
            <w:tcW w:w="1386" w:type="dxa"/>
            <w:tcBorders>
              <w:tl2br w:val="nil"/>
              <w:tr2bl w:val="nil"/>
            </w:tcBorders>
            <w:vAlign w:val="center"/>
          </w:tcPr>
          <w:p>
            <w:pPr>
              <w:widowControl/>
              <w:tabs>
                <w:tab w:val="clear" w:pos="480"/>
              </w:tabs>
              <w:spacing w:line="240" w:lineRule="auto"/>
              <w:ind w:firstLine="0" w:firstLineChars="0"/>
              <w:jc w:val="center"/>
              <w:rPr>
                <w:sz w:val="21"/>
                <w:szCs w:val="21"/>
              </w:rPr>
            </w:pPr>
            <w:r>
              <w:rPr>
                <w:rFonts w:hint="eastAsia"/>
                <w:color w:val="000000"/>
                <w:sz w:val="22"/>
                <w:szCs w:val="22"/>
              </w:rPr>
              <w:t xml:space="preserve">0.515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9"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9</w:t>
            </w:r>
          </w:p>
        </w:tc>
        <w:tc>
          <w:tcPr>
            <w:tcW w:w="928"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卸车料棚自卸车起尘</w:t>
            </w:r>
          </w:p>
        </w:tc>
        <w:tc>
          <w:tcPr>
            <w:tcW w:w="500"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TSP</w:t>
            </w:r>
          </w:p>
        </w:tc>
        <w:tc>
          <w:tcPr>
            <w:tcW w:w="1203" w:type="pct"/>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全封闭、雾化除尘</w:t>
            </w:r>
          </w:p>
        </w:tc>
        <w:tc>
          <w:tcPr>
            <w:tcW w:w="594" w:type="pct"/>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706" w:type="pc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1.0</w:t>
            </w:r>
          </w:p>
        </w:tc>
        <w:tc>
          <w:tcPr>
            <w:tcW w:w="1386" w:type="dxa"/>
            <w:tcBorders>
              <w:tl2br w:val="nil"/>
              <w:tr2bl w:val="nil"/>
            </w:tcBorders>
            <w:vAlign w:val="center"/>
          </w:tcPr>
          <w:p>
            <w:pPr>
              <w:widowControl/>
              <w:tabs>
                <w:tab w:val="clear" w:pos="480"/>
              </w:tabs>
              <w:spacing w:line="240" w:lineRule="auto"/>
              <w:ind w:firstLine="0" w:firstLineChars="0"/>
              <w:jc w:val="center"/>
              <w:rPr>
                <w:sz w:val="21"/>
                <w:szCs w:val="21"/>
              </w:rPr>
            </w:pPr>
            <w:r>
              <w:rPr>
                <w:rFonts w:hint="eastAsia"/>
                <w:color w:val="000000"/>
                <w:sz w:val="22"/>
                <w:szCs w:val="22"/>
              </w:rPr>
              <w:t xml:space="preserve">0.463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49" w:type="pct"/>
            <w:gridSpan w:val="3"/>
            <w:vMerge w:val="restart"/>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无组织排放总计</w:t>
            </w:r>
          </w:p>
        </w:tc>
        <w:tc>
          <w:tcPr>
            <w:tcW w:w="2504" w:type="pct"/>
            <w:gridSpan w:val="3"/>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TSP</w:t>
            </w:r>
          </w:p>
        </w:tc>
        <w:tc>
          <w:tcPr>
            <w:tcW w:w="1386" w:type="dxa"/>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8.039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49" w:type="pct"/>
            <w:gridSpan w:val="3"/>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2504" w:type="pct"/>
            <w:gridSpan w:val="3"/>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PM</w:t>
            </w:r>
            <w:r>
              <w:rPr>
                <w:sz w:val="21"/>
                <w:szCs w:val="21"/>
                <w:vertAlign w:val="subscript"/>
              </w:rPr>
              <w:t>10</w:t>
            </w:r>
          </w:p>
        </w:tc>
        <w:tc>
          <w:tcPr>
            <w:tcW w:w="1386" w:type="dxa"/>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0.095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49" w:type="pct"/>
            <w:gridSpan w:val="3"/>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2504" w:type="pct"/>
            <w:gridSpan w:val="3"/>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PM</w:t>
            </w:r>
            <w:r>
              <w:rPr>
                <w:sz w:val="21"/>
                <w:szCs w:val="21"/>
                <w:vertAlign w:val="subscript"/>
              </w:rPr>
              <w:t>2.5</w:t>
            </w:r>
          </w:p>
        </w:tc>
        <w:tc>
          <w:tcPr>
            <w:tcW w:w="1386" w:type="dxa"/>
            <w:tcBorders>
              <w:tl2br w:val="nil"/>
              <w:tr2bl w:val="nil"/>
            </w:tcBorders>
            <w:vAlign w:val="center"/>
          </w:tcPr>
          <w:p>
            <w:pPr>
              <w:pStyle w:val="2057"/>
              <w:tabs>
                <w:tab w:val="left" w:pos="480"/>
              </w:tabs>
              <w:spacing w:afterLines="0" w:line="240" w:lineRule="atLeast"/>
              <w:ind w:firstLine="0" w:firstLineChars="0"/>
              <w:rPr>
                <w:sz w:val="21"/>
                <w:szCs w:val="21"/>
              </w:rPr>
            </w:pPr>
            <w:r>
              <w:rPr>
                <w:sz w:val="21"/>
                <w:szCs w:val="21"/>
              </w:rPr>
              <w:t>0.0</w:t>
            </w:r>
            <w:r>
              <w:rPr>
                <w:rFonts w:hint="eastAsia"/>
                <w:sz w:val="21"/>
                <w:szCs w:val="21"/>
              </w:rPr>
              <w:t>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49" w:type="pct"/>
            <w:gridSpan w:val="3"/>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2504" w:type="pct"/>
            <w:gridSpan w:val="3"/>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S</w:t>
            </w:r>
            <w:r>
              <w:rPr>
                <w:sz w:val="21"/>
                <w:szCs w:val="21"/>
              </w:rPr>
              <w:t>O</w:t>
            </w:r>
            <w:r>
              <w:rPr>
                <w:sz w:val="21"/>
                <w:szCs w:val="21"/>
                <w:vertAlign w:val="subscript"/>
              </w:rPr>
              <w:t>2</w:t>
            </w:r>
          </w:p>
        </w:tc>
        <w:tc>
          <w:tcPr>
            <w:tcW w:w="1386" w:type="dxa"/>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0.001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49" w:type="pct"/>
            <w:gridSpan w:val="3"/>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2504" w:type="pct"/>
            <w:gridSpan w:val="3"/>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CO</w:t>
            </w:r>
          </w:p>
        </w:tc>
        <w:tc>
          <w:tcPr>
            <w:tcW w:w="1386" w:type="dxa"/>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eastAsia="等线"/>
                <w:color w:val="000000"/>
                <w:sz w:val="21"/>
                <w:szCs w:val="21"/>
              </w:rPr>
              <w:t>0.039</w:t>
            </w:r>
            <w:r>
              <w:rPr>
                <w:rFonts w:eastAsia="等线"/>
                <w:color w:val="000000"/>
                <w:sz w:val="21"/>
                <w:szCs w:val="21"/>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49" w:type="pct"/>
            <w:gridSpan w:val="3"/>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2504" w:type="pct"/>
            <w:gridSpan w:val="3"/>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NOx</w:t>
            </w:r>
          </w:p>
        </w:tc>
        <w:tc>
          <w:tcPr>
            <w:tcW w:w="1386" w:type="dxa"/>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eastAsia="等线"/>
                <w:color w:val="000000"/>
                <w:sz w:val="21"/>
                <w:szCs w:val="21"/>
              </w:rPr>
              <w:t>0.084</w:t>
            </w:r>
            <w:r>
              <w:rPr>
                <w:rFonts w:eastAsia="等线"/>
                <w:color w:val="000000"/>
                <w:sz w:val="21"/>
                <w:szCs w:val="21"/>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49" w:type="pct"/>
            <w:gridSpan w:val="3"/>
            <w:vMerge w:val="continue"/>
            <w:tcBorders>
              <w:tl2br w:val="nil"/>
              <w:tr2bl w:val="nil"/>
            </w:tcBorders>
            <w:vAlign w:val="center"/>
          </w:tcPr>
          <w:p>
            <w:pPr>
              <w:pStyle w:val="2057"/>
              <w:tabs>
                <w:tab w:val="left" w:pos="480"/>
              </w:tabs>
              <w:spacing w:afterLines="0" w:line="240" w:lineRule="atLeast"/>
              <w:ind w:firstLine="0" w:firstLineChars="0"/>
              <w:rPr>
                <w:sz w:val="21"/>
                <w:szCs w:val="21"/>
              </w:rPr>
            </w:pPr>
          </w:p>
        </w:tc>
        <w:tc>
          <w:tcPr>
            <w:tcW w:w="2504" w:type="pct"/>
            <w:gridSpan w:val="3"/>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sz w:val="21"/>
                <w:szCs w:val="21"/>
              </w:rPr>
              <w:t>HC</w:t>
            </w:r>
          </w:p>
        </w:tc>
        <w:tc>
          <w:tcPr>
            <w:tcW w:w="1386" w:type="dxa"/>
            <w:tcBorders>
              <w:tl2br w:val="nil"/>
              <w:tr2bl w:val="nil"/>
            </w:tcBorders>
            <w:vAlign w:val="center"/>
          </w:tcPr>
          <w:p>
            <w:pPr>
              <w:pStyle w:val="2057"/>
              <w:tabs>
                <w:tab w:val="left" w:pos="480"/>
              </w:tabs>
              <w:spacing w:afterLines="0" w:line="240" w:lineRule="atLeast"/>
              <w:ind w:firstLine="0" w:firstLineChars="0"/>
              <w:rPr>
                <w:sz w:val="21"/>
                <w:szCs w:val="21"/>
              </w:rPr>
            </w:pPr>
            <w:r>
              <w:rPr>
                <w:rFonts w:hint="eastAsia" w:eastAsia="等线"/>
                <w:color w:val="000000"/>
                <w:sz w:val="21"/>
                <w:szCs w:val="21"/>
              </w:rPr>
              <w:t>0.023</w:t>
            </w:r>
          </w:p>
        </w:tc>
      </w:tr>
    </w:tbl>
    <w:p>
      <w:pPr>
        <w:pStyle w:val="456"/>
        <w:ind w:firstLine="482"/>
      </w:pPr>
      <w:r>
        <w:rPr>
          <w:rFonts w:hint="eastAsia"/>
          <w:lang w:val="en-US"/>
        </w:rPr>
        <w:t>大气环境影响评价结论</w:t>
      </w:r>
    </w:p>
    <w:p>
      <w:pPr>
        <w:ind w:firstLine="480"/>
        <w:rPr>
          <w:rFonts w:hint="default" w:eastAsia="宋体"/>
          <w:b/>
          <w:bCs/>
          <w:lang w:val="en-US" w:eastAsia="zh-CN"/>
        </w:rPr>
      </w:pPr>
      <w:r>
        <w:rPr>
          <w:rFonts w:hint="eastAsia"/>
          <w:b/>
          <w:bCs/>
          <w:lang w:eastAsia="zh-CN"/>
        </w:rPr>
        <w:t>（</w:t>
      </w:r>
      <w:r>
        <w:rPr>
          <w:rFonts w:hint="eastAsia"/>
          <w:b/>
          <w:bCs/>
          <w:lang w:val="en-US" w:eastAsia="zh-CN"/>
        </w:rPr>
        <w:t>1</w:t>
      </w:r>
      <w:r>
        <w:rPr>
          <w:rFonts w:hint="eastAsia"/>
          <w:b/>
          <w:bCs/>
          <w:lang w:eastAsia="zh-CN"/>
        </w:rPr>
        <w:t>）</w:t>
      </w:r>
      <w:r>
        <w:rPr>
          <w:rFonts w:hint="eastAsia"/>
          <w:b/>
          <w:bCs/>
          <w:lang w:val="en-US" w:eastAsia="zh-CN"/>
        </w:rPr>
        <w:t>各污染物达标情况判定</w:t>
      </w:r>
    </w:p>
    <w:p>
      <w:pPr>
        <w:ind w:firstLine="480"/>
      </w:pPr>
      <w:r>
        <w:rPr>
          <w:rFonts w:hint="eastAsia"/>
        </w:rPr>
        <w:t>①项目所在区域为不达标区。</w:t>
      </w:r>
    </w:p>
    <w:p>
      <w:pPr>
        <w:ind w:firstLine="480"/>
      </w:pPr>
      <w:r>
        <w:rPr>
          <w:rFonts w:hint="eastAsia"/>
        </w:rPr>
        <w:t>②拟建项目</w:t>
      </w:r>
      <w:r>
        <w:t>正常排放</w:t>
      </w:r>
      <w:r>
        <w:rPr>
          <w:rFonts w:hint="eastAsia"/>
        </w:rPr>
        <w:t>TSP</w:t>
      </w:r>
      <w:r>
        <w:rPr>
          <w:rFonts w:hint="eastAsia"/>
          <w:lang w:eastAsia="zh-CN"/>
        </w:rPr>
        <w:t>、</w:t>
      </w:r>
      <w:r>
        <w:rPr>
          <w:rFonts w:hint="eastAsia"/>
          <w:lang w:val="en-US" w:eastAsia="zh-CN"/>
        </w:rPr>
        <w:t>PM</w:t>
      </w:r>
      <w:r>
        <w:rPr>
          <w:rFonts w:hint="eastAsia"/>
          <w:vertAlign w:val="subscript"/>
          <w:lang w:val="en-US" w:eastAsia="zh-CN"/>
        </w:rPr>
        <w:t>10</w:t>
      </w:r>
      <w:r>
        <w:rPr>
          <w:rFonts w:hint="eastAsia"/>
          <w:vertAlign w:val="baseline"/>
          <w:lang w:val="en-US" w:eastAsia="zh-CN"/>
        </w:rPr>
        <w:t>、</w:t>
      </w:r>
      <w:r>
        <w:rPr>
          <w:rFonts w:hint="eastAsia"/>
          <w:lang w:val="en-US" w:eastAsia="zh-CN"/>
        </w:rPr>
        <w:t>PM</w:t>
      </w:r>
      <w:r>
        <w:rPr>
          <w:rFonts w:hint="eastAsia"/>
          <w:vertAlign w:val="subscript"/>
          <w:lang w:val="en-US" w:eastAsia="zh-CN"/>
        </w:rPr>
        <w:t>2.5</w:t>
      </w:r>
      <w:r>
        <w:t>各敏感点</w:t>
      </w:r>
      <w:r>
        <w:rPr>
          <w:rFonts w:hint="eastAsia"/>
          <w:lang w:val="en-US" w:eastAsia="zh-CN"/>
        </w:rPr>
        <w:t>24小时平均浓度、</w:t>
      </w:r>
      <w:r>
        <w:t>年平均浓度贡献值均达标；</w:t>
      </w:r>
      <w:r>
        <w:rPr>
          <w:rFonts w:hint="eastAsia"/>
        </w:rPr>
        <w:t>短期浓度贡献值的最大浓度占标率≤100%，年均浓度贡献值的最大浓度占标率≤30%。</w:t>
      </w:r>
    </w:p>
    <w:p>
      <w:pPr>
        <w:ind w:firstLine="480"/>
      </w:pPr>
      <w:r>
        <w:rPr>
          <w:rFonts w:hint="eastAsia" w:ascii="仿宋" w:hAnsi="仿宋" w:eastAsia="仿宋"/>
        </w:rPr>
        <w:t>③</w:t>
      </w:r>
      <w:r>
        <w:rPr>
          <w:rFonts w:hint="eastAsia"/>
        </w:rPr>
        <w:t>拟建项目</w:t>
      </w:r>
      <w:r>
        <w:t>正常排放</w:t>
      </w:r>
      <w:r>
        <w:rPr>
          <w:rFonts w:hint="eastAsia"/>
        </w:rPr>
        <w:t>TSP</w:t>
      </w:r>
      <w:r>
        <w:rPr>
          <w:rFonts w:hint="eastAsia"/>
          <w:lang w:eastAsia="zh-CN"/>
        </w:rPr>
        <w:t>、</w:t>
      </w:r>
      <w:r>
        <w:rPr>
          <w:rFonts w:hint="eastAsia"/>
          <w:lang w:val="en-US" w:eastAsia="zh-CN"/>
        </w:rPr>
        <w:t>PM</w:t>
      </w:r>
      <w:r>
        <w:rPr>
          <w:rFonts w:hint="eastAsia"/>
          <w:vertAlign w:val="subscript"/>
          <w:lang w:val="en-US" w:eastAsia="zh-CN"/>
        </w:rPr>
        <w:t>10</w:t>
      </w:r>
      <w:r>
        <w:rPr>
          <w:rFonts w:hint="eastAsia"/>
          <w:vertAlign w:val="baseline"/>
          <w:lang w:val="en-US" w:eastAsia="zh-CN"/>
        </w:rPr>
        <w:t>叠加削减源和环境质量现状24小时平均浓度、年平均浓度均达标，</w:t>
      </w:r>
      <w:r>
        <w:rPr>
          <w:rFonts w:hint="eastAsia"/>
          <w:lang w:val="en-US" w:eastAsia="zh-CN"/>
        </w:rPr>
        <w:t>PM</w:t>
      </w:r>
      <w:r>
        <w:rPr>
          <w:rFonts w:hint="eastAsia"/>
          <w:vertAlign w:val="subscript"/>
          <w:lang w:val="en-US" w:eastAsia="zh-CN"/>
        </w:rPr>
        <w:t>2.5</w:t>
      </w:r>
      <w:r>
        <w:rPr>
          <w:rFonts w:hint="eastAsia"/>
          <w:vertAlign w:val="baseline"/>
          <w:lang w:val="en-US" w:eastAsia="zh-CN"/>
        </w:rPr>
        <w:t>叠加削减源和达标规划年达标规划浓度的24小时平均浓度、年平均浓度均达标</w:t>
      </w:r>
      <w:r>
        <w:rPr>
          <w:rFonts w:hint="eastAsia"/>
          <w:lang w:eastAsia="zh-CN"/>
        </w:rPr>
        <w:t>，</w:t>
      </w:r>
      <w:r>
        <w:rPr>
          <w:rFonts w:hint="eastAsia"/>
          <w:lang w:val="en-US" w:eastAsia="zh-CN"/>
        </w:rPr>
        <w:t>保证率</w:t>
      </w:r>
      <w:r>
        <w:rPr>
          <w:rFonts w:hint="eastAsia"/>
        </w:rPr>
        <w:t>日均浓度叠加值的最大浓度占标率≤100%，全时段叠加值的最大浓度占标率≤100%。</w:t>
      </w:r>
    </w:p>
    <w:p>
      <w:pPr>
        <w:ind w:firstLine="480"/>
        <w:rPr>
          <w:rFonts w:hint="eastAsia" w:ascii="Times New Roman" w:hAnsi="Times New Roman" w:eastAsia="宋体" w:cs="Times New Roman"/>
          <w:b/>
          <w:bCs/>
          <w:lang w:val="en-US" w:eastAsia="zh-CN"/>
        </w:rPr>
      </w:pPr>
      <w:r>
        <w:rPr>
          <w:rFonts w:hint="eastAsia" w:ascii="Times New Roman" w:hAnsi="Times New Roman" w:eastAsia="宋体" w:cs="Times New Roman"/>
          <w:b/>
          <w:bCs/>
          <w:lang w:eastAsia="zh-CN"/>
        </w:rPr>
        <w:t>（</w:t>
      </w:r>
      <w:r>
        <w:rPr>
          <w:rFonts w:hint="eastAsia" w:ascii="Times New Roman" w:hAnsi="Times New Roman" w:eastAsia="宋体" w:cs="Times New Roman"/>
          <w:b/>
          <w:bCs/>
          <w:lang w:val="en-US" w:eastAsia="zh-CN"/>
        </w:rPr>
        <w:t>2</w:t>
      </w:r>
      <w:r>
        <w:rPr>
          <w:rFonts w:hint="eastAsia" w:ascii="Times New Roman" w:hAnsi="Times New Roman" w:eastAsia="宋体" w:cs="Times New Roman"/>
          <w:b/>
          <w:bCs/>
          <w:lang w:eastAsia="zh-CN"/>
        </w:rPr>
        <w:t>）</w:t>
      </w:r>
      <w:r>
        <w:rPr>
          <w:rFonts w:hint="eastAsia" w:ascii="Times New Roman" w:hAnsi="Times New Roman" w:eastAsia="宋体" w:cs="Times New Roman"/>
          <w:b/>
          <w:bCs/>
          <w:lang w:val="en-US" w:eastAsia="zh-CN"/>
        </w:rPr>
        <w:t>大气防护距离判定</w:t>
      </w:r>
    </w:p>
    <w:p>
      <w:pPr>
        <w:ind w:firstLine="480"/>
        <w:rPr>
          <w:rFonts w:hint="eastAsia"/>
        </w:rPr>
      </w:pPr>
      <w:r>
        <w:rPr>
          <w:rFonts w:hint="eastAsia"/>
        </w:rPr>
        <w:t>根据计算，项目厂界外TSP</w:t>
      </w:r>
      <w:r>
        <w:rPr>
          <w:rFonts w:hint="eastAsia"/>
          <w:lang w:eastAsia="zh-CN"/>
        </w:rPr>
        <w:t>、</w:t>
      </w:r>
      <w:r>
        <w:rPr>
          <w:rFonts w:hint="eastAsia"/>
          <w:lang w:val="en-US" w:eastAsia="zh-CN"/>
        </w:rPr>
        <w:t>PM</w:t>
      </w:r>
      <w:r>
        <w:rPr>
          <w:rFonts w:hint="eastAsia"/>
          <w:vertAlign w:val="subscript"/>
          <w:lang w:val="en-US" w:eastAsia="zh-CN"/>
        </w:rPr>
        <w:t>10</w:t>
      </w:r>
      <w:r>
        <w:rPr>
          <w:rFonts w:hint="eastAsia"/>
          <w:vertAlign w:val="baseline"/>
          <w:lang w:val="en-US" w:eastAsia="zh-CN"/>
        </w:rPr>
        <w:t>、</w:t>
      </w:r>
      <w:r>
        <w:rPr>
          <w:rFonts w:hint="eastAsia"/>
          <w:lang w:val="en-US" w:eastAsia="zh-CN"/>
        </w:rPr>
        <w:t>PM</w:t>
      </w:r>
      <w:r>
        <w:rPr>
          <w:rFonts w:hint="eastAsia"/>
          <w:vertAlign w:val="subscript"/>
          <w:lang w:val="en-US" w:eastAsia="zh-CN"/>
        </w:rPr>
        <w:t>2.5</w:t>
      </w:r>
      <w:r>
        <w:rPr>
          <w:rFonts w:hint="eastAsia"/>
        </w:rPr>
        <w:t>日均浓度预测值均不超过环境质量短期浓度标准值，因此本项目无需设置大气防护距离。</w:t>
      </w:r>
    </w:p>
    <w:p>
      <w:pPr>
        <w:ind w:firstLine="480"/>
        <w:rPr>
          <w:rFonts w:hint="eastAsia" w:ascii="Times New Roman" w:hAnsi="Times New Roman" w:cs="Times New Roman"/>
          <w:b/>
          <w:bCs/>
          <w:lang w:val="en-US" w:eastAsia="zh-CN"/>
        </w:rPr>
      </w:pPr>
      <w:r>
        <w:rPr>
          <w:rFonts w:hint="eastAsia" w:ascii="Times New Roman" w:hAnsi="Times New Roman" w:cs="Times New Roman"/>
          <w:b/>
          <w:bCs/>
          <w:lang w:val="en-US" w:eastAsia="zh-CN"/>
        </w:rPr>
        <w:t>（3）年平均浓度变化率</w:t>
      </w:r>
    </w:p>
    <w:p>
      <w:pPr>
        <w:ind w:firstLine="48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根据区域环境质量变化计算可知，PM</w:t>
      </w:r>
      <w:r>
        <w:rPr>
          <w:rFonts w:hint="default" w:ascii="Times New Roman" w:hAnsi="Times New Roman" w:eastAsia="宋体" w:cs="Times New Roman"/>
          <w:vertAlign w:val="subscript"/>
          <w:lang w:val="en-US" w:eastAsia="zh-CN"/>
        </w:rPr>
        <w:t>2.5</w:t>
      </w:r>
      <w:r>
        <w:rPr>
          <w:rFonts w:hint="default" w:ascii="Times New Roman" w:hAnsi="Times New Roman" w:eastAsia="宋体" w:cs="Times New Roman"/>
          <w:lang w:val="en-US" w:eastAsia="zh-CN"/>
        </w:rPr>
        <w:t>的K值为-67.17</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，小于-20%，因此项目环境影响满足环境质量改善目标</w:t>
      </w:r>
      <w:r>
        <w:rPr>
          <w:rFonts w:hint="eastAsia" w:ascii="Times New Roman" w:hAnsi="Times New Roman" w:eastAsia="宋体" w:cs="Times New Roman"/>
          <w:lang w:val="en-US" w:eastAsia="zh-CN"/>
        </w:rPr>
        <w:t>。</w:t>
      </w:r>
    </w:p>
    <w:p>
      <w:pPr>
        <w:pStyle w:val="456"/>
        <w:ind w:firstLine="482"/>
      </w:pPr>
      <w:r>
        <w:rPr>
          <w:rFonts w:hint="eastAsia"/>
          <w:lang w:val="en-US"/>
        </w:rPr>
        <w:t>建设项目大气环境影响评价自查表</w:t>
      </w:r>
    </w:p>
    <w:p>
      <w:pPr>
        <w:ind w:firstLine="480"/>
      </w:pPr>
      <w:r>
        <w:rPr>
          <w:rFonts w:ascii="仿宋_GB2312"/>
        </w:rPr>
        <w:t>大气环境影响评价自查表本次大气环境影响评价完成后，对大气环境影响评价主</w:t>
      </w:r>
      <w:r>
        <w:t xml:space="preserve"> </w:t>
      </w:r>
      <w:r>
        <w:rPr>
          <w:rFonts w:ascii="仿宋_GB2312"/>
        </w:rPr>
        <w:t>要内容与结论进行自查，详见下表。</w:t>
      </w:r>
    </w:p>
    <w:p>
      <w:pPr>
        <w:pStyle w:val="3586"/>
        <w:ind w:left="0"/>
      </w:pPr>
      <w:r>
        <w:t xml:space="preserve">  大气</w:t>
      </w:r>
      <w:r>
        <w:rPr>
          <w:rFonts w:hint="eastAsia"/>
        </w:rPr>
        <w:t>环境</w:t>
      </w:r>
      <w:r>
        <w:t>影响评价自查表</w:t>
      </w:r>
    </w:p>
    <w:tbl>
      <w:tblPr>
        <w:tblStyle w:val="87"/>
        <w:tblW w:w="501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85"/>
        <w:gridCol w:w="1191"/>
        <w:gridCol w:w="1195"/>
        <w:gridCol w:w="645"/>
        <w:gridCol w:w="198"/>
        <w:gridCol w:w="289"/>
        <w:gridCol w:w="80"/>
        <w:gridCol w:w="325"/>
        <w:gridCol w:w="80"/>
        <w:gridCol w:w="209"/>
        <w:gridCol w:w="475"/>
        <w:gridCol w:w="92"/>
        <w:gridCol w:w="518"/>
        <w:gridCol w:w="209"/>
        <w:gridCol w:w="121"/>
        <w:gridCol w:w="506"/>
        <w:gridCol w:w="986"/>
        <w:gridCol w:w="196"/>
        <w:gridCol w:w="189"/>
        <w:gridCol w:w="592"/>
        <w:gridCol w:w="4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984" w:type="pct"/>
            <w:gridSpan w:val="2"/>
            <w:tcBorders>
              <w:bottom w:val="single" w:color="auto" w:sz="12" w:space="0"/>
            </w:tcBorders>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工作内容</w:t>
            </w:r>
          </w:p>
        </w:tc>
        <w:tc>
          <w:tcPr>
            <w:tcW w:w="4015" w:type="pct"/>
            <w:gridSpan w:val="19"/>
            <w:tcBorders>
              <w:bottom w:val="single" w:color="auto" w:sz="12" w:space="0"/>
            </w:tcBorders>
            <w:vAlign w:val="center"/>
          </w:tcPr>
          <w:p>
            <w:pPr>
              <w:tabs>
                <w:tab w:val="clear" w:pos="480"/>
              </w:tabs>
              <w:kinsoku w:val="0"/>
              <w:overflowPunct w:val="0"/>
              <w:autoSpaceDE w:val="0"/>
              <w:autoSpaceDN w:val="0"/>
              <w:adjustRightInd w:val="0"/>
              <w:spacing w:line="240" w:lineRule="atLeast"/>
              <w:ind w:firstLine="0" w:firstLineChars="0"/>
              <w:jc w:val="center"/>
              <w:rPr>
                <w:b/>
                <w:bCs/>
                <w:kern w:val="0"/>
                <w:sz w:val="21"/>
                <w:szCs w:val="21"/>
              </w:rPr>
            </w:pPr>
            <w:r>
              <w:rPr>
                <w:rFonts w:hint="eastAsia"/>
                <w:b/>
                <w:bCs/>
                <w:kern w:val="0"/>
                <w:sz w:val="21"/>
                <w:szCs w:val="21"/>
              </w:rPr>
              <w:t>自查项目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26" w:type="pct"/>
            <w:vMerge w:val="restart"/>
            <w:tcBorders>
              <w:top w:val="single" w:color="auto" w:sz="12" w:space="0"/>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评价等级与范围</w:t>
            </w:r>
          </w:p>
        </w:tc>
        <w:tc>
          <w:tcPr>
            <w:tcW w:w="657" w:type="pct"/>
            <w:tcBorders>
              <w:top w:val="single" w:color="auto" w:sz="12" w:space="0"/>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评价等级</w:t>
            </w:r>
          </w:p>
        </w:tc>
        <w:tc>
          <w:tcPr>
            <w:tcW w:w="1696" w:type="pct"/>
            <w:gridSpan w:val="8"/>
            <w:tcBorders>
              <w:top w:val="single" w:color="auto" w:sz="12" w:space="0"/>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一级</w:t>
            </w:r>
            <w:r>
              <w:rPr>
                <w:rFonts w:hint="eastAsia"/>
                <w:kern w:val="0"/>
                <w:sz w:val="21"/>
                <w:szCs w:val="21"/>
              </w:rPr>
              <w:sym w:font="Wingdings" w:char="00FE"/>
            </w:r>
          </w:p>
        </w:tc>
        <w:tc>
          <w:tcPr>
            <w:tcW w:w="1558" w:type="pct"/>
            <w:gridSpan w:val="7"/>
            <w:tcBorders>
              <w:top w:val="single" w:color="auto" w:sz="12" w:space="0"/>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二级</w:t>
            </w:r>
            <w:r>
              <w:rPr>
                <w:rFonts w:hint="eastAsia"/>
                <w:kern w:val="0"/>
                <w:sz w:val="21"/>
                <w:szCs w:val="21"/>
              </w:rPr>
              <w:sym w:font="Wingdings" w:char="00A8"/>
            </w:r>
          </w:p>
        </w:tc>
        <w:tc>
          <w:tcPr>
            <w:tcW w:w="761" w:type="pct"/>
            <w:gridSpan w:val="4"/>
            <w:tcBorders>
              <w:top w:val="single" w:color="auto" w:sz="12" w:space="0"/>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三级</w:t>
            </w:r>
            <w:r>
              <w:rPr>
                <w:rFonts w:hint="eastAsia"/>
                <w:kern w:val="0"/>
                <w:sz w:val="21"/>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326"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65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评价范围</w:t>
            </w:r>
          </w:p>
        </w:tc>
        <w:tc>
          <w:tcPr>
            <w:tcW w:w="1696" w:type="pct"/>
            <w:gridSpan w:val="8"/>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边长=50km</w:t>
            </w:r>
            <w:r>
              <w:rPr>
                <w:rFonts w:hint="eastAsia"/>
                <w:kern w:val="0"/>
                <w:sz w:val="21"/>
                <w:szCs w:val="21"/>
              </w:rPr>
              <w:sym w:font="Wingdings" w:char="00A8"/>
            </w:r>
            <w:r>
              <w:rPr>
                <w:rFonts w:hint="eastAsia"/>
                <w:kern w:val="0"/>
                <w:sz w:val="21"/>
                <w:szCs w:val="21"/>
              </w:rPr>
              <w:t></w:t>
            </w:r>
          </w:p>
        </w:tc>
        <w:tc>
          <w:tcPr>
            <w:tcW w:w="1558" w:type="pct"/>
            <w:gridSpan w:val="7"/>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边长5~50km</w:t>
            </w:r>
            <w:r>
              <w:rPr>
                <w:rFonts w:hint="eastAsia"/>
                <w:kern w:val="0"/>
                <w:sz w:val="21"/>
                <w:szCs w:val="21"/>
              </w:rPr>
              <w:sym w:font="Wingdings" w:char="00A8"/>
            </w:r>
            <w:r>
              <w:rPr>
                <w:rFonts w:hint="eastAsia"/>
                <w:kern w:val="0"/>
                <w:sz w:val="21"/>
                <w:szCs w:val="21"/>
              </w:rPr>
              <w:t></w:t>
            </w:r>
          </w:p>
        </w:tc>
        <w:tc>
          <w:tcPr>
            <w:tcW w:w="761" w:type="pct"/>
            <w:gridSpan w:val="4"/>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边长=5km</w:t>
            </w:r>
            <w:r>
              <w:rPr>
                <w:rFonts w:hint="eastAsia"/>
                <w:kern w:val="0"/>
                <w:sz w:val="21"/>
                <w:szCs w:val="21"/>
              </w:rPr>
              <w:sym w:font="Wingdings" w:char="00FE"/>
            </w:r>
            <w:r>
              <w:rPr>
                <w:rFonts w:hint="eastAsia"/>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26" w:type="pct"/>
            <w:vMerge w:val="restar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评价因子</w:t>
            </w:r>
          </w:p>
        </w:tc>
        <w:tc>
          <w:tcPr>
            <w:tcW w:w="65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SO</w:t>
            </w:r>
            <w:r>
              <w:rPr>
                <w:rFonts w:hint="eastAsia"/>
                <w:kern w:val="0"/>
                <w:sz w:val="21"/>
                <w:szCs w:val="21"/>
                <w:vertAlign w:val="subscript"/>
              </w:rPr>
              <w:t>2</w:t>
            </w:r>
            <w:r>
              <w:rPr>
                <w:rFonts w:hint="eastAsia"/>
                <w:kern w:val="0"/>
                <w:sz w:val="21"/>
                <w:szCs w:val="21"/>
              </w:rPr>
              <w:t>+NOx排放量</w:t>
            </w:r>
          </w:p>
        </w:tc>
        <w:tc>
          <w:tcPr>
            <w:tcW w:w="1343" w:type="pct"/>
            <w:gridSpan w:val="5"/>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≥2000t/a</w:t>
            </w:r>
            <w:r>
              <w:rPr>
                <w:rFonts w:hint="eastAsia"/>
                <w:kern w:val="0"/>
                <w:sz w:val="21"/>
                <w:szCs w:val="21"/>
              </w:rPr>
              <w:sym w:font="Wingdings" w:char="00A8"/>
            </w:r>
            <w:r>
              <w:rPr>
                <w:rFonts w:hint="eastAsia"/>
                <w:kern w:val="0"/>
                <w:sz w:val="21"/>
                <w:szCs w:val="21"/>
              </w:rPr>
              <w:t></w:t>
            </w:r>
          </w:p>
        </w:tc>
        <w:tc>
          <w:tcPr>
            <w:tcW w:w="1910" w:type="pct"/>
            <w:gridSpan w:val="10"/>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500~2000t/a</w:t>
            </w:r>
            <w:r>
              <w:rPr>
                <w:rFonts w:hint="eastAsia"/>
                <w:kern w:val="0"/>
                <w:sz w:val="21"/>
                <w:szCs w:val="21"/>
              </w:rPr>
              <w:sym w:font="Wingdings" w:char="00A8"/>
            </w:r>
            <w:r>
              <w:rPr>
                <w:rFonts w:hint="eastAsia"/>
                <w:kern w:val="0"/>
                <w:sz w:val="21"/>
                <w:szCs w:val="21"/>
              </w:rPr>
              <w:t></w:t>
            </w:r>
          </w:p>
        </w:tc>
        <w:tc>
          <w:tcPr>
            <w:tcW w:w="761" w:type="pct"/>
            <w:gridSpan w:val="4"/>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＜500t/a</w:t>
            </w:r>
            <w:r>
              <w:rPr>
                <w:rFonts w:hint="eastAsia"/>
                <w:kern w:val="0"/>
                <w:sz w:val="21"/>
                <w:szCs w:val="21"/>
              </w:rPr>
              <w:sym w:font="Wingdings" w:char="00FE"/>
            </w:r>
            <w:r>
              <w:rPr>
                <w:rFonts w:hint="eastAsia"/>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86" w:hRule="atLeast"/>
          <w:jc w:val="center"/>
        </w:trPr>
        <w:tc>
          <w:tcPr>
            <w:tcW w:w="326"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65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评价因子</w:t>
            </w:r>
          </w:p>
        </w:tc>
        <w:tc>
          <w:tcPr>
            <w:tcW w:w="2501" w:type="pct"/>
            <w:gridSpan w:val="13"/>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基本污染物（SO</w:t>
            </w:r>
            <w:r>
              <w:rPr>
                <w:rFonts w:hint="eastAsia"/>
                <w:kern w:val="0"/>
                <w:sz w:val="21"/>
                <w:szCs w:val="21"/>
                <w:vertAlign w:val="subscript"/>
              </w:rPr>
              <w:t>2</w:t>
            </w:r>
            <w:r>
              <w:rPr>
                <w:rFonts w:hint="eastAsia"/>
                <w:kern w:val="0"/>
                <w:sz w:val="21"/>
                <w:szCs w:val="21"/>
              </w:rPr>
              <w:t>、NO</w:t>
            </w:r>
            <w:r>
              <w:rPr>
                <w:rFonts w:hint="eastAsia"/>
                <w:kern w:val="0"/>
                <w:sz w:val="21"/>
                <w:szCs w:val="21"/>
                <w:vertAlign w:val="subscript"/>
              </w:rPr>
              <w:t>2</w:t>
            </w:r>
            <w:r>
              <w:rPr>
                <w:rFonts w:hint="eastAsia"/>
                <w:kern w:val="0"/>
                <w:sz w:val="21"/>
                <w:szCs w:val="21"/>
              </w:rPr>
              <w:t>、PM</w:t>
            </w:r>
            <w:r>
              <w:rPr>
                <w:rFonts w:hint="eastAsia"/>
                <w:kern w:val="0"/>
                <w:sz w:val="21"/>
                <w:szCs w:val="21"/>
                <w:vertAlign w:val="subscript"/>
              </w:rPr>
              <w:t>10</w:t>
            </w:r>
            <w:r>
              <w:rPr>
                <w:rFonts w:hint="eastAsia"/>
                <w:kern w:val="0"/>
                <w:sz w:val="21"/>
                <w:szCs w:val="21"/>
              </w:rPr>
              <w:t>、PM</w:t>
            </w:r>
            <w:r>
              <w:rPr>
                <w:rFonts w:hint="eastAsia"/>
                <w:kern w:val="0"/>
                <w:sz w:val="21"/>
                <w:szCs w:val="21"/>
                <w:vertAlign w:val="subscript"/>
              </w:rPr>
              <w:t>2.5</w:t>
            </w:r>
            <w:r>
              <w:rPr>
                <w:rFonts w:hint="eastAsia"/>
                <w:kern w:val="0"/>
                <w:sz w:val="21"/>
                <w:szCs w:val="21"/>
              </w:rPr>
              <w:t>、CO、O</w:t>
            </w:r>
            <w:r>
              <w:rPr>
                <w:rFonts w:hint="eastAsia"/>
                <w:kern w:val="0"/>
                <w:sz w:val="21"/>
                <w:szCs w:val="21"/>
                <w:vertAlign w:val="subscript"/>
              </w:rPr>
              <w:t>3</w:t>
            </w:r>
            <w:r>
              <w:rPr>
                <w:rFonts w:hint="eastAsia"/>
                <w:kern w:val="0"/>
                <w:sz w:val="21"/>
                <w:szCs w:val="21"/>
              </w:rPr>
              <w:t>）、TSP</w:t>
            </w:r>
          </w:p>
        </w:tc>
        <w:tc>
          <w:tcPr>
            <w:tcW w:w="1514" w:type="pct"/>
            <w:gridSpan w:val="6"/>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包括二次PM</w:t>
            </w:r>
            <w:r>
              <w:rPr>
                <w:rFonts w:hint="eastAsia"/>
                <w:kern w:val="0"/>
                <w:sz w:val="21"/>
                <w:szCs w:val="21"/>
                <w:vertAlign w:val="subscript"/>
              </w:rPr>
              <w:t>2.5</w:t>
            </w:r>
            <w:r>
              <w:rPr>
                <w:rFonts w:hint="eastAsia"/>
                <w:kern w:val="0"/>
                <w:sz w:val="21"/>
                <w:szCs w:val="21"/>
              </w:rPr>
              <w:t> </w:t>
            </w:r>
            <w:r>
              <w:rPr>
                <w:rFonts w:hint="eastAsia"/>
                <w:kern w:val="0"/>
                <w:sz w:val="21"/>
                <w:szCs w:val="21"/>
              </w:rPr>
              <w:sym w:font="Wingdings" w:char="00A8"/>
            </w:r>
            <w:r>
              <w:rPr>
                <w:rFonts w:hint="eastAsia"/>
                <w:kern w:val="0"/>
                <w:sz w:val="21"/>
                <w:szCs w:val="21"/>
              </w:rPr>
              <w:t></w:t>
            </w:r>
          </w:p>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不包括二次PM</w:t>
            </w:r>
            <w:r>
              <w:rPr>
                <w:rFonts w:hint="eastAsia"/>
                <w:kern w:val="0"/>
                <w:sz w:val="21"/>
                <w:szCs w:val="21"/>
                <w:vertAlign w:val="subscript"/>
              </w:rPr>
              <w:t>2.5</w:t>
            </w:r>
            <w:r>
              <w:rPr>
                <w:rFonts w:hint="eastAsia"/>
                <w:kern w:val="0"/>
                <w:sz w:val="21"/>
                <w:szCs w:val="21"/>
              </w:rPr>
              <w:sym w:font="Wingdings" w:char="00FE"/>
            </w:r>
            <w:r>
              <w:rPr>
                <w:rFonts w:hint="eastAsia"/>
                <w:kern w:val="0"/>
                <w:sz w:val="21"/>
                <w:szCs w:val="21"/>
                <w:vertAlign w:val="subscript"/>
              </w:rPr>
              <w:t> </w:t>
            </w:r>
            <w:r>
              <w:rPr>
                <w:rFonts w:hint="eastAsia"/>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2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评价标准</w:t>
            </w:r>
          </w:p>
        </w:tc>
        <w:tc>
          <w:tcPr>
            <w:tcW w:w="65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评价标准</w:t>
            </w:r>
          </w:p>
        </w:tc>
        <w:tc>
          <w:tcPr>
            <w:tcW w:w="1530" w:type="pct"/>
            <w:gridSpan w:val="6"/>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国家标准</w:t>
            </w:r>
            <w:r>
              <w:rPr>
                <w:rFonts w:hint="eastAsia"/>
                <w:kern w:val="0"/>
                <w:sz w:val="21"/>
                <w:szCs w:val="21"/>
              </w:rPr>
              <w:sym w:font="Wingdings" w:char="00FE"/>
            </w:r>
            <w:r>
              <w:rPr>
                <w:rFonts w:hint="eastAsia"/>
                <w:kern w:val="0"/>
                <w:sz w:val="21"/>
                <w:szCs w:val="21"/>
              </w:rPr>
              <w:t></w:t>
            </w:r>
          </w:p>
        </w:tc>
        <w:tc>
          <w:tcPr>
            <w:tcW w:w="971" w:type="pct"/>
            <w:gridSpan w:val="7"/>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地方标准</w:t>
            </w:r>
            <w:r>
              <w:rPr>
                <w:rFonts w:hint="eastAsia"/>
                <w:kern w:val="0"/>
                <w:sz w:val="21"/>
                <w:szCs w:val="21"/>
              </w:rPr>
              <w:sym w:font="Wingdings" w:char="00A8"/>
            </w:r>
            <w:r>
              <w:rPr>
                <w:rFonts w:hint="eastAsia"/>
                <w:kern w:val="0"/>
                <w:sz w:val="21"/>
                <w:szCs w:val="21"/>
              </w:rPr>
              <w:t></w:t>
            </w:r>
          </w:p>
        </w:tc>
        <w:tc>
          <w:tcPr>
            <w:tcW w:w="752"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附录D</w:t>
            </w:r>
            <w:r>
              <w:rPr>
                <w:rFonts w:hint="eastAsia"/>
                <w:kern w:val="0"/>
                <w:sz w:val="21"/>
                <w:szCs w:val="21"/>
              </w:rPr>
              <w:sym w:font="Wingdings" w:char="00A8"/>
            </w:r>
            <w:r>
              <w:rPr>
                <w:rFonts w:hint="eastAsia"/>
                <w:kern w:val="0"/>
                <w:sz w:val="21"/>
                <w:szCs w:val="21"/>
              </w:rPr>
              <w:t></w:t>
            </w:r>
          </w:p>
        </w:tc>
        <w:tc>
          <w:tcPr>
            <w:tcW w:w="761" w:type="pct"/>
            <w:gridSpan w:val="4"/>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其他标准</w:t>
            </w:r>
            <w:r>
              <w:rPr>
                <w:rFonts w:hint="eastAsia"/>
                <w:kern w:val="0"/>
                <w:sz w:val="21"/>
                <w:szCs w:val="21"/>
              </w:rPr>
              <w:sym w:font="Wingdings" w:char="00A8"/>
            </w:r>
            <w:r>
              <w:rPr>
                <w:rFonts w:hint="eastAsia"/>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26" w:type="pct"/>
            <w:vMerge w:val="restar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现状评价</w:t>
            </w:r>
          </w:p>
        </w:tc>
        <w:tc>
          <w:tcPr>
            <w:tcW w:w="65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环境功能区</w:t>
            </w:r>
          </w:p>
        </w:tc>
        <w:tc>
          <w:tcPr>
            <w:tcW w:w="1530" w:type="pct"/>
            <w:gridSpan w:val="6"/>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一类区</w:t>
            </w:r>
            <w:r>
              <w:rPr>
                <w:rFonts w:hint="eastAsia"/>
                <w:kern w:val="0"/>
                <w:sz w:val="21"/>
                <w:szCs w:val="21"/>
              </w:rPr>
              <w:sym w:font="Wingdings" w:char="00A8"/>
            </w:r>
            <w:r>
              <w:rPr>
                <w:rFonts w:hint="eastAsia"/>
                <w:kern w:val="0"/>
                <w:sz w:val="21"/>
                <w:szCs w:val="21"/>
              </w:rPr>
              <w:t></w:t>
            </w:r>
          </w:p>
        </w:tc>
        <w:tc>
          <w:tcPr>
            <w:tcW w:w="971" w:type="pct"/>
            <w:gridSpan w:val="7"/>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r>
              <w:rPr>
                <w:rFonts w:hint="eastAsia"/>
                <w:kern w:val="0"/>
                <w:sz w:val="21"/>
                <w:szCs w:val="21"/>
              </w:rPr>
              <w:sym w:font="Wingdings" w:char="00FE"/>
            </w:r>
            <w:r>
              <w:rPr>
                <w:rFonts w:hint="eastAsia"/>
                <w:kern w:val="0"/>
                <w:sz w:val="21"/>
                <w:szCs w:val="21"/>
              </w:rPr>
              <w:t></w:t>
            </w:r>
          </w:p>
        </w:tc>
        <w:tc>
          <w:tcPr>
            <w:tcW w:w="1514" w:type="pct"/>
            <w:gridSpan w:val="6"/>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一类区和二类区</w:t>
            </w:r>
            <w:r>
              <w:rPr>
                <w:rFonts w:hint="eastAsia"/>
                <w:kern w:val="0"/>
                <w:sz w:val="21"/>
                <w:szCs w:val="21"/>
              </w:rPr>
              <w:sym w:font="Wingdings" w:char="00A8"/>
            </w:r>
            <w:r>
              <w:rPr>
                <w:rFonts w:hint="eastAsia"/>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26"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65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环境基准年</w:t>
            </w:r>
          </w:p>
        </w:tc>
        <w:tc>
          <w:tcPr>
            <w:tcW w:w="4015" w:type="pct"/>
            <w:gridSpan w:val="19"/>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（2021）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68" w:hRule="atLeast"/>
          <w:jc w:val="center"/>
        </w:trPr>
        <w:tc>
          <w:tcPr>
            <w:tcW w:w="326"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65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环境空气质量现状调查数据来源</w:t>
            </w:r>
          </w:p>
        </w:tc>
        <w:tc>
          <w:tcPr>
            <w:tcW w:w="1530" w:type="pct"/>
            <w:gridSpan w:val="6"/>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长期例行监测数据</w:t>
            </w:r>
            <w:r>
              <w:rPr>
                <w:rFonts w:hint="eastAsia"/>
                <w:kern w:val="0"/>
                <w:sz w:val="21"/>
                <w:szCs w:val="21"/>
              </w:rPr>
              <w:sym w:font="Wingdings" w:char="00FE"/>
            </w:r>
            <w:r>
              <w:rPr>
                <w:rFonts w:hint="eastAsia"/>
                <w:kern w:val="0"/>
                <w:sz w:val="21"/>
                <w:szCs w:val="21"/>
              </w:rPr>
              <w:t></w:t>
            </w:r>
          </w:p>
        </w:tc>
        <w:tc>
          <w:tcPr>
            <w:tcW w:w="1919" w:type="pct"/>
            <w:gridSpan w:val="11"/>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主管部门发布的数据</w:t>
            </w:r>
            <w:r>
              <w:rPr>
                <w:rFonts w:hint="eastAsia"/>
                <w:kern w:val="0"/>
                <w:sz w:val="21"/>
                <w:szCs w:val="21"/>
              </w:rPr>
              <w:sym w:font="Wingdings" w:char="00FE"/>
            </w:r>
          </w:p>
        </w:tc>
        <w:tc>
          <w:tcPr>
            <w:tcW w:w="565"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现状补充监测</w:t>
            </w:r>
            <w:r>
              <w:rPr>
                <w:rFonts w:hint="eastAsia"/>
                <w:kern w:val="0"/>
                <w:sz w:val="21"/>
                <w:szCs w:val="21"/>
              </w:rPr>
              <w:sym w:font="Wingdings" w:char="00FE"/>
            </w:r>
            <w:r>
              <w:rPr>
                <w:rFonts w:hint="eastAsia"/>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26"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65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现状评估</w:t>
            </w:r>
          </w:p>
        </w:tc>
        <w:tc>
          <w:tcPr>
            <w:tcW w:w="2430" w:type="pct"/>
            <w:gridSpan w:val="1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达标区</w:t>
            </w:r>
            <w:r>
              <w:rPr>
                <w:rFonts w:hint="eastAsia"/>
                <w:kern w:val="0"/>
                <w:sz w:val="21"/>
                <w:szCs w:val="21"/>
              </w:rPr>
              <w:sym w:font="Wingdings" w:char="00A8"/>
            </w:r>
            <w:r>
              <w:rPr>
                <w:rFonts w:hint="eastAsia"/>
                <w:kern w:val="0"/>
                <w:sz w:val="21"/>
                <w:szCs w:val="21"/>
              </w:rPr>
              <w:t></w:t>
            </w:r>
          </w:p>
        </w:tc>
        <w:tc>
          <w:tcPr>
            <w:tcW w:w="1585" w:type="pct"/>
            <w:gridSpan w:val="7"/>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不达标区</w:t>
            </w:r>
            <w:r>
              <w:rPr>
                <w:rFonts w:hint="eastAsia"/>
                <w:kern w:val="0"/>
                <w:sz w:val="21"/>
                <w:szCs w:val="21"/>
              </w:rPr>
              <w:sym w:font="Wingdings" w:char="00FE"/>
            </w:r>
            <w:r>
              <w:rPr>
                <w:rFonts w:hint="eastAsia"/>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046" w:hRule="atLeast"/>
          <w:jc w:val="center"/>
        </w:trPr>
        <w:tc>
          <w:tcPr>
            <w:tcW w:w="326"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污染源调查</w:t>
            </w:r>
          </w:p>
        </w:tc>
        <w:tc>
          <w:tcPr>
            <w:tcW w:w="65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调查内容</w:t>
            </w:r>
          </w:p>
        </w:tc>
        <w:tc>
          <w:tcPr>
            <w:tcW w:w="1576" w:type="pct"/>
            <w:gridSpan w:val="7"/>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本项目正常排放源</w:t>
            </w:r>
            <w:r>
              <w:rPr>
                <w:rFonts w:hint="eastAsia"/>
                <w:kern w:val="0"/>
                <w:sz w:val="21"/>
                <w:szCs w:val="21"/>
              </w:rPr>
              <w:sym w:font="Wingdings" w:char="00FE"/>
            </w:r>
            <w:r>
              <w:rPr>
                <w:rFonts w:hint="eastAsia"/>
                <w:kern w:val="0"/>
                <w:sz w:val="21"/>
                <w:szCs w:val="21"/>
              </w:rPr>
              <w:t></w:t>
            </w:r>
          </w:p>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本项目非正常排放源</w:t>
            </w:r>
            <w:r>
              <w:rPr>
                <w:rFonts w:hint="eastAsia"/>
                <w:kern w:val="0"/>
                <w:sz w:val="21"/>
                <w:szCs w:val="21"/>
              </w:rPr>
              <w:sym w:font="Wingdings" w:char="00FE"/>
            </w:r>
          </w:p>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现有污染源</w:t>
            </w:r>
            <w:r>
              <w:rPr>
                <w:rFonts w:hint="eastAsia"/>
                <w:kern w:val="0"/>
                <w:sz w:val="21"/>
                <w:szCs w:val="21"/>
              </w:rPr>
              <w:sym w:font="Wingdings" w:char="00A8"/>
            </w:r>
            <w:r>
              <w:rPr>
                <w:rFonts w:hint="eastAsia"/>
                <w:kern w:val="0"/>
                <w:sz w:val="21"/>
                <w:szCs w:val="21"/>
              </w:rPr>
              <w:t></w:t>
            </w:r>
          </w:p>
        </w:tc>
        <w:tc>
          <w:tcPr>
            <w:tcW w:w="854" w:type="pct"/>
            <w:gridSpan w:val="5"/>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拟替代的污染源</w:t>
            </w:r>
            <w:r>
              <w:rPr>
                <w:rFonts w:hint="eastAsia"/>
                <w:kern w:val="0"/>
                <w:sz w:val="21"/>
                <w:szCs w:val="21"/>
              </w:rPr>
              <w:sym w:font="Wingdings" w:char="00FE"/>
            </w:r>
            <w:r>
              <w:rPr>
                <w:rFonts w:hint="eastAsia"/>
                <w:kern w:val="0"/>
                <w:sz w:val="21"/>
                <w:szCs w:val="21"/>
              </w:rPr>
              <w:t></w:t>
            </w:r>
          </w:p>
        </w:tc>
        <w:tc>
          <w:tcPr>
            <w:tcW w:w="1019" w:type="pct"/>
            <w:gridSpan w:val="5"/>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其他在建、拟建项目污染源</w:t>
            </w:r>
            <w:r>
              <w:rPr>
                <w:rFonts w:hint="eastAsia"/>
                <w:kern w:val="0"/>
                <w:sz w:val="21"/>
                <w:szCs w:val="21"/>
              </w:rPr>
              <w:sym w:font="Wingdings" w:char="00A8"/>
            </w:r>
            <w:r>
              <w:rPr>
                <w:rFonts w:hint="eastAsia"/>
                <w:kern w:val="0"/>
                <w:sz w:val="21"/>
                <w:szCs w:val="21"/>
              </w:rPr>
              <w:t></w:t>
            </w:r>
          </w:p>
        </w:tc>
        <w:tc>
          <w:tcPr>
            <w:tcW w:w="565"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区域污染源</w:t>
            </w:r>
            <w:r>
              <w:rPr>
                <w:rFonts w:hint="eastAsia"/>
                <w:kern w:val="0"/>
                <w:sz w:val="21"/>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68" w:hRule="atLeast"/>
          <w:jc w:val="center"/>
        </w:trPr>
        <w:tc>
          <w:tcPr>
            <w:tcW w:w="326" w:type="pct"/>
            <w:vMerge w:val="restar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大气环境影响预测与</w:t>
            </w:r>
          </w:p>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评价</w:t>
            </w:r>
          </w:p>
        </w:tc>
        <w:tc>
          <w:tcPr>
            <w:tcW w:w="65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预测模型</w:t>
            </w:r>
          </w:p>
        </w:tc>
        <w:tc>
          <w:tcPr>
            <w:tcW w:w="660"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AERMOD</w:t>
            </w:r>
            <w:r>
              <w:rPr>
                <w:rFonts w:hint="eastAsia"/>
                <w:kern w:val="0"/>
                <w:sz w:val="21"/>
                <w:szCs w:val="21"/>
              </w:rPr>
              <w:sym w:font="Wingdings" w:char="00FE"/>
            </w:r>
          </w:p>
        </w:tc>
        <w:tc>
          <w:tcPr>
            <w:tcW w:w="473"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ADMS</w:t>
            </w:r>
            <w:r>
              <w:rPr>
                <w:rFonts w:hint="eastAsia"/>
                <w:kern w:val="0"/>
                <w:sz w:val="21"/>
                <w:szCs w:val="21"/>
              </w:rPr>
              <w:sym w:font="Wingdings" w:char="00A8"/>
            </w:r>
          </w:p>
        </w:tc>
        <w:tc>
          <w:tcPr>
            <w:tcW w:w="831" w:type="pct"/>
            <w:gridSpan w:val="6"/>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AUSTAL2000</w:t>
            </w:r>
            <w:r>
              <w:rPr>
                <w:rFonts w:hint="eastAsia"/>
                <w:kern w:val="0"/>
                <w:sz w:val="21"/>
                <w:szCs w:val="21"/>
              </w:rPr>
              <w:sym w:font="Wingdings" w:char="00A8"/>
            </w:r>
          </w:p>
        </w:tc>
        <w:tc>
          <w:tcPr>
            <w:tcW w:w="819" w:type="pct"/>
            <w:gridSpan w:val="5"/>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EDMS/AEDT</w:t>
            </w:r>
            <w:r>
              <w:rPr>
                <w:rFonts w:hint="eastAsia"/>
                <w:kern w:val="0"/>
                <w:sz w:val="21"/>
                <w:szCs w:val="21"/>
              </w:rPr>
              <w:sym w:font="Wingdings" w:char="00A8"/>
            </w:r>
          </w:p>
        </w:tc>
        <w:tc>
          <w:tcPr>
            <w:tcW w:w="665" w:type="pct"/>
            <w:gridSpan w:val="3"/>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CALPUFF</w:t>
            </w:r>
            <w:r>
              <w:rPr>
                <w:rFonts w:hint="eastAsia"/>
                <w:kern w:val="0"/>
                <w:sz w:val="21"/>
                <w:szCs w:val="21"/>
              </w:rPr>
              <w:sym w:font="Wingdings" w:char="00A8"/>
            </w:r>
          </w:p>
        </w:tc>
        <w:tc>
          <w:tcPr>
            <w:tcW w:w="323"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网络模型</w:t>
            </w:r>
            <w:r>
              <w:rPr>
                <w:rFonts w:hint="eastAsia"/>
                <w:kern w:val="0"/>
                <w:sz w:val="21"/>
                <w:szCs w:val="21"/>
              </w:rPr>
              <w:sym w:font="Wingdings" w:char="00A8"/>
            </w:r>
          </w:p>
        </w:tc>
        <w:tc>
          <w:tcPr>
            <w:tcW w:w="242"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其他</w:t>
            </w:r>
            <w:r>
              <w:rPr>
                <w:rFonts w:hint="eastAsia"/>
                <w:kern w:val="0"/>
                <w:sz w:val="21"/>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26"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65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预测范围</w:t>
            </w:r>
          </w:p>
        </w:tc>
        <w:tc>
          <w:tcPr>
            <w:tcW w:w="1297" w:type="pct"/>
            <w:gridSpan w:val="4"/>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边长≥50km</w:t>
            </w:r>
            <w:r>
              <w:rPr>
                <w:rFonts w:hint="eastAsia"/>
                <w:kern w:val="0"/>
                <w:sz w:val="21"/>
                <w:szCs w:val="21"/>
              </w:rPr>
              <w:sym w:font="Wingdings" w:char="00A8"/>
            </w:r>
          </w:p>
        </w:tc>
        <w:tc>
          <w:tcPr>
            <w:tcW w:w="2152" w:type="pct"/>
            <w:gridSpan w:val="13"/>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边长5~50km</w:t>
            </w:r>
            <w:r>
              <w:rPr>
                <w:rFonts w:hint="eastAsia"/>
                <w:kern w:val="0"/>
                <w:sz w:val="21"/>
                <w:szCs w:val="21"/>
              </w:rPr>
              <w:sym w:font="Wingdings" w:char="00A8"/>
            </w:r>
            <w:r>
              <w:rPr>
                <w:rFonts w:hint="eastAsia"/>
                <w:kern w:val="0"/>
                <w:sz w:val="21"/>
                <w:szCs w:val="21"/>
              </w:rPr>
              <w:t xml:space="preserve"> </w:t>
            </w:r>
          </w:p>
        </w:tc>
        <w:tc>
          <w:tcPr>
            <w:tcW w:w="565"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 xml:space="preserve">边长=5km </w:t>
            </w:r>
            <w:r>
              <w:rPr>
                <w:rFonts w:hint="eastAsia"/>
                <w:kern w:val="0"/>
                <w:sz w:val="21"/>
                <w:szCs w:val="21"/>
              </w:rPr>
              <w:sym w:font="Wingdings" w:char="00FE"/>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68" w:hRule="atLeast"/>
          <w:jc w:val="center"/>
        </w:trPr>
        <w:tc>
          <w:tcPr>
            <w:tcW w:w="326"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65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预测因子</w:t>
            </w:r>
          </w:p>
        </w:tc>
        <w:tc>
          <w:tcPr>
            <w:tcW w:w="2501" w:type="pct"/>
            <w:gridSpan w:val="13"/>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rFonts w:hint="default" w:eastAsia="宋体"/>
                <w:kern w:val="0"/>
                <w:sz w:val="21"/>
                <w:szCs w:val="21"/>
                <w:lang w:val="en-US" w:eastAsia="zh-CN"/>
              </w:rPr>
            </w:pPr>
            <w:r>
              <w:rPr>
                <w:rFonts w:hint="eastAsia"/>
                <w:kern w:val="0"/>
                <w:sz w:val="21"/>
                <w:szCs w:val="21"/>
              </w:rPr>
              <w:t>预测因子TSP</w:t>
            </w:r>
            <w:r>
              <w:rPr>
                <w:rFonts w:hint="eastAsia"/>
                <w:kern w:val="0"/>
                <w:sz w:val="21"/>
                <w:szCs w:val="21"/>
                <w:lang w:eastAsia="zh-CN"/>
              </w:rPr>
              <w:t>、</w:t>
            </w:r>
            <w:r>
              <w:rPr>
                <w:rFonts w:hint="eastAsia"/>
                <w:kern w:val="0"/>
                <w:sz w:val="21"/>
                <w:szCs w:val="21"/>
                <w:lang w:val="en-US" w:eastAsia="zh-CN"/>
              </w:rPr>
              <w:t>PM</w:t>
            </w:r>
            <w:r>
              <w:rPr>
                <w:rFonts w:hint="eastAsia"/>
                <w:kern w:val="0"/>
                <w:sz w:val="21"/>
                <w:szCs w:val="21"/>
                <w:vertAlign w:val="subscript"/>
                <w:lang w:val="en-US" w:eastAsia="zh-CN"/>
              </w:rPr>
              <w:t>10</w:t>
            </w:r>
            <w:r>
              <w:rPr>
                <w:rFonts w:hint="eastAsia"/>
                <w:kern w:val="0"/>
                <w:sz w:val="21"/>
                <w:szCs w:val="21"/>
                <w:lang w:val="en-US" w:eastAsia="zh-CN"/>
              </w:rPr>
              <w:t>、PM</w:t>
            </w:r>
            <w:r>
              <w:rPr>
                <w:rFonts w:hint="eastAsia"/>
                <w:kern w:val="0"/>
                <w:sz w:val="21"/>
                <w:szCs w:val="21"/>
                <w:vertAlign w:val="subscript"/>
                <w:lang w:val="en-US" w:eastAsia="zh-CN"/>
              </w:rPr>
              <w:t>2.5</w:t>
            </w:r>
          </w:p>
        </w:tc>
        <w:tc>
          <w:tcPr>
            <w:tcW w:w="1514" w:type="pct"/>
            <w:gridSpan w:val="6"/>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包括二次PM</w:t>
            </w:r>
            <w:r>
              <w:rPr>
                <w:rFonts w:hint="eastAsia"/>
                <w:kern w:val="0"/>
                <w:sz w:val="21"/>
                <w:szCs w:val="21"/>
                <w:vertAlign w:val="subscript"/>
              </w:rPr>
              <w:t>2.5</w:t>
            </w:r>
            <w:r>
              <w:rPr>
                <w:rFonts w:hint="eastAsia"/>
                <w:kern w:val="0"/>
                <w:sz w:val="21"/>
                <w:szCs w:val="21"/>
              </w:rPr>
              <w:t> </w:t>
            </w:r>
            <w:r>
              <w:rPr>
                <w:rFonts w:hint="eastAsia"/>
                <w:kern w:val="0"/>
                <w:sz w:val="21"/>
                <w:szCs w:val="21"/>
              </w:rPr>
              <w:sym w:font="Wingdings" w:char="00A8"/>
            </w:r>
          </w:p>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不包括二次PM</w:t>
            </w:r>
            <w:r>
              <w:rPr>
                <w:rFonts w:hint="eastAsia"/>
                <w:kern w:val="0"/>
                <w:sz w:val="21"/>
                <w:szCs w:val="21"/>
                <w:vertAlign w:val="subscript"/>
              </w:rPr>
              <w:t>2.5</w:t>
            </w:r>
            <w:r>
              <w:rPr>
                <w:rFonts w:hint="eastAsia"/>
                <w:kern w:val="0"/>
                <w:sz w:val="21"/>
                <w:szCs w:val="21"/>
              </w:rPr>
              <w:sym w:font="Wingdings" w:char="00FE"/>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68" w:hRule="atLeast"/>
          <w:jc w:val="center"/>
        </w:trPr>
        <w:tc>
          <w:tcPr>
            <w:tcW w:w="326"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65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正常排放短期浓度贡献值</w:t>
            </w:r>
          </w:p>
        </w:tc>
        <w:tc>
          <w:tcPr>
            <w:tcW w:w="2501" w:type="pct"/>
            <w:gridSpan w:val="13"/>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C本项目最大占标率≤100%</w:t>
            </w:r>
            <w:r>
              <w:rPr>
                <w:rFonts w:hint="eastAsia"/>
                <w:kern w:val="0"/>
                <w:sz w:val="21"/>
                <w:szCs w:val="21"/>
              </w:rPr>
              <w:sym w:font="Wingdings" w:char="00FE"/>
            </w:r>
          </w:p>
        </w:tc>
        <w:tc>
          <w:tcPr>
            <w:tcW w:w="1514" w:type="pct"/>
            <w:gridSpan w:val="6"/>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C本项目最大占标率＞100%</w:t>
            </w:r>
            <w:r>
              <w:rPr>
                <w:rFonts w:hint="eastAsia"/>
                <w:kern w:val="0"/>
                <w:sz w:val="21"/>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9" w:hRule="atLeast"/>
          <w:jc w:val="center"/>
        </w:trPr>
        <w:tc>
          <w:tcPr>
            <w:tcW w:w="326"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657" w:type="pct"/>
            <w:vMerge w:val="restar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正常排放年均浓度贡献值</w:t>
            </w:r>
          </w:p>
        </w:tc>
        <w:tc>
          <w:tcPr>
            <w:tcW w:w="1019"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一类区</w:t>
            </w:r>
          </w:p>
        </w:tc>
        <w:tc>
          <w:tcPr>
            <w:tcW w:w="1482" w:type="pct"/>
            <w:gridSpan w:val="11"/>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C本项目最大占标率≤10%</w:t>
            </w:r>
            <w:r>
              <w:rPr>
                <w:rFonts w:hint="eastAsia"/>
                <w:kern w:val="0"/>
                <w:sz w:val="21"/>
                <w:szCs w:val="21"/>
              </w:rPr>
              <w:sym w:font="Wingdings" w:char="00A8"/>
            </w:r>
          </w:p>
        </w:tc>
        <w:tc>
          <w:tcPr>
            <w:tcW w:w="1514" w:type="pct"/>
            <w:gridSpan w:val="6"/>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C本项目最大占标率＞10%</w:t>
            </w:r>
            <w:r>
              <w:rPr>
                <w:rFonts w:hint="eastAsia"/>
                <w:kern w:val="0"/>
                <w:sz w:val="21"/>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04" w:hRule="atLeast"/>
          <w:jc w:val="center"/>
        </w:trPr>
        <w:tc>
          <w:tcPr>
            <w:tcW w:w="326"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657"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1019"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二类区</w:t>
            </w:r>
          </w:p>
        </w:tc>
        <w:tc>
          <w:tcPr>
            <w:tcW w:w="1482" w:type="pct"/>
            <w:gridSpan w:val="11"/>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C本项目最大占标率≤30%</w:t>
            </w:r>
            <w:r>
              <w:rPr>
                <w:rFonts w:hint="eastAsia"/>
                <w:kern w:val="0"/>
                <w:sz w:val="21"/>
                <w:szCs w:val="21"/>
              </w:rPr>
              <w:sym w:font="Wingdings" w:char="00FE"/>
            </w:r>
          </w:p>
        </w:tc>
        <w:tc>
          <w:tcPr>
            <w:tcW w:w="1514" w:type="pct"/>
            <w:gridSpan w:val="6"/>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C本项目最大占标率＞30%</w:t>
            </w:r>
            <w:r>
              <w:rPr>
                <w:rFonts w:hint="eastAsia"/>
                <w:kern w:val="0"/>
                <w:sz w:val="21"/>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68" w:hRule="atLeast"/>
          <w:jc w:val="center"/>
        </w:trPr>
        <w:tc>
          <w:tcPr>
            <w:tcW w:w="326"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65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非正常排放1h浓度贡献值</w:t>
            </w:r>
          </w:p>
        </w:tc>
        <w:tc>
          <w:tcPr>
            <w:tcW w:w="1297" w:type="pct"/>
            <w:gridSpan w:val="4"/>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非正常持续时长（1）h</w:t>
            </w:r>
          </w:p>
        </w:tc>
        <w:tc>
          <w:tcPr>
            <w:tcW w:w="1203" w:type="pct"/>
            <w:gridSpan w:val="9"/>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C非正常占标率≤100%</w:t>
            </w:r>
            <w:r>
              <w:rPr>
                <w:rFonts w:hint="eastAsia"/>
                <w:kern w:val="0"/>
                <w:sz w:val="21"/>
                <w:szCs w:val="21"/>
              </w:rPr>
              <w:sym w:font="Wingdings" w:char="00A8"/>
            </w:r>
          </w:p>
        </w:tc>
        <w:tc>
          <w:tcPr>
            <w:tcW w:w="1514" w:type="pct"/>
            <w:gridSpan w:val="6"/>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C非正常占标率＞100%</w:t>
            </w:r>
            <w:r>
              <w:rPr>
                <w:rFonts w:hint="eastAsia"/>
                <w:kern w:val="0"/>
                <w:sz w:val="21"/>
                <w:szCs w:val="21"/>
              </w:rPr>
              <w:sym w:font="Wingdings" w:char="00FE"/>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68" w:hRule="atLeast"/>
          <w:jc w:val="center"/>
        </w:trPr>
        <w:tc>
          <w:tcPr>
            <w:tcW w:w="326"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65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保证率日平均浓度和年平均浓度叠加值</w:t>
            </w:r>
          </w:p>
        </w:tc>
        <w:tc>
          <w:tcPr>
            <w:tcW w:w="2310" w:type="pct"/>
            <w:gridSpan w:val="11"/>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C叠加达标</w:t>
            </w:r>
            <w:r>
              <w:rPr>
                <w:rFonts w:hint="eastAsia"/>
                <w:kern w:val="0"/>
                <w:sz w:val="21"/>
                <w:szCs w:val="21"/>
              </w:rPr>
              <w:sym w:font="Wingdings" w:char="00FE"/>
            </w:r>
          </w:p>
        </w:tc>
        <w:tc>
          <w:tcPr>
            <w:tcW w:w="1704" w:type="pct"/>
            <w:gridSpan w:val="8"/>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C叠加不达标</w:t>
            </w:r>
            <w:r>
              <w:rPr>
                <w:rFonts w:hint="eastAsia"/>
                <w:kern w:val="0"/>
                <w:sz w:val="21"/>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68" w:hRule="atLeast"/>
          <w:jc w:val="center"/>
        </w:trPr>
        <w:tc>
          <w:tcPr>
            <w:tcW w:w="326"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65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区域环境质量的整体变化情况</w:t>
            </w:r>
          </w:p>
        </w:tc>
        <w:tc>
          <w:tcPr>
            <w:tcW w:w="2310" w:type="pct"/>
            <w:gridSpan w:val="11"/>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ｋ≤-20%</w:t>
            </w:r>
            <w:r>
              <w:rPr>
                <w:rFonts w:hint="eastAsia"/>
                <w:kern w:val="0"/>
                <w:sz w:val="21"/>
                <w:szCs w:val="21"/>
              </w:rPr>
              <w:sym w:font="Wingdings" w:char="00A8"/>
            </w:r>
          </w:p>
        </w:tc>
        <w:tc>
          <w:tcPr>
            <w:tcW w:w="1704" w:type="pct"/>
            <w:gridSpan w:val="8"/>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ｋ＞-20%</w:t>
            </w:r>
            <w:r>
              <w:rPr>
                <w:rFonts w:hint="eastAsia"/>
                <w:kern w:val="0"/>
                <w:sz w:val="21"/>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68" w:hRule="atLeast"/>
          <w:jc w:val="center"/>
        </w:trPr>
        <w:tc>
          <w:tcPr>
            <w:tcW w:w="326" w:type="pct"/>
            <w:vMerge w:val="restar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环境监测计划</w:t>
            </w:r>
          </w:p>
        </w:tc>
        <w:tc>
          <w:tcPr>
            <w:tcW w:w="65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污染源监测</w:t>
            </w:r>
          </w:p>
        </w:tc>
        <w:tc>
          <w:tcPr>
            <w:tcW w:w="2019" w:type="pct"/>
            <w:gridSpan w:val="10"/>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监测因子：颗粒物</w:t>
            </w:r>
          </w:p>
        </w:tc>
        <w:tc>
          <w:tcPr>
            <w:tcW w:w="1430" w:type="pct"/>
            <w:gridSpan w:val="7"/>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有组织废气监测</w:t>
            </w:r>
            <w:r>
              <w:rPr>
                <w:rFonts w:hint="eastAsia"/>
                <w:kern w:val="0"/>
                <w:sz w:val="21"/>
                <w:szCs w:val="21"/>
              </w:rPr>
              <w:sym w:font="Wingdings" w:char="00A8"/>
            </w:r>
          </w:p>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无组织废气监测</w:t>
            </w:r>
            <w:r>
              <w:rPr>
                <w:rFonts w:hint="eastAsia"/>
                <w:kern w:val="0"/>
                <w:sz w:val="21"/>
                <w:szCs w:val="21"/>
              </w:rPr>
              <w:sym w:font="Wingdings" w:char="00A8"/>
            </w:r>
          </w:p>
        </w:tc>
        <w:tc>
          <w:tcPr>
            <w:tcW w:w="565"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无监测</w:t>
            </w:r>
            <w:r>
              <w:rPr>
                <w:rFonts w:hint="eastAsia"/>
                <w:kern w:val="0"/>
                <w:sz w:val="21"/>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26"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65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环境质量监测</w:t>
            </w:r>
          </w:p>
        </w:tc>
        <w:tc>
          <w:tcPr>
            <w:tcW w:w="2019" w:type="pct"/>
            <w:gridSpan w:val="10"/>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监测因子：TSP</w:t>
            </w:r>
          </w:p>
        </w:tc>
        <w:tc>
          <w:tcPr>
            <w:tcW w:w="1430" w:type="pct"/>
            <w:gridSpan w:val="7"/>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监测点位数（4）</w:t>
            </w:r>
          </w:p>
        </w:tc>
        <w:tc>
          <w:tcPr>
            <w:tcW w:w="565"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无监测</w:t>
            </w:r>
            <w:r>
              <w:rPr>
                <w:rFonts w:hint="eastAsia"/>
                <w:kern w:val="0"/>
                <w:sz w:val="21"/>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26" w:type="pct"/>
            <w:vMerge w:val="restar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评价结论</w:t>
            </w:r>
          </w:p>
        </w:tc>
        <w:tc>
          <w:tcPr>
            <w:tcW w:w="65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环境影响</w:t>
            </w:r>
          </w:p>
        </w:tc>
        <w:tc>
          <w:tcPr>
            <w:tcW w:w="4015" w:type="pct"/>
            <w:gridSpan w:val="19"/>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可以接受</w:t>
            </w:r>
            <w:r>
              <w:rPr>
                <w:rFonts w:hint="eastAsia"/>
                <w:kern w:val="0"/>
                <w:sz w:val="21"/>
                <w:szCs w:val="21"/>
              </w:rPr>
              <w:sym w:font="Wingdings" w:char="00FE"/>
            </w:r>
            <w:r>
              <w:rPr>
                <w:rFonts w:hint="eastAsia"/>
                <w:kern w:val="0"/>
                <w:sz w:val="21"/>
                <w:szCs w:val="21"/>
              </w:rPr>
              <w:t xml:space="preserve">                     不可以接受</w:t>
            </w:r>
            <w:r>
              <w:rPr>
                <w:rFonts w:hint="eastAsia"/>
                <w:kern w:val="0"/>
                <w:sz w:val="21"/>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26"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657" w:type="pc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大气环境防护距离</w:t>
            </w:r>
          </w:p>
        </w:tc>
        <w:tc>
          <w:tcPr>
            <w:tcW w:w="4015" w:type="pct"/>
            <w:gridSpan w:val="19"/>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26"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657" w:type="pct"/>
            <w:vMerge w:val="restart"/>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污染源年排放量</w:t>
            </w:r>
          </w:p>
        </w:tc>
        <w:tc>
          <w:tcPr>
            <w:tcW w:w="1019"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颗粒物：8.039t/a</w:t>
            </w:r>
          </w:p>
        </w:tc>
        <w:tc>
          <w:tcPr>
            <w:tcW w:w="946" w:type="pct"/>
            <w:gridSpan w:val="7"/>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PM</w:t>
            </w:r>
            <w:r>
              <w:rPr>
                <w:rFonts w:hint="eastAsia"/>
                <w:kern w:val="0"/>
                <w:sz w:val="21"/>
                <w:szCs w:val="21"/>
                <w:vertAlign w:val="subscript"/>
              </w:rPr>
              <w:t>10</w:t>
            </w:r>
            <w:r>
              <w:rPr>
                <w:rFonts w:hint="eastAsia"/>
                <w:kern w:val="0"/>
                <w:sz w:val="21"/>
                <w:szCs w:val="21"/>
              </w:rPr>
              <w:t>0.095 t/a</w:t>
            </w:r>
          </w:p>
        </w:tc>
        <w:tc>
          <w:tcPr>
            <w:tcW w:w="819" w:type="pct"/>
            <w:gridSpan w:val="5"/>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PM</w:t>
            </w:r>
            <w:r>
              <w:rPr>
                <w:rFonts w:hint="eastAsia"/>
                <w:kern w:val="0"/>
                <w:sz w:val="21"/>
                <w:szCs w:val="21"/>
                <w:vertAlign w:val="subscript"/>
              </w:rPr>
              <w:t>2.5</w:t>
            </w:r>
            <w:r>
              <w:rPr>
                <w:rFonts w:hint="eastAsia"/>
                <w:kern w:val="0"/>
                <w:sz w:val="21"/>
                <w:szCs w:val="21"/>
              </w:rPr>
              <w:t>0.033t/a</w:t>
            </w:r>
          </w:p>
        </w:tc>
        <w:tc>
          <w:tcPr>
            <w:tcW w:w="562"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SO</w:t>
            </w:r>
            <w:r>
              <w:rPr>
                <w:rFonts w:hint="eastAsia"/>
                <w:kern w:val="0"/>
                <w:sz w:val="21"/>
                <w:szCs w:val="21"/>
                <w:vertAlign w:val="subscript"/>
              </w:rPr>
              <w:t>2</w:t>
            </w:r>
            <w:r>
              <w:rPr>
                <w:rFonts w:hint="eastAsia"/>
                <w:kern w:val="0"/>
                <w:sz w:val="21"/>
                <w:szCs w:val="21"/>
              </w:rPr>
              <w:t>0.001kg/a</w:t>
            </w:r>
          </w:p>
        </w:tc>
        <w:tc>
          <w:tcPr>
            <w:tcW w:w="668" w:type="pct"/>
            <w:gridSpan w:val="3"/>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NO</w:t>
            </w:r>
            <w:r>
              <w:rPr>
                <w:rFonts w:hint="eastAsia"/>
                <w:kern w:val="0"/>
                <w:sz w:val="21"/>
                <w:szCs w:val="21"/>
                <w:vertAlign w:val="subscript"/>
              </w:rPr>
              <w:t>2</w:t>
            </w:r>
            <w:r>
              <w:rPr>
                <w:rFonts w:hint="eastAsia"/>
                <w:kern w:val="0"/>
                <w:sz w:val="21"/>
                <w:szCs w:val="21"/>
              </w:rPr>
              <w:t>84.18kg/a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326"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657" w:type="pct"/>
            <w:vMerge w:val="continue"/>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1019"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CO:39.23 kg/a</w:t>
            </w:r>
          </w:p>
        </w:tc>
        <w:tc>
          <w:tcPr>
            <w:tcW w:w="946" w:type="pct"/>
            <w:gridSpan w:val="7"/>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HC:2.3 kg/a</w:t>
            </w:r>
          </w:p>
        </w:tc>
        <w:tc>
          <w:tcPr>
            <w:tcW w:w="819" w:type="pct"/>
            <w:gridSpan w:val="5"/>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562" w:type="pct"/>
            <w:gridSpan w:val="2"/>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c>
          <w:tcPr>
            <w:tcW w:w="668" w:type="pct"/>
            <w:gridSpan w:val="3"/>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8" w:hRule="atLeast"/>
          <w:jc w:val="center"/>
        </w:trPr>
        <w:tc>
          <w:tcPr>
            <w:tcW w:w="5000" w:type="pct"/>
            <w:gridSpan w:val="21"/>
            <w:tcBorders>
              <w:tl2br w:val="nil"/>
              <w:tr2bl w:val="nil"/>
            </w:tcBorders>
            <w:vAlign w:val="center"/>
          </w:tcPr>
          <w:p>
            <w:pPr>
              <w:tabs>
                <w:tab w:val="clear" w:pos="480"/>
              </w:tabs>
              <w:kinsoku w:val="0"/>
              <w:overflowPunct w:val="0"/>
              <w:autoSpaceDE w:val="0"/>
              <w:autoSpaceDN w:val="0"/>
              <w:adjustRightInd w:val="0"/>
              <w:spacing w:line="240" w:lineRule="atLeast"/>
              <w:ind w:firstLine="0" w:firstLineChars="0"/>
              <w:jc w:val="center"/>
              <w:rPr>
                <w:kern w:val="0"/>
                <w:sz w:val="21"/>
                <w:szCs w:val="21"/>
              </w:rPr>
            </w:pPr>
            <w:r>
              <w:rPr>
                <w:rFonts w:hint="eastAsia"/>
                <w:kern w:val="0"/>
                <w:sz w:val="21"/>
                <w:szCs w:val="21"/>
              </w:rPr>
              <w:t>注：“  ”为勾选项，填“ √ ”；“ （    ） ”为内容填写项</w:t>
            </w:r>
          </w:p>
        </w:tc>
      </w:tr>
    </w:tbl>
    <w:p>
      <w:pPr>
        <w:pStyle w:val="453"/>
        <w:ind w:firstLine="643" w:firstLineChars="0"/>
        <w:rPr>
          <w:rFonts w:ascii="Times New Roman" w:cs="Times New Roman"/>
        </w:rPr>
      </w:pPr>
      <w:bookmarkStart w:id="209" w:name="_Toc106697023"/>
      <w:bookmarkStart w:id="210" w:name="_Toc15042"/>
      <w:bookmarkStart w:id="211" w:name="_Toc7429"/>
      <w:r>
        <w:rPr>
          <w:rFonts w:ascii="Times New Roman" w:cs="Times New Roman"/>
        </w:rPr>
        <w:t>声环境影响预测与评价</w:t>
      </w:r>
      <w:bookmarkEnd w:id="209"/>
      <w:bookmarkEnd w:id="210"/>
      <w:bookmarkEnd w:id="211"/>
    </w:p>
    <w:p>
      <w:pPr>
        <w:pStyle w:val="454"/>
        <w:ind w:firstLine="602"/>
        <w:rPr>
          <w:color w:val="auto"/>
        </w:rPr>
      </w:pPr>
      <w:r>
        <w:rPr>
          <w:color w:val="auto"/>
        </w:rPr>
        <w:t>施工期声环境影响预测与评价</w:t>
      </w:r>
    </w:p>
    <w:p>
      <w:pPr>
        <w:ind w:firstLine="480"/>
      </w:pPr>
      <w:r>
        <w:t>工程施工期噪声源主要有打桩船、混凝土振捣器、输送泵、挖掘机、运输车辆等产生的噪声，其不同时期使用的设备及噪声源见下表。</w:t>
      </w:r>
    </w:p>
    <w:p>
      <w:pPr>
        <w:ind w:firstLine="480"/>
      </w:pPr>
      <w:r>
        <w:t>施工期噪声源近似视为点声源，根据《环境影响评价技术导则 声环境》（HJ 2.4-2021），噪声衰减公式如下：</w:t>
      </w:r>
    </w:p>
    <w:p>
      <w:pPr>
        <w:ind w:firstLine="1200" w:firstLineChars="500"/>
        <w:rPr>
          <w:i/>
          <w:iCs/>
          <w:spacing w:val="3"/>
        </w:rPr>
      </w:pPr>
      <w:r>
        <w:t>L（r）=L（r</w:t>
      </w:r>
      <w:r>
        <w:rPr>
          <w:vertAlign w:val="subscript"/>
        </w:rPr>
        <w:t>0</w:t>
      </w:r>
      <w:r>
        <w:t>）－20lg(r/r</w:t>
      </w:r>
      <w:r>
        <w:rPr>
          <w:vertAlign w:val="subscript"/>
        </w:rPr>
        <w:t>0</w:t>
      </w:r>
      <w:r>
        <w:t>)</w:t>
      </w:r>
    </w:p>
    <w:p>
      <w:pPr>
        <w:ind w:firstLine="480"/>
      </w:pPr>
      <w:r>
        <w:t>式中：L(r)——距噪声源r处噪声级，dB(A)；</w:t>
      </w:r>
    </w:p>
    <w:p>
      <w:pPr>
        <w:ind w:firstLine="1200" w:firstLineChars="500"/>
      </w:pPr>
      <w:r>
        <w:t>L(r</w:t>
      </w:r>
      <w:r>
        <w:rPr>
          <w:vertAlign w:val="subscript"/>
        </w:rPr>
        <w:t>0</w:t>
      </w:r>
      <w:r>
        <w:t>)——距噪声源r</w:t>
      </w:r>
      <w:r>
        <w:rPr>
          <w:vertAlign w:val="subscript"/>
        </w:rPr>
        <w:t>0</w:t>
      </w:r>
      <w:r>
        <w:t>处噪声级，dB(A)；</w:t>
      </w:r>
    </w:p>
    <w:p>
      <w:pPr>
        <w:ind w:firstLine="1200" w:firstLineChars="500"/>
      </w:pPr>
      <w:r>
        <w:t>r</w:t>
      </w:r>
      <w:r>
        <w:rPr>
          <w:vertAlign w:val="subscript"/>
        </w:rPr>
        <w:t>0</w:t>
      </w:r>
      <w:r>
        <w:t>、r——距声源的距离，m；</w:t>
      </w:r>
    </w:p>
    <w:p>
      <w:pPr>
        <w:ind w:firstLine="480"/>
      </w:pPr>
      <w:r>
        <w:t>通过上式计算出施工机械噪声对环境的影响范围，见下表。</w:t>
      </w:r>
    </w:p>
    <w:p>
      <w:pPr>
        <w:pStyle w:val="3586"/>
        <w:ind w:left="0"/>
      </w:pPr>
      <w:r>
        <w:t>各类施工机械在不同距离处的噪声预测值</w:t>
      </w:r>
    </w:p>
    <w:p>
      <w:pPr>
        <w:tabs>
          <w:tab w:val="clear" w:pos="480"/>
        </w:tabs>
        <w:kinsoku w:val="0"/>
        <w:overflowPunct w:val="0"/>
        <w:autoSpaceDE w:val="0"/>
        <w:autoSpaceDN w:val="0"/>
        <w:adjustRightInd w:val="0"/>
        <w:spacing w:before="8" w:line="10" w:lineRule="exact"/>
        <w:ind w:firstLine="0" w:firstLineChars="0"/>
        <w:jc w:val="left"/>
        <w:rPr>
          <w:kern w:val="0"/>
          <w:sz w:val="2"/>
          <w:szCs w:val="2"/>
        </w:rPr>
      </w:pPr>
    </w:p>
    <w:tbl>
      <w:tblPr>
        <w:tblStyle w:val="3596"/>
        <w:tblW w:w="48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32"/>
        <w:gridCol w:w="1277"/>
        <w:gridCol w:w="713"/>
        <w:gridCol w:w="713"/>
        <w:gridCol w:w="713"/>
        <w:gridCol w:w="713"/>
        <w:gridCol w:w="841"/>
        <w:gridCol w:w="839"/>
        <w:gridCol w:w="842"/>
        <w:gridCol w:w="7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4" w:hRule="exact"/>
          <w:jc w:val="center"/>
        </w:trPr>
        <w:tc>
          <w:tcPr>
            <w:tcW w:w="952" w:type="pct"/>
            <w:vMerge w:val="restart"/>
            <w:vAlign w:val="center"/>
          </w:tcPr>
          <w:p>
            <w:pPr>
              <w:pStyle w:val="2691"/>
            </w:pPr>
            <w:r>
              <w:t>机械名称</w:t>
            </w:r>
          </w:p>
        </w:tc>
        <w:tc>
          <w:tcPr>
            <w:tcW w:w="702" w:type="pct"/>
            <w:vMerge w:val="restart"/>
            <w:vAlign w:val="center"/>
          </w:tcPr>
          <w:p>
            <w:pPr>
              <w:pStyle w:val="2691"/>
            </w:pPr>
            <w:r>
              <w:t>声级测值</w:t>
            </w:r>
          </w:p>
          <w:p>
            <w:pPr>
              <w:pStyle w:val="2691"/>
            </w:pPr>
            <w:r>
              <w:t>dB（A）</w:t>
            </w:r>
          </w:p>
        </w:tc>
        <w:tc>
          <w:tcPr>
            <w:tcW w:w="3345" w:type="pct"/>
            <w:gridSpan w:val="8"/>
            <w:vAlign w:val="center"/>
          </w:tcPr>
          <w:p>
            <w:pPr>
              <w:pStyle w:val="2691"/>
            </w:pPr>
            <w:r>
              <w:t>噪声预测值dB（A）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4" w:hRule="exact"/>
          <w:jc w:val="center"/>
        </w:trPr>
        <w:tc>
          <w:tcPr>
            <w:tcW w:w="952" w:type="pct"/>
            <w:vMerge w:val="continue"/>
            <w:vAlign w:val="center"/>
          </w:tcPr>
          <w:p>
            <w:pPr>
              <w:pStyle w:val="2691"/>
            </w:pPr>
          </w:p>
        </w:tc>
        <w:tc>
          <w:tcPr>
            <w:tcW w:w="702" w:type="pct"/>
            <w:vMerge w:val="continue"/>
            <w:vAlign w:val="center"/>
          </w:tcPr>
          <w:p>
            <w:pPr>
              <w:pStyle w:val="2691"/>
            </w:pPr>
          </w:p>
        </w:tc>
        <w:tc>
          <w:tcPr>
            <w:tcW w:w="392" w:type="pct"/>
            <w:vAlign w:val="center"/>
          </w:tcPr>
          <w:p>
            <w:pPr>
              <w:pStyle w:val="2691"/>
            </w:pPr>
            <w:r>
              <w:t>20m</w:t>
            </w:r>
          </w:p>
        </w:tc>
        <w:tc>
          <w:tcPr>
            <w:tcW w:w="392" w:type="pct"/>
            <w:vAlign w:val="center"/>
          </w:tcPr>
          <w:p>
            <w:pPr>
              <w:pStyle w:val="2691"/>
            </w:pPr>
            <w:r>
              <w:t>40m</w:t>
            </w:r>
          </w:p>
        </w:tc>
        <w:tc>
          <w:tcPr>
            <w:tcW w:w="392" w:type="pct"/>
            <w:vAlign w:val="center"/>
          </w:tcPr>
          <w:p>
            <w:pPr>
              <w:pStyle w:val="2691"/>
            </w:pPr>
            <w:r>
              <w:t>60m</w:t>
            </w:r>
          </w:p>
        </w:tc>
        <w:tc>
          <w:tcPr>
            <w:tcW w:w="392" w:type="pct"/>
            <w:vAlign w:val="center"/>
          </w:tcPr>
          <w:p>
            <w:pPr>
              <w:pStyle w:val="2691"/>
            </w:pPr>
            <w:r>
              <w:t>80m</w:t>
            </w:r>
          </w:p>
        </w:tc>
        <w:tc>
          <w:tcPr>
            <w:tcW w:w="462" w:type="pct"/>
            <w:vAlign w:val="center"/>
          </w:tcPr>
          <w:p>
            <w:pPr>
              <w:pStyle w:val="2691"/>
            </w:pPr>
            <w:r>
              <w:t>100m</w:t>
            </w:r>
          </w:p>
        </w:tc>
        <w:tc>
          <w:tcPr>
            <w:tcW w:w="461" w:type="pct"/>
            <w:vAlign w:val="center"/>
          </w:tcPr>
          <w:p>
            <w:pPr>
              <w:pStyle w:val="2691"/>
            </w:pPr>
            <w:r>
              <w:t>150m</w:t>
            </w:r>
          </w:p>
        </w:tc>
        <w:tc>
          <w:tcPr>
            <w:tcW w:w="462" w:type="pct"/>
            <w:vAlign w:val="center"/>
          </w:tcPr>
          <w:p>
            <w:pPr>
              <w:pStyle w:val="2691"/>
            </w:pPr>
            <w:r>
              <w:t>200m</w:t>
            </w:r>
          </w:p>
        </w:tc>
        <w:tc>
          <w:tcPr>
            <w:tcW w:w="388" w:type="pct"/>
            <w:vAlign w:val="center"/>
          </w:tcPr>
          <w:p>
            <w:pPr>
              <w:pStyle w:val="2691"/>
            </w:pPr>
            <w:r>
              <w:t>315m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exact"/>
          <w:jc w:val="center"/>
        </w:trPr>
        <w:tc>
          <w:tcPr>
            <w:tcW w:w="952" w:type="pct"/>
            <w:vAlign w:val="center"/>
          </w:tcPr>
          <w:p>
            <w:pPr>
              <w:pStyle w:val="2691"/>
            </w:pPr>
            <w:r>
              <w:t>打桩船</w:t>
            </w:r>
          </w:p>
        </w:tc>
        <w:tc>
          <w:tcPr>
            <w:tcW w:w="702" w:type="pct"/>
            <w:vAlign w:val="center"/>
          </w:tcPr>
          <w:p>
            <w:pPr>
              <w:pStyle w:val="2691"/>
            </w:pPr>
            <w:r>
              <w:t>100</w:t>
            </w:r>
          </w:p>
        </w:tc>
        <w:tc>
          <w:tcPr>
            <w:tcW w:w="392" w:type="pct"/>
            <w:vAlign w:val="center"/>
          </w:tcPr>
          <w:p>
            <w:pPr>
              <w:pStyle w:val="2691"/>
            </w:pPr>
            <w:r>
              <w:t>74.0</w:t>
            </w:r>
          </w:p>
        </w:tc>
        <w:tc>
          <w:tcPr>
            <w:tcW w:w="392" w:type="pct"/>
            <w:vAlign w:val="center"/>
          </w:tcPr>
          <w:p>
            <w:pPr>
              <w:pStyle w:val="2691"/>
            </w:pPr>
            <w:r>
              <w:t>68.0</w:t>
            </w:r>
          </w:p>
        </w:tc>
        <w:tc>
          <w:tcPr>
            <w:tcW w:w="392" w:type="pct"/>
            <w:vAlign w:val="center"/>
          </w:tcPr>
          <w:p>
            <w:pPr>
              <w:pStyle w:val="2691"/>
            </w:pPr>
            <w:r>
              <w:t>64.4</w:t>
            </w:r>
          </w:p>
        </w:tc>
        <w:tc>
          <w:tcPr>
            <w:tcW w:w="392" w:type="pct"/>
            <w:vAlign w:val="center"/>
          </w:tcPr>
          <w:p>
            <w:pPr>
              <w:pStyle w:val="2691"/>
            </w:pPr>
            <w:r>
              <w:t>61.9</w:t>
            </w:r>
          </w:p>
        </w:tc>
        <w:tc>
          <w:tcPr>
            <w:tcW w:w="462" w:type="pct"/>
            <w:vAlign w:val="center"/>
          </w:tcPr>
          <w:p>
            <w:pPr>
              <w:pStyle w:val="2691"/>
            </w:pPr>
            <w:r>
              <w:t>60.0</w:t>
            </w:r>
          </w:p>
        </w:tc>
        <w:tc>
          <w:tcPr>
            <w:tcW w:w="461" w:type="pct"/>
            <w:vAlign w:val="center"/>
          </w:tcPr>
          <w:p>
            <w:pPr>
              <w:pStyle w:val="2691"/>
            </w:pPr>
            <w:r>
              <w:t>56.5</w:t>
            </w:r>
          </w:p>
        </w:tc>
        <w:tc>
          <w:tcPr>
            <w:tcW w:w="462" w:type="pct"/>
            <w:vAlign w:val="center"/>
          </w:tcPr>
          <w:p>
            <w:pPr>
              <w:pStyle w:val="2691"/>
            </w:pPr>
            <w:r>
              <w:t>54.0</w:t>
            </w:r>
          </w:p>
        </w:tc>
        <w:tc>
          <w:tcPr>
            <w:tcW w:w="388" w:type="pct"/>
            <w:vAlign w:val="center"/>
          </w:tcPr>
          <w:p>
            <w:pPr>
              <w:pStyle w:val="2691"/>
            </w:pPr>
            <w:r>
              <w:t>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exact"/>
          <w:jc w:val="center"/>
        </w:trPr>
        <w:tc>
          <w:tcPr>
            <w:tcW w:w="952" w:type="pct"/>
            <w:vAlign w:val="center"/>
          </w:tcPr>
          <w:p>
            <w:pPr>
              <w:pStyle w:val="2691"/>
            </w:pPr>
            <w:r>
              <w:t>混凝土输送泵</w:t>
            </w:r>
          </w:p>
        </w:tc>
        <w:tc>
          <w:tcPr>
            <w:tcW w:w="702" w:type="pct"/>
            <w:vAlign w:val="center"/>
          </w:tcPr>
          <w:p>
            <w:pPr>
              <w:pStyle w:val="2691"/>
            </w:pPr>
            <w:r>
              <w:t>80</w:t>
            </w:r>
          </w:p>
        </w:tc>
        <w:tc>
          <w:tcPr>
            <w:tcW w:w="392" w:type="pct"/>
            <w:vAlign w:val="center"/>
          </w:tcPr>
          <w:p>
            <w:pPr>
              <w:pStyle w:val="2691"/>
            </w:pPr>
            <w:r>
              <w:t>54.0</w:t>
            </w:r>
          </w:p>
        </w:tc>
        <w:tc>
          <w:tcPr>
            <w:tcW w:w="392" w:type="pct"/>
            <w:vAlign w:val="center"/>
          </w:tcPr>
          <w:p>
            <w:pPr>
              <w:pStyle w:val="2691"/>
            </w:pPr>
            <w:r>
              <w:t>48.0</w:t>
            </w:r>
          </w:p>
        </w:tc>
        <w:tc>
          <w:tcPr>
            <w:tcW w:w="392" w:type="pct"/>
            <w:vAlign w:val="center"/>
          </w:tcPr>
          <w:p>
            <w:pPr>
              <w:pStyle w:val="2691"/>
            </w:pPr>
            <w:r>
              <w:t>44.4</w:t>
            </w:r>
          </w:p>
        </w:tc>
        <w:tc>
          <w:tcPr>
            <w:tcW w:w="392" w:type="pct"/>
            <w:vAlign w:val="center"/>
          </w:tcPr>
          <w:p>
            <w:pPr>
              <w:pStyle w:val="2691"/>
            </w:pPr>
            <w:r>
              <w:t>41.9</w:t>
            </w:r>
          </w:p>
        </w:tc>
        <w:tc>
          <w:tcPr>
            <w:tcW w:w="462" w:type="pct"/>
            <w:vAlign w:val="center"/>
          </w:tcPr>
          <w:p>
            <w:pPr>
              <w:pStyle w:val="2691"/>
            </w:pPr>
            <w:r>
              <w:t>40.0</w:t>
            </w:r>
          </w:p>
        </w:tc>
        <w:tc>
          <w:tcPr>
            <w:tcW w:w="461" w:type="pct"/>
            <w:vAlign w:val="center"/>
          </w:tcPr>
          <w:p>
            <w:pPr>
              <w:pStyle w:val="2691"/>
            </w:pPr>
            <w:r>
              <w:t>36.5</w:t>
            </w:r>
          </w:p>
        </w:tc>
        <w:tc>
          <w:tcPr>
            <w:tcW w:w="462" w:type="pct"/>
            <w:vAlign w:val="center"/>
          </w:tcPr>
          <w:p>
            <w:pPr>
              <w:pStyle w:val="2691"/>
            </w:pPr>
            <w:r>
              <w:t>34.0</w:t>
            </w:r>
          </w:p>
        </w:tc>
        <w:tc>
          <w:tcPr>
            <w:tcW w:w="388" w:type="pct"/>
            <w:vAlign w:val="center"/>
          </w:tcPr>
          <w:p>
            <w:pPr>
              <w:pStyle w:val="2691"/>
            </w:pPr>
            <w: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exact"/>
          <w:jc w:val="center"/>
        </w:trPr>
        <w:tc>
          <w:tcPr>
            <w:tcW w:w="952" w:type="pct"/>
            <w:vAlign w:val="center"/>
          </w:tcPr>
          <w:p>
            <w:pPr>
              <w:pStyle w:val="2691"/>
            </w:pPr>
            <w:r>
              <w:t>混凝土振捣器</w:t>
            </w:r>
          </w:p>
        </w:tc>
        <w:tc>
          <w:tcPr>
            <w:tcW w:w="702" w:type="pct"/>
            <w:vAlign w:val="center"/>
          </w:tcPr>
          <w:p>
            <w:pPr>
              <w:pStyle w:val="2691"/>
            </w:pPr>
            <w:r>
              <w:t>95</w:t>
            </w:r>
          </w:p>
        </w:tc>
        <w:tc>
          <w:tcPr>
            <w:tcW w:w="392" w:type="pct"/>
            <w:vAlign w:val="center"/>
          </w:tcPr>
          <w:p>
            <w:pPr>
              <w:pStyle w:val="2691"/>
            </w:pPr>
            <w:r>
              <w:t>69.0</w:t>
            </w:r>
          </w:p>
        </w:tc>
        <w:tc>
          <w:tcPr>
            <w:tcW w:w="392" w:type="pct"/>
            <w:vAlign w:val="center"/>
          </w:tcPr>
          <w:p>
            <w:pPr>
              <w:pStyle w:val="2691"/>
            </w:pPr>
            <w:r>
              <w:t>63.0</w:t>
            </w:r>
          </w:p>
        </w:tc>
        <w:tc>
          <w:tcPr>
            <w:tcW w:w="392" w:type="pct"/>
            <w:vAlign w:val="center"/>
          </w:tcPr>
          <w:p>
            <w:pPr>
              <w:pStyle w:val="2691"/>
            </w:pPr>
            <w:r>
              <w:t>59.4</w:t>
            </w:r>
          </w:p>
        </w:tc>
        <w:tc>
          <w:tcPr>
            <w:tcW w:w="392" w:type="pct"/>
            <w:vAlign w:val="center"/>
          </w:tcPr>
          <w:p>
            <w:pPr>
              <w:pStyle w:val="2691"/>
            </w:pPr>
            <w:r>
              <w:t>56.9</w:t>
            </w:r>
          </w:p>
        </w:tc>
        <w:tc>
          <w:tcPr>
            <w:tcW w:w="462" w:type="pct"/>
            <w:vAlign w:val="center"/>
          </w:tcPr>
          <w:p>
            <w:pPr>
              <w:pStyle w:val="2691"/>
            </w:pPr>
            <w:r>
              <w:t>55.0</w:t>
            </w:r>
          </w:p>
        </w:tc>
        <w:tc>
          <w:tcPr>
            <w:tcW w:w="461" w:type="pct"/>
            <w:vAlign w:val="center"/>
          </w:tcPr>
          <w:p>
            <w:pPr>
              <w:pStyle w:val="2691"/>
            </w:pPr>
            <w:r>
              <w:t>51.5</w:t>
            </w:r>
          </w:p>
        </w:tc>
        <w:tc>
          <w:tcPr>
            <w:tcW w:w="462" w:type="pct"/>
            <w:vAlign w:val="center"/>
          </w:tcPr>
          <w:p>
            <w:pPr>
              <w:pStyle w:val="2691"/>
            </w:pPr>
            <w:r>
              <w:t>49.0</w:t>
            </w:r>
          </w:p>
        </w:tc>
        <w:tc>
          <w:tcPr>
            <w:tcW w:w="388" w:type="pct"/>
            <w:vAlign w:val="center"/>
          </w:tcPr>
          <w:p>
            <w:pPr>
              <w:pStyle w:val="2691"/>
            </w:pPr>
            <w:r>
              <w:t>45.0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2" w:hRule="exact"/>
          <w:jc w:val="center"/>
        </w:trPr>
        <w:tc>
          <w:tcPr>
            <w:tcW w:w="952" w:type="pct"/>
            <w:vAlign w:val="center"/>
          </w:tcPr>
          <w:p>
            <w:pPr>
              <w:pStyle w:val="2691"/>
            </w:pPr>
            <w:r>
              <w:t>液压挖掘机</w:t>
            </w:r>
          </w:p>
        </w:tc>
        <w:tc>
          <w:tcPr>
            <w:tcW w:w="702" w:type="pct"/>
            <w:vAlign w:val="center"/>
          </w:tcPr>
          <w:p>
            <w:pPr>
              <w:pStyle w:val="2691"/>
            </w:pPr>
            <w:r>
              <w:t>95</w:t>
            </w:r>
          </w:p>
        </w:tc>
        <w:tc>
          <w:tcPr>
            <w:tcW w:w="392" w:type="pct"/>
            <w:vAlign w:val="center"/>
          </w:tcPr>
          <w:p>
            <w:pPr>
              <w:pStyle w:val="2691"/>
            </w:pPr>
            <w:r>
              <w:t>69.0</w:t>
            </w:r>
          </w:p>
        </w:tc>
        <w:tc>
          <w:tcPr>
            <w:tcW w:w="392" w:type="pct"/>
            <w:vAlign w:val="center"/>
          </w:tcPr>
          <w:p>
            <w:pPr>
              <w:pStyle w:val="2691"/>
            </w:pPr>
            <w:r>
              <w:t>63.0</w:t>
            </w:r>
          </w:p>
        </w:tc>
        <w:tc>
          <w:tcPr>
            <w:tcW w:w="392" w:type="pct"/>
            <w:vAlign w:val="center"/>
          </w:tcPr>
          <w:p>
            <w:pPr>
              <w:pStyle w:val="2691"/>
            </w:pPr>
            <w:r>
              <w:t>59.4</w:t>
            </w:r>
          </w:p>
        </w:tc>
        <w:tc>
          <w:tcPr>
            <w:tcW w:w="392" w:type="pct"/>
            <w:vAlign w:val="center"/>
          </w:tcPr>
          <w:p>
            <w:pPr>
              <w:pStyle w:val="2691"/>
            </w:pPr>
            <w:r>
              <w:t>56.9</w:t>
            </w:r>
          </w:p>
        </w:tc>
        <w:tc>
          <w:tcPr>
            <w:tcW w:w="462" w:type="pct"/>
            <w:vAlign w:val="center"/>
          </w:tcPr>
          <w:p>
            <w:pPr>
              <w:pStyle w:val="2691"/>
            </w:pPr>
            <w:r>
              <w:t>55.0</w:t>
            </w:r>
          </w:p>
        </w:tc>
        <w:tc>
          <w:tcPr>
            <w:tcW w:w="461" w:type="pct"/>
            <w:vAlign w:val="center"/>
          </w:tcPr>
          <w:p>
            <w:pPr>
              <w:pStyle w:val="2691"/>
            </w:pPr>
            <w:r>
              <w:t>51.5</w:t>
            </w:r>
          </w:p>
        </w:tc>
        <w:tc>
          <w:tcPr>
            <w:tcW w:w="462" w:type="pct"/>
            <w:vAlign w:val="center"/>
          </w:tcPr>
          <w:p>
            <w:pPr>
              <w:pStyle w:val="2691"/>
            </w:pPr>
            <w:r>
              <w:t>49.0</w:t>
            </w:r>
          </w:p>
        </w:tc>
        <w:tc>
          <w:tcPr>
            <w:tcW w:w="388" w:type="pct"/>
            <w:vAlign w:val="center"/>
          </w:tcPr>
          <w:p>
            <w:pPr>
              <w:pStyle w:val="2691"/>
            </w:pPr>
            <w:r>
              <w:t>45.0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2" w:hRule="exact"/>
          <w:jc w:val="center"/>
        </w:trPr>
        <w:tc>
          <w:tcPr>
            <w:tcW w:w="952" w:type="pct"/>
            <w:vAlign w:val="center"/>
          </w:tcPr>
          <w:p>
            <w:pPr>
              <w:pStyle w:val="2691"/>
            </w:pPr>
            <w:r>
              <w:t>运输车辆</w:t>
            </w:r>
          </w:p>
        </w:tc>
        <w:tc>
          <w:tcPr>
            <w:tcW w:w="702" w:type="pct"/>
            <w:vAlign w:val="center"/>
          </w:tcPr>
          <w:p>
            <w:pPr>
              <w:pStyle w:val="2691"/>
            </w:pPr>
            <w:r>
              <w:t>85</w:t>
            </w:r>
          </w:p>
        </w:tc>
        <w:tc>
          <w:tcPr>
            <w:tcW w:w="392" w:type="pct"/>
            <w:vAlign w:val="center"/>
          </w:tcPr>
          <w:p>
            <w:pPr>
              <w:pStyle w:val="2691"/>
            </w:pPr>
            <w:r>
              <w:t>59.0</w:t>
            </w:r>
          </w:p>
        </w:tc>
        <w:tc>
          <w:tcPr>
            <w:tcW w:w="392" w:type="pct"/>
            <w:vAlign w:val="center"/>
          </w:tcPr>
          <w:p>
            <w:pPr>
              <w:pStyle w:val="2691"/>
            </w:pPr>
            <w:r>
              <w:t>53.0</w:t>
            </w:r>
          </w:p>
        </w:tc>
        <w:tc>
          <w:tcPr>
            <w:tcW w:w="392" w:type="pct"/>
            <w:vAlign w:val="center"/>
          </w:tcPr>
          <w:p>
            <w:pPr>
              <w:pStyle w:val="2691"/>
            </w:pPr>
            <w:r>
              <w:t>49.4</w:t>
            </w:r>
          </w:p>
        </w:tc>
        <w:tc>
          <w:tcPr>
            <w:tcW w:w="392" w:type="pct"/>
            <w:vAlign w:val="center"/>
          </w:tcPr>
          <w:p>
            <w:pPr>
              <w:pStyle w:val="2691"/>
            </w:pPr>
            <w:r>
              <w:t>46.9</w:t>
            </w:r>
          </w:p>
        </w:tc>
        <w:tc>
          <w:tcPr>
            <w:tcW w:w="462" w:type="pct"/>
            <w:vAlign w:val="center"/>
          </w:tcPr>
          <w:p>
            <w:pPr>
              <w:pStyle w:val="2691"/>
            </w:pPr>
            <w:r>
              <w:t>45.0</w:t>
            </w:r>
          </w:p>
        </w:tc>
        <w:tc>
          <w:tcPr>
            <w:tcW w:w="461" w:type="pct"/>
            <w:vAlign w:val="center"/>
          </w:tcPr>
          <w:p>
            <w:pPr>
              <w:pStyle w:val="2691"/>
            </w:pPr>
            <w:r>
              <w:t>41.5</w:t>
            </w:r>
          </w:p>
        </w:tc>
        <w:tc>
          <w:tcPr>
            <w:tcW w:w="462" w:type="pct"/>
            <w:vAlign w:val="center"/>
          </w:tcPr>
          <w:p>
            <w:pPr>
              <w:pStyle w:val="2691"/>
            </w:pPr>
            <w:r>
              <w:t>39.0</w:t>
            </w:r>
          </w:p>
        </w:tc>
        <w:tc>
          <w:tcPr>
            <w:tcW w:w="388" w:type="pct"/>
            <w:vAlign w:val="center"/>
          </w:tcPr>
          <w:p>
            <w:pPr>
              <w:pStyle w:val="2691"/>
            </w:pPr>
            <w:r>
              <w:t>35.0</w:t>
            </w:r>
          </w:p>
        </w:tc>
      </w:tr>
    </w:tbl>
    <w:p>
      <w:pPr>
        <w:ind w:firstLine="480"/>
        <w:rPr>
          <w:spacing w:val="2"/>
        </w:rPr>
      </w:pPr>
      <w:r>
        <w:t>由</w:t>
      </w:r>
      <w:r>
        <w:rPr>
          <w:spacing w:val="2"/>
        </w:rPr>
        <w:t>预</w:t>
      </w:r>
      <w:r>
        <w:t>测结</w:t>
      </w:r>
      <w:r>
        <w:rPr>
          <w:spacing w:val="2"/>
        </w:rPr>
        <w:t>果</w:t>
      </w:r>
      <w:r>
        <w:t>可知</w:t>
      </w:r>
      <w:r>
        <w:rPr>
          <w:spacing w:val="2"/>
        </w:rPr>
        <w:t>，</w:t>
      </w:r>
      <w:r>
        <w:t>施工</w:t>
      </w:r>
      <w:r>
        <w:rPr>
          <w:spacing w:val="2"/>
        </w:rPr>
        <w:t>机</w:t>
      </w:r>
      <w:r>
        <w:t>械</w:t>
      </w:r>
      <w:r>
        <w:rPr>
          <w:spacing w:val="2"/>
        </w:rPr>
        <w:t>噪</w:t>
      </w:r>
      <w:r>
        <w:t>声在</w:t>
      </w:r>
      <w:r>
        <w:rPr>
          <w:spacing w:val="2"/>
        </w:rPr>
        <w:t>无</w:t>
      </w:r>
      <w:r>
        <w:t>遮挡</w:t>
      </w:r>
      <w:r>
        <w:rPr>
          <w:spacing w:val="2"/>
        </w:rPr>
        <w:t>情</w:t>
      </w:r>
      <w:r>
        <w:t>况下</w:t>
      </w:r>
      <w:r>
        <w:rPr>
          <w:spacing w:val="2"/>
        </w:rPr>
        <w:t>，对于一般的施工设备，其瞬时噪声在20m范围内超过70</w:t>
      </w:r>
      <w:r>
        <w:t xml:space="preserve"> dB（A），100m范围内超出60 dB（A），而噪声级较高的施工，如打桩船，其瞬时噪声在150m范围内超过55 dB（A）。</w:t>
      </w:r>
      <w:r>
        <w:rPr>
          <w:spacing w:val="2"/>
        </w:rPr>
        <w:t>一般而言，施工机械是在露天的环境中进行施工，通常的情况下无法进行有效的密闭隔声处理，施工期间作业对周围的影响不可避免。但通过设置隔声屏障、合理安排施工时间、合理布局施工现场、采用低噪声设备等治理及控制措施后，本项目的各类机械、设备的施工噪声能从影响程度、影响时间及影响强度等方面得以一定程度的削减。随着工程的结束，该污染因素将消失，声环境即可恢复至现状水平。</w:t>
      </w:r>
    </w:p>
    <w:p>
      <w:pPr>
        <w:ind w:firstLine="488"/>
        <w:rPr>
          <w:spacing w:val="2"/>
        </w:rPr>
      </w:pPr>
      <w:r>
        <w:rPr>
          <w:spacing w:val="2"/>
        </w:rPr>
        <w:t>为了尽可能避免及减少施工噪声对周边环境的影响，施工单位应合理安排施工计划和施工时间，禁止在中午（12:00-14:00）和夜间（22:00-6:00）施工，避免在同一时间集中使用大量的动力机械设备，</w:t>
      </w:r>
      <w:r>
        <w:t>施工单位应按规定及时办理相关手续，并做好相应的防护措施</w:t>
      </w:r>
      <w:r>
        <w:rPr>
          <w:spacing w:val="2"/>
        </w:rPr>
        <w:t>。</w:t>
      </w:r>
    </w:p>
    <w:p>
      <w:pPr>
        <w:ind w:firstLine="480"/>
      </w:pPr>
      <w:r>
        <w:t>因此，本项目施工在采用低噪声机械、合理安排夜间施工时段等措施的前提下，对项目所在地声环境质量的影响较小。</w:t>
      </w:r>
    </w:p>
    <w:p>
      <w:pPr>
        <w:pStyle w:val="454"/>
        <w:ind w:firstLine="602"/>
        <w:rPr>
          <w:color w:val="auto"/>
        </w:rPr>
      </w:pPr>
      <w:r>
        <w:rPr>
          <w:color w:val="auto"/>
        </w:rPr>
        <w:t>运营期声环境影响预测与评价</w:t>
      </w:r>
    </w:p>
    <w:p>
      <w:pPr>
        <w:pStyle w:val="456"/>
        <w:ind w:firstLine="482"/>
      </w:pPr>
      <w:r>
        <w:t>预测任务、范围</w:t>
      </w:r>
    </w:p>
    <w:p>
      <w:pPr>
        <w:ind w:firstLine="480"/>
      </w:pPr>
      <w:r>
        <w:t>本项目</w:t>
      </w:r>
      <w:r>
        <w:rPr>
          <w:rFonts w:hint="eastAsia"/>
        </w:rPr>
        <w:t>前方水域和后方陆域A地块厂界四周</w:t>
      </w:r>
      <w:r>
        <w:t>声环境质量执行《声环境质量标准》（GB3096-2008）4a类标准，码头</w:t>
      </w:r>
      <w:r>
        <w:rPr>
          <w:rFonts w:hint="eastAsia"/>
        </w:rPr>
        <w:t>后方陆域B地块厂界</w:t>
      </w:r>
      <w:r>
        <w:t>声环境质量执行《声环境质量标准》（GB3096-2008）3类标准，</w:t>
      </w:r>
      <w:r>
        <w:rPr>
          <w:rFonts w:hint="eastAsia"/>
        </w:rPr>
        <w:t>四周声环境</w:t>
      </w:r>
      <w:r>
        <w:t>敏感点执行《声环境质量标准》（GB3096-2008）2类标准。</w:t>
      </w:r>
    </w:p>
    <w:p>
      <w:pPr>
        <w:ind w:firstLine="480"/>
      </w:pPr>
      <w:r>
        <w:t>（1）预测任务</w:t>
      </w:r>
    </w:p>
    <w:p>
      <w:pPr>
        <w:ind w:firstLine="480"/>
      </w:pPr>
      <w:r>
        <w:t>本次评价项目为新建项目，故厂界处以噪声贡献值作为评价量，敏感点处以生产活动噪声贡献值与背景值叠加的预测值作为评价量。</w:t>
      </w:r>
    </w:p>
    <w:p>
      <w:pPr>
        <w:ind w:firstLine="480"/>
      </w:pPr>
      <w:r>
        <w:t>（2）预测范围</w:t>
      </w:r>
    </w:p>
    <w:p>
      <w:pPr>
        <w:ind w:firstLine="480"/>
      </w:pPr>
      <w:r>
        <w:t>项目主要噪声源为设备噪声，采取三班工作制，昼夜均进行生产，因此需预测昼夜间噪声预测，预测范围包含厂界和主要敏感点处。</w:t>
      </w:r>
    </w:p>
    <w:p>
      <w:pPr>
        <w:pStyle w:val="456"/>
        <w:ind w:firstLine="482"/>
      </w:pPr>
      <w:r>
        <w:t>源强参数</w:t>
      </w:r>
    </w:p>
    <w:p>
      <w:pPr>
        <w:ind w:firstLine="480"/>
      </w:pPr>
      <w:r>
        <w:t>本项目噪声源噪声类型属于空气动力噪声和机械噪声，噪声传播具有稳态和类稳态特性。另外，噪声从噪声源传播至噪声预测点的距离比声源本身几何尺寸大许多，因此 可忽略噪声源几何尺寸影响，而将其简化为点声源。</w:t>
      </w:r>
    </w:p>
    <w:p>
      <w:pPr>
        <w:ind w:firstLine="480"/>
      </w:pPr>
      <w:r>
        <w:t>主要噪声设备噪声防治措施及效果详见下表。</w:t>
      </w:r>
    </w:p>
    <w:p>
      <w:pPr>
        <w:pStyle w:val="3586"/>
        <w:ind w:left="0"/>
      </w:pPr>
      <w:r>
        <w:t>建设项目噪声防治措施一览表</w:t>
      </w:r>
    </w:p>
    <w:tbl>
      <w:tblPr>
        <w:tblStyle w:val="3597"/>
        <w:tblW w:w="49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30"/>
        <w:gridCol w:w="1974"/>
        <w:gridCol w:w="989"/>
        <w:gridCol w:w="2652"/>
        <w:gridCol w:w="1384"/>
        <w:gridCol w:w="147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46"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序号</w:t>
            </w:r>
          </w:p>
        </w:tc>
        <w:tc>
          <w:tcPr>
            <w:tcW w:w="1084"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设备名称</w:t>
            </w:r>
          </w:p>
        </w:tc>
        <w:tc>
          <w:tcPr>
            <w:tcW w:w="543"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单台声源dB(A)</w:t>
            </w:r>
          </w:p>
        </w:tc>
        <w:tc>
          <w:tcPr>
            <w:tcW w:w="1456"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位置</w:t>
            </w:r>
          </w:p>
        </w:tc>
        <w:tc>
          <w:tcPr>
            <w:tcW w:w="760"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数量（台/套）</w:t>
            </w:r>
          </w:p>
        </w:tc>
        <w:tc>
          <w:tcPr>
            <w:tcW w:w="807"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排放方式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46"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1</w:t>
            </w:r>
          </w:p>
        </w:tc>
        <w:tc>
          <w:tcPr>
            <w:tcW w:w="1084" w:type="pct"/>
            <w:vAlign w:val="center"/>
          </w:tcPr>
          <w:p>
            <w:pPr>
              <w:widowControl/>
              <w:tabs>
                <w:tab w:val="clear" w:pos="480"/>
              </w:tabs>
              <w:autoSpaceDE w:val="0"/>
              <w:autoSpaceDN w:val="0"/>
              <w:adjustRightInd w:val="0"/>
              <w:spacing w:line="240" w:lineRule="auto"/>
              <w:ind w:firstLine="0" w:firstLineChars="0"/>
              <w:jc w:val="center"/>
              <w:rPr>
                <w:sz w:val="21"/>
                <w:szCs w:val="21"/>
              </w:rPr>
            </w:pPr>
            <w:r>
              <w:rPr>
                <w:rFonts w:hint="eastAsia"/>
                <w:sz w:val="21"/>
                <w:szCs w:val="21"/>
              </w:rPr>
              <w:t>进港船舶</w:t>
            </w:r>
          </w:p>
        </w:tc>
        <w:tc>
          <w:tcPr>
            <w:tcW w:w="543"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105</w:t>
            </w:r>
          </w:p>
        </w:tc>
        <w:tc>
          <w:tcPr>
            <w:tcW w:w="1456"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rFonts w:hint="eastAsia"/>
                <w:sz w:val="21"/>
                <w:szCs w:val="21"/>
              </w:rPr>
              <w:t>码头前沿</w:t>
            </w:r>
          </w:p>
        </w:tc>
        <w:tc>
          <w:tcPr>
            <w:tcW w:w="760" w:type="pct"/>
            <w:vAlign w:val="center"/>
          </w:tcPr>
          <w:p>
            <w:pPr>
              <w:widowControl/>
              <w:tabs>
                <w:tab w:val="clear" w:pos="480"/>
              </w:tabs>
              <w:autoSpaceDE w:val="0"/>
              <w:autoSpaceDN w:val="0"/>
              <w:adjustRightInd w:val="0"/>
              <w:spacing w:line="240" w:lineRule="auto"/>
              <w:ind w:firstLine="0" w:firstLineChars="0"/>
              <w:jc w:val="center"/>
              <w:rPr>
                <w:sz w:val="21"/>
                <w:szCs w:val="21"/>
              </w:rPr>
            </w:pPr>
            <w:r>
              <w:rPr>
                <w:rFonts w:hint="eastAsia"/>
                <w:sz w:val="21"/>
                <w:szCs w:val="21"/>
              </w:rPr>
              <w:t>/</w:t>
            </w:r>
          </w:p>
        </w:tc>
        <w:tc>
          <w:tcPr>
            <w:tcW w:w="807"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昼间、间断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46"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2</w:t>
            </w:r>
          </w:p>
        </w:tc>
        <w:tc>
          <w:tcPr>
            <w:tcW w:w="1084" w:type="pct"/>
            <w:vAlign w:val="center"/>
          </w:tcPr>
          <w:p>
            <w:pPr>
              <w:widowControl/>
              <w:tabs>
                <w:tab w:val="clear" w:pos="480"/>
              </w:tabs>
              <w:autoSpaceDE w:val="0"/>
              <w:autoSpaceDN w:val="0"/>
              <w:adjustRightInd w:val="0"/>
              <w:spacing w:line="240" w:lineRule="auto"/>
              <w:ind w:firstLine="0" w:firstLineChars="0"/>
              <w:jc w:val="center"/>
              <w:rPr>
                <w:sz w:val="21"/>
                <w:szCs w:val="21"/>
              </w:rPr>
            </w:pPr>
            <w:r>
              <w:rPr>
                <w:rFonts w:hint="eastAsia" w:ascii="宋体" w:hAnsi="宋体" w:cs="宋体"/>
                <w:kern w:val="0"/>
                <w:sz w:val="21"/>
                <w:szCs w:val="21"/>
              </w:rPr>
              <w:t>桥式抓斗卸船机</w:t>
            </w:r>
          </w:p>
        </w:tc>
        <w:tc>
          <w:tcPr>
            <w:tcW w:w="543"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85</w:t>
            </w:r>
          </w:p>
        </w:tc>
        <w:tc>
          <w:tcPr>
            <w:tcW w:w="1456"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rFonts w:hint="eastAsia"/>
                <w:sz w:val="21"/>
                <w:szCs w:val="21"/>
              </w:rPr>
              <w:t>码头前沿</w:t>
            </w:r>
          </w:p>
        </w:tc>
        <w:tc>
          <w:tcPr>
            <w:tcW w:w="760" w:type="pct"/>
            <w:vAlign w:val="center"/>
          </w:tcPr>
          <w:p>
            <w:pPr>
              <w:widowControl/>
              <w:tabs>
                <w:tab w:val="clear" w:pos="480"/>
              </w:tabs>
              <w:autoSpaceDE w:val="0"/>
              <w:autoSpaceDN w:val="0"/>
              <w:adjustRightInd w:val="0"/>
              <w:spacing w:line="240" w:lineRule="auto"/>
              <w:ind w:firstLine="0" w:firstLineChars="0"/>
              <w:jc w:val="center"/>
              <w:rPr>
                <w:sz w:val="21"/>
                <w:szCs w:val="21"/>
              </w:rPr>
            </w:pPr>
            <w:r>
              <w:rPr>
                <w:kern w:val="0"/>
                <w:sz w:val="21"/>
                <w:szCs w:val="21"/>
              </w:rPr>
              <w:t>3</w:t>
            </w:r>
          </w:p>
        </w:tc>
        <w:tc>
          <w:tcPr>
            <w:tcW w:w="807"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昼间、间断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46"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3</w:t>
            </w:r>
          </w:p>
        </w:tc>
        <w:tc>
          <w:tcPr>
            <w:tcW w:w="1084" w:type="pct"/>
            <w:vAlign w:val="center"/>
          </w:tcPr>
          <w:p>
            <w:pPr>
              <w:widowControl/>
              <w:tabs>
                <w:tab w:val="clear" w:pos="480"/>
              </w:tabs>
              <w:autoSpaceDE w:val="0"/>
              <w:autoSpaceDN w:val="0"/>
              <w:adjustRightInd w:val="0"/>
              <w:spacing w:line="240" w:lineRule="auto"/>
              <w:ind w:firstLine="0" w:firstLineChars="0"/>
              <w:jc w:val="center"/>
              <w:rPr>
                <w:sz w:val="21"/>
                <w:szCs w:val="21"/>
              </w:rPr>
            </w:pPr>
            <w:r>
              <w:rPr>
                <w:rFonts w:hint="eastAsia" w:ascii="宋体" w:hAnsi="宋体" w:cs="宋体"/>
                <w:kern w:val="0"/>
                <w:sz w:val="21"/>
                <w:szCs w:val="21"/>
              </w:rPr>
              <w:t>带斗门座式起重机</w:t>
            </w:r>
          </w:p>
        </w:tc>
        <w:tc>
          <w:tcPr>
            <w:tcW w:w="543"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85</w:t>
            </w:r>
          </w:p>
        </w:tc>
        <w:tc>
          <w:tcPr>
            <w:tcW w:w="1456"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码头前沿</w:t>
            </w:r>
          </w:p>
        </w:tc>
        <w:tc>
          <w:tcPr>
            <w:tcW w:w="760" w:type="pct"/>
            <w:vAlign w:val="center"/>
          </w:tcPr>
          <w:p>
            <w:pPr>
              <w:widowControl/>
              <w:tabs>
                <w:tab w:val="clear" w:pos="480"/>
              </w:tabs>
              <w:autoSpaceDE w:val="0"/>
              <w:autoSpaceDN w:val="0"/>
              <w:adjustRightInd w:val="0"/>
              <w:spacing w:line="240" w:lineRule="auto"/>
              <w:ind w:firstLine="0" w:firstLineChars="0"/>
              <w:jc w:val="center"/>
              <w:rPr>
                <w:sz w:val="21"/>
                <w:szCs w:val="21"/>
              </w:rPr>
            </w:pPr>
            <w:r>
              <w:rPr>
                <w:kern w:val="0"/>
                <w:sz w:val="21"/>
                <w:szCs w:val="21"/>
              </w:rPr>
              <w:t>2</w:t>
            </w:r>
          </w:p>
        </w:tc>
        <w:tc>
          <w:tcPr>
            <w:tcW w:w="807"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昼间、间断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6"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4</w:t>
            </w:r>
          </w:p>
        </w:tc>
        <w:tc>
          <w:tcPr>
            <w:tcW w:w="1084" w:type="pct"/>
            <w:vAlign w:val="center"/>
          </w:tcPr>
          <w:p>
            <w:pPr>
              <w:widowControl/>
              <w:tabs>
                <w:tab w:val="clear" w:pos="480"/>
              </w:tabs>
              <w:autoSpaceDE w:val="0"/>
              <w:autoSpaceDN w:val="0"/>
              <w:adjustRightInd w:val="0"/>
              <w:spacing w:line="240" w:lineRule="auto"/>
              <w:ind w:firstLine="0" w:firstLineChars="0"/>
              <w:jc w:val="center"/>
              <w:rPr>
                <w:sz w:val="21"/>
                <w:szCs w:val="21"/>
              </w:rPr>
            </w:pPr>
            <w:r>
              <w:rPr>
                <w:rFonts w:hint="eastAsia" w:ascii="宋体" w:hAnsi="宋体" w:cs="宋体"/>
                <w:kern w:val="0"/>
                <w:sz w:val="21"/>
                <w:szCs w:val="21"/>
              </w:rPr>
              <w:t>直线轨道式装船机</w:t>
            </w:r>
          </w:p>
        </w:tc>
        <w:tc>
          <w:tcPr>
            <w:tcW w:w="543"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85</w:t>
            </w:r>
          </w:p>
        </w:tc>
        <w:tc>
          <w:tcPr>
            <w:tcW w:w="1456"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码头前沿</w:t>
            </w:r>
          </w:p>
        </w:tc>
        <w:tc>
          <w:tcPr>
            <w:tcW w:w="760" w:type="pct"/>
            <w:vAlign w:val="center"/>
          </w:tcPr>
          <w:p>
            <w:pPr>
              <w:widowControl/>
              <w:tabs>
                <w:tab w:val="clear" w:pos="480"/>
              </w:tabs>
              <w:autoSpaceDE w:val="0"/>
              <w:autoSpaceDN w:val="0"/>
              <w:adjustRightInd w:val="0"/>
              <w:spacing w:line="240" w:lineRule="auto"/>
              <w:ind w:firstLine="0" w:firstLineChars="0"/>
              <w:jc w:val="center"/>
              <w:rPr>
                <w:sz w:val="21"/>
                <w:szCs w:val="21"/>
              </w:rPr>
            </w:pPr>
            <w:r>
              <w:rPr>
                <w:kern w:val="0"/>
                <w:sz w:val="21"/>
                <w:szCs w:val="21"/>
              </w:rPr>
              <w:t>2</w:t>
            </w:r>
          </w:p>
        </w:tc>
        <w:tc>
          <w:tcPr>
            <w:tcW w:w="807"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昼间、间断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46"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rFonts w:hint="eastAsia"/>
                <w:sz w:val="21"/>
                <w:szCs w:val="21"/>
              </w:rPr>
              <w:t>5</w:t>
            </w:r>
          </w:p>
        </w:tc>
        <w:tc>
          <w:tcPr>
            <w:tcW w:w="1084" w:type="pct"/>
            <w:vAlign w:val="center"/>
          </w:tcPr>
          <w:p>
            <w:pPr>
              <w:widowControl/>
              <w:tabs>
                <w:tab w:val="clear" w:pos="480"/>
              </w:tabs>
              <w:autoSpaceDE w:val="0"/>
              <w:autoSpaceDN w:val="0"/>
              <w:adjustRightInd w:val="0"/>
              <w:spacing w:line="240" w:lineRule="auto"/>
              <w:ind w:firstLine="0" w:firstLineChars="0"/>
              <w:jc w:val="center"/>
              <w:rPr>
                <w:sz w:val="21"/>
                <w:szCs w:val="21"/>
              </w:rPr>
            </w:pPr>
            <w:r>
              <w:rPr>
                <w:rFonts w:hint="eastAsia" w:ascii="宋体" w:hAnsi="宋体" w:cs="宋体"/>
                <w:kern w:val="0"/>
                <w:sz w:val="21"/>
                <w:szCs w:val="21"/>
              </w:rPr>
              <w:t>单斗装载机</w:t>
            </w:r>
          </w:p>
        </w:tc>
        <w:tc>
          <w:tcPr>
            <w:tcW w:w="543"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rFonts w:hint="eastAsia"/>
                <w:sz w:val="21"/>
                <w:szCs w:val="21"/>
              </w:rPr>
              <w:t>78</w:t>
            </w:r>
          </w:p>
        </w:tc>
        <w:tc>
          <w:tcPr>
            <w:tcW w:w="1456"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rFonts w:hint="eastAsia"/>
                <w:sz w:val="21"/>
                <w:szCs w:val="21"/>
              </w:rPr>
              <w:t>码头前沿</w:t>
            </w:r>
          </w:p>
        </w:tc>
        <w:tc>
          <w:tcPr>
            <w:tcW w:w="760" w:type="pct"/>
            <w:vAlign w:val="center"/>
          </w:tcPr>
          <w:p>
            <w:pPr>
              <w:widowControl/>
              <w:tabs>
                <w:tab w:val="clear" w:pos="480"/>
              </w:tabs>
              <w:autoSpaceDE w:val="0"/>
              <w:autoSpaceDN w:val="0"/>
              <w:adjustRightInd w:val="0"/>
              <w:spacing w:line="240" w:lineRule="auto"/>
              <w:ind w:firstLine="0" w:firstLineChars="0"/>
              <w:jc w:val="center"/>
              <w:rPr>
                <w:sz w:val="21"/>
                <w:szCs w:val="21"/>
              </w:rPr>
            </w:pPr>
            <w:r>
              <w:rPr>
                <w:kern w:val="0"/>
                <w:sz w:val="21"/>
                <w:szCs w:val="21"/>
              </w:rPr>
              <w:t>10</w:t>
            </w:r>
          </w:p>
        </w:tc>
        <w:tc>
          <w:tcPr>
            <w:tcW w:w="807"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昼间、间断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46"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rFonts w:hint="eastAsia"/>
                <w:sz w:val="21"/>
                <w:szCs w:val="21"/>
              </w:rPr>
              <w:t>6</w:t>
            </w:r>
          </w:p>
        </w:tc>
        <w:tc>
          <w:tcPr>
            <w:tcW w:w="1084"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rFonts w:hint="eastAsia"/>
                <w:sz w:val="21"/>
                <w:szCs w:val="21"/>
              </w:rPr>
              <w:t>皮带机</w:t>
            </w:r>
          </w:p>
        </w:tc>
        <w:tc>
          <w:tcPr>
            <w:tcW w:w="543"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rFonts w:hint="eastAsia"/>
                <w:sz w:val="21"/>
                <w:szCs w:val="21"/>
              </w:rPr>
              <w:t>80</w:t>
            </w:r>
          </w:p>
        </w:tc>
        <w:tc>
          <w:tcPr>
            <w:tcW w:w="1456"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rFonts w:hint="eastAsia"/>
                <w:sz w:val="21"/>
                <w:szCs w:val="21"/>
              </w:rPr>
              <w:t>引桥、转运站、仓库</w:t>
            </w:r>
          </w:p>
        </w:tc>
        <w:tc>
          <w:tcPr>
            <w:tcW w:w="760"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w:t>
            </w:r>
          </w:p>
        </w:tc>
        <w:tc>
          <w:tcPr>
            <w:tcW w:w="807"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昼间、间断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46"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rFonts w:hint="eastAsia"/>
                <w:sz w:val="21"/>
                <w:szCs w:val="21"/>
              </w:rPr>
              <w:t>7</w:t>
            </w:r>
          </w:p>
        </w:tc>
        <w:tc>
          <w:tcPr>
            <w:tcW w:w="1084"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rFonts w:hint="eastAsia"/>
                <w:sz w:val="21"/>
                <w:szCs w:val="21"/>
              </w:rPr>
              <w:t>空压机</w:t>
            </w:r>
          </w:p>
        </w:tc>
        <w:tc>
          <w:tcPr>
            <w:tcW w:w="543"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rFonts w:hint="eastAsia"/>
                <w:sz w:val="21"/>
                <w:szCs w:val="21"/>
              </w:rPr>
              <w:t>85</w:t>
            </w:r>
          </w:p>
        </w:tc>
        <w:tc>
          <w:tcPr>
            <w:tcW w:w="1456"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rFonts w:hint="eastAsia"/>
                <w:sz w:val="21"/>
                <w:szCs w:val="21"/>
              </w:rPr>
              <w:t>引桥、转运站、仓库</w:t>
            </w:r>
          </w:p>
        </w:tc>
        <w:tc>
          <w:tcPr>
            <w:tcW w:w="760"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rFonts w:hint="eastAsia"/>
                <w:sz w:val="21"/>
                <w:szCs w:val="21"/>
              </w:rPr>
              <w:t>12</w:t>
            </w:r>
          </w:p>
        </w:tc>
        <w:tc>
          <w:tcPr>
            <w:tcW w:w="807"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昼间、间断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46"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rFonts w:hint="eastAsia"/>
                <w:sz w:val="21"/>
                <w:szCs w:val="21"/>
              </w:rPr>
              <w:t>8</w:t>
            </w:r>
          </w:p>
        </w:tc>
        <w:tc>
          <w:tcPr>
            <w:tcW w:w="1084"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rFonts w:hint="eastAsia"/>
                <w:sz w:val="21"/>
                <w:szCs w:val="21"/>
              </w:rPr>
              <w:t>运输车辆</w:t>
            </w:r>
          </w:p>
        </w:tc>
        <w:tc>
          <w:tcPr>
            <w:tcW w:w="543"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rFonts w:hint="eastAsia"/>
                <w:sz w:val="21"/>
                <w:szCs w:val="21"/>
              </w:rPr>
              <w:t>75</w:t>
            </w:r>
          </w:p>
        </w:tc>
        <w:tc>
          <w:tcPr>
            <w:tcW w:w="1456"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rFonts w:hint="eastAsia"/>
                <w:sz w:val="21"/>
                <w:szCs w:val="21"/>
              </w:rPr>
              <w:t>/</w:t>
            </w:r>
          </w:p>
        </w:tc>
        <w:tc>
          <w:tcPr>
            <w:tcW w:w="760"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rFonts w:hint="eastAsia"/>
                <w:sz w:val="21"/>
                <w:szCs w:val="21"/>
              </w:rPr>
              <w:t>520</w:t>
            </w:r>
          </w:p>
        </w:tc>
        <w:tc>
          <w:tcPr>
            <w:tcW w:w="807" w:type="pct"/>
            <w:vAlign w:val="center"/>
          </w:tcPr>
          <w:p>
            <w:pPr>
              <w:tabs>
                <w:tab w:val="clear" w:pos="480"/>
              </w:tabs>
              <w:adjustRightInd w:val="0"/>
              <w:snapToGrid w:val="0"/>
              <w:spacing w:line="240" w:lineRule="auto"/>
              <w:ind w:left="-72" w:leftChars="-30" w:right="-72" w:rightChars="-30" w:firstLine="0" w:firstLineChars="0"/>
              <w:jc w:val="center"/>
              <w:rPr>
                <w:sz w:val="21"/>
                <w:szCs w:val="21"/>
              </w:rPr>
            </w:pPr>
            <w:r>
              <w:rPr>
                <w:sz w:val="21"/>
                <w:szCs w:val="21"/>
              </w:rPr>
              <w:t>昼间、间断</w:t>
            </w:r>
          </w:p>
        </w:tc>
      </w:tr>
    </w:tbl>
    <w:p>
      <w:pPr>
        <w:pStyle w:val="456"/>
        <w:ind w:firstLine="482"/>
        <w:rPr>
          <w:rStyle w:val="3594"/>
          <w:rFonts w:ascii="Times New Roman" w:hAnsi="Times New Roman"/>
          <w:bCs w:val="0"/>
        </w:rPr>
      </w:pPr>
      <w:r>
        <w:t>预测模式</w:t>
      </w:r>
    </w:p>
    <w:p>
      <w:pPr>
        <w:ind w:firstLine="480"/>
      </w:pPr>
      <w:r>
        <w:t>根据《环境影响评价技术导则》（HJ2.4-2021）推荐的方法，本评价采用点声源半自由声场传播方式对厂区内噪声所产生的影响进行预测。</w:t>
      </w:r>
    </w:p>
    <w:p>
      <w:pPr>
        <w:ind w:firstLine="480"/>
      </w:pPr>
      <w:r>
        <w:t>噪声衰减公式：</w:t>
      </w:r>
    </w:p>
    <w:p>
      <w:pPr>
        <w:pStyle w:val="2867"/>
        <w:ind w:firstLine="1080" w:firstLineChars="450"/>
      </w:pPr>
      <w:r>
        <w:t>L（r）=L（r</w:t>
      </w:r>
      <w:r>
        <w:rPr>
          <w:vertAlign w:val="subscript"/>
        </w:rPr>
        <w:t>0</w:t>
      </w:r>
      <w:r>
        <w:t>）－20lg(r/r</w:t>
      </w:r>
      <w:r>
        <w:rPr>
          <w:vertAlign w:val="subscript"/>
        </w:rPr>
        <w:t>0</w:t>
      </w:r>
      <w:r>
        <w:t>)</w:t>
      </w:r>
      <w:r>
        <w:rPr>
          <w:snapToGrid w:val="0"/>
          <w:lang w:val="fr-FR"/>
        </w:rPr>
        <w:t xml:space="preserve"> -</w:t>
      </w:r>
      <w:r>
        <w:rPr>
          <w:rFonts w:hint="eastAsia" w:ascii="宋体" w:hAnsi="宋体" w:cs="宋体"/>
          <w:snapToGrid w:val="0"/>
          <w:lang w:val="fr-FR"/>
        </w:rPr>
        <w:t>△</w:t>
      </w:r>
      <w:r>
        <w:rPr>
          <w:snapToGrid w:val="0"/>
          <w:lang w:val="fr-FR"/>
        </w:rPr>
        <w:t>L</w:t>
      </w:r>
    </w:p>
    <w:p>
      <w:pPr>
        <w:ind w:firstLine="480"/>
      </w:pPr>
      <w:r>
        <w:t>式中：L(r)——距噪声源r处噪声级，dB(A)；</w:t>
      </w:r>
    </w:p>
    <w:p>
      <w:pPr>
        <w:ind w:firstLine="1200" w:firstLineChars="500"/>
      </w:pPr>
      <w:r>
        <w:t>L(r</w:t>
      </w:r>
      <w:r>
        <w:rPr>
          <w:vertAlign w:val="subscript"/>
        </w:rPr>
        <w:t>0</w:t>
      </w:r>
      <w:r>
        <w:t>)——距噪声源r</w:t>
      </w:r>
      <w:r>
        <w:rPr>
          <w:vertAlign w:val="subscript"/>
        </w:rPr>
        <w:t>0</w:t>
      </w:r>
      <w:r>
        <w:t>处噪声级，dB(A)；</w:t>
      </w:r>
    </w:p>
    <w:p>
      <w:pPr>
        <w:ind w:firstLine="1200" w:firstLineChars="500"/>
      </w:pPr>
      <w:r>
        <w:t>r</w:t>
      </w:r>
      <w:r>
        <w:rPr>
          <w:vertAlign w:val="subscript"/>
        </w:rPr>
        <w:t>0</w:t>
      </w:r>
      <w:r>
        <w:t>、r——距声源的距离，m；</w:t>
      </w:r>
    </w:p>
    <w:p>
      <w:pPr>
        <w:ind w:firstLine="1200" w:firstLineChars="500"/>
      </w:pPr>
      <w:r>
        <w:rPr>
          <w:rFonts w:hint="eastAsia" w:ascii="宋体" w:hAnsi="宋体" w:cs="宋体"/>
        </w:rPr>
        <w:t>△</w:t>
      </w:r>
      <w:r>
        <w:t>L——其它衰减因子，dB（A）。</w:t>
      </w:r>
    </w:p>
    <w:p>
      <w:pPr>
        <w:ind w:firstLine="480"/>
      </w:pPr>
      <w:r>
        <w:t>噪声叠加公式：</w:t>
      </w:r>
    </w:p>
    <w:p>
      <w:pPr>
        <w:snapToGrid w:val="0"/>
        <w:ind w:left="550" w:leftChars="229" w:firstLine="720" w:firstLineChars="300"/>
      </w:pPr>
      <w:r>
        <w:rPr>
          <w:position w:val="-28"/>
        </w:rPr>
        <w:object>
          <v:shape id="_x0000_i1061" o:spt="75" type="#_x0000_t75" style="height:28.05pt;width:122.5pt;" o:ole="t" filled="f" o:preferrelative="t" stroked="f" coordsize="21600,21600">
            <v:path/>
            <v:fill on="f" focussize="0,0"/>
            <v:stroke on="f" joinstyle="miter"/>
            <v:imagedata r:id="rId231" o:title=""/>
            <o:lock v:ext="edit" aspectratio="t"/>
            <w10:wrap type="none"/>
            <w10:anchorlock/>
          </v:shape>
          <o:OLEObject Type="Embed" ProgID="Equations" ShapeID="_x0000_i1061" DrawAspect="Content" ObjectID="_1468075761" r:id="rId230">
            <o:LockedField>false</o:LockedField>
          </o:OLEObject>
        </w:object>
      </w:r>
      <w:r>
        <w:t xml:space="preserve"> </w:t>
      </w:r>
    </w:p>
    <w:p>
      <w:pPr>
        <w:ind w:firstLine="480"/>
      </w:pPr>
      <w:r>
        <w:t>式中：L——某点噪声总叠加值，dB(A)；</w:t>
      </w:r>
    </w:p>
    <w:p>
      <w:pPr>
        <w:ind w:firstLine="1200" w:firstLineChars="500"/>
      </w:pPr>
      <w:r>
        <w:t>Li——第i 个声源的噪声值，dB(A)；</w:t>
      </w:r>
    </w:p>
    <w:p>
      <w:pPr>
        <w:ind w:firstLine="1200" w:firstLineChars="500"/>
      </w:pPr>
      <w:r>
        <w:t>n——声源个数。</w:t>
      </w:r>
    </w:p>
    <w:p>
      <w:pPr>
        <w:pStyle w:val="456"/>
        <w:ind w:firstLine="482"/>
      </w:pPr>
      <w:r>
        <w:t>预测结果及影响分析</w:t>
      </w:r>
    </w:p>
    <w:p>
      <w:pPr>
        <w:ind w:firstLine="480"/>
      </w:pPr>
      <w:r>
        <w:t>本项目各个设备较分散，根据工程总平面布置、装卸机械设备配备情况，</w:t>
      </w:r>
      <w:r>
        <w:rPr>
          <w:rFonts w:ascii="宋体" w:hAnsi="宋体"/>
        </w:rPr>
        <w:t>确定多台机械同时作业的工况考虑，</w:t>
      </w:r>
      <w:r>
        <w:rPr>
          <w:rFonts w:hint="eastAsia" w:ascii="宋体" w:hAnsi="宋体"/>
        </w:rPr>
        <w:t>多个噪声合并噪声源位于前方码头平台中心处，</w:t>
      </w:r>
      <w:r>
        <w:t>分别预测厂界处厂界噪声，噪声预测结果详见下表。</w:t>
      </w:r>
    </w:p>
    <w:p>
      <w:pPr>
        <w:pStyle w:val="3586"/>
        <w:ind w:left="0"/>
      </w:pPr>
      <w:r>
        <w:t>码头作业区工程噪声在厂界处噪声预测值 单位：dB(A)</w:t>
      </w:r>
    </w:p>
    <w:tbl>
      <w:tblPr>
        <w:tblStyle w:val="3596"/>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56"/>
        <w:gridCol w:w="2662"/>
        <w:gridCol w:w="825"/>
        <w:gridCol w:w="900"/>
        <w:gridCol w:w="802"/>
        <w:gridCol w:w="1413"/>
        <w:gridCol w:w="14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6" w:type="dxa"/>
            <w:vAlign w:val="center"/>
          </w:tcPr>
          <w:p>
            <w:pPr>
              <w:tabs>
                <w:tab w:val="clear" w:pos="480"/>
              </w:tabs>
              <w:adjustRightInd w:val="0"/>
              <w:snapToGrid w:val="0"/>
              <w:spacing w:line="240" w:lineRule="auto"/>
              <w:ind w:firstLine="0" w:firstLineChars="0"/>
              <w:jc w:val="center"/>
              <w:rPr>
                <w:sz w:val="21"/>
                <w:szCs w:val="21"/>
              </w:rPr>
            </w:pPr>
            <w:r>
              <w:rPr>
                <w:sz w:val="21"/>
                <w:szCs w:val="21"/>
              </w:rPr>
              <w:t>声源</w:t>
            </w:r>
          </w:p>
        </w:tc>
        <w:tc>
          <w:tcPr>
            <w:tcW w:w="2662" w:type="dxa"/>
            <w:vAlign w:val="center"/>
          </w:tcPr>
          <w:p>
            <w:pPr>
              <w:tabs>
                <w:tab w:val="clear" w:pos="480"/>
              </w:tabs>
              <w:adjustRightInd w:val="0"/>
              <w:snapToGrid w:val="0"/>
              <w:spacing w:line="240" w:lineRule="auto"/>
              <w:ind w:firstLine="0" w:firstLineChars="0"/>
              <w:jc w:val="center"/>
              <w:rPr>
                <w:sz w:val="21"/>
                <w:szCs w:val="21"/>
              </w:rPr>
            </w:pPr>
            <w:r>
              <w:rPr>
                <w:sz w:val="21"/>
                <w:szCs w:val="21"/>
              </w:rPr>
              <w:t>影响目标</w:t>
            </w:r>
          </w:p>
        </w:tc>
        <w:tc>
          <w:tcPr>
            <w:tcW w:w="825" w:type="dxa"/>
            <w:vAlign w:val="center"/>
          </w:tcPr>
          <w:p>
            <w:pPr>
              <w:tabs>
                <w:tab w:val="clear" w:pos="480"/>
              </w:tabs>
              <w:adjustRightInd w:val="0"/>
              <w:snapToGrid w:val="0"/>
              <w:spacing w:line="240" w:lineRule="auto"/>
              <w:ind w:firstLine="0" w:firstLineChars="0"/>
              <w:jc w:val="center"/>
              <w:rPr>
                <w:sz w:val="21"/>
                <w:szCs w:val="21"/>
              </w:rPr>
            </w:pPr>
            <w:r>
              <w:rPr>
                <w:sz w:val="21"/>
                <w:szCs w:val="21"/>
              </w:rPr>
              <w:t>源强</w:t>
            </w:r>
          </w:p>
        </w:tc>
        <w:tc>
          <w:tcPr>
            <w:tcW w:w="900" w:type="dxa"/>
            <w:vAlign w:val="center"/>
          </w:tcPr>
          <w:p>
            <w:pPr>
              <w:tabs>
                <w:tab w:val="clear" w:pos="480"/>
              </w:tabs>
              <w:adjustRightInd w:val="0"/>
              <w:snapToGrid w:val="0"/>
              <w:spacing w:line="240" w:lineRule="auto"/>
              <w:ind w:firstLine="0" w:firstLineChars="0"/>
              <w:jc w:val="center"/>
              <w:rPr>
                <w:sz w:val="21"/>
                <w:szCs w:val="21"/>
              </w:rPr>
            </w:pPr>
            <w:r>
              <w:rPr>
                <w:sz w:val="21"/>
                <w:szCs w:val="21"/>
              </w:rPr>
              <w:t>距离(m)</w:t>
            </w:r>
          </w:p>
        </w:tc>
        <w:tc>
          <w:tcPr>
            <w:tcW w:w="802" w:type="dxa"/>
            <w:vAlign w:val="center"/>
          </w:tcPr>
          <w:p>
            <w:pPr>
              <w:tabs>
                <w:tab w:val="clear" w:pos="480"/>
              </w:tabs>
              <w:adjustRightInd w:val="0"/>
              <w:snapToGrid w:val="0"/>
              <w:spacing w:line="240" w:lineRule="auto"/>
              <w:ind w:firstLine="0" w:firstLineChars="0"/>
              <w:jc w:val="center"/>
              <w:rPr>
                <w:sz w:val="21"/>
                <w:szCs w:val="21"/>
              </w:rPr>
            </w:pPr>
            <w:r>
              <w:rPr>
                <w:sz w:val="21"/>
                <w:szCs w:val="21"/>
              </w:rPr>
              <w:t>贡献值</w:t>
            </w:r>
          </w:p>
        </w:tc>
        <w:tc>
          <w:tcPr>
            <w:tcW w:w="1413" w:type="dxa"/>
            <w:vAlign w:val="center"/>
          </w:tcPr>
          <w:p>
            <w:pPr>
              <w:tabs>
                <w:tab w:val="clear" w:pos="480"/>
              </w:tabs>
              <w:adjustRightInd w:val="0"/>
              <w:snapToGrid w:val="0"/>
              <w:spacing w:line="240" w:lineRule="auto"/>
              <w:ind w:firstLine="0" w:firstLineChars="0"/>
              <w:jc w:val="center"/>
              <w:rPr>
                <w:sz w:val="21"/>
                <w:szCs w:val="21"/>
              </w:rPr>
            </w:pPr>
            <w:r>
              <w:rPr>
                <w:sz w:val="21"/>
                <w:szCs w:val="21"/>
              </w:rPr>
              <w:t>昼间标准限值</w:t>
            </w:r>
          </w:p>
        </w:tc>
        <w:tc>
          <w:tcPr>
            <w:tcW w:w="1413" w:type="dxa"/>
            <w:vAlign w:val="center"/>
          </w:tcPr>
          <w:p>
            <w:pPr>
              <w:tabs>
                <w:tab w:val="clear" w:pos="480"/>
              </w:tabs>
              <w:adjustRightInd w:val="0"/>
              <w:snapToGrid w:val="0"/>
              <w:spacing w:line="240" w:lineRule="auto"/>
              <w:ind w:firstLine="0" w:firstLineChars="0"/>
              <w:jc w:val="center"/>
              <w:rPr>
                <w:sz w:val="21"/>
                <w:szCs w:val="21"/>
              </w:rPr>
            </w:pPr>
            <w:r>
              <w:rPr>
                <w:sz w:val="21"/>
                <w:szCs w:val="21"/>
              </w:rPr>
              <w:t>夜间标准限值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6" w:type="dxa"/>
            <w:vMerge w:val="restart"/>
            <w:vAlign w:val="center"/>
          </w:tcPr>
          <w:p>
            <w:pPr>
              <w:tabs>
                <w:tab w:val="clear" w:pos="480"/>
              </w:tabs>
              <w:spacing w:line="240" w:lineRule="auto"/>
              <w:ind w:firstLine="0" w:firstLineChars="0"/>
              <w:jc w:val="center"/>
              <w:rPr>
                <w:sz w:val="21"/>
                <w:szCs w:val="21"/>
              </w:rPr>
            </w:pPr>
            <w:r>
              <w:rPr>
                <w:sz w:val="21"/>
                <w:szCs w:val="21"/>
              </w:rPr>
              <w:t>码头作业区各机械设备、到港船舶</w:t>
            </w:r>
          </w:p>
        </w:tc>
        <w:tc>
          <w:tcPr>
            <w:tcW w:w="2662"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码头前沿西北</w:t>
            </w:r>
            <w:r>
              <w:rPr>
                <w:sz w:val="21"/>
                <w:szCs w:val="21"/>
              </w:rPr>
              <w:t>厂界</w:t>
            </w:r>
          </w:p>
        </w:tc>
        <w:tc>
          <w:tcPr>
            <w:tcW w:w="825" w:type="dxa"/>
            <w:vMerge w:val="restart"/>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94.6</w:t>
            </w:r>
          </w:p>
        </w:tc>
        <w:tc>
          <w:tcPr>
            <w:tcW w:w="900"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20</w:t>
            </w:r>
          </w:p>
        </w:tc>
        <w:tc>
          <w:tcPr>
            <w:tcW w:w="802" w:type="dxa"/>
            <w:vAlign w:val="center"/>
          </w:tcPr>
          <w:p>
            <w:pPr>
              <w:tabs>
                <w:tab w:val="left" w:pos="417"/>
                <w:tab w:val="clear" w:pos="480"/>
              </w:tabs>
              <w:adjustRightInd w:val="0"/>
              <w:snapToGrid w:val="0"/>
              <w:spacing w:line="240" w:lineRule="auto"/>
              <w:ind w:firstLine="0" w:firstLineChars="0"/>
              <w:jc w:val="center"/>
              <w:rPr>
                <w:sz w:val="21"/>
                <w:szCs w:val="21"/>
              </w:rPr>
            </w:pPr>
            <w:r>
              <w:rPr>
                <w:rFonts w:hint="eastAsia"/>
                <w:sz w:val="21"/>
                <w:szCs w:val="21"/>
              </w:rPr>
              <w:t>68.56</w:t>
            </w:r>
          </w:p>
        </w:tc>
        <w:tc>
          <w:tcPr>
            <w:tcW w:w="1413" w:type="dxa"/>
            <w:vMerge w:val="restart"/>
            <w:vAlign w:val="center"/>
          </w:tcPr>
          <w:p>
            <w:pPr>
              <w:tabs>
                <w:tab w:val="left" w:pos="417"/>
                <w:tab w:val="clear" w:pos="480"/>
              </w:tabs>
              <w:adjustRightInd w:val="0"/>
              <w:snapToGrid w:val="0"/>
              <w:spacing w:line="240" w:lineRule="auto"/>
              <w:ind w:firstLine="0" w:firstLineChars="0"/>
              <w:jc w:val="center"/>
              <w:rPr>
                <w:sz w:val="21"/>
                <w:szCs w:val="21"/>
              </w:rPr>
            </w:pPr>
            <w:r>
              <w:rPr>
                <w:rFonts w:hint="eastAsia"/>
                <w:sz w:val="21"/>
                <w:szCs w:val="21"/>
              </w:rPr>
              <w:t>70</w:t>
            </w:r>
          </w:p>
        </w:tc>
        <w:tc>
          <w:tcPr>
            <w:tcW w:w="1413" w:type="dxa"/>
            <w:vMerge w:val="restart"/>
            <w:vAlign w:val="center"/>
          </w:tcPr>
          <w:p>
            <w:pPr>
              <w:tabs>
                <w:tab w:val="left" w:pos="417"/>
                <w:tab w:val="clear" w:pos="480"/>
              </w:tabs>
              <w:adjustRightInd w:val="0"/>
              <w:snapToGrid w:val="0"/>
              <w:spacing w:line="240" w:lineRule="auto"/>
              <w:ind w:firstLine="0" w:firstLineChars="0"/>
              <w:jc w:val="center"/>
              <w:rPr>
                <w:sz w:val="21"/>
                <w:szCs w:val="21"/>
              </w:rPr>
            </w:pPr>
            <w:r>
              <w:rPr>
                <w:sz w:val="21"/>
                <w:szCs w:val="21"/>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6" w:type="dxa"/>
            <w:vMerge w:val="continue"/>
            <w:vAlign w:val="center"/>
          </w:tcPr>
          <w:p>
            <w:pPr>
              <w:tabs>
                <w:tab w:val="clear" w:pos="480"/>
              </w:tabs>
              <w:spacing w:line="240" w:lineRule="auto"/>
              <w:ind w:firstLine="0" w:firstLineChars="0"/>
              <w:jc w:val="center"/>
              <w:rPr>
                <w:sz w:val="21"/>
                <w:szCs w:val="21"/>
              </w:rPr>
            </w:pPr>
          </w:p>
        </w:tc>
        <w:tc>
          <w:tcPr>
            <w:tcW w:w="2662"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后方陆域A地块</w:t>
            </w:r>
            <w:r>
              <w:rPr>
                <w:sz w:val="21"/>
                <w:szCs w:val="21"/>
              </w:rPr>
              <w:t>东</w:t>
            </w:r>
            <w:r>
              <w:rPr>
                <w:rFonts w:hint="eastAsia"/>
                <w:sz w:val="21"/>
                <w:szCs w:val="21"/>
              </w:rPr>
              <w:t>北</w:t>
            </w:r>
            <w:r>
              <w:rPr>
                <w:sz w:val="21"/>
                <w:szCs w:val="21"/>
              </w:rPr>
              <w:t>厂界</w:t>
            </w:r>
          </w:p>
        </w:tc>
        <w:tc>
          <w:tcPr>
            <w:tcW w:w="825" w:type="dxa"/>
            <w:vMerge w:val="continue"/>
            <w:vAlign w:val="center"/>
          </w:tcPr>
          <w:p>
            <w:pPr>
              <w:tabs>
                <w:tab w:val="clear" w:pos="480"/>
              </w:tabs>
              <w:adjustRightInd w:val="0"/>
              <w:snapToGrid w:val="0"/>
              <w:spacing w:line="240" w:lineRule="auto"/>
              <w:ind w:left="480" w:leftChars="200" w:firstLine="0" w:firstLineChars="0"/>
              <w:jc w:val="center"/>
              <w:rPr>
                <w:sz w:val="21"/>
                <w:szCs w:val="21"/>
              </w:rPr>
            </w:pPr>
          </w:p>
        </w:tc>
        <w:tc>
          <w:tcPr>
            <w:tcW w:w="900"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387</w:t>
            </w:r>
          </w:p>
        </w:tc>
        <w:tc>
          <w:tcPr>
            <w:tcW w:w="802" w:type="dxa"/>
            <w:vAlign w:val="center"/>
          </w:tcPr>
          <w:p>
            <w:pPr>
              <w:tabs>
                <w:tab w:val="left" w:pos="417"/>
                <w:tab w:val="clear" w:pos="480"/>
              </w:tabs>
              <w:adjustRightInd w:val="0"/>
              <w:snapToGrid w:val="0"/>
              <w:spacing w:line="240" w:lineRule="auto"/>
              <w:ind w:firstLine="0" w:firstLineChars="0"/>
              <w:jc w:val="center"/>
              <w:rPr>
                <w:sz w:val="21"/>
                <w:szCs w:val="21"/>
              </w:rPr>
            </w:pPr>
            <w:r>
              <w:rPr>
                <w:rFonts w:hint="eastAsia"/>
                <w:sz w:val="21"/>
                <w:szCs w:val="21"/>
              </w:rPr>
              <w:t>42.8</w:t>
            </w:r>
          </w:p>
        </w:tc>
        <w:tc>
          <w:tcPr>
            <w:tcW w:w="1413" w:type="dxa"/>
            <w:vMerge w:val="continue"/>
            <w:vAlign w:val="center"/>
          </w:tcPr>
          <w:p>
            <w:pPr>
              <w:tabs>
                <w:tab w:val="left" w:pos="417"/>
                <w:tab w:val="clear" w:pos="480"/>
              </w:tabs>
              <w:adjustRightInd w:val="0"/>
              <w:snapToGrid w:val="0"/>
              <w:spacing w:line="240" w:lineRule="auto"/>
              <w:ind w:firstLine="0" w:firstLineChars="0"/>
              <w:jc w:val="center"/>
              <w:rPr>
                <w:sz w:val="21"/>
                <w:szCs w:val="21"/>
              </w:rPr>
            </w:pPr>
          </w:p>
        </w:tc>
        <w:tc>
          <w:tcPr>
            <w:tcW w:w="1413" w:type="dxa"/>
            <w:vMerge w:val="continue"/>
            <w:vAlign w:val="center"/>
          </w:tcPr>
          <w:p>
            <w:pPr>
              <w:tabs>
                <w:tab w:val="left" w:pos="417"/>
                <w:tab w:val="clear" w:pos="480"/>
              </w:tabs>
              <w:adjustRightInd w:val="0"/>
              <w:snapToGrid w:val="0"/>
              <w:spacing w:line="240" w:lineRule="auto"/>
              <w:ind w:firstLine="0" w:firstLineChars="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6" w:type="dxa"/>
            <w:vMerge w:val="continue"/>
            <w:vAlign w:val="center"/>
          </w:tcPr>
          <w:p>
            <w:pPr>
              <w:tabs>
                <w:tab w:val="clear" w:pos="480"/>
              </w:tabs>
              <w:spacing w:line="240" w:lineRule="auto"/>
              <w:ind w:firstLine="0" w:firstLineChars="0"/>
              <w:jc w:val="center"/>
              <w:rPr>
                <w:sz w:val="21"/>
                <w:szCs w:val="21"/>
              </w:rPr>
            </w:pPr>
          </w:p>
        </w:tc>
        <w:tc>
          <w:tcPr>
            <w:tcW w:w="2662"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后方陆域A地块东南厂界</w:t>
            </w:r>
          </w:p>
        </w:tc>
        <w:tc>
          <w:tcPr>
            <w:tcW w:w="825" w:type="dxa"/>
            <w:vMerge w:val="continue"/>
            <w:vAlign w:val="center"/>
          </w:tcPr>
          <w:p>
            <w:pPr>
              <w:tabs>
                <w:tab w:val="clear" w:pos="480"/>
              </w:tabs>
              <w:adjustRightInd w:val="0"/>
              <w:snapToGrid w:val="0"/>
              <w:spacing w:line="240" w:lineRule="auto"/>
              <w:ind w:left="480" w:leftChars="200" w:firstLine="0" w:firstLineChars="0"/>
              <w:jc w:val="center"/>
              <w:rPr>
                <w:sz w:val="21"/>
                <w:szCs w:val="21"/>
              </w:rPr>
            </w:pPr>
          </w:p>
        </w:tc>
        <w:tc>
          <w:tcPr>
            <w:tcW w:w="900"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341</w:t>
            </w:r>
          </w:p>
        </w:tc>
        <w:tc>
          <w:tcPr>
            <w:tcW w:w="802" w:type="dxa"/>
            <w:vAlign w:val="center"/>
          </w:tcPr>
          <w:p>
            <w:pPr>
              <w:tabs>
                <w:tab w:val="left" w:pos="417"/>
                <w:tab w:val="clear" w:pos="480"/>
              </w:tabs>
              <w:adjustRightInd w:val="0"/>
              <w:snapToGrid w:val="0"/>
              <w:spacing w:line="240" w:lineRule="auto"/>
              <w:ind w:firstLine="0" w:firstLineChars="0"/>
              <w:jc w:val="center"/>
              <w:rPr>
                <w:sz w:val="21"/>
                <w:szCs w:val="21"/>
              </w:rPr>
            </w:pPr>
            <w:r>
              <w:rPr>
                <w:rFonts w:hint="eastAsia"/>
                <w:sz w:val="21"/>
                <w:szCs w:val="21"/>
              </w:rPr>
              <w:t>43.95</w:t>
            </w:r>
          </w:p>
        </w:tc>
        <w:tc>
          <w:tcPr>
            <w:tcW w:w="1413" w:type="dxa"/>
            <w:vMerge w:val="continue"/>
            <w:vAlign w:val="center"/>
          </w:tcPr>
          <w:p>
            <w:pPr>
              <w:tabs>
                <w:tab w:val="left" w:pos="417"/>
                <w:tab w:val="clear" w:pos="480"/>
              </w:tabs>
              <w:adjustRightInd w:val="0"/>
              <w:snapToGrid w:val="0"/>
              <w:spacing w:line="240" w:lineRule="auto"/>
              <w:ind w:firstLine="0" w:firstLineChars="0"/>
              <w:jc w:val="center"/>
              <w:rPr>
                <w:sz w:val="21"/>
                <w:szCs w:val="21"/>
              </w:rPr>
            </w:pPr>
          </w:p>
        </w:tc>
        <w:tc>
          <w:tcPr>
            <w:tcW w:w="1413" w:type="dxa"/>
            <w:vMerge w:val="continue"/>
            <w:vAlign w:val="center"/>
          </w:tcPr>
          <w:p>
            <w:pPr>
              <w:tabs>
                <w:tab w:val="left" w:pos="417"/>
                <w:tab w:val="clear" w:pos="480"/>
              </w:tabs>
              <w:adjustRightInd w:val="0"/>
              <w:snapToGrid w:val="0"/>
              <w:spacing w:line="240" w:lineRule="auto"/>
              <w:ind w:firstLine="0" w:firstLineChars="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6" w:type="dxa"/>
            <w:vMerge w:val="continue"/>
            <w:vAlign w:val="center"/>
          </w:tcPr>
          <w:p>
            <w:pPr>
              <w:tabs>
                <w:tab w:val="clear" w:pos="480"/>
              </w:tabs>
              <w:spacing w:line="240" w:lineRule="auto"/>
              <w:ind w:firstLine="0" w:firstLineChars="0"/>
              <w:jc w:val="center"/>
              <w:rPr>
                <w:sz w:val="21"/>
                <w:szCs w:val="21"/>
              </w:rPr>
            </w:pPr>
          </w:p>
        </w:tc>
        <w:tc>
          <w:tcPr>
            <w:tcW w:w="2662"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后方陆域A地块西南厂界</w:t>
            </w:r>
          </w:p>
        </w:tc>
        <w:tc>
          <w:tcPr>
            <w:tcW w:w="825" w:type="dxa"/>
            <w:vMerge w:val="continue"/>
            <w:vAlign w:val="center"/>
          </w:tcPr>
          <w:p>
            <w:pPr>
              <w:tabs>
                <w:tab w:val="clear" w:pos="480"/>
              </w:tabs>
              <w:adjustRightInd w:val="0"/>
              <w:snapToGrid w:val="0"/>
              <w:spacing w:line="240" w:lineRule="auto"/>
              <w:ind w:firstLine="0" w:firstLineChars="0"/>
              <w:jc w:val="center"/>
              <w:rPr>
                <w:sz w:val="21"/>
                <w:szCs w:val="21"/>
              </w:rPr>
            </w:pPr>
          </w:p>
        </w:tc>
        <w:tc>
          <w:tcPr>
            <w:tcW w:w="900"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377</w:t>
            </w:r>
          </w:p>
        </w:tc>
        <w:tc>
          <w:tcPr>
            <w:tcW w:w="802" w:type="dxa"/>
            <w:vAlign w:val="center"/>
          </w:tcPr>
          <w:p>
            <w:pPr>
              <w:tabs>
                <w:tab w:val="left" w:pos="417"/>
                <w:tab w:val="clear" w:pos="480"/>
              </w:tabs>
              <w:adjustRightInd w:val="0"/>
              <w:snapToGrid w:val="0"/>
              <w:spacing w:line="240" w:lineRule="auto"/>
              <w:ind w:firstLine="0" w:firstLineChars="0"/>
              <w:jc w:val="center"/>
              <w:rPr>
                <w:sz w:val="21"/>
                <w:szCs w:val="21"/>
              </w:rPr>
            </w:pPr>
            <w:r>
              <w:rPr>
                <w:rFonts w:hint="eastAsia"/>
                <w:sz w:val="21"/>
                <w:szCs w:val="21"/>
              </w:rPr>
              <w:t>43.07</w:t>
            </w:r>
          </w:p>
        </w:tc>
        <w:tc>
          <w:tcPr>
            <w:tcW w:w="1413" w:type="dxa"/>
            <w:vMerge w:val="continue"/>
            <w:vAlign w:val="center"/>
          </w:tcPr>
          <w:p>
            <w:pPr>
              <w:tabs>
                <w:tab w:val="left" w:pos="417"/>
                <w:tab w:val="clear" w:pos="480"/>
              </w:tabs>
              <w:adjustRightInd w:val="0"/>
              <w:snapToGrid w:val="0"/>
              <w:spacing w:line="240" w:lineRule="auto"/>
              <w:ind w:firstLine="0" w:firstLineChars="0"/>
              <w:jc w:val="center"/>
              <w:rPr>
                <w:sz w:val="21"/>
                <w:szCs w:val="21"/>
              </w:rPr>
            </w:pPr>
          </w:p>
        </w:tc>
        <w:tc>
          <w:tcPr>
            <w:tcW w:w="1413" w:type="dxa"/>
            <w:vMerge w:val="continue"/>
            <w:vAlign w:val="center"/>
          </w:tcPr>
          <w:p>
            <w:pPr>
              <w:tabs>
                <w:tab w:val="left" w:pos="417"/>
                <w:tab w:val="clear" w:pos="480"/>
              </w:tabs>
              <w:adjustRightInd w:val="0"/>
              <w:snapToGrid w:val="0"/>
              <w:spacing w:line="240" w:lineRule="auto"/>
              <w:ind w:firstLine="0" w:firstLineChars="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6" w:type="dxa"/>
            <w:vMerge w:val="continue"/>
            <w:vAlign w:val="center"/>
          </w:tcPr>
          <w:p>
            <w:pPr>
              <w:tabs>
                <w:tab w:val="clear" w:pos="480"/>
              </w:tabs>
              <w:spacing w:line="240" w:lineRule="auto"/>
              <w:ind w:firstLine="0" w:firstLineChars="0"/>
              <w:jc w:val="center"/>
              <w:rPr>
                <w:sz w:val="21"/>
                <w:szCs w:val="21"/>
              </w:rPr>
            </w:pPr>
          </w:p>
        </w:tc>
        <w:tc>
          <w:tcPr>
            <w:tcW w:w="2662"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后方陆域B地块西北</w:t>
            </w:r>
            <w:r>
              <w:rPr>
                <w:sz w:val="21"/>
                <w:szCs w:val="21"/>
              </w:rPr>
              <w:t>厂界</w:t>
            </w:r>
          </w:p>
        </w:tc>
        <w:tc>
          <w:tcPr>
            <w:tcW w:w="825" w:type="dxa"/>
            <w:vMerge w:val="continue"/>
            <w:vAlign w:val="center"/>
          </w:tcPr>
          <w:p>
            <w:pPr>
              <w:tabs>
                <w:tab w:val="clear" w:pos="480"/>
              </w:tabs>
              <w:adjustRightInd w:val="0"/>
              <w:snapToGrid w:val="0"/>
              <w:spacing w:line="240" w:lineRule="auto"/>
              <w:ind w:firstLine="0" w:firstLineChars="0"/>
              <w:jc w:val="center"/>
              <w:rPr>
                <w:sz w:val="21"/>
                <w:szCs w:val="21"/>
              </w:rPr>
            </w:pPr>
          </w:p>
        </w:tc>
        <w:tc>
          <w:tcPr>
            <w:tcW w:w="900"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405</w:t>
            </w:r>
          </w:p>
        </w:tc>
        <w:tc>
          <w:tcPr>
            <w:tcW w:w="802" w:type="dxa"/>
            <w:vAlign w:val="center"/>
          </w:tcPr>
          <w:p>
            <w:pPr>
              <w:tabs>
                <w:tab w:val="left" w:pos="417"/>
                <w:tab w:val="clear" w:pos="480"/>
              </w:tabs>
              <w:adjustRightInd w:val="0"/>
              <w:snapToGrid w:val="0"/>
              <w:spacing w:line="240" w:lineRule="auto"/>
              <w:ind w:firstLine="0" w:firstLineChars="0"/>
              <w:jc w:val="center"/>
              <w:rPr>
                <w:sz w:val="21"/>
                <w:szCs w:val="21"/>
              </w:rPr>
            </w:pPr>
            <w:r>
              <w:rPr>
                <w:rFonts w:hint="eastAsia"/>
                <w:sz w:val="21"/>
                <w:szCs w:val="21"/>
              </w:rPr>
              <w:t>42.45</w:t>
            </w:r>
          </w:p>
        </w:tc>
        <w:tc>
          <w:tcPr>
            <w:tcW w:w="1413" w:type="dxa"/>
            <w:vMerge w:val="restart"/>
            <w:vAlign w:val="center"/>
          </w:tcPr>
          <w:p>
            <w:pPr>
              <w:tabs>
                <w:tab w:val="left" w:pos="417"/>
                <w:tab w:val="clear" w:pos="480"/>
              </w:tabs>
              <w:adjustRightInd w:val="0"/>
              <w:snapToGrid w:val="0"/>
              <w:spacing w:line="240" w:lineRule="auto"/>
              <w:ind w:firstLine="0" w:firstLineChars="0"/>
              <w:jc w:val="center"/>
              <w:rPr>
                <w:sz w:val="21"/>
                <w:szCs w:val="21"/>
              </w:rPr>
            </w:pPr>
            <w:r>
              <w:rPr>
                <w:rFonts w:hint="eastAsia"/>
                <w:sz w:val="21"/>
                <w:szCs w:val="21"/>
              </w:rPr>
              <w:t>65</w:t>
            </w:r>
          </w:p>
        </w:tc>
        <w:tc>
          <w:tcPr>
            <w:tcW w:w="1413" w:type="dxa"/>
            <w:vMerge w:val="restart"/>
            <w:vAlign w:val="center"/>
          </w:tcPr>
          <w:p>
            <w:pPr>
              <w:tabs>
                <w:tab w:val="left" w:pos="417"/>
                <w:tab w:val="clear" w:pos="480"/>
              </w:tabs>
              <w:adjustRightInd w:val="0"/>
              <w:snapToGrid w:val="0"/>
              <w:spacing w:line="240" w:lineRule="auto"/>
              <w:ind w:firstLine="0" w:firstLineChars="0"/>
              <w:jc w:val="center"/>
              <w:rPr>
                <w:sz w:val="21"/>
                <w:szCs w:val="21"/>
              </w:rPr>
            </w:pPr>
            <w:r>
              <w:rPr>
                <w:rFonts w:hint="eastAsia"/>
                <w:sz w:val="21"/>
                <w:szCs w:val="21"/>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6" w:type="dxa"/>
            <w:vMerge w:val="continue"/>
            <w:vAlign w:val="center"/>
          </w:tcPr>
          <w:p>
            <w:pPr>
              <w:tabs>
                <w:tab w:val="clear" w:pos="480"/>
              </w:tabs>
              <w:spacing w:line="240" w:lineRule="auto"/>
              <w:ind w:firstLine="0" w:firstLineChars="0"/>
              <w:jc w:val="center"/>
              <w:rPr>
                <w:sz w:val="21"/>
                <w:szCs w:val="21"/>
              </w:rPr>
            </w:pPr>
          </w:p>
        </w:tc>
        <w:tc>
          <w:tcPr>
            <w:tcW w:w="2662"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后方陆域B地块</w:t>
            </w:r>
            <w:r>
              <w:rPr>
                <w:sz w:val="21"/>
                <w:szCs w:val="21"/>
              </w:rPr>
              <w:t>东</w:t>
            </w:r>
            <w:r>
              <w:rPr>
                <w:rFonts w:hint="eastAsia"/>
                <w:sz w:val="21"/>
                <w:szCs w:val="21"/>
              </w:rPr>
              <w:t>北</w:t>
            </w:r>
            <w:r>
              <w:rPr>
                <w:sz w:val="21"/>
                <w:szCs w:val="21"/>
              </w:rPr>
              <w:t>厂界</w:t>
            </w:r>
          </w:p>
        </w:tc>
        <w:tc>
          <w:tcPr>
            <w:tcW w:w="825" w:type="dxa"/>
            <w:vMerge w:val="continue"/>
            <w:vAlign w:val="center"/>
          </w:tcPr>
          <w:p>
            <w:pPr>
              <w:tabs>
                <w:tab w:val="clear" w:pos="480"/>
              </w:tabs>
              <w:adjustRightInd w:val="0"/>
              <w:snapToGrid w:val="0"/>
              <w:spacing w:line="240" w:lineRule="auto"/>
              <w:ind w:firstLine="0" w:firstLineChars="0"/>
              <w:jc w:val="center"/>
              <w:rPr>
                <w:sz w:val="21"/>
                <w:szCs w:val="21"/>
              </w:rPr>
            </w:pPr>
          </w:p>
        </w:tc>
        <w:tc>
          <w:tcPr>
            <w:tcW w:w="900"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577</w:t>
            </w:r>
          </w:p>
        </w:tc>
        <w:tc>
          <w:tcPr>
            <w:tcW w:w="802" w:type="dxa"/>
            <w:vAlign w:val="center"/>
          </w:tcPr>
          <w:p>
            <w:pPr>
              <w:tabs>
                <w:tab w:val="left" w:pos="417"/>
                <w:tab w:val="clear" w:pos="480"/>
              </w:tabs>
              <w:adjustRightInd w:val="0"/>
              <w:snapToGrid w:val="0"/>
              <w:spacing w:line="240" w:lineRule="auto"/>
              <w:ind w:firstLine="0" w:firstLineChars="0"/>
              <w:jc w:val="center"/>
              <w:rPr>
                <w:sz w:val="21"/>
                <w:szCs w:val="21"/>
              </w:rPr>
            </w:pPr>
            <w:r>
              <w:rPr>
                <w:rFonts w:hint="eastAsia"/>
                <w:sz w:val="21"/>
                <w:szCs w:val="21"/>
              </w:rPr>
              <w:t>39.38</w:t>
            </w:r>
          </w:p>
        </w:tc>
        <w:tc>
          <w:tcPr>
            <w:tcW w:w="1413" w:type="dxa"/>
            <w:vMerge w:val="continue"/>
            <w:vAlign w:val="center"/>
          </w:tcPr>
          <w:p>
            <w:pPr>
              <w:tabs>
                <w:tab w:val="left" w:pos="417"/>
                <w:tab w:val="clear" w:pos="480"/>
              </w:tabs>
              <w:adjustRightInd w:val="0"/>
              <w:snapToGrid w:val="0"/>
              <w:spacing w:line="240" w:lineRule="auto"/>
              <w:ind w:firstLine="0" w:firstLineChars="0"/>
              <w:jc w:val="center"/>
              <w:rPr>
                <w:sz w:val="21"/>
                <w:szCs w:val="21"/>
              </w:rPr>
            </w:pPr>
          </w:p>
        </w:tc>
        <w:tc>
          <w:tcPr>
            <w:tcW w:w="1413" w:type="dxa"/>
            <w:vMerge w:val="continue"/>
            <w:vAlign w:val="center"/>
          </w:tcPr>
          <w:p>
            <w:pPr>
              <w:tabs>
                <w:tab w:val="left" w:pos="417"/>
                <w:tab w:val="clear" w:pos="480"/>
              </w:tabs>
              <w:adjustRightInd w:val="0"/>
              <w:snapToGrid w:val="0"/>
              <w:spacing w:line="240" w:lineRule="auto"/>
              <w:ind w:firstLine="0" w:firstLineChars="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6" w:type="dxa"/>
            <w:vMerge w:val="continue"/>
            <w:vAlign w:val="center"/>
          </w:tcPr>
          <w:p>
            <w:pPr>
              <w:tabs>
                <w:tab w:val="clear" w:pos="480"/>
              </w:tabs>
              <w:spacing w:line="240" w:lineRule="auto"/>
              <w:ind w:firstLine="0" w:firstLineChars="0"/>
              <w:jc w:val="center"/>
              <w:rPr>
                <w:sz w:val="21"/>
                <w:szCs w:val="21"/>
              </w:rPr>
            </w:pPr>
          </w:p>
        </w:tc>
        <w:tc>
          <w:tcPr>
            <w:tcW w:w="2662"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后方陆域B地块东南厂界</w:t>
            </w:r>
          </w:p>
        </w:tc>
        <w:tc>
          <w:tcPr>
            <w:tcW w:w="825" w:type="dxa"/>
            <w:vMerge w:val="continue"/>
            <w:vAlign w:val="center"/>
          </w:tcPr>
          <w:p>
            <w:pPr>
              <w:tabs>
                <w:tab w:val="clear" w:pos="480"/>
              </w:tabs>
              <w:adjustRightInd w:val="0"/>
              <w:snapToGrid w:val="0"/>
              <w:spacing w:line="240" w:lineRule="auto"/>
              <w:ind w:firstLine="0" w:firstLineChars="0"/>
              <w:jc w:val="center"/>
              <w:rPr>
                <w:sz w:val="21"/>
                <w:szCs w:val="21"/>
              </w:rPr>
            </w:pPr>
          </w:p>
        </w:tc>
        <w:tc>
          <w:tcPr>
            <w:tcW w:w="900"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667</w:t>
            </w:r>
          </w:p>
        </w:tc>
        <w:tc>
          <w:tcPr>
            <w:tcW w:w="802" w:type="dxa"/>
            <w:vAlign w:val="center"/>
          </w:tcPr>
          <w:p>
            <w:pPr>
              <w:tabs>
                <w:tab w:val="left" w:pos="417"/>
                <w:tab w:val="clear" w:pos="480"/>
              </w:tabs>
              <w:adjustRightInd w:val="0"/>
              <w:snapToGrid w:val="0"/>
              <w:spacing w:line="240" w:lineRule="auto"/>
              <w:ind w:firstLine="0" w:firstLineChars="0"/>
              <w:jc w:val="center"/>
              <w:rPr>
                <w:sz w:val="21"/>
                <w:szCs w:val="21"/>
              </w:rPr>
            </w:pPr>
            <w:r>
              <w:rPr>
                <w:rFonts w:hint="eastAsia"/>
                <w:sz w:val="21"/>
                <w:szCs w:val="21"/>
              </w:rPr>
              <w:t>38.17</w:t>
            </w:r>
          </w:p>
        </w:tc>
        <w:tc>
          <w:tcPr>
            <w:tcW w:w="1413" w:type="dxa"/>
            <w:vMerge w:val="continue"/>
            <w:vAlign w:val="center"/>
          </w:tcPr>
          <w:p>
            <w:pPr>
              <w:tabs>
                <w:tab w:val="left" w:pos="417"/>
                <w:tab w:val="clear" w:pos="480"/>
              </w:tabs>
              <w:adjustRightInd w:val="0"/>
              <w:snapToGrid w:val="0"/>
              <w:spacing w:line="240" w:lineRule="auto"/>
              <w:ind w:firstLine="0" w:firstLineChars="0"/>
              <w:jc w:val="center"/>
              <w:rPr>
                <w:sz w:val="21"/>
                <w:szCs w:val="21"/>
              </w:rPr>
            </w:pPr>
          </w:p>
        </w:tc>
        <w:tc>
          <w:tcPr>
            <w:tcW w:w="1413" w:type="dxa"/>
            <w:vMerge w:val="continue"/>
            <w:vAlign w:val="center"/>
          </w:tcPr>
          <w:p>
            <w:pPr>
              <w:tabs>
                <w:tab w:val="left" w:pos="417"/>
                <w:tab w:val="clear" w:pos="480"/>
              </w:tabs>
              <w:adjustRightInd w:val="0"/>
              <w:snapToGrid w:val="0"/>
              <w:spacing w:line="240" w:lineRule="auto"/>
              <w:ind w:firstLine="0" w:firstLineChars="0"/>
              <w:jc w:val="cente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6" w:type="dxa"/>
            <w:vMerge w:val="continue"/>
            <w:vAlign w:val="center"/>
          </w:tcPr>
          <w:p>
            <w:pPr>
              <w:tabs>
                <w:tab w:val="clear" w:pos="480"/>
              </w:tabs>
              <w:spacing w:line="240" w:lineRule="auto"/>
              <w:ind w:firstLine="0" w:firstLineChars="0"/>
              <w:jc w:val="center"/>
              <w:rPr>
                <w:sz w:val="21"/>
                <w:szCs w:val="21"/>
              </w:rPr>
            </w:pPr>
          </w:p>
        </w:tc>
        <w:tc>
          <w:tcPr>
            <w:tcW w:w="2662"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后方陆域B地块西南厂界</w:t>
            </w:r>
          </w:p>
        </w:tc>
        <w:tc>
          <w:tcPr>
            <w:tcW w:w="825" w:type="dxa"/>
            <w:vMerge w:val="continue"/>
            <w:vAlign w:val="center"/>
          </w:tcPr>
          <w:p>
            <w:pPr>
              <w:tabs>
                <w:tab w:val="clear" w:pos="480"/>
              </w:tabs>
              <w:adjustRightInd w:val="0"/>
              <w:snapToGrid w:val="0"/>
              <w:spacing w:line="240" w:lineRule="auto"/>
              <w:ind w:firstLine="0" w:firstLineChars="0"/>
              <w:jc w:val="center"/>
              <w:rPr>
                <w:sz w:val="21"/>
                <w:szCs w:val="21"/>
              </w:rPr>
            </w:pPr>
          </w:p>
        </w:tc>
        <w:tc>
          <w:tcPr>
            <w:tcW w:w="900"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598</w:t>
            </w:r>
          </w:p>
        </w:tc>
        <w:tc>
          <w:tcPr>
            <w:tcW w:w="802" w:type="dxa"/>
            <w:vAlign w:val="center"/>
          </w:tcPr>
          <w:p>
            <w:pPr>
              <w:tabs>
                <w:tab w:val="left" w:pos="417"/>
                <w:tab w:val="clear" w:pos="480"/>
              </w:tabs>
              <w:adjustRightInd w:val="0"/>
              <w:snapToGrid w:val="0"/>
              <w:spacing w:line="240" w:lineRule="auto"/>
              <w:ind w:firstLine="0" w:firstLineChars="0"/>
              <w:jc w:val="center"/>
              <w:rPr>
                <w:sz w:val="21"/>
                <w:szCs w:val="21"/>
              </w:rPr>
            </w:pPr>
            <w:r>
              <w:rPr>
                <w:rFonts w:hint="eastAsia"/>
                <w:sz w:val="21"/>
                <w:szCs w:val="21"/>
              </w:rPr>
              <w:t>39.06</w:t>
            </w:r>
          </w:p>
        </w:tc>
        <w:tc>
          <w:tcPr>
            <w:tcW w:w="1413" w:type="dxa"/>
            <w:vMerge w:val="continue"/>
            <w:vAlign w:val="center"/>
          </w:tcPr>
          <w:p>
            <w:pPr>
              <w:tabs>
                <w:tab w:val="left" w:pos="417"/>
                <w:tab w:val="clear" w:pos="480"/>
              </w:tabs>
              <w:adjustRightInd w:val="0"/>
              <w:snapToGrid w:val="0"/>
              <w:spacing w:line="240" w:lineRule="auto"/>
              <w:ind w:firstLine="0" w:firstLineChars="0"/>
              <w:jc w:val="center"/>
              <w:rPr>
                <w:sz w:val="21"/>
                <w:szCs w:val="21"/>
              </w:rPr>
            </w:pPr>
          </w:p>
        </w:tc>
        <w:tc>
          <w:tcPr>
            <w:tcW w:w="1413" w:type="dxa"/>
            <w:vMerge w:val="continue"/>
            <w:vAlign w:val="center"/>
          </w:tcPr>
          <w:p>
            <w:pPr>
              <w:tabs>
                <w:tab w:val="left" w:pos="417"/>
                <w:tab w:val="clear" w:pos="480"/>
              </w:tabs>
              <w:adjustRightInd w:val="0"/>
              <w:snapToGrid w:val="0"/>
              <w:spacing w:line="240" w:lineRule="auto"/>
              <w:ind w:firstLine="0" w:firstLineChars="0"/>
              <w:jc w:val="center"/>
              <w:rPr>
                <w:sz w:val="21"/>
                <w:szCs w:val="21"/>
              </w:rPr>
            </w:pPr>
          </w:p>
        </w:tc>
      </w:tr>
    </w:tbl>
    <w:p>
      <w:pPr>
        <w:pStyle w:val="3586"/>
        <w:ind w:left="0"/>
      </w:pPr>
      <w:r>
        <w:t>码头作业区工程噪声</w:t>
      </w:r>
      <w:r>
        <w:rPr>
          <w:rFonts w:hint="eastAsia"/>
        </w:rPr>
        <w:t>敏感点</w:t>
      </w:r>
      <w:r>
        <w:t>处噪声</w:t>
      </w:r>
      <w:r>
        <w:rPr>
          <w:rFonts w:hint="eastAsia"/>
        </w:rPr>
        <w:t>叠加背景值后的</w:t>
      </w:r>
      <w:r>
        <w:t>预测值 单位：dB(A)</w:t>
      </w:r>
    </w:p>
    <w:tbl>
      <w:tblPr>
        <w:tblStyle w:val="3596"/>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23"/>
        <w:gridCol w:w="2528"/>
        <w:gridCol w:w="697"/>
        <w:gridCol w:w="623"/>
        <w:gridCol w:w="600"/>
        <w:gridCol w:w="1230"/>
        <w:gridCol w:w="1050"/>
        <w:gridCol w:w="645"/>
        <w:gridCol w:w="6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3" w:type="dxa"/>
            <w:vAlign w:val="center"/>
          </w:tcPr>
          <w:p>
            <w:pPr>
              <w:tabs>
                <w:tab w:val="clear" w:pos="480"/>
              </w:tabs>
              <w:adjustRightInd w:val="0"/>
              <w:snapToGrid w:val="0"/>
              <w:spacing w:line="240" w:lineRule="auto"/>
              <w:ind w:firstLine="0" w:firstLineChars="0"/>
              <w:jc w:val="center"/>
              <w:rPr>
                <w:sz w:val="21"/>
                <w:szCs w:val="21"/>
              </w:rPr>
            </w:pPr>
            <w:r>
              <w:rPr>
                <w:sz w:val="21"/>
                <w:szCs w:val="21"/>
              </w:rPr>
              <w:t>声源</w:t>
            </w:r>
          </w:p>
        </w:tc>
        <w:tc>
          <w:tcPr>
            <w:tcW w:w="2528" w:type="dxa"/>
            <w:vAlign w:val="center"/>
          </w:tcPr>
          <w:p>
            <w:pPr>
              <w:tabs>
                <w:tab w:val="clear" w:pos="480"/>
              </w:tabs>
              <w:adjustRightInd w:val="0"/>
              <w:snapToGrid w:val="0"/>
              <w:spacing w:line="240" w:lineRule="auto"/>
              <w:ind w:firstLine="0" w:firstLineChars="0"/>
              <w:jc w:val="center"/>
              <w:rPr>
                <w:sz w:val="21"/>
                <w:szCs w:val="21"/>
              </w:rPr>
            </w:pPr>
            <w:r>
              <w:rPr>
                <w:sz w:val="21"/>
                <w:szCs w:val="21"/>
              </w:rPr>
              <w:t>影响目标</w:t>
            </w:r>
          </w:p>
        </w:tc>
        <w:tc>
          <w:tcPr>
            <w:tcW w:w="697"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源强</w:t>
            </w:r>
          </w:p>
        </w:tc>
        <w:tc>
          <w:tcPr>
            <w:tcW w:w="623" w:type="dxa"/>
            <w:vAlign w:val="center"/>
          </w:tcPr>
          <w:p>
            <w:pPr>
              <w:tabs>
                <w:tab w:val="clear" w:pos="480"/>
              </w:tabs>
              <w:adjustRightInd w:val="0"/>
              <w:snapToGrid w:val="0"/>
              <w:spacing w:line="240" w:lineRule="auto"/>
              <w:ind w:firstLine="0" w:firstLineChars="0"/>
              <w:jc w:val="center"/>
              <w:rPr>
                <w:sz w:val="21"/>
                <w:szCs w:val="21"/>
              </w:rPr>
            </w:pPr>
            <w:r>
              <w:rPr>
                <w:sz w:val="21"/>
                <w:szCs w:val="21"/>
              </w:rPr>
              <w:t>距离(m)</w:t>
            </w:r>
          </w:p>
        </w:tc>
        <w:tc>
          <w:tcPr>
            <w:tcW w:w="600" w:type="dxa"/>
            <w:vAlign w:val="center"/>
          </w:tcPr>
          <w:p>
            <w:pPr>
              <w:tabs>
                <w:tab w:val="clear" w:pos="480"/>
              </w:tabs>
              <w:adjustRightInd w:val="0"/>
              <w:snapToGrid w:val="0"/>
              <w:spacing w:line="240" w:lineRule="auto"/>
              <w:ind w:firstLine="0" w:firstLineChars="0"/>
              <w:jc w:val="center"/>
              <w:rPr>
                <w:sz w:val="21"/>
                <w:szCs w:val="21"/>
              </w:rPr>
            </w:pPr>
            <w:r>
              <w:rPr>
                <w:sz w:val="21"/>
                <w:szCs w:val="21"/>
              </w:rPr>
              <w:t>贡献值</w:t>
            </w:r>
          </w:p>
        </w:tc>
        <w:tc>
          <w:tcPr>
            <w:tcW w:w="1230"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现状值</w:t>
            </w:r>
          </w:p>
        </w:tc>
        <w:tc>
          <w:tcPr>
            <w:tcW w:w="1050"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预测值</w:t>
            </w:r>
          </w:p>
        </w:tc>
        <w:tc>
          <w:tcPr>
            <w:tcW w:w="645" w:type="dxa"/>
            <w:vAlign w:val="center"/>
          </w:tcPr>
          <w:p>
            <w:pPr>
              <w:tabs>
                <w:tab w:val="clear" w:pos="480"/>
              </w:tabs>
              <w:adjustRightInd w:val="0"/>
              <w:snapToGrid w:val="0"/>
              <w:spacing w:line="240" w:lineRule="auto"/>
              <w:ind w:firstLine="0" w:firstLineChars="0"/>
              <w:jc w:val="center"/>
              <w:rPr>
                <w:sz w:val="21"/>
                <w:szCs w:val="21"/>
              </w:rPr>
            </w:pPr>
            <w:r>
              <w:rPr>
                <w:sz w:val="21"/>
                <w:szCs w:val="21"/>
              </w:rPr>
              <w:t>昼间标准限值</w:t>
            </w:r>
          </w:p>
        </w:tc>
        <w:tc>
          <w:tcPr>
            <w:tcW w:w="646" w:type="dxa"/>
            <w:vAlign w:val="center"/>
          </w:tcPr>
          <w:p>
            <w:pPr>
              <w:tabs>
                <w:tab w:val="clear" w:pos="480"/>
              </w:tabs>
              <w:adjustRightInd w:val="0"/>
              <w:snapToGrid w:val="0"/>
              <w:spacing w:line="240" w:lineRule="auto"/>
              <w:ind w:firstLine="0" w:firstLineChars="0"/>
              <w:jc w:val="center"/>
              <w:rPr>
                <w:sz w:val="21"/>
                <w:szCs w:val="21"/>
              </w:rPr>
            </w:pPr>
            <w:r>
              <w:rPr>
                <w:sz w:val="21"/>
                <w:szCs w:val="21"/>
              </w:rPr>
              <w:t>夜间标准限值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3" w:type="dxa"/>
            <w:vMerge w:val="restart"/>
            <w:vAlign w:val="center"/>
          </w:tcPr>
          <w:p>
            <w:pPr>
              <w:tabs>
                <w:tab w:val="clear" w:pos="480"/>
              </w:tabs>
              <w:spacing w:line="240" w:lineRule="auto"/>
              <w:ind w:firstLine="0" w:firstLineChars="0"/>
              <w:jc w:val="center"/>
              <w:rPr>
                <w:sz w:val="21"/>
                <w:szCs w:val="21"/>
              </w:rPr>
            </w:pPr>
            <w:r>
              <w:rPr>
                <w:sz w:val="21"/>
                <w:szCs w:val="21"/>
              </w:rPr>
              <w:t>码头作业区各机械设备、到港船舶</w:t>
            </w:r>
          </w:p>
        </w:tc>
        <w:tc>
          <w:tcPr>
            <w:tcW w:w="2528"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码头后方陆域A地块周边200m范围环境敏感点七房村外1m</w:t>
            </w:r>
          </w:p>
        </w:tc>
        <w:tc>
          <w:tcPr>
            <w:tcW w:w="697" w:type="dxa"/>
            <w:vMerge w:val="restart"/>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94.6</w:t>
            </w:r>
          </w:p>
        </w:tc>
        <w:tc>
          <w:tcPr>
            <w:tcW w:w="623"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470</w:t>
            </w:r>
          </w:p>
        </w:tc>
        <w:tc>
          <w:tcPr>
            <w:tcW w:w="600" w:type="dxa"/>
            <w:vAlign w:val="center"/>
          </w:tcPr>
          <w:p>
            <w:pPr>
              <w:tabs>
                <w:tab w:val="left" w:pos="417"/>
                <w:tab w:val="clear" w:pos="480"/>
              </w:tabs>
              <w:adjustRightInd w:val="0"/>
              <w:snapToGrid w:val="0"/>
              <w:spacing w:line="240" w:lineRule="auto"/>
              <w:ind w:firstLine="0" w:firstLineChars="0"/>
              <w:jc w:val="center"/>
              <w:rPr>
                <w:sz w:val="21"/>
                <w:szCs w:val="21"/>
              </w:rPr>
            </w:pPr>
            <w:r>
              <w:rPr>
                <w:rFonts w:hint="eastAsia"/>
                <w:sz w:val="21"/>
                <w:szCs w:val="21"/>
              </w:rPr>
              <w:t>41.16</w:t>
            </w:r>
          </w:p>
        </w:tc>
        <w:tc>
          <w:tcPr>
            <w:tcW w:w="1230" w:type="dxa"/>
            <w:vAlign w:val="center"/>
          </w:tcPr>
          <w:p>
            <w:pPr>
              <w:tabs>
                <w:tab w:val="left" w:pos="417"/>
                <w:tab w:val="clear" w:pos="480"/>
              </w:tabs>
              <w:adjustRightInd w:val="0"/>
              <w:snapToGrid w:val="0"/>
              <w:spacing w:line="240" w:lineRule="auto"/>
              <w:ind w:firstLine="0" w:firstLineChars="0"/>
              <w:jc w:val="center"/>
              <w:rPr>
                <w:sz w:val="21"/>
                <w:szCs w:val="21"/>
              </w:rPr>
            </w:pPr>
            <w:r>
              <w:rPr>
                <w:rFonts w:hint="eastAsia"/>
                <w:sz w:val="21"/>
                <w:szCs w:val="21"/>
              </w:rPr>
              <w:t>昼间52.4/夜间43.2</w:t>
            </w:r>
          </w:p>
        </w:tc>
        <w:tc>
          <w:tcPr>
            <w:tcW w:w="1050" w:type="dxa"/>
            <w:vAlign w:val="center"/>
          </w:tcPr>
          <w:p>
            <w:pPr>
              <w:tabs>
                <w:tab w:val="left" w:pos="417"/>
                <w:tab w:val="clear" w:pos="480"/>
              </w:tabs>
              <w:adjustRightInd w:val="0"/>
              <w:snapToGrid w:val="0"/>
              <w:spacing w:line="240" w:lineRule="auto"/>
              <w:ind w:firstLine="0" w:firstLineChars="0"/>
              <w:jc w:val="center"/>
              <w:rPr>
                <w:sz w:val="21"/>
                <w:szCs w:val="21"/>
              </w:rPr>
            </w:pPr>
            <w:r>
              <w:rPr>
                <w:rFonts w:hint="eastAsia"/>
                <w:sz w:val="21"/>
                <w:szCs w:val="21"/>
              </w:rPr>
              <w:t>昼间52.4/夜间45.31</w:t>
            </w:r>
          </w:p>
        </w:tc>
        <w:tc>
          <w:tcPr>
            <w:tcW w:w="645" w:type="dxa"/>
            <w:vMerge w:val="restart"/>
            <w:vAlign w:val="center"/>
          </w:tcPr>
          <w:p>
            <w:pPr>
              <w:tabs>
                <w:tab w:val="left" w:pos="417"/>
                <w:tab w:val="clear" w:pos="480"/>
              </w:tabs>
              <w:adjustRightInd w:val="0"/>
              <w:snapToGrid w:val="0"/>
              <w:spacing w:line="240" w:lineRule="auto"/>
              <w:ind w:firstLine="0" w:firstLineChars="0"/>
              <w:jc w:val="center"/>
              <w:rPr>
                <w:sz w:val="21"/>
                <w:szCs w:val="21"/>
              </w:rPr>
            </w:pPr>
            <w:r>
              <w:rPr>
                <w:rFonts w:hint="eastAsia"/>
                <w:sz w:val="21"/>
                <w:szCs w:val="21"/>
              </w:rPr>
              <w:t>60</w:t>
            </w:r>
          </w:p>
        </w:tc>
        <w:tc>
          <w:tcPr>
            <w:tcW w:w="646" w:type="dxa"/>
            <w:vMerge w:val="restart"/>
            <w:vAlign w:val="center"/>
          </w:tcPr>
          <w:p>
            <w:pPr>
              <w:tabs>
                <w:tab w:val="left" w:pos="417"/>
                <w:tab w:val="clear" w:pos="480"/>
              </w:tabs>
              <w:adjustRightInd w:val="0"/>
              <w:snapToGrid w:val="0"/>
              <w:spacing w:line="240" w:lineRule="auto"/>
              <w:ind w:firstLine="0" w:firstLineChars="0"/>
              <w:jc w:val="center"/>
              <w:rPr>
                <w:sz w:val="21"/>
                <w:szCs w:val="21"/>
              </w:rPr>
            </w:pPr>
            <w:r>
              <w:rPr>
                <w:rFonts w:hint="eastAsia"/>
                <w:sz w:val="21"/>
                <w:szCs w:val="21"/>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3" w:type="dxa"/>
            <w:vMerge w:val="continue"/>
            <w:vAlign w:val="center"/>
          </w:tcPr>
          <w:p>
            <w:pPr>
              <w:tabs>
                <w:tab w:val="clear" w:pos="480"/>
              </w:tabs>
              <w:spacing w:line="240" w:lineRule="auto"/>
              <w:ind w:firstLine="0" w:firstLineChars="0"/>
              <w:jc w:val="center"/>
              <w:rPr>
                <w:sz w:val="21"/>
                <w:szCs w:val="21"/>
              </w:rPr>
            </w:pPr>
          </w:p>
        </w:tc>
        <w:tc>
          <w:tcPr>
            <w:tcW w:w="2528"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码头后方陆域B地块周边200m范围环境敏感点滨江村外1m</w:t>
            </w:r>
          </w:p>
        </w:tc>
        <w:tc>
          <w:tcPr>
            <w:tcW w:w="697" w:type="dxa"/>
            <w:vMerge w:val="continue"/>
            <w:vAlign w:val="center"/>
          </w:tcPr>
          <w:p>
            <w:pPr>
              <w:tabs>
                <w:tab w:val="clear" w:pos="480"/>
              </w:tabs>
              <w:adjustRightInd w:val="0"/>
              <w:snapToGrid w:val="0"/>
              <w:spacing w:line="240" w:lineRule="auto"/>
              <w:ind w:left="480" w:leftChars="200" w:firstLine="0" w:firstLineChars="0"/>
              <w:jc w:val="center"/>
              <w:rPr>
                <w:sz w:val="21"/>
                <w:szCs w:val="21"/>
              </w:rPr>
            </w:pPr>
          </w:p>
        </w:tc>
        <w:tc>
          <w:tcPr>
            <w:tcW w:w="623" w:type="dxa"/>
            <w:vAlign w:val="center"/>
          </w:tcPr>
          <w:p>
            <w:pPr>
              <w:tabs>
                <w:tab w:val="clear" w:pos="480"/>
              </w:tabs>
              <w:adjustRightInd w:val="0"/>
              <w:snapToGrid w:val="0"/>
              <w:spacing w:line="240" w:lineRule="auto"/>
              <w:ind w:firstLine="0" w:firstLineChars="0"/>
              <w:jc w:val="center"/>
              <w:rPr>
                <w:sz w:val="21"/>
                <w:szCs w:val="21"/>
              </w:rPr>
            </w:pPr>
            <w:r>
              <w:rPr>
                <w:rFonts w:hint="eastAsia"/>
                <w:sz w:val="21"/>
                <w:szCs w:val="21"/>
              </w:rPr>
              <w:t>697</w:t>
            </w:r>
          </w:p>
        </w:tc>
        <w:tc>
          <w:tcPr>
            <w:tcW w:w="600" w:type="dxa"/>
            <w:vAlign w:val="center"/>
          </w:tcPr>
          <w:p>
            <w:pPr>
              <w:tabs>
                <w:tab w:val="left" w:pos="417"/>
                <w:tab w:val="clear" w:pos="480"/>
              </w:tabs>
              <w:adjustRightInd w:val="0"/>
              <w:snapToGrid w:val="0"/>
              <w:spacing w:line="240" w:lineRule="auto"/>
              <w:ind w:firstLine="0" w:firstLineChars="0"/>
              <w:jc w:val="center"/>
              <w:rPr>
                <w:sz w:val="21"/>
                <w:szCs w:val="21"/>
              </w:rPr>
            </w:pPr>
            <w:r>
              <w:rPr>
                <w:rFonts w:hint="eastAsia"/>
                <w:sz w:val="21"/>
                <w:szCs w:val="21"/>
              </w:rPr>
              <w:t>37.74</w:t>
            </w:r>
          </w:p>
        </w:tc>
        <w:tc>
          <w:tcPr>
            <w:tcW w:w="1230" w:type="dxa"/>
            <w:vAlign w:val="center"/>
          </w:tcPr>
          <w:p>
            <w:pPr>
              <w:tabs>
                <w:tab w:val="left" w:pos="417"/>
                <w:tab w:val="clear" w:pos="480"/>
              </w:tabs>
              <w:adjustRightInd w:val="0"/>
              <w:snapToGrid w:val="0"/>
              <w:spacing w:line="240" w:lineRule="auto"/>
              <w:ind w:firstLine="0" w:firstLineChars="0"/>
              <w:jc w:val="center"/>
              <w:rPr>
                <w:sz w:val="21"/>
                <w:szCs w:val="21"/>
              </w:rPr>
            </w:pPr>
            <w:r>
              <w:rPr>
                <w:rFonts w:hint="eastAsia"/>
                <w:sz w:val="21"/>
                <w:szCs w:val="21"/>
              </w:rPr>
              <w:t>昼间56/夜间45</w:t>
            </w:r>
          </w:p>
        </w:tc>
        <w:tc>
          <w:tcPr>
            <w:tcW w:w="1050" w:type="dxa"/>
            <w:vAlign w:val="center"/>
          </w:tcPr>
          <w:p>
            <w:pPr>
              <w:tabs>
                <w:tab w:val="left" w:pos="417"/>
                <w:tab w:val="clear" w:pos="480"/>
              </w:tabs>
              <w:adjustRightInd w:val="0"/>
              <w:snapToGrid w:val="0"/>
              <w:spacing w:line="240" w:lineRule="auto"/>
              <w:ind w:firstLine="0" w:firstLineChars="0"/>
              <w:jc w:val="center"/>
              <w:rPr>
                <w:sz w:val="21"/>
                <w:szCs w:val="21"/>
              </w:rPr>
            </w:pPr>
            <w:r>
              <w:rPr>
                <w:rFonts w:hint="eastAsia"/>
                <w:sz w:val="21"/>
                <w:szCs w:val="21"/>
              </w:rPr>
              <w:t>昼间56.06/夜间45.75</w:t>
            </w:r>
          </w:p>
        </w:tc>
        <w:tc>
          <w:tcPr>
            <w:tcW w:w="645" w:type="dxa"/>
            <w:vMerge w:val="continue"/>
            <w:vAlign w:val="center"/>
          </w:tcPr>
          <w:p>
            <w:pPr>
              <w:tabs>
                <w:tab w:val="left" w:pos="417"/>
                <w:tab w:val="clear" w:pos="480"/>
              </w:tabs>
              <w:adjustRightInd w:val="0"/>
              <w:snapToGrid w:val="0"/>
              <w:spacing w:line="240" w:lineRule="auto"/>
              <w:ind w:firstLine="0" w:firstLineChars="0"/>
              <w:jc w:val="center"/>
              <w:rPr>
                <w:sz w:val="21"/>
                <w:szCs w:val="21"/>
              </w:rPr>
            </w:pPr>
          </w:p>
        </w:tc>
        <w:tc>
          <w:tcPr>
            <w:tcW w:w="646" w:type="dxa"/>
            <w:vMerge w:val="continue"/>
            <w:vAlign w:val="center"/>
          </w:tcPr>
          <w:p>
            <w:pPr>
              <w:tabs>
                <w:tab w:val="left" w:pos="417"/>
                <w:tab w:val="clear" w:pos="480"/>
              </w:tabs>
              <w:adjustRightInd w:val="0"/>
              <w:snapToGrid w:val="0"/>
              <w:spacing w:line="240" w:lineRule="auto"/>
              <w:ind w:firstLine="0" w:firstLineChars="0"/>
              <w:jc w:val="center"/>
              <w:rPr>
                <w:sz w:val="21"/>
                <w:szCs w:val="21"/>
              </w:rPr>
            </w:pPr>
          </w:p>
        </w:tc>
      </w:tr>
    </w:tbl>
    <w:p>
      <w:pPr>
        <w:ind w:firstLine="480"/>
      </w:pPr>
    </w:p>
    <w:p>
      <w:pPr>
        <w:ind w:firstLine="480"/>
      </w:pPr>
      <w:r>
        <w:t>本次评价项目为新建项目，厂界处以噪声贡献值作为评价量，根据上表，在不考虑偶发噪声的情况下</w:t>
      </w:r>
      <w:r>
        <w:rPr>
          <w:spacing w:val="-17"/>
        </w:rPr>
        <w:t>，</w:t>
      </w:r>
      <w:r>
        <w:t>项目设备生产运行时昼间、夜间各厂界噪声贡献值均可满足《工业企业厂界环境噪声排放标准》（GB12348-2008）中</w:t>
      </w:r>
      <w:r>
        <w:rPr>
          <w:rFonts w:hint="eastAsia"/>
        </w:rPr>
        <w:t>相应</w:t>
      </w:r>
      <w:r>
        <w:t>标准要求；生产活动在敏感点处噪声值贡献值与背景值叠加后可满足《声环境质量标准》（GB3096-2008）中2类标准要求。但项目营运期应采取严格的管理措施</w:t>
      </w:r>
      <w:r>
        <w:rPr>
          <w:spacing w:val="-26"/>
        </w:rPr>
        <w:t>，</w:t>
      </w:r>
      <w:r>
        <w:t>进出港船舶必须按相关要求合理使用鸣笛设备</w:t>
      </w:r>
      <w:r>
        <w:rPr>
          <w:spacing w:val="-26"/>
        </w:rPr>
        <w:t>，</w:t>
      </w:r>
      <w:r>
        <w:t>减小偶发噪声对周围声环境的影响。</w:t>
      </w:r>
    </w:p>
    <w:p>
      <w:pPr>
        <w:pStyle w:val="453"/>
        <w:ind w:firstLine="643" w:firstLineChars="0"/>
        <w:rPr>
          <w:rFonts w:ascii="Times New Roman" w:cs="Times New Roman"/>
        </w:rPr>
      </w:pPr>
      <w:bookmarkStart w:id="212" w:name="_Toc106697024"/>
      <w:bookmarkStart w:id="213" w:name="_Toc959"/>
      <w:bookmarkStart w:id="214" w:name="_Toc15584"/>
      <w:r>
        <w:rPr>
          <w:rFonts w:ascii="Times New Roman" w:cs="Times New Roman"/>
        </w:rPr>
        <w:t>固体废物环境影响预测与评价</w:t>
      </w:r>
      <w:bookmarkEnd w:id="212"/>
      <w:bookmarkEnd w:id="213"/>
      <w:bookmarkEnd w:id="214"/>
    </w:p>
    <w:p>
      <w:pPr>
        <w:pStyle w:val="454"/>
        <w:ind w:firstLine="602"/>
        <w:rPr>
          <w:color w:val="auto"/>
        </w:rPr>
      </w:pPr>
      <w:r>
        <w:rPr>
          <w:color w:val="auto"/>
        </w:rPr>
        <w:t>施工期固体废物环境影响预测与评价</w:t>
      </w:r>
    </w:p>
    <w:p>
      <w:pPr>
        <w:ind w:firstLine="480"/>
      </w:pPr>
      <w:r>
        <w:t>本项目产生的固体废物主要为施工建筑垃圾、疏浚污泥</w:t>
      </w:r>
      <w:r>
        <w:rPr>
          <w:spacing w:val="1"/>
        </w:rPr>
        <w:t>及</w:t>
      </w:r>
      <w:r>
        <w:t>施工人员生活垃圾。</w:t>
      </w:r>
    </w:p>
    <w:p>
      <w:pPr>
        <w:ind w:firstLine="480"/>
      </w:pPr>
      <w:r>
        <w:t>施工建筑垃圾中可利用的物料较多，应根据情况尽量回收利用，以降低成本并减少其发生量。</w:t>
      </w:r>
      <w:r>
        <w:rPr>
          <w:rFonts w:hint="eastAsia"/>
        </w:rPr>
        <w:t>港池疏浚污泥通过挖泥船运至</w:t>
      </w:r>
      <w:r>
        <w:rPr>
          <w:rFonts w:hint="eastAsia" w:eastAsiaTheme="minorEastAsia"/>
        </w:rPr>
        <w:t>码头用地范围内堆存，经脱水后，</w:t>
      </w:r>
      <w:r>
        <w:rPr>
          <w:rFonts w:hint="eastAsia"/>
        </w:rPr>
        <w:t>用于陆域的回填土。</w:t>
      </w:r>
      <w:r>
        <w:t>施工人员生活垃圾拟由环卫部门收集处理，船舶生活垃圾由施工单位负责交海事部门环保船接收处理。</w:t>
      </w:r>
    </w:p>
    <w:p>
      <w:pPr>
        <w:ind w:firstLine="480"/>
      </w:pPr>
      <w:r>
        <w:t>施工期最重要的就是要与施工单位签定环保责任书，由各施工单位负责施工期固体 废弃物的处理。各施工单位要加强施工管理，对施工生活垃圾和生产垃圾不能随意抛弃， 应配置一定数量的垃圾箱，定点堆放并及时转运。建设方应会同有关部门加强施工环保监理，一旦出现问题，应根据环保责任书进行处罚并限期整改。施工期的固体废弃物排放是暂时的，随着施工结束而不再增加，通过积极有效的施工管理措施，施工期固体废物不会对环境造成不利影响。</w:t>
      </w:r>
    </w:p>
    <w:p>
      <w:pPr>
        <w:pStyle w:val="454"/>
        <w:ind w:firstLine="602"/>
        <w:rPr>
          <w:color w:val="auto"/>
        </w:rPr>
      </w:pPr>
      <w:r>
        <w:rPr>
          <w:color w:val="auto"/>
        </w:rPr>
        <w:t>运营期固体废物环境影响预测与评价</w:t>
      </w:r>
    </w:p>
    <w:p>
      <w:pPr>
        <w:pStyle w:val="456"/>
        <w:ind w:firstLine="482"/>
      </w:pPr>
      <w:r>
        <w:t>固体废物产生情况</w:t>
      </w:r>
    </w:p>
    <w:p>
      <w:pPr>
        <w:ind w:firstLine="480"/>
        <w:rPr>
          <w:spacing w:val="-59"/>
        </w:rPr>
      </w:pPr>
      <w:r>
        <w:t>根据工程分析</w:t>
      </w:r>
      <w:r>
        <w:rPr>
          <w:spacing w:val="-27"/>
        </w:rPr>
        <w:t>，</w:t>
      </w:r>
      <w:r>
        <w:t>本项目营运期的固体废物主要为到港船舶生活垃圾、废机油、含油抹布、污水收集池污泥。固体废物产生及排放情况见下表</w:t>
      </w:r>
      <w:r>
        <w:rPr>
          <w:spacing w:val="-59"/>
        </w:rPr>
        <w:t>。</w:t>
      </w:r>
    </w:p>
    <w:p>
      <w:pPr>
        <w:pStyle w:val="3586"/>
        <w:ind w:left="0"/>
      </w:pPr>
      <w:r>
        <w:t>固体废弃物产生与排放情况</w:t>
      </w:r>
    </w:p>
    <w:tbl>
      <w:tblPr>
        <w:tblStyle w:val="87"/>
        <w:tblW w:w="9041" w:type="dxa"/>
        <w:jc w:val="center"/>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
      <w:tblGrid>
        <w:gridCol w:w="858"/>
        <w:gridCol w:w="1863"/>
        <w:gridCol w:w="1092"/>
        <w:gridCol w:w="1134"/>
        <w:gridCol w:w="992"/>
        <w:gridCol w:w="3102"/>
      </w:tblGrid>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808" w:hRule="exact"/>
          <w:jc w:val="center"/>
        </w:trPr>
        <w:tc>
          <w:tcPr>
            <w:tcW w:w="858" w:type="dxa"/>
            <w:vAlign w:val="center"/>
          </w:tcPr>
          <w:p>
            <w:pPr>
              <w:pStyle w:val="2691"/>
            </w:pPr>
            <w:r>
              <w:t>序号</w:t>
            </w:r>
          </w:p>
        </w:tc>
        <w:tc>
          <w:tcPr>
            <w:tcW w:w="1863" w:type="dxa"/>
            <w:vAlign w:val="center"/>
          </w:tcPr>
          <w:p>
            <w:pPr>
              <w:pStyle w:val="2691"/>
            </w:pPr>
            <w:r>
              <w:t>污染物</w:t>
            </w:r>
          </w:p>
        </w:tc>
        <w:tc>
          <w:tcPr>
            <w:tcW w:w="1092" w:type="dxa"/>
            <w:vAlign w:val="center"/>
          </w:tcPr>
          <w:p>
            <w:pPr>
              <w:pStyle w:val="2691"/>
            </w:pPr>
            <w:r>
              <w:t>产生量</w:t>
            </w:r>
          </w:p>
          <w:p>
            <w:pPr>
              <w:pStyle w:val="2691"/>
            </w:pPr>
            <w:r>
              <w:t>（</w:t>
            </w:r>
            <w:r>
              <w:rPr>
                <w:b/>
                <w:bCs/>
              </w:rPr>
              <w:t>t</w:t>
            </w:r>
            <w:r>
              <w:rPr>
                <w:b/>
                <w:bCs/>
                <w:spacing w:val="-2"/>
              </w:rPr>
              <w:t>/</w:t>
            </w:r>
            <w:r>
              <w:rPr>
                <w:b/>
                <w:bCs/>
                <w:spacing w:val="-1"/>
              </w:rPr>
              <w:t>a</w:t>
            </w:r>
            <w:r>
              <w:t>）</w:t>
            </w:r>
          </w:p>
        </w:tc>
        <w:tc>
          <w:tcPr>
            <w:tcW w:w="1134" w:type="dxa"/>
            <w:vAlign w:val="center"/>
          </w:tcPr>
          <w:p>
            <w:pPr>
              <w:pStyle w:val="2691"/>
            </w:pPr>
            <w:r>
              <w:t>削减量</w:t>
            </w:r>
          </w:p>
          <w:p>
            <w:pPr>
              <w:pStyle w:val="2691"/>
            </w:pPr>
            <w:r>
              <w:t>（</w:t>
            </w:r>
            <w:r>
              <w:rPr>
                <w:b/>
                <w:bCs/>
              </w:rPr>
              <w:t>t</w:t>
            </w:r>
            <w:r>
              <w:rPr>
                <w:b/>
                <w:bCs/>
                <w:spacing w:val="-2"/>
              </w:rPr>
              <w:t>/</w:t>
            </w:r>
            <w:r>
              <w:rPr>
                <w:b/>
                <w:bCs/>
                <w:spacing w:val="-1"/>
              </w:rPr>
              <w:t>a</w:t>
            </w:r>
            <w:r>
              <w:t>）</w:t>
            </w:r>
          </w:p>
        </w:tc>
        <w:tc>
          <w:tcPr>
            <w:tcW w:w="992" w:type="dxa"/>
            <w:vAlign w:val="center"/>
          </w:tcPr>
          <w:p>
            <w:pPr>
              <w:pStyle w:val="2691"/>
            </w:pPr>
            <w:r>
              <w:t>排放量</w:t>
            </w:r>
          </w:p>
          <w:p>
            <w:pPr>
              <w:pStyle w:val="2691"/>
            </w:pPr>
            <w:r>
              <w:t>（</w:t>
            </w:r>
            <w:r>
              <w:rPr>
                <w:b/>
                <w:bCs/>
              </w:rPr>
              <w:t>t</w:t>
            </w:r>
            <w:r>
              <w:rPr>
                <w:b/>
                <w:bCs/>
                <w:spacing w:val="-2"/>
              </w:rPr>
              <w:t>/</w:t>
            </w:r>
            <w:r>
              <w:rPr>
                <w:b/>
                <w:bCs/>
                <w:spacing w:val="-1"/>
              </w:rPr>
              <w:t>a</w:t>
            </w:r>
            <w:r>
              <w:t>）</w:t>
            </w:r>
          </w:p>
        </w:tc>
        <w:tc>
          <w:tcPr>
            <w:tcW w:w="3102" w:type="dxa"/>
            <w:vAlign w:val="center"/>
          </w:tcPr>
          <w:p>
            <w:pPr>
              <w:pStyle w:val="2691"/>
            </w:pPr>
            <w:r>
              <w:t>拟采取的措施</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858" w:type="dxa"/>
            <w:vAlign w:val="center"/>
          </w:tcPr>
          <w:p>
            <w:pPr>
              <w:pStyle w:val="2691"/>
            </w:pPr>
            <w:r>
              <w:t>1</w:t>
            </w:r>
          </w:p>
        </w:tc>
        <w:tc>
          <w:tcPr>
            <w:tcW w:w="1863" w:type="dxa"/>
            <w:vAlign w:val="center"/>
          </w:tcPr>
          <w:p>
            <w:pPr>
              <w:pStyle w:val="2691"/>
            </w:pPr>
            <w:r>
              <w:t>到港船舶生活垃圾</w:t>
            </w:r>
          </w:p>
        </w:tc>
        <w:tc>
          <w:tcPr>
            <w:tcW w:w="1092" w:type="dxa"/>
            <w:vAlign w:val="center"/>
          </w:tcPr>
          <w:p>
            <w:pPr>
              <w:pStyle w:val="2691"/>
            </w:pPr>
            <w:r>
              <w:t>1.38</w:t>
            </w:r>
          </w:p>
        </w:tc>
        <w:tc>
          <w:tcPr>
            <w:tcW w:w="1134" w:type="dxa"/>
            <w:vAlign w:val="center"/>
          </w:tcPr>
          <w:p>
            <w:pPr>
              <w:pStyle w:val="2691"/>
            </w:pPr>
            <w:r>
              <w:t>1.38</w:t>
            </w:r>
          </w:p>
        </w:tc>
        <w:tc>
          <w:tcPr>
            <w:tcW w:w="992" w:type="dxa"/>
            <w:vAlign w:val="center"/>
          </w:tcPr>
          <w:p>
            <w:pPr>
              <w:pStyle w:val="2691"/>
            </w:pPr>
            <w:r>
              <w:t>0</w:t>
            </w:r>
          </w:p>
        </w:tc>
        <w:tc>
          <w:tcPr>
            <w:tcW w:w="3102" w:type="dxa"/>
            <w:vAlign w:val="center"/>
          </w:tcPr>
          <w:p>
            <w:pPr>
              <w:pStyle w:val="2691"/>
            </w:pPr>
            <w:r>
              <w:t>由海事部门指定的船舶接收处理</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858" w:type="dxa"/>
            <w:vAlign w:val="center"/>
          </w:tcPr>
          <w:p>
            <w:pPr>
              <w:pStyle w:val="2691"/>
            </w:pPr>
            <w:r>
              <w:t>2</w:t>
            </w:r>
          </w:p>
        </w:tc>
        <w:tc>
          <w:tcPr>
            <w:tcW w:w="1863" w:type="dxa"/>
            <w:vAlign w:val="center"/>
          </w:tcPr>
          <w:p>
            <w:pPr>
              <w:pStyle w:val="2691"/>
            </w:pPr>
            <w:r>
              <w:t>废含油抹布</w:t>
            </w:r>
          </w:p>
        </w:tc>
        <w:tc>
          <w:tcPr>
            <w:tcW w:w="1092" w:type="dxa"/>
            <w:vAlign w:val="center"/>
          </w:tcPr>
          <w:p>
            <w:pPr>
              <w:pStyle w:val="2691"/>
            </w:pPr>
            <w:r>
              <w:t>0.5</w:t>
            </w:r>
          </w:p>
        </w:tc>
        <w:tc>
          <w:tcPr>
            <w:tcW w:w="1134" w:type="dxa"/>
            <w:vAlign w:val="center"/>
          </w:tcPr>
          <w:p>
            <w:pPr>
              <w:pStyle w:val="2691"/>
            </w:pPr>
            <w:r>
              <w:t>0.5</w:t>
            </w:r>
          </w:p>
        </w:tc>
        <w:tc>
          <w:tcPr>
            <w:tcW w:w="992" w:type="dxa"/>
            <w:vAlign w:val="center"/>
          </w:tcPr>
          <w:p>
            <w:pPr>
              <w:pStyle w:val="2691"/>
            </w:pPr>
            <w:r>
              <w:t>0</w:t>
            </w:r>
          </w:p>
        </w:tc>
        <w:tc>
          <w:tcPr>
            <w:tcW w:w="3102" w:type="dxa"/>
            <w:vAlign w:val="center"/>
          </w:tcPr>
          <w:p>
            <w:pPr>
              <w:pStyle w:val="2691"/>
            </w:pPr>
            <w:r>
              <w:t>委托有资质的单位处理</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858" w:type="dxa"/>
            <w:vAlign w:val="center"/>
          </w:tcPr>
          <w:p>
            <w:pPr>
              <w:pStyle w:val="2691"/>
            </w:pPr>
            <w:r>
              <w:t>3</w:t>
            </w:r>
          </w:p>
        </w:tc>
        <w:tc>
          <w:tcPr>
            <w:tcW w:w="1863" w:type="dxa"/>
            <w:vAlign w:val="center"/>
          </w:tcPr>
          <w:p>
            <w:pPr>
              <w:pStyle w:val="2691"/>
            </w:pPr>
            <w:r>
              <w:t>废机油</w:t>
            </w:r>
          </w:p>
        </w:tc>
        <w:tc>
          <w:tcPr>
            <w:tcW w:w="1092" w:type="dxa"/>
            <w:vAlign w:val="center"/>
          </w:tcPr>
          <w:p>
            <w:pPr>
              <w:pStyle w:val="2691"/>
            </w:pPr>
            <w:r>
              <w:t>0.2</w:t>
            </w:r>
          </w:p>
        </w:tc>
        <w:tc>
          <w:tcPr>
            <w:tcW w:w="1134" w:type="dxa"/>
            <w:vAlign w:val="center"/>
          </w:tcPr>
          <w:p>
            <w:pPr>
              <w:pStyle w:val="2691"/>
            </w:pPr>
            <w:r>
              <w:t>0.2</w:t>
            </w:r>
          </w:p>
        </w:tc>
        <w:tc>
          <w:tcPr>
            <w:tcW w:w="992" w:type="dxa"/>
            <w:vAlign w:val="center"/>
          </w:tcPr>
          <w:p>
            <w:pPr>
              <w:pStyle w:val="2691"/>
            </w:pPr>
            <w:r>
              <w:t>0</w:t>
            </w:r>
          </w:p>
        </w:tc>
        <w:tc>
          <w:tcPr>
            <w:tcW w:w="3102" w:type="dxa"/>
            <w:vAlign w:val="center"/>
          </w:tcPr>
          <w:p>
            <w:pPr>
              <w:pStyle w:val="2691"/>
            </w:pPr>
            <w:r>
              <w:t>委托有资质的单位处理</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858" w:type="dxa"/>
            <w:vAlign w:val="center"/>
          </w:tcPr>
          <w:p>
            <w:pPr>
              <w:pStyle w:val="2691"/>
            </w:pPr>
            <w:r>
              <w:t>4</w:t>
            </w:r>
          </w:p>
        </w:tc>
        <w:tc>
          <w:tcPr>
            <w:tcW w:w="1863" w:type="dxa"/>
            <w:vAlign w:val="center"/>
          </w:tcPr>
          <w:p>
            <w:pPr>
              <w:pStyle w:val="2691"/>
            </w:pPr>
            <w:r>
              <w:t xml:space="preserve">污水收集池污泥 </w:t>
            </w:r>
          </w:p>
        </w:tc>
        <w:tc>
          <w:tcPr>
            <w:tcW w:w="1092" w:type="dxa"/>
            <w:vAlign w:val="center"/>
          </w:tcPr>
          <w:p>
            <w:pPr>
              <w:pStyle w:val="2691"/>
            </w:pPr>
            <w:r>
              <w:t>10</w:t>
            </w:r>
          </w:p>
        </w:tc>
        <w:tc>
          <w:tcPr>
            <w:tcW w:w="1134" w:type="dxa"/>
            <w:vAlign w:val="center"/>
          </w:tcPr>
          <w:p>
            <w:pPr>
              <w:pStyle w:val="2691"/>
            </w:pPr>
            <w:r>
              <w:t>10</w:t>
            </w:r>
          </w:p>
        </w:tc>
        <w:tc>
          <w:tcPr>
            <w:tcW w:w="992" w:type="dxa"/>
            <w:vAlign w:val="center"/>
          </w:tcPr>
          <w:p>
            <w:pPr>
              <w:pStyle w:val="2691"/>
            </w:pPr>
            <w:r>
              <w:t>0</w:t>
            </w:r>
          </w:p>
        </w:tc>
        <w:tc>
          <w:tcPr>
            <w:tcW w:w="3102" w:type="dxa"/>
            <w:vAlign w:val="center"/>
          </w:tcPr>
          <w:p>
            <w:pPr>
              <w:pStyle w:val="2691"/>
            </w:pPr>
            <w:r>
              <w:t>回收利用</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858" w:type="dxa"/>
            <w:vAlign w:val="center"/>
          </w:tcPr>
          <w:p>
            <w:pPr>
              <w:pStyle w:val="2691"/>
            </w:pPr>
            <w:r>
              <w:rPr>
                <w:rFonts w:hint="eastAsia"/>
              </w:rPr>
              <w:t>5</w:t>
            </w:r>
          </w:p>
        </w:tc>
        <w:tc>
          <w:tcPr>
            <w:tcW w:w="1863" w:type="dxa"/>
            <w:vAlign w:val="center"/>
          </w:tcPr>
          <w:p>
            <w:pPr>
              <w:pStyle w:val="2691"/>
            </w:pPr>
            <w:r>
              <w:t>生活垃圾</w:t>
            </w:r>
          </w:p>
        </w:tc>
        <w:tc>
          <w:tcPr>
            <w:tcW w:w="1092" w:type="dxa"/>
            <w:vAlign w:val="center"/>
          </w:tcPr>
          <w:p>
            <w:pPr>
              <w:pStyle w:val="2691"/>
            </w:pPr>
            <w:r>
              <w:rPr>
                <w:rFonts w:hint="eastAsia"/>
              </w:rPr>
              <w:t>5</w:t>
            </w:r>
            <w:r>
              <w:t>2.5</w:t>
            </w:r>
          </w:p>
        </w:tc>
        <w:tc>
          <w:tcPr>
            <w:tcW w:w="1134" w:type="dxa"/>
            <w:vAlign w:val="center"/>
          </w:tcPr>
          <w:p>
            <w:pPr>
              <w:pStyle w:val="2691"/>
            </w:pPr>
            <w:r>
              <w:rPr>
                <w:rFonts w:hint="eastAsia"/>
              </w:rPr>
              <w:t>5</w:t>
            </w:r>
            <w:r>
              <w:t>2.5</w:t>
            </w:r>
          </w:p>
        </w:tc>
        <w:tc>
          <w:tcPr>
            <w:tcW w:w="992" w:type="dxa"/>
            <w:vAlign w:val="center"/>
          </w:tcPr>
          <w:p>
            <w:pPr>
              <w:pStyle w:val="2691"/>
            </w:pPr>
            <w:r>
              <w:rPr>
                <w:rFonts w:hint="eastAsia"/>
              </w:rPr>
              <w:t>0</w:t>
            </w:r>
          </w:p>
        </w:tc>
        <w:tc>
          <w:tcPr>
            <w:tcW w:w="3102" w:type="dxa"/>
            <w:vAlign w:val="center"/>
          </w:tcPr>
          <w:p>
            <w:pPr>
              <w:pStyle w:val="2691"/>
            </w:pPr>
            <w:r>
              <w:rPr>
                <w:rFonts w:hint="eastAsia"/>
                <w:szCs w:val="24"/>
              </w:rPr>
              <w:t>环卫部门定期清运</w:t>
            </w:r>
          </w:p>
        </w:tc>
      </w:tr>
    </w:tbl>
    <w:p>
      <w:pPr>
        <w:pStyle w:val="456"/>
        <w:ind w:firstLine="482"/>
      </w:pPr>
      <w:r>
        <w:t>固体废物环境影响分析</w:t>
      </w:r>
    </w:p>
    <w:p>
      <w:pPr>
        <w:widowControl/>
        <w:ind w:firstLine="480"/>
      </w:pPr>
      <w:r>
        <w:t>项目营运期的固体废物主要为到港船舶生活垃圾、废机油、含油抹布、污水收集池污泥。</w:t>
      </w:r>
    </w:p>
    <w:p>
      <w:pPr>
        <w:widowControl/>
        <w:ind w:firstLine="482"/>
        <w:rPr>
          <w:b/>
        </w:rPr>
      </w:pPr>
      <w:r>
        <w:rPr>
          <w:b/>
        </w:rPr>
        <w:t>（1）到港船舶生活垃圾</w:t>
      </w:r>
    </w:p>
    <w:p>
      <w:pPr>
        <w:widowControl/>
        <w:ind w:firstLine="480"/>
      </w:pPr>
      <w:r>
        <w:t>在船舶配备有盖、不渗漏、不外溢的垃圾储存容器或者实行袋装，按照《船舶垃圾管理计划》对所产生的垃圾进行分类、收集、存放，由海事部门指定的船舶接收统一处理，严禁乱丢乱弃。</w:t>
      </w:r>
    </w:p>
    <w:p>
      <w:pPr>
        <w:widowControl/>
        <w:ind w:firstLine="482"/>
        <w:rPr>
          <w:b/>
          <w:spacing w:val="-3"/>
          <w:szCs w:val="22"/>
        </w:rPr>
      </w:pPr>
      <w:r>
        <w:rPr>
          <w:b/>
        </w:rPr>
        <w:t>（2）</w:t>
      </w:r>
      <w:r>
        <w:rPr>
          <w:b/>
          <w:spacing w:val="-3"/>
          <w:szCs w:val="22"/>
        </w:rPr>
        <w:t>含油抹布</w:t>
      </w:r>
    </w:p>
    <w:p>
      <w:pPr>
        <w:widowControl/>
        <w:ind w:firstLine="480"/>
      </w:pPr>
      <w:r>
        <w:t>本项目含油抹布按照</w:t>
      </w:r>
      <w:r>
        <w:rPr>
          <w:szCs w:val="28"/>
        </w:rPr>
        <w:t>《危险废物贮存污染控制标准》（GB18597-2001及2013年修改单）要求，</w:t>
      </w:r>
      <w:r>
        <w:t>依托陆域项目的危废暂存间贮存，后委托有资质单位处置，严禁乱丢乱弃。</w:t>
      </w:r>
    </w:p>
    <w:p>
      <w:pPr>
        <w:widowControl/>
        <w:ind w:firstLine="482"/>
        <w:rPr>
          <w:b/>
        </w:rPr>
      </w:pPr>
      <w:r>
        <w:rPr>
          <w:b/>
        </w:rPr>
        <w:t>（3）废机油</w:t>
      </w:r>
    </w:p>
    <w:p>
      <w:pPr>
        <w:widowControl/>
        <w:ind w:firstLine="480"/>
      </w:pPr>
      <w:r>
        <w:t>码头设备修理装卸作业中产生的废机油，按照</w:t>
      </w:r>
      <w:r>
        <w:rPr>
          <w:szCs w:val="28"/>
        </w:rPr>
        <w:t>《危险废物贮存污染控制标准》（GB18597-2001及2013年修改单）要求，</w:t>
      </w:r>
      <w:r>
        <w:t>依托陆域项目的危废暂存间贮存，后委托有资质单位处置，严禁乱丢乱弃。</w:t>
      </w:r>
    </w:p>
    <w:p>
      <w:pPr>
        <w:widowControl/>
        <w:ind w:firstLine="470"/>
        <w:rPr>
          <w:b/>
        </w:rPr>
      </w:pPr>
      <w:r>
        <w:rPr>
          <w:b/>
          <w:spacing w:val="-3"/>
          <w:szCs w:val="22"/>
        </w:rPr>
        <w:t>（4）</w:t>
      </w:r>
      <w:r>
        <w:rPr>
          <w:b/>
        </w:rPr>
        <w:t>污水收集池污泥</w:t>
      </w:r>
    </w:p>
    <w:p>
      <w:pPr>
        <w:widowControl/>
        <w:ind w:firstLine="480"/>
      </w:pPr>
      <w:r>
        <w:t>项目污水收集池产生的污泥经收集后可回收利用。</w:t>
      </w:r>
    </w:p>
    <w:p>
      <w:pPr>
        <w:widowControl/>
        <w:ind w:firstLine="480"/>
      </w:pPr>
      <w:r>
        <w:t>综上所述，本项目产生的固体废物均可通过合理途径进行处理处置，不会对环境造成二次污染。</w:t>
      </w:r>
    </w:p>
    <w:p>
      <w:pPr>
        <w:pStyle w:val="2133"/>
        <w:spacing w:line="360" w:lineRule="auto"/>
        <w:ind w:firstLine="482"/>
        <w:jc w:val="left"/>
        <w:rPr>
          <w:rFonts w:cs="Times New Roman"/>
          <w:b/>
        </w:rPr>
      </w:pPr>
      <w:r>
        <w:rPr>
          <w:rFonts w:hint="eastAsia" w:cs="Times New Roman"/>
          <w:b/>
        </w:rPr>
        <w:t>（</w:t>
      </w:r>
      <w:r>
        <w:rPr>
          <w:rFonts w:cs="Times New Roman"/>
          <w:b/>
        </w:rPr>
        <w:t>5</w:t>
      </w:r>
      <w:r>
        <w:rPr>
          <w:rFonts w:hint="eastAsia" w:cs="Times New Roman"/>
          <w:b/>
        </w:rPr>
        <w:t>）港区工作人员生活垃圾</w:t>
      </w:r>
    </w:p>
    <w:p>
      <w:pPr>
        <w:widowControl/>
        <w:ind w:firstLine="480"/>
      </w:pPr>
      <w:r>
        <w:rPr>
          <w:rFonts w:hint="eastAsia"/>
        </w:rPr>
        <w:t>本项目码头区工作人员生活垃圾，52.5t/a，通过垃圾筒收集后，交由环卫部门定期清运，严禁乱丢乱弃，对环境影响较小。</w:t>
      </w:r>
    </w:p>
    <w:p>
      <w:pPr>
        <w:pStyle w:val="453"/>
        <w:ind w:firstLine="643" w:firstLineChars="0"/>
        <w:rPr>
          <w:rFonts w:ascii="Times New Roman" w:cs="Times New Roman"/>
        </w:rPr>
      </w:pPr>
      <w:bookmarkStart w:id="215" w:name="_Toc106697025"/>
      <w:bookmarkStart w:id="216" w:name="_Toc31994"/>
      <w:bookmarkStart w:id="217" w:name="_Toc19673"/>
      <w:r>
        <w:rPr>
          <w:rFonts w:ascii="Times New Roman" w:cs="Times New Roman"/>
        </w:rPr>
        <w:t>生态环境影响预测与评价</w:t>
      </w:r>
      <w:bookmarkEnd w:id="215"/>
      <w:bookmarkEnd w:id="216"/>
      <w:bookmarkEnd w:id="217"/>
    </w:p>
    <w:p>
      <w:pPr>
        <w:pStyle w:val="454"/>
        <w:ind w:firstLine="602"/>
        <w:rPr>
          <w:color w:val="auto"/>
        </w:rPr>
      </w:pPr>
      <w:r>
        <w:rPr>
          <w:color w:val="auto"/>
        </w:rPr>
        <w:t>施工期生态环境影响预测与评价</w:t>
      </w:r>
    </w:p>
    <w:p>
      <w:pPr>
        <w:pStyle w:val="456"/>
        <w:ind w:firstLine="482"/>
      </w:pPr>
      <w:r>
        <w:t>对水生生态的影响</w:t>
      </w:r>
      <w:r>
        <w:rPr>
          <w:rFonts w:hint="eastAsia"/>
          <w:lang w:val="en-US"/>
        </w:rPr>
        <w:t>分析</w:t>
      </w:r>
    </w:p>
    <w:p>
      <w:pPr>
        <w:ind w:firstLine="482"/>
        <w:rPr>
          <w:b/>
          <w:bCs/>
        </w:rPr>
      </w:pPr>
      <w:r>
        <w:rPr>
          <w:rFonts w:hint="eastAsia"/>
          <w:b/>
          <w:bCs/>
        </w:rPr>
        <w:t>（1）</w:t>
      </w:r>
      <w:r>
        <w:rPr>
          <w:b/>
          <w:bCs/>
        </w:rPr>
        <w:t>主要影响途径</w:t>
      </w:r>
    </w:p>
    <w:p>
      <w:pPr>
        <w:ind w:firstLine="480"/>
      </w:pPr>
      <w:r>
        <w:rPr>
          <w:rFonts w:hint="eastAsia"/>
        </w:rPr>
        <w:t>施工期对码头水域的影响因素主要包括疏浚、打桩施工悬浮物、施工人员生活污水、施工船只以及其它机械随意排放的油污水；此外，施工噪声等对水生生物也有一定影响。</w:t>
      </w:r>
    </w:p>
    <w:p>
      <w:pPr>
        <w:ind w:firstLine="480"/>
      </w:pPr>
      <w:r>
        <w:t>生态影响途径可以包括直接影响和间接影响两个方面。本项目建设开发施工期的直接影响主要限定在建构筑物施工范围内，通过码头</w:t>
      </w:r>
      <w:r>
        <w:rPr>
          <w:rFonts w:hint="eastAsia"/>
        </w:rPr>
        <w:t>疏浚、</w:t>
      </w:r>
      <w:r>
        <w:t>打桩</w:t>
      </w:r>
      <w:r>
        <w:rPr>
          <w:rFonts w:hint="eastAsia"/>
        </w:rPr>
        <w:t>等施工作业</w:t>
      </w:r>
      <w:r>
        <w:t>直接破坏底栖生物生境，掩埋底栖生物栖息地；间接影响是由于打桩致使施工的局部水域悬浮物增加，施工过程带来油污和重金属对水生生物造成毒害等等。施工活动直接、间接生态影响判定见</w:t>
      </w:r>
      <w:r>
        <w:rPr>
          <w:rFonts w:hint="eastAsia"/>
        </w:rPr>
        <w:t>表5-29</w:t>
      </w:r>
      <w:r>
        <w:t>。</w:t>
      </w:r>
    </w:p>
    <w:p>
      <w:pPr>
        <w:pStyle w:val="3586"/>
        <w:ind w:left="0"/>
      </w:pPr>
      <w:r>
        <w:t xml:space="preserve"> 项目建设施工活动直接、间接影响判定表</w:t>
      </w:r>
    </w:p>
    <w:tbl>
      <w:tblPr>
        <w:tblStyle w:val="87"/>
        <w:tblW w:w="4836" w:type="pct"/>
        <w:tblInd w:w="15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24"/>
        <w:gridCol w:w="1671"/>
        <w:gridCol w:w="1605"/>
        <w:gridCol w:w="1279"/>
        <w:gridCol w:w="34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70" w:type="pct"/>
            <w:tcBorders>
              <w:bottom w:val="single" w:color="auto" w:sz="12" w:space="0"/>
            </w:tcBorders>
            <w:vAlign w:val="center"/>
          </w:tcPr>
          <w:p>
            <w:pPr>
              <w:pStyle w:val="2691"/>
              <w:rPr>
                <w:b/>
                <w:bCs/>
              </w:rPr>
            </w:pPr>
            <w:r>
              <w:rPr>
                <w:b/>
                <w:bCs/>
              </w:rPr>
              <w:t>类型</w:t>
            </w:r>
          </w:p>
        </w:tc>
        <w:tc>
          <w:tcPr>
            <w:tcW w:w="930" w:type="pct"/>
            <w:tcBorders>
              <w:bottom w:val="single" w:color="auto" w:sz="12" w:space="0"/>
            </w:tcBorders>
            <w:vAlign w:val="center"/>
          </w:tcPr>
          <w:p>
            <w:pPr>
              <w:pStyle w:val="2691"/>
              <w:rPr>
                <w:b/>
                <w:bCs/>
              </w:rPr>
            </w:pPr>
            <w:r>
              <w:rPr>
                <w:b/>
                <w:bCs/>
              </w:rPr>
              <w:t>影响区域</w:t>
            </w:r>
          </w:p>
        </w:tc>
        <w:tc>
          <w:tcPr>
            <w:tcW w:w="893" w:type="pct"/>
            <w:tcBorders>
              <w:bottom w:val="single" w:color="auto" w:sz="12" w:space="0"/>
            </w:tcBorders>
            <w:vAlign w:val="center"/>
          </w:tcPr>
          <w:p>
            <w:pPr>
              <w:pStyle w:val="2691"/>
              <w:rPr>
                <w:b/>
                <w:bCs/>
              </w:rPr>
            </w:pPr>
            <w:r>
              <w:rPr>
                <w:b/>
                <w:bCs/>
              </w:rPr>
              <w:t>影响原因</w:t>
            </w:r>
          </w:p>
        </w:tc>
        <w:tc>
          <w:tcPr>
            <w:tcW w:w="712" w:type="pct"/>
            <w:tcBorders>
              <w:bottom w:val="single" w:color="auto" w:sz="12" w:space="0"/>
            </w:tcBorders>
            <w:vAlign w:val="center"/>
          </w:tcPr>
          <w:p>
            <w:pPr>
              <w:pStyle w:val="2691"/>
              <w:rPr>
                <w:b/>
                <w:bCs/>
              </w:rPr>
            </w:pPr>
            <w:r>
              <w:rPr>
                <w:b/>
                <w:bCs/>
              </w:rPr>
              <w:t>恢复可能性</w:t>
            </w:r>
          </w:p>
        </w:tc>
        <w:tc>
          <w:tcPr>
            <w:tcW w:w="1893" w:type="pct"/>
            <w:tcBorders>
              <w:bottom w:val="single" w:color="auto" w:sz="12" w:space="0"/>
            </w:tcBorders>
            <w:vAlign w:val="center"/>
          </w:tcPr>
          <w:p>
            <w:pPr>
              <w:pStyle w:val="2691"/>
              <w:rPr>
                <w:b/>
                <w:bCs/>
              </w:rPr>
            </w:pPr>
            <w:r>
              <w:rPr>
                <w:b/>
                <w:bCs/>
              </w:rPr>
              <w:t>生物表现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70" w:type="pct"/>
            <w:tcBorders>
              <w:top w:val="single" w:color="auto" w:sz="12" w:space="0"/>
              <w:tl2br w:val="nil"/>
              <w:tr2bl w:val="nil"/>
            </w:tcBorders>
            <w:vAlign w:val="center"/>
          </w:tcPr>
          <w:p>
            <w:pPr>
              <w:pStyle w:val="2691"/>
            </w:pPr>
            <w:r>
              <w:t>直接影响</w:t>
            </w:r>
          </w:p>
        </w:tc>
        <w:tc>
          <w:tcPr>
            <w:tcW w:w="930" w:type="pct"/>
            <w:tcBorders>
              <w:top w:val="single" w:color="auto" w:sz="12" w:space="0"/>
              <w:tl2br w:val="nil"/>
              <w:tr2bl w:val="nil"/>
            </w:tcBorders>
            <w:vAlign w:val="center"/>
          </w:tcPr>
          <w:p>
            <w:pPr>
              <w:pStyle w:val="2691"/>
            </w:pPr>
            <w:r>
              <w:t>码头</w:t>
            </w:r>
            <w:r>
              <w:rPr>
                <w:rFonts w:hint="eastAsia"/>
              </w:rPr>
              <w:t>疏浚区、</w:t>
            </w:r>
            <w:r>
              <w:t>打桩区、</w:t>
            </w:r>
          </w:p>
        </w:tc>
        <w:tc>
          <w:tcPr>
            <w:tcW w:w="893" w:type="pct"/>
            <w:tcBorders>
              <w:top w:val="single" w:color="auto" w:sz="12" w:space="0"/>
              <w:tl2br w:val="nil"/>
              <w:tr2bl w:val="nil"/>
            </w:tcBorders>
            <w:vAlign w:val="center"/>
          </w:tcPr>
          <w:p>
            <w:pPr>
              <w:pStyle w:val="2691"/>
            </w:pPr>
            <w:r>
              <w:t>撞击、扰动</w:t>
            </w:r>
          </w:p>
        </w:tc>
        <w:tc>
          <w:tcPr>
            <w:tcW w:w="712" w:type="pct"/>
            <w:tcBorders>
              <w:top w:val="single" w:color="auto" w:sz="12" w:space="0"/>
              <w:tl2br w:val="nil"/>
              <w:tr2bl w:val="nil"/>
            </w:tcBorders>
            <w:vAlign w:val="center"/>
          </w:tcPr>
          <w:p>
            <w:pPr>
              <w:pStyle w:val="2691"/>
            </w:pPr>
            <w:r>
              <w:t>不可恢复</w:t>
            </w:r>
          </w:p>
        </w:tc>
        <w:tc>
          <w:tcPr>
            <w:tcW w:w="1893" w:type="pct"/>
            <w:tcBorders>
              <w:top w:val="single" w:color="auto" w:sz="12" w:space="0"/>
              <w:tl2br w:val="nil"/>
              <w:tr2bl w:val="nil"/>
            </w:tcBorders>
            <w:vAlign w:val="center"/>
          </w:tcPr>
          <w:p>
            <w:pPr>
              <w:pStyle w:val="2691"/>
            </w:pPr>
            <w:r>
              <w:t>水生生物</w:t>
            </w:r>
            <w:r>
              <w:rPr>
                <w:rFonts w:hint="eastAsia"/>
                <w:lang w:val="en-US" w:eastAsia="zh-CN"/>
              </w:rPr>
              <w:t>部分</w:t>
            </w:r>
            <w:r>
              <w:t>消失，但影响面积较小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70" w:type="pct"/>
            <w:tcBorders>
              <w:tl2br w:val="nil"/>
              <w:tr2bl w:val="nil"/>
            </w:tcBorders>
            <w:vAlign w:val="center"/>
          </w:tcPr>
          <w:p>
            <w:pPr>
              <w:pStyle w:val="2691"/>
            </w:pPr>
            <w:r>
              <w:t>间接影响</w:t>
            </w:r>
          </w:p>
        </w:tc>
        <w:tc>
          <w:tcPr>
            <w:tcW w:w="930" w:type="pct"/>
            <w:tcBorders>
              <w:tl2br w:val="nil"/>
              <w:tr2bl w:val="nil"/>
            </w:tcBorders>
            <w:vAlign w:val="center"/>
          </w:tcPr>
          <w:p>
            <w:pPr>
              <w:pStyle w:val="2691"/>
            </w:pPr>
            <w:r>
              <w:t>施工悬浮物增量扩散</w:t>
            </w:r>
          </w:p>
        </w:tc>
        <w:tc>
          <w:tcPr>
            <w:tcW w:w="893" w:type="pct"/>
            <w:tcBorders>
              <w:tl2br w:val="nil"/>
              <w:tr2bl w:val="nil"/>
            </w:tcBorders>
            <w:vAlign w:val="center"/>
          </w:tcPr>
          <w:p>
            <w:pPr>
              <w:pStyle w:val="2691"/>
            </w:pPr>
            <w:r>
              <w:t>透明度降低</w:t>
            </w:r>
          </w:p>
        </w:tc>
        <w:tc>
          <w:tcPr>
            <w:tcW w:w="712" w:type="pct"/>
            <w:tcBorders>
              <w:tl2br w:val="nil"/>
              <w:tr2bl w:val="nil"/>
            </w:tcBorders>
            <w:vAlign w:val="center"/>
          </w:tcPr>
          <w:p>
            <w:pPr>
              <w:pStyle w:val="2691"/>
            </w:pPr>
            <w:r>
              <w:t>可以恢复</w:t>
            </w:r>
          </w:p>
        </w:tc>
        <w:tc>
          <w:tcPr>
            <w:tcW w:w="1893" w:type="pct"/>
            <w:tcBorders>
              <w:tl2br w:val="nil"/>
              <w:tr2bl w:val="nil"/>
            </w:tcBorders>
            <w:vAlign w:val="center"/>
          </w:tcPr>
          <w:p>
            <w:pPr>
              <w:pStyle w:val="2691"/>
            </w:pPr>
            <w:r>
              <w:t>水生生物部分受损</w:t>
            </w:r>
          </w:p>
        </w:tc>
      </w:tr>
    </w:tbl>
    <w:p>
      <w:pPr>
        <w:ind w:firstLine="482"/>
        <w:rPr>
          <w:b/>
          <w:bCs/>
        </w:rPr>
      </w:pPr>
      <w:r>
        <w:rPr>
          <w:rFonts w:hint="eastAsia"/>
          <w:b/>
          <w:bCs/>
        </w:rPr>
        <w:t>（2）对浮游植物的影响</w:t>
      </w:r>
    </w:p>
    <w:p>
      <w:pPr>
        <w:ind w:firstLine="480"/>
      </w:pPr>
      <w:r>
        <w:t>水体中的叶绿素a含量、浮游植物的组成和数量是衡量和反映水体初级生产力的基础。大量的实验和调查研究表明，水体透明度对叶绿素a和浮游植物数量分布和变化是一个至关重要的制约因素。</w:t>
      </w:r>
    </w:p>
    <w:p>
      <w:pPr>
        <w:ind w:firstLine="480"/>
      </w:pPr>
      <w:r>
        <w:t>从水生生态系统食物链角度看，除了初级生产者浮游藻类以外，其他营养级上的生物既是消费者也是上一营养级生物的饵料。因此，浮游植物生物量的减少，会使以浮游植物为饵料的浮游动物在单位水体中拥有的生物量相应减少。以这些浮游动物为饵料的鱼类因为饵料贫乏，导致渔业资源下降。同样，以捕食鱼类为主的一些高级消费者，会由于低营养级生物数量的减少，而难以觅食。可见，水体中悬浮物含量的增加，对整个水生生态食物链的影响是多环节、多层次的。</w:t>
      </w:r>
    </w:p>
    <w:p>
      <w:pPr>
        <w:ind w:firstLine="480"/>
      </w:pPr>
      <w:r>
        <w:rPr>
          <w:rFonts w:hint="eastAsia"/>
        </w:rPr>
        <w:t>疏浚、打桩</w:t>
      </w:r>
      <w:r>
        <w:t>作业会在水体中产生大量的悬浮物，在施工作业点周围将会形成一定范围的悬浮物高密度分布区域，从而引起水体悬浮物浓度增加，降低水体透光率，造成水体浮游植物生产力下降。由于</w:t>
      </w:r>
      <w:r>
        <w:rPr>
          <w:rFonts w:hint="eastAsia"/>
        </w:rPr>
        <w:t>仅对码头疏浚、桩基施工破坏的部分进行恢复，</w:t>
      </w:r>
      <w:r>
        <w:t>工程施工是短期性的，造成悬浮物SS浓度升高的水域范围较小，浮游植物会因为水质变化，导致施工区域内生物量减少。但浮游植物具有普生性，其种类多、数量大、分布广，对环境的适应强，对其造成的影响是暂时的、局部的、可逆的，对其多样性的影响较小。</w:t>
      </w:r>
    </w:p>
    <w:p>
      <w:pPr>
        <w:ind w:firstLine="480"/>
      </w:pPr>
      <w:r>
        <w:rPr>
          <w:color w:val="000000"/>
          <w:highlight w:val="none"/>
        </w:rPr>
        <w:t>施工江段平均水深约8m，以泊位岸线长和施工区外扩10%为工程影响区计算影响水域，通过计算，在施工期浮游植物的年损失量为</w:t>
      </w:r>
      <w:r>
        <w:rPr>
          <w:rFonts w:hint="eastAsia" w:ascii="Times New Roman" w:hAnsi="Times New Roman"/>
          <w:color w:val="000000"/>
          <w:sz w:val="24"/>
          <w:szCs w:val="24"/>
          <w:highlight w:val="none"/>
          <w:lang w:eastAsia="zh-CN"/>
        </w:rPr>
        <w:t>2</w:t>
      </w:r>
      <w:r>
        <w:rPr>
          <w:rFonts w:hint="eastAsia" w:ascii="Times New Roman" w:hAnsi="Times New Roman"/>
          <w:color w:val="000000"/>
          <w:sz w:val="24"/>
          <w:szCs w:val="24"/>
          <w:highlight w:val="none"/>
          <w:lang w:val="en-US" w:eastAsia="zh-CN"/>
        </w:rPr>
        <w:t>4975</w:t>
      </w:r>
      <w:r>
        <w:rPr>
          <w:rFonts w:ascii="Times New Roman" w:hAnsi="Times New Roman"/>
          <w:color w:val="000000"/>
          <w:sz w:val="24"/>
          <w:szCs w:val="24"/>
          <w:highlight w:val="none"/>
        </w:rPr>
        <w:t>kg</w:t>
      </w:r>
      <w:r>
        <w:rPr>
          <w:highlight w:val="none"/>
        </w:rPr>
        <w:t>。</w:t>
      </w:r>
    </w:p>
    <w:p>
      <w:pPr>
        <w:ind w:firstLine="480"/>
      </w:pPr>
      <w:r>
        <w:t>工程施工结束后，水体自净能力恢复，水质得到改善，浮游植物生物量可基本恢复到施工前的水平。</w:t>
      </w:r>
    </w:p>
    <w:p>
      <w:pPr>
        <w:ind w:firstLine="482"/>
        <w:rPr>
          <w:b/>
          <w:bCs/>
        </w:rPr>
      </w:pPr>
      <w:r>
        <w:rPr>
          <w:rFonts w:hint="eastAsia"/>
          <w:b/>
          <w:bCs/>
        </w:rPr>
        <w:t>（3）对浮游动物的影响</w:t>
      </w:r>
    </w:p>
    <w:p>
      <w:pPr>
        <w:ind w:firstLine="480"/>
      </w:pPr>
      <w:r>
        <w:t>浮游动物作为长江水域重要的次级生产力，大部分种类是长江鱼类的天然优质饵料、鱼苗和幼体，而工程施工将不可避免的对区域内的浮游动物生长发育产生威胁，进而对区域内渔业资源产生一定的影响。</w:t>
      </w:r>
    </w:p>
    <w:p>
      <w:pPr>
        <w:ind w:firstLine="480"/>
      </w:pPr>
      <w:r>
        <w:t>水下施工作业对河床的扰动会引起水中悬浮物的增加，使水体浑浊。将对浮游动物摄食率、生长率、存活率和群落结构等方面造成影响。据有关实验结论，水中过量的悬浮物会堵塞桡足类等浮游动物的食物过滤系统和消化系统，尤以悬浮物浓度达到300mg/L以上，悬浮物为粘性淤泥时为甚，如只能分辨颗粒大小的滤食性浮游动物可能会摄入大量的</w:t>
      </w:r>
      <w:r>
        <w:rPr>
          <w:rFonts w:hint="eastAsia"/>
        </w:rPr>
        <w:t>泥沙</w:t>
      </w:r>
      <w:r>
        <w:t>，造成其内部系统紊乱而亡；对桡足类等浮游动物的繁殖和存活攒在显著的抑制，如：球状许水蚤等部分地区优势桡足类动物具有依据光线强弱变化而进行昼夜垂直迁移习性，悬浮物浓度的增加会降低水体透明度，造成其生活习性的紊乱，进而破坏其生理功能而亡。</w:t>
      </w:r>
    </w:p>
    <w:p>
      <w:r>
        <w:rPr>
          <w:color w:val="000000"/>
          <w:highlight w:val="none"/>
        </w:rPr>
        <w:t>施工江段平均水深约8m，以泊位岸线长和施工区域外扩10%为工程影响区计算影响水域，通过计算，在施工期间浮游动物的年损失量</w:t>
      </w:r>
      <w:r>
        <w:rPr>
          <w:rFonts w:hint="eastAsia" w:ascii="Times New Roman" w:hAnsi="Times New Roman"/>
          <w:color w:val="000000"/>
          <w:sz w:val="24"/>
          <w:szCs w:val="24"/>
          <w:highlight w:val="none"/>
          <w:lang w:eastAsia="zh-CN"/>
        </w:rPr>
        <w:t>1</w:t>
      </w:r>
      <w:r>
        <w:rPr>
          <w:rFonts w:hint="eastAsia" w:ascii="Times New Roman" w:hAnsi="Times New Roman"/>
          <w:color w:val="000000"/>
          <w:sz w:val="24"/>
          <w:szCs w:val="24"/>
          <w:highlight w:val="none"/>
          <w:lang w:val="en-US" w:eastAsia="zh-CN"/>
        </w:rPr>
        <w:t>9576</w:t>
      </w:r>
      <w:r>
        <w:rPr>
          <w:color w:val="000000"/>
          <w:highlight w:val="none"/>
        </w:rPr>
        <w:t>kg。</w:t>
      </w:r>
    </w:p>
    <w:p>
      <w:pPr>
        <w:ind w:firstLine="480"/>
      </w:pPr>
      <w:r>
        <w:t>工程水域施工主要集中在</w:t>
      </w:r>
      <w:r>
        <w:rPr>
          <w:rFonts w:hint="eastAsia"/>
        </w:rPr>
        <w:t>疏浚</w:t>
      </w:r>
      <w:r>
        <w:t>、码头桩基阶段，施工水面</w:t>
      </w:r>
      <w:r>
        <w:rPr>
          <w:rFonts w:hint="eastAsia"/>
        </w:rPr>
        <w:t>范围小；码头、引桥桩基采用钢护筒，下部采用钻孔灌注桩嵌岩，产生悬浮物很少</w:t>
      </w:r>
      <w:r>
        <w:t>，只要采取必要的环保措施，加强施工管理，对浮游动物多样性的影响不大，浑浊的悬浮物在很短时间内就会被稀释。另外，工程水域施工时间短暂，对其影响只是局部的和暂时的，施工结束后浮游动物可基本恢复到施工前的水平。</w:t>
      </w:r>
    </w:p>
    <w:p>
      <w:pPr>
        <w:ind w:firstLine="480"/>
      </w:pPr>
      <w:r>
        <w:rPr>
          <w:rFonts w:hint="eastAsia"/>
        </w:rPr>
        <w:t>施工营地的生活污水和生活垃圾、施工机械机修产生的含油污水等若不进行收集和处理，必然会对水质产生一定程度的污染，造成浮游生物种类组成和优势度的变化。本项目要求不得在码头区域排放各类污水。</w:t>
      </w:r>
    </w:p>
    <w:p>
      <w:pPr>
        <w:ind w:firstLine="482"/>
        <w:rPr>
          <w:b/>
          <w:bCs/>
        </w:rPr>
      </w:pPr>
      <w:r>
        <w:rPr>
          <w:rFonts w:hint="eastAsia"/>
          <w:b/>
          <w:bCs/>
        </w:rPr>
        <w:t>（4）对底栖生物的影响</w:t>
      </w:r>
    </w:p>
    <w:p>
      <w:pPr>
        <w:ind w:firstLine="480"/>
        <w:jc w:val="left"/>
      </w:pPr>
      <w:r>
        <w:rPr>
          <w:rFonts w:hint="eastAsia"/>
        </w:rPr>
        <w:t>码头结构为高桩梁板结构，桩基施工区域内的底栖生物将被彻底损伤破坏。码头平台和引桥桩基占用河床及河滩面积为466.29m</w:t>
      </w:r>
      <w:r>
        <w:rPr>
          <w:rFonts w:hint="eastAsia"/>
          <w:vertAlign w:val="superscript"/>
        </w:rPr>
        <w:t>2</w:t>
      </w:r>
      <w:r>
        <w:rPr>
          <w:rFonts w:hint="eastAsia"/>
        </w:rPr>
        <w:t>。桩基施工影响面积按其占用面积的1.5倍估算，为699.435m</w:t>
      </w:r>
      <w:r>
        <w:rPr>
          <w:rFonts w:hint="eastAsia"/>
          <w:vertAlign w:val="superscript"/>
        </w:rPr>
        <w:t>2</w:t>
      </w:r>
      <w:r>
        <w:rPr>
          <w:rFonts w:hint="eastAsia"/>
        </w:rPr>
        <w:t>。根据前文3.8.2.4现状调查情况，本江段底栖生物平均生物量取值为17.04g/m</w:t>
      </w:r>
      <w:r>
        <w:rPr>
          <w:rFonts w:hint="eastAsia"/>
          <w:vertAlign w:val="superscript"/>
        </w:rPr>
        <w:t>2</w:t>
      </w:r>
      <w:r>
        <w:rPr>
          <w:rFonts w:hint="eastAsia"/>
        </w:rPr>
        <w:t>，按工程对生物量100</w:t>
      </w:r>
      <w:r>
        <w:rPr>
          <w:rFonts w:hint="eastAsia" w:ascii="微软雅黑" w:hAnsi="微软雅黑" w:eastAsia="微软雅黑" w:cs="微软雅黑"/>
        </w:rPr>
        <w:t>﹪</w:t>
      </w:r>
      <w:r>
        <w:rPr>
          <w:rFonts w:hint="eastAsia" w:ascii="仿宋_GB2312" w:hAnsi="仿宋_GB2312" w:cs="仿宋_GB2312"/>
        </w:rPr>
        <w:t>损失计算，桩基施工造成的底栖生物总损失量为</w:t>
      </w:r>
      <w:r>
        <w:t>底栖</w:t>
      </w:r>
      <w:r>
        <w:rPr>
          <w:rFonts w:hint="eastAsia"/>
        </w:rPr>
        <w:t>699.435m</w:t>
      </w:r>
      <w:r>
        <w:rPr>
          <w:rFonts w:hint="eastAsia"/>
          <w:vertAlign w:val="superscript"/>
        </w:rPr>
        <w:t>2</w:t>
      </w:r>
      <w:r>
        <w:rPr>
          <w:rFonts w:hint="eastAsia"/>
        </w:rPr>
        <w:t>×17.04g/m</w:t>
      </w:r>
      <w:r>
        <w:rPr>
          <w:rFonts w:hint="eastAsia"/>
          <w:vertAlign w:val="superscript"/>
        </w:rPr>
        <w:t>2</w:t>
      </w:r>
      <w:r>
        <w:rPr>
          <w:rFonts w:hint="eastAsia"/>
        </w:rPr>
        <w:t>=11.92kg。</w:t>
      </w:r>
      <w:r>
        <w:rPr>
          <w:rFonts w:ascii="Times New Roman" w:hAnsi="Times New Roman"/>
          <w:color w:val="000000"/>
          <w:sz w:val="24"/>
          <w:szCs w:val="24"/>
          <w:highlight w:val="none"/>
        </w:rPr>
        <w:t>施工直接扰动造成底栖动物的年损失量为</w:t>
      </w:r>
      <w:r>
        <w:rPr>
          <w:rFonts w:hint="eastAsia" w:ascii="Times New Roman" w:hAnsi="Times New Roman"/>
          <w:color w:val="000000"/>
          <w:sz w:val="24"/>
          <w:szCs w:val="24"/>
          <w:highlight w:val="none"/>
          <w:lang w:val="en-US" w:eastAsia="zh-CN"/>
        </w:rPr>
        <w:t>9092</w:t>
      </w:r>
      <w:r>
        <w:rPr>
          <w:rFonts w:ascii="Times New Roman" w:hAnsi="Times New Roman"/>
          <w:color w:val="000000"/>
          <w:sz w:val="24"/>
          <w:szCs w:val="24"/>
          <w:highlight w:val="none"/>
        </w:rPr>
        <w:t>kg。</w:t>
      </w:r>
    </w:p>
    <w:p>
      <w:pPr>
        <w:ind w:firstLine="480"/>
        <w:jc w:val="left"/>
      </w:pPr>
      <w:r>
        <w:rPr>
          <w:rFonts w:hint="eastAsia"/>
        </w:rPr>
        <w:t>工程施工期对底栖动物的影响较小，工程结束后，随着上下游底栖生物的迁移，</w:t>
      </w:r>
      <w:r>
        <w:t>底栖生物量可得到恢复。</w:t>
      </w:r>
    </w:p>
    <w:p>
      <w:pPr>
        <w:ind w:firstLine="482"/>
        <w:rPr>
          <w:b/>
          <w:bCs/>
        </w:rPr>
      </w:pPr>
      <w:r>
        <w:rPr>
          <w:rFonts w:hint="eastAsia"/>
          <w:b/>
          <w:bCs/>
        </w:rPr>
        <w:t>（5）对</w:t>
      </w:r>
      <w:r>
        <w:rPr>
          <w:rFonts w:hint="eastAsia"/>
          <w:b/>
          <w:bCs/>
          <w:lang w:val="en-US" w:eastAsia="zh-CN"/>
        </w:rPr>
        <w:t>渔业</w:t>
      </w:r>
      <w:r>
        <w:rPr>
          <w:rFonts w:hint="eastAsia"/>
          <w:b/>
          <w:bCs/>
        </w:rPr>
        <w:t>资源的影响</w:t>
      </w:r>
    </w:p>
    <w:p>
      <w:pPr>
        <w:ind w:firstLine="480"/>
      </w:pPr>
      <w:r>
        <w:rPr>
          <w:rFonts w:hint="eastAsia"/>
        </w:rPr>
        <w:t>码头施工过程中对鱼类的主要影响是涉水作业导致悬浮物增加，并在一定范围内形成高浓度扩散场，悬浮颗粒将直接对鱼类造成伤害，主要表现为影响胚胎发育，悬浮物堵塞鳃部造成窒息死亡，大量悬浮物造成水体严重缺氧而导致生物死亡，悬浮物有害物质二次污染造成生物死亡等。通常认为，成年鱼类的活动能力较强，在悬浮泥沙浓度超过10mg/L的范围内成鱼可以回避，施工作业对其的影响更多表现为“驱散效应”。</w:t>
      </w:r>
    </w:p>
    <w:p>
      <w:pPr>
        <w:ind w:firstLine="480"/>
      </w:pPr>
      <w:r>
        <w:rPr>
          <w:rFonts w:hint="eastAsia"/>
        </w:rPr>
        <w:t>工程水下施工避免在4-</w:t>
      </w:r>
      <w:r>
        <w:t>7</w:t>
      </w:r>
      <w:r>
        <w:rPr>
          <w:rFonts w:hint="eastAsia"/>
        </w:rPr>
        <w:t>月施工，施工所在地为近岸区域，此时鱼类多进入远离岸边的深水区域。其主要影响是改变了鱼类的暂时性空间分布，不会导致鱼类资源量的明显变化。</w:t>
      </w:r>
    </w:p>
    <w:p>
      <w:pPr>
        <w:widowControl/>
        <w:ind w:firstLine="482"/>
        <w:rPr>
          <w:b/>
        </w:rPr>
      </w:pPr>
      <w:r>
        <w:rPr>
          <w:b/>
        </w:rPr>
        <w:t>项目对鱼类</w:t>
      </w:r>
      <w:r>
        <w:rPr>
          <w:rFonts w:hint="eastAsia"/>
          <w:b/>
        </w:rPr>
        <w:t>资源的影响</w:t>
      </w:r>
      <w:r>
        <w:rPr>
          <w:b/>
        </w:rPr>
        <w:t>详见本文</w:t>
      </w:r>
      <w:r>
        <w:rPr>
          <w:rFonts w:asciiTheme="minorEastAsia" w:hAnsiTheme="minorEastAsia" w:eastAsiaTheme="minorEastAsia"/>
          <w:b/>
        </w:rPr>
        <w:t>“</w:t>
      </w:r>
      <w:r>
        <w:rPr>
          <w:b/>
        </w:rPr>
        <w:t>第六章 水产种质资源保护区影响评价及保护措施</w:t>
      </w:r>
      <w:r>
        <w:rPr>
          <w:rFonts w:asciiTheme="minorEastAsia" w:hAnsiTheme="minorEastAsia" w:eastAsiaTheme="minorEastAsia"/>
          <w:b/>
        </w:rPr>
        <w:t>”</w:t>
      </w:r>
      <w:r>
        <w:rPr>
          <w:b/>
        </w:rPr>
        <w:t>。</w:t>
      </w:r>
    </w:p>
    <w:p>
      <w:pPr>
        <w:ind w:firstLine="482"/>
        <w:rPr>
          <w:b/>
          <w:bCs/>
        </w:rPr>
      </w:pPr>
      <w:r>
        <w:rPr>
          <w:rFonts w:hint="eastAsia"/>
          <w:b/>
          <w:bCs/>
        </w:rPr>
        <w:t>（6）对珍稀水生动物的影响</w:t>
      </w:r>
    </w:p>
    <w:p>
      <w:pPr>
        <w:widowControl/>
        <w:ind w:firstLine="482"/>
        <w:rPr>
          <w:b/>
        </w:rPr>
      </w:pPr>
      <w:r>
        <w:rPr>
          <w:b/>
        </w:rPr>
        <w:t>项目对</w:t>
      </w:r>
      <w:r>
        <w:rPr>
          <w:rFonts w:hint="eastAsia"/>
          <w:b/>
        </w:rPr>
        <w:t>珍稀水生生物、</w:t>
      </w:r>
      <w:r>
        <w:rPr>
          <w:b/>
        </w:rPr>
        <w:t>濒危、保护物种的影响详见本文</w:t>
      </w:r>
      <w:r>
        <w:rPr>
          <w:rFonts w:asciiTheme="minorEastAsia" w:hAnsiTheme="minorEastAsia" w:eastAsiaTheme="minorEastAsia"/>
          <w:b/>
        </w:rPr>
        <w:t>“</w:t>
      </w:r>
      <w:r>
        <w:rPr>
          <w:b/>
        </w:rPr>
        <w:t>第六章 水产种质资源保护区影响评价及保护措施</w:t>
      </w:r>
      <w:r>
        <w:rPr>
          <w:rFonts w:asciiTheme="minorEastAsia" w:hAnsiTheme="minorEastAsia" w:eastAsiaTheme="minorEastAsia"/>
          <w:b/>
        </w:rPr>
        <w:t>”</w:t>
      </w:r>
      <w:r>
        <w:rPr>
          <w:b/>
        </w:rPr>
        <w:t>。</w:t>
      </w:r>
    </w:p>
    <w:p>
      <w:pPr>
        <w:widowControl/>
        <w:ind w:left="482" w:firstLine="0" w:firstLineChars="0"/>
        <w:rPr>
          <w:b/>
        </w:rPr>
      </w:pPr>
      <w:r>
        <w:rPr>
          <w:rFonts w:hint="eastAsia"/>
          <w:b/>
        </w:rPr>
        <w:t>（7）对生态敏感区的影响分析</w:t>
      </w:r>
    </w:p>
    <w:p>
      <w:pPr>
        <w:widowControl/>
        <w:ind w:firstLine="482"/>
        <w:rPr>
          <w:b/>
          <w:bCs/>
        </w:rPr>
      </w:pPr>
      <w:r>
        <w:rPr>
          <w:b/>
          <w:bCs/>
        </w:rPr>
        <w:t>①对洞庭湖口铜鱼短颌鲚国家级水产种质资源保护区的影响分析</w:t>
      </w:r>
    </w:p>
    <w:p>
      <w:pPr>
        <w:ind w:firstLine="480"/>
        <w:jc w:val="left"/>
      </w:pPr>
      <w:r>
        <w:t>本项目位于洞庭湖口铜鱼短颌鲚国家级水产种质资源保护区实验区。湖南省港务集团有限公司委托武汉市伊美净科技发展有限公司编制完成《岳阳港道仁矶码头工程对洞庭湖口铜鱼短颌鲚国家级水产种质资源保护区影响专题论证报告》，目前专题报告待送审。本报告引用专题报告的影响分析进行介绍。</w:t>
      </w:r>
    </w:p>
    <w:p>
      <w:pPr>
        <w:ind w:firstLine="480"/>
      </w:pPr>
      <w:r>
        <w:t>工程施工期间水下打桩、港池疏浚、护桩抛石会产生一定量的悬浮物，悬浮物随着水体流场的变化扩散，会形成一定范围的悬浮物高浓度分布区，导致局部水体透明度下降，进而影响浮游动植物的生长。桩基施工还会直接伤害到底栖动物，导致施工区域的大部分底栖动物死亡。</w:t>
      </w:r>
    </w:p>
    <w:p>
      <w:pPr>
        <w:ind w:firstLine="480"/>
        <w:jc w:val="left"/>
      </w:pPr>
      <w:r>
        <w:t>鱼类饵料生物的减少及悬浮泥沙、施工废水等会对施工区附近水域鱼类的生长发育产生不利影响，甚至会造成直接伤害。施工噪音对施工区鱼类产生惊吓效果，不会对鱼类造成明显的伤害或导致其死亡。但是在持续噪音刺激下，一些种类的个体会出现行为紊乱，从而妨碍其正常栖息和觅食。</w:t>
      </w:r>
    </w:p>
    <w:p>
      <w:pPr>
        <w:ind w:firstLine="480"/>
      </w:pPr>
      <w:r>
        <w:t>根据可研报告工程施工计划，本工程总工期为24个月。工程江段四大家鱼的繁殖期和苗种洄游期是4~7月，豚类繁殖季节为4~6月，</w:t>
      </w:r>
      <w:r>
        <w:rPr>
          <w:snapToGrid w:val="0"/>
          <w:kern w:val="0"/>
        </w:rPr>
        <w:t>工</w:t>
      </w:r>
      <w:r>
        <w:t>程施工活动与鱼类繁殖期时间有部分重合，施工活动对水生生物存在一定不利影响。建议该类水下工程施工开始日期调整到7月以后，截止日期提前至3月中旬，减少鱼类和豚类繁殖期的工程施工活动。工程江段不涉及鱼类产卵场，施工不会对鱼类产卵场生境造成破坏，且在落实本报告提出的水下工程避让鱼类主要繁殖期4~7月施工的前提下，对鱼类产卵繁殖基本没有影响。</w:t>
      </w:r>
    </w:p>
    <w:p>
      <w:pPr>
        <w:pStyle w:val="34"/>
      </w:pPr>
      <w:r>
        <w:rPr>
          <w:rFonts w:hint="eastAsia" w:ascii="Times New Roman" w:hAnsi="Times New Roman"/>
          <w:kern w:val="0"/>
          <w:sz w:val="24"/>
          <w:szCs w:val="24"/>
          <w:lang w:eastAsia="zh-CN" w:bidi="ar"/>
        </w:rPr>
        <w:t>工程对</w:t>
      </w:r>
      <w:r>
        <w:rPr>
          <w:sz w:val="24"/>
          <w:szCs w:val="24"/>
        </w:rPr>
        <w:t>洞庭湖口铜鱼短颌鲚国家级水产种质资源保护区</w:t>
      </w:r>
      <w:r>
        <w:rPr>
          <w:rFonts w:ascii="Times New Roman" w:hAnsi="Times New Roman"/>
          <w:kern w:val="0"/>
          <w:sz w:val="24"/>
          <w:szCs w:val="24"/>
          <w:lang w:bidi="ar"/>
        </w:rPr>
        <w:t>具体影响详见</w:t>
      </w:r>
      <w:r>
        <w:rPr>
          <w:rFonts w:hint="eastAsia" w:ascii="Times New Roman" w:hAnsi="Times New Roman"/>
          <w:kern w:val="0"/>
          <w:sz w:val="24"/>
          <w:szCs w:val="24"/>
          <w:lang w:eastAsia="zh-CN" w:bidi="ar"/>
        </w:rPr>
        <w:t>第</w:t>
      </w:r>
      <w:r>
        <w:rPr>
          <w:rFonts w:hint="eastAsia" w:ascii="Times New Roman" w:hAnsi="Times New Roman"/>
          <w:kern w:val="0"/>
          <w:sz w:val="24"/>
          <w:szCs w:val="24"/>
          <w:lang w:val="en-US" w:eastAsia="zh-CN" w:bidi="ar"/>
        </w:rPr>
        <w:t>6</w:t>
      </w:r>
      <w:r>
        <w:rPr>
          <w:rFonts w:ascii="Times New Roman" w:hAnsi="Times New Roman"/>
          <w:kern w:val="0"/>
          <w:sz w:val="24"/>
          <w:szCs w:val="24"/>
          <w:lang w:bidi="ar"/>
        </w:rPr>
        <w:t>章。</w:t>
      </w:r>
    </w:p>
    <w:p>
      <w:pPr>
        <w:widowControl/>
        <w:ind w:firstLine="482"/>
        <w:rPr>
          <w:b/>
          <w:bCs/>
        </w:rPr>
      </w:pPr>
      <w:r>
        <w:rPr>
          <w:b/>
          <w:bCs/>
        </w:rPr>
        <w:t>②对</w:t>
      </w:r>
      <w:r>
        <w:rPr>
          <w:b/>
          <w:bCs/>
          <w:color w:val="000000" w:themeColor="text1"/>
          <w:kern w:val="0"/>
          <w14:textFill>
            <w14:solidFill>
              <w14:schemeClr w14:val="tx1"/>
            </w14:solidFill>
          </w14:textFill>
        </w:rPr>
        <w:t>长江监利段四大家鱼国家级水产种质资源保护区</w:t>
      </w:r>
      <w:r>
        <w:rPr>
          <w:b/>
          <w:bCs/>
        </w:rPr>
        <w:t>的影响分析</w:t>
      </w:r>
    </w:p>
    <w:p>
      <w:pPr>
        <w:ind w:firstLine="480"/>
      </w:pPr>
      <w:r>
        <w:t>本工程不直接占用长江监利段四大家鱼国家级水产种质资源保护区，位于该保护区实验区上游约52m，对保护影响主要是间接影响，不会对其结构和功能造成影响。工程所在江段为开放型水域，对保护区四大家鱼及其他鱼类的影响较小。</w:t>
      </w:r>
    </w:p>
    <w:p>
      <w:pPr>
        <w:pStyle w:val="34"/>
        <w:spacing w:line="360" w:lineRule="auto"/>
        <w:ind w:firstLine="482"/>
        <w:rPr>
          <w:rFonts w:ascii="Times New Roman" w:hAnsi="Times New Roman" w:eastAsiaTheme="minorEastAsia"/>
          <w:b/>
          <w:bCs/>
          <w:sz w:val="24"/>
          <w:szCs w:val="24"/>
        </w:rPr>
      </w:pPr>
      <w:r>
        <w:rPr>
          <w:rFonts w:ascii="Times New Roman" w:hAnsi="Times New Roman"/>
          <w:b/>
          <w:bCs/>
          <w:sz w:val="24"/>
          <w:szCs w:val="24"/>
        </w:rPr>
        <w:t>③对</w:t>
      </w:r>
      <w:r>
        <w:rPr>
          <w:rFonts w:ascii="Times New Roman" w:hAnsi="Times New Roman" w:eastAsiaTheme="minorEastAsia"/>
          <w:b/>
          <w:bCs/>
          <w:sz w:val="24"/>
          <w:szCs w:val="24"/>
        </w:rPr>
        <w:t>白泥湖国家湿地公园</w:t>
      </w:r>
      <w:r>
        <w:rPr>
          <w:rFonts w:ascii="Times New Roman" w:hAnsi="Times New Roman"/>
          <w:b/>
          <w:bCs/>
          <w:sz w:val="24"/>
          <w:szCs w:val="24"/>
        </w:rPr>
        <w:t>的影响分析</w:t>
      </w:r>
    </w:p>
    <w:p>
      <w:pPr>
        <w:pStyle w:val="34"/>
        <w:spacing w:line="360" w:lineRule="auto"/>
        <w:ind w:firstLine="480"/>
        <w:rPr>
          <w:rFonts w:ascii="Times New Roman" w:hAnsi="Times New Roman" w:eastAsiaTheme="minorEastAsia"/>
          <w:bCs/>
          <w:sz w:val="24"/>
          <w:szCs w:val="24"/>
        </w:rPr>
      </w:pPr>
      <w:r>
        <w:rPr>
          <w:rFonts w:ascii="Times New Roman" w:hAnsi="Times New Roman" w:eastAsiaTheme="minorEastAsia"/>
          <w:bCs/>
          <w:sz w:val="24"/>
          <w:szCs w:val="24"/>
        </w:rPr>
        <w:t>本工程不直接涉及白泥湖国家湿地公园，距离湿地公园边界最近直线距离约4.61 km，工程对湿地公园水生生物基本无影响。</w:t>
      </w:r>
    </w:p>
    <w:p>
      <w:pPr>
        <w:widowControl/>
        <w:ind w:firstLine="482"/>
        <w:rPr>
          <w:b/>
          <w:bCs/>
        </w:rPr>
      </w:pPr>
      <w:r>
        <w:rPr>
          <w:b/>
          <w:bCs/>
        </w:rPr>
        <w:t>④对东洞庭湖国家级自然保护区的影响分析</w:t>
      </w:r>
    </w:p>
    <w:p>
      <w:pPr>
        <w:pStyle w:val="34"/>
        <w:spacing w:line="360" w:lineRule="auto"/>
        <w:ind w:firstLine="480"/>
        <w:rPr>
          <w:rFonts w:ascii="Times New Roman" w:hAnsi="Times New Roman"/>
          <w:kern w:val="0"/>
          <w:sz w:val="24"/>
          <w:szCs w:val="24"/>
          <w:lang w:bidi="ar"/>
        </w:rPr>
      </w:pPr>
      <w:r>
        <w:rPr>
          <w:rFonts w:ascii="Times New Roman" w:hAnsi="Times New Roman"/>
          <w:sz w:val="24"/>
          <w:szCs w:val="24"/>
        </w:rPr>
        <w:t>工程与保护区实验区边界最近距离约</w:t>
      </w:r>
      <w:r>
        <w:rPr>
          <w:rFonts w:ascii="Times New Roman" w:hAnsi="Times New Roman"/>
          <w:kern w:val="0"/>
          <w:sz w:val="24"/>
          <w:szCs w:val="24"/>
          <w:lang w:bidi="ar"/>
        </w:rPr>
        <w:t>140m，对保护区长江江豚的主要影响主要表现在栖息地、觅食行为、迁徙行为、机械伤害等。具体影响详见6.3.5.1章节。</w:t>
      </w:r>
    </w:p>
    <w:p>
      <w:pPr>
        <w:widowControl/>
        <w:ind w:firstLine="480"/>
        <w:rPr>
          <w:b/>
          <w:bCs/>
        </w:rPr>
      </w:pPr>
      <w:r>
        <w:rPr>
          <w:rFonts w:eastAsia="微软雅黑"/>
          <w:b/>
          <w:bCs/>
        </w:rPr>
        <w:t>⑤</w:t>
      </w:r>
      <w:r>
        <w:rPr>
          <w:b/>
          <w:bCs/>
        </w:rPr>
        <w:t>对湖北长江新螺段白鱀豚国家级自然保护区的影响分析</w:t>
      </w:r>
    </w:p>
    <w:p>
      <w:pPr>
        <w:pStyle w:val="34"/>
        <w:spacing w:line="360" w:lineRule="auto"/>
        <w:ind w:firstLine="480"/>
        <w:rPr>
          <w:rFonts w:ascii="Times New Roman" w:hAnsi="Times New Roman"/>
          <w:sz w:val="24"/>
          <w:szCs w:val="24"/>
        </w:rPr>
      </w:pPr>
      <w:r>
        <w:rPr>
          <w:rFonts w:ascii="Times New Roman" w:hAnsi="Times New Roman"/>
          <w:sz w:val="24"/>
          <w:szCs w:val="24"/>
        </w:rPr>
        <w:t>工程与保护区实验区边界最近距离约</w:t>
      </w:r>
      <w:r>
        <w:rPr>
          <w:rFonts w:hint="eastAsia" w:ascii="Times New Roman" w:hAnsi="Times New Roman"/>
          <w:kern w:val="0"/>
          <w:sz w:val="24"/>
          <w:szCs w:val="24"/>
          <w:lang w:bidi="ar"/>
        </w:rPr>
        <w:t>13.6</w:t>
      </w:r>
      <w:r>
        <w:rPr>
          <w:rFonts w:ascii="Times New Roman" w:hAnsi="Times New Roman"/>
          <w:kern w:val="0"/>
          <w:sz w:val="24"/>
          <w:szCs w:val="24"/>
          <w:lang w:bidi="ar"/>
        </w:rPr>
        <w:t>m，对保护区长江江豚的主要影响主要表现在栖息地、觅食行为、迁徙行为、机械伤害等。具体影响详见6.3.5.1章节。</w:t>
      </w:r>
    </w:p>
    <w:p>
      <w:pPr>
        <w:pStyle w:val="456"/>
        <w:ind w:firstLine="482"/>
      </w:pPr>
      <w:r>
        <w:t>对陆域生态的影响</w:t>
      </w:r>
      <w:r>
        <w:rPr>
          <w:rFonts w:hint="eastAsia"/>
          <w:lang w:val="en-US"/>
        </w:rPr>
        <w:t>分析</w:t>
      </w:r>
    </w:p>
    <w:p>
      <w:pPr>
        <w:ind w:firstLine="482"/>
        <w:rPr>
          <w:b/>
        </w:rPr>
      </w:pPr>
      <w:r>
        <w:rPr>
          <w:rFonts w:hint="eastAsia"/>
          <w:b/>
        </w:rPr>
        <w:t>（1）对陆生植物的影响</w:t>
      </w:r>
    </w:p>
    <w:p>
      <w:pPr>
        <w:ind w:firstLine="480"/>
      </w:pPr>
      <w:r>
        <w:rPr>
          <w:rFonts w:hint="eastAsia"/>
        </w:rPr>
        <w:t>项目建设施工将造成施工区域局部陆生植物破坏，</w:t>
      </w:r>
      <w:r>
        <w:t>工程范围内</w:t>
      </w:r>
      <w:r>
        <w:rPr>
          <w:rFonts w:hint="eastAsia"/>
        </w:rPr>
        <w:t>均为工业仓储用地，</w:t>
      </w:r>
      <w:r>
        <w:t>仅有少量人工绿化植物，没有珍稀和需要保护的植物。</w:t>
      </w:r>
      <w:r>
        <w:rPr>
          <w:rFonts w:hint="eastAsia"/>
        </w:rPr>
        <w:t>施工营地、场地均设在后方港区范围内。</w:t>
      </w:r>
      <w:r>
        <w:t>施工建设活动不改变原土地利用方式，仅使部分植被受到破坏。受损失的植物主要是人工绿化植物，均属评价范围内的常见种类，其生长范围广，适应性强，不存在因工程占地导致植物种群消失或灭绝的危险。</w:t>
      </w:r>
      <w:r>
        <w:rPr>
          <w:rFonts w:hint="eastAsia"/>
        </w:rPr>
        <w:t>项目建成后对后方陆域进行绿化，破坏</w:t>
      </w:r>
      <w:r>
        <w:t>植被得到补偿。</w:t>
      </w:r>
    </w:p>
    <w:p>
      <w:pPr>
        <w:ind w:firstLine="480"/>
      </w:pPr>
      <w:r>
        <w:rPr>
          <w:rFonts w:hint="eastAsia"/>
        </w:rPr>
        <w:t>桩基和护坡占用河滩地将使部分植被受到破坏，部分植物个体损失。现有码头岸线范围内植被较少，损坏的植被以野生草本植物为主，均为当地常见种，其生长范围广，适应性强，不会因工程占地导致植物种群消失或灭绝。工程建设的施工后期，工程所在区域将进行绿化建设，工程建设所造成的陆域生态环境损失将得到最大程度的恢复。</w:t>
      </w:r>
    </w:p>
    <w:p>
      <w:pPr>
        <w:ind w:firstLine="480"/>
      </w:pPr>
      <w:r>
        <w:rPr>
          <w:rFonts w:hint="eastAsia"/>
        </w:rPr>
        <w:t>施工期可能产生水土流失的环节主要为前方数据、码头、引桥基础施工，后方港区施工作业扰动地表、破坏植被，遇降雨时可能产生水土流失。本工程的修建将永久占用岸线长度840m。工程扰动按永久占用长江岸线长度扩大1.5倍计算，即工程扰动长江岸线长度为1260m。对前方码头区域，通过加强施工管理，可将施工扰动地表的范围控制一定范围内，施工期产生的水土流失量较小。且码头岸线陆域植被均具有很强的适应能力，结合植被恢复措施，工程占压的植被在工程完工后的第二年即可自行恢复。</w:t>
      </w:r>
    </w:p>
    <w:p>
      <w:pPr>
        <w:ind w:firstLine="480"/>
      </w:pPr>
      <w:r>
        <w:rPr>
          <w:rFonts w:hint="eastAsia"/>
        </w:rPr>
        <w:t>后方港区工程挖填土方和清淤淤泥存在一定规模的土方临时堆放，临时堆放场地设置在后方陆域占地范围内，不新增用地。临时堆放场地如不采取水土流失防治措施，在暴雨径流作用下，极易引发水土流失，若不进行有效的防治，流失土壤直接进入长江。因此，建议主体工程区建排水沟系统；临时堆放场地防治区要确保渣场边坡稳定，用填土编织袋堆砌拦挡，建设挡渣墙，设置截、排水沟，同时在雨天应加盖遮布；项目建设区要按照实地适宜树（草）等原则，兼顾绿化美化，合理布置植物措施。施工过程中认真落实防护措施与植被恢复措施，随着工程的结束，码头岸线陆域的水土保持效果将逐步得到恢复。</w:t>
      </w:r>
    </w:p>
    <w:p>
      <w:pPr>
        <w:ind w:firstLine="482"/>
        <w:rPr>
          <w:b/>
        </w:rPr>
      </w:pPr>
      <w:r>
        <w:rPr>
          <w:rFonts w:hint="eastAsia"/>
          <w:b/>
        </w:rPr>
        <w:t>（2）对陆生动物的影响</w:t>
      </w:r>
    </w:p>
    <w:p>
      <w:pPr>
        <w:ind w:firstLine="480"/>
      </w:pPr>
      <w:r>
        <w:rPr>
          <w:rFonts w:hint="eastAsia"/>
        </w:rPr>
        <w:t>评价范围内</w:t>
      </w:r>
      <w:r>
        <w:t>由于受到长期人类活动的影响，目前可见的陆生动物主要为</w:t>
      </w:r>
      <w:r>
        <w:rPr>
          <w:rFonts w:hint="eastAsia"/>
        </w:rPr>
        <w:t>常见小型兽类、爬行类、两栖类和鸟类，</w:t>
      </w:r>
      <w:r>
        <w:t>周围可栖息的范围较广</w:t>
      </w:r>
      <w:r>
        <w:rPr>
          <w:rFonts w:hint="eastAsia"/>
        </w:rPr>
        <w:t>。工程建设对上述野生动物的影响主要表现为施工噪声。工区附近的陆生动物造成干扰，造成它们暂时离开，但这种影响是暂时的，会随着施工结束而逐渐消失。</w:t>
      </w:r>
    </w:p>
    <w:p>
      <w:pPr>
        <w:pStyle w:val="454"/>
        <w:ind w:firstLine="602"/>
        <w:rPr>
          <w:color w:val="auto"/>
        </w:rPr>
      </w:pPr>
      <w:r>
        <w:rPr>
          <w:color w:val="auto"/>
        </w:rPr>
        <w:t>运营期生态环境影响预测与评价</w:t>
      </w:r>
    </w:p>
    <w:p>
      <w:pPr>
        <w:ind w:firstLine="480"/>
      </w:pPr>
      <w:r>
        <w:rPr>
          <w:rFonts w:hint="eastAsia"/>
        </w:rPr>
        <w:t>营运期码头建成后，对码头水域水文情势的影响较小，对水域的影响主要表现为水污染和噪声污染。水污染主要包括陆域人员生活污水、机修间冲洗水，到港船舶污水等江水的污染。噪声污染主要为码头装卸机械噪声，以及船舶进出港区的船舶噪声等。同时运输船舶螺旋桨存在误伤大型水生动物的风险。</w:t>
      </w:r>
    </w:p>
    <w:p>
      <w:pPr>
        <w:pStyle w:val="456"/>
        <w:ind w:firstLine="482"/>
      </w:pPr>
      <w:r>
        <w:rPr>
          <w:rFonts w:hint="eastAsia"/>
          <w:lang w:val="en-US" w:eastAsia="zh-CN"/>
        </w:rPr>
        <w:t>对水生生态的影响分析</w:t>
      </w:r>
    </w:p>
    <w:p>
      <w:pPr>
        <w:ind w:firstLine="496"/>
        <w:rPr>
          <w:rFonts w:hint="default" w:cs="Times New Roman"/>
          <w:b/>
          <w:bCs/>
          <w:spacing w:val="4"/>
          <w:lang w:val="en-US" w:eastAsia="zh-CN"/>
        </w:rPr>
      </w:pPr>
      <w:r>
        <w:rPr>
          <w:rFonts w:hint="eastAsia" w:cs="Times New Roman"/>
          <w:b/>
          <w:bCs/>
          <w:spacing w:val="4"/>
          <w:lang w:eastAsia="zh-CN"/>
        </w:rPr>
        <w:t>（</w:t>
      </w:r>
      <w:r>
        <w:rPr>
          <w:rFonts w:hint="eastAsia" w:cs="Times New Roman"/>
          <w:b/>
          <w:bCs/>
          <w:spacing w:val="4"/>
          <w:lang w:val="en-US" w:eastAsia="zh-CN"/>
        </w:rPr>
        <w:t>1</w:t>
      </w:r>
      <w:r>
        <w:rPr>
          <w:rFonts w:hint="eastAsia" w:cs="Times New Roman"/>
          <w:b/>
          <w:bCs/>
          <w:spacing w:val="4"/>
          <w:lang w:eastAsia="zh-CN"/>
        </w:rPr>
        <w:t>）</w:t>
      </w:r>
      <w:r>
        <w:rPr>
          <w:rFonts w:hint="eastAsia" w:cs="Times New Roman"/>
          <w:b/>
          <w:bCs/>
          <w:spacing w:val="4"/>
          <w:lang w:val="en-US" w:eastAsia="zh-CN"/>
        </w:rPr>
        <w:t>对水生动物及其洄游通道的影响</w:t>
      </w:r>
    </w:p>
    <w:p>
      <w:pPr>
        <w:pStyle w:val="34"/>
        <w:spacing w:line="360" w:lineRule="auto"/>
        <w:rPr>
          <w:rFonts w:hint="eastAsia" w:ascii="Times New Roman" w:hAnsi="Times New Roman"/>
          <w:spacing w:val="4"/>
          <w:sz w:val="24"/>
          <w:szCs w:val="24"/>
          <w:lang w:eastAsia="zh-CN"/>
        </w:rPr>
      </w:pPr>
      <w:r>
        <w:rPr>
          <w:rFonts w:hint="eastAsia" w:ascii="Times New Roman" w:hAnsi="Times New Roman"/>
          <w:spacing w:val="4"/>
          <w:sz w:val="24"/>
          <w:szCs w:val="24"/>
          <w:lang w:eastAsia="zh-CN"/>
        </w:rPr>
        <w:t>本工程采用</w:t>
      </w:r>
      <w:r>
        <w:rPr>
          <w:rFonts w:hint="eastAsia" w:ascii="Times New Roman" w:hAnsi="Times New Roman"/>
          <w:spacing w:val="4"/>
          <w:sz w:val="24"/>
          <w:szCs w:val="24"/>
          <w:lang w:val="en-US" w:eastAsia="zh-CN"/>
        </w:rPr>
        <w:t>高桩</w:t>
      </w:r>
      <w:r>
        <w:rPr>
          <w:rFonts w:hint="eastAsia" w:ascii="Times New Roman" w:hAnsi="Times New Roman"/>
          <w:spacing w:val="4"/>
          <w:sz w:val="24"/>
          <w:szCs w:val="24"/>
          <w:lang w:eastAsia="zh-CN"/>
        </w:rPr>
        <w:t>码头，码头工程阻水面积</w:t>
      </w:r>
      <w:r>
        <w:rPr>
          <w:rFonts w:hint="eastAsia" w:ascii="Times New Roman" w:hAnsi="Times New Roman"/>
          <w:spacing w:val="4"/>
          <w:sz w:val="24"/>
          <w:szCs w:val="24"/>
          <w:lang w:val="en-US" w:eastAsia="zh-CN"/>
        </w:rPr>
        <w:t>小于</w:t>
      </w:r>
      <w:r>
        <w:rPr>
          <w:rFonts w:hint="eastAsia" w:ascii="Times New Roman" w:hAnsi="Times New Roman"/>
          <w:spacing w:val="4"/>
          <w:sz w:val="24"/>
          <w:szCs w:val="24"/>
          <w:lang w:eastAsia="zh-CN"/>
        </w:rPr>
        <w:t>长江过水面积0.50%，对长江珍稀保护水生动物的洄游通道不会造成明显影响，工程营运不会对本江段生态保护物种造成影响。</w:t>
      </w:r>
    </w:p>
    <w:p>
      <w:pPr>
        <w:pStyle w:val="34"/>
        <w:spacing w:line="360" w:lineRule="auto"/>
        <w:rPr>
          <w:rFonts w:hint="eastAsia" w:ascii="Times New Roman" w:hAnsi="Times New Roman"/>
          <w:spacing w:val="4"/>
          <w:sz w:val="24"/>
          <w:szCs w:val="24"/>
          <w:lang w:eastAsia="zh-CN"/>
        </w:rPr>
      </w:pPr>
      <w:r>
        <w:rPr>
          <w:rFonts w:hint="eastAsia" w:ascii="Times New Roman" w:hAnsi="Times New Roman"/>
          <w:spacing w:val="4"/>
          <w:sz w:val="24"/>
          <w:szCs w:val="24"/>
          <w:lang w:eastAsia="zh-CN"/>
        </w:rPr>
        <w:t>工程基本维持江段原有的自然岸线，工程对水生生物产生的影响较小。工程近岸水域不是鱼类产卵繁殖区及主要的索饵场。</w:t>
      </w:r>
    </w:p>
    <w:p>
      <w:pPr>
        <w:pStyle w:val="34"/>
        <w:spacing w:line="360" w:lineRule="auto"/>
        <w:rPr>
          <w:rFonts w:hint="eastAsia" w:ascii="Times New Roman" w:hAnsi="Times New Roman"/>
          <w:spacing w:val="4"/>
          <w:sz w:val="24"/>
          <w:szCs w:val="24"/>
          <w:lang w:eastAsia="zh-CN"/>
        </w:rPr>
      </w:pPr>
      <w:r>
        <w:rPr>
          <w:rFonts w:hint="eastAsia" w:ascii="Times New Roman" w:hAnsi="Times New Roman"/>
          <w:spacing w:val="4"/>
          <w:sz w:val="24"/>
          <w:szCs w:val="24"/>
          <w:lang w:eastAsia="zh-CN"/>
        </w:rPr>
        <w:t>工程建成运行后，通航船只数量、密度将明显增大。船只对本江段的经济鱼类会产生一定的影响，其主要是影响鱼类的分布。船只的噪音及螺旋桨都会导致鱼类分布的变化。船只运行的噪音和波浪造成鱼类的主动回避，主航道的鱼类将离开栖息地，但此影响是暂时的其影响程度不大;船只螺旋桨可能造成躲避不及时的鱼类的死亡和伤害，误伤一定数量的鱼类，但这种影响和误伤的比例很小。</w:t>
      </w:r>
    </w:p>
    <w:p>
      <w:pPr>
        <w:ind w:firstLine="496"/>
        <w:rPr>
          <w:rFonts w:hint="eastAsia" w:ascii="Times New Roman" w:hAnsi="Times New Roman" w:eastAsia="宋体" w:cs="Times New Roman"/>
          <w:spacing w:val="4"/>
        </w:rPr>
      </w:pPr>
      <w:r>
        <w:rPr>
          <w:rFonts w:hint="eastAsia" w:ascii="Times New Roman" w:hAnsi="Times New Roman" w:eastAsia="宋体" w:cs="Times New Roman"/>
          <w:b/>
          <w:bCs/>
          <w:spacing w:val="4"/>
          <w:lang w:eastAsia="zh-CN"/>
        </w:rPr>
        <w:t>（</w:t>
      </w:r>
      <w:r>
        <w:rPr>
          <w:rFonts w:hint="eastAsia" w:cs="Times New Roman"/>
          <w:b/>
          <w:bCs/>
          <w:spacing w:val="4"/>
          <w:lang w:val="en-US" w:eastAsia="zh-CN"/>
        </w:rPr>
        <w:t>2</w:t>
      </w:r>
      <w:r>
        <w:rPr>
          <w:rFonts w:hint="eastAsia" w:ascii="Times New Roman" w:hAnsi="Times New Roman" w:eastAsia="宋体" w:cs="Times New Roman"/>
          <w:b/>
          <w:bCs/>
          <w:spacing w:val="4"/>
          <w:lang w:eastAsia="zh-CN"/>
        </w:rPr>
        <w:t>）</w:t>
      </w:r>
      <w:r>
        <w:rPr>
          <w:rFonts w:hint="eastAsia" w:ascii="Times New Roman" w:hAnsi="Times New Roman" w:eastAsia="宋体" w:cs="Times New Roman"/>
          <w:b/>
          <w:bCs/>
          <w:spacing w:val="4"/>
        </w:rPr>
        <w:t>污水对水生生物的影响</w:t>
      </w:r>
    </w:p>
    <w:p>
      <w:pPr>
        <w:ind w:firstLine="496"/>
        <w:rPr>
          <w:spacing w:val="4"/>
        </w:rPr>
      </w:pPr>
      <w:r>
        <w:rPr>
          <w:rFonts w:hint="eastAsia"/>
          <w:spacing w:val="4"/>
        </w:rPr>
        <w:t>本项目</w:t>
      </w:r>
      <w:r>
        <w:t>船舶</w:t>
      </w:r>
      <w:r>
        <w:rPr>
          <w:rFonts w:hint="eastAsia"/>
        </w:rPr>
        <w:t>舱底</w:t>
      </w:r>
      <w:r>
        <w:t>油污水由船舶自备的油水分离器隔油处理后由船舶交给海事部门环保船接收处理；船舶</w:t>
      </w:r>
      <w:r>
        <w:rPr>
          <w:spacing w:val="-3"/>
          <w:szCs w:val="22"/>
        </w:rPr>
        <w:t>生活污水由船舶交给港口海事部门环保工作船接收处理</w:t>
      </w:r>
      <w:r>
        <w:rPr>
          <w:rFonts w:hint="eastAsia"/>
          <w:spacing w:val="-3"/>
          <w:szCs w:val="22"/>
        </w:rPr>
        <w:t>；</w:t>
      </w:r>
      <w:r>
        <w:t>机械冲洗废水集中收集后</w:t>
      </w:r>
      <w:r>
        <w:rPr>
          <w:rFonts w:hint="eastAsia"/>
        </w:rPr>
        <w:t>，</w:t>
      </w:r>
      <w:r>
        <w:t>经油水分离器预处理后进入含尘污水处理间处理</w:t>
      </w:r>
      <w:r>
        <w:rPr>
          <w:rFonts w:hint="eastAsia"/>
        </w:rPr>
        <w:t>；地面</w:t>
      </w:r>
      <w:r>
        <w:t>冲洗废水和初期雨水经污水收集池</w:t>
      </w:r>
      <w:r>
        <w:rPr>
          <w:spacing w:val="-16"/>
        </w:rPr>
        <w:t>收集，后</w:t>
      </w:r>
      <w:r>
        <w:t>由防爆污水泵和管道抽送</w:t>
      </w:r>
      <w:r>
        <w:rPr>
          <w:spacing w:val="2"/>
        </w:rPr>
        <w:t>至后方陆域工程区</w:t>
      </w:r>
      <w:r>
        <w:t>含尘污水处理间处理</w:t>
      </w:r>
      <w:r>
        <w:rPr>
          <w:spacing w:val="4"/>
        </w:rPr>
        <w:t>，和陆域含尘废水一同经</w:t>
      </w:r>
      <w:r>
        <w:t>处理达标后回用于</w:t>
      </w:r>
      <w:r>
        <w:rPr>
          <w:rFonts w:hint="eastAsia"/>
        </w:rPr>
        <w:t>散货</w:t>
      </w:r>
      <w:r>
        <w:t>堆场喷洒降尘</w:t>
      </w:r>
      <w:r>
        <w:rPr>
          <w:rFonts w:hint="eastAsia"/>
        </w:rPr>
        <w:t>；员工</w:t>
      </w:r>
      <w:r>
        <w:t>生活污水</w:t>
      </w:r>
      <w:r>
        <w:rPr>
          <w:rFonts w:hint="eastAsia"/>
        </w:rPr>
        <w:t>接入市政污水管网，交由</w:t>
      </w:r>
      <w:r>
        <w:rPr>
          <w:rFonts w:hint="eastAsia"/>
          <w:lang w:val="en-US" w:eastAsia="zh-CN"/>
        </w:rPr>
        <w:t>临港水质净化厂</w:t>
      </w:r>
      <w:r>
        <w:rPr>
          <w:rFonts w:hint="eastAsia"/>
        </w:rPr>
        <w:t>处理</w:t>
      </w:r>
      <w:r>
        <w:t>。</w:t>
      </w:r>
      <w:r>
        <w:rPr>
          <w:rFonts w:hint="eastAsia"/>
          <w:spacing w:val="4"/>
        </w:rPr>
        <w:t>项目所有废水均不直接外排，项目产生的污水对长江水质影响较小，对水生生物的影响较小。</w:t>
      </w:r>
    </w:p>
    <w:p>
      <w:pPr>
        <w:ind w:firstLine="496"/>
        <w:rPr>
          <w:rFonts w:hint="eastAsia" w:ascii="Times New Roman" w:hAnsi="Times New Roman" w:eastAsia="宋体" w:cs="Times New Roman"/>
          <w:b/>
          <w:bCs/>
          <w:spacing w:val="4"/>
        </w:rPr>
      </w:pPr>
      <w:r>
        <w:rPr>
          <w:rFonts w:hint="eastAsia" w:ascii="Times New Roman" w:hAnsi="Times New Roman" w:eastAsia="宋体" w:cs="Times New Roman"/>
          <w:b/>
          <w:bCs/>
          <w:spacing w:val="4"/>
          <w:lang w:eastAsia="zh-CN"/>
        </w:rPr>
        <w:t>（</w:t>
      </w:r>
      <w:r>
        <w:rPr>
          <w:rFonts w:hint="eastAsia" w:cs="Times New Roman"/>
          <w:b/>
          <w:bCs/>
          <w:spacing w:val="4"/>
          <w:lang w:val="en-US" w:eastAsia="zh-CN"/>
        </w:rPr>
        <w:t>3</w:t>
      </w:r>
      <w:r>
        <w:rPr>
          <w:rFonts w:hint="eastAsia" w:ascii="Times New Roman" w:hAnsi="Times New Roman" w:eastAsia="宋体" w:cs="Times New Roman"/>
          <w:b/>
          <w:bCs/>
          <w:spacing w:val="4"/>
          <w:lang w:eastAsia="zh-CN"/>
        </w:rPr>
        <w:t>）</w:t>
      </w:r>
      <w:r>
        <w:rPr>
          <w:rFonts w:hint="eastAsia" w:ascii="Times New Roman" w:hAnsi="Times New Roman" w:eastAsia="宋体" w:cs="Times New Roman"/>
          <w:b/>
          <w:bCs/>
          <w:spacing w:val="4"/>
        </w:rPr>
        <w:t>装卸噪声对水生生物的影响</w:t>
      </w:r>
    </w:p>
    <w:p>
      <w:pPr>
        <w:ind w:firstLine="480"/>
      </w:pPr>
      <w:r>
        <w:rPr>
          <w:rFonts w:hint="eastAsia"/>
        </w:rPr>
        <w:t>有资料表明，噪声能使鱼类生长发育受影响。当外界环境的突发性声音发出时，能使一贯宁静的生物有机体受到突然的声波冲击，使精神感到紧张，而精神紧张时，会使体内额外的类固醇释放到血液中去，从而使血液中的胆固醇加多，致使正常的生理机能发生改变而影响身体健康，减低其体质对外界不良影响的抵抗能力，轻者影响到生长发育，重者可致死亡。如当人为的110dB噪声即可压住鱼群发出的各种声音信号，并且人为的噪声在水中比在陆地上传播更快，其声波虽然在传播途中逐渐衰减，但这种外来音波也能激起水波的异常，使宁静的鱼类产生一时的精神紧张，从而使其身体的生长发育受到影响。在持续噪音刺激下，一些种类的个体会出现行为紊乱，从而妨碍其正常索饵和洄游。本工程营运期码头装卸机械噪声，主要是装卸机械噪声，噪声值68～96dB(A)，不超过可压住鱼群发出的各种声音信号的110dB，因此，本工程运行期噪声对该江段鱼类的影响不大。</w:t>
      </w:r>
    </w:p>
    <w:p>
      <w:pPr>
        <w:ind w:firstLine="496"/>
        <w:rPr>
          <w:rFonts w:hint="eastAsia" w:ascii="Times New Roman" w:hAnsi="Times New Roman" w:eastAsia="宋体" w:cs="Times New Roman"/>
          <w:b/>
          <w:bCs/>
          <w:spacing w:val="4"/>
        </w:rPr>
      </w:pPr>
      <w:r>
        <w:rPr>
          <w:rFonts w:hint="eastAsia" w:ascii="Times New Roman" w:hAnsi="Times New Roman" w:eastAsia="宋体" w:cs="Times New Roman"/>
          <w:b/>
          <w:bCs/>
          <w:spacing w:val="4"/>
          <w:lang w:eastAsia="zh-CN"/>
        </w:rPr>
        <w:t>（</w:t>
      </w:r>
      <w:r>
        <w:rPr>
          <w:rFonts w:hint="eastAsia" w:cs="Times New Roman"/>
          <w:b/>
          <w:bCs/>
          <w:spacing w:val="4"/>
          <w:lang w:val="en-US" w:eastAsia="zh-CN"/>
        </w:rPr>
        <w:t>4</w:t>
      </w:r>
      <w:r>
        <w:rPr>
          <w:rFonts w:hint="eastAsia" w:ascii="Times New Roman" w:hAnsi="Times New Roman" w:eastAsia="宋体" w:cs="Times New Roman"/>
          <w:b/>
          <w:bCs/>
          <w:spacing w:val="4"/>
          <w:lang w:eastAsia="zh-CN"/>
        </w:rPr>
        <w:t>）</w:t>
      </w:r>
      <w:r>
        <w:rPr>
          <w:rFonts w:hint="eastAsia" w:ascii="Times New Roman" w:hAnsi="Times New Roman" w:eastAsia="宋体" w:cs="Times New Roman"/>
          <w:b/>
          <w:bCs/>
          <w:spacing w:val="4"/>
        </w:rPr>
        <w:t>船舶通行对水生动物的影响</w:t>
      </w:r>
    </w:p>
    <w:p>
      <w:pPr>
        <w:ind w:firstLine="480"/>
      </w:pPr>
      <w:r>
        <w:t>码头建成后，船舶通行对水生生物的影响主要表现在两个方面，即噪音干扰影响和螺旋桨误伤大型水生动物影响。</w:t>
      </w:r>
    </w:p>
    <w:p>
      <w:pPr>
        <w:ind w:firstLine="480"/>
      </w:pPr>
      <w:r>
        <w:t>1）对鱼类的影响：随着运营期进出港作业船舶的增多，使项目水域船舶流量和交通密度将增加，从而改变了现有的水生生物栖息环境。目前，尚无有关船舶船型、密度及航行模式对鱼类影响的研究，运营期航运量变化对鱼类的影响主要是定性分析。工程建成运行后，通航船舶船型、数量和密度将有变化。船舶航行对本江段的鱼类会产生一定的影响，其主要是船只的噪音及螺旋桨会导致鱼类分布的变化。对一般鱼类而言，船只运行的噪音和波浪造成鱼类的主动回避，主航道的鱼类将离开栖息地，但此影响是暂时的其影响程度不大；工程所在江段现状为航道，鱼类等对船舶行驶有一定的躲避能力，工程运营后，对鱼类的分布区域和活动空间影响不大。在正常运营情况下，本工程不会对该区域的生态功能产生显著影响。</w:t>
      </w:r>
    </w:p>
    <w:p>
      <w:pPr>
        <w:ind w:firstLine="480"/>
      </w:pPr>
      <w:r>
        <w:t>2）对白</w:t>
      </w:r>
      <w:r>
        <w:rPr>
          <w:rFonts w:eastAsia="微软雅黑"/>
        </w:rPr>
        <w:t>鱀</w:t>
      </w:r>
      <w:r>
        <w:t>豚、</w:t>
      </w:r>
      <w:r>
        <w:rPr>
          <w:rFonts w:hint="eastAsia"/>
          <w:lang w:val="en-US" w:eastAsia="zh-CN"/>
        </w:rPr>
        <w:t>长江</w:t>
      </w:r>
      <w:r>
        <w:t>江豚的影响</w:t>
      </w:r>
    </w:p>
    <w:p>
      <w:pPr>
        <w:ind w:firstLine="480"/>
      </w:pPr>
      <w:r>
        <w:t>由于本工程在近岸水域，工程建筑物基本不会对</w:t>
      </w:r>
      <w:r>
        <w:rPr>
          <w:rFonts w:hint="eastAsia"/>
          <w:lang w:val="en-US" w:eastAsia="zh-CN"/>
        </w:rPr>
        <w:t>长江</w:t>
      </w:r>
      <w:r>
        <w:t>江豚的迁移产生阻隔影响，营运期的影响主要是来自于航行船舶。营运期对</w:t>
      </w:r>
      <w:r>
        <w:rPr>
          <w:rFonts w:hint="eastAsia"/>
          <w:lang w:val="en-US" w:eastAsia="zh-CN"/>
        </w:rPr>
        <w:t>长江</w:t>
      </w:r>
      <w:r>
        <w:t>江豚的影响包括船舶运行时螺旋桨的误伤、引擎的噪音等持续影响，以及可能发生的紧急情况导致的水域污染等带来的急性影响。</w:t>
      </w:r>
    </w:p>
    <w:p>
      <w:pPr>
        <w:ind w:firstLine="480"/>
      </w:pPr>
      <w:r>
        <w:rPr>
          <w:rFonts w:ascii="Segoe UI Symbol" w:hAnsi="Segoe UI Symbol" w:cs="Segoe UI Symbol"/>
        </w:rPr>
        <w:t>★</w:t>
      </w:r>
      <w:r>
        <w:t>螺旋桨误伤影响：长江作为交通运输的黄金水道，船舶噪音和振动干扰豚类的声纳系统，大量的船舶运行挤占了</w:t>
      </w:r>
      <w:r>
        <w:rPr>
          <w:rFonts w:hint="eastAsia"/>
          <w:lang w:val="en-US" w:eastAsia="zh-CN"/>
        </w:rPr>
        <w:t>长江</w:t>
      </w:r>
      <w:r>
        <w:t>江豚的生存空间，螺旋桨会对</w:t>
      </w:r>
      <w:r>
        <w:rPr>
          <w:rFonts w:hint="eastAsia"/>
          <w:lang w:val="en-US" w:eastAsia="zh-CN"/>
        </w:rPr>
        <w:t>长江</w:t>
      </w:r>
      <w:r>
        <w:t>江豚造成直接伤害。</w:t>
      </w:r>
    </w:p>
    <w:p>
      <w:pPr>
        <w:ind w:firstLine="480"/>
      </w:pPr>
      <w:r>
        <w:t>根据1973～1983年长江中游白</w:t>
      </w:r>
      <w:r>
        <w:rPr>
          <w:rFonts w:eastAsia="微软雅黑"/>
        </w:rPr>
        <w:t>鱀</w:t>
      </w:r>
      <w:r>
        <w:t>豚意外死亡原因统计，主要原因为滚钩误伤，螺旋桨误伤的几率仅为滚钩的13.33%。</w:t>
      </w:r>
    </w:p>
    <w:p>
      <w:pPr>
        <w:pStyle w:val="3586"/>
        <w:ind w:left="0"/>
      </w:pPr>
      <w:r>
        <w:t>长江中下游白鱀豚死亡统计</w:t>
      </w:r>
    </w:p>
    <w:tbl>
      <w:tblPr>
        <w:tblStyle w:val="87"/>
        <w:tblW w:w="487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21"/>
        <w:gridCol w:w="886"/>
        <w:gridCol w:w="886"/>
        <w:gridCol w:w="654"/>
        <w:gridCol w:w="1116"/>
        <w:gridCol w:w="728"/>
        <w:gridCol w:w="654"/>
        <w:gridCol w:w="890"/>
        <w:gridCol w:w="1058"/>
        <w:gridCol w:w="8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9" w:type="pct"/>
            <w:vMerge w:val="restart"/>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江段及时段</w:t>
            </w:r>
          </w:p>
        </w:tc>
        <w:tc>
          <w:tcPr>
            <w:tcW w:w="489" w:type="pct"/>
            <w:vMerge w:val="restart"/>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死亡</w:t>
            </w:r>
          </w:p>
        </w:tc>
        <w:tc>
          <w:tcPr>
            <w:tcW w:w="3304" w:type="pct"/>
            <w:gridSpan w:val="7"/>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死亡原因</w:t>
            </w:r>
          </w:p>
        </w:tc>
        <w:tc>
          <w:tcPr>
            <w:tcW w:w="478" w:type="pct"/>
            <w:vMerge w:val="restart"/>
            <w:tcBorders>
              <w:bottom w:val="single" w:color="auto" w:sz="12" w:space="0"/>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合计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bottom w:val="single" w:color="auto" w:sz="12" w:space="0"/>
            </w:tcBorders>
            <w:vAlign w:val="center"/>
          </w:tcPr>
          <w:p>
            <w:pPr>
              <w:tabs>
                <w:tab w:val="clear" w:pos="480"/>
              </w:tabs>
              <w:snapToGrid w:val="0"/>
              <w:spacing w:line="240" w:lineRule="atLeast"/>
              <w:ind w:firstLine="0" w:firstLineChars="0"/>
              <w:jc w:val="center"/>
              <w:rPr>
                <w:kern w:val="0"/>
                <w:sz w:val="21"/>
                <w:szCs w:val="21"/>
              </w:rPr>
            </w:pPr>
          </w:p>
        </w:tc>
        <w:tc>
          <w:tcPr>
            <w:tcW w:w="0" w:type="auto"/>
            <w:vMerge w:val="continue"/>
            <w:tcBorders>
              <w:bottom w:val="single" w:color="auto" w:sz="12" w:space="0"/>
            </w:tcBorders>
            <w:vAlign w:val="center"/>
          </w:tcPr>
          <w:p>
            <w:pPr>
              <w:tabs>
                <w:tab w:val="clear" w:pos="480"/>
              </w:tabs>
              <w:snapToGrid w:val="0"/>
              <w:spacing w:line="240" w:lineRule="atLeast"/>
              <w:ind w:firstLine="0" w:firstLineChars="0"/>
              <w:jc w:val="center"/>
              <w:rPr>
                <w:kern w:val="0"/>
                <w:sz w:val="21"/>
                <w:szCs w:val="21"/>
              </w:rPr>
            </w:pPr>
          </w:p>
        </w:tc>
        <w:tc>
          <w:tcPr>
            <w:tcW w:w="489" w:type="pct"/>
            <w:tcBorders>
              <w:bottom w:val="single" w:color="auto" w:sz="12" w:space="0"/>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螺旋桨</w:t>
            </w:r>
          </w:p>
        </w:tc>
        <w:tc>
          <w:tcPr>
            <w:tcW w:w="361" w:type="pct"/>
            <w:tcBorders>
              <w:bottom w:val="single" w:color="auto" w:sz="12" w:space="0"/>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滚钩</w:t>
            </w:r>
          </w:p>
        </w:tc>
        <w:tc>
          <w:tcPr>
            <w:tcW w:w="616" w:type="pct"/>
            <w:tcBorders>
              <w:bottom w:val="single" w:color="auto" w:sz="12" w:space="0"/>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其他渔具</w:t>
            </w:r>
          </w:p>
        </w:tc>
        <w:tc>
          <w:tcPr>
            <w:tcW w:w="402" w:type="pct"/>
            <w:tcBorders>
              <w:bottom w:val="single" w:color="auto" w:sz="12" w:space="0"/>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爆炸</w:t>
            </w:r>
          </w:p>
        </w:tc>
        <w:tc>
          <w:tcPr>
            <w:tcW w:w="361" w:type="pct"/>
            <w:tcBorders>
              <w:bottom w:val="single" w:color="auto" w:sz="12" w:space="0"/>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搁浅</w:t>
            </w:r>
          </w:p>
        </w:tc>
        <w:tc>
          <w:tcPr>
            <w:tcW w:w="491" w:type="pct"/>
            <w:tcBorders>
              <w:bottom w:val="single" w:color="auto" w:sz="12" w:space="0"/>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水闸门</w:t>
            </w:r>
          </w:p>
        </w:tc>
        <w:tc>
          <w:tcPr>
            <w:tcW w:w="583" w:type="pct"/>
            <w:tcBorders>
              <w:bottom w:val="single" w:color="auto" w:sz="12" w:space="0"/>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不明死因</w:t>
            </w:r>
          </w:p>
        </w:tc>
        <w:tc>
          <w:tcPr>
            <w:tcW w:w="0" w:type="auto"/>
            <w:vMerge w:val="continue"/>
            <w:tcBorders>
              <w:top w:val="single" w:color="auto" w:sz="12" w:space="0"/>
              <w:bottom w:val="single" w:color="auto" w:sz="12" w:space="0"/>
              <w:tl2br w:val="nil"/>
              <w:tr2bl w:val="nil"/>
            </w:tcBorders>
            <w:vAlign w:val="center"/>
          </w:tcPr>
          <w:p>
            <w:pPr>
              <w:tabs>
                <w:tab w:val="clear" w:pos="480"/>
              </w:tabs>
              <w:snapToGrid w:val="0"/>
              <w:spacing w:line="240" w:lineRule="atLeast"/>
              <w:ind w:firstLine="0" w:firstLineChars="0"/>
              <w:jc w:val="center"/>
              <w:rPr>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9" w:type="pct"/>
            <w:vMerge w:val="restart"/>
            <w:tcBorders>
              <w:top w:val="single" w:color="auto" w:sz="12" w:space="0"/>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长江中游</w:t>
            </w:r>
          </w:p>
          <w:p>
            <w:pPr>
              <w:tabs>
                <w:tab w:val="clear" w:pos="480"/>
              </w:tabs>
              <w:snapToGrid w:val="0"/>
              <w:spacing w:line="240" w:lineRule="atLeast"/>
              <w:ind w:firstLine="0" w:firstLineChars="0"/>
              <w:jc w:val="center"/>
              <w:rPr>
                <w:kern w:val="0"/>
                <w:sz w:val="21"/>
                <w:szCs w:val="21"/>
              </w:rPr>
            </w:pPr>
            <w:r>
              <w:rPr>
                <w:kern w:val="0"/>
                <w:sz w:val="21"/>
                <w:szCs w:val="21"/>
              </w:rPr>
              <w:t>1973～1983</w:t>
            </w:r>
          </w:p>
        </w:tc>
        <w:tc>
          <w:tcPr>
            <w:tcW w:w="489" w:type="pct"/>
            <w:tcBorders>
              <w:top w:val="single" w:color="auto" w:sz="12" w:space="0"/>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数量</w:t>
            </w:r>
          </w:p>
        </w:tc>
        <w:tc>
          <w:tcPr>
            <w:tcW w:w="489" w:type="pct"/>
            <w:tcBorders>
              <w:top w:val="single" w:color="auto" w:sz="12" w:space="0"/>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2</w:t>
            </w:r>
          </w:p>
        </w:tc>
        <w:tc>
          <w:tcPr>
            <w:tcW w:w="361" w:type="pct"/>
            <w:tcBorders>
              <w:top w:val="single" w:color="auto" w:sz="12" w:space="0"/>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15</w:t>
            </w:r>
          </w:p>
        </w:tc>
        <w:tc>
          <w:tcPr>
            <w:tcW w:w="616" w:type="pct"/>
            <w:tcBorders>
              <w:top w:val="single" w:color="auto" w:sz="12" w:space="0"/>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1</w:t>
            </w:r>
          </w:p>
        </w:tc>
        <w:tc>
          <w:tcPr>
            <w:tcW w:w="402" w:type="pct"/>
            <w:tcBorders>
              <w:top w:val="single" w:color="auto" w:sz="12" w:space="0"/>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5</w:t>
            </w:r>
          </w:p>
        </w:tc>
        <w:tc>
          <w:tcPr>
            <w:tcW w:w="361" w:type="pct"/>
            <w:tcBorders>
              <w:top w:val="single" w:color="auto" w:sz="12" w:space="0"/>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5</w:t>
            </w:r>
          </w:p>
        </w:tc>
        <w:tc>
          <w:tcPr>
            <w:tcW w:w="491" w:type="pct"/>
            <w:tcBorders>
              <w:top w:val="single" w:color="auto" w:sz="12" w:space="0"/>
              <w:tl2br w:val="nil"/>
              <w:tr2bl w:val="nil"/>
            </w:tcBorders>
            <w:noWrap/>
            <w:vAlign w:val="center"/>
          </w:tcPr>
          <w:p>
            <w:pPr>
              <w:tabs>
                <w:tab w:val="clear" w:pos="480"/>
              </w:tabs>
              <w:snapToGrid w:val="0"/>
              <w:spacing w:line="240" w:lineRule="atLeast"/>
              <w:ind w:firstLine="0" w:firstLineChars="0"/>
              <w:jc w:val="center"/>
              <w:rPr>
                <w:kern w:val="0"/>
                <w:sz w:val="21"/>
                <w:szCs w:val="21"/>
              </w:rPr>
            </w:pPr>
          </w:p>
        </w:tc>
        <w:tc>
          <w:tcPr>
            <w:tcW w:w="583" w:type="pct"/>
            <w:tcBorders>
              <w:top w:val="single" w:color="auto" w:sz="12" w:space="0"/>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5</w:t>
            </w:r>
          </w:p>
        </w:tc>
        <w:tc>
          <w:tcPr>
            <w:tcW w:w="478" w:type="pct"/>
            <w:tcBorders>
              <w:top w:val="single" w:color="auto" w:sz="12" w:space="0"/>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pPr>
              <w:tabs>
                <w:tab w:val="clear" w:pos="480"/>
              </w:tabs>
              <w:snapToGrid w:val="0"/>
              <w:spacing w:line="240" w:lineRule="atLeast"/>
              <w:ind w:firstLine="0" w:firstLineChars="0"/>
              <w:jc w:val="center"/>
              <w:rPr>
                <w:kern w:val="0"/>
                <w:sz w:val="21"/>
                <w:szCs w:val="21"/>
              </w:rPr>
            </w:pPr>
          </w:p>
        </w:tc>
        <w:tc>
          <w:tcPr>
            <w:tcW w:w="489"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w:t>
            </w:r>
          </w:p>
        </w:tc>
        <w:tc>
          <w:tcPr>
            <w:tcW w:w="489"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6.1</w:t>
            </w:r>
          </w:p>
        </w:tc>
        <w:tc>
          <w:tcPr>
            <w:tcW w:w="361"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45.4</w:t>
            </w:r>
          </w:p>
        </w:tc>
        <w:tc>
          <w:tcPr>
            <w:tcW w:w="616"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3.0</w:t>
            </w:r>
          </w:p>
        </w:tc>
        <w:tc>
          <w:tcPr>
            <w:tcW w:w="402"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15.2</w:t>
            </w:r>
          </w:p>
        </w:tc>
        <w:tc>
          <w:tcPr>
            <w:tcW w:w="361"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15.2</w:t>
            </w:r>
          </w:p>
        </w:tc>
        <w:tc>
          <w:tcPr>
            <w:tcW w:w="491"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p>
        </w:tc>
        <w:tc>
          <w:tcPr>
            <w:tcW w:w="583"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15.2</w:t>
            </w:r>
          </w:p>
        </w:tc>
        <w:tc>
          <w:tcPr>
            <w:tcW w:w="478"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9" w:type="pct"/>
            <w:vMerge w:val="restar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长江下游</w:t>
            </w:r>
          </w:p>
          <w:p>
            <w:pPr>
              <w:tabs>
                <w:tab w:val="clear" w:pos="480"/>
              </w:tabs>
              <w:snapToGrid w:val="0"/>
              <w:spacing w:line="240" w:lineRule="atLeast"/>
              <w:ind w:firstLine="0" w:firstLineChars="0"/>
              <w:jc w:val="center"/>
              <w:rPr>
                <w:kern w:val="0"/>
                <w:sz w:val="21"/>
                <w:szCs w:val="21"/>
              </w:rPr>
            </w:pPr>
            <w:r>
              <w:rPr>
                <w:kern w:val="0"/>
                <w:sz w:val="21"/>
                <w:szCs w:val="21"/>
              </w:rPr>
              <w:t>1978～1985</w:t>
            </w:r>
          </w:p>
        </w:tc>
        <w:tc>
          <w:tcPr>
            <w:tcW w:w="489"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数量</w:t>
            </w:r>
          </w:p>
        </w:tc>
        <w:tc>
          <w:tcPr>
            <w:tcW w:w="489"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10</w:t>
            </w:r>
          </w:p>
        </w:tc>
        <w:tc>
          <w:tcPr>
            <w:tcW w:w="361"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7</w:t>
            </w:r>
          </w:p>
        </w:tc>
        <w:tc>
          <w:tcPr>
            <w:tcW w:w="616"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6</w:t>
            </w:r>
          </w:p>
        </w:tc>
        <w:tc>
          <w:tcPr>
            <w:tcW w:w="402"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6</w:t>
            </w:r>
          </w:p>
        </w:tc>
        <w:tc>
          <w:tcPr>
            <w:tcW w:w="361"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1</w:t>
            </w:r>
          </w:p>
        </w:tc>
        <w:tc>
          <w:tcPr>
            <w:tcW w:w="491"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1</w:t>
            </w:r>
          </w:p>
        </w:tc>
        <w:tc>
          <w:tcPr>
            <w:tcW w:w="583"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p>
        </w:tc>
        <w:tc>
          <w:tcPr>
            <w:tcW w:w="478"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pPr>
              <w:tabs>
                <w:tab w:val="clear" w:pos="480"/>
              </w:tabs>
              <w:snapToGrid w:val="0"/>
              <w:spacing w:line="240" w:lineRule="atLeast"/>
              <w:ind w:firstLine="0" w:firstLineChars="0"/>
              <w:jc w:val="center"/>
              <w:rPr>
                <w:kern w:val="0"/>
                <w:sz w:val="21"/>
                <w:szCs w:val="21"/>
              </w:rPr>
            </w:pPr>
          </w:p>
        </w:tc>
        <w:tc>
          <w:tcPr>
            <w:tcW w:w="489"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w:t>
            </w:r>
          </w:p>
        </w:tc>
        <w:tc>
          <w:tcPr>
            <w:tcW w:w="489"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32.2</w:t>
            </w:r>
          </w:p>
        </w:tc>
        <w:tc>
          <w:tcPr>
            <w:tcW w:w="361"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22.5</w:t>
            </w:r>
          </w:p>
        </w:tc>
        <w:tc>
          <w:tcPr>
            <w:tcW w:w="616"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19.4</w:t>
            </w:r>
          </w:p>
        </w:tc>
        <w:tc>
          <w:tcPr>
            <w:tcW w:w="402"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19.4</w:t>
            </w:r>
          </w:p>
        </w:tc>
        <w:tc>
          <w:tcPr>
            <w:tcW w:w="361"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3.2</w:t>
            </w:r>
          </w:p>
        </w:tc>
        <w:tc>
          <w:tcPr>
            <w:tcW w:w="491"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3.2</w:t>
            </w:r>
          </w:p>
        </w:tc>
        <w:tc>
          <w:tcPr>
            <w:tcW w:w="583"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p>
        </w:tc>
        <w:tc>
          <w:tcPr>
            <w:tcW w:w="478" w:type="pct"/>
            <w:tcBorders>
              <w:tl2br w:val="nil"/>
              <w:tr2bl w:val="nil"/>
            </w:tcBorders>
            <w:noWrap/>
            <w:vAlign w:val="center"/>
          </w:tcPr>
          <w:p>
            <w:pPr>
              <w:tabs>
                <w:tab w:val="clear" w:pos="480"/>
              </w:tabs>
              <w:snapToGrid w:val="0"/>
              <w:spacing w:line="240" w:lineRule="atLeast"/>
              <w:ind w:firstLine="0" w:firstLineChars="0"/>
              <w:jc w:val="center"/>
              <w:rPr>
                <w:kern w:val="0"/>
                <w:sz w:val="21"/>
                <w:szCs w:val="21"/>
              </w:rPr>
            </w:pPr>
            <w:r>
              <w:rPr>
                <w:kern w:val="0"/>
                <w:sz w:val="21"/>
                <w:szCs w:val="21"/>
              </w:rPr>
              <w:t>100</w:t>
            </w:r>
          </w:p>
        </w:tc>
      </w:tr>
    </w:tbl>
    <w:p>
      <w:pPr>
        <w:ind w:firstLine="480"/>
        <w:rPr>
          <w:kern w:val="0"/>
        </w:rPr>
      </w:pPr>
      <w:r>
        <w:t>2009年至2011年期间共发生61起</w:t>
      </w:r>
      <w:r>
        <w:rPr>
          <w:rFonts w:hint="eastAsia"/>
          <w:lang w:val="en-US" w:eastAsia="zh-CN"/>
        </w:rPr>
        <w:t>长江</w:t>
      </w:r>
      <w:r>
        <w:t>江豚死亡事件，其中2009年21起，2010年19起，2011年21起，2012年，截止到5月份，已有36起</w:t>
      </w:r>
      <w:r>
        <w:rPr>
          <w:rFonts w:hint="eastAsia"/>
          <w:lang w:val="en-US" w:eastAsia="zh-CN"/>
        </w:rPr>
        <w:t>长江</w:t>
      </w:r>
      <w:r>
        <w:t>江豚死亡事故，被螺旋桨误伤或击毙乃是其主要死亡原因之一。</w:t>
      </w:r>
    </w:p>
    <w:p>
      <w:pPr>
        <w:ind w:firstLine="480"/>
      </w:pPr>
      <w:r>
        <w:t>由此可见，螺旋桨对白</w:t>
      </w:r>
      <w:r>
        <w:rPr>
          <w:rFonts w:hint="eastAsia" w:ascii="微软雅黑" w:hAnsi="微软雅黑" w:eastAsia="微软雅黑" w:cs="微软雅黑"/>
        </w:rPr>
        <w:t>鱀</w:t>
      </w:r>
      <w:r>
        <w:rPr>
          <w:rFonts w:hint="eastAsia" w:ascii="仿宋_GB2312" w:hAnsi="仿宋_GB2312" w:cs="仿宋_GB2312"/>
        </w:rPr>
        <w:t>豚和</w:t>
      </w:r>
      <w:r>
        <w:rPr>
          <w:rFonts w:hint="eastAsia"/>
          <w:lang w:val="en-US" w:eastAsia="zh-CN"/>
        </w:rPr>
        <w:t>长江</w:t>
      </w:r>
      <w:r>
        <w:rPr>
          <w:rFonts w:hint="eastAsia" w:ascii="仿宋_GB2312" w:hAnsi="仿宋_GB2312" w:cs="仿宋_GB2312"/>
        </w:rPr>
        <w:t>江豚存在威胁，需要采取声学驱赶等预防措施使其远离主航道，尽可能的降低和避免误伤。据此推断，本工程建成运行后，船舶来往存在对</w:t>
      </w:r>
      <w:r>
        <w:rPr>
          <w:rFonts w:hint="eastAsia"/>
          <w:lang w:val="en-US" w:eastAsia="zh-CN"/>
        </w:rPr>
        <w:t>长江</w:t>
      </w:r>
      <w:r>
        <w:rPr>
          <w:rFonts w:hint="eastAsia" w:ascii="仿宋_GB2312" w:hAnsi="仿宋_GB2312" w:cs="仿宋_GB2312"/>
        </w:rPr>
        <w:t>江豚误伤的可能。</w:t>
      </w:r>
    </w:p>
    <w:p>
      <w:pPr>
        <w:ind w:firstLine="480"/>
      </w:pPr>
      <w:r>
        <w:rPr>
          <w:rFonts w:ascii="Segoe UI Symbol" w:hAnsi="Segoe UI Symbol"/>
        </w:rPr>
        <w:t>★</w:t>
      </w:r>
      <w:r>
        <w:t>噪音影响</w:t>
      </w:r>
      <w:r>
        <w:rPr>
          <w:rFonts w:hint="eastAsia"/>
        </w:rPr>
        <w:t>：</w:t>
      </w:r>
      <w:r>
        <w:rPr>
          <w:rFonts w:hint="eastAsia"/>
          <w:lang w:val="en-US" w:eastAsia="zh-CN"/>
        </w:rPr>
        <w:t>长江</w:t>
      </w:r>
      <w:r>
        <w:t>江豚寻找食物、巡游或者与同伴交流，</w:t>
      </w:r>
      <w:r>
        <w:rPr>
          <w:rFonts w:hint="eastAsia"/>
        </w:rPr>
        <w:t>更多的是</w:t>
      </w:r>
      <w:r>
        <w:t>依靠发声系统和听觉功能，而视力所起到的作用很小。</w:t>
      </w:r>
      <w:r>
        <w:rPr>
          <w:rFonts w:hint="eastAsia"/>
          <w:lang w:val="en-US" w:eastAsia="zh-CN"/>
        </w:rPr>
        <w:t>长江</w:t>
      </w:r>
      <w:r>
        <w:t>江豚的发声和听觉系统相当于一个雷达或声纳系统，</w:t>
      </w:r>
      <w:r>
        <w:rPr>
          <w:rFonts w:hint="eastAsia"/>
          <w:lang w:val="en-US" w:eastAsia="zh-CN"/>
        </w:rPr>
        <w:t>长江</w:t>
      </w:r>
      <w:r>
        <w:t>江豚平均每5s就会发出一个脉冲串，这是</w:t>
      </w:r>
      <w:r>
        <w:rPr>
          <w:rFonts w:hint="eastAsia"/>
          <w:lang w:val="en-US" w:eastAsia="zh-CN"/>
        </w:rPr>
        <w:t>长江</w:t>
      </w:r>
      <w:r>
        <w:t>江豚探测周围环境的主要工具，而环境噪音的增加会对</w:t>
      </w:r>
      <w:r>
        <w:rPr>
          <w:rFonts w:hint="eastAsia"/>
          <w:lang w:val="en-US" w:eastAsia="zh-CN"/>
        </w:rPr>
        <w:t>长江</w:t>
      </w:r>
      <w:r>
        <w:t>江豚的探测能力产生严重影响，从而降低其生活能力</w:t>
      </w:r>
      <w:r>
        <w:rPr>
          <w:rFonts w:hint="eastAsia"/>
        </w:rPr>
        <w:t>，建议在营运期船舶靠岸前或离开前通过敲击船舷驱赶措施。</w:t>
      </w:r>
    </w:p>
    <w:p>
      <w:pPr>
        <w:ind w:firstLine="482"/>
        <w:rPr>
          <w:b/>
        </w:rPr>
      </w:pPr>
      <w:r>
        <w:rPr>
          <w:b/>
        </w:rPr>
        <w:t>项目对鱼类等水生生物以及对濒危、保护物种的影响详见本文</w:t>
      </w:r>
      <w:r>
        <w:rPr>
          <w:rFonts w:asciiTheme="minorEastAsia" w:hAnsiTheme="minorEastAsia" w:eastAsiaTheme="minorEastAsia"/>
          <w:b/>
        </w:rPr>
        <w:t>“</w:t>
      </w:r>
      <w:r>
        <w:rPr>
          <w:b/>
        </w:rPr>
        <w:t>第六章 水产种质资源保护区影响评价及保护措施</w:t>
      </w:r>
      <w:r>
        <w:rPr>
          <w:rFonts w:asciiTheme="minorEastAsia" w:hAnsiTheme="minorEastAsia" w:eastAsiaTheme="minorEastAsia"/>
          <w:b/>
        </w:rPr>
        <w:t>”</w:t>
      </w:r>
      <w:r>
        <w:rPr>
          <w:b/>
        </w:rPr>
        <w:t>。</w:t>
      </w:r>
    </w:p>
    <w:p>
      <w:pPr>
        <w:ind w:firstLine="496"/>
        <w:rPr>
          <w:rFonts w:hint="eastAsia" w:ascii="Times New Roman" w:hAnsi="Times New Roman" w:eastAsia="宋体" w:cs="Times New Roman"/>
          <w:b/>
          <w:bCs/>
          <w:spacing w:val="4"/>
          <w:lang w:val="en-US"/>
        </w:rPr>
      </w:pPr>
      <w:r>
        <w:rPr>
          <w:rFonts w:hint="eastAsia" w:ascii="Times New Roman" w:hAnsi="Times New Roman" w:eastAsia="宋体" w:cs="Times New Roman"/>
          <w:b/>
          <w:bCs/>
          <w:spacing w:val="4"/>
          <w:lang w:val="en-US" w:eastAsia="zh-CN"/>
        </w:rPr>
        <w:t>（</w:t>
      </w:r>
      <w:r>
        <w:rPr>
          <w:rFonts w:hint="eastAsia" w:cs="Times New Roman"/>
          <w:b/>
          <w:bCs/>
          <w:spacing w:val="4"/>
          <w:lang w:val="en-US" w:eastAsia="zh-CN"/>
        </w:rPr>
        <w:t>5</w:t>
      </w:r>
      <w:r>
        <w:rPr>
          <w:rFonts w:hint="eastAsia" w:ascii="Times New Roman" w:hAnsi="Times New Roman" w:eastAsia="宋体" w:cs="Times New Roman"/>
          <w:b/>
          <w:bCs/>
          <w:spacing w:val="4"/>
          <w:lang w:val="en-US" w:eastAsia="zh-CN"/>
        </w:rPr>
        <w:t>）</w:t>
      </w:r>
      <w:r>
        <w:rPr>
          <w:rFonts w:hint="eastAsia" w:ascii="Times New Roman" w:hAnsi="Times New Roman" w:eastAsia="宋体" w:cs="Times New Roman"/>
          <w:b/>
          <w:bCs/>
          <w:spacing w:val="4"/>
          <w:lang w:val="en-US"/>
        </w:rPr>
        <w:t>对</w:t>
      </w:r>
      <w:r>
        <w:rPr>
          <w:rFonts w:hint="eastAsia" w:ascii="Times New Roman" w:hAnsi="Times New Roman" w:eastAsia="宋体" w:cs="Times New Roman"/>
          <w:b/>
          <w:bCs/>
          <w:spacing w:val="4"/>
        </w:rPr>
        <w:t>洞庭湖口铜鱼短颌鲚国家级水产种质资源保护区</w:t>
      </w:r>
      <w:r>
        <w:rPr>
          <w:rFonts w:hint="eastAsia" w:ascii="Times New Roman" w:hAnsi="Times New Roman" w:eastAsia="宋体" w:cs="Times New Roman"/>
          <w:b/>
          <w:bCs/>
          <w:spacing w:val="4"/>
          <w:lang w:val="en-US"/>
        </w:rPr>
        <w:t>的影响分析</w:t>
      </w:r>
    </w:p>
    <w:p>
      <w:pPr>
        <w:pStyle w:val="34"/>
        <w:spacing w:line="360" w:lineRule="auto"/>
        <w:ind w:firstLine="480"/>
        <w:rPr>
          <w:rFonts w:ascii="Times New Roman" w:hAnsi="Times New Roman"/>
          <w:sz w:val="24"/>
          <w:szCs w:val="24"/>
        </w:rPr>
      </w:pPr>
      <w:r>
        <w:rPr>
          <w:rFonts w:ascii="Times New Roman" w:hAnsi="Times New Roman"/>
          <w:sz w:val="24"/>
          <w:szCs w:val="24"/>
        </w:rPr>
        <w:t>营运期本工程（含投影</w:t>
      </w:r>
      <w:r>
        <w:rPr>
          <w:rFonts w:ascii="Times New Roman" w:hAnsi="Times New Roman"/>
          <w:kern w:val="0"/>
          <w:sz w:val="24"/>
          <w:szCs w:val="24"/>
        </w:rPr>
        <w:t>和抛石护桩</w:t>
      </w:r>
      <w:r>
        <w:rPr>
          <w:rFonts w:ascii="Times New Roman" w:hAnsi="Times New Roman"/>
          <w:sz w:val="24"/>
          <w:szCs w:val="24"/>
        </w:rPr>
        <w:t>）占用保护区约5.459hm</w:t>
      </w:r>
      <w:r>
        <w:rPr>
          <w:rFonts w:ascii="Times New Roman" w:hAnsi="Times New Roman"/>
          <w:sz w:val="24"/>
          <w:szCs w:val="24"/>
          <w:vertAlign w:val="superscript"/>
        </w:rPr>
        <w:t>2</w:t>
      </w:r>
      <w:r>
        <w:rPr>
          <w:rFonts w:ascii="Times New Roman" w:hAnsi="Times New Roman"/>
          <w:sz w:val="24"/>
          <w:szCs w:val="24"/>
        </w:rPr>
        <w:t>，占保护区面积的0.26%，因此工程的建设对保护区水生生物资源的生境影响相对较小。</w:t>
      </w:r>
    </w:p>
    <w:p>
      <w:pPr>
        <w:pStyle w:val="34"/>
        <w:spacing w:line="360" w:lineRule="auto"/>
        <w:ind w:firstLine="480"/>
        <w:rPr>
          <w:rFonts w:ascii="Times New Roman" w:hAnsi="Times New Roman"/>
          <w:sz w:val="24"/>
          <w:szCs w:val="24"/>
        </w:rPr>
      </w:pPr>
      <w:r>
        <w:rPr>
          <w:sz w:val="24"/>
          <w:szCs w:val="24"/>
        </w:rPr>
        <w:t>营运期内对水生生物的影响主要为货运船舶带来的噪声影响和对水环境不利影响，码头装卸料、船舶搁浅、碰撞、或桥桩碰撞等风险事故造成水质污染的影响。</w:t>
      </w:r>
    </w:p>
    <w:p>
      <w:pPr>
        <w:ind w:firstLine="496"/>
        <w:rPr>
          <w:rFonts w:hint="eastAsia" w:ascii="Times New Roman" w:hAnsi="Times New Roman" w:eastAsia="宋体" w:cs="Times New Roman"/>
          <w:b/>
          <w:bCs/>
          <w:spacing w:val="4"/>
        </w:rPr>
      </w:pPr>
      <w:r>
        <w:rPr>
          <w:rFonts w:hint="eastAsia" w:ascii="Times New Roman" w:hAnsi="Times New Roman" w:eastAsia="宋体" w:cs="Times New Roman"/>
          <w:b/>
          <w:bCs/>
          <w:spacing w:val="4"/>
          <w:lang w:eastAsia="zh-CN"/>
        </w:rPr>
        <w:t>（</w:t>
      </w:r>
      <w:r>
        <w:rPr>
          <w:rFonts w:hint="eastAsia" w:cs="Times New Roman"/>
          <w:b/>
          <w:bCs/>
          <w:spacing w:val="4"/>
          <w:lang w:val="en-US" w:eastAsia="zh-CN"/>
        </w:rPr>
        <w:t>6</w:t>
      </w:r>
      <w:r>
        <w:rPr>
          <w:rFonts w:hint="eastAsia" w:ascii="Times New Roman" w:hAnsi="Times New Roman" w:eastAsia="宋体" w:cs="Times New Roman"/>
          <w:b/>
          <w:bCs/>
          <w:spacing w:val="4"/>
          <w:lang w:eastAsia="zh-CN"/>
        </w:rPr>
        <w:t>）</w:t>
      </w:r>
      <w:r>
        <w:rPr>
          <w:rFonts w:hint="eastAsia" w:ascii="Times New Roman" w:hAnsi="Times New Roman" w:eastAsia="宋体" w:cs="Times New Roman"/>
          <w:b/>
          <w:bCs/>
          <w:spacing w:val="4"/>
        </w:rPr>
        <w:t>紧急事故产生的影响</w:t>
      </w:r>
    </w:p>
    <w:p>
      <w:pPr>
        <w:ind w:firstLine="480"/>
      </w:pPr>
      <w:r>
        <w:rPr>
          <w:rFonts w:hint="eastAsia"/>
        </w:rPr>
        <w:t>紧急事故主要包括船舶事故导致燃油泄漏、原材料泄漏等情况。其中，燃油泄漏会导致事故发生江段以下区段内分布的鱼类、珍稀濒危水生生物等出水呼吸时油污粘附在皮肤上，导致其呼吸产生困难。原材料泄漏导致下游江段水质变化，可能引起鱼类、珍稀濒危水生生物急性中毒等危及生命的情况发生。</w:t>
      </w:r>
    </w:p>
    <w:p>
      <w:pPr>
        <w:ind w:firstLine="480"/>
        <w:rPr>
          <w:rFonts w:hint="eastAsia"/>
        </w:rPr>
      </w:pPr>
      <w:r>
        <w:rPr>
          <w:rFonts w:hint="eastAsia"/>
        </w:rPr>
        <w:t>同时由于紧急事故发生时间和地点的极大不确定性，对此类事故采取的措施主要是加强安全生产和运行，避免事故的发生；建立应急预案，在事故发生后，在</w:t>
      </w:r>
      <w:r>
        <w:rPr>
          <w:rFonts w:hint="eastAsia"/>
          <w:lang w:val="en-US" w:eastAsia="zh-CN"/>
        </w:rPr>
        <w:t>长江</w:t>
      </w:r>
      <w:r>
        <w:rPr>
          <w:rFonts w:hint="eastAsia"/>
        </w:rPr>
        <w:t>江豚可能分布的区域及时展开搜索救援、及时处理和降低事故可能产生的生态影响，迅速恢复事故江段及下游江段的水环境状况。</w:t>
      </w:r>
    </w:p>
    <w:p>
      <w:pPr>
        <w:pStyle w:val="456"/>
        <w:ind w:firstLine="482"/>
        <w:rPr>
          <w:rFonts w:hint="default" w:eastAsia="宋体"/>
          <w:lang w:val="en-US" w:eastAsia="zh-CN"/>
        </w:rPr>
      </w:pPr>
      <w:r>
        <w:rPr>
          <w:rFonts w:hint="eastAsia"/>
          <w:lang w:val="en-US" w:eastAsia="zh-CN"/>
        </w:rPr>
        <w:t>对陆生生态的影响分析</w:t>
      </w:r>
    </w:p>
    <w:p>
      <w:pPr>
        <w:ind w:firstLine="480"/>
        <w:rPr>
          <w:rFonts w:hint="default" w:ascii="Times New Roman" w:hAnsi="Times New Roman" w:eastAsia="宋体" w:cs="Times New Roman"/>
          <w:lang w:val="en-US" w:eastAsia="zh-CN"/>
        </w:rPr>
      </w:pPr>
      <w:r>
        <w:rPr>
          <w:rFonts w:hint="eastAsia" w:cs="Times New Roman"/>
          <w:lang w:val="en-US" w:eastAsia="zh-CN"/>
        </w:rPr>
        <w:t>（1）对植被的影响分析</w:t>
      </w:r>
    </w:p>
    <w:p>
      <w:pPr>
        <w:ind w:firstLine="48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本工程</w:t>
      </w:r>
      <w:r>
        <w:rPr>
          <w:rFonts w:hint="eastAsia" w:cs="Times New Roman"/>
          <w:lang w:val="en-US" w:eastAsia="zh-CN"/>
        </w:rPr>
        <w:t>营运期对</w:t>
      </w:r>
      <w:r>
        <w:rPr>
          <w:rFonts w:hint="eastAsia" w:ascii="Times New Roman" w:hAnsi="Times New Roman" w:eastAsia="宋体" w:cs="Times New Roman"/>
          <w:lang w:val="en-US" w:eastAsia="zh-CN"/>
        </w:rPr>
        <w:t>码头、长江大堤等在内的全面的绿化工程。工程范围内的绿地再生，既恢复了因施工对征地范围内破坏的地表植被，使植被得到补偿，也起到了减少水土流失、降低作业尘埃、作业噪声等综合环境保护功能，进而也改善了沿线的景观。</w:t>
      </w:r>
    </w:p>
    <w:p>
      <w:pPr>
        <w:ind w:firstLine="480"/>
        <w:rPr>
          <w:rFonts w:hint="eastAsia" w:ascii="Times New Roman" w:hAnsi="Times New Roman" w:eastAsia="宋体" w:cs="Times New Roman"/>
          <w:lang w:val="en-US" w:eastAsia="zh-CN"/>
        </w:rPr>
      </w:pPr>
      <w:r>
        <w:rPr>
          <w:rFonts w:hint="eastAsia" w:cs="Times New Roman"/>
          <w:lang w:val="en-US" w:eastAsia="zh-CN"/>
        </w:rPr>
        <w:t>（2）</w:t>
      </w:r>
      <w:r>
        <w:rPr>
          <w:rFonts w:hint="eastAsia" w:ascii="Times New Roman" w:hAnsi="Times New Roman" w:eastAsia="宋体" w:cs="Times New Roman"/>
          <w:lang w:val="en-US" w:eastAsia="zh-CN"/>
        </w:rPr>
        <w:t>对陆生动物的影响</w:t>
      </w:r>
    </w:p>
    <w:p>
      <w:pPr>
        <w:ind w:firstLine="480"/>
        <w:rPr>
          <w:rFonts w:hint="eastAsia" w:ascii="Times New Roman" w:hAnsi="Times New Roman" w:eastAsia="宋体" w:cs="Times New Roman"/>
          <w:lang w:val="en-US" w:eastAsia="zh-CN"/>
        </w:rPr>
      </w:pPr>
      <w:r>
        <w:rPr>
          <w:rFonts w:hint="eastAsia"/>
        </w:rPr>
        <w:t>评价范围内</w:t>
      </w:r>
      <w:r>
        <w:t>由于受到</w:t>
      </w:r>
      <w:r>
        <w:rPr>
          <w:rFonts w:hint="eastAsia"/>
          <w:lang w:val="en-US" w:eastAsia="zh-CN"/>
        </w:rPr>
        <w:t>工业活动</w:t>
      </w:r>
      <w:r>
        <w:t>的影响，目前可见的陆生动物主要为</w:t>
      </w:r>
      <w:r>
        <w:rPr>
          <w:rFonts w:hint="eastAsia"/>
        </w:rPr>
        <w:t>常见小型兽类、爬行类、两栖类和鸟类，</w:t>
      </w:r>
      <w:r>
        <w:t>周围可栖息的范围较广</w:t>
      </w:r>
      <w:r>
        <w:rPr>
          <w:rFonts w:hint="eastAsia"/>
        </w:rPr>
        <w:t>。工程建设对上述野生动物的影响主要表现为</w:t>
      </w:r>
      <w:r>
        <w:rPr>
          <w:rFonts w:hint="eastAsia"/>
          <w:lang w:val="en-US" w:eastAsia="zh-CN"/>
        </w:rPr>
        <w:t>项目运营期装卸机械和运输车辆</w:t>
      </w:r>
      <w:r>
        <w:rPr>
          <w:rFonts w:hint="eastAsia"/>
        </w:rPr>
        <w:t>噪声</w:t>
      </w:r>
      <w:r>
        <w:rPr>
          <w:rFonts w:hint="eastAsia"/>
          <w:lang w:val="en-US" w:eastAsia="zh-CN"/>
        </w:rPr>
        <w:t>对野生动物的驱赶</w:t>
      </w:r>
      <w:r>
        <w:rPr>
          <w:rFonts w:hint="eastAsia"/>
        </w:rPr>
        <w:t>。</w:t>
      </w:r>
      <w:r>
        <w:rPr>
          <w:rFonts w:hint="eastAsia"/>
          <w:lang w:val="en-US" w:eastAsia="zh-CN"/>
        </w:rPr>
        <w:t>对项目</w:t>
      </w:r>
      <w:r>
        <w:rPr>
          <w:rFonts w:hint="eastAsia"/>
        </w:rPr>
        <w:t>附近的陆生动物造成干扰，</w:t>
      </w:r>
      <w:r>
        <w:rPr>
          <w:rFonts w:hint="eastAsia"/>
          <w:lang w:val="en-US" w:eastAsia="zh-CN"/>
        </w:rPr>
        <w:t>项目影响范围内野生动物的数量会减少，但因为周边很多相似生境，因此对野生动物的影响较小</w:t>
      </w:r>
      <w:r>
        <w:rPr>
          <w:rFonts w:hint="eastAsia"/>
        </w:rPr>
        <w:t>。</w:t>
      </w:r>
    </w:p>
    <w:p>
      <w:pPr>
        <w:pStyle w:val="454"/>
        <w:ind w:firstLine="602"/>
        <w:rPr>
          <w:color w:val="auto"/>
        </w:rPr>
      </w:pPr>
      <w:r>
        <w:rPr>
          <w:rFonts w:hint="eastAsia"/>
          <w:color w:val="auto"/>
          <w:lang w:val="en-US" w:eastAsia="zh-CN"/>
        </w:rPr>
        <w:t>生态影响评价自查表</w:t>
      </w:r>
    </w:p>
    <w:p>
      <w:pPr>
        <w:pStyle w:val="3586"/>
        <w:keepNext w:val="0"/>
        <w:keepLines w:val="0"/>
        <w:pageBreakBefore w:val="0"/>
        <w:widowControl w:val="0"/>
        <w:kinsoku/>
        <w:wordWrap/>
        <w:overflowPunct/>
        <w:topLinePunct w:val="0"/>
        <w:autoSpaceDE/>
        <w:autoSpaceDN/>
        <w:bidi w:val="0"/>
        <w:adjustRightInd/>
        <w:snapToGrid/>
        <w:ind w:left="0"/>
        <w:textAlignment w:val="auto"/>
        <w:rPr>
          <w:rFonts w:ascii="Times New Roman" w:hAnsi="Times New Roman" w:eastAsia="宋体" w:cs="Times New Roman"/>
        </w:rPr>
      </w:pPr>
      <w:r>
        <w:rPr>
          <w:rFonts w:hint="eastAsia" w:ascii="Times New Roman" w:hAnsi="Times New Roman" w:eastAsia="宋体" w:cs="Times New Roman"/>
          <w:lang w:val="en-US" w:eastAsia="zh-CN"/>
        </w:rPr>
        <w:t>生态影响评价自查表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80"/>
        <w:gridCol w:w="1107"/>
        <w:gridCol w:w="729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987" w:type="dxa"/>
            <w:gridSpan w:val="2"/>
            <w:tcBorders>
              <w:bottom w:val="single" w:color="auto" w:sz="12" w:space="0"/>
            </w:tcBorders>
            <w:vAlign w:val="top"/>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lang w:val="en-US" w:eastAsia="zh-CN"/>
              </w:rPr>
            </w:pPr>
            <w:r>
              <w:rPr>
                <w:rFonts w:hint="default" w:ascii="Times New Roman" w:hAnsi="Times New Roman" w:eastAsia="宋体" w:cs="Times New Roman"/>
                <w:szCs w:val="21"/>
                <w:vertAlign w:val="baseline"/>
                <w:lang w:val="en-US" w:eastAsia="zh-CN"/>
              </w:rPr>
              <w:t>工作内容</w:t>
            </w:r>
          </w:p>
        </w:tc>
        <w:tc>
          <w:tcPr>
            <w:tcW w:w="7299" w:type="dxa"/>
            <w:tcBorders>
              <w:bottom w:val="single" w:color="auto" w:sz="12" w:space="0"/>
            </w:tcBorders>
            <w:vAlign w:val="top"/>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lang w:val="en-US" w:eastAsia="zh-CN"/>
              </w:rPr>
            </w:pPr>
            <w:r>
              <w:rPr>
                <w:rFonts w:hint="default" w:ascii="Times New Roman" w:hAnsi="Times New Roman" w:eastAsia="宋体" w:cs="Times New Roman"/>
                <w:szCs w:val="21"/>
                <w:vertAlign w:val="baseline"/>
                <w:lang w:val="en-US" w:eastAsia="zh-CN"/>
              </w:rPr>
              <w:t>自查项目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0" w:type="dxa"/>
            <w:vMerge w:val="restart"/>
            <w:tcBorders>
              <w:top w:val="single" w:color="auto" w:sz="12" w:space="0"/>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生态影响识别</w:t>
            </w:r>
          </w:p>
        </w:tc>
        <w:tc>
          <w:tcPr>
            <w:tcW w:w="1107" w:type="dxa"/>
            <w:tcBorders>
              <w:top w:val="single" w:color="auto" w:sz="12" w:space="0"/>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生态保护目标</w:t>
            </w:r>
          </w:p>
        </w:tc>
        <w:tc>
          <w:tcPr>
            <w:tcW w:w="7299" w:type="dxa"/>
            <w:tcBorders>
              <w:top w:val="single" w:color="auto" w:sz="12" w:space="0"/>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Cs w:val="21"/>
                <w:vertAlign w:val="baseline"/>
              </w:rPr>
            </w:pPr>
            <w:r>
              <w:rPr>
                <w:rFonts w:hint="default" w:ascii="Times New Roman" w:hAnsi="Times New Roman" w:eastAsia="宋体" w:cs="Times New Roman"/>
                <w:szCs w:val="21"/>
                <w:vertAlign w:val="baseline"/>
              </w:rPr>
              <w:t>重要物种</w:t>
            </w:r>
            <w:r>
              <w:rPr>
                <w:rFonts w:hint="eastAsia"/>
                <w:kern w:val="0"/>
                <w:sz w:val="21"/>
                <w:szCs w:val="21"/>
              </w:rPr>
              <w:sym w:font="Wingdings" w:char="00FE"/>
            </w:r>
            <w:r>
              <w:rPr>
                <w:rFonts w:hint="eastAsia"/>
                <w:kern w:val="0"/>
                <w:sz w:val="21"/>
                <w:szCs w:val="21"/>
              </w:rPr>
              <w:t></w:t>
            </w:r>
            <w:r>
              <w:rPr>
                <w:rFonts w:hint="default" w:ascii="Times New Roman" w:hAnsi="Times New Roman" w:eastAsia="宋体" w:cs="Times New Roman"/>
                <w:szCs w:val="21"/>
                <w:vertAlign w:val="baseline"/>
              </w:rPr>
              <w:t>;国家公园</w:t>
            </w:r>
            <w:r>
              <w:rPr>
                <w:rFonts w:hint="eastAsia"/>
                <w:kern w:val="0"/>
                <w:sz w:val="21"/>
                <w:szCs w:val="21"/>
              </w:rPr>
              <w:sym w:font="Wingdings" w:char="00A8"/>
            </w:r>
            <w:r>
              <w:rPr>
                <w:rFonts w:hint="eastAsia"/>
                <w:kern w:val="0"/>
                <w:sz w:val="21"/>
                <w:szCs w:val="21"/>
              </w:rPr>
              <w:t></w:t>
            </w:r>
            <w:r>
              <w:rPr>
                <w:rFonts w:hint="default" w:ascii="Times New Roman" w:hAnsi="Times New Roman" w:eastAsia="宋体" w:cs="Times New Roman"/>
                <w:szCs w:val="21"/>
                <w:vertAlign w:val="baseline"/>
              </w:rPr>
              <w:t>;自然保护区</w:t>
            </w:r>
            <w:r>
              <w:rPr>
                <w:rFonts w:hint="eastAsia"/>
                <w:kern w:val="0"/>
                <w:sz w:val="21"/>
                <w:szCs w:val="21"/>
              </w:rPr>
              <w:sym w:font="Wingdings" w:char="00A8"/>
            </w:r>
            <w:r>
              <w:rPr>
                <w:rFonts w:hint="eastAsia"/>
                <w:kern w:val="0"/>
                <w:sz w:val="21"/>
                <w:szCs w:val="21"/>
              </w:rPr>
              <w:t></w:t>
            </w:r>
            <w:r>
              <w:rPr>
                <w:rFonts w:hint="default" w:ascii="Times New Roman" w:hAnsi="Times New Roman" w:eastAsia="宋体" w:cs="Times New Roman"/>
                <w:szCs w:val="21"/>
                <w:vertAlign w:val="baseline"/>
              </w:rPr>
              <w:t>;自然公园</w:t>
            </w:r>
            <w:r>
              <w:rPr>
                <w:rFonts w:hint="eastAsia"/>
                <w:kern w:val="0"/>
                <w:sz w:val="21"/>
                <w:szCs w:val="21"/>
              </w:rPr>
              <w:sym w:font="Wingdings" w:char="00A8"/>
            </w:r>
            <w:r>
              <w:rPr>
                <w:rFonts w:hint="eastAsia"/>
                <w:kern w:val="0"/>
                <w:sz w:val="21"/>
                <w:szCs w:val="21"/>
              </w:rPr>
              <w:t></w:t>
            </w:r>
            <w:r>
              <w:rPr>
                <w:rFonts w:hint="default" w:ascii="Times New Roman" w:hAnsi="Times New Roman" w:eastAsia="宋体" w:cs="Times New Roman"/>
                <w:szCs w:val="21"/>
                <w:vertAlign w:val="baseline"/>
              </w:rPr>
              <w:t>;世界自然遗产</w:t>
            </w:r>
            <w:r>
              <w:rPr>
                <w:rFonts w:hint="eastAsia"/>
                <w:kern w:val="0"/>
                <w:sz w:val="21"/>
                <w:szCs w:val="21"/>
              </w:rPr>
              <w:sym w:font="Wingdings" w:char="00A8"/>
            </w:r>
            <w:r>
              <w:rPr>
                <w:rFonts w:hint="eastAsia"/>
                <w:kern w:val="0"/>
                <w:sz w:val="21"/>
                <w:szCs w:val="21"/>
              </w:rPr>
              <w:t></w:t>
            </w:r>
            <w:r>
              <w:rPr>
                <w:rFonts w:hint="default" w:ascii="Times New Roman" w:hAnsi="Times New Roman" w:eastAsia="宋体" w:cs="Times New Roman"/>
                <w:szCs w:val="21"/>
                <w:vertAlign w:val="baseline"/>
              </w:rPr>
              <w:t>;生态保护红线</w:t>
            </w:r>
            <w:r>
              <w:rPr>
                <w:rFonts w:hint="eastAsia"/>
                <w:kern w:val="0"/>
                <w:sz w:val="21"/>
                <w:szCs w:val="21"/>
              </w:rPr>
              <w:sym w:font="Wingdings" w:char="00A8"/>
            </w:r>
            <w:r>
              <w:rPr>
                <w:rFonts w:hint="eastAsia"/>
                <w:kern w:val="0"/>
                <w:sz w:val="21"/>
                <w:szCs w:val="21"/>
              </w:rPr>
              <w:t></w:t>
            </w:r>
            <w:r>
              <w:rPr>
                <w:rFonts w:hint="default" w:ascii="Times New Roman" w:hAnsi="Times New Roman" w:eastAsia="宋体" w:cs="Times New Roman"/>
                <w:szCs w:val="21"/>
                <w:vertAlign w:val="baseline"/>
              </w:rPr>
              <w:t>;重要生境</w:t>
            </w:r>
            <w:r>
              <w:rPr>
                <w:rFonts w:hint="eastAsia"/>
                <w:kern w:val="0"/>
                <w:sz w:val="21"/>
                <w:szCs w:val="21"/>
              </w:rPr>
              <w:sym w:font="Wingdings" w:char="00FE"/>
            </w:r>
            <w:r>
              <w:rPr>
                <w:rFonts w:hint="eastAsia"/>
                <w:kern w:val="0"/>
                <w:sz w:val="21"/>
                <w:szCs w:val="21"/>
              </w:rPr>
              <w:t></w:t>
            </w:r>
            <w:r>
              <w:rPr>
                <w:rFonts w:hint="default" w:ascii="Times New Roman" w:hAnsi="Times New Roman" w:eastAsia="宋体" w:cs="Times New Roman"/>
                <w:szCs w:val="21"/>
                <w:vertAlign w:val="baseline"/>
              </w:rPr>
              <w:t>;其他具有重要生态功能、对保护生物多样性具有重要意义的区域</w:t>
            </w:r>
            <w:r>
              <w:rPr>
                <w:rFonts w:hint="eastAsia"/>
                <w:kern w:val="0"/>
                <w:sz w:val="21"/>
                <w:szCs w:val="21"/>
              </w:rPr>
              <w:sym w:font="Wingdings" w:char="00A8"/>
            </w:r>
            <w:r>
              <w:rPr>
                <w:rFonts w:hint="eastAsia"/>
                <w:kern w:val="0"/>
                <w:sz w:val="21"/>
                <w:szCs w:val="21"/>
              </w:rPr>
              <w:t></w:t>
            </w:r>
            <w:r>
              <w:rPr>
                <w:rFonts w:hint="default" w:ascii="Times New Roman" w:hAnsi="Times New Roman" w:eastAsia="宋体" w:cs="Times New Roman"/>
                <w:szCs w:val="21"/>
                <w:vertAlign w:val="baseline"/>
              </w:rPr>
              <w:t>;其他</w:t>
            </w:r>
            <w:r>
              <w:rPr>
                <w:rFonts w:hint="eastAsia"/>
                <w:kern w:val="0"/>
                <w:sz w:val="21"/>
                <w:szCs w:val="21"/>
              </w:rPr>
              <w:sym w:font="Wingdings" w:char="00A8"/>
            </w:r>
            <w:r>
              <w:rPr>
                <w:rFonts w:hint="eastAsia"/>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0" w:type="dxa"/>
            <w:vMerge w:val="continue"/>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rPr>
            </w:pPr>
          </w:p>
        </w:tc>
        <w:tc>
          <w:tcPr>
            <w:tcW w:w="1107"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影响方式</w:t>
            </w:r>
          </w:p>
        </w:tc>
        <w:tc>
          <w:tcPr>
            <w:tcW w:w="7299"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Cs w:val="21"/>
                <w:vertAlign w:val="baseline"/>
              </w:rPr>
            </w:pPr>
            <w:r>
              <w:rPr>
                <w:rFonts w:hint="default" w:ascii="Times New Roman" w:hAnsi="Times New Roman" w:eastAsia="宋体" w:cs="Times New Roman"/>
                <w:szCs w:val="21"/>
                <w:vertAlign w:val="baseline"/>
              </w:rPr>
              <w:t>工程占用</w:t>
            </w:r>
            <w:r>
              <w:rPr>
                <w:rFonts w:hint="eastAsia"/>
                <w:kern w:val="0"/>
                <w:sz w:val="21"/>
                <w:szCs w:val="21"/>
              </w:rPr>
              <w:sym w:font="Wingdings" w:char="00FE"/>
            </w:r>
            <w:r>
              <w:rPr>
                <w:rFonts w:hint="eastAsia"/>
                <w:kern w:val="0"/>
                <w:sz w:val="21"/>
                <w:szCs w:val="21"/>
                <w:lang w:val="en-US" w:eastAsia="zh-CN"/>
              </w:rPr>
              <w:t xml:space="preserve"> </w:t>
            </w:r>
            <w:r>
              <w:rPr>
                <w:rFonts w:hint="default" w:ascii="Times New Roman" w:hAnsi="Times New Roman" w:eastAsia="宋体" w:cs="Times New Roman"/>
                <w:szCs w:val="21"/>
                <w:vertAlign w:val="baseline"/>
              </w:rPr>
              <w:t>;施工活动干扰</w:t>
            </w:r>
            <w:r>
              <w:rPr>
                <w:rFonts w:hint="eastAsia"/>
                <w:kern w:val="0"/>
                <w:sz w:val="21"/>
                <w:szCs w:val="21"/>
              </w:rPr>
              <w:sym w:font="Wingdings" w:char="00FE"/>
            </w:r>
            <w:r>
              <w:rPr>
                <w:rFonts w:hint="eastAsia"/>
                <w:kern w:val="0"/>
                <w:sz w:val="21"/>
                <w:szCs w:val="21"/>
                <w:lang w:val="en-US" w:eastAsia="zh-CN"/>
              </w:rPr>
              <w:t xml:space="preserve"> </w:t>
            </w:r>
            <w:r>
              <w:rPr>
                <w:rFonts w:hint="default" w:ascii="Times New Roman" w:hAnsi="Times New Roman" w:eastAsia="宋体" w:cs="Times New Roman"/>
                <w:szCs w:val="21"/>
                <w:vertAlign w:val="baseline"/>
              </w:rPr>
              <w:t>;改变环境条件</w:t>
            </w:r>
            <w:r>
              <w:rPr>
                <w:rFonts w:hint="eastAsia"/>
                <w:kern w:val="0"/>
                <w:sz w:val="21"/>
                <w:szCs w:val="21"/>
              </w:rPr>
              <w:sym w:font="Wingdings" w:char="00FE"/>
            </w:r>
            <w:r>
              <w:rPr>
                <w:rFonts w:hint="eastAsia"/>
                <w:kern w:val="0"/>
                <w:sz w:val="21"/>
                <w:szCs w:val="21"/>
                <w:lang w:val="en-US" w:eastAsia="zh-CN"/>
              </w:rPr>
              <w:t xml:space="preserve"> </w:t>
            </w:r>
            <w:r>
              <w:rPr>
                <w:rFonts w:hint="default" w:ascii="Times New Roman" w:hAnsi="Times New Roman" w:eastAsia="宋体" w:cs="Times New Roman"/>
                <w:szCs w:val="21"/>
                <w:vertAlign w:val="baseline"/>
              </w:rPr>
              <w:t>;其他</w:t>
            </w:r>
            <w:r>
              <w:rPr>
                <w:rFonts w:hint="eastAsia"/>
                <w:kern w:val="0"/>
                <w:sz w:val="21"/>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0" w:type="dxa"/>
            <w:vMerge w:val="continue"/>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rPr>
            </w:pPr>
          </w:p>
        </w:tc>
        <w:tc>
          <w:tcPr>
            <w:tcW w:w="1107"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评价因子</w:t>
            </w:r>
          </w:p>
        </w:tc>
        <w:tc>
          <w:tcPr>
            <w:tcW w:w="7299"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szCs w:val="21"/>
                <w:vertAlign w:val="baseline"/>
                <w:lang w:eastAsia="zh-CN"/>
              </w:rPr>
            </w:pPr>
            <w:r>
              <w:rPr>
                <w:rFonts w:hint="default" w:ascii="Times New Roman" w:hAnsi="Times New Roman" w:eastAsia="宋体" w:cs="Times New Roman"/>
                <w:szCs w:val="21"/>
                <w:vertAlign w:val="baseline"/>
              </w:rPr>
              <w:t>物种</w:t>
            </w:r>
            <w:r>
              <w:rPr>
                <w:rFonts w:hint="eastAsia"/>
                <w:kern w:val="0"/>
                <w:sz w:val="21"/>
                <w:szCs w:val="21"/>
              </w:rPr>
              <w:sym w:font="Wingdings" w:char="00FE"/>
            </w:r>
            <w:r>
              <w:rPr>
                <w:rFonts w:hint="eastAsia" w:cs="Times New Roman"/>
                <w:szCs w:val="21"/>
                <w:vertAlign w:val="baseline"/>
                <w:lang w:eastAsia="zh-CN"/>
              </w:rPr>
              <w:t>（</w:t>
            </w:r>
            <w:r>
              <w:rPr>
                <w:rFonts w:hint="eastAsia" w:ascii="宋体" w:hAnsi="宋体" w:cs="宋体"/>
                <w:kern w:val="0"/>
                <w:sz w:val="21"/>
                <w:szCs w:val="21"/>
                <w:lang w:val="zh-CN" w:bidi="zh-CN"/>
              </w:rPr>
              <w:t>分布范围、种群结构、行为</w:t>
            </w:r>
            <w:r>
              <w:rPr>
                <w:rFonts w:hint="eastAsia" w:cs="Times New Roman"/>
                <w:szCs w:val="21"/>
                <w:vertAlign w:val="baseline"/>
                <w:lang w:eastAsia="zh-CN"/>
              </w:rPr>
              <w:t>）</w:t>
            </w:r>
          </w:p>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szCs w:val="21"/>
                <w:vertAlign w:val="baseline"/>
                <w:lang w:eastAsia="zh-CN"/>
              </w:rPr>
            </w:pPr>
            <w:r>
              <w:rPr>
                <w:rFonts w:hint="default" w:ascii="Times New Roman" w:hAnsi="Times New Roman" w:eastAsia="宋体" w:cs="Times New Roman"/>
                <w:szCs w:val="21"/>
                <w:vertAlign w:val="baseline"/>
              </w:rPr>
              <w:t>生境</w:t>
            </w:r>
            <w:r>
              <w:rPr>
                <w:rFonts w:hint="eastAsia"/>
                <w:kern w:val="0"/>
                <w:sz w:val="21"/>
                <w:szCs w:val="21"/>
              </w:rPr>
              <w:sym w:font="Wingdings" w:char="00FE"/>
            </w:r>
            <w:r>
              <w:rPr>
                <w:rFonts w:hint="eastAsia" w:cs="Times New Roman"/>
                <w:szCs w:val="21"/>
                <w:vertAlign w:val="baseline"/>
                <w:lang w:eastAsia="zh-CN"/>
              </w:rPr>
              <w:t>（</w:t>
            </w:r>
            <w:r>
              <w:rPr>
                <w:rFonts w:hint="eastAsia" w:ascii="宋体" w:hAnsi="宋体" w:cs="宋体"/>
                <w:kern w:val="0"/>
                <w:sz w:val="21"/>
                <w:szCs w:val="21"/>
                <w:lang w:val="zh-CN" w:bidi="zh-CN"/>
              </w:rPr>
              <w:t>生境质量、连通性</w:t>
            </w:r>
            <w:r>
              <w:rPr>
                <w:rFonts w:hint="eastAsia" w:cs="Times New Roman"/>
                <w:szCs w:val="21"/>
                <w:vertAlign w:val="baseline"/>
                <w:lang w:eastAsia="zh-CN"/>
              </w:rPr>
              <w:t>）</w:t>
            </w:r>
          </w:p>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Cs w:val="21"/>
                <w:vertAlign w:val="baseline"/>
              </w:rPr>
            </w:pPr>
            <w:r>
              <w:rPr>
                <w:rFonts w:hint="default" w:ascii="Times New Roman" w:hAnsi="Times New Roman" w:eastAsia="宋体" w:cs="Times New Roman"/>
                <w:szCs w:val="21"/>
                <w:vertAlign w:val="baseline"/>
              </w:rPr>
              <w:t>生物群落</w:t>
            </w:r>
            <w:r>
              <w:rPr>
                <w:rFonts w:hint="eastAsia"/>
                <w:kern w:val="0"/>
                <w:sz w:val="21"/>
                <w:szCs w:val="21"/>
              </w:rPr>
              <w:sym w:font="Wingdings" w:char="00FE"/>
            </w:r>
            <w:r>
              <w:rPr>
                <w:rFonts w:hint="eastAsia" w:cs="Times New Roman"/>
                <w:szCs w:val="21"/>
                <w:vertAlign w:val="baseline"/>
                <w:lang w:eastAsia="zh-CN"/>
              </w:rPr>
              <w:t>（</w:t>
            </w:r>
            <w:r>
              <w:rPr>
                <w:rFonts w:hint="eastAsia" w:ascii="宋体" w:hAnsi="宋体" w:cs="宋体"/>
                <w:kern w:val="0"/>
                <w:sz w:val="21"/>
                <w:szCs w:val="21"/>
                <w:lang w:val="zh-CN" w:bidi="zh-CN"/>
              </w:rPr>
              <w:t>物种组成、群落结构</w:t>
            </w:r>
            <w:r>
              <w:rPr>
                <w:rFonts w:hint="eastAsia" w:cs="Times New Roman"/>
                <w:szCs w:val="21"/>
                <w:vertAlign w:val="baseline"/>
                <w:lang w:eastAsia="zh-CN"/>
              </w:rPr>
              <w:t>）</w:t>
            </w:r>
          </w:p>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Cs w:val="21"/>
                <w:vertAlign w:val="baseline"/>
              </w:rPr>
            </w:pPr>
            <w:r>
              <w:rPr>
                <w:rFonts w:hint="default" w:ascii="Times New Roman" w:hAnsi="Times New Roman" w:eastAsia="宋体" w:cs="Times New Roman"/>
                <w:szCs w:val="21"/>
                <w:vertAlign w:val="baseline"/>
              </w:rPr>
              <w:t>生态系统</w:t>
            </w:r>
            <w:r>
              <w:rPr>
                <w:rFonts w:hint="eastAsia"/>
                <w:kern w:val="0"/>
                <w:sz w:val="21"/>
                <w:szCs w:val="21"/>
              </w:rPr>
              <w:sym w:font="Wingdings" w:char="00FE"/>
            </w:r>
            <w:r>
              <w:rPr>
                <w:rFonts w:hint="eastAsia" w:cs="Times New Roman"/>
                <w:szCs w:val="21"/>
                <w:vertAlign w:val="baseline"/>
                <w:lang w:eastAsia="zh-CN"/>
              </w:rPr>
              <w:t>（</w:t>
            </w:r>
            <w:r>
              <w:rPr>
                <w:rFonts w:hint="eastAsia" w:ascii="宋体" w:hAnsi="宋体" w:cs="宋体"/>
                <w:kern w:val="0"/>
                <w:sz w:val="21"/>
                <w:szCs w:val="21"/>
                <w:lang w:val="zh-CN" w:bidi="zh-CN"/>
              </w:rPr>
              <w:t>植被覆盖度、生物量、生态系统功能</w:t>
            </w:r>
            <w:r>
              <w:rPr>
                <w:rFonts w:hint="eastAsia" w:cs="Times New Roman"/>
                <w:szCs w:val="21"/>
                <w:vertAlign w:val="baseline"/>
                <w:lang w:eastAsia="zh-CN"/>
              </w:rPr>
              <w:t>）</w:t>
            </w:r>
          </w:p>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Cs w:val="21"/>
                <w:vertAlign w:val="baseline"/>
              </w:rPr>
            </w:pPr>
            <w:r>
              <w:rPr>
                <w:rFonts w:hint="default" w:ascii="Times New Roman" w:hAnsi="Times New Roman" w:eastAsia="宋体" w:cs="Times New Roman"/>
                <w:szCs w:val="21"/>
                <w:vertAlign w:val="baseline"/>
              </w:rPr>
              <w:t>生物多样性</w:t>
            </w:r>
            <w:r>
              <w:rPr>
                <w:rFonts w:hint="eastAsia"/>
                <w:kern w:val="0"/>
                <w:sz w:val="21"/>
                <w:szCs w:val="21"/>
              </w:rPr>
              <w:sym w:font="Wingdings" w:char="00A8"/>
            </w:r>
            <w:r>
              <w:rPr>
                <w:rFonts w:hint="eastAsia" w:cs="Times New Roman"/>
                <w:szCs w:val="21"/>
                <w:vertAlign w:val="baseline"/>
                <w:lang w:eastAsia="zh-CN"/>
              </w:rPr>
              <w:t>（）</w:t>
            </w:r>
          </w:p>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Cs w:val="21"/>
                <w:vertAlign w:val="baseline"/>
              </w:rPr>
            </w:pPr>
            <w:r>
              <w:rPr>
                <w:rFonts w:hint="default" w:ascii="Times New Roman" w:hAnsi="Times New Roman" w:eastAsia="宋体" w:cs="Times New Roman"/>
                <w:szCs w:val="21"/>
                <w:vertAlign w:val="baseline"/>
              </w:rPr>
              <w:t>生态敏感区</w:t>
            </w:r>
            <w:r>
              <w:rPr>
                <w:rFonts w:hint="eastAsia"/>
                <w:kern w:val="0"/>
                <w:sz w:val="21"/>
                <w:szCs w:val="21"/>
              </w:rPr>
              <w:sym w:font="Wingdings" w:char="00FE"/>
            </w:r>
            <w:r>
              <w:rPr>
                <w:rFonts w:hint="eastAsia" w:cs="Times New Roman"/>
                <w:szCs w:val="21"/>
                <w:vertAlign w:val="baseline"/>
                <w:lang w:eastAsia="zh-CN"/>
              </w:rPr>
              <w:t>（</w:t>
            </w:r>
            <w:r>
              <w:rPr>
                <w:rFonts w:hint="eastAsia" w:ascii="宋体" w:hAnsi="宋体" w:cs="宋体"/>
                <w:kern w:val="0"/>
                <w:sz w:val="21"/>
                <w:szCs w:val="21"/>
                <w:lang w:val="zh-CN" w:bidi="zh-CN"/>
              </w:rPr>
              <w:t>主要保护对象、生态功能</w:t>
            </w:r>
            <w:r>
              <w:rPr>
                <w:rFonts w:hint="eastAsia" w:cs="Times New Roman"/>
                <w:szCs w:val="21"/>
                <w:vertAlign w:val="baseline"/>
                <w:lang w:eastAsia="zh-CN"/>
              </w:rPr>
              <w:t>）</w:t>
            </w:r>
          </w:p>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Cs w:val="21"/>
                <w:vertAlign w:val="baseline"/>
              </w:rPr>
            </w:pPr>
            <w:r>
              <w:rPr>
                <w:rFonts w:hint="default" w:ascii="Times New Roman" w:hAnsi="Times New Roman" w:eastAsia="宋体" w:cs="Times New Roman"/>
                <w:szCs w:val="21"/>
                <w:vertAlign w:val="baseline"/>
              </w:rPr>
              <w:t>自然景观</w:t>
            </w:r>
            <w:r>
              <w:rPr>
                <w:rFonts w:hint="eastAsia"/>
                <w:kern w:val="0"/>
                <w:sz w:val="21"/>
                <w:szCs w:val="21"/>
              </w:rPr>
              <w:sym w:font="Wingdings" w:char="00FE"/>
            </w:r>
            <w:r>
              <w:rPr>
                <w:rFonts w:hint="eastAsia" w:cs="Times New Roman"/>
                <w:szCs w:val="21"/>
                <w:vertAlign w:val="baseline"/>
                <w:lang w:eastAsia="zh-CN"/>
              </w:rPr>
              <w:t>（</w:t>
            </w:r>
            <w:r>
              <w:rPr>
                <w:rFonts w:hint="eastAsia" w:ascii="宋体" w:hAnsi="宋体" w:cs="宋体"/>
                <w:kern w:val="0"/>
                <w:sz w:val="21"/>
                <w:szCs w:val="21"/>
                <w:lang w:val="zh-CN" w:bidi="zh-CN"/>
              </w:rPr>
              <w:t>景观多样性、完整性</w:t>
            </w:r>
            <w:r>
              <w:rPr>
                <w:rFonts w:hint="eastAsia" w:cs="Times New Roman"/>
                <w:szCs w:val="21"/>
                <w:vertAlign w:val="baseline"/>
                <w:lang w:eastAsia="zh-CN"/>
              </w:rPr>
              <w:t>）</w:t>
            </w:r>
          </w:p>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Cs w:val="21"/>
                <w:vertAlign w:val="baseline"/>
              </w:rPr>
            </w:pPr>
            <w:r>
              <w:rPr>
                <w:rFonts w:hint="default" w:ascii="Times New Roman" w:hAnsi="Times New Roman" w:eastAsia="宋体" w:cs="Times New Roman"/>
                <w:szCs w:val="21"/>
                <w:vertAlign w:val="baseline"/>
              </w:rPr>
              <w:t>自然遗迹口</w:t>
            </w:r>
            <w:r>
              <w:rPr>
                <w:rFonts w:hint="eastAsia" w:cs="Times New Roman"/>
                <w:szCs w:val="21"/>
                <w:vertAlign w:val="baseline"/>
                <w:lang w:eastAsia="zh-CN"/>
              </w:rPr>
              <w:t>（）</w:t>
            </w:r>
          </w:p>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Cs w:val="21"/>
                <w:vertAlign w:val="baseline"/>
              </w:rPr>
            </w:pPr>
            <w:r>
              <w:rPr>
                <w:rFonts w:hint="default" w:ascii="Times New Roman" w:hAnsi="Times New Roman" w:eastAsia="宋体" w:cs="Times New Roman"/>
                <w:szCs w:val="21"/>
                <w:vertAlign w:val="baseline"/>
              </w:rPr>
              <w:t>其他口</w:t>
            </w:r>
            <w:r>
              <w:rPr>
                <w:rFonts w:hint="eastAsia" w:cs="Times New Roman"/>
                <w:szCs w:val="21"/>
                <w:vertAlign w:val="baseli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987" w:type="dxa"/>
            <w:gridSpan w:val="2"/>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评价等级</w:t>
            </w:r>
          </w:p>
        </w:tc>
        <w:tc>
          <w:tcPr>
            <w:tcW w:w="7299"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Cs w:val="21"/>
                <w:vertAlign w:val="baseline"/>
              </w:rPr>
            </w:pPr>
            <w:r>
              <w:rPr>
                <w:rFonts w:hint="default" w:ascii="Times New Roman" w:hAnsi="Times New Roman" w:eastAsia="宋体" w:cs="Times New Roman"/>
                <w:szCs w:val="21"/>
                <w:vertAlign w:val="baseline"/>
              </w:rPr>
              <w:t>一级</w:t>
            </w:r>
            <w:r>
              <w:rPr>
                <w:rFonts w:hint="eastAsia" w:cs="Times New Roman"/>
                <w:szCs w:val="21"/>
                <w:u w:val="none"/>
                <w:vertAlign w:val="baseline"/>
                <w:lang w:val="en-US" w:eastAsia="zh-CN"/>
              </w:rPr>
              <w:t xml:space="preserve"> </w:t>
            </w:r>
            <w:r>
              <w:rPr>
                <w:rFonts w:hint="eastAsia"/>
                <w:kern w:val="0"/>
                <w:sz w:val="21"/>
                <w:szCs w:val="21"/>
              </w:rPr>
              <w:sym w:font="Wingdings" w:char="00FE"/>
            </w:r>
            <w:r>
              <w:rPr>
                <w:rFonts w:hint="eastAsia" w:cs="Times New Roman"/>
                <w:szCs w:val="21"/>
                <w:u w:val="none"/>
                <w:vertAlign w:val="baseline"/>
                <w:lang w:val="en-US" w:eastAsia="zh-CN"/>
              </w:rPr>
              <w:t xml:space="preserve">          </w:t>
            </w:r>
            <w:r>
              <w:rPr>
                <w:rFonts w:hint="default" w:ascii="Times New Roman" w:hAnsi="Times New Roman" w:eastAsia="宋体" w:cs="Times New Roman"/>
                <w:szCs w:val="21"/>
                <w:vertAlign w:val="baseline"/>
              </w:rPr>
              <w:t>二级</w:t>
            </w:r>
            <w:r>
              <w:rPr>
                <w:rFonts w:hint="eastAsia" w:cs="Times New Roman"/>
                <w:szCs w:val="21"/>
                <w:vertAlign w:val="baseline"/>
                <w:lang w:val="en-US" w:eastAsia="zh-CN"/>
              </w:rPr>
              <w:t xml:space="preserve"> </w:t>
            </w:r>
            <w:r>
              <w:rPr>
                <w:rFonts w:hint="eastAsia"/>
                <w:kern w:val="0"/>
                <w:sz w:val="21"/>
                <w:szCs w:val="21"/>
              </w:rPr>
              <w:sym w:font="Wingdings" w:char="00A8"/>
            </w:r>
            <w:r>
              <w:rPr>
                <w:rFonts w:hint="eastAsia" w:cs="Times New Roman"/>
                <w:szCs w:val="21"/>
                <w:vertAlign w:val="baseline"/>
                <w:lang w:val="en-US" w:eastAsia="zh-CN"/>
              </w:rPr>
              <w:t xml:space="preserve">          </w:t>
            </w:r>
            <w:r>
              <w:rPr>
                <w:rFonts w:hint="default" w:ascii="Times New Roman" w:hAnsi="Times New Roman" w:eastAsia="宋体" w:cs="Times New Roman"/>
                <w:szCs w:val="21"/>
                <w:vertAlign w:val="baseline"/>
              </w:rPr>
              <w:t>三级</w:t>
            </w:r>
            <w:r>
              <w:rPr>
                <w:rFonts w:hint="eastAsia" w:cs="Times New Roman"/>
                <w:szCs w:val="21"/>
                <w:vertAlign w:val="baseline"/>
                <w:lang w:val="en-US" w:eastAsia="zh-CN"/>
              </w:rPr>
              <w:t xml:space="preserve"> </w:t>
            </w:r>
            <w:r>
              <w:rPr>
                <w:rFonts w:hint="eastAsia"/>
                <w:kern w:val="0"/>
                <w:sz w:val="21"/>
                <w:szCs w:val="21"/>
              </w:rPr>
              <w:sym w:font="Wingdings" w:char="00FE"/>
            </w:r>
            <w:r>
              <w:rPr>
                <w:rFonts w:hint="eastAsia" w:cs="Times New Roman"/>
                <w:szCs w:val="21"/>
                <w:vertAlign w:val="baseline"/>
                <w:lang w:val="en-US" w:eastAsia="zh-CN"/>
              </w:rPr>
              <w:t xml:space="preserve">        </w:t>
            </w:r>
            <w:r>
              <w:rPr>
                <w:rFonts w:hint="default" w:ascii="Times New Roman" w:hAnsi="Times New Roman" w:eastAsia="宋体" w:cs="Times New Roman"/>
                <w:szCs w:val="21"/>
                <w:vertAlign w:val="baseline"/>
              </w:rPr>
              <w:t>生态影响简单分析</w:t>
            </w:r>
            <w:r>
              <w:rPr>
                <w:rFonts w:hint="eastAsia"/>
                <w:kern w:val="0"/>
                <w:sz w:val="21"/>
                <w:szCs w:val="21"/>
              </w:rPr>
              <w:sym w:font="Wingdings" w:char="00A8"/>
            </w:r>
            <w:r>
              <w:rPr>
                <w:rFonts w:hint="eastAsia" w:cs="Times New Roman"/>
                <w:szCs w:val="21"/>
                <w:vertAlign w:val="baseline"/>
                <w:lang w:val="en-US" w:eastAsia="zh-CN"/>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987" w:type="dxa"/>
            <w:gridSpan w:val="2"/>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评价范围</w:t>
            </w:r>
          </w:p>
        </w:tc>
        <w:tc>
          <w:tcPr>
            <w:tcW w:w="7299"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陆域面积：（）km</w:t>
            </w:r>
            <w:r>
              <w:rPr>
                <w:rFonts w:hint="eastAsia" w:cs="Times New Roman"/>
                <w:szCs w:val="21"/>
                <w:vertAlign w:val="superscript"/>
                <w:lang w:val="en-US" w:eastAsia="zh-CN"/>
              </w:rPr>
              <w:t>2</w:t>
            </w:r>
            <w:r>
              <w:rPr>
                <w:rFonts w:hint="eastAsia" w:cs="Times New Roman"/>
                <w:szCs w:val="21"/>
                <w:vertAlign w:val="baseline"/>
                <w:lang w:val="en-US" w:eastAsia="zh-CN"/>
              </w:rPr>
              <w:t>，水域面积：（）km</w:t>
            </w:r>
            <w:r>
              <w:rPr>
                <w:rFonts w:hint="eastAsia" w:cs="Times New Roman"/>
                <w:szCs w:val="21"/>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0" w:type="dxa"/>
            <w:vMerge w:val="restart"/>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生态现状调查与评价</w:t>
            </w:r>
          </w:p>
        </w:tc>
        <w:tc>
          <w:tcPr>
            <w:tcW w:w="1107"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调查方法</w:t>
            </w:r>
          </w:p>
        </w:tc>
        <w:tc>
          <w:tcPr>
            <w:tcW w:w="7299"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Cs w:val="21"/>
                <w:vertAlign w:val="baseline"/>
              </w:rPr>
            </w:pPr>
            <w:r>
              <w:rPr>
                <w:rFonts w:hint="default" w:ascii="Times New Roman" w:hAnsi="Times New Roman" w:eastAsia="宋体" w:cs="Times New Roman"/>
                <w:szCs w:val="21"/>
                <w:vertAlign w:val="baseline"/>
              </w:rPr>
              <w:t>资料收集</w:t>
            </w:r>
            <w:r>
              <w:rPr>
                <w:rFonts w:hint="eastAsia"/>
                <w:kern w:val="0"/>
                <w:sz w:val="21"/>
                <w:szCs w:val="21"/>
              </w:rPr>
              <w:sym w:font="Wingdings" w:char="00FE"/>
            </w:r>
            <w:r>
              <w:rPr>
                <w:rFonts w:hint="eastAsia" w:cs="Times New Roman"/>
                <w:szCs w:val="21"/>
                <w:u w:val="none"/>
                <w:vertAlign w:val="baseline"/>
                <w:lang w:val="en-US" w:eastAsia="zh-CN"/>
              </w:rPr>
              <w:t xml:space="preserve"> </w:t>
            </w:r>
            <w:r>
              <w:rPr>
                <w:rFonts w:hint="default" w:ascii="Times New Roman" w:hAnsi="Times New Roman" w:eastAsia="宋体" w:cs="Times New Roman"/>
                <w:szCs w:val="21"/>
                <w:vertAlign w:val="baseline"/>
              </w:rPr>
              <w:t>;遥感调查</w:t>
            </w:r>
            <w:r>
              <w:rPr>
                <w:rFonts w:hint="eastAsia"/>
                <w:kern w:val="0"/>
                <w:sz w:val="21"/>
                <w:szCs w:val="21"/>
              </w:rPr>
              <w:sym w:font="Wingdings" w:char="00A8"/>
            </w:r>
            <w:r>
              <w:rPr>
                <w:rFonts w:hint="eastAsia" w:cs="Times New Roman"/>
                <w:szCs w:val="21"/>
                <w:u w:val="none"/>
                <w:vertAlign w:val="baseline"/>
                <w:lang w:val="en-US" w:eastAsia="zh-CN"/>
              </w:rPr>
              <w:t xml:space="preserve"> </w:t>
            </w:r>
            <w:r>
              <w:rPr>
                <w:rFonts w:hint="default" w:ascii="Times New Roman" w:hAnsi="Times New Roman" w:eastAsia="宋体" w:cs="Times New Roman"/>
                <w:szCs w:val="21"/>
                <w:vertAlign w:val="baseline"/>
              </w:rPr>
              <w:t>;调查样方、样线</w:t>
            </w:r>
            <w:r>
              <w:rPr>
                <w:rFonts w:hint="eastAsia"/>
                <w:kern w:val="0"/>
                <w:sz w:val="21"/>
                <w:szCs w:val="21"/>
              </w:rPr>
              <w:sym w:font="Wingdings" w:char="00A8"/>
            </w:r>
            <w:r>
              <w:rPr>
                <w:rFonts w:hint="eastAsia" w:cs="Times New Roman"/>
                <w:szCs w:val="21"/>
                <w:u w:val="none"/>
                <w:vertAlign w:val="baseline"/>
                <w:lang w:val="en-US" w:eastAsia="zh-CN"/>
              </w:rPr>
              <w:t xml:space="preserve">  </w:t>
            </w:r>
            <w:r>
              <w:rPr>
                <w:rFonts w:hint="default" w:ascii="Times New Roman" w:hAnsi="Times New Roman" w:eastAsia="宋体" w:cs="Times New Roman"/>
                <w:szCs w:val="21"/>
                <w:vertAlign w:val="baseline"/>
              </w:rPr>
              <w:t>;调查点位、断面</w:t>
            </w:r>
            <w:r>
              <w:rPr>
                <w:rFonts w:hint="eastAsia"/>
                <w:kern w:val="0"/>
                <w:sz w:val="21"/>
                <w:szCs w:val="21"/>
              </w:rPr>
              <w:sym w:font="Wingdings" w:char="00FE"/>
            </w:r>
            <w:r>
              <w:rPr>
                <w:rFonts w:hint="eastAsia" w:cs="Times New Roman"/>
                <w:szCs w:val="21"/>
                <w:u w:val="none"/>
                <w:vertAlign w:val="baseline"/>
                <w:lang w:val="en-US" w:eastAsia="zh-CN"/>
              </w:rPr>
              <w:t xml:space="preserve">  </w:t>
            </w:r>
            <w:r>
              <w:rPr>
                <w:rFonts w:hint="default" w:ascii="Times New Roman" w:hAnsi="Times New Roman" w:eastAsia="宋体" w:cs="Times New Roman"/>
                <w:szCs w:val="21"/>
                <w:vertAlign w:val="baseline"/>
              </w:rPr>
              <w:t>;专家和公众咨询法</w:t>
            </w:r>
            <w:r>
              <w:rPr>
                <w:rFonts w:hint="eastAsia"/>
                <w:kern w:val="0"/>
                <w:sz w:val="21"/>
                <w:szCs w:val="21"/>
              </w:rPr>
              <w:sym w:font="Wingdings" w:char="00FE"/>
            </w:r>
            <w:r>
              <w:rPr>
                <w:rFonts w:hint="eastAsia" w:cs="Times New Roman"/>
                <w:szCs w:val="21"/>
                <w:u w:val="none"/>
                <w:vertAlign w:val="baseline"/>
                <w:lang w:val="en-US" w:eastAsia="zh-CN"/>
              </w:rPr>
              <w:t xml:space="preserve"> </w:t>
            </w:r>
            <w:r>
              <w:rPr>
                <w:rFonts w:hint="default" w:ascii="Times New Roman" w:hAnsi="Times New Roman" w:eastAsia="宋体" w:cs="Times New Roman"/>
                <w:szCs w:val="21"/>
                <w:vertAlign w:val="baseline"/>
              </w:rPr>
              <w:t>;其他</w:t>
            </w:r>
            <w:r>
              <w:rPr>
                <w:rFonts w:hint="eastAsia"/>
                <w:kern w:val="0"/>
                <w:sz w:val="21"/>
                <w:szCs w:val="21"/>
              </w:rPr>
              <w:sym w:font="Wingdings" w:char="00A8"/>
            </w:r>
            <w:r>
              <w:rPr>
                <w:rFonts w:hint="eastAsia" w:cs="Times New Roman"/>
                <w:szCs w:val="21"/>
                <w:u w:val="none"/>
                <w:vertAlign w:val="baseline"/>
                <w:lang w:val="en-US" w:eastAsia="zh-CN"/>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0" w:type="dxa"/>
            <w:vMerge w:val="continue"/>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rPr>
            </w:pPr>
          </w:p>
        </w:tc>
        <w:tc>
          <w:tcPr>
            <w:tcW w:w="1107"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调查时间</w:t>
            </w:r>
          </w:p>
        </w:tc>
        <w:tc>
          <w:tcPr>
            <w:tcW w:w="7299"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Cs w:val="21"/>
                <w:vertAlign w:val="baseline"/>
              </w:rPr>
            </w:pPr>
            <w:r>
              <w:rPr>
                <w:rFonts w:hint="default" w:ascii="Times New Roman" w:hAnsi="Times New Roman" w:eastAsia="宋体" w:cs="Times New Roman"/>
                <w:szCs w:val="21"/>
                <w:vertAlign w:val="baseline"/>
              </w:rPr>
              <w:t>春季</w:t>
            </w:r>
            <w:r>
              <w:rPr>
                <w:rFonts w:hint="eastAsia"/>
                <w:kern w:val="0"/>
                <w:sz w:val="21"/>
                <w:szCs w:val="21"/>
              </w:rPr>
              <w:sym w:font="Wingdings" w:char="00A8"/>
            </w:r>
            <w:r>
              <w:rPr>
                <w:rFonts w:hint="default" w:ascii="Times New Roman" w:hAnsi="Times New Roman" w:eastAsia="宋体" w:cs="Times New Roman"/>
                <w:szCs w:val="21"/>
                <w:vertAlign w:val="baseline"/>
              </w:rPr>
              <w:t>;</w:t>
            </w:r>
            <w:r>
              <w:rPr>
                <w:rFonts w:hint="eastAsia" w:cs="Times New Roman"/>
                <w:szCs w:val="21"/>
                <w:vertAlign w:val="baseline"/>
                <w:lang w:val="en-US" w:eastAsia="zh-CN"/>
              </w:rPr>
              <w:t xml:space="preserve"> </w:t>
            </w:r>
            <w:r>
              <w:rPr>
                <w:rFonts w:hint="default" w:ascii="Times New Roman" w:hAnsi="Times New Roman" w:eastAsia="宋体" w:cs="Times New Roman"/>
                <w:szCs w:val="21"/>
                <w:vertAlign w:val="baseline"/>
              </w:rPr>
              <w:t>夏季</w:t>
            </w:r>
            <w:r>
              <w:rPr>
                <w:rFonts w:hint="eastAsia"/>
                <w:kern w:val="0"/>
                <w:sz w:val="21"/>
                <w:szCs w:val="21"/>
              </w:rPr>
              <w:sym w:font="Wingdings" w:char="00A8"/>
            </w:r>
            <w:r>
              <w:rPr>
                <w:rFonts w:hint="default" w:ascii="Times New Roman" w:hAnsi="Times New Roman" w:eastAsia="宋体" w:cs="Times New Roman"/>
                <w:szCs w:val="21"/>
                <w:vertAlign w:val="baseline"/>
              </w:rPr>
              <w:t>;</w:t>
            </w:r>
            <w:r>
              <w:rPr>
                <w:rFonts w:hint="eastAsia" w:cs="Times New Roman"/>
                <w:szCs w:val="21"/>
                <w:vertAlign w:val="baseline"/>
                <w:lang w:val="en-US" w:eastAsia="zh-CN"/>
              </w:rPr>
              <w:t xml:space="preserve"> </w:t>
            </w:r>
            <w:r>
              <w:rPr>
                <w:rFonts w:hint="default" w:ascii="Times New Roman" w:hAnsi="Times New Roman" w:eastAsia="宋体" w:cs="Times New Roman"/>
                <w:szCs w:val="21"/>
                <w:vertAlign w:val="baseline"/>
              </w:rPr>
              <w:t>秋季</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cs="Times New Roman"/>
                <w:szCs w:val="21"/>
                <w:vertAlign w:val="baseline"/>
                <w:lang w:val="en-US" w:eastAsia="zh-CN"/>
              </w:rPr>
              <w:t xml:space="preserve"> </w:t>
            </w:r>
            <w:r>
              <w:rPr>
                <w:rFonts w:hint="default" w:ascii="Times New Roman" w:hAnsi="Times New Roman" w:eastAsia="宋体" w:cs="Times New Roman"/>
                <w:szCs w:val="21"/>
                <w:vertAlign w:val="baseline"/>
              </w:rPr>
              <w:t>冬季</w:t>
            </w:r>
            <w:r>
              <w:rPr>
                <w:rFonts w:hint="eastAsia"/>
                <w:kern w:val="0"/>
                <w:sz w:val="21"/>
                <w:szCs w:val="21"/>
              </w:rPr>
              <w:sym w:font="Wingdings" w:char="00A8"/>
            </w:r>
          </w:p>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Cs w:val="21"/>
                <w:vertAlign w:val="baseline"/>
              </w:rPr>
            </w:pPr>
            <w:r>
              <w:rPr>
                <w:rFonts w:hint="default" w:ascii="Times New Roman" w:hAnsi="Times New Roman" w:eastAsia="宋体" w:cs="Times New Roman"/>
                <w:szCs w:val="21"/>
                <w:vertAlign w:val="baseline"/>
              </w:rPr>
              <w:t>丰水期</w:t>
            </w:r>
            <w:r>
              <w:rPr>
                <w:rFonts w:hint="eastAsia"/>
                <w:kern w:val="0"/>
                <w:sz w:val="21"/>
                <w:szCs w:val="21"/>
              </w:rPr>
              <w:sym w:font="Wingdings" w:char="00A8"/>
            </w:r>
            <w:r>
              <w:rPr>
                <w:rFonts w:hint="default" w:ascii="Times New Roman" w:hAnsi="Times New Roman" w:eastAsia="宋体" w:cs="Times New Roman"/>
                <w:szCs w:val="21"/>
                <w:vertAlign w:val="baseline"/>
              </w:rPr>
              <w:t>;</w:t>
            </w:r>
            <w:r>
              <w:rPr>
                <w:rFonts w:hint="eastAsia" w:cs="Times New Roman"/>
                <w:szCs w:val="21"/>
                <w:vertAlign w:val="baseline"/>
                <w:lang w:val="en-US" w:eastAsia="zh-CN"/>
              </w:rPr>
              <w:t xml:space="preserve"> </w:t>
            </w:r>
            <w:r>
              <w:rPr>
                <w:rFonts w:hint="default" w:ascii="Times New Roman" w:hAnsi="Times New Roman" w:eastAsia="宋体" w:cs="Times New Roman"/>
                <w:szCs w:val="21"/>
                <w:vertAlign w:val="baseline"/>
              </w:rPr>
              <w:t>枯水期</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cs="Times New Roman"/>
                <w:szCs w:val="21"/>
                <w:vertAlign w:val="baseline"/>
                <w:lang w:val="en-US" w:eastAsia="zh-CN"/>
              </w:rPr>
              <w:t xml:space="preserve"> </w:t>
            </w:r>
            <w:r>
              <w:rPr>
                <w:rFonts w:hint="default" w:ascii="Times New Roman" w:hAnsi="Times New Roman" w:eastAsia="宋体" w:cs="Times New Roman"/>
                <w:szCs w:val="21"/>
                <w:vertAlign w:val="baseline"/>
              </w:rPr>
              <w:t>平水期</w:t>
            </w:r>
            <w:r>
              <w:rPr>
                <w:rFonts w:hint="eastAsia"/>
                <w:kern w:val="0"/>
                <w:sz w:val="21"/>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0" w:type="dxa"/>
            <w:vMerge w:val="continue"/>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rPr>
            </w:pPr>
          </w:p>
        </w:tc>
        <w:tc>
          <w:tcPr>
            <w:tcW w:w="1107"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所在区域的生态问题</w:t>
            </w:r>
          </w:p>
        </w:tc>
        <w:tc>
          <w:tcPr>
            <w:tcW w:w="7299"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cs="Times New Roman"/>
                <w:szCs w:val="21"/>
                <w:vertAlign w:val="baseline"/>
                <w:lang w:val="en-US" w:eastAsia="zh-CN"/>
              </w:rPr>
            </w:pPr>
            <w:r>
              <w:rPr>
                <w:rFonts w:hint="default" w:ascii="Times New Roman" w:hAnsi="Times New Roman" w:eastAsia="宋体" w:cs="Times New Roman"/>
                <w:szCs w:val="21"/>
                <w:vertAlign w:val="baseline"/>
              </w:rPr>
              <w:t>水土流失</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cs="Times New Roman"/>
                <w:szCs w:val="21"/>
                <w:vertAlign w:val="baseline"/>
                <w:lang w:val="en-US" w:eastAsia="zh-CN"/>
              </w:rPr>
              <w:t xml:space="preserve"> </w:t>
            </w:r>
            <w:r>
              <w:rPr>
                <w:rFonts w:hint="default" w:ascii="Times New Roman" w:hAnsi="Times New Roman" w:eastAsia="宋体" w:cs="Times New Roman"/>
                <w:szCs w:val="21"/>
                <w:vertAlign w:val="baseline"/>
              </w:rPr>
              <w:t>沙漠化</w:t>
            </w:r>
            <w:r>
              <w:rPr>
                <w:rFonts w:hint="eastAsia"/>
                <w:kern w:val="0"/>
                <w:sz w:val="21"/>
                <w:szCs w:val="21"/>
              </w:rPr>
              <w:sym w:font="Wingdings" w:char="00A8"/>
            </w:r>
            <w:r>
              <w:rPr>
                <w:rFonts w:hint="default" w:ascii="Times New Roman" w:hAnsi="Times New Roman" w:eastAsia="宋体" w:cs="Times New Roman"/>
                <w:szCs w:val="21"/>
                <w:vertAlign w:val="baseline"/>
              </w:rPr>
              <w:t>;</w:t>
            </w:r>
            <w:r>
              <w:rPr>
                <w:rFonts w:hint="eastAsia" w:cs="Times New Roman"/>
                <w:szCs w:val="21"/>
                <w:vertAlign w:val="baseline"/>
                <w:lang w:val="en-US" w:eastAsia="zh-CN"/>
              </w:rPr>
              <w:t xml:space="preserve"> </w:t>
            </w:r>
            <w:r>
              <w:rPr>
                <w:rFonts w:hint="default" w:ascii="Times New Roman" w:hAnsi="Times New Roman" w:eastAsia="宋体" w:cs="Times New Roman"/>
                <w:szCs w:val="21"/>
                <w:vertAlign w:val="baseline"/>
              </w:rPr>
              <w:t>石漠化</w:t>
            </w:r>
            <w:r>
              <w:rPr>
                <w:rFonts w:hint="eastAsia"/>
                <w:kern w:val="0"/>
                <w:sz w:val="21"/>
                <w:szCs w:val="21"/>
              </w:rPr>
              <w:sym w:font="Wingdings" w:char="00A8"/>
            </w:r>
            <w:r>
              <w:rPr>
                <w:rFonts w:hint="default" w:ascii="Times New Roman" w:hAnsi="Times New Roman" w:eastAsia="宋体" w:cs="Times New Roman"/>
                <w:szCs w:val="21"/>
                <w:vertAlign w:val="baseline"/>
              </w:rPr>
              <w:t>;</w:t>
            </w:r>
            <w:r>
              <w:rPr>
                <w:rFonts w:hint="eastAsia" w:cs="Times New Roman"/>
                <w:szCs w:val="21"/>
                <w:vertAlign w:val="baseline"/>
                <w:lang w:val="en-US" w:eastAsia="zh-CN"/>
              </w:rPr>
              <w:t xml:space="preserve"> </w:t>
            </w:r>
            <w:r>
              <w:rPr>
                <w:rFonts w:hint="default" w:ascii="Times New Roman" w:hAnsi="Times New Roman" w:eastAsia="宋体" w:cs="Times New Roman"/>
                <w:szCs w:val="21"/>
                <w:vertAlign w:val="baseline"/>
              </w:rPr>
              <w:t>盐渍化</w:t>
            </w:r>
            <w:r>
              <w:rPr>
                <w:rFonts w:hint="eastAsia"/>
                <w:kern w:val="0"/>
                <w:sz w:val="21"/>
                <w:szCs w:val="21"/>
              </w:rPr>
              <w:sym w:font="Wingdings" w:char="00A8"/>
            </w:r>
            <w:r>
              <w:rPr>
                <w:rFonts w:hint="default" w:ascii="Times New Roman" w:hAnsi="Times New Roman" w:eastAsia="宋体" w:cs="Times New Roman"/>
                <w:szCs w:val="21"/>
                <w:vertAlign w:val="baseline"/>
              </w:rPr>
              <w:t>;</w:t>
            </w:r>
            <w:r>
              <w:rPr>
                <w:rFonts w:hint="eastAsia" w:cs="Times New Roman"/>
                <w:szCs w:val="21"/>
                <w:vertAlign w:val="baseline"/>
                <w:lang w:val="en-US" w:eastAsia="zh-CN"/>
              </w:rPr>
              <w:t xml:space="preserve"> </w:t>
            </w:r>
            <w:r>
              <w:rPr>
                <w:rFonts w:hint="default" w:ascii="Times New Roman" w:hAnsi="Times New Roman" w:eastAsia="宋体" w:cs="Times New Roman"/>
                <w:szCs w:val="21"/>
                <w:vertAlign w:val="baseline"/>
              </w:rPr>
              <w:t>生物入侵</w:t>
            </w:r>
            <w:r>
              <w:rPr>
                <w:rFonts w:hint="eastAsia"/>
                <w:kern w:val="0"/>
                <w:sz w:val="21"/>
                <w:szCs w:val="21"/>
              </w:rPr>
              <w:sym w:font="Wingdings" w:char="00A8"/>
            </w:r>
            <w:r>
              <w:rPr>
                <w:rFonts w:hint="default" w:ascii="Times New Roman" w:hAnsi="Times New Roman" w:eastAsia="宋体" w:cs="Times New Roman"/>
                <w:szCs w:val="21"/>
                <w:vertAlign w:val="baseline"/>
              </w:rPr>
              <w:t>;</w:t>
            </w:r>
            <w:r>
              <w:rPr>
                <w:rFonts w:hint="eastAsia" w:cs="Times New Roman"/>
                <w:szCs w:val="21"/>
                <w:vertAlign w:val="baseline"/>
                <w:lang w:val="en-US" w:eastAsia="zh-CN"/>
              </w:rPr>
              <w:t xml:space="preserve"> </w:t>
            </w:r>
            <w:r>
              <w:rPr>
                <w:rFonts w:hint="default" w:ascii="Times New Roman" w:hAnsi="Times New Roman" w:eastAsia="宋体" w:cs="Times New Roman"/>
                <w:szCs w:val="21"/>
                <w:vertAlign w:val="baseline"/>
              </w:rPr>
              <w:t>污染危害</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cs="Times New Roman"/>
                <w:szCs w:val="21"/>
                <w:vertAlign w:val="baseline"/>
                <w:lang w:val="en-US" w:eastAsia="zh-CN"/>
              </w:rPr>
              <w:t xml:space="preserve"> </w:t>
            </w:r>
          </w:p>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Cs w:val="21"/>
                <w:vertAlign w:val="baseline"/>
              </w:rPr>
            </w:pPr>
            <w:r>
              <w:rPr>
                <w:rFonts w:hint="default" w:ascii="Times New Roman" w:hAnsi="Times New Roman" w:eastAsia="宋体" w:cs="Times New Roman"/>
                <w:szCs w:val="21"/>
                <w:vertAlign w:val="baseline"/>
              </w:rPr>
              <w:t>其他</w:t>
            </w:r>
            <w:r>
              <w:rPr>
                <w:rFonts w:hint="eastAsia"/>
                <w:kern w:val="0"/>
                <w:sz w:val="21"/>
                <w:szCs w:val="21"/>
              </w:rPr>
              <w:sym w:font="Wingdings" w:char="00FE"/>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0" w:type="dxa"/>
            <w:vMerge w:val="continue"/>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rPr>
            </w:pPr>
          </w:p>
        </w:tc>
        <w:tc>
          <w:tcPr>
            <w:tcW w:w="1107"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评价内容</w:t>
            </w:r>
          </w:p>
        </w:tc>
        <w:tc>
          <w:tcPr>
            <w:tcW w:w="7299"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cs="Times New Roman"/>
                <w:szCs w:val="21"/>
                <w:vertAlign w:val="baseline"/>
                <w:lang w:val="en-US" w:eastAsia="zh-CN"/>
              </w:rPr>
            </w:pPr>
            <w:r>
              <w:rPr>
                <w:rFonts w:hint="default" w:ascii="Times New Roman" w:hAnsi="Times New Roman" w:eastAsia="宋体" w:cs="Times New Roman"/>
                <w:szCs w:val="21"/>
                <w:vertAlign w:val="baseline"/>
              </w:rPr>
              <w:t>植被/植物群落</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cs="Times New Roman"/>
                <w:szCs w:val="21"/>
                <w:vertAlign w:val="baseline"/>
                <w:lang w:val="en-US" w:eastAsia="zh-CN"/>
              </w:rPr>
              <w:t xml:space="preserve"> </w:t>
            </w:r>
            <w:r>
              <w:rPr>
                <w:rFonts w:hint="default" w:ascii="Times New Roman" w:hAnsi="Times New Roman" w:eastAsia="宋体" w:cs="Times New Roman"/>
                <w:szCs w:val="21"/>
                <w:vertAlign w:val="baseline"/>
              </w:rPr>
              <w:t>土地利用</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cs="Times New Roman"/>
                <w:szCs w:val="21"/>
                <w:vertAlign w:val="baseline"/>
                <w:lang w:val="en-US" w:eastAsia="zh-CN"/>
              </w:rPr>
              <w:t xml:space="preserve"> </w:t>
            </w:r>
            <w:r>
              <w:rPr>
                <w:rFonts w:hint="default" w:ascii="Times New Roman" w:hAnsi="Times New Roman" w:eastAsia="宋体" w:cs="Times New Roman"/>
                <w:szCs w:val="21"/>
                <w:vertAlign w:val="baseline"/>
              </w:rPr>
              <w:t>生态系统</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cs="Times New Roman"/>
                <w:szCs w:val="21"/>
                <w:vertAlign w:val="baseline"/>
                <w:lang w:val="en-US" w:eastAsia="zh-CN"/>
              </w:rPr>
              <w:t xml:space="preserve"> </w:t>
            </w:r>
            <w:r>
              <w:rPr>
                <w:rFonts w:hint="default" w:ascii="Times New Roman" w:hAnsi="Times New Roman" w:eastAsia="宋体" w:cs="Times New Roman"/>
                <w:szCs w:val="21"/>
                <w:vertAlign w:val="baseline"/>
              </w:rPr>
              <w:t>生物多样性</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cs="Times New Roman"/>
                <w:szCs w:val="21"/>
                <w:vertAlign w:val="baseline"/>
                <w:lang w:val="en-US" w:eastAsia="zh-CN"/>
              </w:rPr>
              <w:t xml:space="preserve"> </w:t>
            </w:r>
            <w:r>
              <w:rPr>
                <w:rFonts w:hint="default" w:ascii="Times New Roman" w:hAnsi="Times New Roman" w:eastAsia="宋体" w:cs="Times New Roman"/>
                <w:szCs w:val="21"/>
                <w:vertAlign w:val="baseline"/>
              </w:rPr>
              <w:t>重要物种</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cs="Times New Roman"/>
                <w:szCs w:val="21"/>
                <w:vertAlign w:val="baseline"/>
                <w:lang w:val="en-US" w:eastAsia="zh-CN"/>
              </w:rPr>
              <w:t xml:space="preserve"> </w:t>
            </w:r>
          </w:p>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Cs w:val="21"/>
                <w:vertAlign w:val="baseline"/>
              </w:rPr>
            </w:pPr>
            <w:r>
              <w:rPr>
                <w:rFonts w:hint="default" w:ascii="Times New Roman" w:hAnsi="Times New Roman" w:eastAsia="宋体" w:cs="Times New Roman"/>
                <w:szCs w:val="21"/>
                <w:vertAlign w:val="baseline"/>
              </w:rPr>
              <w:t>生态敏感区</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cs="Times New Roman"/>
                <w:szCs w:val="21"/>
                <w:vertAlign w:val="baseline"/>
                <w:lang w:val="en-US" w:eastAsia="zh-CN"/>
              </w:rPr>
              <w:t xml:space="preserve"> </w:t>
            </w:r>
            <w:r>
              <w:rPr>
                <w:rFonts w:hint="default" w:ascii="Times New Roman" w:hAnsi="Times New Roman" w:eastAsia="宋体" w:cs="Times New Roman"/>
                <w:szCs w:val="21"/>
                <w:vertAlign w:val="baseline"/>
              </w:rPr>
              <w:t>其他</w:t>
            </w:r>
            <w:r>
              <w:rPr>
                <w:rFonts w:hint="eastAsia"/>
                <w:kern w:val="0"/>
                <w:sz w:val="21"/>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0" w:type="dxa"/>
            <w:vMerge w:val="restart"/>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生态影响预测与评价</w:t>
            </w:r>
          </w:p>
        </w:tc>
        <w:tc>
          <w:tcPr>
            <w:tcW w:w="1107"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评价方法</w:t>
            </w:r>
          </w:p>
        </w:tc>
        <w:tc>
          <w:tcPr>
            <w:tcW w:w="7299"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Cs w:val="21"/>
                <w:vertAlign w:val="baseline"/>
              </w:rPr>
            </w:pPr>
            <w:r>
              <w:rPr>
                <w:rFonts w:hint="default" w:ascii="Times New Roman" w:hAnsi="Times New Roman" w:eastAsia="宋体" w:cs="Times New Roman"/>
                <w:szCs w:val="21"/>
                <w:vertAlign w:val="baseline"/>
              </w:rPr>
              <w:t>定性</w:t>
            </w:r>
            <w:r>
              <w:rPr>
                <w:rFonts w:hint="eastAsia"/>
                <w:kern w:val="0"/>
                <w:sz w:val="21"/>
                <w:szCs w:val="21"/>
              </w:rPr>
              <w:sym w:font="Wingdings" w:char="00A8"/>
            </w:r>
            <w:r>
              <w:rPr>
                <w:rFonts w:hint="default" w:ascii="Times New Roman" w:hAnsi="Times New Roman" w:eastAsia="宋体" w:cs="Times New Roman"/>
                <w:szCs w:val="21"/>
                <w:vertAlign w:val="baseline"/>
              </w:rPr>
              <w:t>;</w:t>
            </w:r>
            <w:r>
              <w:rPr>
                <w:rFonts w:hint="eastAsia" w:cs="Times New Roman"/>
                <w:szCs w:val="21"/>
                <w:vertAlign w:val="baseline"/>
                <w:lang w:val="en-US" w:eastAsia="zh-CN"/>
              </w:rPr>
              <w:t xml:space="preserve"> </w:t>
            </w:r>
            <w:r>
              <w:rPr>
                <w:rFonts w:hint="default" w:ascii="Times New Roman" w:hAnsi="Times New Roman" w:eastAsia="宋体" w:cs="Times New Roman"/>
                <w:szCs w:val="21"/>
                <w:vertAlign w:val="baseline"/>
              </w:rPr>
              <w:t>定性和定量</w:t>
            </w:r>
            <w:r>
              <w:rPr>
                <w:rFonts w:hint="eastAsia"/>
                <w:kern w:val="0"/>
                <w:sz w:val="21"/>
                <w:szCs w:val="21"/>
              </w:rPr>
              <w:sym w:font="Wingdings" w:char="00FE"/>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0" w:type="dxa"/>
            <w:vMerge w:val="continue"/>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rPr>
            </w:pPr>
          </w:p>
        </w:tc>
        <w:tc>
          <w:tcPr>
            <w:tcW w:w="1107"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评价内容</w:t>
            </w:r>
          </w:p>
        </w:tc>
        <w:tc>
          <w:tcPr>
            <w:tcW w:w="7299"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Cs w:val="21"/>
                <w:vertAlign w:val="baseline"/>
              </w:rPr>
            </w:pPr>
            <w:r>
              <w:rPr>
                <w:rFonts w:hint="default" w:ascii="Times New Roman" w:hAnsi="Times New Roman" w:eastAsia="宋体" w:cs="Times New Roman"/>
                <w:szCs w:val="21"/>
                <w:vertAlign w:val="baseline"/>
              </w:rPr>
              <w:t>植被/植物群落</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ascii="Times New Roman" w:hAnsi="Times New Roman" w:eastAsia="宋体" w:cs="Times New Roman"/>
                <w:szCs w:val="21"/>
                <w:vertAlign w:val="baseline"/>
                <w:lang w:val="en-US" w:eastAsia="zh-CN"/>
              </w:rPr>
              <w:t xml:space="preserve"> </w:t>
            </w:r>
            <w:r>
              <w:rPr>
                <w:rFonts w:hint="default" w:ascii="Times New Roman" w:hAnsi="Times New Roman" w:eastAsia="宋体" w:cs="Times New Roman"/>
                <w:szCs w:val="21"/>
                <w:vertAlign w:val="baseline"/>
              </w:rPr>
              <w:t>土地利用</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ascii="Times New Roman" w:hAnsi="Times New Roman" w:eastAsia="宋体" w:cs="Times New Roman"/>
                <w:szCs w:val="21"/>
                <w:vertAlign w:val="baseline"/>
                <w:lang w:val="en-US" w:eastAsia="zh-CN"/>
              </w:rPr>
              <w:t xml:space="preserve"> </w:t>
            </w:r>
            <w:r>
              <w:rPr>
                <w:rFonts w:hint="default" w:ascii="Times New Roman" w:hAnsi="Times New Roman" w:eastAsia="宋体" w:cs="Times New Roman"/>
                <w:szCs w:val="21"/>
                <w:vertAlign w:val="baseline"/>
              </w:rPr>
              <w:t>生态系统</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ascii="Times New Roman" w:hAnsi="Times New Roman" w:eastAsia="宋体" w:cs="Times New Roman"/>
                <w:szCs w:val="21"/>
                <w:vertAlign w:val="baseline"/>
                <w:lang w:val="en-US" w:eastAsia="zh-CN"/>
              </w:rPr>
              <w:t xml:space="preserve"> </w:t>
            </w:r>
            <w:r>
              <w:rPr>
                <w:rFonts w:hint="default" w:ascii="Times New Roman" w:hAnsi="Times New Roman" w:eastAsia="宋体" w:cs="Times New Roman"/>
                <w:szCs w:val="21"/>
                <w:vertAlign w:val="baseline"/>
              </w:rPr>
              <w:t>生物多样性</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ascii="Times New Roman" w:hAnsi="Times New Roman" w:eastAsia="宋体" w:cs="Times New Roman"/>
                <w:szCs w:val="21"/>
                <w:vertAlign w:val="baseline"/>
                <w:lang w:val="en-US" w:eastAsia="zh-CN"/>
              </w:rPr>
              <w:t xml:space="preserve"> </w:t>
            </w:r>
            <w:r>
              <w:rPr>
                <w:rFonts w:hint="default" w:ascii="Times New Roman" w:hAnsi="Times New Roman" w:eastAsia="宋体" w:cs="Times New Roman"/>
                <w:szCs w:val="21"/>
                <w:vertAlign w:val="baseline"/>
              </w:rPr>
              <w:t>重要物种</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ascii="Times New Roman" w:hAnsi="Times New Roman" w:eastAsia="宋体" w:cs="Times New Roman"/>
                <w:szCs w:val="21"/>
                <w:vertAlign w:val="baseline"/>
                <w:lang w:val="en-US" w:eastAsia="zh-CN"/>
              </w:rPr>
              <w:t xml:space="preserve"> </w:t>
            </w:r>
            <w:r>
              <w:rPr>
                <w:rFonts w:hint="default" w:ascii="Times New Roman" w:hAnsi="Times New Roman" w:eastAsia="宋体" w:cs="Times New Roman"/>
                <w:szCs w:val="21"/>
                <w:vertAlign w:val="baseline"/>
              </w:rPr>
              <w:t>生态敏感区</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ascii="Times New Roman" w:hAnsi="Times New Roman" w:eastAsia="宋体" w:cs="Times New Roman"/>
                <w:szCs w:val="21"/>
                <w:vertAlign w:val="baseline"/>
                <w:lang w:val="en-US" w:eastAsia="zh-CN"/>
              </w:rPr>
              <w:t xml:space="preserve"> </w:t>
            </w:r>
            <w:r>
              <w:rPr>
                <w:rFonts w:hint="default" w:ascii="Times New Roman" w:hAnsi="Times New Roman" w:eastAsia="宋体" w:cs="Times New Roman"/>
                <w:szCs w:val="21"/>
                <w:vertAlign w:val="baseline"/>
              </w:rPr>
              <w:t>生物入侵风险</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ascii="Times New Roman" w:hAnsi="Times New Roman" w:eastAsia="宋体" w:cs="Times New Roman"/>
                <w:szCs w:val="21"/>
                <w:vertAlign w:val="baseline"/>
                <w:lang w:val="en-US" w:eastAsia="zh-CN"/>
              </w:rPr>
              <w:t xml:space="preserve"> </w:t>
            </w:r>
            <w:r>
              <w:rPr>
                <w:rFonts w:hint="default" w:ascii="Times New Roman" w:hAnsi="Times New Roman" w:eastAsia="宋体" w:cs="Times New Roman"/>
                <w:szCs w:val="21"/>
                <w:vertAlign w:val="baseline"/>
              </w:rPr>
              <w:t>其他</w:t>
            </w:r>
            <w:r>
              <w:rPr>
                <w:rFonts w:hint="eastAsia"/>
                <w:kern w:val="0"/>
                <w:sz w:val="21"/>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0" w:type="dxa"/>
            <w:vMerge w:val="restart"/>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生态保护对策措施</w:t>
            </w:r>
          </w:p>
        </w:tc>
        <w:tc>
          <w:tcPr>
            <w:tcW w:w="1107"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Cs w:val="21"/>
                <w:vertAlign w:val="baseline"/>
                <w:lang w:val="en-US" w:eastAsia="zh-CN"/>
              </w:rPr>
            </w:pPr>
            <w:r>
              <w:rPr>
                <w:rFonts w:hint="eastAsia" w:cs="Times New Roman"/>
                <w:szCs w:val="21"/>
                <w:vertAlign w:val="baseline"/>
                <w:lang w:val="en-US" w:eastAsia="zh-CN"/>
              </w:rPr>
              <w:t>对策措施</w:t>
            </w:r>
          </w:p>
        </w:tc>
        <w:tc>
          <w:tcPr>
            <w:tcW w:w="7299"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Cs w:val="21"/>
                <w:vertAlign w:val="baseline"/>
              </w:rPr>
            </w:pPr>
            <w:r>
              <w:rPr>
                <w:rFonts w:hint="default" w:ascii="Times New Roman" w:hAnsi="Times New Roman" w:eastAsia="宋体" w:cs="Times New Roman"/>
                <w:szCs w:val="21"/>
                <w:vertAlign w:val="baseline"/>
              </w:rPr>
              <w:t>避让</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ascii="Times New Roman" w:hAnsi="Times New Roman" w:eastAsia="宋体" w:cs="Times New Roman"/>
                <w:szCs w:val="21"/>
                <w:vertAlign w:val="baseline"/>
                <w:lang w:val="en-US" w:eastAsia="zh-CN"/>
              </w:rPr>
              <w:t xml:space="preserve"> </w:t>
            </w:r>
            <w:r>
              <w:rPr>
                <w:rFonts w:hint="default" w:ascii="Times New Roman" w:hAnsi="Times New Roman" w:eastAsia="宋体" w:cs="Times New Roman"/>
                <w:szCs w:val="21"/>
                <w:vertAlign w:val="baseline"/>
              </w:rPr>
              <w:t>减缓</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ascii="Times New Roman" w:hAnsi="Times New Roman" w:eastAsia="宋体" w:cs="Times New Roman"/>
                <w:szCs w:val="21"/>
                <w:vertAlign w:val="baseline"/>
                <w:lang w:val="en-US" w:eastAsia="zh-CN"/>
              </w:rPr>
              <w:t xml:space="preserve"> </w:t>
            </w:r>
            <w:r>
              <w:rPr>
                <w:rFonts w:hint="default" w:ascii="Times New Roman" w:hAnsi="Times New Roman" w:eastAsia="宋体" w:cs="Times New Roman"/>
                <w:szCs w:val="21"/>
                <w:vertAlign w:val="baseline"/>
              </w:rPr>
              <w:t>生态修复</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ascii="Times New Roman" w:hAnsi="Times New Roman" w:eastAsia="宋体" w:cs="Times New Roman"/>
                <w:szCs w:val="21"/>
                <w:vertAlign w:val="baseline"/>
                <w:lang w:val="en-US" w:eastAsia="zh-CN"/>
              </w:rPr>
              <w:t xml:space="preserve"> </w:t>
            </w:r>
            <w:r>
              <w:rPr>
                <w:rFonts w:hint="default" w:ascii="Times New Roman" w:hAnsi="Times New Roman" w:eastAsia="宋体" w:cs="Times New Roman"/>
                <w:szCs w:val="21"/>
                <w:vertAlign w:val="baseline"/>
              </w:rPr>
              <w:t>生态补偿</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ascii="Times New Roman" w:hAnsi="Times New Roman" w:eastAsia="宋体" w:cs="Times New Roman"/>
                <w:szCs w:val="21"/>
                <w:vertAlign w:val="baseline"/>
                <w:lang w:val="en-US" w:eastAsia="zh-CN"/>
              </w:rPr>
              <w:t xml:space="preserve"> </w:t>
            </w:r>
            <w:r>
              <w:rPr>
                <w:rFonts w:hint="default" w:ascii="Times New Roman" w:hAnsi="Times New Roman" w:eastAsia="宋体" w:cs="Times New Roman"/>
                <w:szCs w:val="21"/>
                <w:vertAlign w:val="baseline"/>
              </w:rPr>
              <w:t>科研</w:t>
            </w:r>
            <w:r>
              <w:rPr>
                <w:rFonts w:hint="eastAsia"/>
                <w:kern w:val="0"/>
                <w:sz w:val="21"/>
                <w:szCs w:val="21"/>
              </w:rPr>
              <w:sym w:font="Wingdings" w:char="00A8"/>
            </w:r>
            <w:r>
              <w:rPr>
                <w:rFonts w:hint="default" w:ascii="Times New Roman" w:hAnsi="Times New Roman" w:eastAsia="宋体" w:cs="Times New Roman"/>
                <w:szCs w:val="21"/>
                <w:vertAlign w:val="baseline"/>
              </w:rPr>
              <w:t>;</w:t>
            </w:r>
            <w:r>
              <w:rPr>
                <w:rFonts w:hint="eastAsia" w:ascii="Times New Roman" w:hAnsi="Times New Roman" w:eastAsia="宋体" w:cs="Times New Roman"/>
                <w:szCs w:val="21"/>
                <w:vertAlign w:val="baseline"/>
                <w:lang w:val="en-US" w:eastAsia="zh-CN"/>
              </w:rPr>
              <w:t xml:space="preserve"> </w:t>
            </w:r>
            <w:r>
              <w:rPr>
                <w:rFonts w:hint="default" w:ascii="Times New Roman" w:hAnsi="Times New Roman" w:eastAsia="宋体" w:cs="Times New Roman"/>
                <w:szCs w:val="21"/>
                <w:vertAlign w:val="baseline"/>
              </w:rPr>
              <w:t>其他</w:t>
            </w:r>
            <w:r>
              <w:rPr>
                <w:rFonts w:hint="eastAsia"/>
                <w:kern w:val="0"/>
                <w:sz w:val="21"/>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0" w:type="dxa"/>
            <w:vMerge w:val="continue"/>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rPr>
            </w:pPr>
          </w:p>
        </w:tc>
        <w:tc>
          <w:tcPr>
            <w:tcW w:w="1107"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生态监测计划</w:t>
            </w:r>
          </w:p>
        </w:tc>
        <w:tc>
          <w:tcPr>
            <w:tcW w:w="7299"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Cs w:val="21"/>
                <w:vertAlign w:val="baseline"/>
              </w:rPr>
            </w:pPr>
            <w:r>
              <w:rPr>
                <w:rFonts w:hint="default" w:ascii="Times New Roman" w:hAnsi="Times New Roman" w:eastAsia="宋体" w:cs="Times New Roman"/>
                <w:szCs w:val="21"/>
                <w:vertAlign w:val="baseline"/>
              </w:rPr>
              <w:t>全生命周期</w:t>
            </w:r>
            <w:r>
              <w:rPr>
                <w:rFonts w:hint="eastAsia"/>
                <w:kern w:val="0"/>
                <w:sz w:val="21"/>
                <w:szCs w:val="21"/>
              </w:rPr>
              <w:sym w:font="Wingdings" w:char="00A8"/>
            </w:r>
            <w:r>
              <w:rPr>
                <w:rFonts w:hint="default" w:ascii="Times New Roman" w:hAnsi="Times New Roman" w:eastAsia="宋体" w:cs="Times New Roman"/>
                <w:szCs w:val="21"/>
                <w:vertAlign w:val="baseline"/>
              </w:rPr>
              <w:t>;</w:t>
            </w:r>
            <w:r>
              <w:rPr>
                <w:rFonts w:hint="eastAsia" w:ascii="Times New Roman" w:hAnsi="Times New Roman" w:eastAsia="宋体" w:cs="Times New Roman"/>
                <w:szCs w:val="21"/>
                <w:vertAlign w:val="baseline"/>
                <w:lang w:val="en-US" w:eastAsia="zh-CN"/>
              </w:rPr>
              <w:t xml:space="preserve"> </w:t>
            </w:r>
            <w:r>
              <w:rPr>
                <w:rFonts w:hint="default" w:ascii="Times New Roman" w:hAnsi="Times New Roman" w:eastAsia="宋体" w:cs="Times New Roman"/>
                <w:szCs w:val="21"/>
                <w:vertAlign w:val="baseline"/>
              </w:rPr>
              <w:t>长期跟踪</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ascii="Times New Roman" w:hAnsi="Times New Roman" w:eastAsia="宋体" w:cs="Times New Roman"/>
                <w:szCs w:val="21"/>
                <w:vertAlign w:val="baseline"/>
                <w:lang w:val="en-US" w:eastAsia="zh-CN"/>
              </w:rPr>
              <w:t xml:space="preserve"> </w:t>
            </w:r>
            <w:r>
              <w:rPr>
                <w:rFonts w:hint="default" w:ascii="Times New Roman" w:hAnsi="Times New Roman" w:eastAsia="宋体" w:cs="Times New Roman"/>
                <w:szCs w:val="21"/>
                <w:vertAlign w:val="baseline"/>
              </w:rPr>
              <w:t>常规</w:t>
            </w:r>
            <w:r>
              <w:rPr>
                <w:rFonts w:hint="eastAsia"/>
                <w:kern w:val="0"/>
                <w:sz w:val="21"/>
                <w:szCs w:val="21"/>
              </w:rPr>
              <w:sym w:font="Wingdings" w:char="00A8"/>
            </w:r>
            <w:r>
              <w:rPr>
                <w:rFonts w:hint="default" w:ascii="Times New Roman" w:hAnsi="Times New Roman" w:eastAsia="宋体" w:cs="Times New Roman"/>
                <w:szCs w:val="21"/>
                <w:vertAlign w:val="baseline"/>
              </w:rPr>
              <w:t>;</w:t>
            </w:r>
            <w:r>
              <w:rPr>
                <w:rFonts w:hint="eastAsia" w:ascii="Times New Roman" w:hAnsi="Times New Roman" w:eastAsia="宋体" w:cs="Times New Roman"/>
                <w:szCs w:val="21"/>
                <w:vertAlign w:val="baseline"/>
                <w:lang w:val="en-US" w:eastAsia="zh-CN"/>
              </w:rPr>
              <w:t xml:space="preserve"> </w:t>
            </w:r>
            <w:r>
              <w:rPr>
                <w:rFonts w:hint="default" w:ascii="Times New Roman" w:hAnsi="Times New Roman" w:eastAsia="宋体" w:cs="Times New Roman"/>
                <w:szCs w:val="21"/>
                <w:vertAlign w:val="baseline"/>
              </w:rPr>
              <w:t>无</w:t>
            </w:r>
            <w:r>
              <w:rPr>
                <w:rFonts w:hint="eastAsia"/>
                <w:kern w:val="0"/>
                <w:sz w:val="21"/>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0" w:type="dxa"/>
            <w:vMerge w:val="continue"/>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rPr>
            </w:pPr>
          </w:p>
        </w:tc>
        <w:tc>
          <w:tcPr>
            <w:tcW w:w="1107"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环境管理</w:t>
            </w:r>
          </w:p>
        </w:tc>
        <w:tc>
          <w:tcPr>
            <w:tcW w:w="7299"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Cs w:val="21"/>
                <w:vertAlign w:val="baseline"/>
              </w:rPr>
            </w:pPr>
            <w:r>
              <w:rPr>
                <w:rFonts w:hint="default" w:ascii="Times New Roman" w:hAnsi="Times New Roman" w:eastAsia="宋体" w:cs="Times New Roman"/>
                <w:szCs w:val="21"/>
                <w:vertAlign w:val="baseline"/>
              </w:rPr>
              <w:t>环境监理</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ascii="Times New Roman" w:hAnsi="Times New Roman" w:eastAsia="宋体" w:cs="Times New Roman"/>
                <w:szCs w:val="21"/>
                <w:vertAlign w:val="baseline"/>
                <w:lang w:val="en-US" w:eastAsia="zh-CN"/>
              </w:rPr>
              <w:t xml:space="preserve"> </w:t>
            </w:r>
            <w:r>
              <w:rPr>
                <w:rFonts w:hint="default" w:ascii="Times New Roman" w:hAnsi="Times New Roman" w:eastAsia="宋体" w:cs="Times New Roman"/>
                <w:szCs w:val="21"/>
                <w:vertAlign w:val="baseline"/>
              </w:rPr>
              <w:t>环境影响后评价</w:t>
            </w:r>
            <w:r>
              <w:rPr>
                <w:rFonts w:hint="eastAsia"/>
                <w:kern w:val="0"/>
                <w:sz w:val="21"/>
                <w:szCs w:val="21"/>
              </w:rPr>
              <w:sym w:font="Wingdings" w:char="00A8"/>
            </w:r>
            <w:r>
              <w:rPr>
                <w:rFonts w:hint="default" w:ascii="Times New Roman" w:hAnsi="Times New Roman" w:eastAsia="宋体" w:cs="Times New Roman"/>
                <w:szCs w:val="21"/>
                <w:vertAlign w:val="baseline"/>
              </w:rPr>
              <w:t>;</w:t>
            </w:r>
            <w:r>
              <w:rPr>
                <w:rFonts w:hint="eastAsia" w:ascii="Times New Roman" w:hAnsi="Times New Roman" w:eastAsia="宋体" w:cs="Times New Roman"/>
                <w:szCs w:val="21"/>
                <w:vertAlign w:val="baseline"/>
                <w:lang w:val="en-US" w:eastAsia="zh-CN"/>
              </w:rPr>
              <w:t xml:space="preserve"> </w:t>
            </w:r>
            <w:r>
              <w:rPr>
                <w:rFonts w:hint="default" w:ascii="Times New Roman" w:hAnsi="Times New Roman" w:eastAsia="宋体" w:cs="Times New Roman"/>
                <w:szCs w:val="21"/>
                <w:vertAlign w:val="baseline"/>
              </w:rPr>
              <w:t>其他</w:t>
            </w:r>
            <w:r>
              <w:rPr>
                <w:rFonts w:hint="eastAsia"/>
                <w:kern w:val="0"/>
                <w:sz w:val="21"/>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0"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评价结论</w:t>
            </w:r>
          </w:p>
        </w:tc>
        <w:tc>
          <w:tcPr>
            <w:tcW w:w="1107"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生态影响</w:t>
            </w:r>
          </w:p>
        </w:tc>
        <w:tc>
          <w:tcPr>
            <w:tcW w:w="7299" w:type="dxa"/>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可行</w:t>
            </w:r>
            <w:r>
              <w:rPr>
                <w:rFonts w:hint="eastAsia"/>
                <w:kern w:val="0"/>
                <w:sz w:val="21"/>
                <w:szCs w:val="21"/>
              </w:rPr>
              <w:sym w:font="Wingdings" w:char="00FE"/>
            </w:r>
            <w:r>
              <w:rPr>
                <w:rFonts w:hint="default" w:ascii="Times New Roman" w:hAnsi="Times New Roman" w:eastAsia="宋体" w:cs="Times New Roman"/>
                <w:szCs w:val="21"/>
                <w:vertAlign w:val="baseline"/>
              </w:rPr>
              <w:t>;</w:t>
            </w:r>
            <w:r>
              <w:rPr>
                <w:rFonts w:hint="eastAsia" w:ascii="Times New Roman" w:hAnsi="Times New Roman" w:eastAsia="宋体" w:cs="Times New Roman"/>
                <w:szCs w:val="21"/>
                <w:vertAlign w:val="baseline"/>
                <w:lang w:val="en-US" w:eastAsia="zh-CN"/>
              </w:rPr>
              <w:t xml:space="preserve"> </w:t>
            </w:r>
            <w:r>
              <w:rPr>
                <w:rFonts w:hint="eastAsia" w:cs="Times New Roman"/>
                <w:szCs w:val="21"/>
                <w:vertAlign w:val="baseline"/>
                <w:lang w:val="en-US" w:eastAsia="zh-CN"/>
              </w:rPr>
              <w:t xml:space="preserve"> 不可行</w:t>
            </w:r>
            <w:r>
              <w:rPr>
                <w:rFonts w:hint="eastAsia"/>
                <w:kern w:val="0"/>
                <w:sz w:val="21"/>
                <w:szCs w:val="21"/>
              </w:rPr>
              <w:sym w:font="Wingdings" w:char="00A8"/>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286" w:type="dxa"/>
            <w:gridSpan w:val="3"/>
            <w:tcBorders>
              <w:tl2br w:val="nil"/>
              <w:tr2bl w:val="nil"/>
            </w:tcBorders>
            <w:vAlign w:val="center"/>
          </w:tcPr>
          <w:p>
            <w:pPr>
              <w:pStyle w:val="3586"/>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cs="Times New Roman"/>
                <w:szCs w:val="21"/>
                <w:vertAlign w:val="baseline"/>
                <w:lang w:val="en-US" w:eastAsia="zh-CN"/>
              </w:rPr>
            </w:pPr>
            <w:r>
              <w:rPr>
                <w:rFonts w:hint="eastAsia" w:cs="Times New Roman"/>
                <w:szCs w:val="21"/>
                <w:vertAlign w:val="baseline"/>
                <w:lang w:val="en-US" w:eastAsia="zh-CN"/>
              </w:rPr>
              <w:t>注：“”为勾选项，可√；“（   ）”为内容填写项</w:t>
            </w:r>
          </w:p>
        </w:tc>
      </w:tr>
    </w:tbl>
    <w:p>
      <w:pPr>
        <w:pStyle w:val="453"/>
        <w:ind w:firstLine="643" w:firstLineChars="0"/>
        <w:rPr>
          <w:rFonts w:ascii="Times New Roman" w:cs="Times New Roman"/>
        </w:rPr>
      </w:pPr>
      <w:bookmarkStart w:id="218" w:name="_Toc27103"/>
      <w:bookmarkStart w:id="219" w:name="_Toc106697026"/>
      <w:bookmarkStart w:id="220" w:name="_Toc14211"/>
      <w:r>
        <w:rPr>
          <w:rFonts w:ascii="Times New Roman" w:cs="Times New Roman"/>
        </w:rPr>
        <w:t>环境风险影响预测与评价</w:t>
      </w:r>
      <w:bookmarkEnd w:id="218"/>
      <w:bookmarkEnd w:id="219"/>
      <w:bookmarkEnd w:id="220"/>
    </w:p>
    <w:p>
      <w:pPr>
        <w:pStyle w:val="458"/>
        <w:ind w:firstLine="480"/>
        <w:rPr>
          <w:rFonts w:cs="Times New Roman"/>
          <w:color w:val="auto"/>
        </w:rPr>
      </w:pPr>
      <w:r>
        <w:rPr>
          <w:rFonts w:cs="Times New Roman"/>
          <w:color w:val="auto"/>
        </w:rPr>
        <w:t>根据《关于进一步加强环境影响评价管理防范环境风险的通知》（环发[2012]77号）和《关于切实加强风险防范严格环境影响评价管理的通知》（环发[2012]98号）等文件的精神和要求，以《建设项目环境风险评价技术导则》（HJ 169-2018）为依据，本报告对建设项目的生产设施进行风险识别、风险分析和对环境影响后果计算等方法进行环境风险评价，了解其环境风险的可接受程度，提出减少风险的事故应急措施及社会应急预案，为工程设计和环境管理提供资料和依据，以期达到降低危险，减少公害的目的。</w:t>
      </w:r>
    </w:p>
    <w:p>
      <w:pPr>
        <w:pStyle w:val="458"/>
        <w:ind w:firstLine="480"/>
        <w:rPr>
          <w:rFonts w:cs="Times New Roman"/>
          <w:color w:val="auto"/>
        </w:rPr>
      </w:pPr>
      <w:r>
        <w:rPr>
          <w:rFonts w:cs="Times New Roman"/>
          <w:color w:val="auto"/>
        </w:rPr>
        <w:t>根据《建设项目环境风险评价技术导则》（HJ 169-2018）的要求，以及《国家环保总局关于加强环境影响评价管理防范环境风险的通知》要求，本次风险评价通过分析项目中主要物料的危险性和毒性，识别潜在危险，划分评价等级，着重评价事故引起的风险、环境质量的恶化及对生态系统的影响，并提出合理可行的防范与应急措施，以使建设项目事故率、损失和环境影响达到可接受水平。</w:t>
      </w:r>
    </w:p>
    <w:p>
      <w:pPr>
        <w:pStyle w:val="454"/>
        <w:ind w:firstLine="602"/>
        <w:rPr>
          <w:color w:val="auto"/>
        </w:rPr>
      </w:pPr>
      <w:r>
        <w:rPr>
          <w:color w:val="auto"/>
        </w:rPr>
        <w:t>风险识别</w:t>
      </w:r>
    </w:p>
    <w:p>
      <w:pPr>
        <w:pStyle w:val="456"/>
        <w:ind w:firstLine="482"/>
      </w:pPr>
      <w:r>
        <w:t>风险调查</w:t>
      </w:r>
    </w:p>
    <w:p>
      <w:pPr>
        <w:pStyle w:val="458"/>
        <w:ind w:firstLine="480"/>
        <w:rPr>
          <w:rFonts w:cs="Times New Roman"/>
          <w:color w:val="auto"/>
          <w:szCs w:val="24"/>
        </w:rPr>
      </w:pPr>
      <w:r>
        <w:rPr>
          <w:rFonts w:cs="Times New Roman"/>
          <w:color w:val="auto"/>
          <w:szCs w:val="24"/>
        </w:rPr>
        <w:t>本项目运营货种主要为</w:t>
      </w:r>
      <w:r>
        <w:rPr>
          <w:rFonts w:hint="eastAsia" w:cs="Times New Roman"/>
          <w:color w:val="auto"/>
          <w:szCs w:val="24"/>
        </w:rPr>
        <w:t>散货</w:t>
      </w:r>
      <w:r>
        <w:rPr>
          <w:rFonts w:cs="Times New Roman"/>
          <w:color w:val="auto"/>
          <w:szCs w:val="24"/>
        </w:rPr>
        <w:t>，不涉及易燃易爆品、有毒物品的运输、装卸。施工期和营运期发生风险事故的可能性主要是溢油事故。</w:t>
      </w:r>
      <w:r>
        <w:rPr>
          <w:rFonts w:cs="Times New Roman"/>
          <w:color w:val="auto"/>
        </w:rPr>
        <w:t>一方面</w:t>
      </w:r>
      <w:r>
        <w:rPr>
          <w:rFonts w:cs="Times New Roman"/>
          <w:color w:val="auto"/>
          <w:spacing w:val="-12"/>
        </w:rPr>
        <w:t>，</w:t>
      </w:r>
      <w:r>
        <w:rPr>
          <w:rFonts w:cs="Times New Roman"/>
          <w:color w:val="auto"/>
        </w:rPr>
        <w:t>船舶在作业或行进时</w:t>
      </w:r>
      <w:r>
        <w:rPr>
          <w:rFonts w:cs="Times New Roman"/>
          <w:color w:val="auto"/>
          <w:spacing w:val="-14"/>
        </w:rPr>
        <w:t>，</w:t>
      </w:r>
      <w:r>
        <w:rPr>
          <w:rFonts w:cs="Times New Roman"/>
          <w:color w:val="auto"/>
        </w:rPr>
        <w:t>由于管理疏忽</w:t>
      </w:r>
      <w:r>
        <w:rPr>
          <w:rFonts w:cs="Times New Roman"/>
          <w:color w:val="auto"/>
          <w:spacing w:val="-12"/>
        </w:rPr>
        <w:t>、</w:t>
      </w:r>
      <w:r>
        <w:rPr>
          <w:rFonts w:cs="Times New Roman"/>
          <w:color w:val="auto"/>
        </w:rPr>
        <w:t>操作违反规程或失误等原因会引起石油类跑</w:t>
      </w:r>
      <w:r>
        <w:rPr>
          <w:rFonts w:cs="Times New Roman"/>
          <w:color w:val="auto"/>
          <w:spacing w:val="-12"/>
        </w:rPr>
        <w:t>、</w:t>
      </w:r>
      <w:r>
        <w:rPr>
          <w:rFonts w:cs="Times New Roman"/>
          <w:color w:val="auto"/>
        </w:rPr>
        <w:t>冒</w:t>
      </w:r>
      <w:r>
        <w:rPr>
          <w:rFonts w:cs="Times New Roman"/>
          <w:color w:val="auto"/>
          <w:spacing w:val="-12"/>
        </w:rPr>
        <w:t>、</w:t>
      </w:r>
      <w:r>
        <w:rPr>
          <w:rFonts w:cs="Times New Roman"/>
          <w:color w:val="auto"/>
        </w:rPr>
        <w:t>滴</w:t>
      </w:r>
      <w:r>
        <w:rPr>
          <w:rFonts w:cs="Times New Roman"/>
          <w:color w:val="auto"/>
          <w:spacing w:val="-12"/>
        </w:rPr>
        <w:t>、</w:t>
      </w:r>
      <w:r>
        <w:rPr>
          <w:rFonts w:cs="Times New Roman"/>
          <w:color w:val="auto"/>
          <w:spacing w:val="-2"/>
        </w:rPr>
        <w:t>漏</w:t>
      </w:r>
      <w:r>
        <w:rPr>
          <w:rFonts w:cs="Times New Roman"/>
          <w:color w:val="auto"/>
        </w:rPr>
        <w:t>事故</w:t>
      </w:r>
      <w:r>
        <w:rPr>
          <w:rFonts w:cs="Times New Roman"/>
          <w:color w:val="auto"/>
          <w:spacing w:val="-12"/>
        </w:rPr>
        <w:t>，</w:t>
      </w:r>
      <w:r>
        <w:rPr>
          <w:rFonts w:cs="Times New Roman"/>
          <w:color w:val="auto"/>
        </w:rPr>
        <w:t>这类溢油事故对环境影响相对较小</w:t>
      </w:r>
      <w:r>
        <w:rPr>
          <w:rFonts w:cs="Times New Roman"/>
          <w:color w:val="auto"/>
          <w:spacing w:val="-12"/>
        </w:rPr>
        <w:t>，</w:t>
      </w:r>
      <w:r>
        <w:rPr>
          <w:rFonts w:cs="Times New Roman"/>
          <w:color w:val="auto"/>
        </w:rPr>
        <w:t>但也会对水域造成油污染</w:t>
      </w:r>
      <w:r>
        <w:rPr>
          <w:rFonts w:cs="Times New Roman"/>
          <w:color w:val="auto"/>
          <w:spacing w:val="-12"/>
        </w:rPr>
        <w:t>；</w:t>
      </w:r>
      <w:r>
        <w:rPr>
          <w:rFonts w:cs="Times New Roman"/>
          <w:color w:val="auto"/>
        </w:rPr>
        <w:t>另一方面</w:t>
      </w:r>
      <w:r>
        <w:rPr>
          <w:rFonts w:cs="Times New Roman"/>
          <w:color w:val="auto"/>
          <w:spacing w:val="-14"/>
        </w:rPr>
        <w:t>，</w:t>
      </w:r>
      <w:r>
        <w:rPr>
          <w:rFonts w:cs="Times New Roman"/>
          <w:color w:val="auto"/>
        </w:rPr>
        <w:t>由于船舶本身出现设施损废</w:t>
      </w:r>
      <w:r>
        <w:rPr>
          <w:rFonts w:cs="Times New Roman"/>
          <w:color w:val="auto"/>
          <w:spacing w:val="-17"/>
        </w:rPr>
        <w:t>，</w:t>
      </w:r>
      <w:r>
        <w:rPr>
          <w:rFonts w:cs="Times New Roman"/>
          <w:color w:val="auto"/>
        </w:rPr>
        <w:t>或者发生船舶碰撞</w:t>
      </w:r>
      <w:r>
        <w:rPr>
          <w:rFonts w:cs="Times New Roman"/>
          <w:color w:val="auto"/>
          <w:spacing w:val="-17"/>
        </w:rPr>
        <w:t>，</w:t>
      </w:r>
      <w:r>
        <w:rPr>
          <w:rFonts w:cs="Times New Roman"/>
          <w:color w:val="auto"/>
        </w:rPr>
        <w:t>有可能使油类溢出造成污染</w:t>
      </w:r>
      <w:r>
        <w:rPr>
          <w:rFonts w:cs="Times New Roman"/>
          <w:color w:val="auto"/>
          <w:spacing w:val="-17"/>
        </w:rPr>
        <w:t>，</w:t>
      </w:r>
      <w:r>
        <w:rPr>
          <w:rFonts w:cs="Times New Roman"/>
          <w:color w:val="auto"/>
        </w:rPr>
        <w:t>这类事故产生的环境影响较大</w:t>
      </w:r>
      <w:r>
        <w:rPr>
          <w:rFonts w:cs="Times New Roman"/>
          <w:color w:val="auto"/>
          <w:szCs w:val="24"/>
        </w:rPr>
        <w:t>。</w:t>
      </w:r>
    </w:p>
    <w:p>
      <w:pPr>
        <w:pStyle w:val="458"/>
        <w:ind w:firstLine="480"/>
        <w:rPr>
          <w:rFonts w:cs="Times New Roman"/>
          <w:color w:val="auto"/>
          <w:szCs w:val="24"/>
        </w:rPr>
      </w:pPr>
      <w:r>
        <w:rPr>
          <w:rFonts w:cs="Times New Roman"/>
          <w:color w:val="auto"/>
          <w:szCs w:val="24"/>
        </w:rPr>
        <w:t>经过危险物质识别和生产过程分析，结合《危险化学品重大危险源辨识》（GB18218-2018）和《危险货物品名表》（GB12268-2012），本风险分析以柴油为例作为本项目的主要重大危险源辨识相关物质。</w:t>
      </w:r>
    </w:p>
    <w:p>
      <w:pPr>
        <w:pStyle w:val="458"/>
        <w:ind w:firstLine="480"/>
        <w:rPr>
          <w:rFonts w:cs="Times New Roman"/>
          <w:color w:val="auto"/>
          <w:szCs w:val="24"/>
        </w:rPr>
      </w:pPr>
      <w:r>
        <w:rPr>
          <w:rFonts w:cs="Times New Roman"/>
          <w:color w:val="auto"/>
          <w:szCs w:val="24"/>
        </w:rPr>
        <w:t>柴油的理化和毒理性质见下表，可以看出柴油属于低毒类物质，火灾类别属于丙A类物质。</w:t>
      </w:r>
    </w:p>
    <w:p>
      <w:pPr>
        <w:pStyle w:val="3586"/>
        <w:ind w:left="0"/>
      </w:pPr>
      <w:r>
        <w:t>柴油的理化和毒理性质</w:t>
      </w:r>
    </w:p>
    <w:tbl>
      <w:tblPr>
        <w:tblStyle w:val="3596"/>
        <w:tblW w:w="925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50"/>
        <w:gridCol w:w="2037"/>
        <w:gridCol w:w="587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Align w:val="center"/>
          </w:tcPr>
          <w:p>
            <w:pPr>
              <w:pStyle w:val="2691"/>
            </w:pPr>
            <w:r>
              <w:t>类别</w:t>
            </w:r>
          </w:p>
        </w:tc>
        <w:tc>
          <w:tcPr>
            <w:tcW w:w="2037" w:type="dxa"/>
            <w:vAlign w:val="center"/>
          </w:tcPr>
          <w:p>
            <w:pPr>
              <w:pStyle w:val="2691"/>
            </w:pPr>
            <w:r>
              <w:t>项目</w:t>
            </w:r>
          </w:p>
        </w:tc>
        <w:tc>
          <w:tcPr>
            <w:tcW w:w="5871" w:type="dxa"/>
            <w:vAlign w:val="center"/>
          </w:tcPr>
          <w:p>
            <w:pPr>
              <w:pStyle w:val="2691"/>
            </w:pPr>
            <w:r>
              <w:t>性质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Merge w:val="restart"/>
            <w:noWrap/>
            <w:vAlign w:val="center"/>
          </w:tcPr>
          <w:p>
            <w:pPr>
              <w:pStyle w:val="2691"/>
            </w:pPr>
            <w:r>
              <w:t>理化性质</w:t>
            </w:r>
          </w:p>
        </w:tc>
        <w:tc>
          <w:tcPr>
            <w:tcW w:w="2037" w:type="dxa"/>
            <w:vAlign w:val="center"/>
          </w:tcPr>
          <w:p>
            <w:pPr>
              <w:pStyle w:val="2691"/>
            </w:pPr>
            <w:r>
              <w:t>外观及性状</w:t>
            </w:r>
          </w:p>
        </w:tc>
        <w:tc>
          <w:tcPr>
            <w:tcW w:w="5871" w:type="dxa"/>
            <w:vAlign w:val="center"/>
          </w:tcPr>
          <w:p>
            <w:pPr>
              <w:pStyle w:val="2691"/>
            </w:pPr>
            <w:r>
              <w:t>稍有粘性的棕色液体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Merge w:val="continue"/>
            <w:vAlign w:val="center"/>
          </w:tcPr>
          <w:p>
            <w:pPr>
              <w:pStyle w:val="2691"/>
            </w:pPr>
          </w:p>
        </w:tc>
        <w:tc>
          <w:tcPr>
            <w:tcW w:w="2037" w:type="dxa"/>
            <w:vAlign w:val="center"/>
          </w:tcPr>
          <w:p>
            <w:pPr>
              <w:pStyle w:val="2691"/>
            </w:pPr>
            <w:r>
              <w:t>熔点/沸点℃</w:t>
            </w:r>
          </w:p>
        </w:tc>
        <w:tc>
          <w:tcPr>
            <w:tcW w:w="5871" w:type="dxa"/>
            <w:vAlign w:val="center"/>
          </w:tcPr>
          <w:p>
            <w:pPr>
              <w:pStyle w:val="2691"/>
            </w:pPr>
            <w:r>
              <w:t>-18/282~338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Merge w:val="continue"/>
            <w:noWrap/>
            <w:vAlign w:val="center"/>
          </w:tcPr>
          <w:p>
            <w:pPr>
              <w:pStyle w:val="2691"/>
            </w:pPr>
          </w:p>
        </w:tc>
        <w:tc>
          <w:tcPr>
            <w:tcW w:w="2037" w:type="dxa"/>
            <w:vAlign w:val="center"/>
          </w:tcPr>
          <w:p>
            <w:pPr>
              <w:pStyle w:val="2691"/>
            </w:pPr>
            <w:r>
              <w:t>相对密度</w:t>
            </w:r>
          </w:p>
        </w:tc>
        <w:tc>
          <w:tcPr>
            <w:tcW w:w="5871" w:type="dxa"/>
            <w:vAlign w:val="center"/>
          </w:tcPr>
          <w:p>
            <w:pPr>
              <w:pStyle w:val="2691"/>
            </w:pPr>
            <w:r>
              <w:t>对水0.87-0.9，对空气&gt;1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Merge w:val="continue"/>
            <w:noWrap/>
            <w:vAlign w:val="center"/>
          </w:tcPr>
          <w:p>
            <w:pPr>
              <w:pStyle w:val="2691"/>
            </w:pPr>
          </w:p>
        </w:tc>
        <w:tc>
          <w:tcPr>
            <w:tcW w:w="2037" w:type="dxa"/>
            <w:vAlign w:val="center"/>
          </w:tcPr>
          <w:p>
            <w:pPr>
              <w:pStyle w:val="2691"/>
            </w:pPr>
            <w:r>
              <w:t>溶解性</w:t>
            </w:r>
          </w:p>
        </w:tc>
        <w:tc>
          <w:tcPr>
            <w:tcW w:w="5871" w:type="dxa"/>
            <w:vAlign w:val="center"/>
          </w:tcPr>
          <w:p>
            <w:pPr>
              <w:pStyle w:val="2691"/>
            </w:pPr>
            <w:r>
              <w:t>不溶于水，易溶于苯、二硫化碳、醇、可混溶于脂肪</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Merge w:val="restart"/>
            <w:noWrap/>
            <w:vAlign w:val="center"/>
          </w:tcPr>
          <w:p>
            <w:pPr>
              <w:pStyle w:val="2691"/>
            </w:pPr>
            <w:r>
              <w:t>毒性及健康危害</w:t>
            </w:r>
          </w:p>
        </w:tc>
        <w:tc>
          <w:tcPr>
            <w:tcW w:w="2037" w:type="dxa"/>
            <w:vAlign w:val="center"/>
          </w:tcPr>
          <w:p>
            <w:pPr>
              <w:pStyle w:val="2691"/>
            </w:pPr>
            <w:r>
              <w:t>闪点℃</w:t>
            </w:r>
          </w:p>
        </w:tc>
        <w:tc>
          <w:tcPr>
            <w:tcW w:w="5871" w:type="dxa"/>
            <w:vAlign w:val="center"/>
          </w:tcPr>
          <w:p>
            <w:pPr>
              <w:pStyle w:val="2691"/>
            </w:pPr>
            <w:r>
              <w:t>大于60（35#柴油除外）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Merge w:val="continue"/>
            <w:noWrap/>
            <w:vAlign w:val="center"/>
          </w:tcPr>
          <w:p>
            <w:pPr>
              <w:pStyle w:val="2691"/>
            </w:pPr>
          </w:p>
        </w:tc>
        <w:tc>
          <w:tcPr>
            <w:tcW w:w="2037" w:type="dxa"/>
            <w:vAlign w:val="center"/>
          </w:tcPr>
          <w:p>
            <w:pPr>
              <w:pStyle w:val="2691"/>
            </w:pPr>
            <w:r>
              <w:t>引燃温度℃</w:t>
            </w:r>
          </w:p>
        </w:tc>
        <w:tc>
          <w:tcPr>
            <w:tcW w:w="5871" w:type="dxa"/>
            <w:vAlign w:val="center"/>
          </w:tcPr>
          <w:p>
            <w:pPr>
              <w:pStyle w:val="2691"/>
            </w:pPr>
            <w:r>
              <w:t>227~257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Merge w:val="continue"/>
            <w:vAlign w:val="center"/>
          </w:tcPr>
          <w:p>
            <w:pPr>
              <w:pStyle w:val="2691"/>
            </w:pPr>
          </w:p>
        </w:tc>
        <w:tc>
          <w:tcPr>
            <w:tcW w:w="2037" w:type="dxa"/>
            <w:vAlign w:val="center"/>
          </w:tcPr>
          <w:p>
            <w:pPr>
              <w:pStyle w:val="2691"/>
            </w:pPr>
            <w:r>
              <w:t>爆炸极限(vol%)</w:t>
            </w:r>
          </w:p>
        </w:tc>
        <w:tc>
          <w:tcPr>
            <w:tcW w:w="5871" w:type="dxa"/>
            <w:vAlign w:val="center"/>
          </w:tcPr>
          <w:p>
            <w:pPr>
              <w:pStyle w:val="2691"/>
            </w:pPr>
            <w:r>
              <w:t>1.4~4.5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Merge w:val="continue"/>
            <w:noWrap/>
            <w:vAlign w:val="center"/>
          </w:tcPr>
          <w:p>
            <w:pPr>
              <w:pStyle w:val="2691"/>
            </w:pPr>
          </w:p>
        </w:tc>
        <w:tc>
          <w:tcPr>
            <w:tcW w:w="2037" w:type="dxa"/>
            <w:vAlign w:val="center"/>
          </w:tcPr>
          <w:p>
            <w:pPr>
              <w:pStyle w:val="2691"/>
            </w:pPr>
            <w:r>
              <w:t>稳定性</w:t>
            </w:r>
          </w:p>
        </w:tc>
        <w:tc>
          <w:tcPr>
            <w:tcW w:w="5871" w:type="dxa"/>
            <w:vAlign w:val="center"/>
          </w:tcPr>
          <w:p>
            <w:pPr>
              <w:pStyle w:val="2691"/>
            </w:pPr>
            <w:r>
              <w:t>稳定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Merge w:val="continue"/>
            <w:noWrap/>
            <w:vAlign w:val="center"/>
          </w:tcPr>
          <w:p>
            <w:pPr>
              <w:pStyle w:val="2691"/>
            </w:pPr>
          </w:p>
        </w:tc>
        <w:tc>
          <w:tcPr>
            <w:tcW w:w="2037" w:type="dxa"/>
            <w:vAlign w:val="center"/>
          </w:tcPr>
          <w:p>
            <w:pPr>
              <w:pStyle w:val="2691"/>
            </w:pPr>
            <w:r>
              <w:t>侵入途径</w:t>
            </w:r>
          </w:p>
        </w:tc>
        <w:tc>
          <w:tcPr>
            <w:tcW w:w="5871" w:type="dxa"/>
            <w:vAlign w:val="center"/>
          </w:tcPr>
          <w:p>
            <w:pPr>
              <w:pStyle w:val="2691"/>
            </w:pPr>
            <w:r>
              <w:t>吸入、食入、经皮吸收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Merge w:val="continue"/>
            <w:noWrap/>
            <w:vAlign w:val="center"/>
          </w:tcPr>
          <w:p>
            <w:pPr>
              <w:pStyle w:val="2691"/>
            </w:pPr>
          </w:p>
        </w:tc>
        <w:tc>
          <w:tcPr>
            <w:tcW w:w="2037" w:type="dxa"/>
            <w:vAlign w:val="center"/>
          </w:tcPr>
          <w:p>
            <w:pPr>
              <w:pStyle w:val="2691"/>
            </w:pPr>
            <w:r>
              <w:t>毒性</w:t>
            </w:r>
          </w:p>
        </w:tc>
        <w:tc>
          <w:tcPr>
            <w:tcW w:w="5871" w:type="dxa"/>
            <w:vAlign w:val="center"/>
          </w:tcPr>
          <w:p>
            <w:pPr>
              <w:pStyle w:val="2691"/>
            </w:pPr>
            <w:r>
              <w:t>LD50：7500mg/kg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Merge w:val="continue"/>
            <w:noWrap/>
            <w:vAlign w:val="center"/>
          </w:tcPr>
          <w:p>
            <w:pPr>
              <w:pStyle w:val="2691"/>
            </w:pPr>
          </w:p>
        </w:tc>
        <w:tc>
          <w:tcPr>
            <w:tcW w:w="2037" w:type="dxa"/>
            <w:vAlign w:val="center"/>
          </w:tcPr>
          <w:p>
            <w:pPr>
              <w:pStyle w:val="2691"/>
            </w:pPr>
            <w:r>
              <w:t>健康危害</w:t>
            </w:r>
          </w:p>
        </w:tc>
        <w:tc>
          <w:tcPr>
            <w:tcW w:w="5871" w:type="dxa"/>
            <w:vAlign w:val="center"/>
          </w:tcPr>
          <w:p>
            <w:pPr>
              <w:pStyle w:val="2691"/>
            </w:pPr>
            <w:r>
              <w:t>皮肤接触可为主要吸收途径，可致急性肾脏损害。柴油可引起接触性皮炎、油性痤疮。吸入其雾滴或液体呛入可引起吸入性肺炎。能经胎盘进入胎儿血中。柴油废气可引起眼、鼻刺激症状，头晕及头痛。</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Merge w:val="continue"/>
            <w:noWrap/>
            <w:vAlign w:val="center"/>
          </w:tcPr>
          <w:p>
            <w:pPr>
              <w:pStyle w:val="2691"/>
            </w:pPr>
          </w:p>
        </w:tc>
        <w:tc>
          <w:tcPr>
            <w:tcW w:w="2037" w:type="dxa"/>
            <w:vAlign w:val="center"/>
          </w:tcPr>
          <w:p>
            <w:pPr>
              <w:pStyle w:val="2691"/>
            </w:pPr>
            <w:r>
              <w:t>急救</w:t>
            </w:r>
          </w:p>
        </w:tc>
        <w:tc>
          <w:tcPr>
            <w:tcW w:w="5871" w:type="dxa"/>
            <w:vAlign w:val="center"/>
          </w:tcPr>
          <w:p>
            <w:pPr>
              <w:pStyle w:val="2691"/>
            </w:pPr>
            <w:r>
              <w:t>眼睛接触：提起眼睑，用流动清水或生理盐水冲洗，就医。</w:t>
            </w:r>
          </w:p>
          <w:p>
            <w:pPr>
              <w:pStyle w:val="2691"/>
            </w:pPr>
            <w:r>
              <w:t>吸入：迅速脱离现场至空气新鲜处。保持呼吸道通畅。如呼吸困难，给输氧。如呼吸停止，立即进行人工呼吸，就医。</w:t>
            </w:r>
          </w:p>
          <w:p>
            <w:pPr>
              <w:pStyle w:val="2691"/>
            </w:pPr>
            <w:r>
              <w:t>食入：尽快彻底洗胃，就医。迅速撤离泄漏污染区人员至安全区， 并进行隔离，严格限制出入。切断火源。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Merge w:val="restart"/>
            <w:vAlign w:val="center"/>
          </w:tcPr>
          <w:p>
            <w:pPr>
              <w:pStyle w:val="2691"/>
            </w:pPr>
            <w:r>
              <w:t>燃烧爆炸危险性</w:t>
            </w:r>
          </w:p>
        </w:tc>
        <w:tc>
          <w:tcPr>
            <w:tcW w:w="2037" w:type="dxa"/>
            <w:vAlign w:val="center"/>
          </w:tcPr>
          <w:p>
            <w:pPr>
              <w:pStyle w:val="2691"/>
            </w:pPr>
            <w:r>
              <w:t>火险分级(建规)</w:t>
            </w:r>
          </w:p>
        </w:tc>
        <w:tc>
          <w:tcPr>
            <w:tcW w:w="5871" w:type="dxa"/>
            <w:vAlign w:val="center"/>
          </w:tcPr>
          <w:p>
            <w:pPr>
              <w:pStyle w:val="2691"/>
            </w:pPr>
            <w:r>
              <w:t>丙A类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Merge w:val="continue"/>
            <w:noWrap/>
            <w:vAlign w:val="center"/>
          </w:tcPr>
          <w:p>
            <w:pPr>
              <w:pStyle w:val="2691"/>
            </w:pPr>
          </w:p>
        </w:tc>
        <w:tc>
          <w:tcPr>
            <w:tcW w:w="2037" w:type="dxa"/>
            <w:vAlign w:val="center"/>
          </w:tcPr>
          <w:p>
            <w:pPr>
              <w:pStyle w:val="2691"/>
            </w:pPr>
            <w:r>
              <w:t>爆炸危险组别、类别</w:t>
            </w:r>
          </w:p>
        </w:tc>
        <w:tc>
          <w:tcPr>
            <w:tcW w:w="5871" w:type="dxa"/>
            <w:vAlign w:val="center"/>
          </w:tcPr>
          <w:p>
            <w:pPr>
              <w:pStyle w:val="2691"/>
            </w:pPr>
            <w:r>
              <w:t>T3/ⅡA，高闪点易燃液体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Merge w:val="continue"/>
            <w:noWrap/>
            <w:vAlign w:val="center"/>
          </w:tcPr>
          <w:p>
            <w:pPr>
              <w:pStyle w:val="2691"/>
            </w:pPr>
          </w:p>
        </w:tc>
        <w:tc>
          <w:tcPr>
            <w:tcW w:w="2037" w:type="dxa"/>
            <w:vAlign w:val="center"/>
          </w:tcPr>
          <w:p>
            <w:pPr>
              <w:pStyle w:val="2691"/>
            </w:pPr>
            <w:r>
              <w:t>危险特性</w:t>
            </w:r>
          </w:p>
        </w:tc>
        <w:tc>
          <w:tcPr>
            <w:tcW w:w="5871" w:type="dxa"/>
            <w:vAlign w:val="center"/>
          </w:tcPr>
          <w:p>
            <w:pPr>
              <w:pStyle w:val="2691"/>
            </w:pPr>
            <w:r>
              <w:t>遇明火、高热或与氧化剂接触，有引起燃烧爆炸的危险，遇高热、容器内压增大，有开裂和爆炸的危险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0" w:type="dxa"/>
            <w:vMerge w:val="continue"/>
            <w:noWrap/>
            <w:vAlign w:val="center"/>
          </w:tcPr>
          <w:p>
            <w:pPr>
              <w:pStyle w:val="2691"/>
            </w:pPr>
          </w:p>
        </w:tc>
        <w:tc>
          <w:tcPr>
            <w:tcW w:w="2037" w:type="dxa"/>
            <w:vAlign w:val="center"/>
          </w:tcPr>
          <w:p>
            <w:pPr>
              <w:pStyle w:val="2691"/>
            </w:pPr>
            <w:r>
              <w:t>灭火方法</w:t>
            </w:r>
          </w:p>
        </w:tc>
        <w:tc>
          <w:tcPr>
            <w:tcW w:w="5871" w:type="dxa"/>
            <w:vAlign w:val="center"/>
          </w:tcPr>
          <w:p>
            <w:pPr>
              <w:pStyle w:val="2691"/>
            </w:pPr>
            <w:r>
              <w:t>灭火剂种类：二氧化碳、泡沫、干粉、沙土</w:t>
            </w:r>
          </w:p>
        </w:tc>
      </w:tr>
    </w:tbl>
    <w:p>
      <w:pPr>
        <w:pStyle w:val="456"/>
        <w:ind w:firstLine="482"/>
      </w:pPr>
      <w:r>
        <w:t>环境风险潜势初判</w:t>
      </w:r>
    </w:p>
    <w:p>
      <w:pPr>
        <w:pStyle w:val="458"/>
        <w:ind w:firstLine="482"/>
        <w:rPr>
          <w:rFonts w:cs="Times New Roman"/>
          <w:b/>
          <w:color w:val="auto"/>
          <w:szCs w:val="24"/>
        </w:rPr>
      </w:pPr>
      <w:r>
        <w:rPr>
          <w:rFonts w:cs="Times New Roman"/>
          <w:b/>
          <w:color w:val="auto"/>
          <w:szCs w:val="24"/>
        </w:rPr>
        <w:t>1、环境风险潜势划分</w:t>
      </w:r>
    </w:p>
    <w:p>
      <w:pPr>
        <w:adjustRightInd w:val="0"/>
        <w:snapToGrid w:val="0"/>
        <w:ind w:firstLine="480"/>
      </w:pPr>
      <w:r>
        <w:t>根据《建设项目环境风险评价技术导则》（HJ169-2018），建设项目环境风险潜势划分为Ⅰ、Ⅱ、Ⅲ、Ⅳ/Ⅳ</w:t>
      </w:r>
      <w:r>
        <w:rPr>
          <w:vertAlign w:val="superscript"/>
        </w:rPr>
        <w:t>+</w:t>
      </w:r>
      <w:r>
        <w:t>级。</w:t>
      </w:r>
    </w:p>
    <w:p>
      <w:pPr>
        <w:pStyle w:val="458"/>
        <w:ind w:firstLine="480"/>
        <w:rPr>
          <w:rFonts w:cs="Times New Roman"/>
          <w:color w:val="auto"/>
          <w:szCs w:val="24"/>
        </w:rPr>
      </w:pPr>
      <w:r>
        <w:rPr>
          <w:rFonts w:cs="Times New Roman"/>
          <w:color w:val="auto"/>
          <w:szCs w:val="24"/>
        </w:rPr>
        <w:t>根据建设项目涉及的物质和工艺系统的危险性及其所在地的环境敏感程度，结合事故情形下环境影响途径，对建设项目潜在环境危害程度进行概化分析，建设项目环境风 险潜势划分表见下表。</w:t>
      </w:r>
    </w:p>
    <w:p>
      <w:pPr>
        <w:pStyle w:val="3586"/>
        <w:ind w:left="0"/>
      </w:pPr>
      <w:r>
        <w:t>建设项目环境风险潜势划分表</w:t>
      </w:r>
    </w:p>
    <w:tbl>
      <w:tblPr>
        <w:tblStyle w:val="87"/>
        <w:tblW w:w="9101" w:type="dxa"/>
        <w:jc w:val="center"/>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
      <w:tblGrid>
        <w:gridCol w:w="2163"/>
        <w:gridCol w:w="1734"/>
        <w:gridCol w:w="1734"/>
        <w:gridCol w:w="1733"/>
        <w:gridCol w:w="1737"/>
      </w:tblGrid>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2" w:hRule="exact"/>
          <w:jc w:val="center"/>
        </w:trPr>
        <w:tc>
          <w:tcPr>
            <w:tcW w:w="2163" w:type="dxa"/>
            <w:vMerge w:val="restart"/>
            <w:vAlign w:val="center"/>
          </w:tcPr>
          <w:p>
            <w:pPr>
              <w:tabs>
                <w:tab w:val="clear" w:pos="480"/>
              </w:tabs>
              <w:kinsoku w:val="0"/>
              <w:overflowPunct w:val="0"/>
              <w:autoSpaceDE w:val="0"/>
              <w:autoSpaceDN w:val="0"/>
              <w:adjustRightInd w:val="0"/>
              <w:spacing w:line="140" w:lineRule="exact"/>
              <w:ind w:firstLine="0" w:firstLineChars="0"/>
              <w:jc w:val="left"/>
              <w:rPr>
                <w:kern w:val="0"/>
                <w:sz w:val="14"/>
                <w:szCs w:val="14"/>
              </w:rPr>
            </w:pPr>
          </w:p>
          <w:p>
            <w:pPr>
              <w:tabs>
                <w:tab w:val="clear" w:pos="480"/>
              </w:tabs>
              <w:kinsoku w:val="0"/>
              <w:overflowPunct w:val="0"/>
              <w:autoSpaceDE w:val="0"/>
              <w:autoSpaceDN w:val="0"/>
              <w:adjustRightInd w:val="0"/>
              <w:spacing w:line="240" w:lineRule="auto"/>
              <w:ind w:left="155" w:firstLine="0" w:firstLineChars="0"/>
              <w:jc w:val="left"/>
              <w:rPr>
                <w:kern w:val="0"/>
              </w:rPr>
            </w:pPr>
            <w:r>
              <w:rPr>
                <w:spacing w:val="1"/>
                <w:kern w:val="0"/>
                <w:sz w:val="21"/>
                <w:szCs w:val="21"/>
              </w:rPr>
              <w:t>环境敏</w:t>
            </w:r>
            <w:r>
              <w:rPr>
                <w:kern w:val="0"/>
                <w:sz w:val="21"/>
                <w:szCs w:val="21"/>
              </w:rPr>
              <w:t>感程</w:t>
            </w:r>
            <w:r>
              <w:rPr>
                <w:spacing w:val="1"/>
                <w:kern w:val="0"/>
                <w:sz w:val="21"/>
                <w:szCs w:val="21"/>
              </w:rPr>
              <w:t>度</w:t>
            </w:r>
            <w:r>
              <w:rPr>
                <w:spacing w:val="2"/>
                <w:kern w:val="0"/>
                <w:sz w:val="21"/>
                <w:szCs w:val="21"/>
              </w:rPr>
              <w:t>（</w:t>
            </w:r>
            <w:r>
              <w:rPr>
                <w:b/>
                <w:bCs/>
                <w:kern w:val="0"/>
                <w:sz w:val="21"/>
                <w:szCs w:val="21"/>
              </w:rPr>
              <w:t>E</w:t>
            </w:r>
            <w:r>
              <w:rPr>
                <w:kern w:val="0"/>
                <w:sz w:val="21"/>
                <w:szCs w:val="21"/>
              </w:rPr>
              <w:t>）</w:t>
            </w:r>
          </w:p>
        </w:tc>
        <w:tc>
          <w:tcPr>
            <w:tcW w:w="6938" w:type="dxa"/>
            <w:gridSpan w:val="4"/>
            <w:vAlign w:val="center"/>
          </w:tcPr>
          <w:p>
            <w:pPr>
              <w:tabs>
                <w:tab w:val="clear" w:pos="480"/>
              </w:tabs>
              <w:kinsoku w:val="0"/>
              <w:overflowPunct w:val="0"/>
              <w:autoSpaceDE w:val="0"/>
              <w:autoSpaceDN w:val="0"/>
              <w:adjustRightInd w:val="0"/>
              <w:spacing w:line="288" w:lineRule="exact"/>
              <w:ind w:left="1917" w:firstLine="0" w:firstLineChars="0"/>
              <w:jc w:val="left"/>
              <w:rPr>
                <w:kern w:val="0"/>
              </w:rPr>
            </w:pPr>
            <w:r>
              <w:rPr>
                <w:spacing w:val="1"/>
                <w:kern w:val="0"/>
                <w:sz w:val="21"/>
                <w:szCs w:val="21"/>
              </w:rPr>
              <w:t>危险物</w:t>
            </w:r>
            <w:r>
              <w:rPr>
                <w:kern w:val="0"/>
                <w:sz w:val="21"/>
                <w:szCs w:val="21"/>
              </w:rPr>
              <w:t>质及</w:t>
            </w:r>
            <w:r>
              <w:rPr>
                <w:spacing w:val="1"/>
                <w:kern w:val="0"/>
                <w:sz w:val="21"/>
                <w:szCs w:val="21"/>
              </w:rPr>
              <w:t>工艺系</w:t>
            </w:r>
            <w:r>
              <w:rPr>
                <w:kern w:val="0"/>
                <w:sz w:val="21"/>
                <w:szCs w:val="21"/>
              </w:rPr>
              <w:t>统危</w:t>
            </w:r>
            <w:r>
              <w:rPr>
                <w:spacing w:val="1"/>
                <w:kern w:val="0"/>
                <w:sz w:val="21"/>
                <w:szCs w:val="21"/>
              </w:rPr>
              <w:t>险性</w:t>
            </w:r>
            <w:r>
              <w:rPr>
                <w:spacing w:val="2"/>
                <w:kern w:val="0"/>
                <w:sz w:val="21"/>
                <w:szCs w:val="21"/>
              </w:rPr>
              <w:t>（</w:t>
            </w:r>
            <w:r>
              <w:rPr>
                <w:b/>
                <w:bCs/>
                <w:kern w:val="0"/>
                <w:sz w:val="21"/>
                <w:szCs w:val="21"/>
              </w:rPr>
              <w:t>P</w:t>
            </w:r>
            <w:r>
              <w:rPr>
                <w:kern w:val="0"/>
                <w:sz w:val="21"/>
                <w:szCs w:val="21"/>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55" w:hRule="exact"/>
          <w:jc w:val="center"/>
        </w:trPr>
        <w:tc>
          <w:tcPr>
            <w:tcW w:w="2163" w:type="dxa"/>
            <w:vMerge w:val="continue"/>
            <w:vAlign w:val="center"/>
          </w:tcPr>
          <w:p>
            <w:pPr>
              <w:tabs>
                <w:tab w:val="clear" w:pos="480"/>
              </w:tabs>
              <w:kinsoku w:val="0"/>
              <w:overflowPunct w:val="0"/>
              <w:autoSpaceDE w:val="0"/>
              <w:autoSpaceDN w:val="0"/>
              <w:adjustRightInd w:val="0"/>
              <w:spacing w:line="288" w:lineRule="exact"/>
              <w:ind w:left="1917" w:firstLine="0" w:firstLineChars="0"/>
              <w:jc w:val="left"/>
              <w:rPr>
                <w:kern w:val="0"/>
              </w:rPr>
            </w:pPr>
          </w:p>
        </w:tc>
        <w:tc>
          <w:tcPr>
            <w:tcW w:w="1734" w:type="dxa"/>
            <w:vAlign w:val="center"/>
          </w:tcPr>
          <w:p>
            <w:pPr>
              <w:tabs>
                <w:tab w:val="clear" w:pos="480"/>
              </w:tabs>
              <w:kinsoku w:val="0"/>
              <w:overflowPunct w:val="0"/>
              <w:autoSpaceDE w:val="0"/>
              <w:autoSpaceDN w:val="0"/>
              <w:adjustRightInd w:val="0"/>
              <w:spacing w:line="288" w:lineRule="exact"/>
              <w:ind w:left="109" w:firstLine="0" w:firstLineChars="0"/>
              <w:jc w:val="left"/>
              <w:rPr>
                <w:kern w:val="0"/>
              </w:rPr>
            </w:pPr>
            <w:r>
              <w:rPr>
                <w:spacing w:val="1"/>
                <w:kern w:val="0"/>
                <w:sz w:val="21"/>
                <w:szCs w:val="21"/>
              </w:rPr>
              <w:t>极高危</w:t>
            </w:r>
            <w:r>
              <w:rPr>
                <w:kern w:val="0"/>
                <w:sz w:val="21"/>
                <w:szCs w:val="21"/>
              </w:rPr>
              <w:t>害</w:t>
            </w:r>
            <w:r>
              <w:rPr>
                <w:spacing w:val="1"/>
                <w:kern w:val="0"/>
                <w:sz w:val="21"/>
                <w:szCs w:val="21"/>
              </w:rPr>
              <w:t>（</w:t>
            </w:r>
            <w:r>
              <w:rPr>
                <w:b/>
                <w:bCs/>
                <w:spacing w:val="-2"/>
                <w:kern w:val="0"/>
                <w:sz w:val="21"/>
                <w:szCs w:val="21"/>
              </w:rPr>
              <w:t>P</w:t>
            </w:r>
            <w:r>
              <w:rPr>
                <w:b/>
                <w:bCs/>
                <w:spacing w:val="1"/>
                <w:kern w:val="0"/>
                <w:sz w:val="21"/>
                <w:szCs w:val="21"/>
              </w:rPr>
              <w:t>1</w:t>
            </w:r>
            <w:r>
              <w:rPr>
                <w:kern w:val="0"/>
                <w:sz w:val="21"/>
                <w:szCs w:val="21"/>
              </w:rPr>
              <w:t>）</w:t>
            </w:r>
          </w:p>
        </w:tc>
        <w:tc>
          <w:tcPr>
            <w:tcW w:w="1734" w:type="dxa"/>
            <w:vAlign w:val="center"/>
          </w:tcPr>
          <w:p>
            <w:pPr>
              <w:tabs>
                <w:tab w:val="clear" w:pos="480"/>
              </w:tabs>
              <w:kinsoku w:val="0"/>
              <w:overflowPunct w:val="0"/>
              <w:autoSpaceDE w:val="0"/>
              <w:autoSpaceDN w:val="0"/>
              <w:adjustRightInd w:val="0"/>
              <w:spacing w:line="288" w:lineRule="exact"/>
              <w:ind w:left="109" w:firstLine="0" w:firstLineChars="0"/>
              <w:jc w:val="left"/>
              <w:rPr>
                <w:kern w:val="0"/>
              </w:rPr>
            </w:pPr>
            <w:r>
              <w:rPr>
                <w:spacing w:val="1"/>
                <w:kern w:val="0"/>
                <w:sz w:val="21"/>
                <w:szCs w:val="21"/>
              </w:rPr>
              <w:t>高度危</w:t>
            </w:r>
            <w:r>
              <w:rPr>
                <w:kern w:val="0"/>
                <w:sz w:val="21"/>
                <w:szCs w:val="21"/>
              </w:rPr>
              <w:t>害</w:t>
            </w:r>
            <w:r>
              <w:rPr>
                <w:spacing w:val="1"/>
                <w:kern w:val="0"/>
                <w:sz w:val="21"/>
                <w:szCs w:val="21"/>
              </w:rPr>
              <w:t>（</w:t>
            </w:r>
            <w:r>
              <w:rPr>
                <w:b/>
                <w:bCs/>
                <w:spacing w:val="-2"/>
                <w:kern w:val="0"/>
                <w:sz w:val="21"/>
                <w:szCs w:val="21"/>
              </w:rPr>
              <w:t>P</w:t>
            </w:r>
            <w:r>
              <w:rPr>
                <w:b/>
                <w:bCs/>
                <w:kern w:val="0"/>
                <w:sz w:val="21"/>
                <w:szCs w:val="21"/>
              </w:rPr>
              <w:t>2</w:t>
            </w:r>
            <w:r>
              <w:rPr>
                <w:kern w:val="0"/>
                <w:sz w:val="21"/>
                <w:szCs w:val="21"/>
              </w:rPr>
              <w:t>）</w:t>
            </w:r>
          </w:p>
        </w:tc>
        <w:tc>
          <w:tcPr>
            <w:tcW w:w="1733" w:type="dxa"/>
            <w:vAlign w:val="center"/>
          </w:tcPr>
          <w:p>
            <w:pPr>
              <w:tabs>
                <w:tab w:val="clear" w:pos="480"/>
              </w:tabs>
              <w:kinsoku w:val="0"/>
              <w:overflowPunct w:val="0"/>
              <w:autoSpaceDE w:val="0"/>
              <w:autoSpaceDN w:val="0"/>
              <w:adjustRightInd w:val="0"/>
              <w:spacing w:line="288" w:lineRule="exact"/>
              <w:ind w:left="109" w:firstLine="0" w:firstLineChars="0"/>
              <w:jc w:val="left"/>
              <w:rPr>
                <w:kern w:val="0"/>
              </w:rPr>
            </w:pPr>
            <w:r>
              <w:rPr>
                <w:spacing w:val="1"/>
                <w:kern w:val="0"/>
                <w:sz w:val="21"/>
                <w:szCs w:val="21"/>
              </w:rPr>
              <w:t>中度危</w:t>
            </w:r>
            <w:r>
              <w:rPr>
                <w:kern w:val="0"/>
                <w:sz w:val="21"/>
                <w:szCs w:val="21"/>
              </w:rPr>
              <w:t>害</w:t>
            </w:r>
            <w:r>
              <w:rPr>
                <w:spacing w:val="2"/>
                <w:kern w:val="0"/>
                <w:sz w:val="21"/>
                <w:szCs w:val="21"/>
              </w:rPr>
              <w:t>（</w:t>
            </w:r>
            <w:r>
              <w:rPr>
                <w:b/>
                <w:bCs/>
                <w:spacing w:val="-2"/>
                <w:kern w:val="0"/>
                <w:sz w:val="21"/>
                <w:szCs w:val="21"/>
              </w:rPr>
              <w:t>P</w:t>
            </w:r>
            <w:r>
              <w:rPr>
                <w:b/>
                <w:bCs/>
                <w:kern w:val="0"/>
                <w:sz w:val="21"/>
                <w:szCs w:val="21"/>
              </w:rPr>
              <w:t>3</w:t>
            </w:r>
            <w:r>
              <w:rPr>
                <w:kern w:val="0"/>
                <w:sz w:val="21"/>
                <w:szCs w:val="21"/>
              </w:rPr>
              <w:t>）</w:t>
            </w:r>
          </w:p>
        </w:tc>
        <w:tc>
          <w:tcPr>
            <w:tcW w:w="1737" w:type="dxa"/>
            <w:vAlign w:val="center"/>
          </w:tcPr>
          <w:p>
            <w:pPr>
              <w:tabs>
                <w:tab w:val="clear" w:pos="480"/>
              </w:tabs>
              <w:kinsoku w:val="0"/>
              <w:overflowPunct w:val="0"/>
              <w:autoSpaceDE w:val="0"/>
              <w:autoSpaceDN w:val="0"/>
              <w:adjustRightInd w:val="0"/>
              <w:spacing w:line="288" w:lineRule="exact"/>
              <w:ind w:left="107" w:firstLine="0" w:firstLineChars="0"/>
              <w:jc w:val="left"/>
              <w:rPr>
                <w:kern w:val="0"/>
              </w:rPr>
            </w:pPr>
            <w:r>
              <w:rPr>
                <w:spacing w:val="1"/>
                <w:kern w:val="0"/>
                <w:sz w:val="21"/>
                <w:szCs w:val="21"/>
              </w:rPr>
              <w:t>轻度危</w:t>
            </w:r>
            <w:r>
              <w:rPr>
                <w:kern w:val="0"/>
                <w:sz w:val="21"/>
                <w:szCs w:val="21"/>
              </w:rPr>
              <w:t>害</w:t>
            </w:r>
            <w:r>
              <w:rPr>
                <w:spacing w:val="1"/>
                <w:kern w:val="0"/>
                <w:sz w:val="21"/>
                <w:szCs w:val="21"/>
              </w:rPr>
              <w:t>（</w:t>
            </w:r>
            <w:r>
              <w:rPr>
                <w:b/>
                <w:bCs/>
                <w:spacing w:val="-2"/>
                <w:kern w:val="0"/>
                <w:sz w:val="21"/>
                <w:szCs w:val="21"/>
              </w:rPr>
              <w:t>P</w:t>
            </w:r>
            <w:r>
              <w:rPr>
                <w:b/>
                <w:bCs/>
                <w:kern w:val="0"/>
                <w:sz w:val="21"/>
                <w:szCs w:val="21"/>
              </w:rPr>
              <w:t>4</w:t>
            </w:r>
            <w:r>
              <w:rPr>
                <w:kern w:val="0"/>
                <w:sz w:val="21"/>
                <w:szCs w:val="21"/>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55" w:hRule="exact"/>
          <w:jc w:val="center"/>
        </w:trPr>
        <w:tc>
          <w:tcPr>
            <w:tcW w:w="2163" w:type="dxa"/>
            <w:vAlign w:val="center"/>
          </w:tcPr>
          <w:p>
            <w:pPr>
              <w:tabs>
                <w:tab w:val="clear" w:pos="480"/>
              </w:tabs>
              <w:kinsoku w:val="0"/>
              <w:overflowPunct w:val="0"/>
              <w:autoSpaceDE w:val="0"/>
              <w:autoSpaceDN w:val="0"/>
              <w:adjustRightInd w:val="0"/>
              <w:spacing w:line="288" w:lineRule="exact"/>
              <w:ind w:left="7" w:firstLine="0" w:firstLineChars="0"/>
              <w:jc w:val="left"/>
              <w:rPr>
                <w:kern w:val="0"/>
              </w:rPr>
            </w:pPr>
            <w:r>
              <w:rPr>
                <w:kern w:val="0"/>
                <w:sz w:val="21"/>
                <w:szCs w:val="21"/>
              </w:rPr>
              <w:t>环境高度敏感区（E1）</w:t>
            </w:r>
          </w:p>
        </w:tc>
        <w:tc>
          <w:tcPr>
            <w:tcW w:w="1734" w:type="dxa"/>
            <w:vAlign w:val="center"/>
          </w:tcPr>
          <w:p>
            <w:pPr>
              <w:tabs>
                <w:tab w:val="clear" w:pos="480"/>
              </w:tabs>
              <w:kinsoku w:val="0"/>
              <w:overflowPunct w:val="0"/>
              <w:autoSpaceDE w:val="0"/>
              <w:autoSpaceDN w:val="0"/>
              <w:adjustRightInd w:val="0"/>
              <w:spacing w:before="30" w:line="240" w:lineRule="auto"/>
              <w:ind w:right="1" w:firstLine="0" w:firstLineChars="0"/>
              <w:jc w:val="center"/>
              <w:rPr>
                <w:kern w:val="0"/>
              </w:rPr>
            </w:pPr>
            <w:r>
              <w:rPr>
                <w:spacing w:val="-1"/>
                <w:kern w:val="0"/>
                <w:sz w:val="21"/>
                <w:szCs w:val="21"/>
              </w:rPr>
              <w:t>IV</w:t>
            </w:r>
            <w:r>
              <w:rPr>
                <w:kern w:val="0"/>
                <w:position w:val="8"/>
                <w:sz w:val="14"/>
                <w:szCs w:val="14"/>
              </w:rPr>
              <w:t>+</w:t>
            </w:r>
          </w:p>
        </w:tc>
        <w:tc>
          <w:tcPr>
            <w:tcW w:w="1734" w:type="dxa"/>
            <w:vAlign w:val="center"/>
          </w:tcPr>
          <w:p>
            <w:pPr>
              <w:tabs>
                <w:tab w:val="clear" w:pos="480"/>
              </w:tabs>
              <w:kinsoku w:val="0"/>
              <w:overflowPunct w:val="0"/>
              <w:autoSpaceDE w:val="0"/>
              <w:autoSpaceDN w:val="0"/>
              <w:adjustRightInd w:val="0"/>
              <w:spacing w:before="45" w:line="240" w:lineRule="auto"/>
              <w:ind w:right="3" w:firstLine="0" w:firstLineChars="0"/>
              <w:jc w:val="center"/>
              <w:rPr>
                <w:kern w:val="0"/>
              </w:rPr>
            </w:pPr>
            <w:r>
              <w:rPr>
                <w:spacing w:val="-1"/>
                <w:kern w:val="0"/>
                <w:sz w:val="21"/>
                <w:szCs w:val="21"/>
              </w:rPr>
              <w:t>IV</w:t>
            </w:r>
          </w:p>
        </w:tc>
        <w:tc>
          <w:tcPr>
            <w:tcW w:w="1733" w:type="dxa"/>
            <w:vAlign w:val="center"/>
          </w:tcPr>
          <w:p>
            <w:pPr>
              <w:tabs>
                <w:tab w:val="clear" w:pos="480"/>
              </w:tabs>
              <w:kinsoku w:val="0"/>
              <w:overflowPunct w:val="0"/>
              <w:autoSpaceDE w:val="0"/>
              <w:autoSpaceDN w:val="0"/>
              <w:adjustRightInd w:val="0"/>
              <w:spacing w:before="45" w:line="240" w:lineRule="auto"/>
              <w:ind w:left="734" w:right="736" w:firstLine="0" w:firstLineChars="0"/>
              <w:jc w:val="center"/>
              <w:rPr>
                <w:kern w:val="0"/>
              </w:rPr>
            </w:pPr>
            <w:r>
              <w:rPr>
                <w:spacing w:val="-1"/>
                <w:kern w:val="0"/>
                <w:sz w:val="21"/>
                <w:szCs w:val="21"/>
              </w:rPr>
              <w:t>III</w:t>
            </w:r>
          </w:p>
        </w:tc>
        <w:tc>
          <w:tcPr>
            <w:tcW w:w="1737" w:type="dxa"/>
            <w:vAlign w:val="center"/>
          </w:tcPr>
          <w:p>
            <w:pPr>
              <w:tabs>
                <w:tab w:val="clear" w:pos="480"/>
              </w:tabs>
              <w:kinsoku w:val="0"/>
              <w:overflowPunct w:val="0"/>
              <w:autoSpaceDE w:val="0"/>
              <w:autoSpaceDN w:val="0"/>
              <w:adjustRightInd w:val="0"/>
              <w:spacing w:before="45" w:line="240" w:lineRule="auto"/>
              <w:ind w:left="732" w:right="733" w:firstLine="0" w:firstLineChars="0"/>
              <w:jc w:val="center"/>
              <w:rPr>
                <w:kern w:val="0"/>
              </w:rPr>
            </w:pPr>
            <w:r>
              <w:rPr>
                <w:spacing w:val="-1"/>
                <w:kern w:val="0"/>
                <w:sz w:val="21"/>
                <w:szCs w:val="21"/>
              </w:rPr>
              <w:t>III</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54" w:hRule="exact"/>
          <w:jc w:val="center"/>
        </w:trPr>
        <w:tc>
          <w:tcPr>
            <w:tcW w:w="2163" w:type="dxa"/>
            <w:vAlign w:val="center"/>
          </w:tcPr>
          <w:p>
            <w:pPr>
              <w:tabs>
                <w:tab w:val="clear" w:pos="480"/>
              </w:tabs>
              <w:kinsoku w:val="0"/>
              <w:overflowPunct w:val="0"/>
              <w:autoSpaceDE w:val="0"/>
              <w:autoSpaceDN w:val="0"/>
              <w:adjustRightInd w:val="0"/>
              <w:spacing w:line="287" w:lineRule="exact"/>
              <w:ind w:left="7" w:firstLine="0" w:firstLineChars="0"/>
              <w:jc w:val="left"/>
              <w:rPr>
                <w:kern w:val="0"/>
              </w:rPr>
            </w:pPr>
            <w:r>
              <w:rPr>
                <w:kern w:val="0"/>
                <w:sz w:val="21"/>
                <w:szCs w:val="21"/>
              </w:rPr>
              <w:t>环境中度敏感区（E2）</w:t>
            </w:r>
          </w:p>
        </w:tc>
        <w:tc>
          <w:tcPr>
            <w:tcW w:w="1734" w:type="dxa"/>
            <w:vAlign w:val="center"/>
          </w:tcPr>
          <w:p>
            <w:pPr>
              <w:tabs>
                <w:tab w:val="clear" w:pos="480"/>
              </w:tabs>
              <w:kinsoku w:val="0"/>
              <w:overflowPunct w:val="0"/>
              <w:autoSpaceDE w:val="0"/>
              <w:autoSpaceDN w:val="0"/>
              <w:adjustRightInd w:val="0"/>
              <w:spacing w:before="45" w:line="240" w:lineRule="auto"/>
              <w:ind w:right="3" w:firstLine="0" w:firstLineChars="0"/>
              <w:jc w:val="center"/>
              <w:rPr>
                <w:kern w:val="0"/>
              </w:rPr>
            </w:pPr>
            <w:r>
              <w:rPr>
                <w:spacing w:val="-1"/>
                <w:kern w:val="0"/>
                <w:sz w:val="21"/>
                <w:szCs w:val="21"/>
              </w:rPr>
              <w:t>IV</w:t>
            </w:r>
          </w:p>
        </w:tc>
        <w:tc>
          <w:tcPr>
            <w:tcW w:w="1734" w:type="dxa"/>
            <w:vAlign w:val="center"/>
          </w:tcPr>
          <w:p>
            <w:pPr>
              <w:tabs>
                <w:tab w:val="clear" w:pos="480"/>
              </w:tabs>
              <w:kinsoku w:val="0"/>
              <w:overflowPunct w:val="0"/>
              <w:autoSpaceDE w:val="0"/>
              <w:autoSpaceDN w:val="0"/>
              <w:adjustRightInd w:val="0"/>
              <w:spacing w:before="45" w:line="240" w:lineRule="auto"/>
              <w:ind w:left="734" w:right="737" w:firstLine="0" w:firstLineChars="0"/>
              <w:jc w:val="center"/>
              <w:rPr>
                <w:kern w:val="0"/>
              </w:rPr>
            </w:pPr>
            <w:r>
              <w:rPr>
                <w:spacing w:val="-1"/>
                <w:kern w:val="0"/>
                <w:sz w:val="21"/>
                <w:szCs w:val="21"/>
              </w:rPr>
              <w:t>III</w:t>
            </w:r>
          </w:p>
        </w:tc>
        <w:tc>
          <w:tcPr>
            <w:tcW w:w="1733" w:type="dxa"/>
            <w:vAlign w:val="center"/>
          </w:tcPr>
          <w:p>
            <w:pPr>
              <w:tabs>
                <w:tab w:val="clear" w:pos="480"/>
              </w:tabs>
              <w:kinsoku w:val="0"/>
              <w:overflowPunct w:val="0"/>
              <w:autoSpaceDE w:val="0"/>
              <w:autoSpaceDN w:val="0"/>
              <w:adjustRightInd w:val="0"/>
              <w:spacing w:before="45" w:line="240" w:lineRule="auto"/>
              <w:ind w:left="734" w:right="736" w:firstLine="0" w:firstLineChars="0"/>
              <w:jc w:val="center"/>
              <w:rPr>
                <w:kern w:val="0"/>
              </w:rPr>
            </w:pPr>
            <w:r>
              <w:rPr>
                <w:spacing w:val="-1"/>
                <w:kern w:val="0"/>
                <w:sz w:val="21"/>
                <w:szCs w:val="21"/>
              </w:rPr>
              <w:t>III</w:t>
            </w:r>
          </w:p>
        </w:tc>
        <w:tc>
          <w:tcPr>
            <w:tcW w:w="1737" w:type="dxa"/>
            <w:vAlign w:val="center"/>
          </w:tcPr>
          <w:p>
            <w:pPr>
              <w:tabs>
                <w:tab w:val="clear" w:pos="480"/>
              </w:tabs>
              <w:kinsoku w:val="0"/>
              <w:overflowPunct w:val="0"/>
              <w:autoSpaceDE w:val="0"/>
              <w:autoSpaceDN w:val="0"/>
              <w:adjustRightInd w:val="0"/>
              <w:spacing w:before="45" w:line="240" w:lineRule="auto"/>
              <w:ind w:left="732" w:right="733" w:firstLine="0" w:firstLineChars="0"/>
              <w:jc w:val="center"/>
              <w:rPr>
                <w:kern w:val="0"/>
              </w:rPr>
            </w:pPr>
            <w:r>
              <w:rPr>
                <w:spacing w:val="-1"/>
                <w:kern w:val="0"/>
                <w:sz w:val="21"/>
                <w:szCs w:val="21"/>
              </w:rPr>
              <w:t>II</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2" w:hRule="exact"/>
          <w:jc w:val="center"/>
        </w:trPr>
        <w:tc>
          <w:tcPr>
            <w:tcW w:w="2163" w:type="dxa"/>
            <w:vAlign w:val="center"/>
          </w:tcPr>
          <w:p>
            <w:pPr>
              <w:tabs>
                <w:tab w:val="clear" w:pos="480"/>
              </w:tabs>
              <w:kinsoku w:val="0"/>
              <w:overflowPunct w:val="0"/>
              <w:autoSpaceDE w:val="0"/>
              <w:autoSpaceDN w:val="0"/>
              <w:adjustRightInd w:val="0"/>
              <w:spacing w:line="288" w:lineRule="exact"/>
              <w:ind w:left="7" w:firstLine="0" w:firstLineChars="0"/>
              <w:jc w:val="left"/>
              <w:rPr>
                <w:kern w:val="0"/>
              </w:rPr>
            </w:pPr>
            <w:r>
              <w:rPr>
                <w:kern w:val="0"/>
                <w:sz w:val="21"/>
                <w:szCs w:val="21"/>
              </w:rPr>
              <w:t>环境低度敏感区（E3）</w:t>
            </w:r>
          </w:p>
        </w:tc>
        <w:tc>
          <w:tcPr>
            <w:tcW w:w="1734" w:type="dxa"/>
            <w:vAlign w:val="center"/>
          </w:tcPr>
          <w:p>
            <w:pPr>
              <w:tabs>
                <w:tab w:val="clear" w:pos="480"/>
              </w:tabs>
              <w:kinsoku w:val="0"/>
              <w:overflowPunct w:val="0"/>
              <w:autoSpaceDE w:val="0"/>
              <w:autoSpaceDN w:val="0"/>
              <w:adjustRightInd w:val="0"/>
              <w:spacing w:before="46" w:line="240" w:lineRule="auto"/>
              <w:ind w:right="4" w:firstLine="0" w:firstLineChars="0"/>
              <w:jc w:val="center"/>
              <w:rPr>
                <w:kern w:val="0"/>
              </w:rPr>
            </w:pPr>
            <w:r>
              <w:rPr>
                <w:spacing w:val="-1"/>
                <w:kern w:val="0"/>
                <w:sz w:val="21"/>
                <w:szCs w:val="21"/>
              </w:rPr>
              <w:t>III</w:t>
            </w:r>
          </w:p>
        </w:tc>
        <w:tc>
          <w:tcPr>
            <w:tcW w:w="1734" w:type="dxa"/>
            <w:vAlign w:val="center"/>
          </w:tcPr>
          <w:p>
            <w:pPr>
              <w:tabs>
                <w:tab w:val="clear" w:pos="480"/>
              </w:tabs>
              <w:kinsoku w:val="0"/>
              <w:overflowPunct w:val="0"/>
              <w:autoSpaceDE w:val="0"/>
              <w:autoSpaceDN w:val="0"/>
              <w:adjustRightInd w:val="0"/>
              <w:spacing w:before="46" w:line="240" w:lineRule="auto"/>
              <w:ind w:left="734" w:right="737" w:firstLine="0" w:firstLineChars="0"/>
              <w:jc w:val="center"/>
              <w:rPr>
                <w:kern w:val="0"/>
              </w:rPr>
            </w:pPr>
            <w:r>
              <w:rPr>
                <w:spacing w:val="-1"/>
                <w:kern w:val="0"/>
                <w:sz w:val="21"/>
                <w:szCs w:val="21"/>
              </w:rPr>
              <w:t>III</w:t>
            </w:r>
          </w:p>
        </w:tc>
        <w:tc>
          <w:tcPr>
            <w:tcW w:w="1733" w:type="dxa"/>
            <w:vAlign w:val="center"/>
          </w:tcPr>
          <w:p>
            <w:pPr>
              <w:tabs>
                <w:tab w:val="clear" w:pos="480"/>
              </w:tabs>
              <w:kinsoku w:val="0"/>
              <w:overflowPunct w:val="0"/>
              <w:autoSpaceDE w:val="0"/>
              <w:autoSpaceDN w:val="0"/>
              <w:adjustRightInd w:val="0"/>
              <w:spacing w:before="46" w:line="240" w:lineRule="auto"/>
              <w:ind w:left="734" w:right="736" w:firstLine="0" w:firstLineChars="0"/>
              <w:jc w:val="center"/>
              <w:rPr>
                <w:kern w:val="0"/>
              </w:rPr>
            </w:pPr>
            <w:r>
              <w:rPr>
                <w:spacing w:val="-1"/>
                <w:kern w:val="0"/>
                <w:sz w:val="21"/>
                <w:szCs w:val="21"/>
              </w:rPr>
              <w:t>II</w:t>
            </w:r>
          </w:p>
        </w:tc>
        <w:tc>
          <w:tcPr>
            <w:tcW w:w="1737" w:type="dxa"/>
            <w:vAlign w:val="center"/>
          </w:tcPr>
          <w:p>
            <w:pPr>
              <w:tabs>
                <w:tab w:val="clear" w:pos="480"/>
              </w:tabs>
              <w:kinsoku w:val="0"/>
              <w:overflowPunct w:val="0"/>
              <w:autoSpaceDE w:val="0"/>
              <w:autoSpaceDN w:val="0"/>
              <w:adjustRightInd w:val="0"/>
              <w:spacing w:before="46" w:line="240" w:lineRule="auto"/>
              <w:ind w:firstLine="0" w:firstLineChars="0"/>
              <w:jc w:val="center"/>
              <w:rPr>
                <w:kern w:val="0"/>
              </w:rPr>
            </w:pPr>
            <w:r>
              <w:rPr>
                <w:kern w:val="0"/>
                <w:sz w:val="21"/>
                <w:szCs w:val="21"/>
              </w:rPr>
              <w:t>I</w:t>
            </w:r>
          </w:p>
        </w:tc>
      </w:tr>
    </w:tbl>
    <w:p>
      <w:pPr>
        <w:adjustRightInd w:val="0"/>
        <w:snapToGrid w:val="0"/>
        <w:ind w:firstLine="480"/>
      </w:pPr>
      <w:r>
        <w:rPr>
          <w:rFonts w:eastAsiaTheme="minorEastAsia"/>
        </w:rPr>
        <w:t>注：</w:t>
      </w:r>
      <w:r>
        <w:t>Ⅳ</w:t>
      </w:r>
      <w:r>
        <w:rPr>
          <w:rFonts w:eastAsiaTheme="minorEastAsia"/>
          <w:vertAlign w:val="superscript"/>
        </w:rPr>
        <w:t>+</w:t>
      </w:r>
      <w:r>
        <w:rPr>
          <w:rFonts w:eastAsiaTheme="minorEastAsia"/>
        </w:rPr>
        <w:t>为极高环境风险</w:t>
      </w:r>
    </w:p>
    <w:p>
      <w:pPr>
        <w:pStyle w:val="458"/>
        <w:ind w:firstLine="482"/>
        <w:rPr>
          <w:rFonts w:cs="Times New Roman"/>
          <w:b/>
          <w:color w:val="auto"/>
          <w:szCs w:val="24"/>
        </w:rPr>
      </w:pPr>
      <w:r>
        <w:rPr>
          <w:rFonts w:cs="Times New Roman"/>
          <w:b/>
          <w:color w:val="auto"/>
          <w:szCs w:val="24"/>
        </w:rPr>
        <w:t>2、P的分级确定</w:t>
      </w:r>
    </w:p>
    <w:p>
      <w:pPr>
        <w:adjustRightInd w:val="0"/>
        <w:snapToGrid w:val="0"/>
        <w:ind w:firstLine="480"/>
      </w:pPr>
      <w:r>
        <w:rPr>
          <w:rFonts w:hint="eastAsia" w:ascii="宋体" w:hAnsi="宋体" w:cs="宋体"/>
        </w:rPr>
        <w:t>（1）</w:t>
      </w:r>
      <w:r>
        <w:t>危险物质数量与临界量比值</w:t>
      </w:r>
    </w:p>
    <w:p>
      <w:pPr>
        <w:adjustRightInd w:val="0"/>
        <w:snapToGrid w:val="0"/>
        <w:ind w:firstLine="480"/>
      </w:pPr>
      <w:r>
        <w:t>计算所涉及的每种危险物质在厂界内的最大存在总量与其在附录B中对应临界量的比值</w:t>
      </w:r>
      <w:r>
        <w:rPr>
          <w:i/>
        </w:rPr>
        <w:t>Q</w:t>
      </w:r>
      <w:r>
        <w:t>。</w:t>
      </w:r>
    </w:p>
    <w:p>
      <w:pPr>
        <w:adjustRightInd w:val="0"/>
        <w:snapToGrid w:val="0"/>
        <w:ind w:firstLine="480"/>
      </w:pPr>
      <w:r>
        <w:t>当只涉及一种危险物质时，计算该物质的总量与其临界量比值，即为</w:t>
      </w:r>
      <w:r>
        <w:rPr>
          <w:i/>
        </w:rPr>
        <w:t>Q</w:t>
      </w:r>
      <w:r>
        <w:t>；</w:t>
      </w:r>
    </w:p>
    <w:p>
      <w:pPr>
        <w:adjustRightInd w:val="0"/>
        <w:snapToGrid w:val="0"/>
        <w:ind w:firstLine="480"/>
      </w:pPr>
      <w:r>
        <w:t>当存在多种危险物质时，则按式5.7-1计算物质总量与其临界量比值（</w:t>
      </w:r>
      <w:r>
        <w:rPr>
          <w:i/>
        </w:rPr>
        <w:t>Q</w:t>
      </w:r>
      <w:r>
        <w:t>）：</w:t>
      </w:r>
    </w:p>
    <w:p>
      <w:pPr>
        <w:wordWrap w:val="0"/>
        <w:adjustRightInd w:val="0"/>
        <w:snapToGrid w:val="0"/>
        <w:ind w:firstLine="480"/>
        <w:jc w:val="right"/>
      </w:pPr>
      <w:r>
        <w:drawing>
          <wp:inline distT="0" distB="0" distL="0" distR="0">
            <wp:extent cx="1502410" cy="485775"/>
            <wp:effectExtent l="0" t="0" r="254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32"/>
                    <a:stretch>
                      <a:fillRect/>
                    </a:stretch>
                  </pic:blipFill>
                  <pic:spPr>
                    <a:xfrm>
                      <a:off x="0" y="0"/>
                      <a:ext cx="1551106" cy="501829"/>
                    </a:xfrm>
                    <a:prstGeom prst="rect">
                      <a:avLst/>
                    </a:prstGeom>
                  </pic:spPr>
                </pic:pic>
              </a:graphicData>
            </a:graphic>
          </wp:inline>
        </w:drawing>
      </w:r>
      <w:r>
        <w:t xml:space="preserve">                  （式5.7-1）</w:t>
      </w:r>
    </w:p>
    <w:p>
      <w:pPr>
        <w:adjustRightInd w:val="0"/>
        <w:snapToGrid w:val="0"/>
        <w:ind w:firstLine="480"/>
      </w:pPr>
      <w:r>
        <w:t>式中：</w:t>
      </w:r>
      <w:r>
        <w:rPr>
          <w:i/>
        </w:rPr>
        <w:t>q</w:t>
      </w:r>
      <w:r>
        <w:rPr>
          <w:i/>
          <w:vertAlign w:val="subscript"/>
        </w:rPr>
        <w:t>1</w:t>
      </w:r>
      <w:r>
        <w:t>，</w:t>
      </w:r>
      <w:r>
        <w:rPr>
          <w:i/>
        </w:rPr>
        <w:t>q</w:t>
      </w:r>
      <w:r>
        <w:rPr>
          <w:i/>
          <w:vertAlign w:val="subscript"/>
        </w:rPr>
        <w:t>2</w:t>
      </w:r>
      <w:r>
        <w:t>，…，</w:t>
      </w:r>
      <w:r>
        <w:rPr>
          <w:i/>
        </w:rPr>
        <w:t>q</w:t>
      </w:r>
      <w:r>
        <w:rPr>
          <w:i/>
          <w:vertAlign w:val="subscript"/>
        </w:rPr>
        <w:t xml:space="preserve">n </w:t>
      </w:r>
      <w:r>
        <w:t>——每种危险物质的最大存在总量，t；</w:t>
      </w:r>
    </w:p>
    <w:p>
      <w:pPr>
        <w:adjustRightInd w:val="0"/>
        <w:snapToGrid w:val="0"/>
        <w:ind w:firstLine="1200" w:firstLineChars="500"/>
      </w:pPr>
      <w:r>
        <w:rPr>
          <w:i/>
        </w:rPr>
        <w:t>Q</w:t>
      </w:r>
      <w:r>
        <w:rPr>
          <w:i/>
          <w:vertAlign w:val="subscript"/>
        </w:rPr>
        <w:t>1</w:t>
      </w:r>
      <w:r>
        <w:t>，</w:t>
      </w:r>
      <w:r>
        <w:rPr>
          <w:i/>
        </w:rPr>
        <w:t>Q</w:t>
      </w:r>
      <w:r>
        <w:rPr>
          <w:i/>
          <w:vertAlign w:val="subscript"/>
        </w:rPr>
        <w:t>2</w:t>
      </w:r>
      <w:r>
        <w:t>，…，</w:t>
      </w:r>
      <w:r>
        <w:rPr>
          <w:i/>
        </w:rPr>
        <w:t>Q</w:t>
      </w:r>
      <w:r>
        <w:rPr>
          <w:i/>
          <w:vertAlign w:val="subscript"/>
        </w:rPr>
        <w:t>n</w:t>
      </w:r>
      <w:r>
        <w:rPr>
          <w:vertAlign w:val="subscript"/>
        </w:rPr>
        <w:t xml:space="preserve"> </w:t>
      </w:r>
      <w:r>
        <w:t>——每种危险物质的临界量，t。</w:t>
      </w:r>
    </w:p>
    <w:p>
      <w:pPr>
        <w:adjustRightInd w:val="0"/>
        <w:snapToGrid w:val="0"/>
        <w:ind w:firstLine="480"/>
      </w:pPr>
      <w:r>
        <w:t>当</w:t>
      </w:r>
      <w:r>
        <w:rPr>
          <w:i/>
        </w:rPr>
        <w:t>Q</w:t>
      </w:r>
      <w:r>
        <w:t>＜1时，该项目环境风险潜势为Ⅰ。</w:t>
      </w:r>
    </w:p>
    <w:p>
      <w:pPr>
        <w:adjustRightInd w:val="0"/>
        <w:snapToGrid w:val="0"/>
        <w:ind w:firstLine="480"/>
      </w:pPr>
      <w:r>
        <w:t>当</w:t>
      </w:r>
      <w:r>
        <w:rPr>
          <w:i/>
        </w:rPr>
        <w:t>Q</w:t>
      </w:r>
      <w:r>
        <w:t>≥1时，将</w:t>
      </w:r>
      <w:r>
        <w:rPr>
          <w:i/>
        </w:rPr>
        <w:t>Q</w:t>
      </w:r>
      <w:r>
        <w:t>值划分为：（1）1≤</w:t>
      </w:r>
      <w:r>
        <w:rPr>
          <w:i/>
        </w:rPr>
        <w:t>Q</w:t>
      </w:r>
      <w:r>
        <w:t>＜10；（2）10≤</w:t>
      </w:r>
      <w:r>
        <w:rPr>
          <w:i/>
        </w:rPr>
        <w:t>Q</w:t>
      </w:r>
      <w:r>
        <w:t>＜100；（3）</w:t>
      </w:r>
      <w:r>
        <w:rPr>
          <w:i/>
        </w:rPr>
        <w:t>Q</w:t>
      </w:r>
      <w:r>
        <w:t>≥100。</w:t>
      </w:r>
    </w:p>
    <w:p>
      <w:pPr>
        <w:snapToGrid w:val="0"/>
        <w:ind w:firstLine="480"/>
      </w:pPr>
      <w:r>
        <w:t>根据《建设项目环境风险评价技术导则》（HJ 169-2018）附表 B、《化学品分类和标签规范 第18部分急性毒性》（GB30000.18-2013）、《危险化学品重大危险源辨识》（GB18218-2018），本项目重大危险源识别相关物质为施工船舶及运营期船舶事故过程中溢出的燃料油（柴油）。</w:t>
      </w:r>
    </w:p>
    <w:p>
      <w:pPr>
        <w:snapToGrid w:val="0"/>
        <w:ind w:firstLine="480"/>
      </w:pPr>
      <w:r>
        <w:t>根据《水上溢油环境风险评估技术导则》（JT/T1143-2017），</w:t>
      </w:r>
      <w:r>
        <w:rPr>
          <w:rFonts w:asciiTheme="minorEastAsia" w:hAnsiTheme="minorEastAsia" w:eastAsiaTheme="minorEastAsia"/>
        </w:rPr>
        <w:t>“</w:t>
      </w:r>
      <w:r>
        <w:t>新建水运工程建设项目的可能最大水上溢油事故溢油量，按照设计代表船型的1个货油边舱或燃料油边舱的容积确定</w:t>
      </w:r>
      <w:r>
        <w:rPr>
          <w:rFonts w:asciiTheme="minorEastAsia" w:hAnsiTheme="minorEastAsia" w:eastAsiaTheme="minorEastAsia"/>
        </w:rPr>
        <w:t>”</w:t>
      </w:r>
      <w:r>
        <w:t>。根据《水上溢油环境风险评估技术导则》（JT/T1143-2017）附录C表C.6散货船燃油舱中燃油数量关系，可知散货船载重吨位10000t，其燃油总舱容816m</w:t>
      </w:r>
      <w:r>
        <w:rPr>
          <w:vertAlign w:val="superscript"/>
        </w:rPr>
        <w:t>3</w:t>
      </w:r>
      <w:r>
        <w:t>，燃油总量（载油80%）653 m</w:t>
      </w:r>
      <w:r>
        <w:rPr>
          <w:vertAlign w:val="superscript"/>
        </w:rPr>
        <w:t>3</w:t>
      </w:r>
      <w:r>
        <w:t>，燃油舱单舱燃油量109 m</w:t>
      </w:r>
      <w:r>
        <w:rPr>
          <w:vertAlign w:val="superscript"/>
        </w:rPr>
        <w:t>3</w:t>
      </w:r>
      <w:r>
        <w:t>。本项目</w:t>
      </w:r>
      <w:r>
        <w:rPr>
          <w:spacing w:val="4"/>
          <w:szCs w:val="28"/>
        </w:rPr>
        <w:t>采用10000t级和5000t级散货船作为设计船型，</w:t>
      </w:r>
      <w:r>
        <w:t>本次评价柴油密度取0.85mg/L，</w:t>
      </w:r>
      <w:r>
        <w:rPr>
          <w:spacing w:val="4"/>
          <w:szCs w:val="28"/>
        </w:rPr>
        <w:t>故项目船舶</w:t>
      </w:r>
      <w:r>
        <w:t>柴油最大储存量约为555.05</w:t>
      </w:r>
      <w:r>
        <w:rPr>
          <w:spacing w:val="4"/>
          <w:szCs w:val="28"/>
        </w:rPr>
        <w:t xml:space="preserve"> t，船舶发生碰撞造成的船舶燃料油（柴油）泄漏量为92.65 t。</w:t>
      </w:r>
    </w:p>
    <w:p>
      <w:pPr>
        <w:snapToGrid w:val="0"/>
        <w:ind w:firstLine="480"/>
      </w:pPr>
      <w:r>
        <w:t>项目涉及的主要危险物质数量与临界量比值（Q）见下表。</w:t>
      </w:r>
    </w:p>
    <w:p>
      <w:pPr>
        <w:pStyle w:val="3586"/>
        <w:ind w:left="0"/>
      </w:pPr>
      <w:r>
        <w:t>重大危险源识别一览表</w:t>
      </w:r>
    </w:p>
    <w:tbl>
      <w:tblPr>
        <w:tblStyle w:val="3596"/>
        <w:tblW w:w="932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02"/>
        <w:gridCol w:w="2694"/>
        <w:gridCol w:w="2409"/>
        <w:gridCol w:w="1586"/>
        <w:gridCol w:w="133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1302" w:type="dxa"/>
            <w:vAlign w:val="center"/>
          </w:tcPr>
          <w:p>
            <w:pPr>
              <w:pStyle w:val="2691"/>
            </w:pPr>
            <w:r>
              <w:t>物质名称</w:t>
            </w:r>
          </w:p>
        </w:tc>
        <w:tc>
          <w:tcPr>
            <w:tcW w:w="2694" w:type="dxa"/>
            <w:vAlign w:val="center"/>
          </w:tcPr>
          <w:p>
            <w:pPr>
              <w:pStyle w:val="2691"/>
            </w:pPr>
            <w:r>
              <w:t>危险化学物质类别</w:t>
            </w:r>
          </w:p>
        </w:tc>
        <w:tc>
          <w:tcPr>
            <w:tcW w:w="2409" w:type="dxa"/>
            <w:vAlign w:val="center"/>
          </w:tcPr>
          <w:p>
            <w:pPr>
              <w:pStyle w:val="2691"/>
            </w:pPr>
            <w:r>
              <w:t>最大存储量（t）</w:t>
            </w:r>
          </w:p>
        </w:tc>
        <w:tc>
          <w:tcPr>
            <w:tcW w:w="1586" w:type="dxa"/>
            <w:vAlign w:val="center"/>
          </w:tcPr>
          <w:p>
            <w:pPr>
              <w:pStyle w:val="2691"/>
            </w:pPr>
            <w:r>
              <w:t>临界量（t）</w:t>
            </w:r>
          </w:p>
        </w:tc>
        <w:tc>
          <w:tcPr>
            <w:tcW w:w="1335" w:type="dxa"/>
            <w:vAlign w:val="center"/>
          </w:tcPr>
          <w:p>
            <w:pPr>
              <w:pStyle w:val="2691"/>
            </w:pPr>
            <w:r>
              <w:t>Q</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1302" w:type="dxa"/>
            <w:vAlign w:val="center"/>
          </w:tcPr>
          <w:p>
            <w:pPr>
              <w:pStyle w:val="2691"/>
            </w:pPr>
            <w:r>
              <w:t>柴油</w:t>
            </w:r>
          </w:p>
        </w:tc>
        <w:tc>
          <w:tcPr>
            <w:tcW w:w="2694" w:type="dxa"/>
            <w:vAlign w:val="center"/>
          </w:tcPr>
          <w:p>
            <w:pPr>
              <w:pStyle w:val="2691"/>
            </w:pPr>
            <w:r>
              <w:t>易燃</w:t>
            </w:r>
          </w:p>
        </w:tc>
        <w:tc>
          <w:tcPr>
            <w:tcW w:w="2409" w:type="dxa"/>
            <w:vAlign w:val="center"/>
          </w:tcPr>
          <w:p>
            <w:pPr>
              <w:pStyle w:val="2691"/>
            </w:pPr>
            <w:r>
              <w:t>555.05</w:t>
            </w:r>
          </w:p>
        </w:tc>
        <w:tc>
          <w:tcPr>
            <w:tcW w:w="1586" w:type="dxa"/>
            <w:vAlign w:val="center"/>
          </w:tcPr>
          <w:p>
            <w:pPr>
              <w:pStyle w:val="2691"/>
            </w:pPr>
            <w:r>
              <w:t>2500</w:t>
            </w:r>
          </w:p>
        </w:tc>
        <w:tc>
          <w:tcPr>
            <w:tcW w:w="1335" w:type="dxa"/>
            <w:vAlign w:val="center"/>
          </w:tcPr>
          <w:p>
            <w:pPr>
              <w:pStyle w:val="2691"/>
            </w:pPr>
            <w:r>
              <w:t>0.222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991" w:type="dxa"/>
            <w:gridSpan w:val="4"/>
            <w:vAlign w:val="center"/>
          </w:tcPr>
          <w:p>
            <w:pPr>
              <w:pStyle w:val="2691"/>
            </w:pPr>
            <w:r>
              <w:t>合计</w:t>
            </w:r>
          </w:p>
        </w:tc>
        <w:tc>
          <w:tcPr>
            <w:tcW w:w="1335" w:type="dxa"/>
            <w:vAlign w:val="center"/>
          </w:tcPr>
          <w:p>
            <w:pPr>
              <w:pStyle w:val="2691"/>
            </w:pPr>
            <w:r>
              <w:t>0.222</w:t>
            </w:r>
          </w:p>
        </w:tc>
      </w:tr>
    </w:tbl>
    <w:p>
      <w:pPr>
        <w:snapToGrid w:val="0"/>
        <w:ind w:firstLine="480"/>
      </w:pPr>
      <w:r>
        <w:t>由上表可知，Q值小于1，根据导则要求判断，当 Q＜1 时，则按照《建设项目环境风险评价导则》（HJ/T169-2018）附录 B 中 C.1.1 中有关要求，该项目环境风险潜势为Ⅰ级。</w:t>
      </w:r>
    </w:p>
    <w:p>
      <w:pPr>
        <w:pStyle w:val="456"/>
        <w:ind w:firstLine="482"/>
      </w:pPr>
      <w:r>
        <w:t>评价等级</w:t>
      </w:r>
    </w:p>
    <w:p>
      <w:pPr>
        <w:snapToGrid w:val="0"/>
        <w:ind w:firstLine="480"/>
      </w:pPr>
      <w:r>
        <w:t>根据导则，环境风险评价等级划分标准见下表。</w:t>
      </w:r>
    </w:p>
    <w:p>
      <w:pPr>
        <w:pStyle w:val="3586"/>
        <w:ind w:left="0"/>
      </w:pPr>
      <w:r>
        <w:t>环境风险评价工作等级划分表</w:t>
      </w:r>
    </w:p>
    <w:tbl>
      <w:tblPr>
        <w:tblStyle w:val="3596"/>
        <w:tblW w:w="917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97"/>
        <w:gridCol w:w="1707"/>
        <w:gridCol w:w="1919"/>
        <w:gridCol w:w="2345"/>
        <w:gridCol w:w="17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7" w:type="dxa"/>
            <w:vAlign w:val="center"/>
          </w:tcPr>
          <w:p>
            <w:pPr>
              <w:pStyle w:val="2691"/>
            </w:pPr>
            <w:r>
              <w:t>环境风险潜势</w:t>
            </w:r>
          </w:p>
        </w:tc>
        <w:tc>
          <w:tcPr>
            <w:tcW w:w="1707" w:type="dxa"/>
            <w:vAlign w:val="center"/>
          </w:tcPr>
          <w:p>
            <w:pPr>
              <w:pStyle w:val="2691"/>
            </w:pPr>
            <w:r>
              <w:fldChar w:fldCharType="begin"/>
            </w:r>
            <w:r>
              <w:instrText xml:space="preserve"> = 4 \* ROMAN </w:instrText>
            </w:r>
            <w:r>
              <w:fldChar w:fldCharType="separate"/>
            </w:r>
            <w:r>
              <w:t>IV</w:t>
            </w:r>
            <w:r>
              <w:fldChar w:fldCharType="end"/>
            </w:r>
            <w:r>
              <w:t>、</w:t>
            </w:r>
            <w:r>
              <w:fldChar w:fldCharType="begin"/>
            </w:r>
            <w:r>
              <w:instrText xml:space="preserve"> = 4 \* ROMAN </w:instrText>
            </w:r>
            <w:r>
              <w:fldChar w:fldCharType="separate"/>
            </w:r>
            <w:r>
              <w:t>IV</w:t>
            </w:r>
            <w:r>
              <w:fldChar w:fldCharType="end"/>
            </w:r>
            <w:r>
              <w:t>+</w:t>
            </w:r>
          </w:p>
        </w:tc>
        <w:tc>
          <w:tcPr>
            <w:tcW w:w="1919" w:type="dxa"/>
            <w:vAlign w:val="center"/>
          </w:tcPr>
          <w:p>
            <w:pPr>
              <w:pStyle w:val="2691"/>
            </w:pPr>
            <w:r>
              <w:fldChar w:fldCharType="begin"/>
            </w:r>
            <w:r>
              <w:instrText xml:space="preserve"> = 3 \* ROMAN </w:instrText>
            </w:r>
            <w:r>
              <w:fldChar w:fldCharType="separate"/>
            </w:r>
            <w:r>
              <w:t>III</w:t>
            </w:r>
            <w:r>
              <w:fldChar w:fldCharType="end"/>
            </w:r>
          </w:p>
        </w:tc>
        <w:tc>
          <w:tcPr>
            <w:tcW w:w="2345" w:type="dxa"/>
            <w:vAlign w:val="center"/>
          </w:tcPr>
          <w:p>
            <w:pPr>
              <w:pStyle w:val="2691"/>
            </w:pPr>
            <w:r>
              <w:fldChar w:fldCharType="begin"/>
            </w:r>
            <w:r>
              <w:instrText xml:space="preserve"> = 2 \* ROMAN </w:instrText>
            </w:r>
            <w:r>
              <w:fldChar w:fldCharType="separate"/>
            </w:r>
            <w:r>
              <w:t>II</w:t>
            </w:r>
            <w:r>
              <w:fldChar w:fldCharType="end"/>
            </w:r>
          </w:p>
        </w:tc>
        <w:tc>
          <w:tcPr>
            <w:tcW w:w="1707" w:type="dxa"/>
            <w:vAlign w:val="center"/>
          </w:tcPr>
          <w:p>
            <w:pPr>
              <w:pStyle w:val="2691"/>
            </w:pPr>
            <w:r>
              <w:fldChar w:fldCharType="begin"/>
            </w:r>
            <w:r>
              <w:instrText xml:space="preserve"> = 1 \* ROMAN </w:instrText>
            </w:r>
            <w:r>
              <w:fldChar w:fldCharType="separate"/>
            </w:r>
            <w:r>
              <w:t>I</w:t>
            </w:r>
            <w: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7" w:type="dxa"/>
            <w:vAlign w:val="center"/>
          </w:tcPr>
          <w:p>
            <w:pPr>
              <w:pStyle w:val="2691"/>
            </w:pPr>
            <w:r>
              <w:t>评价工作等级</w:t>
            </w:r>
          </w:p>
        </w:tc>
        <w:tc>
          <w:tcPr>
            <w:tcW w:w="1707" w:type="dxa"/>
            <w:vAlign w:val="center"/>
          </w:tcPr>
          <w:p>
            <w:pPr>
              <w:pStyle w:val="2691"/>
            </w:pPr>
            <w:r>
              <w:t>一</w:t>
            </w:r>
          </w:p>
        </w:tc>
        <w:tc>
          <w:tcPr>
            <w:tcW w:w="1919" w:type="dxa"/>
            <w:vAlign w:val="center"/>
          </w:tcPr>
          <w:p>
            <w:pPr>
              <w:pStyle w:val="2691"/>
            </w:pPr>
            <w:r>
              <w:t>二</w:t>
            </w:r>
          </w:p>
        </w:tc>
        <w:tc>
          <w:tcPr>
            <w:tcW w:w="2345" w:type="dxa"/>
            <w:vAlign w:val="center"/>
          </w:tcPr>
          <w:p>
            <w:pPr>
              <w:pStyle w:val="2691"/>
            </w:pPr>
            <w:r>
              <w:t>三</w:t>
            </w:r>
          </w:p>
        </w:tc>
        <w:tc>
          <w:tcPr>
            <w:tcW w:w="1707" w:type="dxa"/>
            <w:vAlign w:val="center"/>
          </w:tcPr>
          <w:p>
            <w:pPr>
              <w:pStyle w:val="2691"/>
            </w:pPr>
            <w:r>
              <w:t>简单分析a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175" w:type="dxa"/>
            <w:gridSpan w:val="5"/>
            <w:vAlign w:val="center"/>
          </w:tcPr>
          <w:p>
            <w:pPr>
              <w:pStyle w:val="2691"/>
            </w:pPr>
            <w:r>
              <w:t>a是相对于详细评价工作内容而言，在描述危险物质、环境影响途径、环境危害后果、风险防范措施等方面给出定性的说明。</w:t>
            </w:r>
          </w:p>
        </w:tc>
      </w:tr>
    </w:tbl>
    <w:p>
      <w:pPr>
        <w:pStyle w:val="458"/>
        <w:ind w:firstLine="480"/>
        <w:rPr>
          <w:rFonts w:cs="Times New Roman"/>
          <w:color w:val="auto"/>
        </w:rPr>
      </w:pPr>
      <w:r>
        <w:rPr>
          <w:rFonts w:cs="Times New Roman"/>
          <w:color w:val="auto"/>
        </w:rPr>
        <w:t>由上述调查分析可知本项目环境风险潜势为Ⅰ，同时根据上表可知，本项目环境风险评价等级为</w:t>
      </w:r>
      <w:r>
        <w:rPr>
          <w:rFonts w:cs="Times New Roman"/>
          <w:b/>
          <w:color w:val="auto"/>
        </w:rPr>
        <w:t>简单分析</w:t>
      </w:r>
      <w:r>
        <w:rPr>
          <w:rFonts w:cs="Times New Roman"/>
          <w:color w:val="auto"/>
        </w:rPr>
        <w:t>。</w:t>
      </w:r>
    </w:p>
    <w:p>
      <w:pPr>
        <w:pStyle w:val="458"/>
        <w:ind w:firstLine="480"/>
        <w:rPr>
          <w:rFonts w:cs="Times New Roman"/>
          <w:color w:val="auto"/>
        </w:rPr>
      </w:pPr>
      <w:r>
        <w:rPr>
          <w:rFonts w:cs="Times New Roman"/>
          <w:color w:val="auto"/>
        </w:rPr>
        <w:t>简单分析是相对于详细评价范围而言，在描述危险物质、环境影响途径、环境危害后果、风险防范措施等方面给出定性的说明。</w:t>
      </w:r>
    </w:p>
    <w:p>
      <w:pPr>
        <w:pStyle w:val="456"/>
        <w:ind w:firstLine="482"/>
      </w:pPr>
      <w:r>
        <w:t>环境敏感目标概况</w:t>
      </w:r>
    </w:p>
    <w:p>
      <w:pPr>
        <w:pStyle w:val="458"/>
        <w:ind w:firstLine="480"/>
        <w:rPr>
          <w:rFonts w:cs="Times New Roman"/>
          <w:color w:val="auto"/>
        </w:rPr>
      </w:pPr>
      <w:r>
        <w:rPr>
          <w:rFonts w:cs="Times New Roman"/>
          <w:color w:val="auto"/>
        </w:rPr>
        <w:t>经调查，本项目主要风险环境敏感目标分布情况详见表</w:t>
      </w:r>
      <w:r>
        <w:rPr>
          <w:rFonts w:cs="Times New Roman"/>
          <w:color w:val="auto"/>
          <w:spacing w:val="-60"/>
        </w:rPr>
        <w:t xml:space="preserve"> </w:t>
      </w:r>
      <w:r>
        <w:rPr>
          <w:rFonts w:cs="Times New Roman"/>
          <w:color w:val="auto"/>
        </w:rPr>
        <w:t>1-26。</w:t>
      </w:r>
    </w:p>
    <w:p>
      <w:pPr>
        <w:pStyle w:val="456"/>
        <w:ind w:firstLine="482"/>
      </w:pPr>
      <w:r>
        <w:t>风险原因识别</w:t>
      </w:r>
    </w:p>
    <w:p>
      <w:pPr>
        <w:pStyle w:val="458"/>
        <w:ind w:firstLine="480"/>
        <w:rPr>
          <w:rFonts w:cs="Times New Roman"/>
          <w:color w:val="auto"/>
          <w:szCs w:val="24"/>
        </w:rPr>
      </w:pPr>
      <w:r>
        <w:rPr>
          <w:rFonts w:cs="Times New Roman"/>
          <w:color w:val="auto"/>
          <w:szCs w:val="24"/>
        </w:rPr>
        <w:t>大量的水上溢油污染事故统计分析表明，造成水上溢油事故除了一些不可抗拒的自然灾害外，绝大部分是由于操作不当或违章作业等人为原因引起的，导致船舶碰撞、搁浅，进而导致燃料油泄漏进入水域内。事故原因主要表现在以下几个方面：</w:t>
      </w:r>
    </w:p>
    <w:p>
      <w:pPr>
        <w:pStyle w:val="458"/>
        <w:ind w:firstLine="482"/>
        <w:rPr>
          <w:rFonts w:cs="Times New Roman"/>
          <w:b/>
          <w:color w:val="auto"/>
        </w:rPr>
      </w:pPr>
      <w:r>
        <w:rPr>
          <w:rFonts w:cs="Times New Roman"/>
          <w:b/>
          <w:color w:val="auto"/>
        </w:rPr>
        <w:t>（1）船员素质</w:t>
      </w:r>
    </w:p>
    <w:p>
      <w:pPr>
        <w:pStyle w:val="458"/>
        <w:ind w:firstLine="480"/>
        <w:rPr>
          <w:rFonts w:cs="Times New Roman"/>
          <w:color w:val="auto"/>
        </w:rPr>
      </w:pPr>
      <w:r>
        <w:rPr>
          <w:rFonts w:cs="Times New Roman"/>
          <w:color w:val="auto"/>
        </w:rPr>
        <w:t>由于船员责任意识淡薄、缺乏系统培训、违章作业、实际操作应变能力差等人为因素，是船舶溢油事故不断的重要因素。这些人为因素主要包括船舶值班监督、定位、瞭望人员责任感强弱、引航判断正确与否，船速大小控制、对航行水域的熟悉程度、驾驶员的疲劳程度、对恶劣气象条件的重视与心理准确程度、浅水区船舶吃水的估计、对风水流变化引起走锚的估计，繁忙水域的船舶回旋操作、复杂情况下的操作应变能力与经验，以及恶劣气候条件下船员的心理警觉程度等。</w:t>
      </w:r>
    </w:p>
    <w:p>
      <w:pPr>
        <w:pStyle w:val="458"/>
        <w:ind w:firstLine="482"/>
        <w:rPr>
          <w:rFonts w:cs="Times New Roman"/>
          <w:b/>
          <w:color w:val="auto"/>
        </w:rPr>
      </w:pPr>
      <w:r>
        <w:rPr>
          <w:rFonts w:cs="Times New Roman"/>
          <w:b/>
          <w:color w:val="auto"/>
        </w:rPr>
        <w:t>（2）汛期流速较大</w:t>
      </w:r>
    </w:p>
    <w:p>
      <w:pPr>
        <w:pStyle w:val="458"/>
        <w:ind w:firstLine="480"/>
        <w:rPr>
          <w:rFonts w:cs="Times New Roman"/>
          <w:color w:val="auto"/>
        </w:rPr>
      </w:pPr>
      <w:r>
        <w:rPr>
          <w:rFonts w:cs="Times New Roman"/>
          <w:color w:val="auto"/>
        </w:rPr>
        <w:t>长江汛期河水流速较大，在船舶靠离作业期间，存在船舶发生漂移导致不能顺利靠泊，甚至触碰码头设施，存在偏出港池水域而搁浅的风险。</w:t>
      </w:r>
    </w:p>
    <w:p>
      <w:pPr>
        <w:pStyle w:val="458"/>
        <w:ind w:firstLine="482"/>
        <w:rPr>
          <w:rFonts w:cs="Times New Roman"/>
          <w:b/>
          <w:color w:val="auto"/>
        </w:rPr>
      </w:pPr>
      <w:r>
        <w:rPr>
          <w:rFonts w:cs="Times New Roman"/>
          <w:b/>
          <w:color w:val="auto"/>
        </w:rPr>
        <w:t>（3）洪水影响</w:t>
      </w:r>
    </w:p>
    <w:p>
      <w:pPr>
        <w:pStyle w:val="458"/>
        <w:ind w:firstLine="480"/>
        <w:rPr>
          <w:rFonts w:cs="Times New Roman"/>
          <w:color w:val="auto"/>
        </w:rPr>
      </w:pPr>
      <w:r>
        <w:rPr>
          <w:rFonts w:cs="Times New Roman"/>
          <w:color w:val="auto"/>
        </w:rPr>
        <w:t>洪水影响期间将影响船舶的靠离和系泊作业，并可能产生船舶撞击码头、系泊缆绳断缆和船舶漂流等风险。</w:t>
      </w:r>
    </w:p>
    <w:p>
      <w:pPr>
        <w:pStyle w:val="458"/>
        <w:ind w:firstLine="482"/>
        <w:rPr>
          <w:rFonts w:cs="Times New Roman"/>
          <w:b/>
          <w:color w:val="auto"/>
        </w:rPr>
      </w:pPr>
      <w:r>
        <w:rPr>
          <w:rFonts w:cs="Times New Roman"/>
          <w:b/>
          <w:color w:val="auto"/>
        </w:rPr>
        <w:t>（4）其它风险识别</w:t>
      </w:r>
    </w:p>
    <w:p>
      <w:pPr>
        <w:pStyle w:val="458"/>
        <w:ind w:firstLine="480"/>
        <w:rPr>
          <w:rFonts w:cs="Times New Roman"/>
          <w:color w:val="auto"/>
        </w:rPr>
      </w:pPr>
      <w:r>
        <w:rPr>
          <w:rFonts w:cs="Times New Roman"/>
          <w:color w:val="auto"/>
        </w:rPr>
        <w:t>如遇恶劣天气，在大风、浪、流的作用下，若选择锚位、锚泊方式不当，船舶存在发生走锚、锚链断裂、丢锚及其引起的擦碰、搁浅甚至碰撞等事故的风险。</w:t>
      </w:r>
    </w:p>
    <w:p>
      <w:pPr>
        <w:pStyle w:val="454"/>
        <w:ind w:firstLine="602"/>
        <w:rPr>
          <w:color w:val="auto"/>
        </w:rPr>
      </w:pPr>
      <w:r>
        <w:rPr>
          <w:color w:val="auto"/>
        </w:rPr>
        <w:t>风险源项分析</w:t>
      </w:r>
    </w:p>
    <w:p>
      <w:pPr>
        <w:ind w:firstLine="480"/>
      </w:pPr>
      <w:r>
        <w:t>拟建项目不从事危险化学品运输，本身无物质危险性和功能性危险源，风险事故的发生由间接行为导致，因此项目风险事故设定主要环境风险为船舶燃料油（柴油）泄露对地表水长江（岳阳段）产生影响。</w:t>
      </w:r>
    </w:p>
    <w:p>
      <w:pPr>
        <w:pStyle w:val="456"/>
        <w:ind w:firstLine="482"/>
      </w:pPr>
      <w:r>
        <w:t>船舶溢油事故统计资料</w:t>
      </w:r>
    </w:p>
    <w:p>
      <w:pPr>
        <w:numPr>
          <w:ilvl w:val="0"/>
          <w:numId w:val="65"/>
        </w:numPr>
        <w:ind w:firstLineChars="0"/>
        <w:jc w:val="left"/>
      </w:pPr>
      <w:r>
        <w:t>溢油事故统计</w:t>
      </w:r>
    </w:p>
    <w:p>
      <w:pPr>
        <w:pStyle w:val="458"/>
        <w:ind w:firstLine="480"/>
        <w:rPr>
          <w:rFonts w:cs="Times New Roman"/>
          <w:color w:val="auto"/>
        </w:rPr>
      </w:pPr>
      <w:r>
        <w:rPr>
          <w:rFonts w:cs="Times New Roman"/>
          <w:color w:val="auto"/>
        </w:rPr>
        <w:t>据统计，1973~2003 年，中国沿海、长江平均每年发生500多起溢油事故，发生溢油量在50t以上的重大船舶污染事故71起（平均每年发生2起），其中，长江平均每年发生船舶污染事故17起。2004 年全国各内河省份（直辖市）船舶进出港艘次和各类船舶事故数统计资料见表近14年我国海域发生452次溢油事故，其事故原因和事故溢油量见下表。</w:t>
      </w:r>
    </w:p>
    <w:p>
      <w:pPr>
        <w:pStyle w:val="3586"/>
        <w:ind w:left="0"/>
      </w:pPr>
      <w:r>
        <w:t xml:space="preserve"> 2004年全国各内河省份（直辖市）船舶进出港艘次、事故数统计</w:t>
      </w:r>
    </w:p>
    <w:tbl>
      <w:tblPr>
        <w:tblStyle w:val="3596"/>
        <w:tblW w:w="488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2245"/>
        <w:gridCol w:w="1196"/>
        <w:gridCol w:w="974"/>
        <w:gridCol w:w="873"/>
        <w:gridCol w:w="865"/>
        <w:gridCol w:w="842"/>
        <w:gridCol w:w="887"/>
        <w:gridCol w:w="75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4" w:type="pct"/>
            <w:vMerge w:val="restart"/>
            <w:vAlign w:val="center"/>
          </w:tcPr>
          <w:p>
            <w:pPr>
              <w:pStyle w:val="2691"/>
              <w:rPr>
                <w:b/>
                <w:bCs/>
                <w:lang w:eastAsia="en-US"/>
              </w:rPr>
            </w:pPr>
            <w:r>
              <w:rPr>
                <w:b/>
                <w:bCs/>
              </w:rPr>
              <w:t>序号</w:t>
            </w:r>
          </w:p>
        </w:tc>
        <w:tc>
          <w:tcPr>
            <w:tcW w:w="1238" w:type="pct"/>
            <w:vMerge w:val="restart"/>
            <w:vAlign w:val="center"/>
          </w:tcPr>
          <w:p>
            <w:pPr>
              <w:pStyle w:val="2691"/>
              <w:rPr>
                <w:b/>
                <w:bCs/>
                <w:lang w:eastAsia="en-US"/>
              </w:rPr>
            </w:pPr>
            <w:r>
              <w:rPr>
                <w:b/>
                <w:bCs/>
              </w:rPr>
              <w:t>地区</w:t>
            </w:r>
          </w:p>
        </w:tc>
        <w:tc>
          <w:tcPr>
            <w:tcW w:w="660" w:type="pct"/>
            <w:vMerge w:val="restart"/>
            <w:vAlign w:val="center"/>
          </w:tcPr>
          <w:p>
            <w:pPr>
              <w:pStyle w:val="2691"/>
              <w:rPr>
                <w:b/>
                <w:bCs/>
                <w:lang w:eastAsia="en-US"/>
              </w:rPr>
            </w:pPr>
            <w:r>
              <w:rPr>
                <w:b/>
                <w:bCs/>
                <w:lang w:eastAsia="en-US"/>
              </w:rPr>
              <w:t>内河船舶</w:t>
            </w:r>
          </w:p>
          <w:p>
            <w:pPr>
              <w:pStyle w:val="2691"/>
              <w:rPr>
                <w:b/>
                <w:bCs/>
                <w:lang w:eastAsia="en-US"/>
              </w:rPr>
            </w:pPr>
            <w:r>
              <w:rPr>
                <w:b/>
                <w:bCs/>
                <w:lang w:eastAsia="en-US"/>
              </w:rPr>
              <w:t>进出港艘</w:t>
            </w:r>
          </w:p>
          <w:p>
            <w:pPr>
              <w:pStyle w:val="2691"/>
              <w:rPr>
                <w:b/>
                <w:bCs/>
                <w:lang w:eastAsia="en-US"/>
              </w:rPr>
            </w:pPr>
            <w:r>
              <w:rPr>
                <w:b/>
                <w:bCs/>
                <w:lang w:eastAsia="en-US"/>
              </w:rPr>
              <w:t>次</w:t>
            </w:r>
          </w:p>
        </w:tc>
        <w:tc>
          <w:tcPr>
            <w:tcW w:w="2866" w:type="pct"/>
            <w:gridSpan w:val="6"/>
            <w:vAlign w:val="center"/>
          </w:tcPr>
          <w:p>
            <w:pPr>
              <w:pStyle w:val="2691"/>
              <w:rPr>
                <w:b/>
                <w:bCs/>
                <w:lang w:eastAsia="en-US"/>
              </w:rPr>
            </w:pPr>
            <w:r>
              <w:rPr>
                <w:b/>
                <w:bCs/>
              </w:rPr>
              <w:t>统计</w:t>
            </w:r>
            <w:r>
              <w:rPr>
                <w:b/>
                <w:bCs/>
                <w:lang w:eastAsia="en-US"/>
              </w:rPr>
              <w:t>事故</w:t>
            </w:r>
            <w:r>
              <w:rPr>
                <w:b/>
                <w:bCs/>
              </w:rPr>
              <w:t>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4" w:type="pct"/>
            <w:vMerge w:val="continue"/>
            <w:tcBorders>
              <w:bottom w:val="single" w:color="auto" w:sz="12" w:space="0"/>
            </w:tcBorders>
            <w:vAlign w:val="center"/>
          </w:tcPr>
          <w:p>
            <w:pPr>
              <w:pStyle w:val="2691"/>
              <w:rPr>
                <w:b/>
                <w:bCs/>
                <w:lang w:eastAsia="en-US"/>
              </w:rPr>
            </w:pPr>
          </w:p>
        </w:tc>
        <w:tc>
          <w:tcPr>
            <w:tcW w:w="1238" w:type="pct"/>
            <w:vMerge w:val="continue"/>
            <w:tcBorders>
              <w:bottom w:val="single" w:color="auto" w:sz="12" w:space="0"/>
            </w:tcBorders>
            <w:vAlign w:val="center"/>
          </w:tcPr>
          <w:p>
            <w:pPr>
              <w:pStyle w:val="2691"/>
              <w:rPr>
                <w:b/>
                <w:bCs/>
                <w:lang w:eastAsia="en-US"/>
              </w:rPr>
            </w:pPr>
          </w:p>
        </w:tc>
        <w:tc>
          <w:tcPr>
            <w:tcW w:w="660" w:type="pct"/>
            <w:vMerge w:val="continue"/>
            <w:tcBorders>
              <w:bottom w:val="single" w:color="auto" w:sz="12" w:space="0"/>
            </w:tcBorders>
            <w:vAlign w:val="center"/>
          </w:tcPr>
          <w:p>
            <w:pPr>
              <w:pStyle w:val="2691"/>
              <w:rPr>
                <w:b/>
                <w:bCs/>
                <w:lang w:eastAsia="en-US"/>
              </w:rPr>
            </w:pPr>
          </w:p>
        </w:tc>
        <w:tc>
          <w:tcPr>
            <w:tcW w:w="537" w:type="pct"/>
            <w:tcBorders>
              <w:bottom w:val="single" w:color="auto" w:sz="12" w:space="0"/>
            </w:tcBorders>
            <w:vAlign w:val="center"/>
          </w:tcPr>
          <w:p>
            <w:pPr>
              <w:pStyle w:val="2691"/>
              <w:rPr>
                <w:b/>
                <w:bCs/>
                <w:lang w:eastAsia="en-US"/>
              </w:rPr>
            </w:pPr>
            <w:r>
              <w:rPr>
                <w:b/>
                <w:bCs/>
              </w:rPr>
              <w:t>事故</w:t>
            </w:r>
            <w:r>
              <w:rPr>
                <w:b/>
                <w:bCs/>
                <w:lang w:eastAsia="en-US"/>
              </w:rPr>
              <w:t>总数</w:t>
            </w:r>
          </w:p>
        </w:tc>
        <w:tc>
          <w:tcPr>
            <w:tcW w:w="481" w:type="pct"/>
            <w:tcBorders>
              <w:bottom w:val="single" w:color="auto" w:sz="12" w:space="0"/>
            </w:tcBorders>
            <w:vAlign w:val="center"/>
          </w:tcPr>
          <w:p>
            <w:pPr>
              <w:pStyle w:val="2691"/>
              <w:rPr>
                <w:b/>
                <w:bCs/>
                <w:lang w:eastAsia="en-US"/>
              </w:rPr>
            </w:pPr>
            <w:r>
              <w:rPr>
                <w:b/>
                <w:bCs/>
              </w:rPr>
              <w:t>重大</w:t>
            </w:r>
            <w:r>
              <w:rPr>
                <w:b/>
                <w:bCs/>
                <w:lang w:eastAsia="en-US"/>
              </w:rPr>
              <w:t>事故</w:t>
            </w:r>
          </w:p>
        </w:tc>
        <w:tc>
          <w:tcPr>
            <w:tcW w:w="477" w:type="pct"/>
            <w:tcBorders>
              <w:bottom w:val="single" w:color="auto" w:sz="12" w:space="0"/>
            </w:tcBorders>
            <w:vAlign w:val="center"/>
          </w:tcPr>
          <w:p>
            <w:pPr>
              <w:pStyle w:val="2691"/>
              <w:rPr>
                <w:b/>
                <w:bCs/>
                <w:lang w:eastAsia="en-US"/>
              </w:rPr>
            </w:pPr>
            <w:r>
              <w:rPr>
                <w:b/>
                <w:bCs/>
              </w:rPr>
              <w:t>大事故</w:t>
            </w:r>
          </w:p>
        </w:tc>
        <w:tc>
          <w:tcPr>
            <w:tcW w:w="464" w:type="pct"/>
            <w:tcBorders>
              <w:bottom w:val="single" w:color="auto" w:sz="12" w:space="0"/>
            </w:tcBorders>
            <w:vAlign w:val="center"/>
          </w:tcPr>
          <w:p>
            <w:pPr>
              <w:pStyle w:val="2691"/>
              <w:rPr>
                <w:b/>
                <w:bCs/>
                <w:lang w:eastAsia="en-US"/>
              </w:rPr>
            </w:pPr>
            <w:r>
              <w:rPr>
                <w:b/>
                <w:bCs/>
              </w:rPr>
              <w:t>一般事故</w:t>
            </w:r>
          </w:p>
        </w:tc>
        <w:tc>
          <w:tcPr>
            <w:tcW w:w="489" w:type="pct"/>
            <w:tcBorders>
              <w:bottom w:val="single" w:color="auto" w:sz="12" w:space="0"/>
            </w:tcBorders>
            <w:vAlign w:val="center"/>
          </w:tcPr>
          <w:p>
            <w:pPr>
              <w:pStyle w:val="2691"/>
              <w:rPr>
                <w:b/>
                <w:bCs/>
                <w:lang w:eastAsia="en-US"/>
              </w:rPr>
            </w:pPr>
            <w:r>
              <w:rPr>
                <w:b/>
                <w:bCs/>
              </w:rPr>
              <w:t>沉船</w:t>
            </w:r>
          </w:p>
        </w:tc>
        <w:tc>
          <w:tcPr>
            <w:tcW w:w="416" w:type="pct"/>
            <w:tcBorders>
              <w:bottom w:val="single" w:color="auto" w:sz="12" w:space="0"/>
            </w:tcBorders>
            <w:vAlign w:val="center"/>
          </w:tcPr>
          <w:p>
            <w:pPr>
              <w:pStyle w:val="2691"/>
              <w:rPr>
                <w:b/>
                <w:bCs/>
                <w:lang w:eastAsia="en-US"/>
              </w:rPr>
            </w:pPr>
            <w:r>
              <w:rPr>
                <w:b/>
                <w:bCs/>
              </w:rPr>
              <w:t>死亡人数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4" w:type="pct"/>
            <w:tcBorders>
              <w:top w:val="single" w:color="auto" w:sz="12" w:space="0"/>
            </w:tcBorders>
            <w:vAlign w:val="center"/>
          </w:tcPr>
          <w:p>
            <w:pPr>
              <w:pStyle w:val="2691"/>
            </w:pPr>
            <w:r>
              <w:t>1</w:t>
            </w:r>
          </w:p>
        </w:tc>
        <w:tc>
          <w:tcPr>
            <w:tcW w:w="1238" w:type="pct"/>
            <w:tcBorders>
              <w:top w:val="single" w:color="auto" w:sz="12" w:space="0"/>
            </w:tcBorders>
            <w:vAlign w:val="center"/>
          </w:tcPr>
          <w:p>
            <w:pPr>
              <w:pStyle w:val="2691"/>
              <w:rPr>
                <w:rFonts w:eastAsia="Times New Roman"/>
                <w:lang w:eastAsia="en-US"/>
              </w:rPr>
            </w:pPr>
            <w:r>
              <w:t>长江（湖北、重庆）</w:t>
            </w:r>
          </w:p>
        </w:tc>
        <w:tc>
          <w:tcPr>
            <w:tcW w:w="660" w:type="pct"/>
            <w:tcBorders>
              <w:top w:val="single" w:color="auto" w:sz="12" w:space="0"/>
            </w:tcBorders>
            <w:vAlign w:val="center"/>
          </w:tcPr>
          <w:p>
            <w:pPr>
              <w:pStyle w:val="2691"/>
            </w:pPr>
            <w:r>
              <w:t>200043</w:t>
            </w:r>
          </w:p>
        </w:tc>
        <w:tc>
          <w:tcPr>
            <w:tcW w:w="537" w:type="pct"/>
            <w:tcBorders>
              <w:top w:val="single" w:color="auto" w:sz="12" w:space="0"/>
            </w:tcBorders>
            <w:vAlign w:val="center"/>
          </w:tcPr>
          <w:p>
            <w:pPr>
              <w:pStyle w:val="2691"/>
            </w:pPr>
            <w:r>
              <w:t>72</w:t>
            </w:r>
          </w:p>
        </w:tc>
        <w:tc>
          <w:tcPr>
            <w:tcW w:w="481" w:type="pct"/>
            <w:tcBorders>
              <w:top w:val="single" w:color="auto" w:sz="12" w:space="0"/>
            </w:tcBorders>
            <w:vAlign w:val="center"/>
          </w:tcPr>
          <w:p>
            <w:pPr>
              <w:pStyle w:val="2691"/>
            </w:pPr>
            <w:r>
              <w:t>8</w:t>
            </w:r>
          </w:p>
        </w:tc>
        <w:tc>
          <w:tcPr>
            <w:tcW w:w="477" w:type="pct"/>
            <w:tcBorders>
              <w:top w:val="single" w:color="auto" w:sz="12" w:space="0"/>
            </w:tcBorders>
            <w:vAlign w:val="center"/>
          </w:tcPr>
          <w:p>
            <w:pPr>
              <w:pStyle w:val="2691"/>
              <w:rPr>
                <w:rFonts w:eastAsia="Times New Roman"/>
                <w:lang w:eastAsia="en-US"/>
              </w:rPr>
            </w:pPr>
            <w:r>
              <w:t>41</w:t>
            </w:r>
          </w:p>
        </w:tc>
        <w:tc>
          <w:tcPr>
            <w:tcW w:w="464" w:type="pct"/>
            <w:tcBorders>
              <w:top w:val="single" w:color="auto" w:sz="12" w:space="0"/>
            </w:tcBorders>
            <w:vAlign w:val="center"/>
          </w:tcPr>
          <w:p>
            <w:pPr>
              <w:pStyle w:val="2691"/>
            </w:pPr>
            <w:r>
              <w:t>23</w:t>
            </w:r>
          </w:p>
        </w:tc>
        <w:tc>
          <w:tcPr>
            <w:tcW w:w="489" w:type="pct"/>
            <w:tcBorders>
              <w:top w:val="single" w:color="auto" w:sz="12" w:space="0"/>
            </w:tcBorders>
            <w:vAlign w:val="center"/>
          </w:tcPr>
          <w:p>
            <w:pPr>
              <w:pStyle w:val="2691"/>
            </w:pPr>
            <w:r>
              <w:t>49</w:t>
            </w:r>
          </w:p>
        </w:tc>
        <w:tc>
          <w:tcPr>
            <w:tcW w:w="416" w:type="pct"/>
            <w:tcBorders>
              <w:top w:val="single" w:color="auto" w:sz="12" w:space="0"/>
            </w:tcBorders>
            <w:vAlign w:val="center"/>
          </w:tcPr>
          <w:p>
            <w:pPr>
              <w:pStyle w:val="2691"/>
            </w:pPr>
            <w:r>
              <w:t>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4" w:type="pct"/>
            <w:vAlign w:val="center"/>
          </w:tcPr>
          <w:p>
            <w:pPr>
              <w:pStyle w:val="2691"/>
            </w:pPr>
            <w:r>
              <w:t>2</w:t>
            </w:r>
          </w:p>
        </w:tc>
        <w:tc>
          <w:tcPr>
            <w:tcW w:w="1238" w:type="pct"/>
            <w:vAlign w:val="center"/>
          </w:tcPr>
          <w:p>
            <w:pPr>
              <w:pStyle w:val="2691"/>
              <w:rPr>
                <w:rFonts w:eastAsia="Times New Roman"/>
                <w:lang w:eastAsia="en-US"/>
              </w:rPr>
            </w:pPr>
            <w:r>
              <w:rPr>
                <w:lang w:eastAsia="en-US"/>
              </w:rPr>
              <w:t>江苏</w:t>
            </w:r>
          </w:p>
        </w:tc>
        <w:tc>
          <w:tcPr>
            <w:tcW w:w="660" w:type="pct"/>
            <w:vAlign w:val="center"/>
          </w:tcPr>
          <w:p>
            <w:pPr>
              <w:pStyle w:val="2691"/>
            </w:pPr>
            <w:r>
              <w:t>551610</w:t>
            </w:r>
          </w:p>
        </w:tc>
        <w:tc>
          <w:tcPr>
            <w:tcW w:w="537" w:type="pct"/>
            <w:vAlign w:val="center"/>
          </w:tcPr>
          <w:p>
            <w:pPr>
              <w:pStyle w:val="2691"/>
            </w:pPr>
            <w:r>
              <w:t>58</w:t>
            </w:r>
          </w:p>
        </w:tc>
        <w:tc>
          <w:tcPr>
            <w:tcW w:w="481" w:type="pct"/>
            <w:vAlign w:val="center"/>
          </w:tcPr>
          <w:p>
            <w:pPr>
              <w:pStyle w:val="2691"/>
            </w:pPr>
            <w:r>
              <w:t>6</w:t>
            </w:r>
          </w:p>
        </w:tc>
        <w:tc>
          <w:tcPr>
            <w:tcW w:w="477" w:type="pct"/>
            <w:vAlign w:val="center"/>
          </w:tcPr>
          <w:p>
            <w:pPr>
              <w:pStyle w:val="2691"/>
            </w:pPr>
            <w:r>
              <w:t>40</w:t>
            </w:r>
          </w:p>
        </w:tc>
        <w:tc>
          <w:tcPr>
            <w:tcW w:w="464" w:type="pct"/>
            <w:vAlign w:val="center"/>
          </w:tcPr>
          <w:p>
            <w:pPr>
              <w:pStyle w:val="2691"/>
            </w:pPr>
            <w:r>
              <w:t>12</w:t>
            </w:r>
          </w:p>
        </w:tc>
        <w:tc>
          <w:tcPr>
            <w:tcW w:w="489" w:type="pct"/>
            <w:vAlign w:val="center"/>
          </w:tcPr>
          <w:p>
            <w:pPr>
              <w:pStyle w:val="2691"/>
            </w:pPr>
            <w:r>
              <w:t>49</w:t>
            </w:r>
          </w:p>
        </w:tc>
        <w:tc>
          <w:tcPr>
            <w:tcW w:w="416" w:type="pct"/>
            <w:vAlign w:val="center"/>
          </w:tcPr>
          <w:p>
            <w:pPr>
              <w:pStyle w:val="2691"/>
            </w:pPr>
            <w:r>
              <w:t>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4" w:type="pct"/>
            <w:vAlign w:val="center"/>
          </w:tcPr>
          <w:p>
            <w:pPr>
              <w:pStyle w:val="2691"/>
            </w:pPr>
            <w:r>
              <w:t>3</w:t>
            </w:r>
          </w:p>
        </w:tc>
        <w:tc>
          <w:tcPr>
            <w:tcW w:w="1238" w:type="pct"/>
            <w:vAlign w:val="center"/>
          </w:tcPr>
          <w:p>
            <w:pPr>
              <w:pStyle w:val="2691"/>
              <w:rPr>
                <w:rFonts w:eastAsia="Times New Roman"/>
                <w:lang w:eastAsia="en-US"/>
              </w:rPr>
            </w:pPr>
            <w:r>
              <w:rPr>
                <w:lang w:eastAsia="en-US"/>
              </w:rPr>
              <w:t>上海</w:t>
            </w:r>
          </w:p>
        </w:tc>
        <w:tc>
          <w:tcPr>
            <w:tcW w:w="660" w:type="pct"/>
            <w:vAlign w:val="center"/>
          </w:tcPr>
          <w:p>
            <w:pPr>
              <w:pStyle w:val="2691"/>
            </w:pPr>
            <w:r>
              <w:t>503733</w:t>
            </w:r>
          </w:p>
        </w:tc>
        <w:tc>
          <w:tcPr>
            <w:tcW w:w="537" w:type="pct"/>
            <w:vAlign w:val="center"/>
          </w:tcPr>
          <w:p>
            <w:pPr>
              <w:pStyle w:val="2691"/>
            </w:pPr>
            <w:r>
              <w:t>67</w:t>
            </w:r>
          </w:p>
        </w:tc>
        <w:tc>
          <w:tcPr>
            <w:tcW w:w="481" w:type="pct"/>
            <w:vAlign w:val="center"/>
          </w:tcPr>
          <w:p>
            <w:pPr>
              <w:pStyle w:val="2691"/>
            </w:pPr>
            <w:r>
              <w:t>14</w:t>
            </w:r>
          </w:p>
        </w:tc>
        <w:tc>
          <w:tcPr>
            <w:tcW w:w="477" w:type="pct"/>
            <w:vAlign w:val="center"/>
          </w:tcPr>
          <w:p>
            <w:pPr>
              <w:pStyle w:val="2691"/>
            </w:pPr>
            <w:r>
              <w:t>32</w:t>
            </w:r>
          </w:p>
        </w:tc>
        <w:tc>
          <w:tcPr>
            <w:tcW w:w="464" w:type="pct"/>
            <w:vAlign w:val="center"/>
          </w:tcPr>
          <w:p>
            <w:pPr>
              <w:pStyle w:val="2691"/>
            </w:pPr>
            <w:r>
              <w:t>21</w:t>
            </w:r>
          </w:p>
        </w:tc>
        <w:tc>
          <w:tcPr>
            <w:tcW w:w="489" w:type="pct"/>
            <w:vAlign w:val="center"/>
          </w:tcPr>
          <w:p>
            <w:pPr>
              <w:pStyle w:val="2691"/>
            </w:pPr>
            <w:r>
              <w:t>66</w:t>
            </w:r>
          </w:p>
        </w:tc>
        <w:tc>
          <w:tcPr>
            <w:tcW w:w="416" w:type="pct"/>
            <w:vAlign w:val="center"/>
          </w:tcPr>
          <w:p>
            <w:pPr>
              <w:pStyle w:val="2691"/>
            </w:pPr>
            <w:r>
              <w:t>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2" w:type="pct"/>
            <w:gridSpan w:val="2"/>
            <w:vAlign w:val="center"/>
          </w:tcPr>
          <w:p>
            <w:pPr>
              <w:pStyle w:val="2691"/>
              <w:rPr>
                <w:rFonts w:eastAsia="Times New Roman"/>
                <w:lang w:eastAsia="en-US"/>
              </w:rPr>
            </w:pPr>
            <w:r>
              <w:rPr>
                <w:lang w:eastAsia="en-US"/>
              </w:rPr>
              <w:t>合计</w:t>
            </w:r>
          </w:p>
        </w:tc>
        <w:tc>
          <w:tcPr>
            <w:tcW w:w="660" w:type="pct"/>
            <w:vAlign w:val="center"/>
          </w:tcPr>
          <w:p>
            <w:pPr>
              <w:pStyle w:val="2691"/>
            </w:pPr>
            <w:r>
              <w:t>1255377</w:t>
            </w:r>
          </w:p>
        </w:tc>
        <w:tc>
          <w:tcPr>
            <w:tcW w:w="537" w:type="pct"/>
            <w:vAlign w:val="center"/>
          </w:tcPr>
          <w:p>
            <w:pPr>
              <w:pStyle w:val="2691"/>
            </w:pPr>
            <w:r>
              <w:t>197</w:t>
            </w:r>
          </w:p>
        </w:tc>
        <w:tc>
          <w:tcPr>
            <w:tcW w:w="481" w:type="pct"/>
            <w:vAlign w:val="center"/>
          </w:tcPr>
          <w:p>
            <w:pPr>
              <w:pStyle w:val="2691"/>
            </w:pPr>
            <w:r>
              <w:t>28</w:t>
            </w:r>
          </w:p>
        </w:tc>
        <w:tc>
          <w:tcPr>
            <w:tcW w:w="477" w:type="pct"/>
            <w:vAlign w:val="center"/>
          </w:tcPr>
          <w:p>
            <w:pPr>
              <w:pStyle w:val="2691"/>
            </w:pPr>
            <w:r>
              <w:t>113</w:t>
            </w:r>
          </w:p>
        </w:tc>
        <w:tc>
          <w:tcPr>
            <w:tcW w:w="464" w:type="pct"/>
            <w:vAlign w:val="center"/>
          </w:tcPr>
          <w:p>
            <w:pPr>
              <w:pStyle w:val="2691"/>
            </w:pPr>
            <w:r>
              <w:t>56</w:t>
            </w:r>
          </w:p>
        </w:tc>
        <w:tc>
          <w:tcPr>
            <w:tcW w:w="489" w:type="pct"/>
            <w:vAlign w:val="center"/>
          </w:tcPr>
          <w:p>
            <w:pPr>
              <w:pStyle w:val="2691"/>
            </w:pPr>
            <w:r>
              <w:t>164</w:t>
            </w:r>
          </w:p>
        </w:tc>
        <w:tc>
          <w:tcPr>
            <w:tcW w:w="416" w:type="pct"/>
            <w:vAlign w:val="center"/>
          </w:tcPr>
          <w:p>
            <w:pPr>
              <w:pStyle w:val="2691"/>
            </w:pPr>
            <w:r>
              <w:t>184</w:t>
            </w:r>
          </w:p>
        </w:tc>
      </w:tr>
    </w:tbl>
    <w:p>
      <w:pPr>
        <w:spacing w:before="18" w:line="80" w:lineRule="exact"/>
        <w:ind w:firstLine="160"/>
        <w:rPr>
          <w:sz w:val="8"/>
          <w:szCs w:val="8"/>
        </w:rPr>
      </w:pPr>
    </w:p>
    <w:p>
      <w:pPr>
        <w:numPr>
          <w:ilvl w:val="0"/>
          <w:numId w:val="65"/>
        </w:numPr>
        <w:ind w:firstLineChars="0"/>
        <w:jc w:val="left"/>
      </w:pPr>
      <w:r>
        <w:t>长江海事局所辖区段船舶事故统计</w:t>
      </w:r>
    </w:p>
    <w:p>
      <w:pPr>
        <w:pStyle w:val="458"/>
        <w:ind w:firstLine="480"/>
        <w:rPr>
          <w:rFonts w:cs="Times New Roman"/>
          <w:color w:val="auto"/>
        </w:rPr>
      </w:pPr>
      <w:r>
        <w:rPr>
          <w:rFonts w:cs="Times New Roman"/>
          <w:color w:val="auto"/>
        </w:rPr>
        <w:t>根据长江海事局辖区2008年~2010年上半年统计资料，辖区2008年共发生事故及险情346件，其中一般及以上事故46件，直接经济损失2763.2万元。</w:t>
      </w:r>
    </w:p>
    <w:p>
      <w:pPr>
        <w:pStyle w:val="458"/>
        <w:ind w:firstLine="480"/>
        <w:rPr>
          <w:rFonts w:cs="Times New Roman"/>
          <w:color w:val="auto"/>
        </w:rPr>
      </w:pPr>
      <w:r>
        <w:rPr>
          <w:rFonts w:cs="Times New Roman"/>
          <w:color w:val="auto"/>
        </w:rPr>
        <w:t>2009 年辖区内发生事故、险情315件，一般及以上事故 42.5 件，直接经济损失 3779.9万元。</w:t>
      </w:r>
    </w:p>
    <w:p>
      <w:pPr>
        <w:pStyle w:val="458"/>
        <w:ind w:firstLine="480"/>
        <w:rPr>
          <w:rFonts w:cs="Times New Roman"/>
          <w:color w:val="auto"/>
        </w:rPr>
      </w:pPr>
      <w:r>
        <w:rPr>
          <w:rFonts w:cs="Times New Roman"/>
          <w:color w:val="auto"/>
        </w:rPr>
        <w:t>2010 年上半年共发生事故、险情138件（同比下降 9.8%），一般及以上事故11件，经济损失407万元，同比等级事故数、沉船数、经济损失分别下降 53.2%、40%、70.2%。辖区安全形势明显改善。</w:t>
      </w:r>
    </w:p>
    <w:p>
      <w:pPr>
        <w:numPr>
          <w:ilvl w:val="0"/>
          <w:numId w:val="65"/>
        </w:numPr>
        <w:ind w:firstLineChars="0"/>
        <w:jc w:val="left"/>
      </w:pPr>
      <w:r>
        <w:t>典型码头溢油事故</w:t>
      </w:r>
    </w:p>
    <w:p>
      <w:pPr>
        <w:pStyle w:val="458"/>
        <w:ind w:firstLine="480"/>
        <w:rPr>
          <w:rFonts w:cs="Times New Roman"/>
          <w:color w:val="auto"/>
        </w:rPr>
      </w:pPr>
      <w:r>
        <w:rPr>
          <w:rFonts w:hint="eastAsia" w:ascii="宋体" w:hAnsi="宋体"/>
          <w:color w:val="auto"/>
        </w:rPr>
        <w:t>①</w:t>
      </w:r>
      <w:r>
        <w:rPr>
          <w:rFonts w:cs="Times New Roman"/>
          <w:color w:val="auto"/>
        </w:rPr>
        <w:t>上海高桥炼油厂码头</w:t>
      </w:r>
    </w:p>
    <w:p>
      <w:pPr>
        <w:pStyle w:val="458"/>
        <w:ind w:firstLine="480"/>
        <w:rPr>
          <w:rFonts w:cs="Times New Roman"/>
          <w:color w:val="auto"/>
        </w:rPr>
      </w:pPr>
      <w:r>
        <w:rPr>
          <w:rFonts w:cs="Times New Roman"/>
          <w:color w:val="auto"/>
        </w:rPr>
        <w:t>上海高桥炼油厂原油成品油进出口码头，年吞吐量700万t。1978-1992年的共发生溢油事故167次，平均每年11次，除一次超过100t（665t）外，其他都在100t以下，多数在1t以下，而且多发生在装卸作业过程，特别是装船冒舱跑油事故较多。装油溢油事故次数占60%，卸油占19%。</w:t>
      </w:r>
    </w:p>
    <w:p>
      <w:pPr>
        <w:pStyle w:val="458"/>
        <w:ind w:firstLine="480"/>
        <w:rPr>
          <w:rFonts w:cs="Times New Roman"/>
          <w:color w:val="auto"/>
        </w:rPr>
      </w:pPr>
      <w:r>
        <w:rPr>
          <w:rFonts w:hint="eastAsia" w:ascii="宋体" w:hAnsi="宋体"/>
          <w:color w:val="auto"/>
        </w:rPr>
        <w:t>②</w:t>
      </w:r>
      <w:r>
        <w:rPr>
          <w:rFonts w:cs="Times New Roman"/>
          <w:color w:val="auto"/>
        </w:rPr>
        <w:t>湛江港溢油事故统计</w:t>
      </w:r>
    </w:p>
    <w:p>
      <w:pPr>
        <w:pStyle w:val="458"/>
        <w:ind w:firstLine="480"/>
        <w:rPr>
          <w:rFonts w:cs="Times New Roman"/>
          <w:color w:val="auto"/>
        </w:rPr>
      </w:pPr>
      <w:r>
        <w:rPr>
          <w:rFonts w:cs="Times New Roman"/>
          <w:color w:val="auto"/>
        </w:rPr>
        <w:t>湛江港也是原油和成品油港口，年吞吐量580-770万t。每年进出港的油轮600余艘次。从1983-1991年的溢油事故统计中，共发生溢油事故188次，平均每年21次，但这些事故的溢油量都很小，几乎都在10t以下，超过10t的事故发生了一次，没有发生重大溢油事故。</w:t>
      </w:r>
    </w:p>
    <w:p>
      <w:pPr>
        <w:pStyle w:val="458"/>
        <w:ind w:firstLine="480"/>
        <w:rPr>
          <w:rFonts w:cs="Times New Roman"/>
          <w:color w:val="auto"/>
        </w:rPr>
      </w:pPr>
      <w:r>
        <w:rPr>
          <w:rFonts w:hint="eastAsia" w:ascii="宋体" w:hAnsi="宋体"/>
          <w:color w:val="auto"/>
        </w:rPr>
        <w:t>③</w:t>
      </w:r>
      <w:r>
        <w:rPr>
          <w:rFonts w:cs="Times New Roman"/>
          <w:color w:val="auto"/>
        </w:rPr>
        <w:t>大连新港溢油事故</w:t>
      </w:r>
    </w:p>
    <w:p>
      <w:pPr>
        <w:pStyle w:val="458"/>
        <w:ind w:firstLine="480"/>
        <w:rPr>
          <w:rFonts w:cs="Times New Roman"/>
          <w:color w:val="auto"/>
        </w:rPr>
      </w:pPr>
      <w:r>
        <w:rPr>
          <w:rFonts w:cs="Times New Roman"/>
          <w:color w:val="auto"/>
        </w:rPr>
        <w:t>在大连新港20多年运行历史中，码头及其罐区共发生大小溢油事故36次，其中油罐冒顶溢油事故1次，连接码头和罐区的输油管道腐蚀渗漏2次，码头前沿作业33次，在36次溢油事故中，大部分溢油量较小，其中小于等于</w:t>
      </w:r>
      <w:r>
        <w:rPr>
          <w:rFonts w:cs="Times New Roman"/>
          <w:color w:val="auto"/>
          <w:spacing w:val="-77"/>
        </w:rPr>
        <w:t xml:space="preserve"> </w:t>
      </w:r>
      <w:r>
        <w:rPr>
          <w:rFonts w:eastAsia="Times New Roman" w:cs="Times New Roman"/>
          <w:color w:val="auto"/>
        </w:rPr>
        <w:t>1</w:t>
      </w:r>
      <w:r>
        <w:rPr>
          <w:rFonts w:cs="Times New Roman"/>
          <w:color w:val="auto"/>
        </w:rPr>
        <w:t>t的溢油事故</w:t>
      </w:r>
      <w:r>
        <w:rPr>
          <w:rFonts w:cs="Times New Roman"/>
          <w:color w:val="auto"/>
          <w:spacing w:val="-77"/>
        </w:rPr>
        <w:t xml:space="preserve"> </w:t>
      </w:r>
      <w:r>
        <w:rPr>
          <w:rFonts w:eastAsia="Times New Roman" w:cs="Times New Roman"/>
          <w:color w:val="auto"/>
        </w:rPr>
        <w:t>32</w:t>
      </w:r>
      <w:r>
        <w:rPr>
          <w:rFonts w:cs="Times New Roman"/>
          <w:color w:val="auto"/>
        </w:rPr>
        <w:t>次，</w:t>
      </w:r>
      <w:r>
        <w:rPr>
          <w:rFonts w:eastAsia="Times New Roman" w:cs="Times New Roman"/>
          <w:color w:val="auto"/>
        </w:rPr>
        <w:t>1-5</w:t>
      </w:r>
      <w:r>
        <w:rPr>
          <w:rFonts w:cs="Times New Roman"/>
          <w:color w:val="auto"/>
        </w:rPr>
        <w:t>t溢油事故</w:t>
      </w:r>
      <w:r>
        <w:rPr>
          <w:rFonts w:cs="Times New Roman"/>
          <w:color w:val="auto"/>
          <w:spacing w:val="-78"/>
        </w:rPr>
        <w:t xml:space="preserve"> </w:t>
      </w:r>
      <w:r>
        <w:rPr>
          <w:rFonts w:eastAsia="Times New Roman" w:cs="Times New Roman"/>
          <w:color w:val="auto"/>
        </w:rPr>
        <w:t>1</w:t>
      </w:r>
      <w:r>
        <w:rPr>
          <w:rFonts w:cs="Times New Roman"/>
          <w:color w:val="auto"/>
        </w:rPr>
        <w:t>次，</w:t>
      </w:r>
      <w:r>
        <w:rPr>
          <w:rFonts w:eastAsia="Times New Roman" w:cs="Times New Roman"/>
          <w:color w:val="auto"/>
        </w:rPr>
        <w:t>50-100</w:t>
      </w:r>
      <w:r>
        <w:rPr>
          <w:rFonts w:cs="Times New Roman"/>
          <w:color w:val="auto"/>
          <w:spacing w:val="-1"/>
        </w:rPr>
        <w:t>t溢油事故</w:t>
      </w:r>
      <w:r>
        <w:rPr>
          <w:rFonts w:eastAsia="Times New Roman" w:cs="Times New Roman"/>
          <w:color w:val="auto"/>
        </w:rPr>
        <w:t>1</w:t>
      </w:r>
      <w:r>
        <w:rPr>
          <w:rFonts w:cs="Times New Roman"/>
          <w:color w:val="auto"/>
        </w:rPr>
        <w:t>次，溢油入海量总计</w:t>
      </w:r>
      <w:r>
        <w:rPr>
          <w:rFonts w:cs="Times New Roman"/>
          <w:color w:val="auto"/>
          <w:spacing w:val="-82"/>
        </w:rPr>
        <w:t xml:space="preserve"> </w:t>
      </w:r>
      <w:r>
        <w:rPr>
          <w:rFonts w:eastAsia="Times New Roman" w:cs="Times New Roman"/>
          <w:color w:val="auto"/>
        </w:rPr>
        <w:t>9</w:t>
      </w:r>
      <w:r>
        <w:rPr>
          <w:rFonts w:eastAsia="Times New Roman" w:cs="Times New Roman"/>
          <w:color w:val="auto"/>
          <w:spacing w:val="-11"/>
        </w:rPr>
        <w:t xml:space="preserve"> </w:t>
      </w:r>
      <w:r>
        <w:rPr>
          <w:rFonts w:cs="Times New Roman"/>
          <w:color w:val="auto"/>
          <w:spacing w:val="1"/>
        </w:rPr>
        <w:t>t。</w:t>
      </w:r>
    </w:p>
    <w:p>
      <w:pPr>
        <w:pStyle w:val="458"/>
        <w:ind w:firstLine="480"/>
        <w:rPr>
          <w:rFonts w:cs="Times New Roman"/>
          <w:color w:val="auto"/>
        </w:rPr>
      </w:pPr>
      <w:r>
        <w:rPr>
          <w:rFonts w:hint="eastAsia" w:ascii="宋体" w:hAnsi="宋体"/>
          <w:color w:val="auto"/>
        </w:rPr>
        <w:t>④</w:t>
      </w:r>
      <w:r>
        <w:rPr>
          <w:rFonts w:cs="Times New Roman"/>
          <w:color w:val="auto"/>
        </w:rPr>
        <w:t>日照港船舶、码头溢油风险事故统计</w:t>
      </w:r>
    </w:p>
    <w:p>
      <w:pPr>
        <w:pStyle w:val="458"/>
        <w:ind w:firstLine="480"/>
        <w:rPr>
          <w:rFonts w:cs="Times New Roman"/>
          <w:color w:val="auto"/>
        </w:rPr>
      </w:pPr>
      <w:r>
        <w:rPr>
          <w:rFonts w:cs="Times New Roman"/>
          <w:color w:val="auto"/>
        </w:rPr>
        <w:t>根据不完全统计，日照港1973-2002年共发生船舶、码头溢油事故5起，皆为操作性事故，总溢油量为241t，最大的一起为240t，占总溢油量的99%。从近26年发生的事故可以看出，没有一起是因为船舶碰撞、搁浅等海损事故造成的溢油，都是因为油管破裂、阀门失灵和装卸油时操作不慎发生的溢油，溢油量在几十公斤左右。仅在1997年2月1日，新加坡籍海成号油轮因阀门未关严，溢出原油240t，除此之外未发生超过1t的溢油事故。</w:t>
      </w:r>
    </w:p>
    <w:p>
      <w:pPr>
        <w:numPr>
          <w:ilvl w:val="0"/>
          <w:numId w:val="65"/>
        </w:numPr>
        <w:ind w:firstLineChars="0"/>
        <w:jc w:val="left"/>
      </w:pPr>
      <w:r>
        <w:t>事故概率</w:t>
      </w:r>
    </w:p>
    <w:p>
      <w:pPr>
        <w:pStyle w:val="458"/>
        <w:ind w:firstLine="480"/>
        <w:rPr>
          <w:rFonts w:cs="Times New Roman"/>
          <w:color w:val="auto"/>
        </w:rPr>
      </w:pPr>
      <w:r>
        <w:rPr>
          <w:rFonts w:cs="Times New Roman"/>
          <w:color w:val="auto"/>
        </w:rPr>
        <w:t>鉴于本项目产品的特殊用途，系泊试验处于内河，年试航次数约 4~6 次，发生碰船事故概率为小概率事件。</w:t>
      </w:r>
    </w:p>
    <w:p>
      <w:pPr>
        <w:pStyle w:val="456"/>
        <w:ind w:firstLine="482"/>
      </w:pPr>
      <w:r>
        <w:t>最大可信事故</w:t>
      </w:r>
    </w:p>
    <w:p>
      <w:pPr>
        <w:pStyle w:val="458"/>
        <w:ind w:firstLine="480"/>
        <w:rPr>
          <w:rFonts w:cs="Times New Roman"/>
          <w:color w:val="auto"/>
        </w:rPr>
      </w:pPr>
      <w:r>
        <w:rPr>
          <w:rFonts w:cs="Times New Roman"/>
          <w:color w:val="auto"/>
        </w:rPr>
        <w:t>根据风险识别和源项分析，确定本项目最大可信风险事故为营运期发生船舶碰撞等事故导致燃料油泄漏进入长江水域，对长江水环境及生态造成不良影响。</w:t>
      </w:r>
    </w:p>
    <w:p>
      <w:pPr>
        <w:pStyle w:val="456"/>
        <w:ind w:firstLine="482"/>
      </w:pPr>
      <w:r>
        <w:t>风险概率</w:t>
      </w:r>
    </w:p>
    <w:p>
      <w:pPr>
        <w:ind w:firstLine="482"/>
        <w:rPr>
          <w:b/>
        </w:rPr>
      </w:pPr>
      <w:r>
        <w:rPr>
          <w:b/>
        </w:rPr>
        <w:t>1、预测模式</w:t>
      </w:r>
    </w:p>
    <w:p>
      <w:pPr>
        <w:ind w:firstLine="480"/>
      </w:pPr>
      <w:r>
        <w:t>假设船舶污染事故为随机事件，则可以用事故概率表示其发生可能性的大小。设一艘船舶进入（或驶离）被评价港口发生事故的概率为P，不发生事故的概率为1-P，那么，n艘进出港船舶发生k次事故的概率服从离散型二项概率分布：</w:t>
      </w:r>
    </w:p>
    <w:p>
      <w:pPr>
        <w:pStyle w:val="217"/>
        <w:ind w:firstLine="482"/>
      </w:pPr>
      <w:r>
        <w:drawing>
          <wp:inline distT="0" distB="0" distL="0" distR="0">
            <wp:extent cx="1460500" cy="238760"/>
            <wp:effectExtent l="0" t="0" r="0" b="0"/>
            <wp:docPr id="5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9"/>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a:xfrm>
                      <a:off x="0" y="0"/>
                      <a:ext cx="1460500" cy="238760"/>
                    </a:xfrm>
                    <a:prstGeom prst="rect">
                      <a:avLst/>
                    </a:prstGeom>
                    <a:noFill/>
                    <a:ln>
                      <a:noFill/>
                    </a:ln>
                  </pic:spPr>
                </pic:pic>
              </a:graphicData>
            </a:graphic>
          </wp:inline>
        </w:drawing>
      </w:r>
    </w:p>
    <w:p>
      <w:pPr>
        <w:ind w:firstLine="480"/>
      </w:pPr>
      <w:r>
        <w:t>式中，P</w:t>
      </w:r>
      <w:r>
        <w:rPr>
          <w:vertAlign w:val="subscript"/>
        </w:rPr>
        <w:t>n</w:t>
      </w:r>
      <w:r>
        <w:t>(k)——在n次独立重复船舶航行中发生k次船舶污染事故的概率；</w:t>
      </w:r>
    </w:p>
    <w:p>
      <w:pPr>
        <w:ind w:firstLine="1200" w:firstLineChars="500"/>
      </w:pPr>
      <w:r>
        <w:t>P——一次独立船舶航行中发生船舶污染事故的概率；</w:t>
      </w:r>
    </w:p>
    <w:p>
      <w:pPr>
        <w:ind w:firstLine="1200" w:firstLineChars="500"/>
      </w:pPr>
      <w:r>
        <w:t>C</w:t>
      </w:r>
      <w:r>
        <w:rPr>
          <w:vertAlign w:val="subscript"/>
        </w:rPr>
        <w:t>n</w:t>
      </w:r>
      <w:r>
        <w:rPr>
          <w:vertAlign w:val="superscript"/>
        </w:rPr>
        <w:t>k</w:t>
      </w:r>
      <w:r>
        <w:t>——从n个元素中取出k个元素的组合数。</w:t>
      </w:r>
    </w:p>
    <w:p>
      <w:pPr>
        <w:ind w:firstLine="482"/>
        <w:rPr>
          <w:b/>
        </w:rPr>
      </w:pPr>
      <w:r>
        <w:rPr>
          <w:b/>
        </w:rPr>
        <w:t>2、模型求解参数</w:t>
      </w:r>
    </w:p>
    <w:p>
      <w:pPr>
        <w:ind w:firstLine="480"/>
      </w:pPr>
      <w:r>
        <w:t>近年来，我国近海各港口到港各货类船舶数量快速增长，尤其是大型船舶增长更加迅速。我国重要港口到港船舶数量现阶段每年可达60000-80000艘。</w:t>
      </w:r>
    </w:p>
    <w:p>
      <w:pPr>
        <w:ind w:firstLine="480"/>
      </w:pPr>
      <w:r>
        <w:t>以本项目评价港口以往溢油事故的分等级统计频率作为估算一次独立船舶航行中发生相应规模船舶污染事故概率(p)的已知参数（参见下表），根据不同评价时段进出港口的船舶数量n，利用上式可以求解出该阶段年度发生k次事故的概率。</w:t>
      </w:r>
    </w:p>
    <w:p>
      <w:pPr>
        <w:pStyle w:val="3586"/>
        <w:ind w:left="0"/>
      </w:pPr>
      <w:r>
        <w:t>船舶污染事故预测计算参数一览表</w:t>
      </w:r>
    </w:p>
    <w:tbl>
      <w:tblPr>
        <w:tblStyle w:val="3596"/>
        <w:tblW w:w="48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40"/>
        <w:gridCol w:w="1612"/>
        <w:gridCol w:w="1839"/>
        <w:gridCol w:w="1612"/>
        <w:gridCol w:w="18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77" w:type="pct"/>
            <w:vMerge w:val="restart"/>
            <w:vAlign w:val="center"/>
          </w:tcPr>
          <w:p>
            <w:pPr>
              <w:pStyle w:val="2691"/>
              <w:rPr>
                <w:b/>
                <w:bCs/>
              </w:rPr>
            </w:pPr>
            <w:r>
              <w:rPr>
                <w:b/>
                <w:bCs/>
              </w:rPr>
              <w:t>污染事故规模</w:t>
            </w:r>
          </w:p>
        </w:tc>
        <w:tc>
          <w:tcPr>
            <w:tcW w:w="886" w:type="pct"/>
            <w:vMerge w:val="restart"/>
            <w:vAlign w:val="center"/>
          </w:tcPr>
          <w:p>
            <w:pPr>
              <w:pStyle w:val="2691"/>
              <w:rPr>
                <w:b/>
                <w:bCs/>
              </w:rPr>
            </w:pPr>
            <w:r>
              <w:rPr>
                <w:b/>
                <w:bCs/>
              </w:rPr>
              <w:t>泄露量</w:t>
            </w:r>
          </w:p>
        </w:tc>
        <w:tc>
          <w:tcPr>
            <w:tcW w:w="1897" w:type="pct"/>
            <w:gridSpan w:val="2"/>
            <w:vAlign w:val="center"/>
          </w:tcPr>
          <w:p>
            <w:pPr>
              <w:pStyle w:val="2691"/>
              <w:rPr>
                <w:b/>
                <w:bCs/>
              </w:rPr>
            </w:pPr>
            <w:r>
              <w:rPr>
                <w:b/>
                <w:bCs/>
              </w:rPr>
              <w:t>事故频率</w:t>
            </w:r>
          </w:p>
        </w:tc>
        <w:tc>
          <w:tcPr>
            <w:tcW w:w="1038" w:type="pct"/>
            <w:vMerge w:val="restart"/>
            <w:vAlign w:val="center"/>
          </w:tcPr>
          <w:p>
            <w:pPr>
              <w:pStyle w:val="2691"/>
            </w:pPr>
            <w:r>
              <w:rPr>
                <w:b/>
                <w:bCs/>
              </w:rPr>
              <w:t>P值估算结果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77" w:type="pct"/>
            <w:vMerge w:val="continue"/>
            <w:tcBorders>
              <w:bottom w:val="single" w:color="auto" w:sz="12" w:space="0"/>
            </w:tcBorders>
            <w:vAlign w:val="center"/>
          </w:tcPr>
          <w:p>
            <w:pPr>
              <w:pStyle w:val="2691"/>
              <w:rPr>
                <w:b/>
                <w:bCs/>
              </w:rPr>
            </w:pPr>
          </w:p>
        </w:tc>
        <w:tc>
          <w:tcPr>
            <w:tcW w:w="886" w:type="pct"/>
            <w:vMerge w:val="continue"/>
            <w:tcBorders>
              <w:bottom w:val="single" w:color="auto" w:sz="12" w:space="0"/>
            </w:tcBorders>
            <w:vAlign w:val="center"/>
          </w:tcPr>
          <w:p>
            <w:pPr>
              <w:pStyle w:val="2691"/>
              <w:rPr>
                <w:b/>
                <w:bCs/>
              </w:rPr>
            </w:pPr>
          </w:p>
        </w:tc>
        <w:tc>
          <w:tcPr>
            <w:tcW w:w="1011" w:type="pct"/>
            <w:tcBorders>
              <w:bottom w:val="single" w:color="auto" w:sz="12" w:space="0"/>
            </w:tcBorders>
            <w:vAlign w:val="center"/>
          </w:tcPr>
          <w:p>
            <w:pPr>
              <w:pStyle w:val="2691"/>
              <w:rPr>
                <w:b/>
                <w:bCs/>
              </w:rPr>
            </w:pPr>
            <w:r>
              <w:rPr>
                <w:b/>
                <w:bCs/>
              </w:rPr>
              <w:t>年发生次数</w:t>
            </w:r>
          </w:p>
        </w:tc>
        <w:tc>
          <w:tcPr>
            <w:tcW w:w="886" w:type="pct"/>
            <w:tcBorders>
              <w:bottom w:val="single" w:color="auto" w:sz="12" w:space="0"/>
            </w:tcBorders>
            <w:vAlign w:val="center"/>
          </w:tcPr>
          <w:p>
            <w:pPr>
              <w:pStyle w:val="2691"/>
              <w:rPr>
                <w:b/>
                <w:bCs/>
              </w:rPr>
            </w:pPr>
            <w:r>
              <w:rPr>
                <w:b/>
                <w:bCs/>
              </w:rPr>
              <w:t>估计概率</w:t>
            </w:r>
          </w:p>
        </w:tc>
        <w:tc>
          <w:tcPr>
            <w:tcW w:w="1038" w:type="pct"/>
            <w:vMerge w:val="continue"/>
            <w:tcBorders>
              <w:bottom w:val="single" w:color="auto" w:sz="12" w:space="0"/>
            </w:tcBorders>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77" w:type="pct"/>
            <w:tcBorders>
              <w:top w:val="single" w:color="auto" w:sz="12" w:space="0"/>
            </w:tcBorders>
            <w:vAlign w:val="center"/>
          </w:tcPr>
          <w:p>
            <w:pPr>
              <w:pStyle w:val="2691"/>
            </w:pPr>
            <w:r>
              <w:t>大规模</w:t>
            </w:r>
          </w:p>
        </w:tc>
        <w:tc>
          <w:tcPr>
            <w:tcW w:w="886" w:type="pct"/>
            <w:tcBorders>
              <w:top w:val="single" w:color="auto" w:sz="12" w:space="0"/>
            </w:tcBorders>
            <w:vAlign w:val="center"/>
          </w:tcPr>
          <w:p>
            <w:pPr>
              <w:pStyle w:val="2691"/>
            </w:pPr>
            <w:r>
              <w:t>&gt;50吨</w:t>
            </w:r>
          </w:p>
        </w:tc>
        <w:tc>
          <w:tcPr>
            <w:tcW w:w="1011" w:type="pct"/>
            <w:tcBorders>
              <w:top w:val="single" w:color="auto" w:sz="12" w:space="0"/>
            </w:tcBorders>
            <w:vAlign w:val="center"/>
          </w:tcPr>
          <w:p>
            <w:pPr>
              <w:pStyle w:val="2691"/>
            </w:pPr>
            <w:r>
              <w:t>0</w:t>
            </w:r>
          </w:p>
        </w:tc>
        <w:tc>
          <w:tcPr>
            <w:tcW w:w="886" w:type="pct"/>
            <w:tcBorders>
              <w:top w:val="single" w:color="auto" w:sz="12" w:space="0"/>
            </w:tcBorders>
            <w:vAlign w:val="center"/>
          </w:tcPr>
          <w:p>
            <w:pPr>
              <w:pStyle w:val="2691"/>
            </w:pPr>
            <w:r>
              <w:t>0.5000000</w:t>
            </w:r>
          </w:p>
        </w:tc>
        <w:tc>
          <w:tcPr>
            <w:tcW w:w="1038" w:type="pct"/>
            <w:tcBorders>
              <w:top w:val="single" w:color="auto" w:sz="12" w:space="0"/>
            </w:tcBorders>
            <w:vAlign w:val="center"/>
          </w:tcPr>
          <w:p>
            <w:pPr>
              <w:pStyle w:val="2691"/>
            </w:pPr>
            <w:r>
              <w:t>1.26×10</w:t>
            </w:r>
            <w:r>
              <w:rPr>
                <w:vertAlign w:val="superscript"/>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77" w:type="pct"/>
            <w:vAlign w:val="center"/>
          </w:tcPr>
          <w:p>
            <w:pPr>
              <w:pStyle w:val="2691"/>
            </w:pPr>
            <w:r>
              <w:t>中等规模</w:t>
            </w:r>
          </w:p>
        </w:tc>
        <w:tc>
          <w:tcPr>
            <w:tcW w:w="886" w:type="pct"/>
            <w:vAlign w:val="center"/>
          </w:tcPr>
          <w:p>
            <w:pPr>
              <w:pStyle w:val="2691"/>
            </w:pPr>
            <w:r>
              <w:t>10～50吨</w:t>
            </w:r>
          </w:p>
        </w:tc>
        <w:tc>
          <w:tcPr>
            <w:tcW w:w="1011" w:type="pct"/>
            <w:vAlign w:val="center"/>
          </w:tcPr>
          <w:p>
            <w:pPr>
              <w:pStyle w:val="2691"/>
            </w:pPr>
            <w:r>
              <w:t>1</w:t>
            </w:r>
          </w:p>
        </w:tc>
        <w:tc>
          <w:tcPr>
            <w:tcW w:w="886" w:type="pct"/>
            <w:vAlign w:val="center"/>
          </w:tcPr>
          <w:p>
            <w:pPr>
              <w:pStyle w:val="2691"/>
            </w:pPr>
            <w:r>
              <w:t>0.2706000</w:t>
            </w:r>
          </w:p>
        </w:tc>
        <w:tc>
          <w:tcPr>
            <w:tcW w:w="1038" w:type="pct"/>
            <w:vAlign w:val="center"/>
          </w:tcPr>
          <w:p>
            <w:pPr>
              <w:pStyle w:val="2691"/>
            </w:pPr>
            <w:r>
              <w:t>1.36×10</w:t>
            </w:r>
            <w:r>
              <w:rPr>
                <w:vertAlign w:val="superscript"/>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77" w:type="pct"/>
            <w:vAlign w:val="center"/>
          </w:tcPr>
          <w:p>
            <w:pPr>
              <w:pStyle w:val="2691"/>
            </w:pPr>
            <w:r>
              <w:t>小规模</w:t>
            </w:r>
          </w:p>
        </w:tc>
        <w:tc>
          <w:tcPr>
            <w:tcW w:w="886" w:type="pct"/>
            <w:vAlign w:val="center"/>
          </w:tcPr>
          <w:p>
            <w:pPr>
              <w:pStyle w:val="2691"/>
            </w:pPr>
            <w:r>
              <w:t>&lt;10吨</w:t>
            </w:r>
          </w:p>
        </w:tc>
        <w:tc>
          <w:tcPr>
            <w:tcW w:w="1011" w:type="pct"/>
            <w:vAlign w:val="center"/>
          </w:tcPr>
          <w:p>
            <w:pPr>
              <w:pStyle w:val="2691"/>
            </w:pPr>
            <w:r>
              <w:t>4</w:t>
            </w:r>
          </w:p>
        </w:tc>
        <w:tc>
          <w:tcPr>
            <w:tcW w:w="886" w:type="pct"/>
            <w:vAlign w:val="center"/>
          </w:tcPr>
          <w:p>
            <w:pPr>
              <w:pStyle w:val="2691"/>
            </w:pPr>
            <w:r>
              <w:t>0.1390000</w:t>
            </w:r>
          </w:p>
        </w:tc>
        <w:tc>
          <w:tcPr>
            <w:tcW w:w="1038" w:type="pct"/>
            <w:vAlign w:val="center"/>
          </w:tcPr>
          <w:p>
            <w:pPr>
              <w:pStyle w:val="2691"/>
            </w:pPr>
            <w:r>
              <w:t>1.5×10</w:t>
            </w:r>
            <w:r>
              <w:rPr>
                <w:vertAlign w:val="superscript"/>
              </w:rPr>
              <w:t>-4</w:t>
            </w:r>
          </w:p>
        </w:tc>
      </w:tr>
    </w:tbl>
    <w:p>
      <w:pPr>
        <w:pStyle w:val="454"/>
        <w:ind w:firstLine="602"/>
        <w:rPr>
          <w:color w:val="auto"/>
        </w:rPr>
      </w:pPr>
      <w:r>
        <w:rPr>
          <w:color w:val="auto"/>
        </w:rPr>
        <w:t>溢油模型预测</w:t>
      </w:r>
    </w:p>
    <w:p>
      <w:pPr>
        <w:ind w:firstLine="480"/>
      </w:pPr>
      <w:r>
        <w:t>本次风险预测模拟，考虑</w:t>
      </w:r>
      <w:r>
        <w:rPr>
          <w:rFonts w:hint="eastAsia"/>
        </w:rPr>
        <w:t>最不利枯水期</w:t>
      </w:r>
      <w:r>
        <w:t>情形，假定溢油泄露事故发生在拟建码头</w:t>
      </w:r>
      <w:r>
        <w:rPr>
          <w:rFonts w:hint="eastAsia"/>
        </w:rPr>
        <w:t>处</w:t>
      </w:r>
      <w:r>
        <w:t>，预测在枯水期水位条件下</w:t>
      </w:r>
      <w:r>
        <w:rPr>
          <w:rFonts w:hint="eastAsia"/>
        </w:rPr>
        <w:t>发生</w:t>
      </w:r>
      <w:r>
        <w:t>溢油事故后，油膜的扩展、扩散、输移和风化</w:t>
      </w:r>
      <w:r>
        <w:rPr>
          <w:rFonts w:hint="eastAsia"/>
        </w:rPr>
        <w:t>过程及对下游临湘市工业园滨江产业示范区自来水厂（取水口）饮用水源保护区的影响</w:t>
      </w:r>
      <w:r>
        <w:t>。通过分析上游莲花塘站和螺山站实测历史长江水位，采用线性插值方式拟定预测范围内上游江段和下游江段的水位，枯水期上游水位为16.</w:t>
      </w:r>
      <w:r>
        <w:rPr>
          <w:rFonts w:hint="eastAsia"/>
        </w:rPr>
        <w:t>74</w:t>
      </w:r>
      <w:r>
        <w:t>m，下游为16.45m。</w:t>
      </w:r>
    </w:p>
    <w:p>
      <w:pPr>
        <w:ind w:firstLine="480"/>
      </w:pPr>
      <w:r>
        <w:t>江水水温夏季20℃，冬季10℃，枯水期采用冬季水温条件，年平均风速2.08m/s，常风向NE。模型降雨采用多年平均降雨量1307mm，多年平均蒸发量为225.25mm。</w:t>
      </w:r>
    </w:p>
    <w:p>
      <w:pPr>
        <w:pStyle w:val="456"/>
        <w:ind w:firstLine="482"/>
      </w:pPr>
      <w:r>
        <w:t>溢油预测模型建立</w:t>
      </w:r>
    </w:p>
    <w:p>
      <w:pPr>
        <w:ind w:firstLine="480"/>
      </w:pPr>
      <w:r>
        <w:t>本报告采用环保部EIA推荐的，由丹麦水力学研究所研发的MIKE 21 AD（Advection-Diffusion）模块和</w:t>
      </w:r>
      <w:r>
        <w:rPr>
          <w:szCs w:val="28"/>
          <w:shd w:val="clear" w:color="auto" w:fill="FFFFFF"/>
        </w:rPr>
        <w:t>Oil Spill</w:t>
      </w:r>
      <w:r>
        <w:t>模块进行计算。</w:t>
      </w:r>
    </w:p>
    <w:p>
      <w:pPr>
        <w:ind w:firstLine="482"/>
        <w:rPr>
          <w:rFonts w:hAnsi="宋体"/>
          <w:b/>
          <w:bCs/>
        </w:rPr>
      </w:pPr>
      <w:r>
        <w:rPr>
          <w:rFonts w:hint="eastAsia"/>
          <w:b/>
          <w:bCs/>
        </w:rPr>
        <w:t>（1）溢油</w:t>
      </w:r>
      <w:r>
        <w:rPr>
          <w:b/>
          <w:bCs/>
        </w:rPr>
        <w:t>模</w:t>
      </w:r>
      <w:r>
        <w:rPr>
          <w:rFonts w:hAnsi="宋体"/>
          <w:b/>
          <w:bCs/>
        </w:rPr>
        <w:t>块</w:t>
      </w:r>
    </w:p>
    <w:p>
      <w:pPr>
        <w:ind w:firstLine="480"/>
        <w:rPr>
          <w:szCs w:val="28"/>
          <w:shd w:val="clear" w:color="auto" w:fill="FFFFFF"/>
        </w:rPr>
      </w:pPr>
      <w:r>
        <w:rPr>
          <w:szCs w:val="28"/>
          <w:shd w:val="clear" w:color="auto" w:fill="FFFFFF"/>
        </w:rPr>
        <w:t>MIKE21的Oil Spill模块（OS模块）是在HD模块基础之上建立的溢油模型，用于模拟溢油扩散运动规律和归宿。溢油模块采用“油粒子”对溢油量进行概化，采用拉格朗日方法描述油粒子的输移轨迹，包括扩展、漂移、扩散等过程。同时，在输移过程中油粒子也会发生如蒸发、乳化、溶解等风化过程，该软件通过计算油粒子质量损失来体现。</w:t>
      </w:r>
    </w:p>
    <w:p>
      <w:pPr>
        <w:ind w:firstLine="480"/>
        <w:rPr>
          <w:szCs w:val="28"/>
          <w:shd w:val="clear" w:color="auto" w:fill="FFFFFF"/>
        </w:rPr>
      </w:pPr>
      <w:r>
        <w:rPr>
          <w:rFonts w:hint="eastAsia" w:ascii="宋体" w:hAnsi="宋体" w:cs="宋体"/>
          <w:szCs w:val="28"/>
          <w:shd w:val="clear" w:color="auto" w:fill="FFFFFF"/>
        </w:rPr>
        <w:t>①</w:t>
      </w:r>
      <w:r>
        <w:rPr>
          <w:szCs w:val="28"/>
          <w:shd w:val="clear" w:color="auto" w:fill="FFFFFF"/>
        </w:rPr>
        <w:t>扩展</w:t>
      </w:r>
    </w:p>
    <w:p>
      <w:pPr>
        <w:ind w:firstLine="480"/>
        <w:rPr>
          <w:sz w:val="28"/>
          <w:szCs w:val="28"/>
          <w:shd w:val="clear" w:color="auto" w:fill="FFFFFF"/>
        </w:rPr>
      </w:pPr>
      <w:r>
        <w:rPr>
          <w:szCs w:val="28"/>
          <w:shd w:val="clear" w:color="auto" w:fill="FFFFFF"/>
        </w:rPr>
        <w:t>油膜扩展运动采用修正的Fay重力~粘力公式计算：</w:t>
      </w:r>
    </w:p>
    <w:p>
      <w:pPr>
        <w:ind w:firstLine="480"/>
        <w:jc w:val="center"/>
        <w:rPr>
          <w:rFonts w:eastAsia="仿宋_GB2312"/>
          <w:sz w:val="28"/>
          <w:szCs w:val="28"/>
        </w:rPr>
      </w:pPr>
      <w:r>
        <w:rPr>
          <w:rFonts w:eastAsia="仿宋_GB2312"/>
          <w:position w:val="-54"/>
        </w:rPr>
        <w:object>
          <v:shape id="_x0000_i1062" o:spt="75" type="#_x0000_t75" style="height:64.5pt;width:115pt;" o:ole="t" filled="f" o:preferrelative="t" stroked="f" coordsize="21600,21600">
            <v:path/>
            <v:fill on="f" focussize="0,0"/>
            <v:stroke on="f" joinstyle="miter"/>
            <v:imagedata r:id="rId235" o:title=""/>
            <o:lock v:ext="edit" aspectratio="t"/>
            <w10:wrap type="none"/>
            <w10:anchorlock/>
          </v:shape>
          <o:OLEObject Type="Embed" ProgID="Equation.DSMT4" ShapeID="_x0000_i1062" DrawAspect="Content" ObjectID="_1468075762" r:id="rId234">
            <o:LockedField>false</o:LockedField>
          </o:OLEObject>
        </w:object>
      </w:r>
      <w:r>
        <w:rPr>
          <w:rFonts w:eastAsia="仿宋_GB2312"/>
        </w:rPr>
        <w:tab/>
      </w:r>
      <w:r>
        <w:rPr>
          <w:rFonts w:eastAsia="仿宋_GB2312"/>
        </w:rPr>
        <w:tab/>
      </w:r>
      <w:r>
        <w:rPr>
          <w:rFonts w:eastAsia="仿宋_GB2312"/>
        </w:rPr>
        <w:tab/>
      </w:r>
      <w:r>
        <w:rPr>
          <w:rFonts w:eastAsia="仿宋_GB2312"/>
        </w:rPr>
        <w:tab/>
      </w:r>
      <w:r>
        <w:rPr>
          <w:rFonts w:eastAsia="仿宋_GB2312"/>
        </w:rPr>
        <w:tab/>
      </w:r>
      <w:r>
        <w:rPr>
          <w:rFonts w:eastAsia="仿宋_GB2312"/>
        </w:rPr>
        <w:tab/>
      </w:r>
      <w:r>
        <w:rPr>
          <w:rFonts w:eastAsia="仿宋_GB2312"/>
        </w:rPr>
        <w:tab/>
      </w:r>
      <w:r>
        <w:rPr>
          <w:rFonts w:eastAsia="仿宋_GB2312"/>
        </w:rPr>
        <w:tab/>
      </w:r>
      <w:r>
        <w:rPr>
          <w:rFonts w:eastAsia="仿宋_GB2312"/>
        </w:rPr>
        <w:tab/>
      </w:r>
      <w:r>
        <w:rPr>
          <w:rFonts w:eastAsia="仿宋_GB2312"/>
        </w:rPr>
        <w:tab/>
      </w:r>
      <w:r>
        <w:rPr>
          <w:rFonts w:eastAsia="仿宋_GB2312"/>
        </w:rPr>
        <w:tab/>
      </w:r>
    </w:p>
    <w:p>
      <w:pPr>
        <w:ind w:firstLine="480"/>
        <w:rPr>
          <w:szCs w:val="28"/>
          <w:shd w:val="clear" w:color="auto" w:fill="FFFFFF"/>
        </w:rPr>
      </w:pPr>
      <w:r>
        <w:rPr>
          <w:szCs w:val="28"/>
          <w:shd w:val="clear" w:color="auto" w:fill="FFFFFF"/>
        </w:rPr>
        <w:t>式中</w:t>
      </w:r>
      <w:r>
        <w:rPr>
          <w:szCs w:val="28"/>
          <w:shd w:val="clear" w:color="auto" w:fill="FFFFFF"/>
        </w:rPr>
        <w:object>
          <v:shape id="_x0000_i1063" o:spt="75" type="#_x0000_t75" style="height:20.55pt;width:14.05pt;" o:ole="t" filled="f" o:preferrelative="t" stroked="f" coordsize="21600,21600">
            <v:path/>
            <v:fill on="f" focussize="0,0"/>
            <v:stroke on="f" joinstyle="miter"/>
            <v:imagedata r:id="rId237" o:title=""/>
            <o:lock v:ext="edit" aspectratio="t"/>
            <w10:wrap type="none"/>
            <w10:anchorlock/>
          </v:shape>
          <o:OLEObject Type="Embed" ProgID="Equation.DSMT4" ShapeID="_x0000_i1063" DrawAspect="Content" ObjectID="_1468075763" r:id="rId236">
            <o:LockedField>false</o:LockedField>
          </o:OLEObject>
        </w:object>
      </w:r>
      <w:r>
        <w:rPr>
          <w:szCs w:val="28"/>
          <w:shd w:val="clear" w:color="auto" w:fill="FFFFFF"/>
        </w:rPr>
        <w:t>为油膜半径,</w:t>
      </w:r>
      <w:r>
        <w:rPr>
          <w:szCs w:val="28"/>
          <w:shd w:val="clear" w:color="auto" w:fill="FFFFFF"/>
        </w:rPr>
        <w:object>
          <v:shape id="_x0000_i1064" o:spt="75" type="#_x0000_t75" style="height:20.55pt;width:14.05pt;" o:ole="t" filled="f" o:preferrelative="t" stroked="f" coordsize="21600,21600">
            <v:path/>
            <v:fill on="f" focussize="0,0"/>
            <v:stroke on="f" joinstyle="miter"/>
            <v:imagedata r:id="rId239" o:title=""/>
            <o:lock v:ext="edit" aspectratio="t"/>
            <w10:wrap type="none"/>
            <w10:anchorlock/>
          </v:shape>
          <o:OLEObject Type="Embed" ProgID="Equation.DSMT4" ShapeID="_x0000_i1064" DrawAspect="Content" ObjectID="_1468075764" r:id="rId238">
            <o:LockedField>false</o:LockedField>
          </o:OLEObject>
        </w:object>
      </w:r>
      <w:r>
        <w:rPr>
          <w:szCs w:val="28"/>
          <w:shd w:val="clear" w:color="auto" w:fill="FFFFFF"/>
        </w:rPr>
        <w:t>为油膜面积；</w:t>
      </w:r>
      <w:r>
        <w:rPr>
          <w:szCs w:val="28"/>
          <w:shd w:val="clear" w:color="auto" w:fill="FFFFFF"/>
        </w:rPr>
        <w:object>
          <v:shape id="_x0000_i1065" o:spt="75" type="#_x0000_t75" style="height:20.55pt;width:20.55pt;" o:ole="t" filled="f" o:preferrelative="t" stroked="f" coordsize="21600,21600">
            <v:path/>
            <v:fill on="f" focussize="0,0"/>
            <v:stroke on="f" joinstyle="miter"/>
            <v:imagedata r:id="rId241" o:title=""/>
            <o:lock v:ext="edit" aspectratio="t"/>
            <w10:wrap type="none"/>
            <w10:anchorlock/>
          </v:shape>
          <o:OLEObject Type="Embed" ProgID="Equation.DSMT4" ShapeID="_x0000_i1065" DrawAspect="Content" ObjectID="_1468075765" r:id="rId240">
            <o:LockedField>false</o:LockedField>
          </o:OLEObject>
        </w:object>
      </w:r>
      <w:r>
        <w:rPr>
          <w:szCs w:val="28"/>
          <w:shd w:val="clear" w:color="auto" w:fill="FFFFFF"/>
        </w:rPr>
        <w:t>为扩散系数；</w:t>
      </w:r>
      <w:r>
        <w:rPr>
          <w:szCs w:val="28"/>
          <w:shd w:val="clear" w:color="auto" w:fill="FFFFFF"/>
        </w:rPr>
        <w:object>
          <v:shape id="_x0000_i1066" o:spt="75" type="#_x0000_t75" style="height:7.5pt;width:7.5pt;" o:ole="t" filled="f" o:preferrelative="t" stroked="f" coordsize="21600,21600">
            <v:path/>
            <v:fill on="f" focussize="0,0"/>
            <v:stroke on="f" joinstyle="miter"/>
            <v:imagedata r:id="rId243" o:title=""/>
            <o:lock v:ext="edit" aspectratio="t"/>
            <w10:wrap type="none"/>
            <w10:anchorlock/>
          </v:shape>
          <o:OLEObject Type="Embed" ProgID="Equation.DSMT4" ShapeID="_x0000_i1066" DrawAspect="Content" ObjectID="_1468075766" r:id="rId242">
            <o:LockedField>false</o:LockedField>
          </o:OLEObject>
        </w:object>
      </w:r>
      <w:r>
        <w:rPr>
          <w:szCs w:val="28"/>
          <w:shd w:val="clear" w:color="auto" w:fill="FFFFFF"/>
        </w:rPr>
        <w:t>为时间；</w:t>
      </w:r>
      <w:r>
        <w:rPr>
          <w:szCs w:val="28"/>
          <w:shd w:val="clear" w:color="auto" w:fill="FFFFFF"/>
        </w:rPr>
        <w:object>
          <v:shape id="_x0000_i1067" o:spt="75" type="#_x0000_t75" style="height:20.55pt;width:7.5pt;" o:ole="t" filled="f" o:preferrelative="t" stroked="f" coordsize="21600,21600">
            <v:path/>
            <v:fill on="f" focussize="0,0"/>
            <v:stroke on="f" joinstyle="miter"/>
            <v:imagedata r:id="rId245" o:title=""/>
            <o:lock v:ext="edit" aspectratio="t"/>
            <w10:wrap type="none"/>
            <w10:anchorlock/>
          </v:shape>
          <o:OLEObject Type="Embed" ProgID="Equation.DSMT4" ShapeID="_x0000_i1067" DrawAspect="Content" ObjectID="_1468075767" r:id="rId244">
            <o:LockedField>false</o:LockedField>
          </o:OLEObject>
        </w:object>
      </w:r>
      <w:r>
        <w:rPr>
          <w:szCs w:val="28"/>
          <w:shd w:val="clear" w:color="auto" w:fill="FFFFFF"/>
        </w:rPr>
        <w:t>为油膜体积；</w:t>
      </w:r>
      <w:r>
        <w:rPr>
          <w:szCs w:val="28"/>
          <w:shd w:val="clear" w:color="auto" w:fill="FFFFFF"/>
        </w:rPr>
        <w:object>
          <v:shape id="_x0000_i1068" o:spt="75" type="#_x0000_t75" style="height:20.55pt;width:7.5pt;" o:ole="t" filled="f" o:preferrelative="t" stroked="f" coordsize="21600,21600">
            <v:path/>
            <v:fill on="f" focussize="0,0"/>
            <v:stroke on="f" joinstyle="miter"/>
            <v:imagedata r:id="rId247" o:title=""/>
            <o:lock v:ext="edit" aspectratio="t"/>
            <w10:wrap type="none"/>
            <w10:anchorlock/>
          </v:shape>
          <o:OLEObject Type="Embed" ProgID="Equation.DSMT4" ShapeID="_x0000_i1068" DrawAspect="Content" ObjectID="_1468075768" r:id="rId246">
            <o:LockedField>false</o:LockedField>
          </o:OLEObject>
        </w:object>
      </w:r>
      <w:r>
        <w:rPr>
          <w:szCs w:val="28"/>
          <w:shd w:val="clear" w:color="auto" w:fill="FFFFFF"/>
        </w:rPr>
        <w:t>为初始油膜厚度，取10cm。</w:t>
      </w:r>
    </w:p>
    <w:p>
      <w:pPr>
        <w:ind w:firstLine="480"/>
        <w:rPr>
          <w:szCs w:val="28"/>
          <w:shd w:val="clear" w:color="auto" w:fill="FFFFFF"/>
        </w:rPr>
      </w:pPr>
      <w:r>
        <w:rPr>
          <w:rFonts w:hint="eastAsia" w:ascii="宋体" w:hAnsi="宋体" w:cs="宋体"/>
          <w:szCs w:val="28"/>
          <w:shd w:val="clear" w:color="auto" w:fill="FFFFFF"/>
        </w:rPr>
        <w:t>②</w:t>
      </w:r>
      <w:r>
        <w:rPr>
          <w:szCs w:val="28"/>
          <w:shd w:val="clear" w:color="auto" w:fill="FFFFFF"/>
        </w:rPr>
        <w:t>漂移</w:t>
      </w:r>
    </w:p>
    <w:p>
      <w:pPr>
        <w:ind w:firstLine="480"/>
        <w:rPr>
          <w:szCs w:val="28"/>
          <w:shd w:val="clear" w:color="auto" w:fill="FFFFFF"/>
        </w:rPr>
      </w:pPr>
      <w:r>
        <w:rPr>
          <w:szCs w:val="28"/>
          <w:shd w:val="clear" w:color="auto" w:fill="FFFFFF"/>
        </w:rPr>
        <w:t>影响油粒子漂移速度的主要因素是水流和风作用力，漂移速度为:</w:t>
      </w:r>
    </w:p>
    <w:p>
      <w:pPr>
        <w:ind w:firstLine="480"/>
        <w:jc w:val="center"/>
        <w:rPr>
          <w:szCs w:val="28"/>
          <w:shd w:val="clear" w:color="auto" w:fill="FFFFFF"/>
        </w:rPr>
      </w:pPr>
      <w:r>
        <w:rPr>
          <w:szCs w:val="28"/>
          <w:shd w:val="clear" w:color="auto" w:fill="FFFFFF"/>
        </w:rPr>
        <w:object>
          <v:shape id="_x0000_i1069" o:spt="75" type="#_x0000_t75" style="height:20.55pt;width:108.45pt;" o:ole="t" filled="f" o:preferrelative="t" stroked="f" coordsize="21600,21600">
            <v:path/>
            <v:fill on="f" focussize="0,0"/>
            <v:stroke on="f" joinstyle="miter"/>
            <v:imagedata r:id="rId249" o:title=""/>
            <o:lock v:ext="edit" aspectratio="t"/>
            <w10:wrap type="none"/>
            <w10:anchorlock/>
          </v:shape>
          <o:OLEObject Type="Embed" ProgID="Equation.DSMT4" ShapeID="_x0000_i1069" DrawAspect="Content" ObjectID="_1468075769" r:id="rId248">
            <o:LockedField>false</o:LockedField>
          </o:OLEObject>
        </w:object>
      </w:r>
      <w:r>
        <w:rPr>
          <w:szCs w:val="28"/>
          <w:shd w:val="clear" w:color="auto" w:fill="FFFFFF"/>
        </w:rPr>
        <w:tab/>
      </w:r>
      <w:r>
        <w:rPr>
          <w:szCs w:val="28"/>
          <w:shd w:val="clear" w:color="auto" w:fill="FFFFFF"/>
        </w:rPr>
        <w:tab/>
      </w:r>
      <w:r>
        <w:rPr>
          <w:szCs w:val="28"/>
          <w:shd w:val="clear" w:color="auto" w:fill="FFFFFF"/>
        </w:rPr>
        <w:tab/>
      </w:r>
      <w:r>
        <w:rPr>
          <w:szCs w:val="28"/>
          <w:shd w:val="clear" w:color="auto" w:fill="FFFFFF"/>
        </w:rPr>
        <w:tab/>
      </w:r>
      <w:r>
        <w:rPr>
          <w:szCs w:val="28"/>
          <w:shd w:val="clear" w:color="auto" w:fill="FFFFFF"/>
        </w:rPr>
        <w:tab/>
      </w:r>
      <w:r>
        <w:rPr>
          <w:szCs w:val="28"/>
          <w:shd w:val="clear" w:color="auto" w:fill="FFFFFF"/>
        </w:rPr>
        <w:tab/>
      </w:r>
      <w:r>
        <w:rPr>
          <w:szCs w:val="28"/>
          <w:shd w:val="clear" w:color="auto" w:fill="FFFFFF"/>
        </w:rPr>
        <w:tab/>
      </w:r>
      <w:r>
        <w:rPr>
          <w:szCs w:val="28"/>
          <w:shd w:val="clear" w:color="auto" w:fill="FFFFFF"/>
        </w:rPr>
        <w:tab/>
      </w:r>
      <w:r>
        <w:rPr>
          <w:szCs w:val="28"/>
          <w:shd w:val="clear" w:color="auto" w:fill="FFFFFF"/>
        </w:rPr>
        <w:tab/>
      </w:r>
      <w:r>
        <w:rPr>
          <w:szCs w:val="28"/>
          <w:shd w:val="clear" w:color="auto" w:fill="FFFFFF"/>
        </w:rPr>
        <w:tab/>
      </w:r>
      <w:r>
        <w:rPr>
          <w:szCs w:val="28"/>
          <w:shd w:val="clear" w:color="auto" w:fill="FFFFFF"/>
        </w:rPr>
        <w:tab/>
      </w:r>
      <w:r>
        <w:rPr>
          <w:szCs w:val="28"/>
          <w:shd w:val="clear" w:color="auto" w:fill="FFFFFF"/>
        </w:rPr>
        <w:tab/>
      </w:r>
    </w:p>
    <w:p>
      <w:pPr>
        <w:ind w:firstLine="480"/>
        <w:rPr>
          <w:szCs w:val="28"/>
          <w:shd w:val="clear" w:color="auto" w:fill="FFFFFF"/>
        </w:rPr>
      </w:pPr>
      <w:r>
        <w:rPr>
          <w:szCs w:val="28"/>
          <w:shd w:val="clear" w:color="auto" w:fill="FFFFFF"/>
        </w:rPr>
        <w:t>式中</w:t>
      </w:r>
      <w:r>
        <w:rPr>
          <w:szCs w:val="28"/>
          <w:shd w:val="clear" w:color="auto" w:fill="FFFFFF"/>
        </w:rPr>
        <w:object>
          <v:shape id="_x0000_i1070" o:spt="75" type="#_x0000_t75" style="height:20.55pt;width:20.55pt;" o:ole="t" filled="f" o:preferrelative="t" stroked="f" coordsize="21600,21600">
            <v:path/>
            <v:fill on="f" focussize="0,0"/>
            <v:stroke on="f" joinstyle="miter"/>
            <v:imagedata r:id="rId251" o:title=""/>
            <o:lock v:ext="edit" aspectratio="t"/>
            <w10:wrap type="none"/>
            <w10:anchorlock/>
          </v:shape>
          <o:OLEObject Type="Embed" ProgID="Equation.DSMT4" ShapeID="_x0000_i1070" DrawAspect="Content" ObjectID="_1468075770" r:id="rId250">
            <o:LockedField>false</o:LockedField>
          </o:OLEObject>
        </w:object>
      </w:r>
      <w:r>
        <w:rPr>
          <w:szCs w:val="28"/>
          <w:shd w:val="clear" w:color="auto" w:fill="FFFFFF"/>
        </w:rPr>
        <w:t>为水面上10m处的风速，</w:t>
      </w:r>
      <w:r>
        <w:rPr>
          <w:szCs w:val="28"/>
          <w:shd w:val="clear" w:color="auto" w:fill="FFFFFF"/>
        </w:rPr>
        <w:object>
          <v:shape id="_x0000_i1071" o:spt="75" type="#_x0000_t75" style="height:20.55pt;width:14.05pt;" o:ole="t" filled="f" o:preferrelative="t" stroked="f" coordsize="21600,21600">
            <v:path/>
            <v:fill on="f" focussize="0,0"/>
            <v:stroke on="f" joinstyle="miter"/>
            <v:imagedata r:id="rId253" o:title=""/>
            <o:lock v:ext="edit" aspectratio="t"/>
            <w10:wrap type="none"/>
            <w10:anchorlock/>
          </v:shape>
          <o:OLEObject Type="Embed" ProgID="Equation.DSMT4" ShapeID="_x0000_i1071" DrawAspect="Content" ObjectID="_1468075771" r:id="rId252">
            <o:LockedField>false</o:LockedField>
          </o:OLEObject>
        </w:object>
      </w:r>
      <w:r>
        <w:rPr>
          <w:szCs w:val="28"/>
          <w:shd w:val="clear" w:color="auto" w:fill="FFFFFF"/>
        </w:rPr>
        <w:t>为表面流速，</w:t>
      </w:r>
      <w:r>
        <w:rPr>
          <w:szCs w:val="28"/>
          <w:shd w:val="clear" w:color="auto" w:fill="FFFFFF"/>
        </w:rPr>
        <w:object>
          <v:shape id="_x0000_i1072" o:spt="75" type="#_x0000_t75" style="height:20.55pt;width:7.5pt;" o:ole="t" filled="f" o:preferrelative="t" stroked="f" coordsize="21600,21600">
            <v:path/>
            <v:fill on="f" focussize="0,0"/>
            <v:stroke on="f" joinstyle="miter"/>
            <v:imagedata r:id="rId255" o:title=""/>
            <o:lock v:ext="edit" aspectratio="t"/>
            <w10:wrap type="none"/>
            <w10:anchorlock/>
          </v:shape>
          <o:OLEObject Type="Embed" ProgID="Equation.DSMT4" ShapeID="_x0000_i1072" DrawAspect="Content" ObjectID="_1468075772" r:id="rId254">
            <o:LockedField>false</o:LockedField>
          </o:OLEObject>
        </w:object>
      </w:r>
      <w:r>
        <w:rPr>
          <w:szCs w:val="28"/>
          <w:shd w:val="clear" w:color="auto" w:fill="FFFFFF"/>
        </w:rPr>
        <w:t>为漂移系数，一般取值0.02~0.03。</w:t>
      </w:r>
    </w:p>
    <w:p>
      <w:pPr>
        <w:ind w:firstLine="480"/>
        <w:rPr>
          <w:szCs w:val="28"/>
          <w:shd w:val="clear" w:color="auto" w:fill="FFFFFF"/>
        </w:rPr>
      </w:pPr>
      <w:r>
        <w:rPr>
          <w:rFonts w:hint="eastAsia" w:ascii="宋体" w:hAnsi="宋体" w:cs="宋体"/>
          <w:szCs w:val="28"/>
          <w:shd w:val="clear" w:color="auto" w:fill="FFFFFF"/>
        </w:rPr>
        <w:t>③</w:t>
      </w:r>
      <w:r>
        <w:rPr>
          <w:szCs w:val="28"/>
          <w:shd w:val="clear" w:color="auto" w:fill="FFFFFF"/>
        </w:rPr>
        <w:t>扩散</w:t>
      </w:r>
    </w:p>
    <w:p>
      <w:pPr>
        <w:ind w:firstLine="480"/>
        <w:rPr>
          <w:szCs w:val="28"/>
          <w:shd w:val="clear" w:color="auto" w:fill="FFFFFF"/>
        </w:rPr>
      </w:pPr>
      <w:r>
        <w:rPr>
          <w:szCs w:val="28"/>
          <w:shd w:val="clear" w:color="auto" w:fill="FFFFFF"/>
        </w:rPr>
        <w:t>由于单个粒子不能被分成几片，因此扩散的过程被解释为在随机方向上的运动。对于二维的情况，可以将随机走动的距离形式表示为一个时间步长</w:t>
      </w:r>
      <m:oMath>
        <m:r>
          <m:rPr>
            <m:sty m:val="p"/>
          </m:rPr>
          <w:rPr>
            <w:rFonts w:ascii="Cambria Math" w:hAnsi="Cambria Math"/>
          </w:rPr>
          <m:t>α</m:t>
        </m:r>
      </m:oMath>
      <w:r>
        <w:rPr>
          <w:szCs w:val="28"/>
          <w:shd w:val="clear" w:color="auto" w:fill="FFFFFF"/>
        </w:rPr>
        <w:t>方向上的扩散距离为：</w:t>
      </w:r>
    </w:p>
    <w:p>
      <w:pPr>
        <w:ind w:firstLine="480"/>
        <w:jc w:val="center"/>
        <w:rPr>
          <w:szCs w:val="28"/>
          <w:shd w:val="clear" w:color="auto" w:fill="FFFFFF"/>
        </w:rPr>
      </w:pPr>
      <w:r>
        <w:rPr>
          <w:szCs w:val="28"/>
          <w:shd w:val="clear" w:color="auto" w:fill="FFFFFF"/>
        </w:rPr>
        <w:object>
          <v:shape id="_x0000_i1073" o:spt="75" type="#_x0000_t75" style="height:28.05pt;width:101pt;" o:ole="t" filled="f" o:preferrelative="t" stroked="f" coordsize="21600,21600">
            <v:path/>
            <v:fill on="f" focussize="0,0"/>
            <v:stroke on="f" joinstyle="miter"/>
            <v:imagedata r:id="rId257" o:title=""/>
            <o:lock v:ext="edit" aspectratio="t"/>
            <w10:wrap type="none"/>
            <w10:anchorlock/>
          </v:shape>
          <o:OLEObject Type="Embed" ProgID="Equation.DSMT4" ShapeID="_x0000_i1073" DrawAspect="Content" ObjectID="_1468075773" r:id="rId256">
            <o:LockedField>false</o:LockedField>
          </o:OLEObject>
        </w:object>
      </w:r>
      <w:r>
        <w:rPr>
          <w:szCs w:val="28"/>
          <w:shd w:val="clear" w:color="auto" w:fill="FFFFFF"/>
        </w:rPr>
        <w:tab/>
      </w:r>
      <w:r>
        <w:rPr>
          <w:szCs w:val="28"/>
          <w:shd w:val="clear" w:color="auto" w:fill="FFFFFF"/>
        </w:rPr>
        <w:tab/>
      </w:r>
      <w:r>
        <w:rPr>
          <w:szCs w:val="28"/>
          <w:shd w:val="clear" w:color="auto" w:fill="FFFFFF"/>
        </w:rPr>
        <w:tab/>
      </w:r>
      <w:r>
        <w:rPr>
          <w:szCs w:val="28"/>
          <w:shd w:val="clear" w:color="auto" w:fill="FFFFFF"/>
        </w:rPr>
        <w:tab/>
      </w:r>
      <w:r>
        <w:rPr>
          <w:szCs w:val="28"/>
          <w:shd w:val="clear" w:color="auto" w:fill="FFFFFF"/>
        </w:rPr>
        <w:tab/>
      </w:r>
      <w:r>
        <w:rPr>
          <w:szCs w:val="28"/>
          <w:shd w:val="clear" w:color="auto" w:fill="FFFFFF"/>
        </w:rPr>
        <w:tab/>
      </w:r>
      <w:r>
        <w:rPr>
          <w:szCs w:val="28"/>
          <w:shd w:val="clear" w:color="auto" w:fill="FFFFFF"/>
        </w:rPr>
        <w:tab/>
      </w:r>
      <w:r>
        <w:rPr>
          <w:szCs w:val="28"/>
          <w:shd w:val="clear" w:color="auto" w:fill="FFFFFF"/>
        </w:rPr>
        <w:tab/>
      </w:r>
      <w:r>
        <w:rPr>
          <w:szCs w:val="28"/>
          <w:shd w:val="clear" w:color="auto" w:fill="FFFFFF"/>
        </w:rPr>
        <w:tab/>
      </w:r>
      <w:r>
        <w:rPr>
          <w:szCs w:val="28"/>
          <w:shd w:val="clear" w:color="auto" w:fill="FFFFFF"/>
        </w:rPr>
        <w:tab/>
      </w:r>
      <w:r>
        <w:rPr>
          <w:szCs w:val="28"/>
          <w:shd w:val="clear" w:color="auto" w:fill="FFFFFF"/>
        </w:rPr>
        <w:tab/>
      </w:r>
    </w:p>
    <w:p>
      <w:pPr>
        <w:ind w:firstLine="480"/>
        <w:rPr>
          <w:szCs w:val="28"/>
          <w:shd w:val="clear" w:color="auto" w:fill="FFFFFF"/>
        </w:rPr>
      </w:pPr>
      <w:r>
        <w:rPr>
          <w:szCs w:val="28"/>
          <w:shd w:val="clear" w:color="auto" w:fill="FFFFFF"/>
        </w:rPr>
        <w:t>式中</w:t>
      </w:r>
      <w:r>
        <w:rPr>
          <w:szCs w:val="28"/>
          <w:shd w:val="clear" w:color="auto" w:fill="FFFFFF"/>
        </w:rPr>
        <w:object>
          <v:shape id="_x0000_i1074" o:spt="75" type="#_x0000_t75" style="height:20.55pt;width:14.05pt;" o:ole="t" filled="f" o:preferrelative="t" stroked="f" coordsize="21600,21600">
            <v:path/>
            <v:fill on="f" focussize="0,0"/>
            <v:stroke on="f" joinstyle="miter"/>
            <v:imagedata r:id="rId259" o:title=""/>
            <o:lock v:ext="edit" aspectratio="t"/>
            <w10:wrap type="none"/>
            <w10:anchorlock/>
          </v:shape>
          <o:OLEObject Type="Embed" ProgID="Equation.DSMT4" ShapeID="_x0000_i1074" DrawAspect="Content" ObjectID="_1468075774" r:id="rId258">
            <o:LockedField>false</o:LockedField>
          </o:OLEObject>
        </w:object>
      </w:r>
      <w:r>
        <w:rPr>
          <w:szCs w:val="28"/>
          <w:shd w:val="clear" w:color="auto" w:fill="FFFFFF"/>
        </w:rPr>
        <w:t>为在</w:t>
      </w:r>
      <w:r>
        <w:rPr>
          <w:szCs w:val="28"/>
          <w:shd w:val="clear" w:color="auto" w:fill="FFFFFF"/>
        </w:rPr>
        <w:object>
          <v:shape id="_x0000_i1075" o:spt="75" type="#_x0000_t75" style="height:7.5pt;width:7.5pt;" o:ole="t" filled="f" o:preferrelative="t" stroked="f" coordsize="21600,21600">
            <v:path/>
            <v:fill on="f" focussize="0,0"/>
            <v:stroke on="f" joinstyle="miter"/>
            <v:imagedata r:id="rId261" o:title=""/>
            <o:lock v:ext="edit" aspectratio="t"/>
            <w10:wrap type="none"/>
            <w10:anchorlock/>
          </v:shape>
          <o:OLEObject Type="Embed" ProgID="Equation.DSMT4" ShapeID="_x0000_i1075" DrawAspect="Content" ObjectID="_1468075775" r:id="rId260">
            <o:LockedField>false</o:LockedField>
          </o:OLEObject>
        </w:object>
      </w:r>
      <w:r>
        <w:rPr>
          <w:szCs w:val="28"/>
          <w:shd w:val="clear" w:color="auto" w:fill="FFFFFF"/>
        </w:rPr>
        <w:t>方向上的一个时间步长内可能扩散走动的距离，</w:t>
      </w:r>
      <w:r>
        <w:rPr>
          <w:szCs w:val="28"/>
          <w:shd w:val="clear" w:color="auto" w:fill="FFFFFF"/>
        </w:rPr>
        <w:object>
          <v:shape id="_x0000_i1076" o:spt="75" type="#_x0000_t75" style="height:20.55pt;width:21.5pt;" o:ole="t" filled="f" o:preferrelative="t" stroked="f" coordsize="21600,21600">
            <v:path/>
            <v:fill on="f" focussize="0,0"/>
            <v:stroke on="f" joinstyle="miter"/>
            <v:imagedata r:id="rId263" o:title=""/>
            <o:lock v:ext="edit" aspectratio="t"/>
            <w10:wrap type="none"/>
            <w10:anchorlock/>
          </v:shape>
          <o:OLEObject Type="Embed" ProgID="Equation.DSMT4" ShapeID="_x0000_i1076" DrawAspect="Content" ObjectID="_1468075776" r:id="rId262">
            <o:LockedField>false</o:LockedField>
          </o:OLEObject>
        </w:object>
      </w:r>
      <w:r>
        <w:rPr>
          <w:szCs w:val="28"/>
          <w:shd w:val="clear" w:color="auto" w:fill="FFFFFF"/>
        </w:rPr>
        <w:t>为</w:t>
      </w:r>
      <w:r>
        <w:rPr>
          <w:szCs w:val="28"/>
          <w:shd w:val="clear" w:color="auto" w:fill="FFFFFF"/>
        </w:rPr>
        <w:object>
          <v:shape id="_x0000_i1077" o:spt="75" type="#_x0000_t75" style="height:7.5pt;width:7.5pt;" o:ole="t" filled="f" o:preferrelative="t" stroked="f" coordsize="21600,21600">
            <v:path/>
            <v:fill on="f" focussize="0,0"/>
            <v:stroke on="f" joinstyle="miter"/>
            <v:imagedata r:id="rId261" o:title=""/>
            <o:lock v:ext="edit" aspectratio="t"/>
            <w10:wrap type="none"/>
            <w10:anchorlock/>
          </v:shape>
          <o:OLEObject Type="Embed" ProgID="Equation.DSMT4" ShapeID="_x0000_i1077" DrawAspect="Content" ObjectID="_1468075777" r:id="rId264">
            <o:LockedField>false</o:LockedField>
          </o:OLEObject>
        </w:object>
      </w:r>
      <w:r>
        <w:rPr>
          <w:szCs w:val="28"/>
          <w:shd w:val="clear" w:color="auto" w:fill="FFFFFF"/>
        </w:rPr>
        <w:t>方向上的扩散系数，</w:t>
      </w:r>
      <w:r>
        <w:rPr>
          <w:szCs w:val="28"/>
          <w:shd w:val="clear" w:color="auto" w:fill="FFFFFF"/>
        </w:rPr>
        <w:object>
          <v:shape id="_x0000_i1078" o:spt="75" type="#_x0000_t75" style="height:7.5pt;width:7.5pt;" o:ole="t" filled="f" o:preferrelative="t" stroked="f" coordsize="21600,21600">
            <v:path/>
            <v:fill on="f" focussize="0,0"/>
            <v:stroke on="f" joinstyle="miter"/>
            <v:imagedata r:id="rId266" o:title=""/>
            <o:lock v:ext="edit" aspectratio="t"/>
            <w10:wrap type="none"/>
            <w10:anchorlock/>
          </v:shape>
          <o:OLEObject Type="Embed" ProgID="Equation.DSMT4" ShapeID="_x0000_i1078" DrawAspect="Content" ObjectID="_1468075778" r:id="rId265">
            <o:LockedField>false</o:LockedField>
          </o:OLEObject>
        </w:object>
      </w:r>
      <w:r>
        <w:rPr>
          <w:szCs w:val="28"/>
          <w:shd w:val="clear" w:color="auto" w:fill="FFFFFF"/>
        </w:rPr>
        <w:t>为-1 到1的随机数。Δtp为计算时间步长。</w:t>
      </w:r>
    </w:p>
    <w:p>
      <w:pPr>
        <w:ind w:firstLine="482"/>
        <w:rPr>
          <w:rFonts w:hAnsi="宋体"/>
          <w:b/>
          <w:bCs/>
        </w:rPr>
      </w:pPr>
      <w:r>
        <w:rPr>
          <w:rFonts w:hint="eastAsia" w:hAnsi="宋体"/>
          <w:b/>
          <w:bCs/>
        </w:rPr>
        <w:t>（2）</w:t>
      </w:r>
      <w:r>
        <w:rPr>
          <w:rFonts w:hAnsi="宋体"/>
          <w:b/>
          <w:bCs/>
        </w:rPr>
        <w:t>模型构建</w:t>
      </w:r>
    </w:p>
    <w:p>
      <w:pPr>
        <w:ind w:firstLine="480"/>
      </w:pPr>
      <w:r>
        <w:rPr>
          <w:rFonts w:hint="eastAsia"/>
        </w:rPr>
        <w:t>模拟区域为2</w:t>
      </w:r>
      <w:r>
        <w:t>4.873km</w:t>
      </w:r>
      <w:r>
        <w:rPr>
          <w:vertAlign w:val="superscript"/>
        </w:rPr>
        <w:t>2</w:t>
      </w:r>
      <w:r>
        <w:rPr>
          <w:rFonts w:hint="eastAsia"/>
        </w:rPr>
        <w:t>的江域，整个区域均</w:t>
      </w:r>
      <w:r>
        <w:t>采用</w:t>
      </w:r>
      <w:r>
        <w:rPr>
          <w:rFonts w:hint="eastAsia"/>
        </w:rPr>
        <w:t>非结构化</w:t>
      </w:r>
      <w:r>
        <w:t>网格进行</w:t>
      </w:r>
      <w:r>
        <w:rPr>
          <w:rFonts w:hint="eastAsia"/>
        </w:rPr>
        <w:t>有限体积划分</w:t>
      </w:r>
      <w:r>
        <w:t>，计算区域共剖分计算网格单元46419个，对于码头区域</w:t>
      </w:r>
      <w:r>
        <w:rPr>
          <w:rFonts w:hint="eastAsia"/>
        </w:rPr>
        <w:t>、左右近岸区域、水下地形变化较大区域均</w:t>
      </w:r>
      <w:r>
        <w:t>采用渐变过渡网格处理，最小网格面积为0.3m</w:t>
      </w:r>
      <w:r>
        <w:rPr>
          <w:vertAlign w:val="superscript"/>
        </w:rPr>
        <w:t>2</w:t>
      </w:r>
      <w:r>
        <w:rPr>
          <w:rFonts w:hint="eastAsia"/>
        </w:rPr>
        <w:t>，最大网格面积为2</w:t>
      </w:r>
      <w:r>
        <w:t>3650.39 m</w:t>
      </w:r>
      <w:r>
        <w:rPr>
          <w:vertAlign w:val="superscript"/>
        </w:rPr>
        <w:t>2</w:t>
      </w:r>
      <w:r>
        <w:rPr>
          <w:rFonts w:hint="eastAsia"/>
        </w:rPr>
        <w:t>，平均网格面积为</w:t>
      </w:r>
      <w:r>
        <w:t>535.83m</w:t>
      </w:r>
      <w:r>
        <w:rPr>
          <w:vertAlign w:val="superscript"/>
        </w:rPr>
        <w:t>2</w:t>
      </w:r>
      <w:r>
        <w:t>。采用实测水下地形数据对其进行插值</w:t>
      </w:r>
      <w:r>
        <w:rPr>
          <w:rFonts w:hint="eastAsia"/>
        </w:rPr>
        <w:t>，对上述局部区域采用优化的线性插值和反距离权重插值方法</w:t>
      </w:r>
      <w:r>
        <w:t>，模型网格及地形图如下所示。</w:t>
      </w:r>
    </w:p>
    <w:p>
      <w:pPr>
        <w:pStyle w:val="2"/>
        <w:ind w:firstLine="0" w:firstLineChars="0"/>
        <w:jc w:val="both"/>
      </w:pPr>
      <w:r>
        <w:drawing>
          <wp:inline distT="0" distB="0" distL="0" distR="0">
            <wp:extent cx="5759450" cy="5518785"/>
            <wp:effectExtent l="0" t="0" r="0" b="5715"/>
            <wp:docPr id="1369" name="图片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图片 1369"/>
                    <pic:cNvPicPr>
                      <a:picLocks noChangeAspect="1"/>
                    </pic:cNvPicPr>
                  </pic:nvPicPr>
                  <pic:blipFill>
                    <a:blip r:embed="rId267"/>
                    <a:stretch>
                      <a:fillRect/>
                    </a:stretch>
                  </pic:blipFill>
                  <pic:spPr>
                    <a:xfrm>
                      <a:off x="0" y="0"/>
                      <a:ext cx="5759450" cy="5518785"/>
                    </a:xfrm>
                    <a:prstGeom prst="rect">
                      <a:avLst/>
                    </a:prstGeom>
                  </pic:spPr>
                </pic:pic>
              </a:graphicData>
            </a:graphic>
          </wp:inline>
        </w:drawing>
      </w:r>
    </w:p>
    <w:p>
      <w:pPr>
        <w:pStyle w:val="3609"/>
        <w:ind w:left="0"/>
      </w:pPr>
      <w:r>
        <w:t xml:space="preserve">  </w:t>
      </w:r>
      <w:r>
        <w:rPr>
          <w:rFonts w:hint="eastAsia"/>
        </w:rPr>
        <w:t>计算域地形插值图</w:t>
      </w:r>
    </w:p>
    <w:p>
      <w:pPr>
        <w:pStyle w:val="2"/>
        <w:ind w:firstLine="0" w:firstLineChars="0"/>
      </w:pPr>
      <w:r>
        <w:drawing>
          <wp:inline distT="0" distB="0" distL="0" distR="0">
            <wp:extent cx="5355590" cy="5207000"/>
            <wp:effectExtent l="0" t="0" r="0" b="0"/>
            <wp:docPr id="1370" name="图片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图片 1370"/>
                    <pic:cNvPicPr>
                      <a:picLocks noChangeAspect="1"/>
                    </pic:cNvPicPr>
                  </pic:nvPicPr>
                  <pic:blipFill>
                    <a:blip r:embed="rId268"/>
                    <a:stretch>
                      <a:fillRect/>
                    </a:stretch>
                  </pic:blipFill>
                  <pic:spPr>
                    <a:xfrm>
                      <a:off x="0" y="0"/>
                      <a:ext cx="5358763" cy="5210466"/>
                    </a:xfrm>
                    <a:prstGeom prst="rect">
                      <a:avLst/>
                    </a:prstGeom>
                  </pic:spPr>
                </pic:pic>
              </a:graphicData>
            </a:graphic>
          </wp:inline>
        </w:drawing>
      </w:r>
    </w:p>
    <w:p>
      <w:pPr>
        <w:pStyle w:val="2"/>
        <w:ind w:firstLine="0" w:firstLineChars="0"/>
      </w:pPr>
      <w:r>
        <w:drawing>
          <wp:inline distT="0" distB="0" distL="0" distR="0">
            <wp:extent cx="5474335" cy="2675890"/>
            <wp:effectExtent l="0" t="0" r="0" b="0"/>
            <wp:docPr id="1383" name="图片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图片 1383"/>
                    <pic:cNvPicPr>
                      <a:picLocks noChangeAspect="1"/>
                    </pic:cNvPicPr>
                  </pic:nvPicPr>
                  <pic:blipFill>
                    <a:blip r:embed="rId269"/>
                    <a:stretch>
                      <a:fillRect/>
                    </a:stretch>
                  </pic:blipFill>
                  <pic:spPr>
                    <a:xfrm>
                      <a:off x="0" y="0"/>
                      <a:ext cx="5483516" cy="2680696"/>
                    </a:xfrm>
                    <a:prstGeom prst="rect">
                      <a:avLst/>
                    </a:prstGeom>
                  </pic:spPr>
                </pic:pic>
              </a:graphicData>
            </a:graphic>
          </wp:inline>
        </w:drawing>
      </w:r>
    </w:p>
    <w:p>
      <w:pPr>
        <w:pStyle w:val="3609"/>
        <w:spacing w:line="240" w:lineRule="atLeast"/>
        <w:ind w:left="0"/>
      </w:pPr>
      <w:r>
        <w:t xml:space="preserve">  </w:t>
      </w:r>
      <w:r>
        <w:rPr>
          <w:rFonts w:hint="eastAsia"/>
        </w:rPr>
        <w:t>计算域地形插值图</w:t>
      </w:r>
    </w:p>
    <w:p>
      <w:pPr>
        <w:pStyle w:val="456"/>
        <w:ind w:firstLine="482"/>
      </w:pPr>
      <w:r>
        <w:t>溢油结果分析</w:t>
      </w:r>
    </w:p>
    <w:p>
      <w:pPr>
        <w:ind w:firstLine="480"/>
      </w:pPr>
      <w:r>
        <w:rPr>
          <w:rFonts w:hint="eastAsia"/>
        </w:rPr>
        <w:t>油膜扩展主要受溢油自身物理化学性质、水动力特征、风场等因素影响，在溢油事故发生后，初期油膜在重力及惯性力作用下发生扩展，油膜面积迅速增大，平均厚度迅速减小，随着时间的推移，流场流态特征及风速等成为油膜扩展的主导因素，油膜发生扩展的同时又随着水流向下游输运和扩散，在整个过程中，油膜会发生蒸发和乳化过程，油膜厚度随时间逐步减小，具体过程如下。</w:t>
      </w:r>
    </w:p>
    <w:p>
      <w:pPr>
        <w:ind w:firstLine="480"/>
      </w:pPr>
      <w:r>
        <w:t>由数学模型的计算结果可知，模拟突发溢油事故后石油类污染物在20</w:t>
      </w:r>
      <w:r>
        <w:rPr>
          <w:rFonts w:hint="eastAsia"/>
        </w:rPr>
        <w:t>m</w:t>
      </w:r>
      <w:r>
        <w:t>in内由</w:t>
      </w:r>
      <w:r>
        <w:rPr>
          <w:rFonts w:hint="eastAsia"/>
        </w:rPr>
        <w:t>码头下端</w:t>
      </w:r>
      <w:r>
        <w:t>溢油点入江，</w:t>
      </w:r>
      <w:r>
        <w:rPr>
          <w:rFonts w:hint="eastAsia"/>
        </w:rPr>
        <w:t>初始阶段在重力和惯性力作用下油膜</w:t>
      </w:r>
      <w:r>
        <w:t>迅速扩展</w:t>
      </w:r>
      <w:r>
        <w:rPr>
          <w:rFonts w:hint="eastAsia"/>
        </w:rPr>
        <w:t>，油膜面积迅速增大，溢油事故初始时刻油膜厚度如下分布图所示。</w:t>
      </w:r>
    </w:p>
    <w:p>
      <w:pPr>
        <w:pStyle w:val="3611"/>
      </w:pPr>
      <w:r>
        <w:drawing>
          <wp:inline distT="0" distB="0" distL="0" distR="0">
            <wp:extent cx="5391150" cy="4246245"/>
            <wp:effectExtent l="0" t="0" r="0" b="1905"/>
            <wp:docPr id="1384" name="图片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图片 1384"/>
                    <pic:cNvPicPr>
                      <a:picLocks noChangeAspect="1"/>
                    </pic:cNvPicPr>
                  </pic:nvPicPr>
                  <pic:blipFill>
                    <a:blip r:embed="rId270"/>
                    <a:stretch>
                      <a:fillRect/>
                    </a:stretch>
                  </pic:blipFill>
                  <pic:spPr>
                    <a:xfrm>
                      <a:off x="0" y="0"/>
                      <a:ext cx="5396614" cy="4250651"/>
                    </a:xfrm>
                    <a:prstGeom prst="rect">
                      <a:avLst/>
                    </a:prstGeom>
                  </pic:spPr>
                </pic:pic>
              </a:graphicData>
            </a:graphic>
          </wp:inline>
        </w:drawing>
      </w:r>
    </w:p>
    <w:p>
      <w:pPr>
        <w:pStyle w:val="3609"/>
        <w:ind w:firstLine="480"/>
      </w:pPr>
      <w:r>
        <w:t>枯水期溢油初始时刻油膜厚度及分布图</w:t>
      </w:r>
    </w:p>
    <w:p>
      <w:pPr>
        <w:ind w:firstLine="480"/>
      </w:pPr>
      <w:r>
        <w:rPr>
          <w:rFonts w:hint="eastAsia"/>
        </w:rPr>
        <w:t>随后</w:t>
      </w:r>
      <w:r>
        <w:t>在风力和</w:t>
      </w:r>
      <w:r>
        <w:rPr>
          <w:rFonts w:hint="eastAsia"/>
        </w:rPr>
        <w:t>水体表面流速等</w:t>
      </w:r>
      <w:r>
        <w:t>相互作用下</w:t>
      </w:r>
      <w:r>
        <w:rPr>
          <w:rFonts w:hint="eastAsia"/>
        </w:rPr>
        <w:t>油膜继续扩展的同时逐渐</w:t>
      </w:r>
      <w:r>
        <w:t>向下游</w:t>
      </w:r>
      <w:r>
        <w:rPr>
          <w:rFonts w:hint="eastAsia"/>
        </w:rPr>
        <w:t>输运和</w:t>
      </w:r>
      <w:r>
        <w:t>扩散</w:t>
      </w:r>
      <w:r>
        <w:rPr>
          <w:rFonts w:hint="eastAsia"/>
        </w:rPr>
        <w:t>，</w:t>
      </w:r>
      <w:r>
        <w:t>3</w:t>
      </w:r>
      <w:r>
        <w:rPr>
          <w:rFonts w:hint="eastAsia"/>
        </w:rPr>
        <w:t>h</w:t>
      </w:r>
      <w:r>
        <w:t>后</w:t>
      </w:r>
      <w:r>
        <w:rPr>
          <w:rFonts w:hint="eastAsia"/>
        </w:rPr>
        <w:t>油膜污染物</w:t>
      </w:r>
      <w:r>
        <w:t>到达</w:t>
      </w:r>
      <w:r>
        <w:rPr>
          <w:rFonts w:hint="eastAsia"/>
        </w:rPr>
        <w:t>临湘市工业园滨江产业示范区自来水厂（取水口）饮用水源保护区，此时</w:t>
      </w:r>
      <w:r>
        <w:t>油膜</w:t>
      </w:r>
      <w:r>
        <w:rPr>
          <w:rFonts w:hint="eastAsia"/>
        </w:rPr>
        <w:t>平均</w:t>
      </w:r>
      <w:r>
        <w:t>厚度约为</w:t>
      </w:r>
      <w:r>
        <w:rPr>
          <w:rFonts w:hint="eastAsia"/>
        </w:rPr>
        <w:t>0.</w:t>
      </w:r>
      <w:r>
        <w:t>36mm，</w:t>
      </w:r>
      <w:r>
        <w:rPr>
          <w:rFonts w:hint="eastAsia"/>
        </w:rPr>
        <w:t>最大油膜厚度为</w:t>
      </w:r>
      <w:r>
        <w:t>0.978mm</w:t>
      </w:r>
      <w:r>
        <w:rPr>
          <w:rFonts w:hint="eastAsia"/>
        </w:rPr>
        <w:t>，</w:t>
      </w:r>
      <w:r>
        <w:t>厚度</w:t>
      </w:r>
      <w:r>
        <w:rPr>
          <w:rFonts w:hint="eastAsia"/>
        </w:rPr>
        <w:t>≥</w:t>
      </w:r>
      <w:r>
        <w:t>10</w:t>
      </w:r>
      <w:r>
        <w:rPr>
          <w:rFonts w:hint="eastAsia"/>
        </w:rPr>
        <w:t>0</w:t>
      </w:r>
      <w:r>
        <w:t>μm的</w:t>
      </w:r>
      <w:r>
        <w:rPr>
          <w:rFonts w:hint="eastAsia"/>
        </w:rPr>
        <w:t>油膜</w:t>
      </w:r>
      <w:r>
        <w:t>面积约为</w:t>
      </w:r>
      <w:r>
        <w:rPr>
          <w:rFonts w:hint="eastAsia"/>
        </w:rPr>
        <w:t>0.</w:t>
      </w:r>
      <w:r>
        <w:t>6km</w:t>
      </w:r>
      <w:r>
        <w:rPr>
          <w:vertAlign w:val="superscript"/>
        </w:rPr>
        <w:t>2</w:t>
      </w:r>
      <w:r>
        <w:rPr>
          <w:rFonts w:hint="eastAsia"/>
        </w:rPr>
        <w:t>。</w:t>
      </w:r>
    </w:p>
    <w:p>
      <w:pPr>
        <w:pStyle w:val="3611"/>
      </w:pPr>
      <w:r>
        <w:drawing>
          <wp:inline distT="0" distB="0" distL="0" distR="0">
            <wp:extent cx="4368800" cy="3394710"/>
            <wp:effectExtent l="0" t="0" r="0" b="0"/>
            <wp:docPr id="1394" name="图片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图片 1394"/>
                    <pic:cNvPicPr>
                      <a:picLocks noChangeAspect="1"/>
                    </pic:cNvPicPr>
                  </pic:nvPicPr>
                  <pic:blipFill>
                    <a:blip r:embed="rId271"/>
                    <a:srcRect b="1786"/>
                    <a:stretch>
                      <a:fillRect/>
                    </a:stretch>
                  </pic:blipFill>
                  <pic:spPr>
                    <a:xfrm>
                      <a:off x="0" y="0"/>
                      <a:ext cx="4387539" cy="3409340"/>
                    </a:xfrm>
                    <a:prstGeom prst="rect">
                      <a:avLst/>
                    </a:prstGeom>
                    <a:ln>
                      <a:noFill/>
                    </a:ln>
                  </pic:spPr>
                </pic:pic>
              </a:graphicData>
            </a:graphic>
          </wp:inline>
        </w:drawing>
      </w:r>
    </w:p>
    <w:p>
      <w:pPr>
        <w:pStyle w:val="3609"/>
        <w:ind w:firstLine="480"/>
      </w:pPr>
      <w:r>
        <w:t>枯水期溢油3h后油膜厚度及分布图</w:t>
      </w:r>
    </w:p>
    <w:p>
      <w:pPr>
        <w:ind w:firstLine="480"/>
      </w:pPr>
      <w:r>
        <w:rPr>
          <w:rFonts w:hint="eastAsia"/>
        </w:rPr>
        <w:t>由于油膜岸边吸附作用，同时在下游码头、浅湾局部水域水体流速较低，产生部分环流，油膜滞留时间延长，未乳化的部分将持续对下游取水口产生影响，</w:t>
      </w:r>
      <w:r>
        <w:t>12</w:t>
      </w:r>
      <w:r>
        <w:rPr>
          <w:rFonts w:hint="eastAsia"/>
        </w:rPr>
        <w:t>h</w:t>
      </w:r>
      <w:r>
        <w:t>后</w:t>
      </w:r>
      <w:r>
        <w:rPr>
          <w:rFonts w:hint="eastAsia"/>
        </w:rPr>
        <w:t>油膜平均厚度约为0</w:t>
      </w:r>
      <w:r>
        <w:t>.372mm</w:t>
      </w:r>
      <w:r>
        <w:rPr>
          <w:rFonts w:hint="eastAsia"/>
        </w:rPr>
        <w:t>，最大油膜厚度为</w:t>
      </w:r>
      <w:r>
        <w:t>0.42mm</w:t>
      </w:r>
      <w:r>
        <w:rPr>
          <w:rFonts w:hint="eastAsia"/>
        </w:rPr>
        <w:t>，</w:t>
      </w:r>
      <w:r>
        <w:t>厚度</w:t>
      </w:r>
      <w:r>
        <w:rPr>
          <w:rFonts w:hint="eastAsia"/>
        </w:rPr>
        <w:t>≥</w:t>
      </w:r>
      <w:r>
        <w:t>10</w:t>
      </w:r>
      <w:r>
        <w:rPr>
          <w:rFonts w:hint="eastAsia"/>
        </w:rPr>
        <w:t>0</w:t>
      </w:r>
      <w:r>
        <w:t>μm的</w:t>
      </w:r>
      <w:r>
        <w:rPr>
          <w:rFonts w:hint="eastAsia"/>
        </w:rPr>
        <w:t>油膜</w:t>
      </w:r>
      <w:r>
        <w:t>面积约为0.021km</w:t>
      </w:r>
      <w:r>
        <w:rPr>
          <w:vertAlign w:val="superscript"/>
        </w:rPr>
        <w:t>2</w:t>
      </w:r>
      <w:r>
        <w:rPr>
          <w:rFonts w:hint="eastAsia"/>
        </w:rPr>
        <w:t>。</w:t>
      </w:r>
    </w:p>
    <w:p>
      <w:pPr>
        <w:pStyle w:val="3611"/>
      </w:pPr>
      <w:r>
        <w:drawing>
          <wp:inline distT="0" distB="0" distL="0" distR="0">
            <wp:extent cx="4476750" cy="3490595"/>
            <wp:effectExtent l="0" t="0" r="0" b="0"/>
            <wp:docPr id="1395" name="图片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图片 1395"/>
                    <pic:cNvPicPr>
                      <a:picLocks noChangeAspect="1"/>
                    </pic:cNvPicPr>
                  </pic:nvPicPr>
                  <pic:blipFill>
                    <a:blip r:embed="rId272"/>
                    <a:srcRect b="1256"/>
                    <a:stretch>
                      <a:fillRect/>
                    </a:stretch>
                  </pic:blipFill>
                  <pic:spPr>
                    <a:xfrm>
                      <a:off x="0" y="0"/>
                      <a:ext cx="4491993" cy="3502508"/>
                    </a:xfrm>
                    <a:prstGeom prst="rect">
                      <a:avLst/>
                    </a:prstGeom>
                    <a:ln>
                      <a:noFill/>
                    </a:ln>
                  </pic:spPr>
                </pic:pic>
              </a:graphicData>
            </a:graphic>
          </wp:inline>
        </w:drawing>
      </w:r>
    </w:p>
    <w:p>
      <w:pPr>
        <w:pStyle w:val="3609"/>
        <w:ind w:firstLine="480"/>
      </w:pPr>
      <w:r>
        <w:t>枯水期溢油12h后油膜厚度及分布图</w:t>
      </w:r>
    </w:p>
    <w:p>
      <w:pPr>
        <w:pStyle w:val="3611"/>
      </w:pPr>
      <w:r>
        <w:drawing>
          <wp:inline distT="0" distB="0" distL="0" distR="0">
            <wp:extent cx="4965065" cy="3905250"/>
            <wp:effectExtent l="0" t="0" r="6985" b="0"/>
            <wp:docPr id="1396" name="图片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图片 1396"/>
                    <pic:cNvPicPr>
                      <a:picLocks noChangeAspect="1"/>
                    </pic:cNvPicPr>
                  </pic:nvPicPr>
                  <pic:blipFill>
                    <a:blip r:embed="rId273"/>
                    <a:stretch>
                      <a:fillRect/>
                    </a:stretch>
                  </pic:blipFill>
                  <pic:spPr>
                    <a:xfrm>
                      <a:off x="0" y="0"/>
                      <a:ext cx="4976000" cy="3913869"/>
                    </a:xfrm>
                    <a:prstGeom prst="rect">
                      <a:avLst/>
                    </a:prstGeom>
                  </pic:spPr>
                </pic:pic>
              </a:graphicData>
            </a:graphic>
          </wp:inline>
        </w:drawing>
      </w:r>
    </w:p>
    <w:p>
      <w:pPr>
        <w:pStyle w:val="3609"/>
      </w:pPr>
      <w:r>
        <w:rPr>
          <w:rFonts w:hint="eastAsia"/>
        </w:rPr>
        <w:t>油膜岸边吸附效应图</w:t>
      </w:r>
    </w:p>
    <w:p>
      <w:pPr>
        <w:pStyle w:val="3611"/>
      </w:pPr>
      <w:r>
        <w:drawing>
          <wp:inline distT="0" distB="0" distL="0" distR="0">
            <wp:extent cx="5045075" cy="3982085"/>
            <wp:effectExtent l="0" t="0" r="3175" b="0"/>
            <wp:docPr id="1397" name="图片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 name="图片 1397"/>
                    <pic:cNvPicPr>
                      <a:picLocks noChangeAspect="1"/>
                    </pic:cNvPicPr>
                  </pic:nvPicPr>
                  <pic:blipFill>
                    <a:blip r:embed="rId274"/>
                    <a:stretch>
                      <a:fillRect/>
                    </a:stretch>
                  </pic:blipFill>
                  <pic:spPr>
                    <a:xfrm>
                      <a:off x="0" y="0"/>
                      <a:ext cx="5048748" cy="3985004"/>
                    </a:xfrm>
                    <a:prstGeom prst="rect">
                      <a:avLst/>
                    </a:prstGeom>
                  </pic:spPr>
                </pic:pic>
              </a:graphicData>
            </a:graphic>
          </wp:inline>
        </w:drawing>
      </w:r>
    </w:p>
    <w:p>
      <w:pPr>
        <w:pStyle w:val="3609"/>
      </w:pPr>
      <w:r>
        <w:rPr>
          <w:rFonts w:hint="eastAsia"/>
        </w:rPr>
        <w:t>油膜在码头、浅滩等流速较低区域滞留效应图</w:t>
      </w:r>
    </w:p>
    <w:p>
      <w:pPr>
        <w:ind w:firstLine="480"/>
      </w:pPr>
      <w:r>
        <w:rPr>
          <w:rFonts w:hint="eastAsia"/>
        </w:rPr>
        <w:t>溢油事故发生后，2</w:t>
      </w:r>
      <w:r>
        <w:t>3h25</w:t>
      </w:r>
      <w:r>
        <w:rPr>
          <w:rFonts w:hint="eastAsia"/>
        </w:rPr>
        <w:t>min时油膜滞留在取水口饮用水源保护区江域上游处，油膜平均厚度约为0</w:t>
      </w:r>
      <w:r>
        <w:t>.2mm</w:t>
      </w:r>
      <w:r>
        <w:rPr>
          <w:rFonts w:hint="eastAsia"/>
        </w:rPr>
        <w:t>，最大油膜厚度为</w:t>
      </w:r>
      <w:r>
        <w:t>0.31mm</w:t>
      </w:r>
      <w:r>
        <w:rPr>
          <w:rFonts w:hint="eastAsia"/>
        </w:rPr>
        <w:t>，</w:t>
      </w:r>
      <w:r>
        <w:t>厚度</w:t>
      </w:r>
      <w:r>
        <w:rPr>
          <w:rFonts w:hint="eastAsia"/>
        </w:rPr>
        <w:t>≥</w:t>
      </w:r>
      <w:r>
        <w:t>10</w:t>
      </w:r>
      <w:r>
        <w:rPr>
          <w:rFonts w:hint="eastAsia"/>
        </w:rPr>
        <w:t>0</w:t>
      </w:r>
      <w:r>
        <w:t>μm的</w:t>
      </w:r>
      <w:r>
        <w:rPr>
          <w:rFonts w:hint="eastAsia"/>
        </w:rPr>
        <w:t>油膜</w:t>
      </w:r>
      <w:r>
        <w:t>面积约为0.0014km</w:t>
      </w:r>
      <w:r>
        <w:rPr>
          <w:vertAlign w:val="superscript"/>
        </w:rPr>
        <w:t>2</w:t>
      </w:r>
      <w:r>
        <w:rPr>
          <w:rFonts w:hint="eastAsia"/>
        </w:rPr>
        <w:t>，此时油膜面积和油膜厚度相对较小，油膜风化速度加快，继续向下游输运和扩散的风险减弱，基本对下游水源保护区江域无影响，因此溢油事故对水源保护区江域的持续影响时间约为</w:t>
      </w:r>
      <w:r>
        <w:t>23</w:t>
      </w:r>
      <w:r>
        <w:rPr>
          <w:rFonts w:hint="eastAsia"/>
        </w:rPr>
        <w:t>h2</w:t>
      </w:r>
      <w:r>
        <w:t>5</w:t>
      </w:r>
      <w:r>
        <w:rPr>
          <w:rFonts w:hint="eastAsia"/>
        </w:rPr>
        <w:t>m</w:t>
      </w:r>
      <w:r>
        <w:t>in。</w:t>
      </w:r>
    </w:p>
    <w:p>
      <w:pPr>
        <w:pStyle w:val="2"/>
        <w:ind w:firstLine="0" w:firstLineChars="0"/>
        <w:jc w:val="both"/>
      </w:pPr>
      <w:r>
        <w:drawing>
          <wp:inline distT="0" distB="0" distL="0" distR="0">
            <wp:extent cx="5759450" cy="4533265"/>
            <wp:effectExtent l="0" t="0" r="0" b="635"/>
            <wp:docPr id="1398" name="图片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图片 1398"/>
                    <pic:cNvPicPr>
                      <a:picLocks noChangeAspect="1"/>
                    </pic:cNvPicPr>
                  </pic:nvPicPr>
                  <pic:blipFill>
                    <a:blip r:embed="rId275"/>
                    <a:stretch>
                      <a:fillRect/>
                    </a:stretch>
                  </pic:blipFill>
                  <pic:spPr>
                    <a:xfrm>
                      <a:off x="0" y="0"/>
                      <a:ext cx="5759450" cy="4533265"/>
                    </a:xfrm>
                    <a:prstGeom prst="rect">
                      <a:avLst/>
                    </a:prstGeom>
                  </pic:spPr>
                </pic:pic>
              </a:graphicData>
            </a:graphic>
          </wp:inline>
        </w:drawing>
      </w:r>
    </w:p>
    <w:p>
      <w:pPr>
        <w:pStyle w:val="3609"/>
      </w:pPr>
      <w:r>
        <w:rPr>
          <w:rFonts w:hint="eastAsia"/>
        </w:rPr>
        <w:t>油膜在码头、浅滩等流速较低区域滞留效应图</w:t>
      </w:r>
    </w:p>
    <w:p>
      <w:pPr>
        <w:ind w:firstLine="480"/>
      </w:pPr>
      <w:r>
        <w:rPr>
          <w:rFonts w:hint="eastAsia"/>
        </w:rPr>
        <w:t>统计各有限单元模拟周期内各时刻油膜厚度最大值并绘制成云图如下所示，综合分析可知，在枯水期条件下，油膜影响区域集中在右岸江域，整个过程油膜影响的水面面积约为3</w:t>
      </w:r>
      <w:r>
        <w:t>.16 km</w:t>
      </w:r>
      <w:r>
        <w:rPr>
          <w:vertAlign w:val="superscript"/>
        </w:rPr>
        <w:t>2</w:t>
      </w:r>
      <w:r>
        <w:rPr>
          <w:rFonts w:hint="eastAsia"/>
        </w:rPr>
        <w:t>，溢油事故发生后，</w:t>
      </w:r>
      <w:r>
        <w:t>3</w:t>
      </w:r>
      <w:r>
        <w:rPr>
          <w:rFonts w:hint="eastAsia"/>
        </w:rPr>
        <w:t>h</w:t>
      </w:r>
      <w:r>
        <w:t>后</w:t>
      </w:r>
      <w:r>
        <w:rPr>
          <w:rFonts w:hint="eastAsia"/>
        </w:rPr>
        <w:t>油膜污染物</w:t>
      </w:r>
      <w:r>
        <w:t>到达</w:t>
      </w:r>
      <w:r>
        <w:rPr>
          <w:rFonts w:hint="eastAsia"/>
        </w:rPr>
        <w:t>临湘市工业园滨江产业示范区自来水厂（取水口）饮用水源保护区，对取水口饮用水源保护区影响时长约为</w:t>
      </w:r>
      <w:r>
        <w:t>23</w:t>
      </w:r>
      <w:r>
        <w:rPr>
          <w:rFonts w:hint="eastAsia"/>
        </w:rPr>
        <w:t>h2</w:t>
      </w:r>
      <w:r>
        <w:t>5</w:t>
      </w:r>
      <w:r>
        <w:rPr>
          <w:rFonts w:hint="eastAsia"/>
        </w:rPr>
        <w:t>m</w:t>
      </w:r>
      <w:r>
        <w:t>in</w:t>
      </w:r>
      <w:r>
        <w:rPr>
          <w:rFonts w:hint="eastAsia"/>
        </w:rPr>
        <w:t>。</w:t>
      </w:r>
    </w:p>
    <w:p>
      <w:pPr>
        <w:pStyle w:val="2"/>
        <w:ind w:firstLine="0" w:firstLineChars="0"/>
      </w:pPr>
      <w:r>
        <w:drawing>
          <wp:inline distT="0" distB="0" distL="0" distR="0">
            <wp:extent cx="5113655" cy="4044950"/>
            <wp:effectExtent l="0" t="0" r="0" b="0"/>
            <wp:docPr id="1399" name="图片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图片 1399"/>
                    <pic:cNvPicPr>
                      <a:picLocks noChangeAspect="1"/>
                    </pic:cNvPicPr>
                  </pic:nvPicPr>
                  <pic:blipFill>
                    <a:blip r:embed="rId276"/>
                    <a:stretch>
                      <a:fillRect/>
                    </a:stretch>
                  </pic:blipFill>
                  <pic:spPr>
                    <a:xfrm>
                      <a:off x="0" y="0"/>
                      <a:ext cx="5120314" cy="4049959"/>
                    </a:xfrm>
                    <a:prstGeom prst="rect">
                      <a:avLst/>
                    </a:prstGeom>
                  </pic:spPr>
                </pic:pic>
              </a:graphicData>
            </a:graphic>
          </wp:inline>
        </w:drawing>
      </w:r>
    </w:p>
    <w:p>
      <w:pPr>
        <w:pStyle w:val="3609"/>
      </w:pPr>
      <w:r>
        <w:rPr>
          <w:rFonts w:hint="eastAsia"/>
        </w:rPr>
        <w:t>累计时刻最大油膜厚度分布图</w:t>
      </w:r>
    </w:p>
    <w:p>
      <w:pPr>
        <w:pStyle w:val="2"/>
        <w:ind w:firstLine="0" w:firstLineChars="0"/>
      </w:pPr>
      <w:r>
        <w:drawing>
          <wp:inline distT="0" distB="0" distL="0" distR="0">
            <wp:extent cx="5045075" cy="3907155"/>
            <wp:effectExtent l="0" t="0" r="3175" b="0"/>
            <wp:docPr id="1400" name="图片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图片 1400"/>
                    <pic:cNvPicPr>
                      <a:picLocks noChangeAspect="1"/>
                    </pic:cNvPicPr>
                  </pic:nvPicPr>
                  <pic:blipFill>
                    <a:blip r:embed="rId277"/>
                    <a:stretch>
                      <a:fillRect/>
                    </a:stretch>
                  </pic:blipFill>
                  <pic:spPr>
                    <a:xfrm>
                      <a:off x="0" y="0"/>
                      <a:ext cx="5051220" cy="3912329"/>
                    </a:xfrm>
                    <a:prstGeom prst="rect">
                      <a:avLst/>
                    </a:prstGeom>
                  </pic:spPr>
                </pic:pic>
              </a:graphicData>
            </a:graphic>
          </wp:inline>
        </w:drawing>
      </w:r>
    </w:p>
    <w:p>
      <w:pPr>
        <w:pStyle w:val="3609"/>
      </w:pPr>
      <w:r>
        <w:rPr>
          <w:rFonts w:hint="eastAsia"/>
        </w:rPr>
        <w:t>累计时刻平均油膜厚度分布图</w:t>
      </w:r>
    </w:p>
    <w:p>
      <w:pPr>
        <w:pStyle w:val="454"/>
        <w:ind w:firstLine="602"/>
      </w:pPr>
      <w:r>
        <w:t>溢油事故对水生生态影响分析</w:t>
      </w:r>
    </w:p>
    <w:p>
      <w:pPr>
        <w:ind w:firstLine="480"/>
      </w:pPr>
      <w:r>
        <w:t>一旦发生溢油，虽然对水长江（岳阳段）水质不会造成长期影响，但在溢油发生后初期对水质的影响是明显的，进而将导致长江（岳阳段）水生生态遭到影响和破坏。</w:t>
      </w:r>
    </w:p>
    <w:p>
      <w:pPr>
        <w:pStyle w:val="456"/>
        <w:ind w:firstLine="482"/>
        <w:rPr>
          <w:b w:val="0"/>
        </w:rPr>
      </w:pPr>
      <w:r>
        <w:t>对浮游植物的影响</w:t>
      </w:r>
    </w:p>
    <w:p>
      <w:pPr>
        <w:ind w:firstLine="480"/>
      </w:pPr>
      <w:r>
        <w:t>水面连片的油膜使水体的阳光投射率下降，降低浮游植物的光合作用，从而影响水域的初级生产力，同时干扰浮游动物的昼夜垂直迁移。实验证明石油会破坏浮游植物细胞，损坏叶绿素及干扰气体交换，从而妨碍它们的光合作用。这种破坏作用程度取决于石油的类型、浓度及浮游植物的种类。根据国内外许多毒性实验结果表明，作为鱼、虾类饵料基础的浮游植物，对各类油类的耐受能力都很低。一般浮游植物石油急性中毒致死浓度为0.1~10.0mg/L(一般为1.0~3.6mg/L)，对于更敏感的种类，油浓度低于 0.1mg/L 时，也会妨碍细胞的分裂和生长的速率。</w:t>
      </w:r>
    </w:p>
    <w:p>
      <w:pPr>
        <w:pStyle w:val="456"/>
        <w:ind w:firstLine="482"/>
      </w:pPr>
      <w:r>
        <w:t>对浮游动物的影响</w:t>
      </w:r>
    </w:p>
    <w:p>
      <w:pPr>
        <w:ind w:firstLine="480"/>
      </w:pPr>
      <w:r>
        <w:t>溶解和分散在水体中的油类较易侵入水生生物的上皮细胞，破坏动植物的细胞质膜和线粒体膜，损害生物的酶系统和蛋白质结构，导致基础代谢活动出现障碍，引起生物种类异常。浮游动物石油类急性中毒致死浓度范围一般为0.1~15mg/L，而且通过不同浓度的石油类环境对桡足类幼体的影响实验表明，永久性浮游动物幼体的敏感性大于阶段性的底栖生物幼体，而它们各自的幼体的敏感性又大于成体。</w:t>
      </w:r>
    </w:p>
    <w:p>
      <w:pPr>
        <w:pStyle w:val="456"/>
        <w:ind w:firstLine="482"/>
      </w:pPr>
      <w:r>
        <w:t>对底栖生物的影响</w:t>
      </w:r>
    </w:p>
    <w:p>
      <w:pPr>
        <w:ind w:firstLine="480"/>
      </w:pPr>
      <w:r>
        <w:t>不同种类底栖生物对石油类浓度的适应性具有差异，多数底栖生物石油类急性中毒致死浓度范围在 2.0~15mg/L，其幼体的致死浓度范围更小一些。</w:t>
      </w:r>
    </w:p>
    <w:p>
      <w:pPr>
        <w:ind w:firstLine="480"/>
      </w:pPr>
      <w:r>
        <w:t>底栖生物的耐油污性很差，即使水体中石油类含量只有 0.01mg/L，也会致其死亡。当水体中石油类浓度 0.1~0.01mg/L，对某些底栖甲壳类动物幼体（如：无节幼虫、藤壶幼体和蟹幼体）有明显的毒效。</w:t>
      </w:r>
    </w:p>
    <w:p>
      <w:pPr>
        <w:pStyle w:val="456"/>
        <w:ind w:firstLine="482"/>
      </w:pPr>
      <w:r>
        <w:t>对鱼类的影响</w:t>
      </w:r>
    </w:p>
    <w:p>
      <w:pPr>
        <w:ind w:left="480" w:leftChars="200" w:firstLine="0" w:firstLineChars="0"/>
        <w:rPr>
          <w:b/>
        </w:rPr>
      </w:pPr>
      <w:r>
        <w:rPr>
          <w:rFonts w:hint="eastAsia"/>
          <w:b/>
        </w:rPr>
        <w:t>（1）</w:t>
      </w:r>
      <w:r>
        <w:rPr>
          <w:b/>
        </w:rPr>
        <w:t>对鱼类的急性毒性测试</w:t>
      </w:r>
    </w:p>
    <w:p>
      <w:pPr>
        <w:ind w:firstLine="480"/>
      </w:pPr>
      <w:r>
        <w:t>国内外许多的研究表明高浓度的石油会使鱼卵、仔幼鱼短时间内中毒死亡，低浓度的长期亚急性毒性可干扰鱼类摄食和繁殖，其毒性随石油组分的不同而有差异。</w:t>
      </w:r>
    </w:p>
    <w:p>
      <w:pPr>
        <w:ind w:firstLine="480"/>
      </w:pPr>
      <w:r>
        <w:t>根据近年来对几种不同的鱼类仔鱼的毒性试验结果表明，石油类对鲤鱼仔鱼LC</w:t>
      </w:r>
      <w:r>
        <w:rPr>
          <w:sz w:val="16"/>
          <w:szCs w:val="16"/>
        </w:rPr>
        <w:t>50</w:t>
      </w:r>
      <w:r>
        <w:t>（96h）值为0.5~3.0mg/L，因此污染带瞬时高浓度排放（即事故性排放）可导致鱼类急性中毒事故，幸存者也将因有臭味而降低其经济价值，或根本不能食用。</w:t>
      </w:r>
    </w:p>
    <w:p>
      <w:pPr>
        <w:ind w:left="480" w:leftChars="200" w:firstLine="0" w:firstLineChars="0"/>
        <w:rPr>
          <w:b/>
        </w:rPr>
      </w:pPr>
      <w:r>
        <w:rPr>
          <w:rFonts w:hint="eastAsia"/>
          <w:b/>
        </w:rPr>
        <w:t>（2）</w:t>
      </w:r>
      <w:r>
        <w:rPr>
          <w:b/>
        </w:rPr>
        <w:t>石油类在鱼体内的蓄积残留分析</w:t>
      </w:r>
    </w:p>
    <w:p>
      <w:pPr>
        <w:ind w:firstLine="480"/>
      </w:pPr>
      <w:r>
        <w:t>石油类在鱼体中积累和残留可引起鱼类慢性中毒而带来长效应的污染影响，这种影响不仅可引起鱼类资源的变动，甚至会引起鱼类种质变异。鱼类一旦与油分子接触就会在短时间内发生油臭，从而影响其食用价值。以20号燃料油为例，石油类浓度0.01mg/L时，7天之内对大部分的鱼、虾产生油味，30天内会使绝大多数鱼类产生异味。</w:t>
      </w:r>
    </w:p>
    <w:p>
      <w:pPr>
        <w:ind w:left="480" w:leftChars="200" w:firstLine="0" w:firstLineChars="0"/>
        <w:rPr>
          <w:b/>
        </w:rPr>
      </w:pPr>
      <w:r>
        <w:rPr>
          <w:rFonts w:hint="eastAsia"/>
          <w:b/>
        </w:rPr>
        <w:t>（3）</w:t>
      </w:r>
      <w:r>
        <w:rPr>
          <w:b/>
        </w:rPr>
        <w:t>石油类对鱼的致突变性分析</w:t>
      </w:r>
    </w:p>
    <w:p>
      <w:pPr>
        <w:ind w:firstLine="480"/>
      </w:pPr>
      <w:r>
        <w:t>微核的产生是在诱变物作用之下造成染色体损伤而发生变异的一种形式，根据近年来对几种定居性的长江鱼类仔鱼鱼类外周血微核试验表明，长江鱼类</w:t>
      </w:r>
      <w:r>
        <w:rPr>
          <w:rFonts w:hint="eastAsia"/>
        </w:rPr>
        <w:t>（</w:t>
      </w:r>
      <w:r>
        <w:t>主要是定居性鱼类</w:t>
      </w:r>
      <w:r>
        <w:rPr>
          <w:rFonts w:hint="eastAsia"/>
        </w:rPr>
        <w:t>）</w:t>
      </w:r>
      <w:r>
        <w:t>微核的高检出率是由于江段水环境污染物的高浓度诱变物的诱发作用而引起，而石油类污染物可能是其主要的诱变源。</w:t>
      </w:r>
    </w:p>
    <w:p>
      <w:pPr>
        <w:pStyle w:val="456"/>
        <w:ind w:firstLine="482"/>
      </w:pPr>
      <w:r>
        <w:t>对珍稀水生保护动物的影响</w:t>
      </w:r>
    </w:p>
    <w:p>
      <w:pPr>
        <w:ind w:firstLine="480"/>
      </w:pPr>
      <w:r>
        <w:t>船舶行驶会对工程所在江段珍稀水生保护动物会造成惊扰，受到惊扰后有可能会撞上船只螺旋桨，受到伤害。若船舶发生碰撞产生溢油，将有可能对其产生不良影响。对于该区域来说由于施工期船只进出很少，出现船舶碰撞事故的几率不大，但是仍有可能因为施工船只自身的原因造成船只搁浅（岸边施工）、倾覆（施工材料运输不均衡）、 船只过载遇到风浪、船只破旧（小型船只）等造成江损事故，进而由于油舱溢油而造成对 长江水环境的污染影响。因此尤其应引起重视，采取严格的事故防范措施。</w:t>
      </w:r>
    </w:p>
    <w:p>
      <w:pPr>
        <w:ind w:firstLine="480"/>
        <w:rPr>
          <w:spacing w:val="-1"/>
        </w:rPr>
      </w:pPr>
      <w:r>
        <w:t>综上所述，工程河段一旦发生溢油事故，污染因子石油类将会对航道区域内鱼类的 急性中毒、在鱼体内的蓄积残留和对鱼的致突变性产生较大的负面影响，而且对浮游植 物、浮游动物、中华鲟等珍稀水生保护动物也会产生一定的影响，故建设单位必须严格 制定并落实事故风险防范措施和事故应急预案。在事故发生后，在</w:t>
      </w:r>
      <w:r>
        <w:rPr>
          <w:rFonts w:hint="eastAsia"/>
          <w:lang w:val="en-US" w:eastAsia="zh-CN"/>
        </w:rPr>
        <w:t>长江</w:t>
      </w:r>
      <w:r>
        <w:t>江豚等水生保护动物 可能分布的区域及时展开搜索救援、及时处理和降低事故可能产生的生态影响，迅速恢 复事故江段及下游江段的水环境状况。</w:t>
      </w:r>
    </w:p>
    <w:p>
      <w:pPr>
        <w:pStyle w:val="454"/>
        <w:ind w:firstLine="602"/>
        <w:rPr>
          <w:color w:val="auto"/>
        </w:rPr>
      </w:pPr>
      <w:r>
        <w:rPr>
          <w:color w:val="auto"/>
        </w:rPr>
        <w:t>风险评价结论</w:t>
      </w:r>
    </w:p>
    <w:p>
      <w:pPr>
        <w:ind w:firstLine="480"/>
      </w:pPr>
      <w:r>
        <w:t>综合以上分析，本项目风险评价综述如下：</w:t>
      </w:r>
    </w:p>
    <w:p>
      <w:pPr>
        <w:ind w:firstLine="480"/>
      </w:pPr>
      <w:r>
        <w:t>（1）本项目涉及的化学品类型主要为油品类，风险主要为船舶本身出现设施损废， 或者发生船舶碰撞发生水域溢油风险。</w:t>
      </w:r>
    </w:p>
    <w:p>
      <w:pPr>
        <w:ind w:firstLine="480"/>
      </w:pPr>
      <w:r>
        <w:t>（2）石油类对水生生物产生中毒影响的浓度阈值普遍较低，因此项目营运期一旦发 生溢油污染，将会造成污染水域内鱼类急性中毒和鱼的致突变性等，对浮游植物和动物也会产生一定的中毒影响，严重的影响将会造成部分鱼类、水生动植物中毒死亡事故。</w:t>
      </w:r>
    </w:p>
    <w:p>
      <w:pPr>
        <w:ind w:firstLine="480"/>
      </w:pPr>
      <w:r>
        <w:t>（3）发生溢油事故时，码头前沿溢油会对产将水质产生产生影响，鉴于本项目配备有足够的应急处理系统，事故发生时可以在较短时间内启动应急预案，可以实施有效拦截，从而有效控制溢油对长江水污染，因此，项目环境风险水平是可以接受的。</w:t>
      </w:r>
    </w:p>
    <w:p>
      <w:pPr>
        <w:ind w:firstLine="0" w:firstLineChars="0"/>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457"/>
        <w:ind w:firstLine="0" w:firstLineChars="0"/>
        <w:rPr>
          <w:rFonts w:ascii="Times New Roman" w:hAnsi="Times New Roman" w:cs="Times New Roman"/>
        </w:rPr>
      </w:pPr>
      <w:r>
        <w:rPr>
          <w:rFonts w:ascii="Times New Roman" w:hAnsi="Times New Roman" w:cs="Times New Roman"/>
        </w:rPr>
        <w:t xml:space="preserve"> </w:t>
      </w:r>
      <w:bookmarkStart w:id="221" w:name="_Toc23010"/>
      <w:bookmarkStart w:id="222" w:name="_Toc11315"/>
      <w:r>
        <w:rPr>
          <w:rFonts w:ascii="Times New Roman" w:hAnsi="Times New Roman" w:cs="Times New Roman"/>
        </w:rPr>
        <w:t>对洞庭湖口铜鱼短颌鲚国家级水产种质资源保护区影响</w:t>
      </w:r>
      <w:bookmarkEnd w:id="221"/>
      <w:bookmarkEnd w:id="222"/>
    </w:p>
    <w:p>
      <w:pPr>
        <w:ind w:firstLine="480"/>
      </w:pPr>
      <w:bookmarkStart w:id="223" w:name="_Toc106697028"/>
      <w:bookmarkStart w:id="224" w:name="_Toc8943568"/>
      <w:bookmarkStart w:id="225" w:name="_Toc505670926"/>
      <w:bookmarkStart w:id="226" w:name="_Toc375919881"/>
      <w:r>
        <w:t>湖南省港务集团有限公司委托武汉市伊美净科技发展有限公司开展岳阳港道仁矶通用码头工程对洞庭湖口铜鱼短颌鲚国家级水产种质资源保护区影响专题论证工作，</w:t>
      </w:r>
      <w:r>
        <w:rPr>
          <w:rFonts w:hint="eastAsia"/>
        </w:rPr>
        <w:t>编制完成了《岳阳港道仁矶通用码头工程对洞庭湖口铜鱼短颌鲚国家级水产种质资源保护区影响专题论证报告》，</w:t>
      </w:r>
      <w:r>
        <w:rPr>
          <w:rFonts w:hint="eastAsia"/>
          <w:lang w:eastAsia="zh-CN"/>
        </w:rPr>
        <w:t>目前已通过湖南省农业农村厅组织的专家评审。</w:t>
      </w:r>
      <w:r>
        <w:rPr>
          <w:rFonts w:hint="eastAsia"/>
        </w:rPr>
        <w:t xml:space="preserve">本章内容主要根据专题报告的内容进行评述。 </w:t>
      </w:r>
    </w:p>
    <w:p>
      <w:pPr>
        <w:pStyle w:val="453"/>
        <w:ind w:firstLine="643" w:firstLineChars="0"/>
        <w:rPr>
          <w:rFonts w:ascii="Times New Roman" w:cs="Times New Roman"/>
        </w:rPr>
      </w:pPr>
      <w:bookmarkStart w:id="227" w:name="_Toc25720"/>
      <w:bookmarkStart w:id="228" w:name="_Toc25292"/>
      <w:r>
        <w:rPr>
          <w:rFonts w:hint="eastAsia" w:ascii="Times New Roman" w:cs="Times New Roman"/>
          <w:lang w:val="en-US"/>
        </w:rPr>
        <w:t>保护区概况</w:t>
      </w:r>
      <w:bookmarkEnd w:id="227"/>
      <w:bookmarkEnd w:id="228"/>
    </w:p>
    <w:p>
      <w:pPr>
        <w:pStyle w:val="454"/>
        <w:ind w:firstLine="602"/>
        <w:rPr>
          <w:color w:val="auto"/>
          <w:lang w:val="en-US"/>
        </w:rPr>
      </w:pPr>
      <w:r>
        <w:rPr>
          <w:rFonts w:hint="eastAsia"/>
          <w:color w:val="auto"/>
          <w:lang w:val="en-US"/>
        </w:rPr>
        <w:t>保护区地理位置、范围、功能区划分</w:t>
      </w:r>
    </w:p>
    <w:p>
      <w:pPr>
        <w:ind w:firstLine="480"/>
      </w:pPr>
      <w:r>
        <w:t>洞庭湖口铜鱼短颌鲚国家级水产种质资源保护区</w:t>
      </w:r>
      <w:r>
        <w:rPr>
          <w:rFonts w:hint="eastAsia"/>
        </w:rPr>
        <w:t>位于长江岳阳段，是</w:t>
      </w:r>
      <w:r>
        <w:t>农业部于2011年第1684号公告的第五批水产种质资源保护区</w:t>
      </w:r>
      <w:r>
        <w:rPr>
          <w:rFonts w:hint="eastAsia"/>
        </w:rPr>
        <w:t>之一</w:t>
      </w:r>
      <w:r>
        <w:t>。保护区水域总面积2100公顷，其中三江口江段为核心区，面积1500公顷，其他江段为实验区，面积600公顷。</w:t>
      </w:r>
    </w:p>
    <w:p>
      <w:pPr>
        <w:ind w:firstLine="480"/>
      </w:pPr>
      <w:r>
        <w:rPr>
          <w:rFonts w:hint="eastAsia"/>
        </w:rPr>
        <w:t>保护区</w:t>
      </w:r>
      <w:r>
        <w:t>位于长江道仁矶（113°12'36.41"E，29°32'15.17" N）、君山芦苇场（113°06'44.87"E，29°29'10.16"N）、东洞庭湖入长江北门渡口（113°05'21.70"E，29°23'33.13" N）及城陵矶三江口（113°08'28.07" E，29°27'40.26"N）江段之间。位置见图2-2。核心区由以下4个拐点沿河道方向顺次连线所围的水域：（113°05'21.70"E，29°23'33.13"N）~（113°09'57.96"E，29°27'54.96"N）—（113°07'15.12"E，29°27'54.96"N）~（113°05'09.76"E，29°24'18.83"N）；实验区为以下4个拐点沿河道方向顺次连线所围的水域：（113°09'57.96"E，29°27'54.96"N）~（113°12'36.41"E，29°32'15.17"N）—（113°06'44.87"E，29°29'10.16"N）~（113°07'15.12"E，29°27'54.96"N）。</w:t>
      </w:r>
    </w:p>
    <w:p>
      <w:pPr>
        <w:ind w:firstLine="0" w:firstLineChars="0"/>
      </w:pPr>
      <w:r>
        <w:drawing>
          <wp:inline distT="0" distB="0" distL="0" distR="0">
            <wp:extent cx="5622290" cy="3697605"/>
            <wp:effectExtent l="0" t="0" r="16510" b="1714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278"/>
                    <a:stretch>
                      <a:fillRect/>
                    </a:stretch>
                  </pic:blipFill>
                  <pic:spPr>
                    <a:xfrm>
                      <a:off x="0" y="0"/>
                      <a:ext cx="5622290" cy="3697605"/>
                    </a:xfrm>
                    <a:prstGeom prst="rect">
                      <a:avLst/>
                    </a:prstGeom>
                  </pic:spPr>
                </pic:pic>
              </a:graphicData>
            </a:graphic>
          </wp:inline>
        </w:drawing>
      </w:r>
    </w:p>
    <w:p>
      <w:pPr>
        <w:widowControl/>
        <w:ind w:firstLine="482"/>
        <w:jc w:val="center"/>
      </w:pPr>
      <w:r>
        <w:rPr>
          <w:b/>
        </w:rPr>
        <w:t>图</w:t>
      </w:r>
      <w:r>
        <w:rPr>
          <w:rFonts w:hint="eastAsia"/>
          <w:b/>
        </w:rPr>
        <w:t>6</w:t>
      </w:r>
      <w:r>
        <w:rPr>
          <w:b/>
        </w:rPr>
        <w:t>-1 洞庭湖口铜鱼短颌鲚国家级水产种质资源保护区</w:t>
      </w:r>
      <w:r>
        <w:rPr>
          <w:rFonts w:hint="eastAsia"/>
          <w:b/>
        </w:rPr>
        <w:t>功能区划图</w:t>
      </w:r>
    </w:p>
    <w:p>
      <w:pPr>
        <w:pStyle w:val="454"/>
        <w:ind w:firstLine="602"/>
        <w:rPr>
          <w:color w:val="auto"/>
          <w:lang w:val="en-US"/>
        </w:rPr>
      </w:pPr>
      <w:r>
        <w:rPr>
          <w:rFonts w:hint="eastAsia"/>
          <w:color w:val="auto"/>
          <w:lang w:val="en-US"/>
        </w:rPr>
        <w:t>保护区重点保护的生境及重点保护物种</w:t>
      </w:r>
    </w:p>
    <w:p>
      <w:pPr>
        <w:wordWrap w:val="0"/>
        <w:ind w:firstLine="480"/>
        <w:jc w:val="left"/>
        <w:rPr>
          <w:szCs w:val="28"/>
        </w:rPr>
      </w:pPr>
      <w:r>
        <w:rPr>
          <w:szCs w:val="28"/>
        </w:rPr>
        <w:t>主要保护对象为铜鱼、短颌鲚，其他保护物种还有青鱼、草鱼、鲢、鳙、鱤、鳤、鯮等江河半洄游性鱼类。</w:t>
      </w:r>
    </w:p>
    <w:p>
      <w:pPr>
        <w:pStyle w:val="456"/>
        <w:ind w:firstLine="482"/>
      </w:pPr>
      <w:bookmarkStart w:id="229" w:name="_Toc106098777"/>
      <w:bookmarkStart w:id="230" w:name="_Toc61257560"/>
      <w:bookmarkStart w:id="231" w:name="_Toc72228092"/>
      <w:r>
        <w:t>主要保护对象生物特征</w:t>
      </w:r>
      <w:bookmarkEnd w:id="229"/>
      <w:bookmarkEnd w:id="230"/>
      <w:bookmarkEnd w:id="231"/>
    </w:p>
    <w:p>
      <w:pPr>
        <w:ind w:firstLine="241" w:firstLineChars="100"/>
        <w:rPr>
          <w:rFonts w:eastAsiaTheme="minorEastAsia"/>
          <w:b/>
        </w:rPr>
      </w:pPr>
      <w:r>
        <w:rPr>
          <w:rFonts w:eastAsiaTheme="minorEastAsia"/>
          <w:b/>
        </w:rPr>
        <w:t>（1）铜鱼</w:t>
      </w:r>
      <w:r>
        <w:rPr>
          <w:rFonts w:eastAsiaTheme="minorEastAsia"/>
          <w:b/>
          <w:i/>
        </w:rPr>
        <w:t xml:space="preserve">Coreius heterodon </w:t>
      </w:r>
    </w:p>
    <w:p>
      <w:pPr>
        <w:ind w:firstLine="480"/>
        <w:rPr>
          <w:rFonts w:eastAsiaTheme="minorEastAsia"/>
          <w:bCs/>
        </w:rPr>
      </w:pPr>
      <w:r>
        <w:rPr>
          <w:rFonts w:eastAsiaTheme="minorEastAsia"/>
          <w:bCs/>
        </w:rPr>
        <w:t>隶属于鲤科，鮈亚科。背鳍条</w:t>
      </w:r>
      <w:r>
        <w:rPr>
          <w:rFonts w:hint="eastAsia" w:ascii="宋体" w:hAnsi="宋体" w:cs="宋体"/>
          <w:bCs/>
        </w:rPr>
        <w:t>ⅲ</w:t>
      </w:r>
      <w:r>
        <w:rPr>
          <w:rFonts w:eastAsiaTheme="minorEastAsia"/>
          <w:bCs/>
        </w:rPr>
        <w:t>-7；胸鳍条</w:t>
      </w:r>
      <w:r>
        <w:rPr>
          <w:rFonts w:hint="eastAsia" w:ascii="宋体" w:hAnsi="宋体" w:cs="宋体"/>
          <w:bCs/>
        </w:rPr>
        <w:t>ⅰ</w:t>
      </w:r>
      <w:r>
        <w:rPr>
          <w:rFonts w:eastAsiaTheme="minorEastAsia"/>
          <w:bCs/>
        </w:rPr>
        <w:t>-7~8；腹鳍条</w:t>
      </w:r>
      <w:r>
        <w:rPr>
          <w:rFonts w:hint="eastAsia" w:ascii="宋体" w:hAnsi="宋体" w:cs="宋体"/>
          <w:bCs/>
        </w:rPr>
        <w:t>ⅰ</w:t>
      </w:r>
      <w:r>
        <w:rPr>
          <w:rFonts w:eastAsiaTheme="minorEastAsia"/>
          <w:bCs/>
        </w:rPr>
        <w:t>-7；臀鳍条</w:t>
      </w:r>
      <w:r>
        <w:rPr>
          <w:rFonts w:hint="eastAsia" w:ascii="宋体" w:hAnsi="宋体" w:cs="宋体"/>
          <w:bCs/>
        </w:rPr>
        <w:t>ⅱ</w:t>
      </w:r>
      <w:r>
        <w:rPr>
          <w:rFonts w:eastAsiaTheme="minorEastAsia"/>
          <w:bCs/>
        </w:rPr>
        <w:t>-6。下咽齿1行，5-5。侧线鳞54。体长为体高的4.8~5.3倍，为头长的4.7~5.3倍，为尾柄长的4.5~4.9倍，为尾柄高的8.1~8.7倍。头长为吻长的2.4~3.1倍，为眼径的7.6~10.2倍，为眼间距的2.3~2.5倍。尾柄长为尾柄高的1.7~1.9倍。体长，前段较胖圆，后段稍侧扁。头部光滑。眼细小。眼间头背成弧形。吻长远较眼后头长为短，吻端圆突。口下位，呈马蹄形。下颌无角质边缘。口角有触须1对，其长度超过眼后缘正下方。背鳍无硬刺，起点距吻端显著小于其基末端距尾基的距离。胸鳍不达腹鳍。腹鳍位于背鳍起点稍后，鳍条末端不达肛门。肛门靠近臀鳍。臀鳍起点距腹鳍起点约等于距尾基的距离。尾鳍分叉。侧线完全。体呈黄铜色，背部色深，腹部色淡，各鳍基部浅黄色。</w:t>
      </w:r>
    </w:p>
    <w:p>
      <w:pPr>
        <w:ind w:firstLine="480"/>
        <w:rPr>
          <w:rFonts w:eastAsiaTheme="minorEastAsia"/>
          <w:bCs/>
        </w:rPr>
      </w:pPr>
      <w:r>
        <w:rPr>
          <w:rFonts w:eastAsiaTheme="minorEastAsia"/>
          <w:bCs/>
        </w:rPr>
        <w:t>铜鱼生活在水的中下层。幼鱼以其它鱼苗和浮游动物为食，成鱼以螺、蚌和水生昆虫为食。产卵期4~6月繁殖。多在水流湍急的江段繁殖，受精卵随江水漂流发育。在湘、资、沅、澧“四水”及洞庭湖区都有分布，以洞庭湖口、长江城陵矶江段出产较多，曾为该区域仅次于鲤鱼的第二大经济鱼类，近年来产量急减。肉味鲜美，含脂肪量丰富，是经济鱼类之一。</w:t>
      </w:r>
    </w:p>
    <w:p>
      <w:pPr>
        <w:ind w:firstLine="480"/>
        <w:rPr>
          <w:rFonts w:eastAsiaTheme="minorEastAsia"/>
          <w:bCs/>
        </w:rPr>
      </w:pPr>
      <w:r>
        <w:t>铜鱼为重要的江湖洄游性鱼类，铜鱼主要出现在城陵矶，根据洞庭湖及城陵矶江段渔业资源与生态环境监测资料，保护区铜鱼资源量为8.52t/年。</w:t>
      </w:r>
    </w:p>
    <w:p>
      <w:pPr>
        <w:ind w:firstLine="241" w:firstLineChars="100"/>
        <w:rPr>
          <w:rFonts w:eastAsiaTheme="minorEastAsia"/>
          <w:b/>
        </w:rPr>
      </w:pPr>
      <w:r>
        <w:rPr>
          <w:rFonts w:eastAsiaTheme="minorEastAsia"/>
          <w:b/>
        </w:rPr>
        <w:t>（2）短颌鲚</w:t>
      </w:r>
      <w:r>
        <w:rPr>
          <w:rFonts w:eastAsiaTheme="minorEastAsia"/>
          <w:b/>
          <w:i/>
        </w:rPr>
        <w:t xml:space="preserve">Coilia brachygnathus </w:t>
      </w:r>
    </w:p>
    <w:p>
      <w:pPr>
        <w:ind w:firstLine="480"/>
        <w:rPr>
          <w:rFonts w:eastAsiaTheme="minorEastAsia"/>
          <w:bCs/>
        </w:rPr>
      </w:pPr>
      <w:r>
        <w:rPr>
          <w:rFonts w:eastAsiaTheme="minorEastAsia"/>
          <w:bCs/>
        </w:rPr>
        <w:t>背鳍条</w:t>
      </w:r>
      <w:r>
        <w:rPr>
          <w:rFonts w:hint="eastAsia" w:ascii="宋体" w:hAnsi="宋体" w:cs="宋体"/>
          <w:bCs/>
        </w:rPr>
        <w:t>ⅲ</w:t>
      </w:r>
      <w:r>
        <w:rPr>
          <w:rFonts w:eastAsiaTheme="minorEastAsia"/>
          <w:bCs/>
        </w:rPr>
        <w:t>-10~13；胸鳍条</w:t>
      </w:r>
      <w:r>
        <w:rPr>
          <w:rFonts w:hint="eastAsia" w:ascii="宋体" w:hAnsi="宋体" w:cs="宋体"/>
          <w:bCs/>
        </w:rPr>
        <w:t>ⅵ</w:t>
      </w:r>
      <w:r>
        <w:rPr>
          <w:rFonts w:eastAsiaTheme="minorEastAsia"/>
          <w:bCs/>
        </w:rPr>
        <w:t>-11；腹鳍条</w:t>
      </w:r>
      <w:r>
        <w:rPr>
          <w:rFonts w:hint="eastAsia" w:ascii="宋体" w:hAnsi="宋体" w:cs="宋体"/>
          <w:bCs/>
        </w:rPr>
        <w:t>ⅰ</w:t>
      </w:r>
      <w:r>
        <w:rPr>
          <w:rFonts w:eastAsiaTheme="minorEastAsia"/>
          <w:bCs/>
        </w:rPr>
        <w:t>-6；臀鳍条</w:t>
      </w:r>
      <w:r>
        <w:rPr>
          <w:rFonts w:hint="eastAsia" w:ascii="宋体" w:hAnsi="宋体" w:cs="宋体"/>
          <w:bCs/>
        </w:rPr>
        <w:t>ⅱ</w:t>
      </w:r>
      <w:r>
        <w:rPr>
          <w:rFonts w:eastAsiaTheme="minorEastAsia"/>
          <w:bCs/>
        </w:rPr>
        <w:t>-91~104；纵列鳞68~77；胸腹棱鳞45~56。体长为体高的6.1~6.5倍，为头长的6.1~6.5倍。头长为吻长的4.4~4.9倍，为眼径的4.5~6.0倍，为眼间距的4.0~4.9倍。短颌鲚的体形和长颌鲚相似，主要区别在于上颌骨短，不超过越鳃盖骨，纵列鳞数目较少。</w:t>
      </w:r>
    </w:p>
    <w:p>
      <w:pPr>
        <w:ind w:firstLine="480"/>
        <w:rPr>
          <w:rFonts w:eastAsiaTheme="minorEastAsia"/>
          <w:bCs/>
        </w:rPr>
      </w:pPr>
      <w:r>
        <w:rPr>
          <w:rFonts w:eastAsiaTheme="minorEastAsia"/>
          <w:bCs/>
        </w:rPr>
        <w:t>短颌鲚为长江干、支流及湖泊中栖息的鱼类，主要分布在长江中、下游，尤以沿江湖泊中数量较多，在湘江主要分布于湘江入洞庭湖河口，其生长、发育、繁殖均在江湾或湖泊内，但比较喜好在湖泊中生活。短颌鲚在4月上旬性腺已发育成熟，在清浑交错处产浮性卵。</w:t>
      </w:r>
    </w:p>
    <w:p>
      <w:pPr>
        <w:ind w:firstLine="480"/>
        <w:rPr>
          <w:rFonts w:eastAsiaTheme="minorEastAsia"/>
          <w:bCs/>
        </w:rPr>
      </w:pPr>
      <w:r>
        <w:rPr>
          <w:rFonts w:eastAsiaTheme="minorEastAsia"/>
          <w:bCs/>
        </w:rPr>
        <w:t>短颌鲚主要以桡足类（剑水蚤、草绿刺剑水蚤，锯缘真剑水蚤，温剑水蚤，刘氏中剑水蚤，大剑水蚤，球状许镖水蚤，柴氏中镖水蚤），枝角类（柯氏象鼻溞，戴氏基合溞，短尾秀体溞，大臀秀体溞，裸腹溞，近亲尖额溞，平直溞，盘肠溞，泥溞）等浮游动物，以及小鱼虾为食。不同大小的个体，食性是不同的，体长25厘米以上的较大个体，主要以鱼虾为食，体长15厘米以下的个体，主要摄食桡足类、昆虫幼虫和枝角类。</w:t>
      </w:r>
    </w:p>
    <w:p>
      <w:pPr>
        <w:ind w:firstLine="480"/>
        <w:rPr>
          <w:rFonts w:eastAsiaTheme="minorEastAsia"/>
          <w:bCs/>
        </w:rPr>
      </w:pPr>
      <w:r>
        <w:t>短颌鲚主要分布在城陵矶水域，且四季都为优势种尤其是春季和冬季。根据洞庭湖及城陵矶江段渔业资源与生态环境监测资料，保护区短颌鲚资源量为3.70t/年。</w:t>
      </w:r>
    </w:p>
    <w:tbl>
      <w:tblPr>
        <w:tblStyle w:val="87"/>
        <w:tblW w:w="0" w:type="auto"/>
        <w:tblInd w:w="0" w:type="dxa"/>
        <w:tblLayout w:type="autofit"/>
        <w:tblCellMar>
          <w:top w:w="0" w:type="dxa"/>
          <w:left w:w="108" w:type="dxa"/>
          <w:bottom w:w="0" w:type="dxa"/>
          <w:right w:w="108" w:type="dxa"/>
        </w:tblCellMar>
      </w:tblPr>
      <w:tblGrid>
        <w:gridCol w:w="9036"/>
      </w:tblGrid>
      <w:tr>
        <w:tblPrEx>
          <w:tblCellMar>
            <w:top w:w="0" w:type="dxa"/>
            <w:left w:w="108" w:type="dxa"/>
            <w:bottom w:w="0" w:type="dxa"/>
            <w:right w:w="108" w:type="dxa"/>
          </w:tblCellMar>
        </w:tblPrEx>
        <w:tc>
          <w:tcPr>
            <w:tcW w:w="8946" w:type="dxa"/>
            <w:shd w:val="clear" w:color="auto" w:fill="auto"/>
          </w:tcPr>
          <w:p>
            <w:pPr>
              <w:ind w:firstLine="480"/>
              <w:jc w:val="center"/>
              <w:rPr>
                <w:sz w:val="28"/>
                <w:szCs w:val="28"/>
              </w:rPr>
            </w:pPr>
            <w:r>
              <w:drawing>
                <wp:inline distT="0" distB="0" distL="0" distR="0">
                  <wp:extent cx="5267325" cy="1943100"/>
                  <wp:effectExtent l="0" t="0" r="9525"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279" cstate="email"/>
                          <a:stretch>
                            <a:fillRect/>
                          </a:stretch>
                        </pic:blipFill>
                        <pic:spPr>
                          <a:xfrm>
                            <a:off x="0" y="0"/>
                            <a:ext cx="5267325" cy="1943545"/>
                          </a:xfrm>
                          <a:prstGeom prst="rect">
                            <a:avLst/>
                          </a:prstGeom>
                        </pic:spPr>
                      </pic:pic>
                    </a:graphicData>
                  </a:graphic>
                </wp:inline>
              </w:drawing>
            </w:r>
          </w:p>
        </w:tc>
      </w:tr>
      <w:tr>
        <w:tblPrEx>
          <w:tblCellMar>
            <w:top w:w="0" w:type="dxa"/>
            <w:left w:w="108" w:type="dxa"/>
            <w:bottom w:w="0" w:type="dxa"/>
            <w:right w:w="108" w:type="dxa"/>
          </w:tblCellMar>
        </w:tblPrEx>
        <w:tc>
          <w:tcPr>
            <w:tcW w:w="8946" w:type="dxa"/>
            <w:shd w:val="clear" w:color="auto" w:fill="auto"/>
          </w:tcPr>
          <w:p>
            <w:pPr>
              <w:ind w:firstLine="480"/>
              <w:jc w:val="center"/>
            </w:pPr>
            <w:r>
              <w:t>短颌鲚</w:t>
            </w:r>
            <w:r>
              <w:rPr>
                <w:i/>
              </w:rPr>
              <w:t>Coilia brachygnathus</w:t>
            </w:r>
            <w:r>
              <w:t xml:space="preserve"> Kreyenberg </w:t>
            </w:r>
            <w:r>
              <w:rPr>
                <w:i/>
              </w:rPr>
              <w:t>et</w:t>
            </w:r>
            <w:r>
              <w:t xml:space="preserve"> Pappenheim, 1908</w:t>
            </w:r>
          </w:p>
        </w:tc>
      </w:tr>
      <w:tr>
        <w:tblPrEx>
          <w:tblCellMar>
            <w:top w:w="0" w:type="dxa"/>
            <w:left w:w="108" w:type="dxa"/>
            <w:bottom w:w="0" w:type="dxa"/>
            <w:right w:w="108" w:type="dxa"/>
          </w:tblCellMar>
        </w:tblPrEx>
        <w:tc>
          <w:tcPr>
            <w:tcW w:w="8946" w:type="dxa"/>
            <w:shd w:val="clear" w:color="auto" w:fill="auto"/>
          </w:tcPr>
          <w:p>
            <w:pPr>
              <w:ind w:firstLine="480"/>
              <w:jc w:val="center"/>
            </w:pPr>
            <w:r>
              <w:drawing>
                <wp:inline distT="0" distB="0" distL="0" distR="0">
                  <wp:extent cx="5287010" cy="1971675"/>
                  <wp:effectExtent l="0" t="0" r="8890" b="952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280" cstate="email"/>
                          <a:stretch>
                            <a:fillRect/>
                          </a:stretch>
                        </pic:blipFill>
                        <pic:spPr>
                          <a:xfrm>
                            <a:off x="0" y="0"/>
                            <a:ext cx="5287173" cy="1971675"/>
                          </a:xfrm>
                          <a:prstGeom prst="rect">
                            <a:avLst/>
                          </a:prstGeom>
                        </pic:spPr>
                      </pic:pic>
                    </a:graphicData>
                  </a:graphic>
                </wp:inline>
              </w:drawing>
            </w:r>
          </w:p>
        </w:tc>
      </w:tr>
      <w:tr>
        <w:tblPrEx>
          <w:tblCellMar>
            <w:top w:w="0" w:type="dxa"/>
            <w:left w:w="108" w:type="dxa"/>
            <w:bottom w:w="0" w:type="dxa"/>
            <w:right w:w="108" w:type="dxa"/>
          </w:tblCellMar>
        </w:tblPrEx>
        <w:tc>
          <w:tcPr>
            <w:tcW w:w="8946" w:type="dxa"/>
            <w:shd w:val="clear" w:color="auto" w:fill="auto"/>
          </w:tcPr>
          <w:p>
            <w:pPr>
              <w:ind w:firstLine="480"/>
              <w:jc w:val="center"/>
            </w:pPr>
            <w:r>
              <w:t>铜鱼</w:t>
            </w:r>
            <w:r>
              <w:rPr>
                <w:i/>
              </w:rPr>
              <w:t>Coreius heterodon</w:t>
            </w:r>
            <w:r>
              <w:t xml:space="preserve"> (Bleeker, 1865)</w:t>
            </w:r>
          </w:p>
        </w:tc>
      </w:tr>
    </w:tbl>
    <w:p>
      <w:pPr>
        <w:ind w:firstLine="482"/>
        <w:jc w:val="center"/>
        <w:rPr>
          <w:b/>
        </w:rPr>
      </w:pPr>
      <w:r>
        <w:rPr>
          <w:b/>
        </w:rPr>
        <w:t>图</w:t>
      </w:r>
      <w:r>
        <w:rPr>
          <w:rFonts w:hint="eastAsia"/>
          <w:b/>
        </w:rPr>
        <w:t>6</w:t>
      </w:r>
      <w:r>
        <w:rPr>
          <w:b/>
        </w:rPr>
        <w:t>-2 保护区主要保护对象</w:t>
      </w:r>
    </w:p>
    <w:p>
      <w:pPr>
        <w:pStyle w:val="456"/>
        <w:ind w:firstLine="482"/>
      </w:pPr>
      <w:bookmarkStart w:id="232" w:name="_Toc106098778"/>
      <w:bookmarkStart w:id="233" w:name="_Toc72228093"/>
      <w:bookmarkStart w:id="234" w:name="_Toc61257561"/>
      <w:r>
        <w:t>保护区内其它保护对象生物特征</w:t>
      </w:r>
      <w:bookmarkEnd w:id="232"/>
      <w:bookmarkEnd w:id="233"/>
      <w:bookmarkEnd w:id="234"/>
    </w:p>
    <w:p>
      <w:pPr>
        <w:ind w:firstLine="482"/>
        <w:jc w:val="left"/>
        <w:rPr>
          <w:rFonts w:eastAsia="仿宋_GB2312"/>
        </w:rPr>
      </w:pPr>
      <w:r>
        <w:rPr>
          <w:rFonts w:hint="eastAsia" w:ascii="宋体" w:hAnsi="宋体" w:cs="宋体"/>
          <w:b/>
          <w:kern w:val="0"/>
        </w:rPr>
        <w:t>①</w:t>
      </w:r>
      <w:r>
        <w:rPr>
          <w:b/>
          <w:kern w:val="0"/>
        </w:rPr>
        <w:t>青鱼</w:t>
      </w:r>
      <w:r>
        <w:rPr>
          <w:b/>
          <w:i/>
          <w:kern w:val="0"/>
        </w:rPr>
        <w:t>Mylopharyngodon piceus</w:t>
      </w:r>
      <w:r>
        <w:rPr>
          <w:rFonts w:eastAsia="仿宋"/>
          <w:i/>
          <w:spacing w:val="-49"/>
          <w:w w:val="105"/>
        </w:rPr>
        <w:t xml:space="preserve"> </w:t>
      </w:r>
    </w:p>
    <w:p>
      <w:pPr>
        <w:ind w:firstLine="480"/>
        <w:rPr>
          <w:rFonts w:eastAsiaTheme="minorEastAsia"/>
          <w:bCs/>
          <w:kern w:val="0"/>
        </w:rPr>
      </w:pPr>
      <w:r>
        <w:rPr>
          <w:rFonts w:eastAsiaTheme="minorEastAsia"/>
        </w:rPr>
        <w:t>属鲤形目，鲤科，雅罗鱼亚科，青鱼属。俗称：黑鲩、青鲩、螺蛳青等。体长，略呈圆筒形，尾部侧扁，腹部圆，无腹棱。头部稍平扁，尾部侧扁。口端位，呈弧形。上颌稍长于下颌。无须。下咽齿1行，呈臼齿状，咀嚼面光滑，无槽纹。背鳍和臀鳍无硬刺，背鳍与腹鳍相对。体背及体侧上半部青黑色，腹部灰白色，各鳍均呈灰黑色。一般多在底层多螺类的较大水体中、下层中生活，食物以螺、蚌、蚬、蛤等为主，亦捕食虾和昆虫幼虫。生长快，2～3冬龄可达3～5kg，最大个体可达70kg，长江中常见的个体重约15～20kg。性成熟为4～5龄。4～7月在江河干流流速较高的场所繁殖，生殖后常集中于江河湾道及通江湖泊中肥育，冬季在深水处越冬。青鱼主要分布于我国长江以南的平原地区，长江以北较稀少；它是长江中、下游和沿江湖泊里的重要渔业资源和各湖泊、池塘中的主要养殖对象，为我国淡水养殖的“四大家鱼”之一。</w:t>
      </w:r>
    </w:p>
    <w:p>
      <w:pPr>
        <w:ind w:firstLine="482"/>
        <w:jc w:val="left"/>
        <w:rPr>
          <w:b/>
          <w:kern w:val="0"/>
        </w:rPr>
      </w:pPr>
      <w:r>
        <w:rPr>
          <w:rFonts w:hint="eastAsia" w:ascii="宋体" w:hAnsi="宋体" w:cs="宋体"/>
          <w:b/>
          <w:kern w:val="0"/>
        </w:rPr>
        <w:t>②</w:t>
      </w:r>
      <w:r>
        <w:rPr>
          <w:b/>
          <w:kern w:val="0"/>
        </w:rPr>
        <w:t>草鱼</w:t>
      </w:r>
      <w:r>
        <w:rPr>
          <w:b/>
          <w:i/>
          <w:kern w:val="0"/>
        </w:rPr>
        <w:t>Ctenopharyngodon idellus</w:t>
      </w:r>
    </w:p>
    <w:p>
      <w:pPr>
        <w:tabs>
          <w:tab w:val="left" w:pos="180"/>
          <w:tab w:val="clear" w:pos="480"/>
        </w:tabs>
        <w:snapToGrid w:val="0"/>
        <w:ind w:firstLine="480"/>
        <w:rPr>
          <w:rFonts w:eastAsiaTheme="minorEastAsia"/>
        </w:rPr>
      </w:pPr>
      <w:r>
        <w:rPr>
          <w:rFonts w:eastAsiaTheme="minorEastAsia"/>
        </w:rPr>
        <w:t>属鲤形目，鲤科，雅罗鱼亚科，草鱼属。俗称：鲩、草鲩、草根、混子等。其体较长，略呈圆筒型，腹部无棱。头部平扁，尾部侧扁。口端位，呈弧形，无须。下咽齿2行，侧扁，呈梳状，齿侧具横沟纹。背鳍和臀鳍均无硬刺，背鳍和腹鳍相对。体呈茶黄色，背部青灰略带草绿，偶鳍微黄色。草鱼一般喜栖居于江河、湖泊等水域的中、下层和近岸多水草区域。具河湖洄游习性，性成熟个体在江河流水中产卵，产卵后的亲鱼和幼鱼进入支流及通江湖泊中，通常在被水淹没的浅滩草地和泛水区域以及干支流附属水体（湖泊、小河、港道等水草丛生地带）摄食育肥。冬季则在干流或湖泊的深水处越冬。草鱼性情活泼，游泳迅速，常成群觅食，性贪食，为典型的草食性鱼类。其鱼苗阶段摄食浮游动物，幼鱼期兼食昆虫、蚯蚓、藻类和浮萍等，体长约达10cm以上时，完全摄食水生高等植物，其中尤以禾本科植物为多。草鱼摄食的植物种类随着生活环境里食物基础的状况而有所变化。草鱼和其它几种家鱼的生殖情况相类似，在自然条件下，不能在静水中产卵。产卵地点一般选择在江河干流的河流汇合处、河曲一侧的深槽水域、两岸突然紧缩的江段为适宜的产卵场所。生殖季节和鲢相近，较青鱼和鳙稍早。生殖期为4～7月，比较集中在5月间。一般江水上涨来得早且猛，水温又能稳定在18</w:t>
      </w:r>
      <w:r>
        <w:rPr>
          <w:rFonts w:hint="eastAsia" w:ascii="宋体" w:hAnsi="宋体" w:cs="宋体"/>
        </w:rPr>
        <w:t>℃</w:t>
      </w:r>
      <w:r>
        <w:rPr>
          <w:rFonts w:eastAsiaTheme="minorEastAsia"/>
        </w:rPr>
        <w:t>左右时，草鱼产卵即具规模。草鱼的生殖习性和其它家鱼相似，达到成熟年龄的草鱼卵巢，在整个冬季（12月至2月）以</w:t>
      </w:r>
      <w:r>
        <w:rPr>
          <w:rFonts w:hint="eastAsia" w:ascii="宋体" w:hAnsi="宋体" w:cs="宋体"/>
        </w:rPr>
        <w:t>Ⅲ</w:t>
      </w:r>
      <w:r>
        <w:rPr>
          <w:rFonts w:eastAsiaTheme="minorEastAsia"/>
        </w:rPr>
        <w:t>期发育期阶段越冬；在3～4月份水温上升到15</w:t>
      </w:r>
      <w:r>
        <w:rPr>
          <w:rFonts w:hint="eastAsia" w:ascii="宋体" w:hAnsi="宋体" w:cs="宋体"/>
        </w:rPr>
        <w:t>℃</w:t>
      </w:r>
      <w:r>
        <w:rPr>
          <w:rFonts w:eastAsiaTheme="minorEastAsia"/>
        </w:rPr>
        <w:t>左右，卵巢中的</w:t>
      </w:r>
      <w:r>
        <w:rPr>
          <w:rFonts w:hint="eastAsia" w:ascii="宋体" w:hAnsi="宋体" w:cs="宋体"/>
        </w:rPr>
        <w:t>Ⅲ</w:t>
      </w:r>
      <w:r>
        <w:rPr>
          <w:rFonts w:eastAsiaTheme="minorEastAsia"/>
        </w:rPr>
        <w:t>期卵母细胞很快发育到</w:t>
      </w:r>
      <w:r>
        <w:rPr>
          <w:rFonts w:hint="eastAsia" w:ascii="宋体" w:hAnsi="宋体" w:cs="宋体"/>
        </w:rPr>
        <w:t>Ⅳ</w:t>
      </w:r>
      <w:r>
        <w:rPr>
          <w:rFonts w:eastAsiaTheme="minorEastAsia"/>
        </w:rPr>
        <w:t>期，并开始生殖洄游，在溯游过程中完成由</w:t>
      </w:r>
      <w:r>
        <w:rPr>
          <w:rFonts w:hint="eastAsia" w:ascii="宋体" w:hAnsi="宋体" w:cs="宋体"/>
        </w:rPr>
        <w:t>Ⅳ</w:t>
      </w:r>
      <w:r>
        <w:rPr>
          <w:rFonts w:eastAsiaTheme="minorEastAsia"/>
        </w:rPr>
        <w:t>期到</w:t>
      </w:r>
      <w:r>
        <w:rPr>
          <w:rFonts w:hint="eastAsia" w:ascii="宋体" w:hAnsi="宋体" w:cs="宋体"/>
        </w:rPr>
        <w:t>Ⅴ</w:t>
      </w:r>
      <w:r>
        <w:rPr>
          <w:rFonts w:eastAsiaTheme="minorEastAsia"/>
        </w:rPr>
        <w:t>期的发育，在它溯游的行程中如遇到适宜于产卵的水文条件刺激时，即行产卵。通常产卵是在水层中进行，鱼体不浮露水面，习称“闷产”；但遇到良好的生殖生态条件时，如水位陡涨并伴有雷暴雨，这时雌、雄鱼在水的上层追逐，出现仰腹颤抖的“浮排”现象。卵受精后，因卵膜吸水膨胀，卵径可达5mm上下，顺水漂流，在20</w:t>
      </w:r>
      <w:r>
        <w:rPr>
          <w:rFonts w:hint="eastAsia" w:ascii="宋体" w:hAnsi="宋体" w:cs="宋体"/>
        </w:rPr>
        <w:t>℃</w:t>
      </w:r>
      <w:r>
        <w:rPr>
          <w:rFonts w:eastAsiaTheme="minorEastAsia"/>
        </w:rPr>
        <w:t>左右发育最佳，大约30～40h孵出鱼苗。</w:t>
      </w:r>
    </w:p>
    <w:p>
      <w:pPr>
        <w:ind w:firstLine="482"/>
        <w:jc w:val="left"/>
        <w:rPr>
          <w:b/>
          <w:kern w:val="0"/>
        </w:rPr>
      </w:pPr>
      <w:r>
        <w:rPr>
          <w:rFonts w:hint="eastAsia" w:ascii="宋体" w:hAnsi="宋体" w:cs="宋体"/>
          <w:b/>
          <w:kern w:val="0"/>
        </w:rPr>
        <w:t>③</w:t>
      </w:r>
      <w:r>
        <w:rPr>
          <w:b/>
          <w:kern w:val="0"/>
        </w:rPr>
        <w:t>鲢</w:t>
      </w:r>
      <w:r>
        <w:rPr>
          <w:b/>
          <w:i/>
          <w:kern w:val="0"/>
        </w:rPr>
        <w:t>Hypophthalmichthys molitrix</w:t>
      </w:r>
    </w:p>
    <w:p>
      <w:pPr>
        <w:ind w:firstLine="480"/>
        <w:rPr>
          <w:bCs/>
          <w:kern w:val="0"/>
        </w:rPr>
      </w:pPr>
      <w:r>
        <w:t>属鲤形目，鲤科，鲢亚科，鲢属。俗称：鲢子、白鲢等。体侧扁，头较大，但远不及鳙。口阔，端位，下颌稍向上斜。鳃耙特化，彼此联合成多孔的膜质片。口咽腔上部有螺形的鳃上器官。眼小，位置偏低，无须。下咽齿勺形，平扁，齿面有羽纹状，鳞小。自喉部至肛门间有发达的皮质腹棱。胸鳍末端仅伸至腹鳍起点或稍后。体银白，各鳍灰白色。栖息于水体的中、上层，性活泼，遇惊后即跳跃出水。以浮游植物为食。3龄可达性成熟。亲鱼多于4月下旬至6月，当水温达18</w:t>
      </w:r>
      <w:r>
        <w:rPr>
          <w:rFonts w:hint="eastAsia" w:ascii="宋体" w:hAnsi="宋体" w:cs="宋体"/>
        </w:rPr>
        <w:t>℃</w:t>
      </w:r>
      <w:r>
        <w:t>以上，江水上涨或流速加剧时，在有急流泡漩水的河段繁殖。幼鱼主动游入河湾或湖泊中觅食。产卵后的亲鱼往往进入饵料丰盛的湖泊中摄食肥育。冬季湖水降落，成熟个体又回到干流的河床深处越冬；未成熟个体大多数就在湖泊等附属水体深水处越冬。冬季处于不太活动的状态。鲢广泛分布于亚洲东部，在我国各大水系，随处可见。此鱼生长快，从2龄到3龄，体重可由1kg增至4kg，最大个体可达40kg。天然产量很高。同时，鲢的食物为浮游植物，因而成为饲养鱼类的上等鱼品，历来被列入我国淡水养殖的“四大家鱼”之一。</w:t>
      </w:r>
    </w:p>
    <w:p>
      <w:pPr>
        <w:ind w:firstLine="482"/>
        <w:jc w:val="left"/>
        <w:rPr>
          <w:b/>
          <w:kern w:val="0"/>
        </w:rPr>
      </w:pPr>
      <w:r>
        <w:rPr>
          <w:rFonts w:hint="eastAsia" w:ascii="宋体" w:hAnsi="宋体" w:cs="宋体"/>
          <w:b/>
          <w:kern w:val="0"/>
        </w:rPr>
        <w:t>④</w:t>
      </w:r>
      <w:r>
        <w:rPr>
          <w:b/>
          <w:kern w:val="0"/>
        </w:rPr>
        <w:t>鳙</w:t>
      </w:r>
      <w:r>
        <w:rPr>
          <w:b/>
          <w:i/>
          <w:kern w:val="0"/>
        </w:rPr>
        <w:t>Aristichthys mobilis</w:t>
      </w:r>
    </w:p>
    <w:p>
      <w:pPr>
        <w:ind w:firstLine="480"/>
        <w:rPr>
          <w:rFonts w:eastAsiaTheme="minorEastAsia"/>
          <w:bCs/>
        </w:rPr>
      </w:pPr>
      <w:r>
        <w:t>属鲤形目，鲤科，鲢亚科，鳙属。俗称：花鲢、胖头鱼、大头鱼等。体侧扁，头极肥大。口大，端位，下颌稍向上倾斜。鳃耙细密呈梳状，但不联合。口咽腔上部有螺形的鳃上器官，眼小，位置偏低，无须，下咽齿勺形，齿面平滑。鳞小，腹面仅腹鳍甚至肛门具皮质腹棱。胸鳍长，末端远超过腹鳍基部。体侧上半部灰黑色，腹部灰白，两侧杂有许多浅黄色及黑色的不规则小斑点。鳙喜欢生活于静水的中上层，动作较迟缓，不喜跳跃。以浮游动物为主食，亦食一些藻类。性成熟年龄为4～5龄，亲鱼于5～7月在江河水温为20～27</w:t>
      </w:r>
      <w:r>
        <w:rPr>
          <w:rFonts w:hint="eastAsia" w:ascii="宋体" w:hAnsi="宋体" w:cs="宋体"/>
        </w:rPr>
        <w:t>℃</w:t>
      </w:r>
      <w:r>
        <w:t>时于急流有泡漩水的江段繁殖；幼鱼一般到沿江的湖泊和附属水体中肥育，到性成熟时期至江中繁殖，以后又回到湖泊食物丰富的地方肥育。冬季多栖息于河床和较深的岩坑中越冬。分布于亚洲东部，我国各大水系均有此鱼，但以长江流域中、下游地区为主要产地。鳙生长迅速，3龄鱼可达4～5kg，最大个体可达40kg，天然产量很高。疾病少，易饲养，我国淡水养殖业中的“四大家鱼”之一，为我国重要经济鱼类。</w:t>
      </w:r>
    </w:p>
    <w:p>
      <w:pPr>
        <w:ind w:firstLine="480"/>
        <w:jc w:val="center"/>
        <w:rPr>
          <w:bCs/>
          <w:kern w:val="0"/>
        </w:rPr>
      </w:pPr>
      <w:r>
        <w:rPr>
          <w:bCs/>
          <w:kern w:val="0"/>
        </w:rPr>
        <w:drawing>
          <wp:inline distT="0" distB="0" distL="0" distR="0">
            <wp:extent cx="3781425" cy="2245995"/>
            <wp:effectExtent l="0" t="0" r="9525" b="190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281" cstate="email"/>
                    <a:stretch>
                      <a:fillRect/>
                    </a:stretch>
                  </pic:blipFill>
                  <pic:spPr>
                    <a:xfrm>
                      <a:off x="0" y="0"/>
                      <a:ext cx="3787001" cy="2249422"/>
                    </a:xfrm>
                    <a:prstGeom prst="rect">
                      <a:avLst/>
                    </a:prstGeom>
                  </pic:spPr>
                </pic:pic>
              </a:graphicData>
            </a:graphic>
          </wp:inline>
        </w:drawing>
      </w:r>
    </w:p>
    <w:p>
      <w:pPr>
        <w:snapToGrid w:val="0"/>
        <w:ind w:right="-98" w:rightChars="-41" w:firstLine="482"/>
        <w:jc w:val="center"/>
        <w:rPr>
          <w:rFonts w:eastAsiaTheme="minorEastAsia"/>
          <w:b/>
        </w:rPr>
      </w:pPr>
      <w:r>
        <w:rPr>
          <w:rFonts w:eastAsiaTheme="minorEastAsia"/>
          <w:b/>
        </w:rPr>
        <w:t>图</w:t>
      </w:r>
      <w:r>
        <w:rPr>
          <w:rFonts w:hint="eastAsia" w:eastAsiaTheme="minorEastAsia"/>
          <w:b/>
        </w:rPr>
        <w:t>6</w:t>
      </w:r>
      <w:r>
        <w:rPr>
          <w:rFonts w:eastAsiaTheme="minorEastAsia"/>
          <w:b/>
        </w:rPr>
        <w:t>-</w:t>
      </w:r>
      <w:r>
        <w:rPr>
          <w:rFonts w:hint="eastAsia" w:eastAsiaTheme="minorEastAsia"/>
          <w:b/>
        </w:rPr>
        <w:t>3</w:t>
      </w:r>
      <w:r>
        <w:rPr>
          <w:rFonts w:eastAsiaTheme="minorEastAsia"/>
          <w:b/>
        </w:rPr>
        <w:t xml:space="preserve"> 四大家鱼：青鱼、草鱼、鲢、鳙</w:t>
      </w:r>
    </w:p>
    <w:p>
      <w:pPr>
        <w:pStyle w:val="454"/>
        <w:ind w:firstLine="602"/>
        <w:rPr>
          <w:color w:val="auto"/>
          <w:lang w:val="en-US"/>
        </w:rPr>
      </w:pPr>
      <w:r>
        <w:rPr>
          <w:rFonts w:hint="eastAsia"/>
          <w:color w:val="auto"/>
          <w:lang w:val="en-US"/>
        </w:rPr>
        <w:t>保护区管理要求和管理现状</w:t>
      </w:r>
    </w:p>
    <w:p>
      <w:pPr>
        <w:pStyle w:val="456"/>
        <w:ind w:firstLine="482"/>
        <w:rPr>
          <w:szCs w:val="24"/>
          <w:lang w:val="en-US"/>
        </w:rPr>
      </w:pPr>
      <w:r>
        <w:rPr>
          <w:rFonts w:hint="eastAsia"/>
          <w:szCs w:val="24"/>
          <w:lang w:val="en-US"/>
        </w:rPr>
        <w:t>保护区</w:t>
      </w:r>
      <w:r>
        <w:rPr>
          <w:rFonts w:hint="eastAsia"/>
          <w:lang w:val="en-US"/>
        </w:rPr>
        <w:t>管理</w:t>
      </w:r>
      <w:r>
        <w:rPr>
          <w:rFonts w:hint="eastAsia"/>
          <w:szCs w:val="24"/>
          <w:lang w:val="en-US"/>
        </w:rPr>
        <w:t>要求</w:t>
      </w:r>
    </w:p>
    <w:p>
      <w:pPr>
        <w:ind w:firstLine="480"/>
        <w:rPr>
          <w:rFonts w:eastAsiaTheme="minorEastAsia"/>
        </w:rPr>
      </w:pPr>
      <w:r>
        <w:t>根据《水产种质资源保护区管理暂行办法》（2011.3）第十六</w:t>
      </w:r>
      <w:r>
        <w:rPr>
          <w:rFonts w:eastAsiaTheme="minorEastAsia"/>
        </w:rPr>
        <w:t>条：“农业部和省级人民政府渔业行政主管部门应当分别针对国家级和省级水产种质资源保护区主要保护对象的繁殖期、幼体生长期等生长繁育关键阶段设定特别保护期。特别保护期内不得从事捕捞、爆破作业以及其他可能对保护区内生物资源和生态环境造成损害的活动。特别保护期外从事捕捞活动，应当遵守《渔业法》及有关法律法规的规定。”</w:t>
      </w:r>
    </w:p>
    <w:p>
      <w:pPr>
        <w:ind w:firstLine="480"/>
        <w:rPr>
          <w:rFonts w:eastAsiaTheme="minorEastAsia"/>
        </w:rPr>
      </w:pPr>
      <w:r>
        <w:t>第十七条：</w:t>
      </w:r>
      <w:r>
        <w:rPr>
          <w:rFonts w:eastAsiaTheme="minorEastAsia"/>
        </w:rPr>
        <w:t>“在水产种质资源保护区内从事修建水利工程、疏浚航道、建闸筑坝、勘探和开采矿产资源、港口建设等工程建设的，或者在水产种质资源保护区外从事可能损害保护区功能的工程建设活动的，应当按照国家有关规定编制建设项目对水产种质资源保护区的影响专题论证报告，并将其纳入环境影响评价报告书。”</w:t>
      </w:r>
    </w:p>
    <w:p>
      <w:pPr>
        <w:ind w:firstLine="480"/>
      </w:pPr>
      <w:r>
        <w:rPr>
          <w:rFonts w:eastAsiaTheme="minorEastAsia"/>
        </w:rPr>
        <w:t>第十八条：“省级以上人民政府渔业行政主管部门应当依法参与涉及水产种质资源保护区的建设项目环境影响评价，组织专家审查建设项目对水产种质资源保护区的影响专题论证报告，并根据审查结论向建设单位和环境影响评价主管部门出具意见。建设单位应当将渔业行政主管部门的意</w:t>
      </w:r>
      <w:r>
        <w:t>见纳入环境影响评价报告书，并根据渔业行政主管部门意见采取有关保护措施。”</w:t>
      </w:r>
    </w:p>
    <w:p>
      <w:pPr>
        <w:pStyle w:val="456"/>
        <w:ind w:firstLine="482"/>
        <w:rPr>
          <w:lang w:val="en-US"/>
        </w:rPr>
      </w:pPr>
      <w:r>
        <w:rPr>
          <w:rFonts w:hint="eastAsia"/>
          <w:lang w:val="en-US"/>
        </w:rPr>
        <w:t>保护区管理现状</w:t>
      </w:r>
    </w:p>
    <w:p>
      <w:pPr>
        <w:ind w:firstLine="480"/>
      </w:pPr>
      <w:r>
        <w:t>洞庭湖口铜鱼短颌鲚国家级水产种质资源保护区管理站和岳阳东洞庭湖江豚自然保护区管理站合署办公，为具有行政管理职能的正科级全额拨款事业单位，属于岳阳市农业农村局管理的二级单位，有专职保护区管理人员6人，承担保护区水域资源环保职能。原渔政执法人员统一归属于岳阳市农业执法大队，承担东洞庭湖及长江湖南段的渔政执法与水域生态环境保护的执法职能，现有渔政执法人员20人；现有固定资产2200万元，有办公场地1200平方米，办公设施齐全，有渔政执法车辆2台，渔政公务船2艘，执法快艇2艘，管辖有县级渔政站7个，建立了较完整的行政执法体系，并建立了较完善的内部管理制度。</w:t>
      </w:r>
    </w:p>
    <w:p>
      <w:pPr>
        <w:ind w:firstLine="480"/>
      </w:pPr>
      <w:r>
        <w:t>保护区管理部门支持该项目的建设，提出项目建设应符合《渔业法》、《水产种质资源保护区管理暂行办法》等有关规定的要求，开展专题影响论证，提出相应的减缓措施和渔业生态补偿，并对水生态保护区的落实情况进行监督管理。</w:t>
      </w:r>
    </w:p>
    <w:p>
      <w:pPr>
        <w:pStyle w:val="453"/>
        <w:ind w:firstLine="643" w:firstLineChars="0"/>
        <w:rPr>
          <w:rFonts w:ascii="Times New Roman" w:cs="Times New Roman"/>
        </w:rPr>
      </w:pPr>
      <w:bookmarkStart w:id="235" w:name="_Toc30917"/>
      <w:bookmarkStart w:id="236" w:name="_Toc10486"/>
      <w:r>
        <w:rPr>
          <w:rFonts w:hint="eastAsia" w:ascii="Times New Roman" w:cs="Times New Roman"/>
          <w:lang w:val="en-US"/>
        </w:rPr>
        <w:t>工程与保护区的位置关系</w:t>
      </w:r>
      <w:bookmarkEnd w:id="235"/>
      <w:bookmarkEnd w:id="236"/>
    </w:p>
    <w:p>
      <w:pPr>
        <w:ind w:firstLine="480"/>
      </w:pPr>
      <w:r>
        <w:t>岳阳港道仁矶通用码头工程水工工程拟新建6个泊位，位于湖南省岳阳市云溪区道仁矶镇，荆岳长江大桥上游约1.5km的长江右岸。根据保护区功能区划与工程矢量位置的核实，水工工程位于洞庭湖口铜鱼短颌鲚国家级水产种质资源保护区实验区内。详见附图1</w:t>
      </w:r>
      <w:r>
        <w:rPr>
          <w:rFonts w:hint="eastAsia"/>
        </w:rPr>
        <w:t>3</w:t>
      </w:r>
      <w:r>
        <w:t>。</w:t>
      </w:r>
      <w:r>
        <w:rPr>
          <w:rFonts w:hint="eastAsia"/>
        </w:rPr>
        <w:t>水工设施</w:t>
      </w:r>
      <w:r>
        <w:t>工程（含引桥、皮带机廊道桥、转运站投影和抛石护桩等）共占用保护区面积5.485hm</w:t>
      </w:r>
      <w:r>
        <w:rPr>
          <w:vertAlign w:val="superscript"/>
        </w:rPr>
        <w:t>2</w:t>
      </w:r>
      <w:r>
        <w:t>。其中，最高设计水位线以下(＜32.36 m)桩基和抛石护桩占保护区面积3.00hm</w:t>
      </w:r>
      <w:r>
        <w:rPr>
          <w:vertAlign w:val="superscript"/>
        </w:rPr>
        <w:t>2</w:t>
      </w:r>
      <w:r>
        <w:t>，占用保护区实验区岸线长度840m。港池疏浚面积为0.687hm</w:t>
      </w:r>
      <w:r>
        <w:rPr>
          <w:vertAlign w:val="superscript"/>
        </w:rPr>
        <w:t>2</w:t>
      </w:r>
      <w:r>
        <w:t>，疏浚量约</w:t>
      </w:r>
      <w:r>
        <w:rPr>
          <w:rFonts w:hint="eastAsia"/>
        </w:rPr>
        <w:t>1.55万</w:t>
      </w:r>
      <w:r>
        <w:t>m</w:t>
      </w:r>
      <w:r>
        <w:rPr>
          <w:vertAlign w:val="superscript"/>
        </w:rPr>
        <w:t>3</w:t>
      </w:r>
      <w:r>
        <w:t>。</w:t>
      </w:r>
    </w:p>
    <w:p>
      <w:pPr>
        <w:pStyle w:val="453"/>
        <w:ind w:firstLine="643" w:firstLineChars="0"/>
        <w:rPr>
          <w:rFonts w:ascii="Times New Roman" w:cs="Times New Roman"/>
        </w:rPr>
      </w:pPr>
      <w:bookmarkStart w:id="237" w:name="_Toc5089"/>
      <w:bookmarkStart w:id="238" w:name="_Toc24777"/>
      <w:r>
        <w:rPr>
          <w:rFonts w:hint="eastAsia" w:ascii="Times New Roman" w:cs="Times New Roman"/>
          <w:lang w:val="en-US"/>
        </w:rPr>
        <w:t>对</w:t>
      </w:r>
      <w:r>
        <w:rPr>
          <w:rFonts w:hint="eastAsia" w:ascii="Times New Roman" w:cs="Times New Roman"/>
        </w:rPr>
        <w:t>洞庭湖口铜鱼短颌鲚国家级水产种质资源保护区</w:t>
      </w:r>
      <w:r>
        <w:rPr>
          <w:rFonts w:hint="eastAsia" w:ascii="Times New Roman" w:cs="Times New Roman"/>
          <w:lang w:val="en-US"/>
        </w:rPr>
        <w:t>的影响分析</w:t>
      </w:r>
      <w:bookmarkEnd w:id="237"/>
      <w:bookmarkEnd w:id="238"/>
    </w:p>
    <w:p>
      <w:pPr>
        <w:pStyle w:val="454"/>
        <w:ind w:firstLine="602"/>
      </w:pPr>
      <w:r>
        <w:t>对鱼类等水生生物区系、种群结构、资源组成的影响</w:t>
      </w:r>
      <w:bookmarkEnd w:id="223"/>
      <w:bookmarkEnd w:id="224"/>
      <w:bookmarkEnd w:id="225"/>
    </w:p>
    <w:p>
      <w:pPr>
        <w:ind w:firstLine="480"/>
      </w:pPr>
      <w:r>
        <w:t>本工程水工工程有港池疏浚和水工设施。港池疏</w:t>
      </w:r>
      <w:r>
        <w:rPr>
          <w:rFonts w:eastAsiaTheme="minorEastAsia"/>
        </w:rPr>
        <w:t>浚1.55万 m</w:t>
      </w:r>
      <w:r>
        <w:rPr>
          <w:rFonts w:eastAsiaTheme="minorEastAsia"/>
          <w:vertAlign w:val="superscript"/>
        </w:rPr>
        <w:t>3</w:t>
      </w:r>
      <w:r>
        <w:rPr>
          <w:rFonts w:eastAsiaTheme="minorEastAsia"/>
        </w:rPr>
        <w:t>。</w:t>
      </w:r>
      <w:r>
        <w:t>水工设施主要包括引桥、码头平台、桩柱等部分组成。</w:t>
      </w:r>
    </w:p>
    <w:p>
      <w:pPr>
        <w:ind w:firstLine="480"/>
      </w:pPr>
      <w:r>
        <w:t>由于涉水工程施工导致的水质破坏，浮游生物、底栖动物等饵料生物量的减少，改变了施工范围内原有鱼类的生存、生长和繁衍条件，鱼类将择水而栖迁到其它地方，施工区域鱼类密度有所降低。最高设计水位线下港池疏浚，桩基施工在水下作业，搅动水体和河床底泥，局部范围内破坏了鱼类的栖息地，对鱼类有驱赶作用，也会使鱼类远离施工现场。施工期因饵料减少对渔业资源的影响较轻微。工程对鱼类资源的影响包括施工期和营运期的影响。</w:t>
      </w:r>
    </w:p>
    <w:p>
      <w:pPr>
        <w:pStyle w:val="456"/>
        <w:ind w:firstLine="482"/>
      </w:pPr>
      <w:r>
        <w:t>施工期</w:t>
      </w:r>
    </w:p>
    <w:p>
      <w:pPr>
        <w:ind w:firstLine="480"/>
      </w:pPr>
      <w:r>
        <w:t>工程对鱼类资源的影响主要来自以下4个方面。</w:t>
      </w:r>
    </w:p>
    <w:p>
      <w:pPr>
        <w:pStyle w:val="600"/>
        <w:spacing w:line="360" w:lineRule="auto"/>
        <w:ind w:left="480" w:firstLine="0" w:firstLineChars="0"/>
        <w:rPr>
          <w:rFonts w:ascii="Times New Roman" w:hAnsi="Times New Roman"/>
          <w:b/>
          <w:bCs/>
          <w:sz w:val="24"/>
          <w:szCs w:val="24"/>
        </w:rPr>
      </w:pPr>
      <w:r>
        <w:rPr>
          <w:rFonts w:hint="eastAsia" w:ascii="Times New Roman" w:hAnsi="Times New Roman"/>
          <w:b/>
          <w:bCs/>
          <w:sz w:val="24"/>
          <w:szCs w:val="24"/>
        </w:rPr>
        <w:t>（1）</w:t>
      </w:r>
      <w:r>
        <w:rPr>
          <w:rFonts w:ascii="Times New Roman" w:hAnsi="Times New Roman"/>
          <w:b/>
          <w:bCs/>
          <w:sz w:val="24"/>
          <w:szCs w:val="24"/>
        </w:rPr>
        <w:t>施工产生的悬浮物对鱼类的影响</w:t>
      </w:r>
    </w:p>
    <w:p>
      <w:pPr>
        <w:ind w:firstLine="480"/>
      </w:pPr>
      <w:r>
        <w:t>最高设计水位线以下桩基施工以及港池疏浚产生的悬浮泥沙会对鱼卵、仔稚鱼和幼体会造成伤害，主要表现为影响胚胎发育、堵塞生物的腮部造成窒息死亡，悬浮物沉积造成水体缺氧而导致死亡等。通常认为，成年鱼类的活动能力较强，在悬浮泥沙浓度超过10mg/L的范围内成鱼可以回避，施工作业对其的影响更多表现为</w:t>
      </w:r>
      <w:r>
        <w:rPr>
          <w:rFonts w:asciiTheme="minorEastAsia" w:hAnsiTheme="minorEastAsia" w:eastAsiaTheme="minorEastAsia"/>
        </w:rPr>
        <w:t>“</w:t>
      </w:r>
      <w:r>
        <w:t>驱散效应</w:t>
      </w:r>
      <w:r>
        <w:rPr>
          <w:rFonts w:asciiTheme="minorEastAsia" w:hAnsiTheme="minorEastAsia" w:eastAsiaTheme="minorEastAsia"/>
        </w:rPr>
        <w:t>”</w:t>
      </w:r>
      <w:r>
        <w:t>。</w:t>
      </w:r>
    </w:p>
    <w:p>
      <w:pPr>
        <w:ind w:firstLine="480"/>
      </w:pPr>
      <w:r>
        <w:t>由于施工区水域面积大，自身净化能力较强，不会形成污染带，鱼类也会本能避开浑浊水域。因此，施工阶段不会对作业区的鱼类带来较大的影响，其主要影响是改变了鱼类的暂时空间分布，不会导致鱼类资源量的明显变化。随着施工期的结束，不利影响也即消失。</w:t>
      </w:r>
    </w:p>
    <w:p>
      <w:pPr>
        <w:pStyle w:val="600"/>
        <w:spacing w:line="360" w:lineRule="auto"/>
        <w:ind w:left="480" w:firstLine="0" w:firstLineChars="0"/>
        <w:rPr>
          <w:rFonts w:ascii="Times New Roman" w:hAnsi="Times New Roman"/>
          <w:b/>
          <w:bCs/>
          <w:sz w:val="24"/>
          <w:szCs w:val="24"/>
        </w:rPr>
      </w:pPr>
      <w:r>
        <w:rPr>
          <w:rFonts w:hint="eastAsia" w:ascii="Times New Roman" w:hAnsi="Times New Roman"/>
          <w:b/>
          <w:bCs/>
          <w:sz w:val="24"/>
          <w:szCs w:val="24"/>
        </w:rPr>
        <w:t>（2）施工产生的噪声对鱼类的影响</w:t>
      </w:r>
    </w:p>
    <w:p>
      <w:pPr>
        <w:ind w:firstLine="480"/>
      </w:pPr>
      <w:r>
        <w:t>桩基施工以及港池疏浚等涉水工程施工噪声主要来自机械设备等作业时产生的噪声。这些机械运行时在噪声较大，联合作业时叠加影响更加突出。涉水施工的桩柱施工采用钢护筒沉底，水下灌注混凝土固定桩身，打桩机噪声值为96～115dB(A)。《钻井噪声与振动对鲤鱼生长的影响》（孙耀，海洋水产）研究结果显示：噪声与振动对鲤生长有显著影响，其临界等效噪声级和振动级约为83.9dB(A)和89.7dB(A)影响域径约为9m；噪声持续时间、体重和群居行为等生态因素，能显著改变钻井噪声与振动对鲤生长的污染效应。本工程施工期施工区内噪声值大于临界等效噪声级83.9dB(A)。类比分析，若该类型噪声长期存在，将对鱼类生长造成显著影响。但保护区内工程在</w:t>
      </w:r>
      <w:r>
        <w:rPr>
          <w:rFonts w:hint="eastAsia"/>
          <w:lang w:val="en-US" w:eastAsia="zh-CN"/>
        </w:rPr>
        <w:t>24</w:t>
      </w:r>
      <w:r>
        <w:t>个月内完成，且施工区附近江段为开放水域，鱼类受到噪声刺激后，迅速游离施工区附近江段，工程施工期间产生的噪声对鱼类空间暂时的分布有一定影响，工程施工结束后即可恢复。</w:t>
      </w:r>
    </w:p>
    <w:p>
      <w:pPr>
        <w:pStyle w:val="600"/>
        <w:spacing w:line="360" w:lineRule="auto"/>
        <w:ind w:left="480" w:firstLine="0" w:firstLineChars="0"/>
        <w:rPr>
          <w:rFonts w:ascii="Times New Roman" w:hAnsi="Times New Roman"/>
          <w:b/>
          <w:bCs/>
          <w:sz w:val="24"/>
          <w:szCs w:val="24"/>
        </w:rPr>
      </w:pPr>
      <w:r>
        <w:rPr>
          <w:rFonts w:hint="eastAsia" w:ascii="Times New Roman" w:hAnsi="Times New Roman"/>
          <w:b/>
          <w:bCs/>
          <w:sz w:val="24"/>
          <w:szCs w:val="24"/>
        </w:rPr>
        <w:t>（3）</w:t>
      </w:r>
      <w:r>
        <w:rPr>
          <w:rFonts w:ascii="Times New Roman" w:hAnsi="Times New Roman"/>
          <w:b/>
          <w:bCs/>
          <w:sz w:val="24"/>
          <w:szCs w:val="24"/>
        </w:rPr>
        <w:t>施工产生的废水对鱼类的影响</w:t>
      </w:r>
    </w:p>
    <w:p>
      <w:pPr>
        <w:ind w:firstLine="360" w:firstLineChars="150"/>
      </w:pPr>
      <w:r>
        <w:t>施工期间废水主要来自生产和生活，包括机修含油废水、冲洗废水和生活污水等；施工期因水质污染对鱼类、浮游植物及底栖动物等有一定不利影响。本工程采取污水收集措施，污水不外排，且施工期较短，为点状施工，施工废水对鱼类的影响程度不大。</w:t>
      </w:r>
    </w:p>
    <w:p>
      <w:pPr>
        <w:pStyle w:val="600"/>
        <w:spacing w:line="360" w:lineRule="auto"/>
        <w:ind w:left="480" w:firstLine="0" w:firstLineChars="0"/>
        <w:rPr>
          <w:rFonts w:ascii="Times New Roman" w:hAnsi="Times New Roman"/>
          <w:b/>
          <w:bCs/>
          <w:sz w:val="24"/>
          <w:szCs w:val="24"/>
        </w:rPr>
      </w:pPr>
      <w:r>
        <w:rPr>
          <w:rFonts w:hint="eastAsia" w:ascii="Times New Roman" w:hAnsi="Times New Roman"/>
          <w:b/>
          <w:bCs/>
          <w:sz w:val="24"/>
          <w:szCs w:val="24"/>
        </w:rPr>
        <w:t>（4）</w:t>
      </w:r>
      <w:r>
        <w:rPr>
          <w:rFonts w:ascii="Times New Roman" w:hAnsi="Times New Roman"/>
          <w:b/>
          <w:bCs/>
          <w:sz w:val="24"/>
          <w:szCs w:val="24"/>
        </w:rPr>
        <w:t>施工对鱼类饵料资源的影响</w:t>
      </w:r>
    </w:p>
    <w:p>
      <w:pPr>
        <w:ind w:firstLine="480"/>
      </w:pPr>
      <w:r>
        <w:t>桩基施工、港池疏浚会导致施工区域内鱼类饵料生物损失，浮游生物、底栖生物和水生植物的损失，会造成以浮游生物为主要食物的鳙、以底栖生物为主要食物的青鱼和以水生植物为主要食物的草鱼饵料资源的损失。</w:t>
      </w:r>
    </w:p>
    <w:p>
      <w:pPr>
        <w:pStyle w:val="456"/>
        <w:ind w:firstLine="482"/>
      </w:pPr>
      <w:r>
        <w:t>营运期</w:t>
      </w:r>
    </w:p>
    <w:p>
      <w:pPr>
        <w:ind w:firstLine="480"/>
      </w:pPr>
      <w:r>
        <w:t>本工程建成后，营运期间航运量增加对保护区鱼类的潜在影响主要表现为永久占地损失、水污染、船舶噪声、运营期风险事故几个方面：</w:t>
      </w:r>
    </w:p>
    <w:p>
      <w:pPr>
        <w:ind w:firstLine="482"/>
        <w:rPr>
          <w:b/>
        </w:rPr>
      </w:pPr>
      <w:r>
        <w:rPr>
          <w:b/>
        </w:rPr>
        <w:t>（1）永久占地损失</w:t>
      </w:r>
    </w:p>
    <w:p>
      <w:pPr>
        <w:ind w:firstLine="480"/>
      </w:pPr>
      <w:r>
        <w:t>最高设计水位以下引桥、码头平台等桩基等对保护区水域的永久占用对底栖动物生存空间造成了挤压，建筑投影会影响水下的浮游生物、水生植物等的正常生长。项目营运期造成饵料生物损失，进而对鱼产量产生不利影响。</w:t>
      </w:r>
    </w:p>
    <w:p>
      <w:pPr>
        <w:ind w:firstLine="482"/>
        <w:rPr>
          <w:b/>
        </w:rPr>
      </w:pPr>
      <w:r>
        <w:rPr>
          <w:b/>
        </w:rPr>
        <w:t>（2）水污染</w:t>
      </w:r>
    </w:p>
    <w:p>
      <w:pPr>
        <w:ind w:firstLine="484" w:firstLineChars="202"/>
        <w:rPr>
          <w:spacing w:val="2"/>
        </w:rPr>
      </w:pPr>
      <w:r>
        <w:rPr>
          <w:rFonts w:hint="eastAsia" w:ascii="宋体" w:hAnsi="宋体" w:cs="宋体"/>
        </w:rPr>
        <w:t>①</w:t>
      </w:r>
      <w:r>
        <w:t>营运期到港船舶舱底油污水采用船载油水分离器初步处理后，通过排水压力管输送至后方陆域设置的船舶含油污水专用储存池，再定期送往有处理资质的船舶油污水处理站进行处理。</w:t>
      </w:r>
      <w:r>
        <w:rPr>
          <w:spacing w:val="2"/>
        </w:rPr>
        <w:t>对保护区水生生物影响较小。</w:t>
      </w:r>
    </w:p>
    <w:p>
      <w:pPr>
        <w:ind w:firstLine="492" w:firstLineChars="202"/>
        <w:rPr>
          <w:spacing w:val="2"/>
        </w:rPr>
      </w:pPr>
      <w:r>
        <w:rPr>
          <w:rFonts w:hint="eastAsia" w:ascii="宋体" w:hAnsi="宋体" w:cs="宋体"/>
          <w:spacing w:val="2"/>
        </w:rPr>
        <w:t>②</w:t>
      </w:r>
      <w:r>
        <w:rPr>
          <w:spacing w:val="2"/>
        </w:rPr>
        <w:t>装卸过程中不慎散落砂石泥浆、煤粉、水泥等沉降于水体，这些粉尘中粒径小，比重轻的部分，悬浮于水体中，并随流扩散。鱼类受到惊扰后，将迅速逃离受污染的区域，也可能阻塞鱼类的鳃组织，造成呼吸困难。</w:t>
      </w:r>
    </w:p>
    <w:p>
      <w:pPr>
        <w:ind w:firstLine="484" w:firstLineChars="202"/>
      </w:pPr>
      <w:r>
        <w:rPr>
          <w:rFonts w:hint="eastAsia" w:ascii="宋体" w:hAnsi="宋体" w:cs="宋体"/>
        </w:rPr>
        <w:t>③</w:t>
      </w:r>
      <w:r>
        <w:t>码头面设置冲洗污水以及初期雨水收集池，收集池内设置排污泵，定期将污水输送至后方陆域污水处理设备进行处理，污水不会外排，不会对保护区水生生物造成影响。</w:t>
      </w:r>
    </w:p>
    <w:p>
      <w:pPr>
        <w:ind w:firstLine="480"/>
      </w:pPr>
      <w:r>
        <w:rPr>
          <w:rFonts w:hint="eastAsia" w:ascii="宋体" w:hAnsi="宋体" w:cs="宋体"/>
        </w:rPr>
        <w:t>④</w:t>
      </w:r>
      <w:r>
        <w:t>运输船舶运行对水域有一定扰动，造成浅水区域水中悬浮物浓度增加，水的透明度降低，间接影响水中浮游动植物、鱼类等，但运输船舶航行路线水域较深，距水岸较远，扰动产生的悬浮物有限。</w:t>
      </w:r>
    </w:p>
    <w:p>
      <w:pPr>
        <w:ind w:firstLine="480"/>
      </w:pPr>
      <w:r>
        <w:rPr>
          <w:rFonts w:hint="eastAsia" w:ascii="宋体" w:hAnsi="宋体" w:cs="宋体"/>
        </w:rPr>
        <w:t>⑤</w:t>
      </w:r>
      <w:r>
        <w:t>工程建成运行后造成长江船舶数量增加，由此产生的生活污水及其它生活垃圾也将增加，这些污染物特别是生活污水如果直接排放将可能导致保护区水质的恶化，鱼类等水生生物的生活环境将发生改变。但由于增加数量较少，通航量增加对保护区影响有限。营运期通过合理处理生活垃圾和废水等，可减少或避免项目实施对水产种质资源保护区的水生态环境带来的影响。</w:t>
      </w:r>
    </w:p>
    <w:p>
      <w:pPr>
        <w:ind w:firstLine="482"/>
        <w:rPr>
          <w:b/>
        </w:rPr>
      </w:pPr>
      <w:r>
        <w:rPr>
          <w:b/>
        </w:rPr>
        <w:t>（3）船舶噪声</w:t>
      </w:r>
    </w:p>
    <w:p>
      <w:pPr>
        <w:ind w:firstLine="480"/>
      </w:pPr>
      <w:r>
        <w:t>项目营运期运输船舶和装卸产生噪声会对水产种质资源保护区产生一定干扰，工程运营后，运营船舶为5~6艘次/天。噪音污染对鱼类的影响将增加。根据工可报告，</w:t>
      </w:r>
      <w:r>
        <w:rPr>
          <w:szCs w:val="20"/>
        </w:rPr>
        <w:t>到2028年拟承担货运吞吐量1600万吨，其中进口960万吨，出口640万吨。包括：砂石吞吐量900万吨，其中进口650万吨，出口250万吨；铁矿石200万吨，其中进口150万吨，出口50万吨；煤炭进口50万吨；水泥进口60万吨；非金属矿石出口150万吨；其他散货进口20万吨；防汛物资进口10万吨；固体化工品出口130万吨；绿色建材进口20万吨，出口60万吨。</w:t>
      </w:r>
      <w:r>
        <w:t>统计至2016年到港江海船，5000吨级及以上的江海船占到港江海船总艘次84%；长江干线的主力运输船型已从十年前的1000到3000吨级船舶发展到如今的以5000吨级以上为主。船舶吨位、数量和船运次数的增加必然会导致该区域内船舶航行噪声增加，不同种类鱼的听觉敏感度和可听频率范围有所差别，长期的噪声干扰可能会导致鱼类听力受损，影响仔鱼幼鱼的生长发育，高强度的噪声甚至可能会对鱼类造成肝脏充血、鱼鳔破裂、鱼体内部出血等不同程度的伤害；船舶噪声的增加可能还会对鱼类行为造成影响，改变鱼类的集群行为，降低其捕食效率，甚至可能直接造成鱼类死亡。</w:t>
      </w:r>
    </w:p>
    <w:p>
      <w:pPr>
        <w:ind w:firstLine="482"/>
        <w:rPr>
          <w:b/>
        </w:rPr>
      </w:pPr>
      <w:r>
        <w:rPr>
          <w:b/>
        </w:rPr>
        <w:t>（4）溢油等风险事故</w:t>
      </w:r>
    </w:p>
    <w:p>
      <w:pPr>
        <w:ind w:firstLine="480"/>
      </w:pPr>
      <w:r>
        <w:t>船舶碰撞、船舶舱底油污水事故等风险增加，对保护区鱼类的危害将会增加，较现状船舶碰撞发生概率增加。</w:t>
      </w:r>
    </w:p>
    <w:p>
      <w:pPr>
        <w:ind w:firstLine="482"/>
        <w:rPr>
          <w:b/>
        </w:rPr>
      </w:pPr>
      <w:r>
        <w:rPr>
          <w:b/>
        </w:rPr>
        <w:t>（5）累积影响</w:t>
      </w:r>
    </w:p>
    <w:p>
      <w:pPr>
        <w:ind w:firstLine="480"/>
      </w:pPr>
      <w:r>
        <w:rPr>
          <w:rFonts w:eastAsiaTheme="minorEastAsia"/>
        </w:rPr>
        <w:t>目前云溪港区内已利用岸线包括陆城港区2000米，道仁矶港区3420米。</w:t>
      </w:r>
      <w:r>
        <w:t>在岳阳港总体规划实施后，云溪港区新增3000米岸线，彭家湾岸段1000米，南洋洲岸段2000米。本工程仅利用道仁矶岸段的840米岸线。项目所在长江右岸周边码头众多，平均1~2km就分布有一座码头，本项目实施后周边码头的叠加影响将有所增加。</w:t>
      </w:r>
    </w:p>
    <w:p>
      <w:pPr>
        <w:pStyle w:val="454"/>
        <w:ind w:firstLine="602"/>
      </w:pPr>
      <w:bookmarkStart w:id="239" w:name="_Toc8943569"/>
      <w:bookmarkStart w:id="240" w:name="_Toc106697029"/>
      <w:bookmarkStart w:id="241" w:name="_Toc505670927"/>
      <w:r>
        <w:t>对鱼类</w:t>
      </w:r>
      <w:r>
        <w:rPr>
          <w:rFonts w:asciiTheme="minorEastAsia" w:hAnsiTheme="minorEastAsia" w:eastAsiaTheme="minorEastAsia"/>
        </w:rPr>
        <w:t>“</w:t>
      </w:r>
      <w:r>
        <w:t>三场</w:t>
      </w:r>
      <w:r>
        <w:rPr>
          <w:rFonts w:asciiTheme="minorEastAsia" w:hAnsiTheme="minorEastAsia" w:eastAsiaTheme="minorEastAsia"/>
        </w:rPr>
        <w:t>”</w:t>
      </w:r>
      <w:r>
        <w:t>、鱼类</w:t>
      </w:r>
      <w:r>
        <w:rPr>
          <w:rFonts w:hint="eastAsia"/>
          <w:color w:val="auto"/>
          <w:lang w:val="en-US"/>
        </w:rPr>
        <w:t>繁殖</w:t>
      </w:r>
      <w:r>
        <w:t>、洄游的影响</w:t>
      </w:r>
      <w:bookmarkEnd w:id="239"/>
      <w:bookmarkEnd w:id="240"/>
      <w:bookmarkEnd w:id="241"/>
    </w:p>
    <w:p>
      <w:pPr>
        <w:pStyle w:val="456"/>
        <w:ind w:firstLine="482"/>
      </w:pPr>
      <w:r>
        <w:t>对鱼类产卵场、鱼类繁殖的影响</w:t>
      </w:r>
    </w:p>
    <w:p>
      <w:pPr>
        <w:ind w:firstLine="482"/>
        <w:rPr>
          <w:b/>
          <w:bCs/>
        </w:rPr>
      </w:pPr>
      <w:r>
        <w:rPr>
          <w:b/>
          <w:bCs/>
        </w:rPr>
        <w:t>（1）对产卵场的影响</w:t>
      </w:r>
    </w:p>
    <w:p>
      <w:pPr>
        <w:ind w:firstLine="480"/>
        <w:jc w:val="left"/>
        <w:rPr>
          <w:color w:val="000000"/>
        </w:rPr>
      </w:pPr>
      <w:r>
        <w:rPr>
          <w:color w:val="000000"/>
          <w:szCs w:val="20"/>
        </w:rPr>
        <w:t>根据工程与郭国忠等2017年在长江中游洪湖江段鱼类早期资源的研究结果对比分析，</w:t>
      </w:r>
      <w:r>
        <w:rPr>
          <w:szCs w:val="20"/>
        </w:rPr>
        <w:t>城陵矶-大湾产漂流性卵鱼类产卵场位于</w:t>
      </w:r>
      <w:r>
        <w:rPr>
          <w:rFonts w:hint="eastAsia"/>
          <w:color w:val="000000"/>
          <w:szCs w:val="20"/>
        </w:rPr>
        <w:t>岳阳港道仁矶码头工程</w:t>
      </w:r>
      <w:r>
        <w:rPr>
          <w:color w:val="000000"/>
          <w:szCs w:val="20"/>
        </w:rPr>
        <w:t>上</w:t>
      </w:r>
      <w:r>
        <w:rPr>
          <w:szCs w:val="20"/>
        </w:rPr>
        <w:t>游10km~23km江段，产卵场范围约13km，产卵规模0.3×10</w:t>
      </w:r>
      <w:r>
        <w:rPr>
          <w:szCs w:val="20"/>
          <w:vertAlign w:val="superscript"/>
        </w:rPr>
        <w:t>8</w:t>
      </w:r>
      <w:r>
        <w:rPr>
          <w:szCs w:val="20"/>
        </w:rPr>
        <w:t>粒</w:t>
      </w:r>
      <w:r>
        <w:rPr>
          <w:color w:val="000000"/>
          <w:szCs w:val="20"/>
        </w:rPr>
        <w:t>。</w:t>
      </w:r>
      <w:r>
        <w:rPr>
          <w:color w:val="000000"/>
        </w:rPr>
        <w:t>工程江段不涉及鱼类产卵场，施工不会对鱼类产卵场生境造成破坏，</w:t>
      </w:r>
      <w:r>
        <w:rPr>
          <w:szCs w:val="20"/>
        </w:rPr>
        <w:t>且在落实本报告提出的水下工程避让鱼类主要繁殖期4~7月施工的前提下，</w:t>
      </w:r>
      <w:r>
        <w:t>对鱼类产卵繁殖基本没有影响。</w:t>
      </w:r>
    </w:p>
    <w:p>
      <w:pPr>
        <w:ind w:firstLine="480"/>
        <w:jc w:val="left"/>
        <w:rPr>
          <w:color w:val="000000"/>
        </w:rPr>
      </w:pPr>
      <w:r>
        <w:rPr>
          <w:color w:val="000000"/>
        </w:rPr>
        <w:t>营运期，根据卵苗漂流发育过程中“近岸密度大，并逐渐向江心递减”的分布特点，码头建成后，部分鱼卵漂浮到码头附近，可能影响鱼卵的孵化。由于码头平台和货船占用长度为45.6m，长江宽约2km，占比较小，因此影响有限。</w:t>
      </w:r>
    </w:p>
    <w:p>
      <w:pPr>
        <w:ind w:firstLine="480"/>
      </w:pPr>
      <w:r>
        <w:rPr>
          <w:color w:val="000000"/>
        </w:rPr>
        <w:t>距离本工程最近的产粘沉性卵鱼类产卵场为工程上游约9.5km处的三江口区域。该类型产卵场规模较小，分布零散，且位于工程区上游水域。工程的施工及运行对该类型产卵场影响较小</w:t>
      </w:r>
      <w:r>
        <w:t>。</w:t>
      </w:r>
    </w:p>
    <w:p>
      <w:pPr>
        <w:ind w:firstLine="482"/>
        <w:rPr>
          <w:b/>
          <w:bCs/>
        </w:rPr>
      </w:pPr>
      <w:r>
        <w:rPr>
          <w:b/>
          <w:bCs/>
        </w:rPr>
        <w:t>（2）对鱼类繁殖行为和效果的影响</w:t>
      </w:r>
    </w:p>
    <w:p>
      <w:pPr>
        <w:ind w:firstLine="480"/>
      </w:pPr>
      <w:r>
        <w:rPr>
          <w:color w:val="000000"/>
        </w:rPr>
        <w:t>鲤、鲫在长江中游繁殖季节为3～5月，盛期为4～5月；鳜繁殖产卵时间为4~7月，盛期为6~7月。在施工区及其相临水域活动或繁殖的鱼类受施工产生的悬浮物和噪声等因素的影响，有些个体或种类会产生生理反应，如受惊扰或水质变化因素刺激产生的应激反应等，对性腺发育不利，或产卵不能发生，导致产卵行为紊乱，从而对繁殖效果产生负面影响</w:t>
      </w:r>
      <w:r>
        <w:t>。</w:t>
      </w:r>
    </w:p>
    <w:p>
      <w:pPr>
        <w:pStyle w:val="456"/>
        <w:ind w:firstLine="482"/>
      </w:pPr>
      <w:r>
        <w:t>对</w:t>
      </w:r>
      <w:r>
        <w:rPr>
          <w:rFonts w:hint="eastAsia"/>
          <w:lang w:val="en-US"/>
        </w:rPr>
        <w:t>索饵场</w:t>
      </w:r>
      <w:r>
        <w:t>的影响</w:t>
      </w:r>
    </w:p>
    <w:p>
      <w:pPr>
        <w:ind w:firstLine="480"/>
      </w:pPr>
      <w:r>
        <w:t>鳜、鳡、乌鳢、鲌类、鲇科、鲿科鱼类等以鱼类为食鱼类的索饵场，随其生活习性及摄食鱼群的分布而分布。本项目施工所占水域面积较小，施工区域之外，还有大量适宜鳜、鳡、乌鳢、鲌类、鲇科、鲿科等肉食性鱼类的索饵场所，因此工程对这类鱼类的索饵影响较小。</w:t>
      </w:r>
    </w:p>
    <w:p>
      <w:pPr>
        <w:ind w:firstLine="480"/>
      </w:pPr>
      <w:r>
        <w:t>鲤、鲫等杂食性鱼类索饵场的环境基本特征是缓流或静水，水深0~0.5cm，其间有砾石、礁石、沙质岸边，这些区域易于躲避敌害，同时，这些地方小型饵料丰富，敌害生物少，有利于幼鱼的存活。根据现场调查并结合历次调查成果，保护区内距离工程最近的成规模的鱼类索饵场在洞庭湖汇口，位于工程区上游约10km，因此，工程施工不会对该处索饵场的功能产生影响。</w:t>
      </w:r>
    </w:p>
    <w:p>
      <w:pPr>
        <w:pStyle w:val="456"/>
        <w:ind w:firstLine="482"/>
      </w:pPr>
      <w:r>
        <w:t>对越冬场的影响</w:t>
      </w:r>
    </w:p>
    <w:p>
      <w:pPr>
        <w:ind w:firstLine="480"/>
      </w:pPr>
      <w:r>
        <w:t>鱼类越冬场主要集中在干流的河床深处或坑穴中，工程在长江沿岸施工，不占用鱼类越冬场。施工期对鱼类的影响最主要的是施工期产生的船舶噪音，施工噪音将对施工区鱼类产生惊吓效果，鱼类会产生本能的回避反应，在远离施工区域较远的深水水域越冬。</w:t>
      </w:r>
    </w:p>
    <w:p>
      <w:pPr>
        <w:pStyle w:val="456"/>
        <w:ind w:firstLine="482"/>
      </w:pPr>
      <w:r>
        <w:t>对洄游通道的影响</w:t>
      </w:r>
    </w:p>
    <w:p>
      <w:pPr>
        <w:ind w:firstLine="480"/>
        <w:rPr>
          <w:color w:val="000000"/>
        </w:rPr>
      </w:pPr>
      <w:r>
        <w:rPr>
          <w:color w:val="000000"/>
        </w:rPr>
        <w:t>施工江段是许多重要水生动物的洄游通道，如保护物种中华鲟，经济水生动物日本鳗鲡、四大家鱼等。日本鳗鲡在秋季（8~10月）汇集结群沿江降河至海中进行产卵繁殖。在其洄游季节，施工作业产生的噪声、悬浮物等可能会对洄游行为产生影响。</w:t>
      </w:r>
    </w:p>
    <w:p>
      <w:pPr>
        <w:ind w:firstLine="480"/>
        <w:rPr>
          <w:color w:val="000000"/>
        </w:rPr>
      </w:pPr>
      <w:r>
        <w:rPr>
          <w:color w:val="000000"/>
        </w:rPr>
        <w:t>通过既有资料和试验监测表明，海中性成熟中华鲟可能于9~10月份通过长江监利段上溯产卵，而水下工程施工安排避开了中华鲟上溯洄游时间。中华鲟成鱼喜沿着长江主航道的深水槽贴底洄游，本工程建设的码头向河道延伸约180m，均不在长江主槽内，营运期对9~10月在此洄游的中华鲟的影响主要为船舶航行中产生的噪声及螺旋桨的机械损伤。</w:t>
      </w:r>
    </w:p>
    <w:p>
      <w:pPr>
        <w:pStyle w:val="3605"/>
        <w:spacing w:line="360" w:lineRule="auto"/>
        <w:rPr>
          <w:rFonts w:ascii="Times New Roman" w:hAnsi="Times New Roman" w:cs="Times New Roman"/>
          <w:bCs/>
        </w:rPr>
      </w:pPr>
      <w:r>
        <w:rPr>
          <w:rFonts w:ascii="Times New Roman" w:hAnsi="Times New Roman"/>
          <w:color w:val="000000"/>
        </w:rPr>
        <w:t>中华鲟是典型的底层生活型鱼类，仔鱼降河洄游通道主要位于主河道（有足够的水深），未达性成熟的群体栖息水深明显大于性成熟的群体。拟建码头位于近岸浅水区，不是中华鲟的主要活动区域，故仔鱼降海洄游受码头施工和运行影响有限</w:t>
      </w:r>
      <w:r>
        <w:rPr>
          <w:rFonts w:ascii="Times New Roman" w:hAnsi="Times New Roman" w:cs="Times New Roman"/>
          <w:bCs/>
        </w:rPr>
        <w:t>。</w:t>
      </w:r>
    </w:p>
    <w:p>
      <w:pPr>
        <w:pStyle w:val="454"/>
        <w:ind w:firstLine="602"/>
      </w:pPr>
      <w:bookmarkStart w:id="242" w:name="_Toc106697030"/>
      <w:r>
        <w:rPr>
          <w:rFonts w:hint="eastAsia"/>
          <w:lang w:val="en-US"/>
        </w:rPr>
        <w:t>对</w:t>
      </w:r>
      <w:r>
        <w:t>饵料生物、底栖生物和水生植物的影响</w:t>
      </w:r>
      <w:bookmarkEnd w:id="242"/>
    </w:p>
    <w:p>
      <w:pPr>
        <w:pStyle w:val="456"/>
        <w:ind w:firstLine="482"/>
      </w:pPr>
      <w:r>
        <w:t>对浮游</w:t>
      </w:r>
      <w:r>
        <w:rPr>
          <w:rFonts w:hint="eastAsia"/>
          <w:lang w:val="en-US"/>
        </w:rPr>
        <w:t>植物</w:t>
      </w:r>
      <w:r>
        <w:t>的影响评价</w:t>
      </w:r>
    </w:p>
    <w:p>
      <w:pPr>
        <w:ind w:firstLine="480"/>
      </w:pPr>
      <w:r>
        <w:rPr>
          <w:color w:val="000000"/>
        </w:rPr>
        <w:t>藻类是一群具有叶绿素和其他光合色素，能进行光合作用的低等植物，是自然水体的原始生产者。多数藻类是鱼类或其他水生动物的饵料。码头工程对浮游植物的影响主要是常水位线以下桩基施工产生的悬浮物的影响，局部水域悬浮物浓度增加，使水中浮游植物光合作用暂时降低，不利于藻类生长繁殖，数量减少。营运期对浮游植物的影响主要是趸船等水工建筑物占用保护区水域，以及进出港船舶引起的水体扰动影响浮游植物的正常生长，且这一影响将长期存在。施工江段平均水深约8m，以泊位岸线长和施工区外扩10%为工程影响区计算影响水域，通过计算，</w:t>
      </w:r>
      <w:r>
        <w:rPr>
          <w:rFonts w:ascii="Times New Roman" w:hAnsi="Times New Roman"/>
          <w:color w:val="000000"/>
          <w:sz w:val="24"/>
          <w:szCs w:val="24"/>
          <w:highlight w:val="none"/>
        </w:rPr>
        <w:t>在施工期和营运期间，浮游植物的年损失量为</w:t>
      </w:r>
      <w:r>
        <w:rPr>
          <w:rFonts w:hint="eastAsia" w:ascii="Times New Roman" w:hAnsi="Times New Roman"/>
          <w:color w:val="000000"/>
          <w:sz w:val="24"/>
          <w:szCs w:val="24"/>
          <w:highlight w:val="none"/>
          <w:lang w:eastAsia="zh-CN"/>
        </w:rPr>
        <w:t>2</w:t>
      </w:r>
      <w:r>
        <w:rPr>
          <w:rFonts w:hint="eastAsia" w:ascii="Times New Roman" w:hAnsi="Times New Roman"/>
          <w:color w:val="000000"/>
          <w:sz w:val="24"/>
          <w:szCs w:val="24"/>
          <w:highlight w:val="none"/>
          <w:lang w:val="en-US" w:eastAsia="zh-CN"/>
        </w:rPr>
        <w:t>4975</w:t>
      </w:r>
      <w:r>
        <w:rPr>
          <w:rFonts w:ascii="Times New Roman" w:hAnsi="Times New Roman"/>
          <w:color w:val="000000"/>
          <w:sz w:val="24"/>
          <w:szCs w:val="24"/>
          <w:highlight w:val="none"/>
        </w:rPr>
        <w:t>kg</w:t>
      </w:r>
      <w:r>
        <w:rPr>
          <w:rFonts w:hint="eastAsia" w:ascii="Times New Roman" w:hAnsi="Times New Roman"/>
          <w:color w:val="000000"/>
          <w:sz w:val="24"/>
          <w:szCs w:val="24"/>
          <w:highlight w:val="none"/>
          <w:lang w:eastAsia="zh-CN"/>
        </w:rPr>
        <w:t>和</w:t>
      </w:r>
      <w:r>
        <w:rPr>
          <w:rFonts w:hint="eastAsia" w:ascii="Times New Roman" w:hAnsi="Times New Roman"/>
          <w:color w:val="000000"/>
          <w:sz w:val="24"/>
          <w:szCs w:val="24"/>
          <w:highlight w:val="none"/>
          <w:lang w:val="en-US" w:eastAsia="zh-CN"/>
        </w:rPr>
        <w:t>7224kg</w:t>
      </w:r>
      <w:r>
        <w:rPr>
          <w:rFonts w:ascii="Times New Roman" w:hAnsi="Times New Roman"/>
          <w:color w:val="000000"/>
          <w:sz w:val="24"/>
          <w:szCs w:val="24"/>
          <w:highlight w:val="none"/>
        </w:rPr>
        <w:t>。</w:t>
      </w:r>
    </w:p>
    <w:p>
      <w:pPr>
        <w:ind w:firstLine="480"/>
      </w:pPr>
      <w:r>
        <w:t>虽然工程施工会使浮游植物的生物量有一定的减少，但由于浮游植物繁殖速度快，待施工结束后，浮游植物的数量将会逐步恢复，工程施工对该江段的浮游植物的影响只是短期的。</w:t>
      </w:r>
    </w:p>
    <w:p>
      <w:pPr>
        <w:pStyle w:val="456"/>
        <w:ind w:firstLine="482"/>
      </w:pPr>
      <w:r>
        <w:t>对浮游动物的影响评价</w:t>
      </w:r>
    </w:p>
    <w:p>
      <w:pPr>
        <w:spacing w:line="360" w:lineRule="auto"/>
        <w:ind w:firstLine="480" w:firstLineChars="200"/>
        <w:rPr>
          <w:rFonts w:ascii="Times New Roman" w:hAnsi="Times New Roman"/>
          <w:color w:val="000000"/>
          <w:sz w:val="24"/>
          <w:szCs w:val="24"/>
          <w:highlight w:val="yellow"/>
        </w:rPr>
      </w:pPr>
      <w:r>
        <w:rPr>
          <w:color w:val="000000"/>
        </w:rPr>
        <w:t>工程导致的局部水域水质浑浊，一方面会直接造成浮游动物的死亡，另一方面这些施工作业会造成作为饵料的浮游植物减少，同样也会加速浮游动物数量和种类的减少。同时，常水位线以下工程施工扰动底泥导致沉积在江底的有害物质释放，从而导致施工江段及其下游局部水域的水质改变，对浮游动物有一定的致毒作用。营运期对浮游动物的影响主要是趸船等水工建筑物占用保护区水域，以及进出港船舶引起的水体扰动影响浮游动物的正常生长。施工江段平均水深约8m，以泊位岸线长和施工区域外扩10%为工程影响区计算影响水域，</w:t>
      </w:r>
      <w:r>
        <w:rPr>
          <w:rFonts w:ascii="Times New Roman" w:hAnsi="Times New Roman"/>
          <w:color w:val="000000"/>
          <w:sz w:val="24"/>
          <w:szCs w:val="24"/>
          <w:highlight w:val="none"/>
        </w:rPr>
        <w:t>通过计算，在施工期和营运期间，浮游动物的年损失量</w:t>
      </w:r>
      <w:r>
        <w:rPr>
          <w:rFonts w:hint="eastAsia" w:ascii="Times New Roman" w:hAnsi="Times New Roman"/>
          <w:color w:val="000000"/>
          <w:sz w:val="24"/>
          <w:szCs w:val="24"/>
          <w:highlight w:val="none"/>
          <w:lang w:eastAsia="zh-CN"/>
        </w:rPr>
        <w:t>1</w:t>
      </w:r>
      <w:r>
        <w:rPr>
          <w:rFonts w:hint="eastAsia" w:ascii="Times New Roman" w:hAnsi="Times New Roman"/>
          <w:color w:val="000000"/>
          <w:sz w:val="24"/>
          <w:szCs w:val="24"/>
          <w:highlight w:val="none"/>
          <w:lang w:val="en-US" w:eastAsia="zh-CN"/>
        </w:rPr>
        <w:t>9576</w:t>
      </w:r>
      <w:r>
        <w:rPr>
          <w:rFonts w:ascii="Times New Roman" w:hAnsi="Times New Roman"/>
          <w:color w:val="000000"/>
          <w:sz w:val="24"/>
          <w:szCs w:val="24"/>
          <w:highlight w:val="none"/>
        </w:rPr>
        <w:t>kg</w:t>
      </w:r>
      <w:r>
        <w:rPr>
          <w:rFonts w:hint="eastAsia" w:ascii="Times New Roman" w:hAnsi="Times New Roman"/>
          <w:color w:val="000000"/>
          <w:sz w:val="24"/>
          <w:szCs w:val="24"/>
          <w:highlight w:val="none"/>
          <w:lang w:eastAsia="zh-CN"/>
        </w:rPr>
        <w:t>和</w:t>
      </w:r>
      <w:r>
        <w:rPr>
          <w:rFonts w:hint="eastAsia" w:ascii="Times New Roman" w:hAnsi="Times New Roman"/>
          <w:color w:val="000000"/>
          <w:sz w:val="24"/>
          <w:szCs w:val="24"/>
          <w:highlight w:val="none"/>
          <w:lang w:val="en-US" w:eastAsia="zh-CN"/>
        </w:rPr>
        <w:t>5662kg</w:t>
      </w:r>
      <w:r>
        <w:rPr>
          <w:rFonts w:ascii="Times New Roman" w:hAnsi="Times New Roman"/>
          <w:color w:val="000000"/>
          <w:sz w:val="24"/>
          <w:szCs w:val="24"/>
          <w:highlight w:val="none"/>
        </w:rPr>
        <w:t>。</w:t>
      </w:r>
    </w:p>
    <w:p>
      <w:pPr>
        <w:ind w:firstLine="480"/>
      </w:pPr>
      <w:r>
        <w:t>同浮游植物一样，工程施工虽然会使浮游动物的生物量有一定的减少，但这种影响只是局部的和暂时的，因此工程施工对评价区的浮游动物的影响有限。</w:t>
      </w:r>
    </w:p>
    <w:p>
      <w:pPr>
        <w:pStyle w:val="456"/>
        <w:ind w:firstLine="482"/>
      </w:pPr>
      <w:r>
        <w:t>对</w:t>
      </w:r>
      <w:r>
        <w:rPr>
          <w:rFonts w:hint="eastAsia"/>
          <w:lang w:val="en-US"/>
        </w:rPr>
        <w:t>底栖生物</w:t>
      </w:r>
      <w:r>
        <w:t>的影响评价</w:t>
      </w:r>
    </w:p>
    <w:p>
      <w:pPr>
        <w:ind w:firstLine="480"/>
      </w:pPr>
      <w:r>
        <w:t>工程施工期间，最高设计水位线以下桩基、工程疏浚施工对底栖动物生存不利。在施工期，港池疏浚、桩基以及疏浚区域的底栖动物大部分都会死亡，从而对该江段底栖动物的种类和数量产生影响。同时施工所产生的悬浮物也会影响到附近水域底栖动物的呼吸、摄食等生命活动，也直接改变了其栖息环境；营运期桩基永久占用底栖动物栖息空间。</w:t>
      </w:r>
      <w:r>
        <w:rPr>
          <w:rFonts w:ascii="Times New Roman" w:hAnsi="Times New Roman"/>
          <w:color w:val="000000"/>
          <w:sz w:val="24"/>
          <w:szCs w:val="24"/>
          <w:highlight w:val="none"/>
        </w:rPr>
        <w:t>经计算，在施工期和营运期间直接扰动造成底栖动物的年损失量为</w:t>
      </w:r>
      <w:r>
        <w:rPr>
          <w:rFonts w:hint="eastAsia" w:ascii="Times New Roman" w:hAnsi="Times New Roman"/>
          <w:color w:val="000000"/>
          <w:sz w:val="24"/>
          <w:szCs w:val="24"/>
          <w:highlight w:val="none"/>
          <w:lang w:val="en-US" w:eastAsia="zh-CN"/>
        </w:rPr>
        <w:t>9092</w:t>
      </w:r>
      <w:r>
        <w:rPr>
          <w:rFonts w:ascii="Times New Roman" w:hAnsi="Times New Roman"/>
          <w:color w:val="000000"/>
          <w:sz w:val="24"/>
          <w:szCs w:val="24"/>
          <w:highlight w:val="none"/>
        </w:rPr>
        <w:t>kg</w:t>
      </w:r>
      <w:r>
        <w:rPr>
          <w:rFonts w:hint="eastAsia" w:ascii="Times New Roman" w:hAnsi="Times New Roman"/>
          <w:color w:val="000000"/>
          <w:sz w:val="24"/>
          <w:szCs w:val="24"/>
          <w:highlight w:val="none"/>
          <w:lang w:eastAsia="zh-CN"/>
        </w:rPr>
        <w:t>和</w:t>
      </w:r>
      <w:r>
        <w:rPr>
          <w:rFonts w:hint="eastAsia" w:ascii="Times New Roman" w:hAnsi="Times New Roman"/>
          <w:color w:val="000000"/>
          <w:sz w:val="24"/>
          <w:szCs w:val="24"/>
          <w:highlight w:val="none"/>
          <w:lang w:val="en-US" w:eastAsia="zh-CN"/>
        </w:rPr>
        <w:t>2937kg</w:t>
      </w:r>
      <w:r>
        <w:rPr>
          <w:rFonts w:ascii="Times New Roman" w:hAnsi="Times New Roman"/>
          <w:color w:val="000000"/>
          <w:sz w:val="24"/>
          <w:szCs w:val="24"/>
          <w:highlight w:val="none"/>
        </w:rPr>
        <w:t>。</w:t>
      </w:r>
    </w:p>
    <w:p>
      <w:pPr>
        <w:ind w:firstLine="480"/>
      </w:pPr>
      <w:r>
        <w:t>由于施工影响范围有限，一段时间之后，施工区域生态效应作用将会逐渐形成新的平衡。</w:t>
      </w:r>
    </w:p>
    <w:p>
      <w:pPr>
        <w:pStyle w:val="456"/>
        <w:ind w:firstLine="482"/>
      </w:pPr>
      <w:r>
        <w:t>对水生维管束植物的影响评价</w:t>
      </w:r>
    </w:p>
    <w:p>
      <w:pPr>
        <w:ind w:firstLine="360" w:firstLineChars="150"/>
      </w:pPr>
      <w:r>
        <w:t>工程对水生植被的影响主要是码头施工过程中，港池疏浚，引桥、码头平台等的桩基永久占地对沿岸湿生植被的直接破坏，此外，施工过程中所产生的粉尘等会附着在水生植被上，对水生植被产生一定影响。由于施工区江段水生维管束植物较少，因此工程对水生维管束植物的影响较小。</w:t>
      </w:r>
    </w:p>
    <w:p>
      <w:pPr>
        <w:pStyle w:val="454"/>
        <w:ind w:firstLine="602"/>
      </w:pPr>
      <w:bookmarkStart w:id="243" w:name="_Toc106697031"/>
      <w:r>
        <w:t>对保护区</w:t>
      </w:r>
      <w:r>
        <w:rPr>
          <w:rFonts w:hint="eastAsia"/>
          <w:lang w:val="en-US"/>
        </w:rPr>
        <w:t>结构</w:t>
      </w:r>
      <w:r>
        <w:t>和功能的影响</w:t>
      </w:r>
      <w:bookmarkEnd w:id="243"/>
    </w:p>
    <w:p>
      <w:pPr>
        <w:pStyle w:val="456"/>
        <w:ind w:firstLine="482"/>
      </w:pPr>
      <w:r>
        <w:t>对保护区主要保护对象的影响</w:t>
      </w:r>
    </w:p>
    <w:p>
      <w:pPr>
        <w:wordWrap w:val="0"/>
        <w:ind w:firstLine="480"/>
      </w:pPr>
      <w:r>
        <w:t>该保护区的主要保护对象包括铜鱼、短颌鲚等主要经济鱼类，其他保护物种还有青鱼、草鱼、鲢、鳙、鱤、鳤、鯮等江河半洄游性鱼类。</w:t>
      </w:r>
    </w:p>
    <w:p>
      <w:pPr>
        <w:wordWrap w:val="0"/>
        <w:ind w:firstLine="480"/>
      </w:pPr>
      <w:r>
        <w:t>铜鱼为半洄游性鱼类，喜流水性生活，平时多栖息于水质清新、溶氧丰富的砂壤底质河段，喜群体集游。铜鱼杂食性，主要摄食底栖生物，如淡水壳菜、蚬、螺蛳及软体动物等，也食高等植物碎片、硅藻、水生昆虫、虾类和幼鱼。短颌鲚为纯淡水生活的种类，栖息于江河中下游和湖泊中，食水生无脊椎动物。</w:t>
      </w:r>
    </w:p>
    <w:p>
      <w:pPr>
        <w:ind w:firstLine="480"/>
      </w:pPr>
      <w:r>
        <w:t>根据洞庭湖及城陵矶江段渔业资源与生态环境监测资料，保护区渔业产量平均为195t/年。铜鱼资源量为8.52t/年，所占渔获物重量比例4.56%。短颌鲚资源量为3.70t/年，所占渔获物重量比例1.83%。</w:t>
      </w:r>
    </w:p>
    <w:p>
      <w:pPr>
        <w:ind w:firstLine="480"/>
      </w:pPr>
      <w:r>
        <w:t>根据现场调查，铜鱼、短颌鲚产卵场主要分布于保护区核心区擂鼓台及三江口江段，在本工程上游约9km处，工程的施工及运行对保护对象产卵场影响较小。施工期对铜鱼、短颌鲚产生的影响主要是工程施工作业噪声产生的驱离效应和码头平台桩基涉水工程施工导致的水质破坏，浮游生物、底栖动物等饵料生物量的减少，改变了施工范围内铜鱼、短颌鲚的生存条件，铜鱼、短颌鲚将择水而栖迁到其它地方，施工区域鱼类密度有所降低。</w:t>
      </w:r>
    </w:p>
    <w:p>
      <w:pPr>
        <w:wordWrap w:val="0"/>
        <w:ind w:firstLine="480"/>
      </w:pPr>
      <w:r>
        <w:t>工程营运期对铜鱼和短颌鲚的影响集中在项目运营期运输船舶产生的噪声干扰、鱼类被机械损伤的几率增加、项目运营期造成保护对象饵料生物损失，进而对鱼产量产生不利影响、营运期运输船舶运行对水域有一定扰动、船舶碰撞、船舶舱底油污水事故等风险增加，对主要保护对象的危害将会增加等方面。</w:t>
      </w:r>
    </w:p>
    <w:p>
      <w:pPr>
        <w:wordWrap w:val="0"/>
        <w:ind w:firstLine="480"/>
      </w:pPr>
      <w:r>
        <w:t>四大家鱼（青、草、鲢、鳙）亲鱼于4～7月在江河急流有泡漩水的江段繁殖，产后的亲鱼则洄游至湖泊中摄食，部分仔稚鱼随水流直接进入湖泊，部分在干流的漫滩摄食，生长为幼鱼后顶流进入湖泊索饵育肥。在秋末冬初水位下降时，成鱼开始从较浅的湖泊游到江河干流的河床深处进行越冬洄游，当湖泊中存在深水区（深洼或潭坑）时，也可在这些场所越冬，在繁殖季节，湖泊以及江河下游的亲鱼又洄游到干流的产卵场进行繁殖。</w:t>
      </w:r>
    </w:p>
    <w:p>
      <w:pPr>
        <w:wordWrap w:val="0"/>
        <w:ind w:firstLine="480"/>
        <w:rPr>
          <w:szCs w:val="20"/>
        </w:rPr>
      </w:pPr>
      <w:r>
        <w:t>性成熟四大家鱼在4~7月返回长江干流繁殖，此时段四大家鱼在长江干流的的数量多于其他时段，随着繁殖期结束产卵后亲鱼和仔稚鱼长为幼鱼后进入湖泊索饵，长江干流四大家鱼数量将有所减少。</w:t>
      </w:r>
      <w:r>
        <w:rPr>
          <w:szCs w:val="20"/>
        </w:rPr>
        <w:t>位于保护区内的城陵矶-大湾江段是产漂流性卵鱼类较集中的产卵场，距拟建</w:t>
      </w:r>
      <w:r>
        <w:rPr>
          <w:rFonts w:hint="eastAsia"/>
          <w:szCs w:val="20"/>
        </w:rPr>
        <w:t>岳阳港道仁矶码头工程</w:t>
      </w:r>
      <w:r>
        <w:rPr>
          <w:szCs w:val="20"/>
        </w:rPr>
        <w:t>最近的产漂流性卵鱼类产卵场为“城陵矶-大湾”产卵场，产卵场范围约13km，位于工程上游10km~23km江段。工程施工不涉及四大家鱼等产漂流性卵鱼类产卵场，且在落实本报告提出的水下工程避让鱼类主要繁殖期4~7月施工的前提下，</w:t>
      </w:r>
      <w:r>
        <w:t>对四大家鱼等鱼类产卵繁殖基本没有影响。</w:t>
      </w:r>
    </w:p>
    <w:p>
      <w:pPr>
        <w:wordWrap w:val="0"/>
        <w:ind w:firstLine="480"/>
      </w:pPr>
      <w:r>
        <w:t>运营期，根据卵苗漂流发育过程中“近岸密度大，并逐渐向江心递减”的分布特点，码头建成后，部分鱼卵漂浮到码头附近，可能影响鱼卵的孵化，</w:t>
      </w:r>
      <w:r>
        <w:rPr>
          <w:color w:val="000000"/>
        </w:rPr>
        <w:t>码头平台和货船占用长度为45.6m</w:t>
      </w:r>
      <w:r>
        <w:t>，长江宽约2km，影响有限。由码头带来的船舶增量较少，仅为约5~6艘次/天，新增规模较长江现有通航量比例较小，因此运营期对保护区保护对象的影响不大。</w:t>
      </w:r>
    </w:p>
    <w:p>
      <w:pPr>
        <w:pStyle w:val="456"/>
        <w:ind w:firstLine="482"/>
      </w:pPr>
      <w:r>
        <w:t>对保护区结构和功能的影响</w:t>
      </w:r>
    </w:p>
    <w:p>
      <w:pPr>
        <w:widowControl/>
        <w:ind w:firstLine="480"/>
      </w:pPr>
      <w:r>
        <w:t>工程未改变保护区整体水文情势，工程施工、运营未改变保护区水生态系统整体特征，水下工程严禁在4~7月施工，减小工程施工对鱼类产卵繁殖、索饵的影响。保护区总面积2100hm</w:t>
      </w:r>
      <w:r>
        <w:rPr>
          <w:vertAlign w:val="superscript"/>
        </w:rPr>
        <w:t>2</w:t>
      </w:r>
      <w:r>
        <w:t>，运行期本工程（含投影</w:t>
      </w:r>
      <w:r>
        <w:rPr>
          <w:kern w:val="0"/>
        </w:rPr>
        <w:t>和抛石护桩</w:t>
      </w:r>
      <w:r>
        <w:t>）占用保护区约5.485hm</w:t>
      </w:r>
      <w:r>
        <w:rPr>
          <w:vertAlign w:val="superscript"/>
        </w:rPr>
        <w:t>2</w:t>
      </w:r>
      <w:r>
        <w:t>，占保护区面积的0.26%，因此工程的建设对保护区水生生物资源的生境影响相对较小。</w:t>
      </w:r>
    </w:p>
    <w:p>
      <w:pPr>
        <w:widowControl/>
        <w:ind w:firstLine="480"/>
        <w:jc w:val="left"/>
        <w:rPr>
          <w:b/>
          <w:bCs/>
          <w:kern w:val="44"/>
          <w:sz w:val="36"/>
          <w:szCs w:val="36"/>
        </w:rPr>
      </w:pPr>
      <w:r>
        <w:t>营运期码头水工建筑物长期占用保护区水域，影响饵料生物的正常生长；运输船舶数量增加，船舶噪声等会对鱼类的洄游行为产生干扰；船舶搁浅、碰撞、溢油及危化品泄露等风险事故对铜鱼短颌鲚等保护对象、保护区水质及水生态造成不利影响。码头平台配置有集水设施，污水不会外排，并制定风险预案等一些列环境保护和风险方案措施。在落实了本报告提出的各项环境保护及风险防范措施后，可有效减缓环境影响和风险事故发生几率及其造成的影响，在保护区水生生态系统的可承受范围内。</w:t>
      </w:r>
    </w:p>
    <w:p>
      <w:pPr>
        <w:pStyle w:val="454"/>
        <w:ind w:firstLine="602"/>
      </w:pPr>
      <w:bookmarkStart w:id="244" w:name="_Toc106697032"/>
      <w:r>
        <w:t>对</w:t>
      </w:r>
      <w:r>
        <w:rPr>
          <w:rFonts w:hint="eastAsia"/>
        </w:rPr>
        <w:t>重要</w:t>
      </w:r>
      <w:r>
        <w:rPr>
          <w:rFonts w:hint="eastAsia"/>
          <w:lang w:val="en-US"/>
        </w:rPr>
        <w:t>物种</w:t>
      </w:r>
      <w:r>
        <w:t>的影响评价</w:t>
      </w:r>
      <w:bookmarkEnd w:id="244"/>
    </w:p>
    <w:p>
      <w:pPr>
        <w:ind w:firstLine="480"/>
        <w:rPr>
          <w:color w:val="000000"/>
        </w:rPr>
      </w:pPr>
      <w:r>
        <w:rPr>
          <w:color w:val="000000"/>
        </w:rPr>
        <w:t>保护区江段有保护物种20种。其中国家级13种，分别为国家一级保护野生动物长江鲟、中华鲟、白鲟、长江江豚、鲥，国家二级保护野生动物胭脂鱼、鯮、长薄鳅、红唇薄鳅、岩原鲤、长鳍吻鮈</w:t>
      </w:r>
      <w:r>
        <w:rPr>
          <w:rFonts w:hint="eastAsia"/>
        </w:rPr>
        <w:t>、圆口铜鱼</w:t>
      </w:r>
      <w:r>
        <w:rPr>
          <w:color w:val="000000"/>
        </w:rPr>
        <w:t>和多鳞白甲鱼。湖南省级保护鱼类有12种，分别为太湖新银鱼、鯮、鳤、鲥、中华倒刺鲃、白甲鱼、瓣结鱼、岩原鲤、胭脂鱼、长薄鳅、胡子鲇和月鳢。</w:t>
      </w:r>
    </w:p>
    <w:p>
      <w:pPr>
        <w:ind w:firstLine="480"/>
        <w:rPr>
          <w:color w:val="000000"/>
        </w:rPr>
      </w:pPr>
      <w:r>
        <w:rPr>
          <w:color w:val="000000"/>
        </w:rPr>
        <w:t>红皮书及红色名录种类共6种。红皮书种类5种，其中濒危种(EN)1种为白鲟，易危种(VU)4种为长江鲟、中华鲟、胭脂鱼、鯮。红色名录种类6种，其中极危种(CR)2种为白鲟、中华鲟；濒危种(EN)1种，为长江鲟；易危种(VU)3种，分别为胭脂鱼、鯮、青鳉。</w:t>
      </w:r>
    </w:p>
    <w:p>
      <w:pPr>
        <w:pStyle w:val="456"/>
        <w:ind w:firstLine="482"/>
      </w:pPr>
      <w:r>
        <w:t>对长江江豚的影响</w:t>
      </w:r>
    </w:p>
    <w:p>
      <w:pPr>
        <w:ind w:firstLine="482"/>
        <w:rPr>
          <w:b/>
        </w:rPr>
      </w:pPr>
      <w:r>
        <w:rPr>
          <w:b/>
        </w:rPr>
        <w:t>（1）栖息地影响评价</w:t>
      </w:r>
    </w:p>
    <w:p>
      <w:pPr>
        <w:ind w:firstLine="480"/>
      </w:pPr>
      <w:r>
        <w:t>本工程码头所在水域不属于长江江豚自然保护区，不占用长江江豚的主要栖息地，但其地势形态为自然岸滩，有利于保持自然生态环境的连续性、长江江豚栖息地的完整性和迁徙廊道畅通性，固化后对自然生态环境的连续性会有一定影响。由于码头占用岸线长度较短，影响有限。</w:t>
      </w:r>
    </w:p>
    <w:p>
      <w:pPr>
        <w:ind w:firstLine="482"/>
        <w:rPr>
          <w:b/>
        </w:rPr>
      </w:pPr>
      <w:r>
        <w:rPr>
          <w:b/>
        </w:rPr>
        <w:t>（2）觅食影响</w:t>
      </w:r>
    </w:p>
    <w:p>
      <w:pPr>
        <w:ind w:firstLine="480"/>
      </w:pPr>
      <w:r>
        <w:t>长江江豚主要以小型鱼类为食，如鲤、黄尾鲴、鲫、短颌鲚、䱗、鲢、鳊、草鱼等在长江江豚的胃中都有发现。工程施工产生的悬浮泥沙会对鱼卵、仔稚鱼和幼体会造成伤害，影响鱼类资源一定程度减少，从而也影响了长江江豚的食物来源，导致其食物来源获得性降低。饵料的减少会增加长江江豚的捕食难度，从而降低抵御危险的能力，另外饵料的短缺还会影响长江江豚的正常繁殖。工程施工将改变施工影响江段鱼类的暂时空间分布，由于工程影响范围较小，因此对长江江豚饵料资源的影响有限。</w:t>
      </w:r>
    </w:p>
    <w:p>
      <w:pPr>
        <w:ind w:firstLine="482"/>
        <w:rPr>
          <w:b/>
        </w:rPr>
      </w:pPr>
      <w:r>
        <w:rPr>
          <w:b/>
        </w:rPr>
        <w:t>（3）迁徙行为影响评价</w:t>
      </w:r>
    </w:p>
    <w:p>
      <w:pPr>
        <w:ind w:firstLine="480"/>
      </w:pPr>
      <w:r>
        <w:t>长江江豚的迁徙行为与鱼类资源的季节性分布有关，也存在季节性江湖迁移行为。工程区长江江豚偶见，长江江豚在不同水域中存在迁徙。工程所在区域为近岸水域，离岸约180m，工程并不阻碍长江江豚的迁徙。</w:t>
      </w:r>
    </w:p>
    <w:p>
      <w:pPr>
        <w:ind w:firstLine="480"/>
        <w:rPr>
          <w:kern w:val="0"/>
        </w:rPr>
      </w:pPr>
      <w:r>
        <w:t>运营期水下噪声会对长江江豚产生一定影响。长江江豚在水下最主要的感觉系统是声纳系统，因此船舶水下噪声和振动将对它们产生不利影响，例如</w:t>
      </w:r>
      <w:r>
        <w:rPr>
          <w:kern w:val="0"/>
        </w:rPr>
        <w:t>对豚类声纳系统造成干扰，影响其在水中探测和识别物体的能力，受到水下噪声惊吓后急速游动，容易撞上船只螺旋桨而受到伤害，此外较大强度的噪声将对豚类的听力产生破坏。</w:t>
      </w:r>
      <w:r>
        <w:t>根据《长江和畅洲江段大型船舶的噪声特征及其对长江江豚的潜在影响》（张天赐等，2017），长江江豚是主要依赖于声信号进行捕食和个体交流的物种，大型船舶的航行噪声可能会对长江江豚个体间的声通讯及听觉带来不利影响，如听觉掩盖。</w:t>
      </w:r>
    </w:p>
    <w:p>
      <w:pPr>
        <w:autoSpaceDE w:val="0"/>
        <w:autoSpaceDN w:val="0"/>
        <w:ind w:firstLine="361" w:firstLineChars="150"/>
        <w:rPr>
          <w:b/>
        </w:rPr>
      </w:pPr>
      <w:r>
        <w:rPr>
          <w:b/>
        </w:rPr>
        <w:t>（4）机械伤害</w:t>
      </w:r>
    </w:p>
    <w:p>
      <w:pPr>
        <w:autoSpaceDE w:val="0"/>
        <w:autoSpaceDN w:val="0"/>
        <w:ind w:firstLine="491" w:firstLineChars="205"/>
      </w:pPr>
      <w:r>
        <w:t>长江江豚是主要依赖于声信号进行捕食和个体交流的物种，其声呐系统极易受到船舶机械噪声干扰，造成被船舶螺旋桨打伤击毙的机会增多。根据《江西鄱阳湖湖口水域船舶通行对长江江豚发声行为的影响》（董首悦等，2012），在江西鄱阳湖湖口水域船舶通行对长江江豚发声行为的影响研究中，船舶和长江江豚出现存在弱的负相关关系，船舶经过时狭窄水域中的长江江豚躲避船舶干扰可能采取一种“临时性”策略。</w:t>
      </w:r>
    </w:p>
    <w:p>
      <w:pPr>
        <w:ind w:firstLine="480"/>
        <w:rPr>
          <w:color w:val="000000"/>
        </w:rPr>
      </w:pPr>
      <w:r>
        <w:t>已有研究表明，长江江豚对船舶噪声有主动躲避行为，比如，船舶出现与长江江豚出现存在负相关关系，在船舶航行轨迹的0~50m垂直距离范围内，通常难以观察到长江江豚，而在50~100m范围内却能观察到长江江豚。尽管长江江豚能主动避船，但在某些特殊情形下，仍容易被航行船舶伤害，比如在捕食时，长江江豚容易不理会船舶靠近；在相对狭窄的水道内，高速船舶突然接近时，长江江豚无处躲避或难以在短时间内逃离到安全距离之外。如果营运期内船舶航运量密度过高，船舶之间的距离在200m以内，会对长江江豚产生一定的影响。因此，需控制到港船舶之间的距离，便于长江江豚及时躲避。施工期采取施工期保护观察和现场临时救护策略，运营期在提出长江江豚监测、设置长江江豚水下声学监测点，并进行船舶航行控制后，可缓解工程带来的影响。</w:t>
      </w:r>
    </w:p>
    <w:p>
      <w:pPr>
        <w:pStyle w:val="456"/>
        <w:ind w:firstLine="482"/>
      </w:pPr>
      <w:r>
        <w:t>对湖</w:t>
      </w:r>
      <w:r>
        <w:rPr>
          <w:rFonts w:hint="eastAsia"/>
        </w:rPr>
        <w:t>南</w:t>
      </w:r>
      <w:r>
        <w:t>省重点保护野生水生动物的影响</w:t>
      </w:r>
    </w:p>
    <w:p>
      <w:pPr>
        <w:ind w:firstLine="480"/>
      </w:pPr>
      <w:r>
        <w:t>评价区内太湖新银鱼、鯮、鳤、胡子鲇和月鳢被列入湖南省重点保护野生水生动物。近年来由于过度捕捞、江湖阻隔而影响鳤、鯮幼鱼进入湖泊生活与肥育、长江中鱼类资源总体下降而使大型凶猛肉食鱼类的食物短缺等原因，导致鳤、鯮的种群个体数量显著减少，目前已很难见到其个体。因此，鳤、鯮在施工区出现的概率很低，且工程施工并未对其繁殖洄游有明显阻碍作用，但是施工造成的鱼类资源损失会对以鱼类为主要食物的鳤、鯮饵料生物资源有一定的影响。</w:t>
      </w:r>
    </w:p>
    <w:p>
      <w:pPr>
        <w:ind w:firstLine="480"/>
      </w:pPr>
      <w:r>
        <w:t>太湖新银鱼能在湖泊定居。喜栖于湖湾、港叉或清浑两水交汇的“米浑”水的敞水区，清早和黄昏常成群在水的上层觅食，白天在水的中上层。以浮游动物为主食，也吃鱼苗和小虾。繁殖季节在3~4月，秋季也能繁殖。繁殖时，对外界环境条件要求不甚严格，常在湖水处或叉口的微流水区产卵繁殖。工程水下施工时间与其繁殖时间有一定重合，对对太湖新银鱼繁殖会造成一定影响。</w:t>
      </w:r>
    </w:p>
    <w:p>
      <w:pPr>
        <w:ind w:firstLine="480"/>
      </w:pPr>
      <w:r>
        <w:t>胡子鲇主要分布于洞庭湖湖区，工程施工及运营对胡子鲇基本没有影响。</w:t>
      </w:r>
    </w:p>
    <w:p>
      <w:pPr>
        <w:pStyle w:val="453"/>
        <w:ind w:firstLine="643" w:firstLineChars="0"/>
        <w:rPr>
          <w:rFonts w:ascii="Times New Roman" w:cs="Times New Roman"/>
          <w:lang w:val="en-US"/>
        </w:rPr>
      </w:pPr>
      <w:bookmarkStart w:id="245" w:name="_Toc7669"/>
      <w:bookmarkStart w:id="246" w:name="_Toc456"/>
      <w:r>
        <w:rPr>
          <w:rFonts w:hint="eastAsia" w:ascii="Times New Roman" w:cs="Times New Roman"/>
          <w:lang w:val="en-US"/>
        </w:rPr>
        <w:t>保护及补偿措施</w:t>
      </w:r>
      <w:bookmarkEnd w:id="245"/>
      <w:bookmarkEnd w:id="246"/>
    </w:p>
    <w:p>
      <w:pPr>
        <w:ind w:firstLine="480"/>
        <w:rPr>
          <w:color w:val="000000" w:themeColor="text1"/>
          <w14:textFill>
            <w14:solidFill>
              <w14:schemeClr w14:val="tx1"/>
            </w14:solidFill>
          </w14:textFill>
        </w:rPr>
      </w:pPr>
      <w:r>
        <w:rPr>
          <w:color w:val="000000" w:themeColor="text1"/>
          <w14:textFill>
            <w14:solidFill>
              <w14:schemeClr w14:val="tx1"/>
            </w14:solidFill>
          </w14:textFill>
        </w:rPr>
        <w:t>项目实施前应向保护区管理部门报备，签订补偿协议，将渔业资源补偿费用纳入水生生物生境修复和渔业资源恢复投资。依据国家环保总局环发[2007]130号《关于开展生态补偿试点工作的指导意见》，对工程建设造成的渔业资源损失进行生态补偿，定期开展增殖放流。</w:t>
      </w:r>
    </w:p>
    <w:p>
      <w:pPr>
        <w:pStyle w:val="454"/>
        <w:ind w:firstLine="602"/>
        <w:rPr>
          <w:color w:val="auto"/>
          <w:lang w:val="en-US"/>
        </w:rPr>
      </w:pPr>
      <w:bookmarkStart w:id="247" w:name="_Toc105949366"/>
      <w:bookmarkStart w:id="248" w:name="_Toc68716894"/>
      <w:bookmarkStart w:id="249" w:name="_Toc62388143"/>
      <w:bookmarkStart w:id="250" w:name="_Toc106098831"/>
      <w:r>
        <w:rPr>
          <w:rFonts w:hint="eastAsia"/>
          <w:color w:val="auto"/>
          <w:lang w:val="en-US"/>
        </w:rPr>
        <w:t>保护原则</w:t>
      </w:r>
      <w:bookmarkEnd w:id="247"/>
      <w:bookmarkEnd w:id="248"/>
      <w:bookmarkEnd w:id="249"/>
      <w:bookmarkEnd w:id="250"/>
    </w:p>
    <w:p>
      <w:pPr>
        <w:ind w:firstLine="480"/>
      </w:pPr>
      <w:r>
        <w:t>（1）以《岳阳港总体规划（2017-2035年）环境影响报告书》及审查意见为指导，落实《岳阳港总体规划（2017-2035年）环境影响报告书》及审查意见中对生态环境保护的要求和措施。</w:t>
      </w:r>
    </w:p>
    <w:p>
      <w:pPr>
        <w:ind w:firstLine="480"/>
      </w:pPr>
      <w:r>
        <w:t>（2）提高生态设计理念，优化施工方案及施工方式，合理施工时序和工法，选择生物多样性破坏小的设计和施工方案。控制施工时段以避让鱼类产卵繁殖季节。</w:t>
      </w:r>
    </w:p>
    <w:p>
      <w:pPr>
        <w:ind w:firstLine="480"/>
      </w:pPr>
      <w:r>
        <w:t>（3）施工前驱鱼作业，开展生态监测，落实增殖放流计划，人工营造适宜鱼类繁殖的生境，做好生态和渔业恢复及补偿工作，实施生态修复工程。</w:t>
      </w:r>
    </w:p>
    <w:p>
      <w:pPr>
        <w:ind w:firstLine="480"/>
      </w:pPr>
      <w:r>
        <w:t>（4）保护生态系统完整性，工程施工不得破坏生态系统的完整性，禁止任何非法侵占和分割水面的行为。对影响生态保护的临时施工装置、建筑垃圾应当及时清除。</w:t>
      </w:r>
    </w:p>
    <w:p>
      <w:pPr>
        <w:ind w:firstLine="480"/>
      </w:pPr>
      <w:r>
        <w:t>（5）执行长江禁渔制度。加强长江禁捕，保护区渔业水域生态环境监测工作，关注区域生境变化及生态系统整体性变化。</w:t>
      </w:r>
    </w:p>
    <w:p>
      <w:pPr>
        <w:ind w:firstLine="480"/>
      </w:pPr>
      <w:r>
        <w:t>（6）加强保护宣传教育力度。保护区周边的施工场地设立标牌，加强施工人员和游客的管理和教育，提高生态环境保护意识，并向施工人员及周边群众发放渔业资源的宣传材料。</w:t>
      </w:r>
    </w:p>
    <w:p>
      <w:pPr>
        <w:pStyle w:val="454"/>
        <w:ind w:firstLine="602"/>
        <w:rPr>
          <w:color w:val="auto"/>
          <w:lang w:val="en-US"/>
        </w:rPr>
      </w:pPr>
      <w:bookmarkStart w:id="251" w:name="_Toc105949368"/>
      <w:bookmarkStart w:id="252" w:name="_Toc62388144"/>
      <w:bookmarkStart w:id="253" w:name="_Toc106098833"/>
      <w:bookmarkStart w:id="254" w:name="_Toc68716896"/>
      <w:r>
        <w:rPr>
          <w:rFonts w:hint="eastAsia"/>
          <w:color w:val="auto"/>
          <w:lang w:val="en-US"/>
        </w:rPr>
        <w:t>水环境保护措施</w:t>
      </w:r>
      <w:bookmarkEnd w:id="251"/>
      <w:bookmarkEnd w:id="252"/>
      <w:bookmarkEnd w:id="253"/>
      <w:bookmarkEnd w:id="254"/>
    </w:p>
    <w:p>
      <w:pPr>
        <w:pStyle w:val="456"/>
        <w:ind w:firstLine="482"/>
        <w:rPr>
          <w:lang w:val="en-US"/>
        </w:rPr>
      </w:pPr>
      <w:bookmarkStart w:id="255" w:name="_Toc106098834"/>
      <w:bookmarkStart w:id="256" w:name="_Toc68716897"/>
      <w:r>
        <w:rPr>
          <w:rFonts w:hint="eastAsia"/>
          <w:lang w:val="en-US"/>
        </w:rPr>
        <w:t xml:space="preserve"> 施工期保护措施</w:t>
      </w:r>
      <w:bookmarkEnd w:id="255"/>
      <w:bookmarkEnd w:id="256"/>
    </w:p>
    <w:p>
      <w:pPr>
        <w:ind w:firstLine="482"/>
        <w:rPr>
          <w:b/>
        </w:rPr>
      </w:pPr>
      <w:r>
        <w:rPr>
          <w:b/>
        </w:rPr>
        <w:t>1、生产废水</w:t>
      </w:r>
    </w:p>
    <w:p>
      <w:pPr>
        <w:ind w:firstLine="480"/>
      </w:pPr>
      <w:r>
        <w:t>（1）施工期水下施工应合理安排施工进度，最大限度地控制水下施工作业对底泥的搅动范围和强度，减少悬浮泥砂的产生量。滩地钻孔灌注桩施工时在泥浆池四周设置围堰，在溢流口设置土工布，泥浆池设置雨天遮盖装置，该措施的落实可防止钻孔施工时因降雨而产生的悬浮泥沙对长江水体的污染影响。</w:t>
      </w:r>
    </w:p>
    <w:p>
      <w:pPr>
        <w:ind w:firstLine="480"/>
      </w:pPr>
      <w:r>
        <w:t>（2）施工场地设置于后方堆场，远离江边滩地，确保含有害物质的建筑材料（如施工水泥）远离水边，各类建筑材料设防雨、遮雨设施。</w:t>
      </w:r>
    </w:p>
    <w:p>
      <w:pPr>
        <w:ind w:firstLine="480"/>
      </w:pPr>
      <w:r>
        <w:t>（3）施工现场应建立临时排水体系和临时污水收集系统，使施工废水有序排放。临时污水收集系统采用沉淀法处理，对含悬浮物较高的废水处理率达85%左右，可加入混凝剂进行混凝沉淀，SS去除率可达到90%以上，沉淀后用于施工现场抑尘洒水及砂石料冲洗。</w:t>
      </w:r>
    </w:p>
    <w:p>
      <w:pPr>
        <w:adjustRightInd w:val="0"/>
        <w:snapToGrid w:val="0"/>
        <w:ind w:firstLine="482"/>
        <w:rPr>
          <w:b/>
        </w:rPr>
      </w:pPr>
      <w:r>
        <w:rPr>
          <w:b/>
        </w:rPr>
        <w:t>2、生活污水</w:t>
      </w:r>
    </w:p>
    <w:p>
      <w:pPr>
        <w:adjustRightInd w:val="0"/>
        <w:snapToGrid w:val="0"/>
        <w:ind w:firstLine="480"/>
      </w:pPr>
      <w:r>
        <w:t>施工人员应充分利用岸上附近现有卫生间，生活污水禁止排入长江。</w:t>
      </w:r>
    </w:p>
    <w:p>
      <w:pPr>
        <w:pStyle w:val="456"/>
        <w:ind w:firstLine="482"/>
        <w:rPr>
          <w:lang w:val="en-US"/>
        </w:rPr>
      </w:pPr>
      <w:bookmarkStart w:id="257" w:name="_Toc68716898"/>
      <w:bookmarkStart w:id="258" w:name="_Toc106098835"/>
      <w:r>
        <w:rPr>
          <w:rFonts w:hint="eastAsia"/>
          <w:lang w:val="en-US"/>
        </w:rPr>
        <w:t>营运期保护措施</w:t>
      </w:r>
      <w:bookmarkEnd w:id="257"/>
      <w:bookmarkEnd w:id="258"/>
    </w:p>
    <w:p>
      <w:pPr>
        <w:keepNext w:val="0"/>
        <w:keepLines w:val="0"/>
        <w:widowControl/>
        <w:suppressLineNumbers w:val="0"/>
        <w:jc w:val="left"/>
      </w:pPr>
      <w:r>
        <w:t>港区采用雨、污水分流制度。</w:t>
      </w:r>
      <w:r>
        <w:rPr>
          <w:rFonts w:eastAsiaTheme="minorEastAsia"/>
        </w:rPr>
        <w:t>本工程</w:t>
      </w:r>
      <w:r>
        <w:rPr>
          <w:rFonts w:hint="eastAsia" w:eastAsiaTheme="minorEastAsia"/>
        </w:rPr>
        <w:t>产生的</w:t>
      </w:r>
      <w:r>
        <w:rPr>
          <w:rFonts w:eastAsiaTheme="minorEastAsia"/>
        </w:rPr>
        <w:t>污水主要为码头面平台初期雨、冲洗废水以及转运站的冲洗污水。码头面设置冲洗污水以及初期雨水收集池，收集池内设置排污泵，定期将污水输</w:t>
      </w:r>
      <w:r>
        <w:rPr>
          <w:rFonts w:hint="eastAsia" w:eastAsiaTheme="minorEastAsia"/>
        </w:rPr>
        <w:t>送至后方陆域污水处理设备进行处理。</w:t>
      </w:r>
      <w:r>
        <w:rPr>
          <w:rFonts w:hint="eastAsia" w:eastAsiaTheme="minorEastAsia"/>
          <w:lang w:val="en-US" w:eastAsia="zh-CN"/>
        </w:rPr>
        <w:t>到港船舶生活污水和油污水</w:t>
      </w:r>
      <w:r>
        <w:rPr>
          <w:rFonts w:hint="eastAsia" w:ascii="Times New Roman" w:hAnsi="Times New Roman" w:cs="Times New Roman" w:eastAsiaTheme="minorEastAsia"/>
          <w:kern w:val="2"/>
          <w:sz w:val="24"/>
          <w:szCs w:val="24"/>
          <w:lang w:val="en-US" w:eastAsia="zh-CN" w:bidi="ar"/>
        </w:rPr>
        <w:t>上岸进入港区专用储存池，再定期送往有处理资质的船舶油污水处理站进行处理。</w:t>
      </w:r>
    </w:p>
    <w:p>
      <w:pPr>
        <w:ind w:firstLine="480"/>
        <w:rPr>
          <w:rFonts w:eastAsiaTheme="minorEastAsia"/>
        </w:rPr>
      </w:pPr>
      <w:r>
        <w:rPr>
          <w:rFonts w:hint="eastAsia" w:eastAsiaTheme="minorEastAsia"/>
          <w:lang w:val="en-US" w:eastAsia="zh-CN"/>
        </w:rPr>
        <w:t>交由海事环保船接受处理</w:t>
      </w:r>
      <w:r>
        <w:rPr>
          <w:rFonts w:eastAsiaTheme="minorEastAsia"/>
        </w:rPr>
        <w:t>。</w:t>
      </w:r>
    </w:p>
    <w:p>
      <w:pPr>
        <w:ind w:firstLine="480"/>
        <w:rPr>
          <w:rFonts w:eastAsiaTheme="minorEastAsia"/>
        </w:rPr>
      </w:pPr>
      <w:r>
        <w:t>（1）</w:t>
      </w:r>
      <w:r>
        <w:rPr>
          <w:rFonts w:eastAsiaTheme="minorEastAsia"/>
        </w:rPr>
        <w:t>冲洗污水以及初期雨水：排水明沟、排水管道→污水收集池→潜水排污泵→陆域污水处理设备。</w:t>
      </w:r>
    </w:p>
    <w:p>
      <w:pPr>
        <w:ind w:firstLine="480"/>
        <w:rPr>
          <w:rFonts w:eastAsiaTheme="minorEastAsia"/>
        </w:rPr>
      </w:pPr>
      <w:r>
        <w:rPr>
          <w:rFonts w:eastAsiaTheme="minorEastAsia"/>
        </w:rPr>
        <w:t>（2）到港船舶油污水</w:t>
      </w:r>
      <w:r>
        <w:rPr>
          <w:rFonts w:hint="eastAsia" w:eastAsiaTheme="minorEastAsia"/>
          <w:lang w:val="en-US" w:eastAsia="zh-CN"/>
        </w:rPr>
        <w:t>和船舶生活污水</w:t>
      </w:r>
      <w:r>
        <w:rPr>
          <w:rFonts w:eastAsiaTheme="minorEastAsia"/>
        </w:rPr>
        <w:t>：</w:t>
      </w:r>
      <w:r>
        <w:rPr>
          <w:rFonts w:hint="eastAsia" w:eastAsiaTheme="minorEastAsia"/>
          <w:lang w:val="en-US" w:eastAsia="zh-CN"/>
        </w:rPr>
        <w:t>到港船舶生活污水和油污水</w:t>
      </w:r>
      <w:r>
        <w:rPr>
          <w:rFonts w:hint="eastAsia" w:ascii="Times New Roman" w:hAnsi="Times New Roman" w:cs="Times New Roman" w:eastAsiaTheme="minorEastAsia"/>
          <w:kern w:val="2"/>
          <w:sz w:val="24"/>
          <w:szCs w:val="24"/>
          <w:lang w:val="en-US" w:eastAsia="zh-CN" w:bidi="ar"/>
        </w:rPr>
        <w:t>上岸进入港区专用储存池，再定期送往有处理资质的船舶油污水处理站进行处理。</w:t>
      </w:r>
    </w:p>
    <w:p>
      <w:pPr>
        <w:ind w:firstLine="480"/>
        <w:rPr>
          <w:rFonts w:eastAsiaTheme="minorEastAsia"/>
          <w:color w:val="0000FF"/>
        </w:rPr>
      </w:pPr>
      <w:r>
        <w:rPr>
          <w:rFonts w:eastAsiaTheme="minorEastAsia"/>
        </w:rPr>
        <w:t>（3）</w:t>
      </w:r>
      <w:r>
        <w:rPr>
          <w:rFonts w:eastAsiaTheme="minorEastAsia"/>
          <w:color w:val="000000" w:themeColor="text1"/>
          <w14:textFill>
            <w14:solidFill>
              <w14:schemeClr w14:val="tx1"/>
            </w14:solidFill>
          </w14:textFill>
        </w:rPr>
        <w:t>生活污水：</w:t>
      </w:r>
      <w:r>
        <w:rPr>
          <w:rFonts w:hint="eastAsia" w:eastAsiaTheme="minorEastAsia"/>
          <w:color w:val="000000" w:themeColor="text1"/>
          <w14:textFill>
            <w14:solidFill>
              <w14:schemeClr w14:val="tx1"/>
            </w14:solidFill>
          </w14:textFill>
        </w:rPr>
        <w:t>化粪池</w:t>
      </w:r>
      <w:r>
        <w:rPr>
          <w:rFonts w:eastAsiaTheme="minorEastAsia"/>
          <w:color w:val="000000" w:themeColor="text1"/>
          <w14:textFill>
            <w14:solidFill>
              <w14:schemeClr w14:val="tx1"/>
            </w14:solidFill>
          </w14:textFill>
        </w:rPr>
        <w:t>→</w:t>
      </w:r>
      <w:r>
        <w:rPr>
          <w:rFonts w:hint="eastAsia" w:eastAsiaTheme="minorEastAsia"/>
          <w:color w:val="000000" w:themeColor="text1"/>
          <w14:textFill>
            <w14:solidFill>
              <w14:schemeClr w14:val="tx1"/>
            </w14:solidFill>
          </w14:textFill>
        </w:rPr>
        <w:t>市政管网</w:t>
      </w:r>
      <w:r>
        <w:rPr>
          <w:rFonts w:eastAsiaTheme="minorEastAsia"/>
          <w:color w:val="000000" w:themeColor="text1"/>
          <w14:textFill>
            <w14:solidFill>
              <w14:schemeClr w14:val="tx1"/>
            </w14:solidFill>
          </w14:textFill>
        </w:rPr>
        <w:t>→</w:t>
      </w:r>
      <w:r>
        <w:rPr>
          <w:rFonts w:hint="eastAsia" w:eastAsiaTheme="minorEastAsia"/>
          <w:color w:val="000000" w:themeColor="text1"/>
          <w14:textFill>
            <w14:solidFill>
              <w14:schemeClr w14:val="tx1"/>
            </w14:solidFill>
          </w14:textFill>
        </w:rPr>
        <w:t>污水处理厂</w:t>
      </w:r>
      <w:r>
        <w:rPr>
          <w:rFonts w:eastAsiaTheme="minorEastAsia"/>
          <w:color w:val="000000" w:themeColor="text1"/>
          <w14:textFill>
            <w14:solidFill>
              <w14:schemeClr w14:val="tx1"/>
            </w14:solidFill>
          </w14:textFill>
        </w:rPr>
        <w:t>。</w:t>
      </w:r>
    </w:p>
    <w:p>
      <w:pPr>
        <w:pStyle w:val="454"/>
        <w:ind w:firstLine="602"/>
        <w:rPr>
          <w:color w:val="auto"/>
          <w:lang w:val="en-US"/>
        </w:rPr>
      </w:pPr>
      <w:bookmarkStart w:id="259" w:name="_Toc106098836"/>
      <w:bookmarkStart w:id="260" w:name="_Toc68716899"/>
      <w:bookmarkStart w:id="261" w:name="_Toc62388145"/>
      <w:bookmarkStart w:id="262" w:name="_Toc105949369"/>
      <w:r>
        <w:rPr>
          <w:rFonts w:hint="eastAsia"/>
          <w:color w:val="auto"/>
          <w:lang w:val="en-US"/>
        </w:rPr>
        <w:t>环境噪声控制措施</w:t>
      </w:r>
      <w:bookmarkEnd w:id="259"/>
      <w:bookmarkEnd w:id="260"/>
      <w:bookmarkEnd w:id="261"/>
      <w:bookmarkEnd w:id="262"/>
    </w:p>
    <w:p>
      <w:pPr>
        <w:adjustRightInd w:val="0"/>
        <w:snapToGrid w:val="0"/>
        <w:ind w:firstLine="480"/>
      </w:pPr>
      <w:r>
        <w:t>施工期尽量选取低噪声、低振动的施工机械和运输车辆，加强机械、车辆的日常维修保养，使其保持良好状态，避免超过正常噪声运转。对高噪声设备，应在其附近加设可移动的简单围障，以降低其噪音影响。</w:t>
      </w:r>
      <w:r>
        <w:rPr>
          <w:kern w:val="0"/>
        </w:rPr>
        <w:t>为了缓解打桩噪声对水生动物的影响，可以用气泡幕或桩体套筒对打桩噪声进行隔离。</w:t>
      </w:r>
    </w:p>
    <w:p>
      <w:pPr>
        <w:adjustRightInd w:val="0"/>
        <w:snapToGrid w:val="0"/>
        <w:spacing w:line="348" w:lineRule="auto"/>
        <w:ind w:firstLine="480"/>
        <w:rPr>
          <w:rFonts w:eastAsiaTheme="minorEastAsia"/>
        </w:rPr>
      </w:pPr>
      <w:r>
        <w:t>营运期的噪声主要是货物装卸、通航船舶噪声及振动，应定期保养船只，减少发动机噪声污染。</w:t>
      </w:r>
    </w:p>
    <w:p>
      <w:pPr>
        <w:pStyle w:val="454"/>
        <w:ind w:firstLine="602"/>
        <w:rPr>
          <w:color w:val="auto"/>
          <w:lang w:val="en-US"/>
        </w:rPr>
      </w:pPr>
      <w:bookmarkStart w:id="263" w:name="_Toc62388146"/>
      <w:bookmarkStart w:id="264" w:name="_Toc106098837"/>
      <w:bookmarkStart w:id="265" w:name="_Toc68716900"/>
      <w:bookmarkStart w:id="266" w:name="_Toc105949370"/>
      <w:r>
        <w:rPr>
          <w:rFonts w:hint="eastAsia"/>
          <w:color w:val="auto"/>
          <w:lang w:val="en-US"/>
        </w:rPr>
        <w:t>废气影响防治措施</w:t>
      </w:r>
      <w:bookmarkEnd w:id="263"/>
      <w:bookmarkEnd w:id="264"/>
      <w:bookmarkEnd w:id="265"/>
      <w:bookmarkEnd w:id="266"/>
    </w:p>
    <w:p>
      <w:pPr>
        <w:adjustRightInd w:val="0"/>
        <w:snapToGrid w:val="0"/>
        <w:spacing w:line="348" w:lineRule="auto"/>
        <w:ind w:firstLine="480"/>
        <w:rPr>
          <w:rFonts w:eastAsiaTheme="minorEastAsia"/>
        </w:rPr>
      </w:pPr>
      <w:r>
        <w:rPr>
          <w:rFonts w:eastAsiaTheme="minorEastAsia"/>
        </w:rPr>
        <w:t>（1）进场前应加强施工车辆检测管理工作，对于未达到排放标准或未取得营运资格的应禁止入场；施工期加强施工机械的维护和保养，减少废气污染。施工区域尽量利用当地民用电力设施，减少柴油发电机废气排放。禁止在施工现场焚烧有毒、有害和有恶臭气味的物质。</w:t>
      </w:r>
    </w:p>
    <w:p>
      <w:pPr>
        <w:adjustRightInd w:val="0"/>
        <w:snapToGrid w:val="0"/>
        <w:spacing w:line="348" w:lineRule="auto"/>
        <w:ind w:firstLine="480"/>
        <w:rPr>
          <w:rFonts w:eastAsiaTheme="minorEastAsia"/>
        </w:rPr>
      </w:pPr>
      <w:r>
        <w:rPr>
          <w:rFonts w:eastAsiaTheme="minorEastAsia"/>
        </w:rPr>
        <w:t>（2）施工期，对装载建筑垃圾、砂石料及土方的车辆应密闭或遮盖帆布，避免沿途抛洒。营运期，货物装卸必须确保货物密闭，避免运输货物扬尘对保护区产生不利影响。</w:t>
      </w:r>
    </w:p>
    <w:p>
      <w:pPr>
        <w:adjustRightInd w:val="0"/>
        <w:snapToGrid w:val="0"/>
        <w:spacing w:line="348" w:lineRule="auto"/>
        <w:ind w:firstLine="480"/>
        <w:rPr>
          <w:rFonts w:eastAsiaTheme="minorEastAsia"/>
        </w:rPr>
      </w:pPr>
      <w:r>
        <w:rPr>
          <w:rFonts w:eastAsiaTheme="minorEastAsia"/>
        </w:rPr>
        <w:t>（3）营运期，装卸船机等港机设备配备干雾抑尘系统；码头前沿及道路配备扫洗车洒水降尘。整个港区环保措施到位后，不会产生大量粉尘污染以及雨水径流污染，较为环保。</w:t>
      </w:r>
    </w:p>
    <w:p>
      <w:pPr>
        <w:pStyle w:val="454"/>
        <w:ind w:firstLine="602"/>
        <w:rPr>
          <w:color w:val="auto"/>
          <w:lang w:val="en-US"/>
        </w:rPr>
      </w:pPr>
      <w:bookmarkStart w:id="267" w:name="_Toc106098838"/>
      <w:bookmarkStart w:id="268" w:name="_Toc68716901"/>
      <w:bookmarkStart w:id="269" w:name="_Toc62388147"/>
      <w:bookmarkStart w:id="270" w:name="_Toc105949371"/>
      <w:r>
        <w:rPr>
          <w:rFonts w:hint="eastAsia"/>
          <w:color w:val="auto"/>
          <w:lang w:val="en-US"/>
        </w:rPr>
        <w:t>固体废物处理处置措施</w:t>
      </w:r>
      <w:bookmarkEnd w:id="267"/>
      <w:bookmarkEnd w:id="268"/>
      <w:bookmarkEnd w:id="269"/>
      <w:bookmarkEnd w:id="270"/>
    </w:p>
    <w:p>
      <w:pPr>
        <w:ind w:firstLine="480"/>
      </w:pPr>
      <w:r>
        <w:t>（1）施工区配备垃圾桶，</w:t>
      </w:r>
      <w:r>
        <w:rPr>
          <w:rFonts w:eastAsiaTheme="minorEastAsia"/>
        </w:rPr>
        <w:t>施工人员的生活垃圾、施工物料垃圾等尽量分类收集，废弃物应在施工中尽量回收利用，</w:t>
      </w:r>
      <w:r>
        <w:t>设置临时垃圾集中堆放场地，施工期生产、生活垃圾定期清运至附近垃圾处理场处置。</w:t>
      </w:r>
    </w:p>
    <w:p>
      <w:pPr>
        <w:ind w:firstLine="480"/>
      </w:pPr>
      <w:r>
        <w:t>（2）桩基施工产生的钻渣必须上岸进行干化处置，钻孔泥浆应循环利用。</w:t>
      </w:r>
    </w:p>
    <w:p>
      <w:pPr>
        <w:ind w:firstLine="480"/>
      </w:pPr>
      <w:r>
        <w:t>（3）船舶固体废物由专门船舶污染物接收船接收处理，确需在停靠点周边排放时，经由垃圾清运车收集后送至城市垃圾处理场。</w:t>
      </w:r>
    </w:p>
    <w:p>
      <w:pPr>
        <w:ind w:firstLine="480"/>
      </w:pPr>
      <w:r>
        <w:t>（4）抛泥区应设置在保护区以外。</w:t>
      </w:r>
    </w:p>
    <w:p>
      <w:pPr>
        <w:pStyle w:val="454"/>
        <w:ind w:firstLine="602"/>
        <w:rPr>
          <w:color w:val="auto"/>
          <w:lang w:val="en-US"/>
        </w:rPr>
      </w:pPr>
      <w:bookmarkStart w:id="271" w:name="_Toc106098839"/>
      <w:bookmarkStart w:id="272" w:name="_Toc68716902"/>
      <w:bookmarkStart w:id="273" w:name="_Toc62388148"/>
      <w:bookmarkStart w:id="274" w:name="_Toc105949372"/>
      <w:r>
        <w:rPr>
          <w:rFonts w:hint="eastAsia"/>
          <w:color w:val="auto"/>
          <w:lang w:val="en-US"/>
        </w:rPr>
        <w:t>保护区水生态保护措施</w:t>
      </w:r>
      <w:bookmarkEnd w:id="271"/>
      <w:bookmarkEnd w:id="272"/>
      <w:bookmarkEnd w:id="273"/>
      <w:bookmarkEnd w:id="274"/>
    </w:p>
    <w:p>
      <w:pPr>
        <w:pStyle w:val="456"/>
        <w:ind w:firstLine="482"/>
        <w:rPr>
          <w:lang w:val="en-US"/>
        </w:rPr>
      </w:pPr>
      <w:bookmarkStart w:id="275" w:name="_Toc106098840"/>
      <w:bookmarkStart w:id="276" w:name="_Toc68716903"/>
      <w:r>
        <w:rPr>
          <w:rFonts w:hint="eastAsia"/>
          <w:lang w:val="en-US"/>
        </w:rPr>
        <w:t>避让措施</w:t>
      </w:r>
      <w:bookmarkEnd w:id="275"/>
      <w:bookmarkEnd w:id="276"/>
    </w:p>
    <w:p>
      <w:pPr>
        <w:ind w:firstLine="480"/>
      </w:pPr>
      <w:r>
        <w:t>《岳阳港总体规划（2017-2035年）环境影响报告书》中有关水生生物的措施中提出，优化施工方案；</w:t>
      </w:r>
      <w:r>
        <w:rPr>
          <w:rFonts w:hint="eastAsia" w:ascii="宋体" w:hAnsi="宋体" w:cs="宋体"/>
        </w:rPr>
        <w:t>①</w:t>
      </w:r>
      <w:r>
        <w:t>应尽可能优化施工布置，控制施工占地，减少对工程地区现有土地的占压和破坏；</w:t>
      </w:r>
      <w:r>
        <w:rPr>
          <w:rFonts w:hint="eastAsia" w:ascii="宋体" w:hAnsi="宋体" w:cs="宋体"/>
        </w:rPr>
        <w:t>②</w:t>
      </w:r>
      <w:r>
        <w:t>应合理安排施工进度和施工期，涉水施工需避开鱼类繁殖期。本项目保护及补偿措施与之相符。</w:t>
      </w:r>
    </w:p>
    <w:p>
      <w:pPr>
        <w:ind w:firstLine="480"/>
      </w:pPr>
      <w:bookmarkStart w:id="277" w:name="_Hlk68383320"/>
      <w:r>
        <w:t>本工程经比选选择占地少较少的工程方案</w:t>
      </w:r>
      <w:r>
        <w:rPr>
          <w:rFonts w:eastAsiaTheme="minorEastAsia"/>
        </w:rPr>
        <w:t>，已进行优化。</w:t>
      </w:r>
    </w:p>
    <w:bookmarkEnd w:id="277"/>
    <w:p>
      <w:pPr>
        <w:ind w:firstLine="480"/>
      </w:pPr>
      <w:r>
        <w:t>根据可研报告工程施工计划，本项目总工期为</w:t>
      </w:r>
      <w:r>
        <w:rPr>
          <w:rFonts w:hint="eastAsia"/>
          <w:lang w:val="en-US" w:eastAsia="zh-CN"/>
        </w:rPr>
        <w:t>24</w:t>
      </w:r>
      <w:r>
        <w:t>个月。工程所在江段豚类繁殖季节为4~6月</w:t>
      </w:r>
      <w:r>
        <w:rPr>
          <w:snapToGrid w:val="0"/>
          <w:kern w:val="0"/>
        </w:rPr>
        <w:t>，</w:t>
      </w:r>
      <w:r>
        <w:t>中华鲟</w:t>
      </w:r>
      <w:r>
        <w:rPr>
          <w:snapToGrid w:val="0"/>
          <w:kern w:val="0"/>
        </w:rPr>
        <w:t>幼鲟4~7月左右经过长江湖南、湖北段，</w:t>
      </w:r>
      <w:r>
        <w:t>本工程施工时间与部分鱼类的繁殖期是重叠的，需对施工安排进行优化，合理调整工程施工方案，具体避让方案如下：</w:t>
      </w:r>
    </w:p>
    <w:p>
      <w:pPr>
        <w:ind w:firstLine="480"/>
      </w:pPr>
      <w:r>
        <w:t>（1）业主单位应设定专人负责处理工程施工单位与环境保护目标（水生生态系统）之间发生的环境问题，监督在施工期间各种环境保护措施的实施情况，并且要求施工单位至少有一名主要行政领导负责环境保护工作，以配合业主共同落实各项环保措施。</w:t>
      </w:r>
    </w:p>
    <w:p>
      <w:pPr>
        <w:ind w:firstLine="480"/>
      </w:pPr>
      <w:r>
        <w:t>（2）工程所在河段是产漂流性卵鱼类的繁殖场所，亲鱼繁殖、产卵及苗种洄游的时期主要集中于每年的4~7月，同时豚类繁殖季节为4~6月</w:t>
      </w:r>
      <w:r>
        <w:rPr>
          <w:snapToGrid w:val="0"/>
          <w:kern w:val="0"/>
        </w:rPr>
        <w:t>，</w:t>
      </w:r>
      <w:r>
        <w:t>中华鲟</w:t>
      </w:r>
      <w:r>
        <w:rPr>
          <w:snapToGrid w:val="0"/>
          <w:kern w:val="0"/>
        </w:rPr>
        <w:t>幼鲟4~7月左右经过长江湖南、湖北段，</w:t>
      </w:r>
      <w:r>
        <w:t>港池疏浚、打桩、抛石护桩等涉水施工对鱼类有一定影响，所以应严禁在4~7月进行水下施工作业，避开鱼类繁殖和洄游的主汛期。疏浚施工工期为1.5个月，时间安排在枯水期2~3月进行。</w:t>
      </w:r>
      <w:r>
        <w:rPr>
          <w:spacing w:val="-1"/>
        </w:rPr>
        <w:t>引桥大部分在边滩上，位于</w:t>
      </w:r>
      <w:r>
        <w:t>19.7m的施工水位以上，枯水期至常水位即10月至次年4月边滩完全露出水面，引桥及其桩基可干岸施工；而码头桩基水下施工时间则可缩短为4个月，具体为9月至次年1月。</w:t>
      </w:r>
    </w:p>
    <w:p>
      <w:pPr>
        <w:ind w:firstLine="480"/>
      </w:pPr>
      <w:r>
        <w:t>（3）桩基以上设施如引桥、平面等设施施工不受鱼类繁殖期限制，可按计划方案施工。但繁殖季节（4~7月）陆域施工产生的噪声可能对鱼类有干扰，应规定繁殖季节陆域施工装载机、铲土机等产生较大噪音的施工应尽量避开清晨和江水大幅上涨时段，实在无法避免的应通过采取措施减少冲量、能量向水中的传播。</w:t>
      </w:r>
    </w:p>
    <w:p>
      <w:pPr>
        <w:ind w:firstLine="480"/>
      </w:pPr>
      <w:r>
        <w:t>（4）施工安排在枯水期很难与长江江豚活动时间避开，对长江江豚的保护主要采取施工期加强监测的措施来保护；在作业时间上进行调度：由于水下工程安排在枯水期，因此在最高设计水位线以上打桩作业在下列两种情况下施工机械不宜太多：</w:t>
      </w:r>
      <w:r>
        <w:rPr>
          <w:rFonts w:hint="eastAsia" w:ascii="宋体" w:hAnsi="宋体" w:cs="宋体"/>
        </w:rPr>
        <w:t>①</w:t>
      </w:r>
      <w:r>
        <w:t>冬季中午气温回升时，注意长江江豚在浅水沙滩觅食；</w:t>
      </w:r>
      <w:r>
        <w:rPr>
          <w:rFonts w:hint="eastAsia" w:ascii="宋体" w:hAnsi="宋体" w:cs="宋体"/>
        </w:rPr>
        <w:t>②</w:t>
      </w:r>
      <w:r>
        <w:t>初春涨水期间，警戒长江江豚来浅水沙滩或缓水边滩觅食与交配活动。</w:t>
      </w:r>
    </w:p>
    <w:p>
      <w:pPr>
        <w:ind w:firstLine="480"/>
      </w:pPr>
      <w:r>
        <w:t>（5）确保不在保护区内设置不必要的临时占地，如堆料场、拌料场等。</w:t>
      </w:r>
    </w:p>
    <w:p>
      <w:pPr>
        <w:pStyle w:val="456"/>
        <w:ind w:firstLine="482"/>
        <w:rPr>
          <w:lang w:val="en-US"/>
        </w:rPr>
      </w:pPr>
      <w:bookmarkStart w:id="278" w:name="_Toc68716904"/>
      <w:bookmarkStart w:id="279" w:name="_Toc106098841"/>
      <w:r>
        <w:rPr>
          <w:rFonts w:hint="eastAsia"/>
          <w:lang w:val="en-US"/>
        </w:rPr>
        <w:t>减缓措施</w:t>
      </w:r>
      <w:bookmarkEnd w:id="278"/>
      <w:bookmarkEnd w:id="279"/>
    </w:p>
    <w:p>
      <w:pPr>
        <w:ind w:firstLine="480"/>
        <w:jc w:val="left"/>
        <w:rPr>
          <w:rFonts w:eastAsiaTheme="minorEastAsia"/>
        </w:rPr>
      </w:pPr>
      <w:r>
        <w:rPr>
          <w:rFonts w:eastAsiaTheme="minorEastAsia"/>
        </w:rPr>
        <w:t>（1）施工前驱赶水生生物。</w:t>
      </w:r>
      <w:r>
        <w:rPr>
          <w:kern w:val="0"/>
        </w:rPr>
        <w:t>为减少工程施工作业对鱼类的伤害，工程开工前，应采用超声波驱鱼驱豚等技术手段，对施工区及其邻近水域进行驱赶水生生物作业，将鱼类和豚类驱离施工区。施工期可在工程区上游、下游和靠近江心侧，布设3台超声波发生器。</w:t>
      </w:r>
    </w:p>
    <w:p>
      <w:pPr>
        <w:wordWrap w:val="0"/>
        <w:ind w:firstLine="480"/>
        <w:rPr>
          <w:rFonts w:eastAsiaTheme="minorEastAsia"/>
        </w:rPr>
      </w:pPr>
      <w:r>
        <w:rPr>
          <w:rFonts w:eastAsiaTheme="minorEastAsia"/>
        </w:rPr>
        <w:t>（2）减小水下噪声。</w:t>
      </w:r>
      <w:r>
        <w:t>施工及营运期间的机械和船舶噪声应通过合理调度，减少施工船舶数量等方法加以控制。针对在水下打桩、水下钻孔等施工，建议采取气泡帷幕降噪</w:t>
      </w:r>
      <w:r>
        <w:rPr>
          <w:kern w:val="0"/>
        </w:rPr>
        <w:t>或桩体套筒</w:t>
      </w:r>
      <w:r>
        <w:t>措施，打桩时缓启动。施工及营运期间的各种设备尽量采用低噪声设备，打桩机或空压机噪声通过安装吸音结构、吸音材料和消音器处理。</w:t>
      </w:r>
    </w:p>
    <w:p>
      <w:pPr>
        <w:ind w:firstLine="480"/>
      </w:pPr>
      <w:r>
        <w:t>（3）控制到港船舶进出量。已有研究表明，长江江豚对船舶噪声有主动躲避行为，比如，船舶出现与江豚出现存在负相关关系，在船舶航行轨迹的0~50m垂直距离范围内，通常难以观察到江豚，而在50~100m范围内却能观察到江豚。尽管长江江豚能主动避船，但在某些特殊情形下，仍容易被航行船舶伤害，比如在捕食时，江豚容易不理会船舶靠近；在相对狭窄的水道内，高速船舶突然接近时，</w:t>
      </w:r>
      <w:r>
        <w:rPr>
          <w:rFonts w:hint="eastAsia"/>
          <w:lang w:val="en-US" w:eastAsia="zh-CN"/>
        </w:rPr>
        <w:t>长江</w:t>
      </w:r>
      <w:r>
        <w:t>江豚无处躲避或难以在短时间内逃离到安全距离之外。到港船舶航行过程中要求速度不大于4km，船速较慢，此处水域面积宽广，且各船舶安排专门</w:t>
      </w:r>
      <w:r>
        <w:rPr>
          <w:rFonts w:hint="eastAsia"/>
          <w:lang w:val="en-US" w:eastAsia="zh-CN"/>
        </w:rPr>
        <w:t>长江</w:t>
      </w:r>
      <w:r>
        <w:t>江豚观察员，时刻关注</w:t>
      </w:r>
      <w:r>
        <w:rPr>
          <w:rFonts w:hint="eastAsia"/>
          <w:lang w:val="en-US" w:eastAsia="zh-CN"/>
        </w:rPr>
        <w:t>长江</w:t>
      </w:r>
      <w:r>
        <w:t>江豚活动。到港船舶之间的距离必须保持在200m以外，如由于到港船舶量过大而导致到港船舶之间的距离小于200m，应控制到港船舶进出量，必要的时候禁止船舶进出。</w:t>
      </w:r>
    </w:p>
    <w:p>
      <w:pPr>
        <w:ind w:firstLine="480"/>
      </w:pPr>
      <w:r>
        <w:t>（4）装卸储运采用封闭包装。码头前沿皮带机采用挡风板进行封闭，码头平台转运站为封闭结构，引桥皮带机采用防风罩进行封闭。皮带机和卸船机上均设置有干雾除尘装置，装船及卸船过程采用干雾除尘措施进行降尘处理。整个装卸过程没有扬尘撒落。</w:t>
      </w:r>
    </w:p>
    <w:p>
      <w:pPr>
        <w:ind w:firstLine="480"/>
      </w:pPr>
      <w:r>
        <w:t>干雾除尘装置由干雾机、干雾箱总成、螺杆空压机、压缩空气罐、增压泵、防腐保温水箱、干雾箱控制器、管道、传感器等组成。干雾水源由码头供水栓定点供水，经消防水缆引入机上水箱、通过干雾机内水泵、管道、空压机等干雾装置喷嘴喷射形成雾状气团，对接料料斗，给料机出料口、皮带机转载处分别喷雾压尘，起到环境保护作用。</w:t>
      </w:r>
    </w:p>
    <w:p>
      <w:pPr>
        <w:ind w:firstLine="480"/>
      </w:pPr>
      <w:r>
        <w:t>卸船机上的干雾除尘操作与抓斗的运行连锁，即抓斗运行至料斗的前上方，喷雾除尘装置提前打开；抓斗卸料完毕、离开料斗后，喷雾除尘装置延时关闭。</w:t>
      </w:r>
    </w:p>
    <w:p>
      <w:pPr>
        <w:pStyle w:val="3588"/>
        <w:numPr>
          <w:ilvl w:val="0"/>
          <w:numId w:val="0"/>
        </w:numPr>
        <w:spacing w:line="240" w:lineRule="auto"/>
      </w:pPr>
      <w:r>
        <w:rPr>
          <w:rFonts w:hint="eastAsia"/>
        </w:rPr>
        <w:t>表6-1  码</w:t>
      </w:r>
      <w:r>
        <w:t>头装卸储运防撒料措施</w:t>
      </w:r>
    </w:p>
    <w:tbl>
      <w:tblPr>
        <w:tblStyle w:val="8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52"/>
        <w:gridCol w:w="2307"/>
        <w:gridCol w:w="55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782" w:type="pct"/>
            <w:tcBorders>
              <w:bottom w:val="single" w:color="auto" w:sz="12" w:space="0"/>
            </w:tcBorders>
            <w:vAlign w:val="center"/>
          </w:tcPr>
          <w:p>
            <w:pPr>
              <w:spacing w:line="240" w:lineRule="atLeast"/>
              <w:ind w:firstLine="0" w:firstLineChars="0"/>
              <w:jc w:val="center"/>
              <w:rPr>
                <w:b/>
                <w:spacing w:val="4"/>
                <w:sz w:val="21"/>
                <w:szCs w:val="21"/>
              </w:rPr>
            </w:pPr>
            <w:r>
              <w:rPr>
                <w:b/>
                <w:spacing w:val="4"/>
                <w:sz w:val="21"/>
                <w:szCs w:val="21"/>
              </w:rPr>
              <w:t>序号</w:t>
            </w:r>
          </w:p>
        </w:tc>
        <w:tc>
          <w:tcPr>
            <w:tcW w:w="1242" w:type="pct"/>
            <w:tcBorders>
              <w:bottom w:val="single" w:color="auto" w:sz="12" w:space="0"/>
            </w:tcBorders>
            <w:shd w:val="clear" w:color="auto" w:fill="auto"/>
            <w:vAlign w:val="center"/>
          </w:tcPr>
          <w:p>
            <w:pPr>
              <w:spacing w:line="240" w:lineRule="atLeast"/>
              <w:ind w:firstLine="0" w:firstLineChars="0"/>
              <w:jc w:val="center"/>
              <w:rPr>
                <w:b/>
                <w:spacing w:val="4"/>
                <w:sz w:val="21"/>
                <w:szCs w:val="21"/>
              </w:rPr>
            </w:pPr>
            <w:r>
              <w:rPr>
                <w:b/>
                <w:spacing w:val="4"/>
                <w:sz w:val="21"/>
                <w:szCs w:val="21"/>
              </w:rPr>
              <w:t>排放源</w:t>
            </w:r>
          </w:p>
        </w:tc>
        <w:tc>
          <w:tcPr>
            <w:tcW w:w="2974" w:type="pct"/>
            <w:tcBorders>
              <w:bottom w:val="single" w:color="auto" w:sz="12" w:space="0"/>
            </w:tcBorders>
            <w:shd w:val="clear" w:color="auto" w:fill="auto"/>
            <w:vAlign w:val="center"/>
          </w:tcPr>
          <w:p>
            <w:pPr>
              <w:spacing w:line="240" w:lineRule="atLeast"/>
              <w:ind w:firstLine="0" w:firstLineChars="0"/>
              <w:jc w:val="center"/>
              <w:rPr>
                <w:b/>
                <w:sz w:val="21"/>
                <w:szCs w:val="21"/>
              </w:rPr>
            </w:pPr>
            <w:r>
              <w:rPr>
                <w:b/>
                <w:sz w:val="21"/>
                <w:szCs w:val="21"/>
              </w:rPr>
              <w:t>防治措施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782" w:type="pct"/>
            <w:tcBorders>
              <w:top w:val="single" w:color="auto" w:sz="12" w:space="0"/>
              <w:tl2br w:val="nil"/>
              <w:tr2bl w:val="nil"/>
            </w:tcBorders>
            <w:vAlign w:val="center"/>
          </w:tcPr>
          <w:p>
            <w:pPr>
              <w:spacing w:line="240" w:lineRule="atLeast"/>
              <w:ind w:firstLine="0" w:firstLineChars="0"/>
              <w:jc w:val="center"/>
              <w:rPr>
                <w:b/>
                <w:spacing w:val="4"/>
                <w:sz w:val="21"/>
                <w:szCs w:val="21"/>
              </w:rPr>
            </w:pPr>
            <w:r>
              <w:rPr>
                <w:sz w:val="21"/>
                <w:szCs w:val="21"/>
              </w:rPr>
              <w:t>1</w:t>
            </w:r>
          </w:p>
        </w:tc>
        <w:tc>
          <w:tcPr>
            <w:tcW w:w="1242" w:type="pct"/>
            <w:tcBorders>
              <w:top w:val="single" w:color="auto" w:sz="12" w:space="0"/>
              <w:tl2br w:val="nil"/>
              <w:tr2bl w:val="nil"/>
            </w:tcBorders>
            <w:shd w:val="clear" w:color="auto" w:fill="auto"/>
            <w:vAlign w:val="center"/>
          </w:tcPr>
          <w:p>
            <w:pPr>
              <w:spacing w:line="240" w:lineRule="atLeast"/>
              <w:ind w:firstLine="0" w:firstLineChars="0"/>
              <w:jc w:val="center"/>
              <w:rPr>
                <w:spacing w:val="4"/>
                <w:sz w:val="21"/>
                <w:szCs w:val="21"/>
              </w:rPr>
            </w:pPr>
            <w:r>
              <w:rPr>
                <w:spacing w:val="4"/>
                <w:sz w:val="21"/>
                <w:szCs w:val="21"/>
              </w:rPr>
              <w:t>卸船机</w:t>
            </w:r>
          </w:p>
        </w:tc>
        <w:tc>
          <w:tcPr>
            <w:tcW w:w="2974" w:type="pct"/>
            <w:tcBorders>
              <w:top w:val="single" w:color="auto" w:sz="12" w:space="0"/>
              <w:tl2br w:val="nil"/>
              <w:tr2bl w:val="nil"/>
            </w:tcBorders>
            <w:shd w:val="clear" w:color="auto" w:fill="auto"/>
            <w:vAlign w:val="center"/>
          </w:tcPr>
          <w:p>
            <w:pPr>
              <w:spacing w:line="240" w:lineRule="atLeast"/>
              <w:ind w:firstLine="0" w:firstLineChars="0"/>
              <w:jc w:val="center"/>
              <w:rPr>
                <w:sz w:val="21"/>
                <w:szCs w:val="21"/>
              </w:rPr>
            </w:pPr>
            <w:r>
              <w:rPr>
                <w:sz w:val="21"/>
                <w:szCs w:val="21"/>
              </w:rPr>
              <w:t>设撒料回收挡板；设置干雾除尘装置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782" w:type="pct"/>
            <w:tcBorders>
              <w:tl2br w:val="nil"/>
              <w:tr2bl w:val="nil"/>
            </w:tcBorders>
            <w:vAlign w:val="center"/>
          </w:tcPr>
          <w:p>
            <w:pPr>
              <w:spacing w:line="240" w:lineRule="atLeast"/>
              <w:ind w:firstLine="0" w:firstLineChars="0"/>
              <w:jc w:val="center"/>
              <w:rPr>
                <w:sz w:val="21"/>
                <w:szCs w:val="21"/>
              </w:rPr>
            </w:pPr>
            <w:bookmarkStart w:id="280" w:name="_Toc68716905"/>
            <w:r>
              <w:rPr>
                <w:sz w:val="21"/>
                <w:szCs w:val="21"/>
              </w:rPr>
              <w:t>2</w:t>
            </w:r>
            <w:bookmarkEnd w:id="280"/>
          </w:p>
        </w:tc>
        <w:tc>
          <w:tcPr>
            <w:tcW w:w="1242" w:type="pct"/>
            <w:tcBorders>
              <w:tl2br w:val="nil"/>
              <w:tr2bl w:val="nil"/>
            </w:tcBorders>
            <w:shd w:val="clear" w:color="auto" w:fill="auto"/>
            <w:vAlign w:val="center"/>
          </w:tcPr>
          <w:p>
            <w:pPr>
              <w:spacing w:line="240" w:lineRule="atLeast"/>
              <w:ind w:firstLine="0" w:firstLineChars="0"/>
              <w:jc w:val="center"/>
              <w:rPr>
                <w:spacing w:val="4"/>
                <w:sz w:val="21"/>
                <w:szCs w:val="21"/>
              </w:rPr>
            </w:pPr>
            <w:bookmarkStart w:id="281" w:name="_Toc68716912"/>
            <w:r>
              <w:rPr>
                <w:sz w:val="21"/>
                <w:szCs w:val="21"/>
              </w:rPr>
              <w:t>带式输送机</w:t>
            </w:r>
            <w:bookmarkEnd w:id="281"/>
          </w:p>
        </w:tc>
        <w:tc>
          <w:tcPr>
            <w:tcW w:w="2974" w:type="pct"/>
            <w:tcBorders>
              <w:tl2br w:val="nil"/>
              <w:tr2bl w:val="nil"/>
            </w:tcBorders>
            <w:shd w:val="clear" w:color="auto" w:fill="auto"/>
            <w:vAlign w:val="center"/>
          </w:tcPr>
          <w:p>
            <w:pPr>
              <w:spacing w:line="240" w:lineRule="atLeast"/>
              <w:ind w:firstLine="0" w:firstLineChars="0"/>
              <w:jc w:val="center"/>
              <w:rPr>
                <w:sz w:val="21"/>
                <w:szCs w:val="21"/>
              </w:rPr>
            </w:pPr>
            <w:bookmarkStart w:id="282" w:name="_Toc68716913"/>
            <w:r>
              <w:rPr>
                <w:sz w:val="21"/>
                <w:szCs w:val="21"/>
              </w:rPr>
              <w:t>加装密封罩和封闭式运输廊道</w:t>
            </w:r>
            <w:bookmarkEnd w:id="282"/>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782" w:type="pct"/>
            <w:tcBorders>
              <w:tl2br w:val="nil"/>
              <w:tr2bl w:val="nil"/>
            </w:tcBorders>
            <w:vAlign w:val="center"/>
          </w:tcPr>
          <w:p>
            <w:pPr>
              <w:spacing w:line="240" w:lineRule="atLeast"/>
              <w:ind w:firstLine="0" w:firstLineChars="0"/>
              <w:jc w:val="center"/>
              <w:rPr>
                <w:sz w:val="21"/>
                <w:szCs w:val="21"/>
              </w:rPr>
            </w:pPr>
            <w:bookmarkStart w:id="283" w:name="_Toc68716908"/>
            <w:r>
              <w:rPr>
                <w:sz w:val="21"/>
                <w:szCs w:val="21"/>
              </w:rPr>
              <w:t>3</w:t>
            </w:r>
            <w:bookmarkEnd w:id="283"/>
          </w:p>
        </w:tc>
        <w:tc>
          <w:tcPr>
            <w:tcW w:w="1242" w:type="pct"/>
            <w:tcBorders>
              <w:tl2br w:val="nil"/>
              <w:tr2bl w:val="nil"/>
            </w:tcBorders>
            <w:shd w:val="clear" w:color="auto" w:fill="auto"/>
            <w:vAlign w:val="center"/>
          </w:tcPr>
          <w:p>
            <w:pPr>
              <w:spacing w:line="240" w:lineRule="atLeast"/>
              <w:ind w:firstLine="0" w:firstLineChars="0"/>
              <w:jc w:val="center"/>
              <w:rPr>
                <w:spacing w:val="4"/>
                <w:sz w:val="21"/>
                <w:szCs w:val="21"/>
              </w:rPr>
            </w:pPr>
            <w:bookmarkStart w:id="284" w:name="_Toc68716915"/>
            <w:r>
              <w:rPr>
                <w:sz w:val="21"/>
                <w:szCs w:val="21"/>
              </w:rPr>
              <w:t>转运站</w:t>
            </w:r>
            <w:bookmarkEnd w:id="284"/>
          </w:p>
        </w:tc>
        <w:tc>
          <w:tcPr>
            <w:tcW w:w="2974" w:type="pct"/>
            <w:tcBorders>
              <w:tl2br w:val="nil"/>
              <w:tr2bl w:val="nil"/>
            </w:tcBorders>
            <w:shd w:val="clear" w:color="auto" w:fill="auto"/>
            <w:vAlign w:val="center"/>
          </w:tcPr>
          <w:p>
            <w:pPr>
              <w:spacing w:line="240" w:lineRule="atLeast"/>
              <w:ind w:firstLine="0" w:firstLineChars="0"/>
              <w:jc w:val="center"/>
              <w:rPr>
                <w:sz w:val="21"/>
                <w:szCs w:val="21"/>
              </w:rPr>
            </w:pPr>
            <w:bookmarkStart w:id="285" w:name="_Toc68716916"/>
            <w:r>
              <w:rPr>
                <w:sz w:val="21"/>
                <w:szCs w:val="21"/>
              </w:rPr>
              <w:t>转运站设置干雾抑尘系统</w:t>
            </w:r>
            <w:bookmarkEnd w:id="285"/>
          </w:p>
        </w:tc>
      </w:tr>
    </w:tbl>
    <w:p>
      <w:pPr>
        <w:pStyle w:val="456"/>
        <w:ind w:firstLine="482"/>
        <w:rPr>
          <w:lang w:val="en-US"/>
        </w:rPr>
      </w:pPr>
      <w:bookmarkStart w:id="286" w:name="_Toc68716917"/>
      <w:bookmarkStart w:id="287" w:name="_Toc106098842"/>
      <w:r>
        <w:rPr>
          <w:rFonts w:hint="eastAsia"/>
          <w:lang w:val="en-US"/>
        </w:rPr>
        <w:t>渔政执法和日常监管</w:t>
      </w:r>
      <w:bookmarkEnd w:id="286"/>
      <w:bookmarkEnd w:id="287"/>
    </w:p>
    <w:p>
      <w:pPr>
        <w:ind w:firstLine="480"/>
      </w:pPr>
      <w:r>
        <w:t>《岳阳港总体规划（2017-2035年）环境影响报告书》中有关水生生物的措施中提出，环境保护区宣传。业主应编印宣传保护环境、保护水生野生动物的材料，发放给各承建方，同时在施工现场张贴水生野生动物的图画，对全体施工人员进行保护区环境保护的教育，以提高施工人员的环保意识。本项目提出的渔政执法和日常监管措施与之相符。</w:t>
      </w:r>
    </w:p>
    <w:p>
      <w:pPr>
        <w:wordWrap w:val="0"/>
        <w:ind w:firstLine="480"/>
      </w:pPr>
      <w:r>
        <w:t>渔政执法和日常监管是重要和有效的保护措施之一，因此，工程施工和营运期间，应加强这两项管理工作。具体工作内容包括：</w:t>
      </w:r>
    </w:p>
    <w:p>
      <w:pPr>
        <w:numPr>
          <w:ilvl w:val="1"/>
          <w:numId w:val="66"/>
        </w:numPr>
        <w:wordWrap w:val="0"/>
        <w:ind w:firstLine="480"/>
      </w:pPr>
      <w:r>
        <w:t>加强环境保护的宣传。在工程所在水域设置宣传牌和明显的警示标牌，对施工人员发送宣传手册，不定期组织与水生生物保护和环境保护相关的科普讲座。</w:t>
      </w:r>
    </w:p>
    <w:p>
      <w:pPr>
        <w:numPr>
          <w:ilvl w:val="1"/>
          <w:numId w:val="66"/>
        </w:numPr>
        <w:wordWrap w:val="0"/>
        <w:ind w:firstLine="480"/>
      </w:pPr>
      <w:r>
        <w:t>取缔非法渔业和有害渔业活动，控制和制止对水生生物和保护区环境有影响的各种水上人类活动。</w:t>
      </w:r>
    </w:p>
    <w:p>
      <w:pPr>
        <w:pStyle w:val="456"/>
        <w:ind w:firstLine="482"/>
        <w:rPr>
          <w:lang w:val="en-US"/>
        </w:rPr>
      </w:pPr>
      <w:bookmarkStart w:id="288" w:name="_Toc68716918"/>
      <w:bookmarkStart w:id="289" w:name="_Toc106098843"/>
      <w:r>
        <w:rPr>
          <w:rFonts w:hint="eastAsia"/>
          <w:lang w:val="en-US"/>
        </w:rPr>
        <w:t>生态修复</w:t>
      </w:r>
      <w:bookmarkEnd w:id="288"/>
      <w:bookmarkEnd w:id="289"/>
    </w:p>
    <w:p>
      <w:pPr>
        <w:ind w:firstLine="480"/>
      </w:pPr>
      <w:r>
        <w:t>《岳阳港总体规划（2017-2035年）环境影响报告书》中有关水生生物的措施中提出，加快重要物种和水生生态系统的修复研究。加强流域性航道整治工程的生态修复，突出重要物种的资源保护和生态系统系统性修复，加快重要物种和水生生态系统的修复研究，制定切实可行的系统生态修复措施。本项目提出的生态修复措施与之相符。</w:t>
      </w:r>
    </w:p>
    <w:p>
      <w:pPr>
        <w:ind w:firstLine="480"/>
      </w:pPr>
      <w:r>
        <w:t>由于现阶段未见较为成熟的铜鱼产卵场修复工程，暂停留在研究阶段，因此本阶段选择更具可操作性的增殖放流措施以缓解对铜鱼的影响，暂不采取铜鱼产卵场重建措施。</w:t>
      </w:r>
    </w:p>
    <w:p>
      <w:pPr>
        <w:adjustRightInd w:val="0"/>
        <w:ind w:firstLine="480"/>
        <w:rPr>
          <w:kern w:val="0"/>
        </w:rPr>
      </w:pPr>
      <w:r>
        <w:rPr>
          <w:kern w:val="0"/>
        </w:rPr>
        <w:t>工程占用部分鱼类索饵岸线，可在工程完工后，对拟建码头附近区域进行栖息地修复，恢复水生植被，主要选择在浅水区和缓坡地带进行恢复，为鱼类等水生生物营造必要的栖息、索饵、庇护生境，恢复植物可选择芦苇。</w:t>
      </w:r>
      <w:r>
        <w:rPr>
          <w:color w:val="000000"/>
        </w:rPr>
        <w:t>工程占用保护区水域面积为54</w:t>
      </w:r>
      <w:r>
        <w:rPr>
          <w:rFonts w:hint="eastAsia"/>
          <w:color w:val="000000"/>
        </w:rPr>
        <w:t>585</w:t>
      </w:r>
      <w:r>
        <w:rPr>
          <w:color w:val="000000"/>
        </w:rPr>
        <w:t>m</w:t>
      </w:r>
      <w:r>
        <w:rPr>
          <w:color w:val="000000"/>
          <w:vertAlign w:val="superscript"/>
        </w:rPr>
        <w:t>2</w:t>
      </w:r>
      <w:r>
        <w:rPr>
          <w:color w:val="000000"/>
        </w:rPr>
        <w:t>（约82亩），暂定沿岸段浅水区和缓坡地带种植水生植被约8</w:t>
      </w:r>
      <w:r>
        <w:rPr>
          <w:rFonts w:hint="eastAsia"/>
          <w:color w:val="000000"/>
        </w:rPr>
        <w:t>2</w:t>
      </w:r>
      <w:r>
        <w:rPr>
          <w:color w:val="000000"/>
        </w:rPr>
        <w:t>亩。</w:t>
      </w:r>
      <w:r>
        <w:t>经估算，栖息地修复</w:t>
      </w:r>
      <w:r>
        <w:rPr>
          <w:kern w:val="0"/>
        </w:rPr>
        <w:t>工程预算经费总计约</w:t>
      </w:r>
      <w:r>
        <w:rPr>
          <w:rFonts w:hint="eastAsia"/>
          <w:kern w:val="0"/>
        </w:rPr>
        <w:t>82</w:t>
      </w:r>
      <w:r>
        <w:rPr>
          <w:kern w:val="0"/>
        </w:rPr>
        <w:t>万元。</w:t>
      </w:r>
    </w:p>
    <w:p>
      <w:pPr>
        <w:pStyle w:val="34"/>
        <w:ind w:firstLine="420"/>
      </w:pPr>
      <w:r>
        <w:drawing>
          <wp:inline distT="0" distB="0" distL="114300" distR="114300">
            <wp:extent cx="5269865" cy="4007485"/>
            <wp:effectExtent l="0" t="0" r="6985" b="12065"/>
            <wp:docPr id="4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6"/>
                    <pic:cNvPicPr>
                      <a:picLocks noChangeAspect="1"/>
                    </pic:cNvPicPr>
                  </pic:nvPicPr>
                  <pic:blipFill>
                    <a:blip r:embed="rId282"/>
                    <a:stretch>
                      <a:fillRect/>
                    </a:stretch>
                  </pic:blipFill>
                  <pic:spPr>
                    <a:xfrm>
                      <a:off x="0" y="0"/>
                      <a:ext cx="5269865" cy="4007485"/>
                    </a:xfrm>
                    <a:prstGeom prst="rect">
                      <a:avLst/>
                    </a:prstGeom>
                    <a:noFill/>
                    <a:ln>
                      <a:noFill/>
                    </a:ln>
                  </pic:spPr>
                </pic:pic>
              </a:graphicData>
            </a:graphic>
          </wp:inline>
        </w:drawing>
      </w:r>
    </w:p>
    <w:p>
      <w:pPr>
        <w:pStyle w:val="456"/>
        <w:ind w:firstLine="482"/>
        <w:rPr>
          <w:lang w:val="en-US"/>
        </w:rPr>
      </w:pPr>
      <w:bookmarkStart w:id="290" w:name="_Toc68716919"/>
      <w:bookmarkStart w:id="291" w:name="_Toc106098844"/>
      <w:r>
        <w:rPr>
          <w:rFonts w:hint="eastAsia"/>
          <w:lang w:val="en-US"/>
        </w:rPr>
        <w:t>增殖放流</w:t>
      </w:r>
      <w:bookmarkEnd w:id="290"/>
      <w:bookmarkEnd w:id="291"/>
    </w:p>
    <w:p>
      <w:pPr>
        <w:ind w:firstLine="480"/>
        <w:rPr>
          <w:b/>
        </w:rPr>
      </w:pPr>
      <w:r>
        <w:t>《岳阳港总体规划（2017-2035年）环境影响报告书》中有关水生生物的措施中提出，鱼类增殖放流，建议主要对长江岳阳段和洞庭湖的重要经济鱼类实施人工增殖放流，每年放流一定规模的苗种。本项目提出增殖放流措施与之相符。</w:t>
      </w:r>
    </w:p>
    <w:p>
      <w:pPr>
        <w:numPr>
          <w:ilvl w:val="1"/>
          <w:numId w:val="67"/>
        </w:numPr>
        <w:ind w:firstLine="482"/>
        <w:rPr>
          <w:b/>
        </w:rPr>
      </w:pPr>
      <w:r>
        <w:rPr>
          <w:b/>
        </w:rPr>
        <w:t>放流目的</w:t>
      </w:r>
    </w:p>
    <w:p>
      <w:pPr>
        <w:widowControl/>
        <w:ind w:firstLine="480"/>
        <w:rPr>
          <w:kern w:val="0"/>
        </w:rPr>
      </w:pPr>
      <w:r>
        <w:rPr>
          <w:kern w:val="0"/>
        </w:rPr>
        <w:t>鱼类人工种群建立及增殖放流是目前保护鱼类物种、增加鱼类种群数量的重要措施之一。采取人工增殖放流，不仅可以对那些种群数量已经减少或面临各种影响将大量减少的鱼类进行人工增殖，补充其资源量，在一定程度上可以缓解本工程对鱼类资源的不利影响。但鱼类增殖放流涉及面广，管理操作过程较为复杂，对水域生态系统影响深远，技术含量比较高，需要对放流水域生态环境和鱼类资源现状了解非常清楚，对放流对象生物学特性、苗种繁育技术、放流和效果评价技术等研究较为深入，对增殖放流进行合理的规划和布局，制定科学增殖放流方案。</w:t>
      </w:r>
    </w:p>
    <w:p>
      <w:pPr>
        <w:numPr>
          <w:ilvl w:val="1"/>
          <w:numId w:val="67"/>
        </w:numPr>
        <w:ind w:firstLine="482"/>
        <w:rPr>
          <w:b/>
        </w:rPr>
      </w:pPr>
      <w:r>
        <w:rPr>
          <w:b/>
        </w:rPr>
        <w:t>放流种类</w:t>
      </w:r>
    </w:p>
    <w:p>
      <w:pPr>
        <w:ind w:firstLine="480"/>
        <w:jc w:val="left"/>
        <w:rPr>
          <w:color w:val="000000"/>
        </w:rPr>
      </w:pPr>
      <w:r>
        <w:rPr>
          <w:color w:val="000000"/>
          <w:kern w:val="0"/>
        </w:rPr>
        <w:t>建议对保护鱼类</w:t>
      </w:r>
      <w:r>
        <w:rPr>
          <w:color w:val="000000"/>
        </w:rPr>
        <w:t>胭脂鱼，保护区主要保护对象铜鱼</w:t>
      </w:r>
      <w:r>
        <w:rPr>
          <w:color w:val="000000"/>
          <w:kern w:val="0"/>
        </w:rPr>
        <w:t>和</w:t>
      </w:r>
      <w:r>
        <w:rPr>
          <w:color w:val="000000"/>
        </w:rPr>
        <w:t>重要经济鱼类长吻鮠、青鱼、鲢、鳙</w:t>
      </w:r>
      <w:r>
        <w:rPr>
          <w:color w:val="000000"/>
          <w:kern w:val="0"/>
        </w:rPr>
        <w:t>实施人工增殖放流，此后根据监测情况作适当调整。</w:t>
      </w:r>
    </w:p>
    <w:p>
      <w:pPr>
        <w:numPr>
          <w:ilvl w:val="1"/>
          <w:numId w:val="67"/>
        </w:numPr>
        <w:ind w:firstLine="482"/>
        <w:rPr>
          <w:b/>
        </w:rPr>
      </w:pPr>
      <w:r>
        <w:rPr>
          <w:b/>
        </w:rPr>
        <w:t>放流标准</w:t>
      </w:r>
    </w:p>
    <w:p>
      <w:pPr>
        <w:ind w:firstLine="480"/>
        <w:rPr>
          <w:kern w:val="0"/>
        </w:rPr>
      </w:pPr>
      <w:r>
        <w:rPr>
          <w:kern w:val="0"/>
        </w:rPr>
        <w:t>增殖放流工作应根据《中国水生生物资源养护行动纲要》、《水生生物增殖放流管理规定》。放流种苗供应单位应选择信誉良好、管理规范、具备相应的技术力量的国家级或省级水产原良种场和良种繁育场、渔业资源增殖站、野生水生生物驯养繁殖基地或救护中心以及其他具有相关资质的种苗生产单位，必要时可通过招标形式确定。</w:t>
      </w:r>
    </w:p>
    <w:p>
      <w:pPr>
        <w:ind w:firstLine="480"/>
        <w:rPr>
          <w:kern w:val="0"/>
        </w:rPr>
      </w:pPr>
      <w:r>
        <w:rPr>
          <w:kern w:val="0"/>
        </w:rPr>
        <w:t>放流的幼鱼必须是由野生亲本人工繁殖的子一代。放流苗种必须是无伤残和病害、体格健壮，符合渔业行政主管部门制定放流苗种种质技术规范，建议参照《水产苗种管理办法》(2004年，农业部令第46号)。放流前，种苗供应单位应提供放流种苗种质鉴定和疫病检验检疫报告，以保证用于增殖放流种苗的质量，避免对增殖放流水域生态造成不良影响。鱼类放流活动应与保护区管理机构协调，并在该机构的监督与指导下进行。</w:t>
      </w:r>
    </w:p>
    <w:p>
      <w:pPr>
        <w:numPr>
          <w:ilvl w:val="1"/>
          <w:numId w:val="67"/>
        </w:numPr>
        <w:ind w:firstLine="482"/>
        <w:rPr>
          <w:b/>
        </w:rPr>
      </w:pPr>
      <w:r>
        <w:rPr>
          <w:b/>
        </w:rPr>
        <w:t>放流地点和时间</w:t>
      </w:r>
    </w:p>
    <w:p>
      <w:pPr>
        <w:ind w:firstLine="480"/>
        <w:rPr>
          <w:kern w:val="0"/>
        </w:rPr>
      </w:pPr>
      <w:r>
        <w:rPr>
          <w:kern w:val="0"/>
        </w:rPr>
        <w:t>放流地点拟在</w:t>
      </w:r>
      <w:r>
        <w:rPr>
          <w:rFonts w:hint="eastAsia"/>
          <w:kern w:val="0"/>
        </w:rPr>
        <w:t>道仁矶镇</w:t>
      </w:r>
      <w:r>
        <w:rPr>
          <w:kern w:val="0"/>
        </w:rPr>
        <w:t>，首次放流时间为码头营运期第一年12月。增殖放流时间为运营期内</w:t>
      </w:r>
      <w:r>
        <w:rPr>
          <w:rFonts w:hint="eastAsia"/>
          <w:kern w:val="0"/>
        </w:rPr>
        <w:t>3</w:t>
      </w:r>
      <w:r>
        <w:rPr>
          <w:kern w:val="0"/>
        </w:rPr>
        <w:t>年。</w:t>
      </w:r>
    </w:p>
    <w:p>
      <w:pPr>
        <w:numPr>
          <w:ilvl w:val="1"/>
          <w:numId w:val="67"/>
        </w:numPr>
        <w:ind w:firstLine="482"/>
        <w:rPr>
          <w:b/>
        </w:rPr>
      </w:pPr>
      <w:r>
        <w:rPr>
          <w:b/>
        </w:rPr>
        <w:t>放流苗种数量和规格</w:t>
      </w:r>
    </w:p>
    <w:p>
      <w:pPr>
        <w:ind w:firstLine="480"/>
        <w:rPr>
          <w:kern w:val="0"/>
        </w:rPr>
      </w:pPr>
      <w:r>
        <w:rPr>
          <w:color w:val="000000"/>
        </w:rPr>
        <w:t>由于增殖放流数量的确定需要考虑的因素较为复杂，不确定的因素较多，针对开放性的天然水体合理放流数量的确定很困难，初步确定年放流鱼类</w:t>
      </w:r>
      <w:r>
        <w:rPr>
          <w:rFonts w:hint="eastAsia"/>
          <w:color w:val="000000"/>
        </w:rPr>
        <w:t>20</w:t>
      </w:r>
      <w:r>
        <w:rPr>
          <w:color w:val="000000"/>
        </w:rPr>
        <w:t>万尾。以后根据监测结果，调整放流数量和比例。</w:t>
      </w:r>
      <w:r>
        <w:rPr>
          <w:color w:val="000000"/>
          <w:kern w:val="0"/>
        </w:rPr>
        <w:t>增殖放流苗种每年所需经费</w:t>
      </w:r>
      <w:r>
        <w:rPr>
          <w:rFonts w:hint="eastAsia"/>
          <w:color w:val="000000"/>
          <w:kern w:val="0"/>
        </w:rPr>
        <w:t>29</w:t>
      </w:r>
      <w:r>
        <w:rPr>
          <w:color w:val="000000"/>
          <w:kern w:val="0"/>
        </w:rPr>
        <w:t>万元，</w:t>
      </w:r>
      <w:r>
        <w:rPr>
          <w:color w:val="000000"/>
        </w:rPr>
        <w:t>此外，人工增殖放流组织实施费包括放流苗种的监理费、苗种检验检疫费、放流现场组织管理费等，该项费用预计3万元。即开展人工增殖放流每年共需经费</w:t>
      </w:r>
      <w:r>
        <w:rPr>
          <w:rFonts w:hint="eastAsia"/>
          <w:color w:val="000000"/>
        </w:rPr>
        <w:t>32</w:t>
      </w:r>
      <w:r>
        <w:rPr>
          <w:color w:val="000000"/>
        </w:rPr>
        <w:t>万元</w:t>
      </w:r>
      <w:r>
        <w:rPr>
          <w:color w:val="000000"/>
          <w:kern w:val="0"/>
        </w:rPr>
        <w:t>，3年共需经费</w:t>
      </w:r>
      <w:r>
        <w:rPr>
          <w:rFonts w:hint="eastAsia"/>
          <w:color w:val="000000"/>
          <w:kern w:val="0"/>
        </w:rPr>
        <w:t>96</w:t>
      </w:r>
      <w:r>
        <w:rPr>
          <w:color w:val="000000"/>
          <w:kern w:val="0"/>
        </w:rPr>
        <w:t>万元。</w:t>
      </w:r>
      <w:r>
        <w:rPr>
          <w:color w:val="000000"/>
        </w:rPr>
        <w:t>查阅招标文件可知，</w:t>
      </w:r>
      <w:r>
        <w:rPr>
          <w:color w:val="000000"/>
          <w:szCs w:val="22"/>
          <w:shd w:val="clear" w:color="auto" w:fill="FFFFFF"/>
        </w:rPr>
        <w:t>宜昌三江渔业有限公司等单位具备胭脂鱼、铜鱼等鱼苗供应</w:t>
      </w:r>
      <w:r>
        <w:rPr>
          <w:rFonts w:hint="eastAsia"/>
          <w:color w:val="000000"/>
          <w:szCs w:val="22"/>
        </w:rPr>
        <w:t>能力</w:t>
      </w:r>
      <w:r>
        <w:rPr>
          <w:color w:val="000000"/>
          <w:szCs w:val="22"/>
          <w:shd w:val="clear" w:color="auto" w:fill="FFFFFF"/>
        </w:rPr>
        <w:t>。本项目增殖放流鱼苗可通过公开招标获得。</w:t>
      </w:r>
    </w:p>
    <w:p>
      <w:pPr>
        <w:pStyle w:val="3588"/>
        <w:numPr>
          <w:ilvl w:val="0"/>
          <w:numId w:val="0"/>
        </w:numPr>
        <w:spacing w:line="240" w:lineRule="auto"/>
      </w:pPr>
      <w:r>
        <w:t>表</w:t>
      </w:r>
      <w:r>
        <w:rPr>
          <w:rFonts w:hint="eastAsia"/>
        </w:rPr>
        <w:t>6-2</w:t>
      </w:r>
      <w:r>
        <w:t xml:space="preserve">  鱼类增殖放流经费预算表</w:t>
      </w:r>
    </w:p>
    <w:tbl>
      <w:tblPr>
        <w:tblStyle w:val="87"/>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12"/>
        <w:gridCol w:w="1783"/>
        <w:gridCol w:w="1686"/>
        <w:gridCol w:w="1419"/>
        <w:gridCol w:w="1690"/>
        <w:gridCol w:w="169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545" w:type="pct"/>
            <w:vMerge w:val="restart"/>
            <w:noWrap/>
            <w:vAlign w:val="center"/>
          </w:tcPr>
          <w:p>
            <w:pPr>
              <w:spacing w:line="240" w:lineRule="atLeast"/>
              <w:ind w:firstLine="0" w:firstLineChars="0"/>
              <w:jc w:val="center"/>
              <w:rPr>
                <w:b/>
                <w:bCs/>
                <w:sz w:val="21"/>
                <w:szCs w:val="21"/>
              </w:rPr>
            </w:pPr>
            <w:r>
              <w:rPr>
                <w:b/>
                <w:bCs/>
                <w:sz w:val="21"/>
                <w:szCs w:val="21"/>
              </w:rPr>
              <w:t>序号</w:t>
            </w:r>
          </w:p>
        </w:tc>
        <w:tc>
          <w:tcPr>
            <w:tcW w:w="960" w:type="pct"/>
            <w:vMerge w:val="restart"/>
            <w:noWrap/>
            <w:vAlign w:val="center"/>
          </w:tcPr>
          <w:p>
            <w:pPr>
              <w:spacing w:line="240" w:lineRule="atLeast"/>
              <w:ind w:firstLine="0" w:firstLineChars="0"/>
              <w:jc w:val="center"/>
              <w:rPr>
                <w:b/>
                <w:bCs/>
                <w:sz w:val="21"/>
                <w:szCs w:val="21"/>
              </w:rPr>
            </w:pPr>
            <w:r>
              <w:rPr>
                <w:b/>
                <w:bCs/>
                <w:sz w:val="21"/>
                <w:szCs w:val="21"/>
              </w:rPr>
              <w:t>放流种类</w:t>
            </w:r>
          </w:p>
        </w:tc>
        <w:tc>
          <w:tcPr>
            <w:tcW w:w="908" w:type="pct"/>
            <w:vMerge w:val="restart"/>
            <w:noWrap/>
            <w:vAlign w:val="center"/>
          </w:tcPr>
          <w:p>
            <w:pPr>
              <w:spacing w:line="240" w:lineRule="atLeast"/>
              <w:ind w:firstLine="0" w:firstLineChars="0"/>
              <w:jc w:val="center"/>
              <w:rPr>
                <w:b/>
                <w:bCs/>
                <w:sz w:val="21"/>
                <w:szCs w:val="21"/>
              </w:rPr>
            </w:pPr>
            <w:r>
              <w:rPr>
                <w:b/>
                <w:bCs/>
                <w:sz w:val="21"/>
                <w:szCs w:val="21"/>
              </w:rPr>
              <w:t>规格（cm）</w:t>
            </w:r>
          </w:p>
        </w:tc>
        <w:tc>
          <w:tcPr>
            <w:tcW w:w="764" w:type="pct"/>
            <w:vMerge w:val="restart"/>
            <w:noWrap/>
            <w:vAlign w:val="center"/>
          </w:tcPr>
          <w:p>
            <w:pPr>
              <w:spacing w:line="240" w:lineRule="atLeast"/>
              <w:ind w:firstLine="0" w:firstLineChars="0"/>
              <w:jc w:val="center"/>
              <w:rPr>
                <w:b/>
                <w:bCs/>
                <w:sz w:val="21"/>
                <w:szCs w:val="21"/>
              </w:rPr>
            </w:pPr>
            <w:r>
              <w:rPr>
                <w:b/>
                <w:bCs/>
                <w:sz w:val="21"/>
                <w:szCs w:val="21"/>
              </w:rPr>
              <w:t>单价</w:t>
            </w:r>
          </w:p>
          <w:p>
            <w:pPr>
              <w:spacing w:line="240" w:lineRule="atLeast"/>
              <w:ind w:firstLine="0" w:firstLineChars="0"/>
              <w:jc w:val="center"/>
              <w:rPr>
                <w:b/>
                <w:bCs/>
                <w:sz w:val="21"/>
                <w:szCs w:val="21"/>
              </w:rPr>
            </w:pPr>
            <w:r>
              <w:rPr>
                <w:b/>
                <w:bCs/>
                <w:sz w:val="21"/>
                <w:szCs w:val="21"/>
              </w:rPr>
              <w:t>（元/尾）</w:t>
            </w:r>
          </w:p>
        </w:tc>
        <w:tc>
          <w:tcPr>
            <w:tcW w:w="910" w:type="pct"/>
            <w:noWrap/>
            <w:vAlign w:val="center"/>
          </w:tcPr>
          <w:p>
            <w:pPr>
              <w:spacing w:line="240" w:lineRule="atLeast"/>
              <w:ind w:firstLine="0" w:firstLineChars="0"/>
              <w:jc w:val="center"/>
              <w:rPr>
                <w:b/>
                <w:bCs/>
                <w:sz w:val="21"/>
                <w:szCs w:val="21"/>
              </w:rPr>
            </w:pPr>
            <w:r>
              <w:rPr>
                <w:b/>
                <w:bCs/>
                <w:sz w:val="21"/>
                <w:szCs w:val="21"/>
              </w:rPr>
              <w:t>数量</w:t>
            </w:r>
          </w:p>
        </w:tc>
        <w:tc>
          <w:tcPr>
            <w:tcW w:w="910" w:type="pct"/>
            <w:noWrap/>
            <w:vAlign w:val="center"/>
          </w:tcPr>
          <w:p>
            <w:pPr>
              <w:spacing w:line="240" w:lineRule="atLeast"/>
              <w:ind w:firstLine="0" w:firstLineChars="0"/>
              <w:jc w:val="center"/>
              <w:rPr>
                <w:b/>
                <w:bCs/>
                <w:sz w:val="21"/>
                <w:szCs w:val="21"/>
              </w:rPr>
            </w:pPr>
            <w:r>
              <w:rPr>
                <w:b/>
                <w:bCs/>
                <w:sz w:val="21"/>
                <w:szCs w:val="21"/>
              </w:rPr>
              <w:t>经费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45" w:type="pct"/>
            <w:vMerge w:val="continue"/>
            <w:tcBorders>
              <w:bottom w:val="single" w:color="auto" w:sz="12" w:space="0"/>
            </w:tcBorders>
            <w:vAlign w:val="center"/>
          </w:tcPr>
          <w:p>
            <w:pPr>
              <w:spacing w:line="240" w:lineRule="atLeast"/>
              <w:ind w:firstLine="0" w:firstLineChars="0"/>
              <w:jc w:val="center"/>
              <w:rPr>
                <w:b/>
                <w:bCs/>
                <w:sz w:val="21"/>
                <w:szCs w:val="21"/>
              </w:rPr>
            </w:pPr>
          </w:p>
        </w:tc>
        <w:tc>
          <w:tcPr>
            <w:tcW w:w="960" w:type="pct"/>
            <w:vMerge w:val="continue"/>
            <w:tcBorders>
              <w:bottom w:val="single" w:color="auto" w:sz="12" w:space="0"/>
            </w:tcBorders>
            <w:vAlign w:val="center"/>
          </w:tcPr>
          <w:p>
            <w:pPr>
              <w:spacing w:line="240" w:lineRule="atLeast"/>
              <w:ind w:firstLine="0" w:firstLineChars="0"/>
              <w:jc w:val="center"/>
              <w:rPr>
                <w:b/>
                <w:bCs/>
                <w:sz w:val="21"/>
                <w:szCs w:val="21"/>
              </w:rPr>
            </w:pPr>
          </w:p>
        </w:tc>
        <w:tc>
          <w:tcPr>
            <w:tcW w:w="908" w:type="pct"/>
            <w:vMerge w:val="continue"/>
            <w:tcBorders>
              <w:bottom w:val="single" w:color="auto" w:sz="12" w:space="0"/>
            </w:tcBorders>
            <w:vAlign w:val="center"/>
          </w:tcPr>
          <w:p>
            <w:pPr>
              <w:spacing w:line="240" w:lineRule="atLeast"/>
              <w:ind w:firstLine="0" w:firstLineChars="0"/>
              <w:jc w:val="center"/>
              <w:rPr>
                <w:b/>
                <w:bCs/>
                <w:sz w:val="21"/>
                <w:szCs w:val="21"/>
              </w:rPr>
            </w:pPr>
          </w:p>
        </w:tc>
        <w:tc>
          <w:tcPr>
            <w:tcW w:w="764" w:type="pct"/>
            <w:vMerge w:val="continue"/>
            <w:tcBorders>
              <w:bottom w:val="single" w:color="auto" w:sz="12" w:space="0"/>
            </w:tcBorders>
            <w:vAlign w:val="center"/>
          </w:tcPr>
          <w:p>
            <w:pPr>
              <w:spacing w:line="240" w:lineRule="atLeast"/>
              <w:ind w:firstLine="0" w:firstLineChars="0"/>
              <w:jc w:val="center"/>
              <w:rPr>
                <w:b/>
                <w:bCs/>
                <w:sz w:val="21"/>
                <w:szCs w:val="21"/>
              </w:rPr>
            </w:pPr>
          </w:p>
        </w:tc>
        <w:tc>
          <w:tcPr>
            <w:tcW w:w="910" w:type="pct"/>
            <w:tcBorders>
              <w:bottom w:val="single" w:color="auto" w:sz="12" w:space="0"/>
            </w:tcBorders>
            <w:noWrap/>
            <w:vAlign w:val="center"/>
          </w:tcPr>
          <w:p>
            <w:pPr>
              <w:spacing w:line="240" w:lineRule="atLeast"/>
              <w:ind w:firstLine="0" w:firstLineChars="0"/>
              <w:jc w:val="center"/>
              <w:rPr>
                <w:b/>
                <w:bCs/>
                <w:sz w:val="21"/>
                <w:szCs w:val="21"/>
              </w:rPr>
            </w:pPr>
            <w:r>
              <w:rPr>
                <w:b/>
                <w:bCs/>
                <w:sz w:val="21"/>
                <w:szCs w:val="21"/>
              </w:rPr>
              <w:t>（万尾/年）</w:t>
            </w:r>
          </w:p>
        </w:tc>
        <w:tc>
          <w:tcPr>
            <w:tcW w:w="910" w:type="pct"/>
            <w:tcBorders>
              <w:bottom w:val="single" w:color="auto" w:sz="12" w:space="0"/>
            </w:tcBorders>
            <w:noWrap/>
            <w:vAlign w:val="center"/>
          </w:tcPr>
          <w:p>
            <w:pPr>
              <w:spacing w:line="240" w:lineRule="atLeast"/>
              <w:ind w:firstLine="0" w:firstLineChars="0"/>
              <w:jc w:val="center"/>
              <w:rPr>
                <w:b/>
                <w:bCs/>
                <w:sz w:val="21"/>
                <w:szCs w:val="21"/>
              </w:rPr>
            </w:pPr>
            <w:r>
              <w:rPr>
                <w:b/>
                <w:bCs/>
                <w:sz w:val="21"/>
                <w:szCs w:val="21"/>
              </w:rPr>
              <w:t>（万元/年）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545" w:type="pct"/>
            <w:tcBorders>
              <w:top w:val="single" w:color="auto" w:sz="12" w:space="0"/>
              <w:tl2br w:val="nil"/>
              <w:tr2bl w:val="nil"/>
            </w:tcBorders>
            <w:noWrap/>
            <w:vAlign w:val="center"/>
          </w:tcPr>
          <w:p>
            <w:pPr>
              <w:spacing w:line="240" w:lineRule="atLeast"/>
              <w:ind w:firstLine="0" w:firstLineChars="0"/>
              <w:jc w:val="center"/>
              <w:rPr>
                <w:sz w:val="21"/>
                <w:szCs w:val="21"/>
              </w:rPr>
            </w:pPr>
            <w:r>
              <w:rPr>
                <w:sz w:val="21"/>
                <w:szCs w:val="21"/>
              </w:rPr>
              <w:t>1</w:t>
            </w:r>
          </w:p>
        </w:tc>
        <w:tc>
          <w:tcPr>
            <w:tcW w:w="960" w:type="pct"/>
            <w:tcBorders>
              <w:top w:val="single" w:color="auto" w:sz="12" w:space="0"/>
              <w:tl2br w:val="nil"/>
              <w:tr2bl w:val="nil"/>
            </w:tcBorders>
            <w:noWrap/>
            <w:vAlign w:val="center"/>
          </w:tcPr>
          <w:p>
            <w:pPr>
              <w:spacing w:line="240" w:lineRule="atLeast"/>
              <w:ind w:firstLine="0" w:firstLineChars="0"/>
              <w:jc w:val="center"/>
              <w:rPr>
                <w:sz w:val="21"/>
                <w:szCs w:val="21"/>
              </w:rPr>
            </w:pPr>
            <w:r>
              <w:rPr>
                <w:sz w:val="21"/>
                <w:szCs w:val="21"/>
              </w:rPr>
              <w:t>胭脂鱼</w:t>
            </w:r>
          </w:p>
        </w:tc>
        <w:tc>
          <w:tcPr>
            <w:tcW w:w="908" w:type="pct"/>
            <w:tcBorders>
              <w:top w:val="single" w:color="auto" w:sz="12" w:space="0"/>
              <w:tl2br w:val="nil"/>
              <w:tr2bl w:val="nil"/>
            </w:tcBorders>
            <w:noWrap/>
            <w:vAlign w:val="center"/>
          </w:tcPr>
          <w:p>
            <w:pPr>
              <w:spacing w:line="240" w:lineRule="atLeast"/>
              <w:ind w:firstLine="0" w:firstLineChars="0"/>
              <w:jc w:val="center"/>
              <w:rPr>
                <w:sz w:val="21"/>
                <w:szCs w:val="21"/>
              </w:rPr>
            </w:pPr>
            <w:r>
              <w:rPr>
                <w:sz w:val="21"/>
                <w:szCs w:val="21"/>
              </w:rPr>
              <w:t>5~8</w:t>
            </w:r>
          </w:p>
        </w:tc>
        <w:tc>
          <w:tcPr>
            <w:tcW w:w="764" w:type="pct"/>
            <w:tcBorders>
              <w:top w:val="single" w:color="auto" w:sz="12" w:space="0"/>
              <w:tl2br w:val="nil"/>
              <w:tr2bl w:val="nil"/>
            </w:tcBorders>
            <w:noWrap/>
            <w:vAlign w:val="center"/>
          </w:tcPr>
          <w:p>
            <w:pPr>
              <w:spacing w:line="240" w:lineRule="atLeast"/>
              <w:ind w:firstLine="0" w:firstLineChars="0"/>
              <w:jc w:val="center"/>
              <w:rPr>
                <w:sz w:val="21"/>
                <w:szCs w:val="21"/>
              </w:rPr>
            </w:pPr>
            <w:r>
              <w:rPr>
                <w:sz w:val="21"/>
                <w:szCs w:val="21"/>
              </w:rPr>
              <w:t>5</w:t>
            </w:r>
          </w:p>
        </w:tc>
        <w:tc>
          <w:tcPr>
            <w:tcW w:w="910" w:type="pct"/>
            <w:tcBorders>
              <w:top w:val="single" w:color="auto" w:sz="12" w:space="0"/>
              <w:tl2br w:val="nil"/>
              <w:tr2bl w:val="nil"/>
            </w:tcBorders>
            <w:noWrap/>
            <w:vAlign w:val="center"/>
          </w:tcPr>
          <w:p>
            <w:pPr>
              <w:spacing w:line="240" w:lineRule="atLeast"/>
              <w:ind w:firstLine="0" w:firstLineChars="0"/>
              <w:jc w:val="center"/>
              <w:rPr>
                <w:sz w:val="21"/>
                <w:szCs w:val="21"/>
              </w:rPr>
            </w:pPr>
            <w:r>
              <w:rPr>
                <w:sz w:val="21"/>
                <w:szCs w:val="21"/>
              </w:rPr>
              <w:t>1</w:t>
            </w:r>
          </w:p>
        </w:tc>
        <w:tc>
          <w:tcPr>
            <w:tcW w:w="910" w:type="pct"/>
            <w:tcBorders>
              <w:top w:val="single" w:color="auto" w:sz="12" w:space="0"/>
              <w:tl2br w:val="nil"/>
              <w:tr2bl w:val="nil"/>
            </w:tcBorders>
            <w:noWrap/>
            <w:vAlign w:val="center"/>
          </w:tcPr>
          <w:p>
            <w:pPr>
              <w:spacing w:line="240" w:lineRule="atLeast"/>
              <w:ind w:firstLine="0" w:firstLineChars="0"/>
              <w:jc w:val="center"/>
              <w:rPr>
                <w:sz w:val="21"/>
                <w:szCs w:val="21"/>
              </w:rPr>
            </w:pPr>
            <w:r>
              <w:rPr>
                <w:sz w:val="21"/>
                <w:szCs w:val="21"/>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545" w:type="pct"/>
            <w:tcBorders>
              <w:tl2br w:val="nil"/>
              <w:tr2bl w:val="nil"/>
            </w:tcBorders>
            <w:noWrap/>
            <w:vAlign w:val="center"/>
          </w:tcPr>
          <w:p>
            <w:pPr>
              <w:spacing w:line="240" w:lineRule="atLeast"/>
              <w:ind w:firstLine="0" w:firstLineChars="0"/>
              <w:jc w:val="center"/>
              <w:rPr>
                <w:sz w:val="21"/>
                <w:szCs w:val="21"/>
              </w:rPr>
            </w:pPr>
            <w:r>
              <w:rPr>
                <w:sz w:val="21"/>
                <w:szCs w:val="21"/>
              </w:rPr>
              <w:t>2</w:t>
            </w:r>
          </w:p>
        </w:tc>
        <w:tc>
          <w:tcPr>
            <w:tcW w:w="960" w:type="pct"/>
            <w:tcBorders>
              <w:tl2br w:val="nil"/>
              <w:tr2bl w:val="nil"/>
            </w:tcBorders>
            <w:noWrap/>
            <w:vAlign w:val="center"/>
          </w:tcPr>
          <w:p>
            <w:pPr>
              <w:spacing w:line="240" w:lineRule="atLeast"/>
              <w:ind w:firstLine="0" w:firstLineChars="0"/>
              <w:jc w:val="center"/>
              <w:rPr>
                <w:sz w:val="21"/>
                <w:szCs w:val="21"/>
              </w:rPr>
            </w:pPr>
            <w:r>
              <w:rPr>
                <w:sz w:val="21"/>
                <w:szCs w:val="21"/>
              </w:rPr>
              <w:t>铜鱼</w:t>
            </w:r>
          </w:p>
        </w:tc>
        <w:tc>
          <w:tcPr>
            <w:tcW w:w="908" w:type="pct"/>
            <w:tcBorders>
              <w:tl2br w:val="nil"/>
              <w:tr2bl w:val="nil"/>
            </w:tcBorders>
            <w:noWrap/>
            <w:vAlign w:val="center"/>
          </w:tcPr>
          <w:p>
            <w:pPr>
              <w:spacing w:line="240" w:lineRule="atLeast"/>
              <w:ind w:firstLine="0" w:firstLineChars="0"/>
              <w:jc w:val="center"/>
              <w:rPr>
                <w:sz w:val="21"/>
                <w:szCs w:val="21"/>
              </w:rPr>
            </w:pPr>
            <w:r>
              <w:rPr>
                <w:sz w:val="21"/>
                <w:szCs w:val="21"/>
              </w:rPr>
              <w:t>5~8</w:t>
            </w:r>
          </w:p>
        </w:tc>
        <w:tc>
          <w:tcPr>
            <w:tcW w:w="764" w:type="pct"/>
            <w:tcBorders>
              <w:tl2br w:val="nil"/>
              <w:tr2bl w:val="nil"/>
            </w:tcBorders>
            <w:noWrap/>
            <w:vAlign w:val="center"/>
          </w:tcPr>
          <w:p>
            <w:pPr>
              <w:spacing w:line="240" w:lineRule="atLeast"/>
              <w:ind w:firstLine="0" w:firstLineChars="0"/>
              <w:jc w:val="center"/>
              <w:rPr>
                <w:sz w:val="21"/>
                <w:szCs w:val="21"/>
              </w:rPr>
            </w:pPr>
            <w:r>
              <w:rPr>
                <w:rFonts w:hint="eastAsia"/>
                <w:sz w:val="21"/>
                <w:szCs w:val="21"/>
              </w:rPr>
              <w:t>5</w:t>
            </w:r>
          </w:p>
        </w:tc>
        <w:tc>
          <w:tcPr>
            <w:tcW w:w="910" w:type="pct"/>
            <w:tcBorders>
              <w:tl2br w:val="nil"/>
              <w:tr2bl w:val="nil"/>
            </w:tcBorders>
            <w:noWrap/>
            <w:vAlign w:val="center"/>
          </w:tcPr>
          <w:p>
            <w:pPr>
              <w:spacing w:line="240" w:lineRule="atLeast"/>
              <w:ind w:firstLine="0" w:firstLineChars="0"/>
              <w:jc w:val="center"/>
              <w:rPr>
                <w:sz w:val="21"/>
                <w:szCs w:val="21"/>
              </w:rPr>
            </w:pPr>
            <w:r>
              <w:rPr>
                <w:rFonts w:hint="eastAsia"/>
                <w:sz w:val="21"/>
                <w:szCs w:val="21"/>
              </w:rPr>
              <w:t>3</w:t>
            </w:r>
          </w:p>
        </w:tc>
        <w:tc>
          <w:tcPr>
            <w:tcW w:w="910" w:type="pct"/>
            <w:tcBorders>
              <w:tl2br w:val="nil"/>
              <w:tr2bl w:val="nil"/>
            </w:tcBorders>
            <w:noWrap/>
            <w:vAlign w:val="center"/>
          </w:tcPr>
          <w:p>
            <w:pPr>
              <w:spacing w:line="240" w:lineRule="atLeast"/>
              <w:ind w:firstLine="0" w:firstLineChars="0"/>
              <w:jc w:val="center"/>
              <w:rPr>
                <w:sz w:val="21"/>
                <w:szCs w:val="21"/>
              </w:rPr>
            </w:pPr>
            <w:r>
              <w:rPr>
                <w:rFonts w:hint="eastAsia"/>
                <w:sz w:val="21"/>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545" w:type="pct"/>
            <w:tcBorders>
              <w:tl2br w:val="nil"/>
              <w:tr2bl w:val="nil"/>
            </w:tcBorders>
            <w:noWrap/>
            <w:vAlign w:val="center"/>
          </w:tcPr>
          <w:p>
            <w:pPr>
              <w:spacing w:line="240" w:lineRule="atLeast"/>
              <w:ind w:firstLine="0" w:firstLineChars="0"/>
              <w:jc w:val="center"/>
              <w:rPr>
                <w:sz w:val="21"/>
                <w:szCs w:val="21"/>
              </w:rPr>
            </w:pPr>
            <w:r>
              <w:rPr>
                <w:sz w:val="21"/>
                <w:szCs w:val="21"/>
              </w:rPr>
              <w:t>3</w:t>
            </w:r>
          </w:p>
        </w:tc>
        <w:tc>
          <w:tcPr>
            <w:tcW w:w="960" w:type="pct"/>
            <w:tcBorders>
              <w:tl2br w:val="nil"/>
              <w:tr2bl w:val="nil"/>
            </w:tcBorders>
            <w:noWrap/>
            <w:vAlign w:val="center"/>
          </w:tcPr>
          <w:p>
            <w:pPr>
              <w:spacing w:line="240" w:lineRule="atLeast"/>
              <w:ind w:firstLine="0" w:firstLineChars="0"/>
              <w:jc w:val="center"/>
              <w:rPr>
                <w:sz w:val="21"/>
                <w:szCs w:val="21"/>
              </w:rPr>
            </w:pPr>
            <w:r>
              <w:rPr>
                <w:sz w:val="21"/>
                <w:szCs w:val="21"/>
              </w:rPr>
              <w:t>长吻鮠</w:t>
            </w:r>
          </w:p>
        </w:tc>
        <w:tc>
          <w:tcPr>
            <w:tcW w:w="908" w:type="pct"/>
            <w:tcBorders>
              <w:tl2br w:val="nil"/>
              <w:tr2bl w:val="nil"/>
            </w:tcBorders>
            <w:noWrap/>
            <w:vAlign w:val="center"/>
          </w:tcPr>
          <w:p>
            <w:pPr>
              <w:spacing w:line="240" w:lineRule="atLeast"/>
              <w:ind w:firstLine="0" w:firstLineChars="0"/>
              <w:jc w:val="center"/>
              <w:rPr>
                <w:sz w:val="21"/>
                <w:szCs w:val="21"/>
              </w:rPr>
            </w:pPr>
            <w:r>
              <w:rPr>
                <w:sz w:val="21"/>
                <w:szCs w:val="21"/>
              </w:rPr>
              <w:t>5~8</w:t>
            </w:r>
          </w:p>
        </w:tc>
        <w:tc>
          <w:tcPr>
            <w:tcW w:w="764" w:type="pct"/>
            <w:tcBorders>
              <w:tl2br w:val="nil"/>
              <w:tr2bl w:val="nil"/>
            </w:tcBorders>
            <w:noWrap/>
            <w:vAlign w:val="center"/>
          </w:tcPr>
          <w:p>
            <w:pPr>
              <w:spacing w:line="240" w:lineRule="atLeast"/>
              <w:ind w:firstLine="0" w:firstLineChars="0"/>
              <w:jc w:val="center"/>
              <w:rPr>
                <w:sz w:val="21"/>
                <w:szCs w:val="21"/>
              </w:rPr>
            </w:pPr>
            <w:r>
              <w:rPr>
                <w:sz w:val="21"/>
                <w:szCs w:val="21"/>
              </w:rPr>
              <w:t>2</w:t>
            </w:r>
          </w:p>
        </w:tc>
        <w:tc>
          <w:tcPr>
            <w:tcW w:w="910" w:type="pct"/>
            <w:tcBorders>
              <w:tl2br w:val="nil"/>
              <w:tr2bl w:val="nil"/>
            </w:tcBorders>
            <w:noWrap/>
            <w:vAlign w:val="center"/>
          </w:tcPr>
          <w:p>
            <w:pPr>
              <w:spacing w:line="240" w:lineRule="atLeast"/>
              <w:ind w:firstLine="0" w:firstLineChars="0"/>
              <w:jc w:val="center"/>
              <w:rPr>
                <w:sz w:val="21"/>
                <w:szCs w:val="21"/>
              </w:rPr>
            </w:pPr>
            <w:r>
              <w:rPr>
                <w:sz w:val="21"/>
                <w:szCs w:val="21"/>
              </w:rPr>
              <w:t>2</w:t>
            </w:r>
          </w:p>
        </w:tc>
        <w:tc>
          <w:tcPr>
            <w:tcW w:w="910" w:type="pct"/>
            <w:tcBorders>
              <w:tl2br w:val="nil"/>
              <w:tr2bl w:val="nil"/>
            </w:tcBorders>
            <w:noWrap/>
            <w:vAlign w:val="center"/>
          </w:tcPr>
          <w:p>
            <w:pPr>
              <w:spacing w:line="240" w:lineRule="atLeast"/>
              <w:ind w:firstLine="0" w:firstLineChars="0"/>
              <w:jc w:val="center"/>
              <w:rPr>
                <w:sz w:val="21"/>
                <w:szCs w:val="21"/>
              </w:rPr>
            </w:pPr>
            <w:r>
              <w:rPr>
                <w:sz w:val="21"/>
                <w:szCs w:val="21"/>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545" w:type="pct"/>
            <w:tcBorders>
              <w:tl2br w:val="nil"/>
              <w:tr2bl w:val="nil"/>
            </w:tcBorders>
            <w:noWrap/>
            <w:vAlign w:val="center"/>
          </w:tcPr>
          <w:p>
            <w:pPr>
              <w:spacing w:line="240" w:lineRule="atLeast"/>
              <w:ind w:firstLine="0" w:firstLineChars="0"/>
              <w:jc w:val="center"/>
              <w:rPr>
                <w:sz w:val="21"/>
                <w:szCs w:val="21"/>
              </w:rPr>
            </w:pPr>
            <w:r>
              <w:rPr>
                <w:sz w:val="21"/>
                <w:szCs w:val="21"/>
              </w:rPr>
              <w:t>4</w:t>
            </w:r>
          </w:p>
        </w:tc>
        <w:tc>
          <w:tcPr>
            <w:tcW w:w="960" w:type="pct"/>
            <w:tcBorders>
              <w:tl2br w:val="nil"/>
              <w:tr2bl w:val="nil"/>
            </w:tcBorders>
            <w:noWrap/>
            <w:vAlign w:val="center"/>
          </w:tcPr>
          <w:p>
            <w:pPr>
              <w:spacing w:line="240" w:lineRule="atLeast"/>
              <w:ind w:firstLine="0" w:firstLineChars="0"/>
              <w:jc w:val="center"/>
              <w:rPr>
                <w:sz w:val="21"/>
                <w:szCs w:val="21"/>
              </w:rPr>
            </w:pPr>
            <w:r>
              <w:rPr>
                <w:sz w:val="21"/>
                <w:szCs w:val="21"/>
              </w:rPr>
              <w:t>青鱼</w:t>
            </w:r>
          </w:p>
        </w:tc>
        <w:tc>
          <w:tcPr>
            <w:tcW w:w="908" w:type="pct"/>
            <w:tcBorders>
              <w:tl2br w:val="nil"/>
              <w:tr2bl w:val="nil"/>
            </w:tcBorders>
            <w:noWrap/>
            <w:vAlign w:val="center"/>
          </w:tcPr>
          <w:p>
            <w:pPr>
              <w:spacing w:line="240" w:lineRule="atLeast"/>
              <w:ind w:firstLine="0" w:firstLineChars="0"/>
              <w:jc w:val="center"/>
              <w:rPr>
                <w:sz w:val="21"/>
                <w:szCs w:val="21"/>
              </w:rPr>
            </w:pPr>
            <w:r>
              <w:rPr>
                <w:sz w:val="21"/>
                <w:szCs w:val="21"/>
              </w:rPr>
              <w:t>8~12</w:t>
            </w:r>
          </w:p>
        </w:tc>
        <w:tc>
          <w:tcPr>
            <w:tcW w:w="764" w:type="pct"/>
            <w:tcBorders>
              <w:tl2br w:val="nil"/>
              <w:tr2bl w:val="nil"/>
            </w:tcBorders>
            <w:noWrap/>
            <w:vAlign w:val="center"/>
          </w:tcPr>
          <w:p>
            <w:pPr>
              <w:spacing w:line="240" w:lineRule="atLeast"/>
              <w:ind w:firstLine="0" w:firstLineChars="0"/>
              <w:jc w:val="center"/>
              <w:rPr>
                <w:sz w:val="21"/>
                <w:szCs w:val="21"/>
              </w:rPr>
            </w:pPr>
            <w:r>
              <w:rPr>
                <w:sz w:val="21"/>
                <w:szCs w:val="21"/>
              </w:rPr>
              <w:t>0.5</w:t>
            </w:r>
          </w:p>
        </w:tc>
        <w:tc>
          <w:tcPr>
            <w:tcW w:w="910" w:type="pct"/>
            <w:tcBorders>
              <w:tl2br w:val="nil"/>
              <w:tr2bl w:val="nil"/>
            </w:tcBorders>
            <w:noWrap/>
            <w:vAlign w:val="center"/>
          </w:tcPr>
          <w:p>
            <w:pPr>
              <w:spacing w:line="240" w:lineRule="atLeast"/>
              <w:ind w:firstLine="0" w:firstLineChars="0"/>
              <w:jc w:val="center"/>
              <w:rPr>
                <w:sz w:val="21"/>
                <w:szCs w:val="21"/>
              </w:rPr>
            </w:pPr>
            <w:r>
              <w:rPr>
                <w:sz w:val="21"/>
                <w:szCs w:val="21"/>
              </w:rPr>
              <w:t>4</w:t>
            </w:r>
          </w:p>
        </w:tc>
        <w:tc>
          <w:tcPr>
            <w:tcW w:w="910" w:type="pct"/>
            <w:tcBorders>
              <w:tl2br w:val="nil"/>
              <w:tr2bl w:val="nil"/>
            </w:tcBorders>
            <w:noWrap/>
            <w:vAlign w:val="center"/>
          </w:tcPr>
          <w:p>
            <w:pPr>
              <w:spacing w:line="240" w:lineRule="atLeast"/>
              <w:ind w:firstLine="0" w:firstLineChars="0"/>
              <w:jc w:val="center"/>
              <w:rPr>
                <w:sz w:val="21"/>
                <w:szCs w:val="21"/>
              </w:rPr>
            </w:pPr>
            <w:r>
              <w:rPr>
                <w:sz w:val="21"/>
                <w:szCs w:val="21"/>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545" w:type="pct"/>
            <w:tcBorders>
              <w:tl2br w:val="nil"/>
              <w:tr2bl w:val="nil"/>
            </w:tcBorders>
            <w:noWrap/>
            <w:vAlign w:val="center"/>
          </w:tcPr>
          <w:p>
            <w:pPr>
              <w:spacing w:line="240" w:lineRule="atLeast"/>
              <w:ind w:firstLine="0" w:firstLineChars="0"/>
              <w:jc w:val="center"/>
              <w:rPr>
                <w:sz w:val="21"/>
                <w:szCs w:val="21"/>
              </w:rPr>
            </w:pPr>
            <w:r>
              <w:rPr>
                <w:rFonts w:hint="eastAsia"/>
                <w:sz w:val="21"/>
                <w:szCs w:val="21"/>
              </w:rPr>
              <w:t>5</w:t>
            </w:r>
          </w:p>
        </w:tc>
        <w:tc>
          <w:tcPr>
            <w:tcW w:w="960" w:type="pct"/>
            <w:tcBorders>
              <w:tl2br w:val="nil"/>
              <w:tr2bl w:val="nil"/>
            </w:tcBorders>
            <w:noWrap/>
            <w:vAlign w:val="center"/>
          </w:tcPr>
          <w:p>
            <w:pPr>
              <w:spacing w:line="240" w:lineRule="atLeast"/>
              <w:ind w:firstLine="0" w:firstLineChars="0"/>
              <w:jc w:val="center"/>
              <w:rPr>
                <w:sz w:val="21"/>
                <w:szCs w:val="21"/>
              </w:rPr>
            </w:pPr>
            <w:r>
              <w:rPr>
                <w:sz w:val="21"/>
                <w:szCs w:val="21"/>
              </w:rPr>
              <w:t>鳙</w:t>
            </w:r>
          </w:p>
        </w:tc>
        <w:tc>
          <w:tcPr>
            <w:tcW w:w="908" w:type="pct"/>
            <w:tcBorders>
              <w:tl2br w:val="nil"/>
              <w:tr2bl w:val="nil"/>
            </w:tcBorders>
            <w:noWrap/>
            <w:vAlign w:val="center"/>
          </w:tcPr>
          <w:p>
            <w:pPr>
              <w:spacing w:line="240" w:lineRule="atLeast"/>
              <w:ind w:firstLine="0" w:firstLineChars="0"/>
              <w:jc w:val="center"/>
              <w:rPr>
                <w:sz w:val="21"/>
                <w:szCs w:val="21"/>
              </w:rPr>
            </w:pPr>
            <w:r>
              <w:rPr>
                <w:sz w:val="21"/>
                <w:szCs w:val="21"/>
              </w:rPr>
              <w:t>8~12</w:t>
            </w:r>
          </w:p>
        </w:tc>
        <w:tc>
          <w:tcPr>
            <w:tcW w:w="764" w:type="pct"/>
            <w:tcBorders>
              <w:tl2br w:val="nil"/>
              <w:tr2bl w:val="nil"/>
            </w:tcBorders>
            <w:noWrap/>
            <w:vAlign w:val="center"/>
          </w:tcPr>
          <w:p>
            <w:pPr>
              <w:spacing w:line="240" w:lineRule="atLeast"/>
              <w:ind w:firstLine="0" w:firstLineChars="0"/>
              <w:jc w:val="center"/>
              <w:rPr>
                <w:sz w:val="21"/>
                <w:szCs w:val="21"/>
              </w:rPr>
            </w:pPr>
            <w:r>
              <w:rPr>
                <w:sz w:val="21"/>
                <w:szCs w:val="21"/>
              </w:rPr>
              <w:t>0.3</w:t>
            </w:r>
          </w:p>
        </w:tc>
        <w:tc>
          <w:tcPr>
            <w:tcW w:w="910" w:type="pct"/>
            <w:tcBorders>
              <w:tl2br w:val="nil"/>
              <w:tr2bl w:val="nil"/>
            </w:tcBorders>
            <w:noWrap/>
            <w:vAlign w:val="center"/>
          </w:tcPr>
          <w:p>
            <w:pPr>
              <w:spacing w:line="240" w:lineRule="atLeast"/>
              <w:ind w:firstLine="0" w:firstLineChars="0"/>
              <w:jc w:val="center"/>
              <w:rPr>
                <w:sz w:val="21"/>
                <w:szCs w:val="21"/>
              </w:rPr>
            </w:pPr>
            <w:r>
              <w:rPr>
                <w:sz w:val="21"/>
                <w:szCs w:val="21"/>
              </w:rPr>
              <w:t>10</w:t>
            </w:r>
          </w:p>
        </w:tc>
        <w:tc>
          <w:tcPr>
            <w:tcW w:w="910" w:type="pct"/>
            <w:tcBorders>
              <w:tl2br w:val="nil"/>
              <w:tr2bl w:val="nil"/>
            </w:tcBorders>
            <w:noWrap/>
            <w:vAlign w:val="center"/>
          </w:tcPr>
          <w:p>
            <w:pPr>
              <w:spacing w:line="240" w:lineRule="atLeast"/>
              <w:ind w:firstLine="0" w:firstLineChars="0"/>
              <w:jc w:val="center"/>
              <w:rPr>
                <w:sz w:val="21"/>
                <w:szCs w:val="21"/>
              </w:rPr>
            </w:pPr>
            <w:r>
              <w:rPr>
                <w:sz w:val="21"/>
                <w:szCs w:val="21"/>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545" w:type="pct"/>
            <w:tcBorders>
              <w:tl2br w:val="nil"/>
              <w:tr2bl w:val="nil"/>
            </w:tcBorders>
            <w:noWrap/>
            <w:vAlign w:val="center"/>
          </w:tcPr>
          <w:p>
            <w:pPr>
              <w:spacing w:line="240" w:lineRule="atLeast"/>
              <w:ind w:firstLine="0" w:firstLineChars="0"/>
              <w:jc w:val="center"/>
              <w:rPr>
                <w:sz w:val="21"/>
                <w:szCs w:val="21"/>
              </w:rPr>
            </w:pPr>
            <w:r>
              <w:rPr>
                <w:sz w:val="21"/>
                <w:szCs w:val="21"/>
              </w:rPr>
              <w:t>合计</w:t>
            </w:r>
          </w:p>
        </w:tc>
        <w:tc>
          <w:tcPr>
            <w:tcW w:w="960" w:type="pct"/>
            <w:tcBorders>
              <w:tl2br w:val="nil"/>
              <w:tr2bl w:val="nil"/>
            </w:tcBorders>
            <w:noWrap/>
            <w:vAlign w:val="center"/>
          </w:tcPr>
          <w:p>
            <w:pPr>
              <w:spacing w:line="240" w:lineRule="atLeast"/>
              <w:ind w:firstLine="0" w:firstLineChars="0"/>
              <w:jc w:val="center"/>
              <w:rPr>
                <w:sz w:val="21"/>
                <w:szCs w:val="21"/>
              </w:rPr>
            </w:pPr>
          </w:p>
        </w:tc>
        <w:tc>
          <w:tcPr>
            <w:tcW w:w="908" w:type="pct"/>
            <w:tcBorders>
              <w:tl2br w:val="nil"/>
              <w:tr2bl w:val="nil"/>
            </w:tcBorders>
            <w:noWrap/>
            <w:vAlign w:val="center"/>
          </w:tcPr>
          <w:p>
            <w:pPr>
              <w:spacing w:line="240" w:lineRule="atLeast"/>
              <w:ind w:firstLine="0" w:firstLineChars="0"/>
              <w:jc w:val="center"/>
              <w:rPr>
                <w:sz w:val="21"/>
                <w:szCs w:val="21"/>
              </w:rPr>
            </w:pPr>
          </w:p>
        </w:tc>
        <w:tc>
          <w:tcPr>
            <w:tcW w:w="764" w:type="pct"/>
            <w:tcBorders>
              <w:tl2br w:val="nil"/>
              <w:tr2bl w:val="nil"/>
            </w:tcBorders>
            <w:noWrap/>
            <w:vAlign w:val="center"/>
          </w:tcPr>
          <w:p>
            <w:pPr>
              <w:spacing w:line="240" w:lineRule="atLeast"/>
              <w:ind w:firstLine="0" w:firstLineChars="0"/>
              <w:jc w:val="center"/>
              <w:rPr>
                <w:sz w:val="21"/>
                <w:szCs w:val="21"/>
              </w:rPr>
            </w:pPr>
          </w:p>
        </w:tc>
        <w:tc>
          <w:tcPr>
            <w:tcW w:w="910" w:type="pct"/>
            <w:tcBorders>
              <w:tl2br w:val="nil"/>
              <w:tr2bl w:val="nil"/>
            </w:tcBorders>
            <w:noWrap/>
            <w:vAlign w:val="center"/>
          </w:tcPr>
          <w:p>
            <w:pPr>
              <w:spacing w:line="240" w:lineRule="atLeast"/>
              <w:ind w:firstLine="0" w:firstLineChars="0"/>
              <w:jc w:val="center"/>
              <w:rPr>
                <w:sz w:val="21"/>
                <w:szCs w:val="21"/>
              </w:rPr>
            </w:pPr>
            <w:r>
              <w:rPr>
                <w:rFonts w:hint="eastAsia"/>
                <w:sz w:val="21"/>
                <w:szCs w:val="21"/>
              </w:rPr>
              <w:t>20</w:t>
            </w:r>
          </w:p>
        </w:tc>
        <w:tc>
          <w:tcPr>
            <w:tcW w:w="910" w:type="pct"/>
            <w:tcBorders>
              <w:tl2br w:val="nil"/>
              <w:tr2bl w:val="nil"/>
            </w:tcBorders>
            <w:noWrap/>
            <w:vAlign w:val="center"/>
          </w:tcPr>
          <w:p>
            <w:pPr>
              <w:spacing w:line="240" w:lineRule="atLeast"/>
              <w:ind w:firstLine="0" w:firstLineChars="0"/>
              <w:jc w:val="center"/>
              <w:rPr>
                <w:sz w:val="21"/>
                <w:szCs w:val="21"/>
              </w:rPr>
            </w:pPr>
            <w:r>
              <w:rPr>
                <w:rFonts w:hint="eastAsia"/>
                <w:sz w:val="21"/>
                <w:szCs w:val="21"/>
              </w:rPr>
              <w:t>29</w:t>
            </w:r>
          </w:p>
        </w:tc>
      </w:tr>
    </w:tbl>
    <w:p>
      <w:pPr>
        <w:pStyle w:val="456"/>
        <w:ind w:firstLine="482"/>
        <w:rPr>
          <w:lang w:val="en-US"/>
        </w:rPr>
      </w:pPr>
      <w:bookmarkStart w:id="292" w:name="_Toc68716920"/>
      <w:bookmarkStart w:id="293" w:name="_Toc106098845"/>
      <w:r>
        <w:rPr>
          <w:rFonts w:hint="eastAsia"/>
          <w:lang w:val="en-US"/>
        </w:rPr>
        <w:t>长江江豚保护措施</w:t>
      </w:r>
      <w:bookmarkEnd w:id="292"/>
      <w:bookmarkEnd w:id="293"/>
    </w:p>
    <w:p>
      <w:pPr>
        <w:ind w:firstLine="480"/>
      </w:pPr>
      <w:r>
        <w:t>《岳阳港总体规划（2017-2035年）环境影响报告书》中有关水生生物的措施中提出，注意重要旗舰物种的防护，针对长江保护动物意外伤害事件，特别是对</w:t>
      </w:r>
      <w:r>
        <w:rPr>
          <w:rFonts w:hint="eastAsia"/>
          <w:lang w:val="en-US" w:eastAsia="zh-CN"/>
        </w:rPr>
        <w:t>长江</w:t>
      </w:r>
      <w:r>
        <w:t>江豚、中华鲟等珍稀鱼类造成的意外伤害事件，制定相应应急预案。施工时进行</w:t>
      </w:r>
      <w:r>
        <w:rPr>
          <w:rFonts w:hint="eastAsia"/>
          <w:lang w:val="en-US" w:eastAsia="zh-CN"/>
        </w:rPr>
        <w:t>长江</w:t>
      </w:r>
      <w:r>
        <w:t>江豚监控和预警。本项目提出的施工期观察保护、现场临时救护预案、科普教育与救护培训、水下声学监控等措施，与之相符。</w:t>
      </w:r>
    </w:p>
    <w:p>
      <w:pPr>
        <w:autoSpaceDE w:val="0"/>
        <w:autoSpaceDN w:val="0"/>
        <w:ind w:firstLine="482"/>
        <w:rPr>
          <w:b/>
          <w:bCs/>
        </w:rPr>
      </w:pPr>
      <w:r>
        <w:rPr>
          <w:b/>
          <w:bCs/>
        </w:rPr>
        <w:t>（一）施工期长江江豚保护措施</w:t>
      </w:r>
    </w:p>
    <w:p>
      <w:pPr>
        <w:ind w:firstLine="482"/>
        <w:rPr>
          <w:b/>
        </w:rPr>
      </w:pPr>
      <w:r>
        <w:rPr>
          <w:b/>
        </w:rPr>
        <w:t>1、组织措施</w:t>
      </w:r>
    </w:p>
    <w:p>
      <w:pPr>
        <w:ind w:firstLine="480"/>
      </w:pPr>
      <w:r>
        <w:t>（1）长江江豚的分娩期为4~6月，施工阶段每年4~6月长江江豚繁殖期停止水上作业。</w:t>
      </w:r>
    </w:p>
    <w:p>
      <w:pPr>
        <w:ind w:firstLine="480"/>
      </w:pPr>
      <w:r>
        <w:t>（2）聘请</w:t>
      </w:r>
      <w:r>
        <w:rPr>
          <w:rFonts w:hint="eastAsia"/>
          <w:lang w:val="en-US" w:eastAsia="zh-CN"/>
        </w:rPr>
        <w:t>长江</w:t>
      </w:r>
      <w:r>
        <w:t>江豚研究专家为项目部长江江豚保护顾问，接受其相关意见和建议。</w:t>
      </w:r>
    </w:p>
    <w:p>
      <w:pPr>
        <w:ind w:firstLine="482"/>
        <w:rPr>
          <w:b/>
        </w:rPr>
      </w:pPr>
      <w:r>
        <w:rPr>
          <w:b/>
        </w:rPr>
        <w:t>2、施工期保护观察</w:t>
      </w:r>
    </w:p>
    <w:p>
      <w:pPr>
        <w:ind w:firstLine="480"/>
      </w:pPr>
      <w:r>
        <w:t>水上施工作业船舶均需配备长江江豚兼职观察员，同时安排船舶负责长江江豚现场保护观察和应急救援工作，每天开工前必须进行巡查，作业过程中不间断巡查本施工作业区及附近长江江豚的活动情况，一旦有长江江豚活动，立即通知项目部所属航行船舶采用减速航行、绕行、锚泊等待通过等多种措施，避免对长江江豚的影响。</w:t>
      </w:r>
    </w:p>
    <w:p>
      <w:pPr>
        <w:ind w:firstLine="480"/>
      </w:pPr>
      <w:r>
        <w:t>施工船舶进入作业区域作业前，长江江豚观察员应在船上视野开阔无遮挡处瞭望江面，确保附近水域无长江江豚活动迹象。施工过程中，观察员应始终如一地履行职责，对长江江豚的监视性观测应覆盖在施工船舶周围360°范围，持续观测时间应至少5min，以确认500m范围内是否有长江江豚出没。如果施工区域500m范围内发现长江江豚出没，应立即发出警示，施工作业立即停止，并尽量减少船舶机械设备的开动量，降低机械噪声，视具体情况让其安全通告，或利用竹竿敲击船体方式将其驱离施工区。只有施工区域360° 500m范围内连续5min未发现长江江豚出没迹象，方可进行施工作业。船舶起航前发动机至少运行2min，以主动驱离船舶周围可能的长江江豚。</w:t>
      </w:r>
    </w:p>
    <w:p>
      <w:pPr>
        <w:ind w:firstLine="482"/>
        <w:rPr>
          <w:b/>
        </w:rPr>
      </w:pPr>
      <w:r>
        <w:rPr>
          <w:b/>
        </w:rPr>
        <w:t>3、现场临时救护预案</w:t>
      </w:r>
    </w:p>
    <w:p>
      <w:pPr>
        <w:autoSpaceDE w:val="0"/>
        <w:autoSpaceDN w:val="0"/>
        <w:ind w:firstLine="480"/>
      </w:pPr>
      <w:bookmarkStart w:id="294" w:name="_Hlk67248350"/>
      <w:r>
        <w:t>如果发生船舶直接伤害长江江豚的事件，施工方及时向保护区管理机构报告，以便采取有效措施，对受伤的长江江豚进行救治救护。需要配备必要的救护设备。提前准备好网箱、彩布条、支架、药品等设备，在长江江豚意外事故发生时，采取以下救助措施，但必须在得到保护区主管单位的许可下方可执行。</w:t>
      </w:r>
    </w:p>
    <w:bookmarkEnd w:id="294"/>
    <w:p>
      <w:pPr>
        <w:autoSpaceDE w:val="0"/>
        <w:autoSpaceDN w:val="0"/>
        <w:ind w:firstLine="480"/>
      </w:pPr>
      <w:r>
        <w:t>临时围养长江江豚：搁浅或受伤在浅滩的长江江豚高度紧张会出现体力透支和心率衰竭现场，若直接放入长江会因呛水而死亡。因此，马上给长江江豚浇水（注意呼吸孔关闭后才向头部泼水），防止日晒和风吹，可采用棉织品如被单和毛巾披在长江江豚体表，露出呼吸孔。然后用网（或彩布条）围起半弧形，水深1.5m，面积约20m</w:t>
      </w:r>
      <w:r>
        <w:rPr>
          <w:vertAlign w:val="superscript"/>
        </w:rPr>
        <w:t>2</w:t>
      </w:r>
      <w:r>
        <w:t>，将长江江豚放入围网内。</w:t>
      </w:r>
    </w:p>
    <w:p>
      <w:pPr>
        <w:autoSpaceDE w:val="0"/>
        <w:autoSpaceDN w:val="0"/>
        <w:ind w:firstLine="480"/>
      </w:pPr>
      <w:r>
        <w:t>治疗与软释放：搁浅时间短的长江江豚，确认体力得到恢复，工作人员穿上湿式潜水服协助并监视长江江豚放归长江；搁浅时间长的长江江豚或受伤搁浅的长江江豚，需要进行外伤处理后再行处置。</w:t>
      </w:r>
    </w:p>
    <w:p>
      <w:pPr>
        <w:autoSpaceDE w:val="0"/>
        <w:autoSpaceDN w:val="0"/>
        <w:ind w:firstLine="480"/>
      </w:pPr>
      <w:r>
        <w:t>浅层伤口处理：用氧化锌软膏涂抹伤口或者用氧化锌软膏与维生素AD软膏1:1混合涂抹伤口，也可以用湿巾浸泡水后铺在体表，并不时向湿布（伤口部位）喷洒经稀释的高锰酸钾溶液和孔雀绿溶液。</w:t>
      </w:r>
    </w:p>
    <w:p>
      <w:pPr>
        <w:autoSpaceDE w:val="0"/>
        <w:autoSpaceDN w:val="0"/>
        <w:ind w:firstLine="480"/>
      </w:pPr>
      <w:r>
        <w:t>较深层伤口处理：用50mL的白醋加入1 000mL的生理盐水冲洗伤口后，视需要涂抹抗生素软膏（如氨苄青霉素、四环素和喹诺酮类抗生素）进行抗感染治疗。</w:t>
      </w:r>
    </w:p>
    <w:p>
      <w:pPr>
        <w:ind w:firstLine="480"/>
      </w:pPr>
      <w:r>
        <w:t>临时救护设备如：租用运输设备、购置增氧设备、药品等医疗卫生设备，专业网具等。</w:t>
      </w:r>
    </w:p>
    <w:p>
      <w:pPr>
        <w:ind w:firstLine="482"/>
        <w:rPr>
          <w:b/>
        </w:rPr>
      </w:pPr>
      <w:r>
        <w:rPr>
          <w:b/>
        </w:rPr>
        <w:t>4、科普教育与救护培训</w:t>
      </w:r>
    </w:p>
    <w:p>
      <w:pPr>
        <w:ind w:firstLine="480"/>
        <w:rPr>
          <w:bCs/>
        </w:rPr>
      </w:pPr>
      <w:r>
        <w:rPr>
          <w:bCs/>
        </w:rPr>
        <w:t>为确保施工期间</w:t>
      </w:r>
      <w:r>
        <w:rPr>
          <w:rFonts w:hint="eastAsia"/>
          <w:lang w:val="en-US" w:eastAsia="zh-CN"/>
        </w:rPr>
        <w:t>长江</w:t>
      </w:r>
      <w:r>
        <w:rPr>
          <w:bCs/>
        </w:rPr>
        <w:t>江豚临时性救护工作，施工前施工单位聘请专业人员进行培训，对长江江豚保护救助领导工作小组成员和施工人员进行3天培训。</w:t>
      </w:r>
    </w:p>
    <w:p>
      <w:pPr>
        <w:autoSpaceDE w:val="0"/>
        <w:autoSpaceDN w:val="0"/>
        <w:ind w:firstLine="482"/>
        <w:rPr>
          <w:b/>
          <w:bCs/>
        </w:rPr>
      </w:pPr>
      <w:r>
        <w:rPr>
          <w:b/>
          <w:bCs/>
        </w:rPr>
        <w:t>（二）运行期保护措施</w:t>
      </w:r>
    </w:p>
    <w:p>
      <w:pPr>
        <w:autoSpaceDE w:val="0"/>
        <w:autoSpaceDN w:val="0"/>
        <w:ind w:firstLine="480"/>
      </w:pPr>
      <w:r>
        <w:t>（1）长江监利段长江江豚监测</w:t>
      </w:r>
    </w:p>
    <w:p>
      <w:pPr>
        <w:autoSpaceDE w:val="0"/>
        <w:autoSpaceDN w:val="0"/>
        <w:ind w:firstLine="480"/>
      </w:pPr>
      <w:r>
        <w:t>为评估项目建成后对长江江豚的影响，需对长江岳阳段长江江豚的分布、数量、迁徙规律等进行调查。建议业主出资委托专业机构对该区域的长江江豚进行专项调查。具体监测时间和频次见</w:t>
      </w:r>
      <w:r>
        <w:rPr>
          <w:rFonts w:hint="eastAsia"/>
        </w:rPr>
        <w:t>6.4.7.2</w:t>
      </w:r>
      <w:r>
        <w:t xml:space="preserve">章节。 </w:t>
      </w:r>
    </w:p>
    <w:p>
      <w:pPr>
        <w:autoSpaceDE w:val="0"/>
        <w:autoSpaceDN w:val="0"/>
        <w:ind w:firstLine="480"/>
      </w:pPr>
      <w:r>
        <w:t>监测内容为工程所在水域长江江豚种群数量、分布及迁徙活动规律。</w:t>
      </w:r>
    </w:p>
    <w:p>
      <w:pPr>
        <w:autoSpaceDE w:val="0"/>
        <w:autoSpaceDN w:val="0"/>
        <w:ind w:firstLine="480"/>
      </w:pPr>
      <w:r>
        <w:t>同时，保护区管理单位需加大宣传和保护力度。</w:t>
      </w:r>
    </w:p>
    <w:p>
      <w:pPr>
        <w:pStyle w:val="208"/>
        <w:ind w:firstLine="480"/>
      </w:pPr>
      <w:r>
        <w:t>（2）设置水下声学监测点</w:t>
      </w:r>
    </w:p>
    <w:p>
      <w:pPr>
        <w:pStyle w:val="208"/>
        <w:ind w:firstLine="480"/>
      </w:pPr>
      <w:r>
        <w:t>在工程区上游、下游和靠近江心侧，布设3台水下声学记录仪，对码头区域</w:t>
      </w:r>
      <w:r>
        <w:rPr>
          <w:rFonts w:hint="eastAsia"/>
          <w:lang w:val="en-US" w:eastAsia="zh-CN"/>
        </w:rPr>
        <w:t>长江</w:t>
      </w:r>
      <w:r>
        <w:t>江豚进行监控，以了解长江江豚在码头区域的活动规律。</w:t>
      </w:r>
    </w:p>
    <w:p>
      <w:pPr>
        <w:pStyle w:val="208"/>
        <w:ind w:firstLine="480"/>
      </w:pPr>
      <w:r>
        <w:t>（3）运行期船舶限制</w:t>
      </w:r>
    </w:p>
    <w:p>
      <w:pPr>
        <w:pStyle w:val="208"/>
        <w:ind w:firstLine="480"/>
      </w:pPr>
      <w:r>
        <w:t>根据目前已有类似项目经验，暂定航行船舶限制如下：</w:t>
      </w:r>
    </w:p>
    <w:p>
      <w:pPr>
        <w:pStyle w:val="208"/>
        <w:ind w:firstLine="480"/>
      </w:pPr>
      <w:r>
        <w:rPr>
          <w:rFonts w:hint="eastAsia" w:hAnsi="宋体" w:cs="宋体"/>
        </w:rPr>
        <w:t>①</w:t>
      </w:r>
      <w:r>
        <w:t>对航行船舶经过保护区水域时进行限速，设定25km/h的最快速度限制。</w:t>
      </w:r>
    </w:p>
    <w:p>
      <w:pPr>
        <w:pStyle w:val="208"/>
        <w:ind w:firstLine="480"/>
      </w:pPr>
      <w:r>
        <w:rPr>
          <w:rFonts w:hint="eastAsia" w:hAnsi="宋体" w:cs="宋体"/>
        </w:rPr>
        <w:t>②</w:t>
      </w:r>
      <w:r>
        <w:t>控制通行船舶间距，尽可能给长江江豚留出活动通道和空间，枯水季节尤其要特别注意控制航行船只密度和数量。一般而言，相邻两船舶之间距离不小于200m。</w:t>
      </w:r>
    </w:p>
    <w:p>
      <w:pPr>
        <w:pStyle w:val="208"/>
        <w:ind w:firstLine="480"/>
      </w:pPr>
      <w:r>
        <w:rPr>
          <w:rFonts w:hint="eastAsia" w:hAnsi="宋体" w:cs="宋体"/>
        </w:rPr>
        <w:t>③</w:t>
      </w:r>
      <w:r>
        <w:t>限定航道，防止船舶在保护区区域随意行驶。</w:t>
      </w:r>
    </w:p>
    <w:p>
      <w:pPr>
        <w:autoSpaceDE w:val="0"/>
        <w:autoSpaceDN w:val="0"/>
        <w:adjustRightInd w:val="0"/>
        <w:ind w:firstLine="480"/>
        <w:jc w:val="left"/>
      </w:pPr>
      <w:r>
        <w:t>制定通航管理规定，由当地海事部门落实，并和保护区管理单位一起向各船舶证所有者进行科普宣传，在各船舶停靠码头处树立相关宣传标语和警示牌。</w:t>
      </w:r>
    </w:p>
    <w:p>
      <w:pPr>
        <w:pStyle w:val="454"/>
        <w:ind w:firstLine="602"/>
        <w:rPr>
          <w:color w:val="auto"/>
          <w:lang w:val="en-US"/>
        </w:rPr>
      </w:pPr>
      <w:bookmarkStart w:id="295" w:name="_Toc68716923"/>
      <w:bookmarkStart w:id="296" w:name="_Toc105949373"/>
      <w:bookmarkStart w:id="297" w:name="_Toc62388150"/>
      <w:bookmarkStart w:id="298" w:name="_Toc106098846"/>
      <w:r>
        <w:rPr>
          <w:rFonts w:hint="eastAsia"/>
          <w:color w:val="auto"/>
          <w:lang w:val="en-US"/>
        </w:rPr>
        <w:t>水生生态监测</w:t>
      </w:r>
      <w:bookmarkEnd w:id="295"/>
      <w:bookmarkEnd w:id="296"/>
      <w:bookmarkEnd w:id="297"/>
      <w:bookmarkEnd w:id="298"/>
    </w:p>
    <w:p>
      <w:pPr>
        <w:ind w:firstLine="480"/>
      </w:pPr>
      <w:r>
        <w:t>《岳阳港总体规划（2017-2035年）环境影响报告书》中有关水生生物的措施中提出，开展水生生态影响监测。建议在施工期和营运期开展水生生态监测。监测内容为规划江段范围内水生生物种类、数量、分布等特征的动态变化以及相关的水质、水文条件及底质的变化。本项目提出的水生生态监测措施与之相符。</w:t>
      </w:r>
    </w:p>
    <w:p>
      <w:pPr>
        <w:pStyle w:val="456"/>
        <w:ind w:firstLine="482"/>
        <w:rPr>
          <w:lang w:val="en-US"/>
        </w:rPr>
      </w:pPr>
      <w:bookmarkStart w:id="299" w:name="_Toc106098847"/>
      <w:bookmarkStart w:id="300" w:name="_Toc68716924"/>
      <w:r>
        <w:rPr>
          <w:rFonts w:hint="eastAsia"/>
          <w:lang w:val="en-US"/>
        </w:rPr>
        <w:t>监测内容</w:t>
      </w:r>
      <w:bookmarkEnd w:id="299"/>
      <w:bookmarkEnd w:id="300"/>
    </w:p>
    <w:p>
      <w:pPr>
        <w:ind w:firstLine="544" w:firstLineChars="227"/>
      </w:pPr>
      <w:r>
        <w:t>建设期和营运期在施工河段范围内进行浮游生物、底栖动物、水生维管束植物、鱼类种群动态、鱼类产卵场、长江江豚监测。通过监测，统计分析该河段水生生物和鱼类种类组成、资源量变化趋势，分析其变化原因。</w:t>
      </w:r>
    </w:p>
    <w:p>
      <w:pPr>
        <w:wordWrap w:val="0"/>
        <w:ind w:firstLine="480"/>
        <w:rPr>
          <w:rFonts w:eastAsiaTheme="minorEastAsia"/>
        </w:rPr>
      </w:pPr>
      <w:r>
        <w:rPr>
          <w:rFonts w:eastAsiaTheme="minorEastAsia"/>
        </w:rPr>
        <w:t>施工期水生态监测内容：水文、</w:t>
      </w:r>
      <w:r>
        <w:t>水动力学特征、</w:t>
      </w:r>
      <w:r>
        <w:rPr>
          <w:rFonts w:eastAsiaTheme="minorEastAsia"/>
        </w:rPr>
        <w:t>SS、噪声、水体理化性质（主要为N、P、溶解氧、pH等）；浮游植物、浮游动物、底栖动物的种类、生物量和密度；水生维管束植物种类及数量；鱼类的种类组成、资源量的时空分布及累积变化效应。</w:t>
      </w:r>
    </w:p>
    <w:p>
      <w:pPr>
        <w:wordWrap w:val="0"/>
        <w:ind w:firstLine="480"/>
        <w:rPr>
          <w:rFonts w:eastAsiaTheme="minorEastAsia"/>
        </w:rPr>
      </w:pPr>
      <w:r>
        <w:rPr>
          <w:rFonts w:eastAsiaTheme="minorEastAsia"/>
        </w:rPr>
        <w:t>营运期水生态监测内容：水文、</w:t>
      </w:r>
      <w:r>
        <w:t>水动力学特征、</w:t>
      </w:r>
      <w:r>
        <w:rPr>
          <w:rFonts w:eastAsiaTheme="minorEastAsia"/>
        </w:rPr>
        <w:t>水体理化性质（主要为N、P、溶解氧、pH等）；浮游植物、浮游动物、底栖动物的种类、生物量和密度；水生维管束植物种类及数量；鱼类的种类组成、资源量的时空分布及累积变化效应、鱼类“三场”。</w:t>
      </w:r>
    </w:p>
    <w:p>
      <w:pPr>
        <w:wordWrap w:val="0"/>
        <w:ind w:firstLine="480"/>
        <w:rPr>
          <w:rFonts w:eastAsiaTheme="minorEastAsia"/>
        </w:rPr>
      </w:pPr>
      <w:r>
        <w:rPr>
          <w:rFonts w:eastAsiaTheme="minorEastAsia"/>
        </w:rPr>
        <w:t>监测断面和区域：水生生物设置码头、码头上游、码头下游、核心区七里山码头4个监测断面。</w:t>
      </w:r>
    </w:p>
    <w:p>
      <w:pPr>
        <w:pStyle w:val="456"/>
        <w:ind w:firstLine="482"/>
        <w:rPr>
          <w:lang w:val="en-US"/>
        </w:rPr>
      </w:pPr>
      <w:bookmarkStart w:id="301" w:name="_Toc106098848"/>
      <w:bookmarkStart w:id="302" w:name="_Toc68716925"/>
      <w:r>
        <w:rPr>
          <w:rFonts w:hint="eastAsia"/>
          <w:lang w:val="en-US"/>
        </w:rPr>
        <w:t>监测时段和周期</w:t>
      </w:r>
      <w:bookmarkEnd w:id="301"/>
      <w:bookmarkEnd w:id="302"/>
    </w:p>
    <w:p>
      <w:pPr>
        <w:ind w:firstLine="480"/>
      </w:pPr>
      <w:r>
        <w:t>鱼类资源、水生生物监测时间为施工期</w:t>
      </w:r>
      <w:r>
        <w:rPr>
          <w:rFonts w:hint="eastAsia"/>
        </w:rPr>
        <w:t>2</w:t>
      </w:r>
      <w:r>
        <w:t>年，营运期</w:t>
      </w:r>
      <w:r>
        <w:rPr>
          <w:rFonts w:hint="eastAsia"/>
        </w:rPr>
        <w:t>3</w:t>
      </w:r>
      <w:r>
        <w:t>年，每年5月、9月各监测1次。</w:t>
      </w:r>
    </w:p>
    <w:p>
      <w:pPr>
        <w:pStyle w:val="454"/>
        <w:ind w:firstLine="602"/>
        <w:rPr>
          <w:color w:val="auto"/>
          <w:lang w:val="en-US"/>
        </w:rPr>
      </w:pPr>
      <w:bookmarkStart w:id="303" w:name="_Toc62388151"/>
      <w:bookmarkStart w:id="304" w:name="_Toc68716926"/>
      <w:bookmarkStart w:id="305" w:name="_Toc106098849"/>
      <w:bookmarkStart w:id="306" w:name="_Toc105949374"/>
      <w:r>
        <w:rPr>
          <w:rFonts w:hint="eastAsia"/>
          <w:color w:val="auto"/>
          <w:lang w:val="en-US"/>
        </w:rPr>
        <w:t xml:space="preserve"> 建立协调机构</w:t>
      </w:r>
      <w:bookmarkEnd w:id="303"/>
      <w:bookmarkEnd w:id="304"/>
      <w:bookmarkEnd w:id="305"/>
      <w:bookmarkEnd w:id="306"/>
    </w:p>
    <w:p>
      <w:pPr>
        <w:ind w:firstLine="480"/>
      </w:pPr>
      <w:r>
        <w:t>项目建设单位应与保护区管理机构以及渔政部门组建协调小组，加强施工期和营运期对保护区以及施工区域的管理。工程施工期和营运期的保护措施由保护区管理部门及渔政部门设立专门工作小组负责开展。工程建设单位应遵照执行《水产种质资源保护区的管理暂行办法》，加强施工管理，在施工人员中开展该办法的宣传教育工作，服从保护区监管，尽量减少工程施工对水产种质资源的影响。</w:t>
      </w:r>
    </w:p>
    <w:p>
      <w:pPr>
        <w:ind w:firstLine="480"/>
      </w:pPr>
      <w:r>
        <w:t>针对本工程施工会对洞庭湖口铜鱼短颌鲚国家级水产种质资源保护区及其附近水域的鱼类资源带来的影响，应设置专项补偿费用于保护区的鱼类资源保护，根据保护的实际需要进行使用，经费使用接受保护区主管单位监督</w:t>
      </w:r>
      <w:r>
        <w:rPr>
          <w:rFonts w:eastAsiaTheme="minorEastAsia"/>
        </w:rPr>
        <w:t>落，实补偿方案，或由其委托保护区管理单位负责，组织有关单位实施。</w:t>
      </w:r>
    </w:p>
    <w:p>
      <w:pPr>
        <w:pStyle w:val="454"/>
        <w:ind w:firstLine="602"/>
        <w:rPr>
          <w:color w:val="auto"/>
          <w:lang w:val="en-US"/>
        </w:rPr>
      </w:pPr>
      <w:bookmarkStart w:id="307" w:name="_Toc106098850"/>
      <w:bookmarkStart w:id="308" w:name="_Toc68716922"/>
      <w:bookmarkStart w:id="309" w:name="_Toc62388149"/>
      <w:bookmarkStart w:id="310" w:name="_Toc105949375"/>
      <w:r>
        <w:rPr>
          <w:rFonts w:hint="eastAsia"/>
          <w:color w:val="auto"/>
          <w:lang w:val="en-US"/>
        </w:rPr>
        <w:t xml:space="preserve"> 渔业资源补偿</w:t>
      </w:r>
      <w:bookmarkEnd w:id="307"/>
      <w:bookmarkEnd w:id="308"/>
      <w:bookmarkEnd w:id="309"/>
      <w:bookmarkEnd w:id="310"/>
    </w:p>
    <w:p>
      <w:pPr>
        <w:ind w:firstLine="480"/>
        <w:rPr>
          <w:rFonts w:hint="eastAsia" w:eastAsia="宋体"/>
          <w:lang w:eastAsia="zh-CN"/>
        </w:rPr>
      </w:pPr>
      <w:r>
        <w:t>项目实施前，业主单位应与保护区管理部门沟通和协商，对评估的渔业资源损失进行经济补偿，并将渔业资源补偿费用纳入环保投资。渔业资源补偿内容主要包括施工期驱鱼及</w:t>
      </w:r>
      <w:r>
        <w:rPr>
          <w:rFonts w:hint="eastAsia"/>
        </w:rPr>
        <w:t>水生生物救护</w:t>
      </w:r>
      <w:r>
        <w:t>、水生生态监测、生态修复、增殖放流、日常监督及宣传等。生态保护补偿的主要内容和费用概算见下表，总概算</w:t>
      </w:r>
      <w:r>
        <w:rPr>
          <w:rFonts w:hint="eastAsia"/>
        </w:rPr>
        <w:t>330</w:t>
      </w:r>
      <w:r>
        <w:t>万元。</w:t>
      </w:r>
      <w:r>
        <w:rPr>
          <w:rFonts w:hint="eastAsia"/>
          <w:lang w:eastAsia="zh-CN"/>
        </w:rPr>
        <w:t>目前暂未签订生态补偿协议，待专题报告报批前签订</w:t>
      </w:r>
      <w:r>
        <w:t>。</w:t>
      </w:r>
    </w:p>
    <w:p>
      <w:pPr>
        <w:pStyle w:val="3588"/>
        <w:numPr>
          <w:ilvl w:val="0"/>
          <w:numId w:val="0"/>
        </w:numPr>
        <w:spacing w:line="240" w:lineRule="auto"/>
      </w:pPr>
      <w:r>
        <w:t>表</w:t>
      </w:r>
      <w:r>
        <w:rPr>
          <w:rFonts w:hint="eastAsia"/>
        </w:rPr>
        <w:t>6-3</w:t>
      </w:r>
      <w:r>
        <w:t>生态保护补偿费用概算表</w:t>
      </w:r>
    </w:p>
    <w:tbl>
      <w:tblPr>
        <w:tblStyle w:val="8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48"/>
        <w:gridCol w:w="868"/>
        <w:gridCol w:w="795"/>
        <w:gridCol w:w="62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725" w:type="pct"/>
            <w:tcBorders>
              <w:bottom w:val="single" w:color="auto" w:sz="12" w:space="0"/>
            </w:tcBorders>
            <w:vAlign w:val="center"/>
          </w:tcPr>
          <w:p>
            <w:pPr>
              <w:spacing w:line="240" w:lineRule="atLeast"/>
              <w:ind w:firstLine="0" w:firstLineChars="0"/>
              <w:jc w:val="center"/>
              <w:rPr>
                <w:b/>
                <w:bCs/>
                <w:sz w:val="21"/>
                <w:szCs w:val="21"/>
              </w:rPr>
            </w:pPr>
            <w:r>
              <w:rPr>
                <w:b/>
                <w:bCs/>
                <w:sz w:val="21"/>
                <w:szCs w:val="21"/>
              </w:rPr>
              <w:t>项目</w:t>
            </w:r>
          </w:p>
        </w:tc>
        <w:tc>
          <w:tcPr>
            <w:tcW w:w="467" w:type="pct"/>
            <w:tcBorders>
              <w:bottom w:val="single" w:color="auto" w:sz="12" w:space="0"/>
            </w:tcBorders>
            <w:vAlign w:val="center"/>
          </w:tcPr>
          <w:p>
            <w:pPr>
              <w:spacing w:line="240" w:lineRule="atLeast"/>
              <w:ind w:firstLine="0" w:firstLineChars="0"/>
              <w:jc w:val="center"/>
              <w:rPr>
                <w:b/>
                <w:bCs/>
                <w:sz w:val="21"/>
                <w:szCs w:val="21"/>
              </w:rPr>
            </w:pPr>
            <w:r>
              <w:rPr>
                <w:b/>
                <w:bCs/>
                <w:sz w:val="21"/>
                <w:szCs w:val="21"/>
              </w:rPr>
              <w:t>实施年限</w:t>
            </w:r>
            <w:r>
              <w:rPr>
                <w:rFonts w:hint="eastAsia"/>
                <w:b/>
                <w:bCs/>
                <w:sz w:val="21"/>
                <w:szCs w:val="21"/>
              </w:rPr>
              <w:t>/</w:t>
            </w:r>
            <w:r>
              <w:rPr>
                <w:b/>
                <w:bCs/>
                <w:sz w:val="21"/>
                <w:szCs w:val="21"/>
              </w:rPr>
              <w:t>年</w:t>
            </w:r>
          </w:p>
        </w:tc>
        <w:tc>
          <w:tcPr>
            <w:tcW w:w="428" w:type="pct"/>
            <w:tcBorders>
              <w:bottom w:val="single" w:color="auto" w:sz="12" w:space="0"/>
            </w:tcBorders>
            <w:vAlign w:val="center"/>
          </w:tcPr>
          <w:p>
            <w:pPr>
              <w:spacing w:line="240" w:lineRule="atLeast"/>
              <w:ind w:firstLine="0" w:firstLineChars="0"/>
              <w:jc w:val="center"/>
              <w:rPr>
                <w:b/>
                <w:bCs/>
                <w:sz w:val="21"/>
                <w:szCs w:val="21"/>
              </w:rPr>
            </w:pPr>
            <w:r>
              <w:rPr>
                <w:b/>
                <w:bCs/>
                <w:sz w:val="21"/>
                <w:szCs w:val="21"/>
              </w:rPr>
              <w:t>预算经费</w:t>
            </w:r>
          </w:p>
          <w:p>
            <w:pPr>
              <w:spacing w:line="240" w:lineRule="atLeast"/>
              <w:ind w:firstLine="0" w:firstLineChars="0"/>
              <w:jc w:val="center"/>
              <w:rPr>
                <w:b/>
                <w:bCs/>
                <w:sz w:val="21"/>
                <w:szCs w:val="21"/>
              </w:rPr>
            </w:pPr>
            <w:r>
              <w:rPr>
                <w:rFonts w:hint="eastAsia"/>
                <w:b/>
                <w:bCs/>
                <w:sz w:val="21"/>
                <w:szCs w:val="21"/>
              </w:rPr>
              <w:t>/</w:t>
            </w:r>
            <w:r>
              <w:rPr>
                <w:b/>
                <w:bCs/>
                <w:sz w:val="21"/>
                <w:szCs w:val="21"/>
              </w:rPr>
              <w:t>万元</w:t>
            </w:r>
          </w:p>
        </w:tc>
        <w:tc>
          <w:tcPr>
            <w:tcW w:w="3378" w:type="pct"/>
            <w:tcBorders>
              <w:bottom w:val="single" w:color="auto" w:sz="12" w:space="0"/>
            </w:tcBorders>
            <w:vAlign w:val="center"/>
          </w:tcPr>
          <w:p>
            <w:pPr>
              <w:spacing w:line="240" w:lineRule="atLeast"/>
              <w:ind w:firstLine="0" w:firstLineChars="0"/>
              <w:jc w:val="center"/>
              <w:rPr>
                <w:b/>
                <w:bCs/>
                <w:sz w:val="21"/>
                <w:szCs w:val="21"/>
              </w:rPr>
            </w:pPr>
            <w:r>
              <w:rPr>
                <w:b/>
                <w:bCs/>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725" w:type="pct"/>
            <w:tcBorders>
              <w:top w:val="single" w:color="auto" w:sz="12" w:space="0"/>
              <w:tl2br w:val="nil"/>
              <w:tr2bl w:val="nil"/>
            </w:tcBorders>
            <w:vAlign w:val="center"/>
          </w:tcPr>
          <w:p>
            <w:pPr>
              <w:spacing w:line="240" w:lineRule="atLeast"/>
              <w:ind w:firstLine="0" w:firstLineChars="0"/>
              <w:jc w:val="center"/>
              <w:rPr>
                <w:sz w:val="21"/>
                <w:szCs w:val="21"/>
              </w:rPr>
            </w:pPr>
            <w:r>
              <w:rPr>
                <w:sz w:val="21"/>
                <w:szCs w:val="21"/>
              </w:rPr>
              <w:t>一、超声波驱鱼及珍稀水生动物临时救护</w:t>
            </w:r>
          </w:p>
        </w:tc>
        <w:tc>
          <w:tcPr>
            <w:tcW w:w="467" w:type="pct"/>
            <w:tcBorders>
              <w:top w:val="single" w:color="auto" w:sz="12" w:space="0"/>
              <w:tl2br w:val="nil"/>
              <w:tr2bl w:val="nil"/>
            </w:tcBorders>
            <w:vAlign w:val="center"/>
          </w:tcPr>
          <w:p>
            <w:pPr>
              <w:spacing w:line="240" w:lineRule="atLeast"/>
              <w:ind w:firstLine="0" w:firstLineChars="0"/>
              <w:jc w:val="center"/>
              <w:rPr>
                <w:sz w:val="21"/>
                <w:szCs w:val="21"/>
              </w:rPr>
            </w:pPr>
            <w:r>
              <w:rPr>
                <w:sz w:val="21"/>
                <w:szCs w:val="21"/>
              </w:rPr>
              <w:t>2</w:t>
            </w:r>
          </w:p>
        </w:tc>
        <w:tc>
          <w:tcPr>
            <w:tcW w:w="428" w:type="pct"/>
            <w:tcBorders>
              <w:top w:val="single" w:color="auto" w:sz="12" w:space="0"/>
              <w:tl2br w:val="nil"/>
              <w:tr2bl w:val="nil"/>
            </w:tcBorders>
            <w:vAlign w:val="center"/>
          </w:tcPr>
          <w:p>
            <w:pPr>
              <w:spacing w:line="240" w:lineRule="atLeast"/>
              <w:ind w:firstLine="0" w:firstLineChars="0"/>
              <w:jc w:val="center"/>
              <w:rPr>
                <w:sz w:val="21"/>
                <w:szCs w:val="21"/>
              </w:rPr>
            </w:pPr>
            <w:r>
              <w:rPr>
                <w:rFonts w:hint="eastAsia"/>
                <w:sz w:val="21"/>
                <w:szCs w:val="21"/>
              </w:rPr>
              <w:t>30</w:t>
            </w:r>
          </w:p>
        </w:tc>
        <w:tc>
          <w:tcPr>
            <w:tcW w:w="3378" w:type="pct"/>
            <w:tcBorders>
              <w:top w:val="single" w:color="auto" w:sz="12" w:space="0"/>
              <w:tl2br w:val="nil"/>
              <w:tr2bl w:val="nil"/>
            </w:tcBorders>
            <w:vAlign w:val="center"/>
          </w:tcPr>
          <w:p>
            <w:pPr>
              <w:spacing w:line="240" w:lineRule="atLeast"/>
              <w:ind w:firstLine="0" w:firstLineChars="0"/>
              <w:jc w:val="left"/>
              <w:rPr>
                <w:sz w:val="21"/>
                <w:szCs w:val="21"/>
              </w:rPr>
            </w:pPr>
            <w:r>
              <w:rPr>
                <w:rFonts w:hint="eastAsia"/>
                <w:sz w:val="21"/>
                <w:szCs w:val="21"/>
              </w:rPr>
              <w:t>①</w:t>
            </w:r>
            <w:r>
              <w:rPr>
                <w:sz w:val="21"/>
                <w:szCs w:val="21"/>
              </w:rPr>
              <w:t>超声波驱鱼：施工期在工程区上游、下游和靠近江心侧进行驱鱼。</w:t>
            </w:r>
          </w:p>
          <w:p>
            <w:pPr>
              <w:spacing w:line="240" w:lineRule="atLeast"/>
              <w:ind w:firstLine="0" w:firstLineChars="0"/>
              <w:jc w:val="left"/>
              <w:rPr>
                <w:sz w:val="21"/>
                <w:szCs w:val="21"/>
              </w:rPr>
            </w:pPr>
            <w:r>
              <w:rPr>
                <w:rFonts w:hint="eastAsia"/>
                <w:sz w:val="21"/>
                <w:szCs w:val="21"/>
              </w:rPr>
              <w:t>②</w:t>
            </w:r>
            <w:r>
              <w:rPr>
                <w:sz w:val="21"/>
                <w:szCs w:val="21"/>
              </w:rPr>
              <w:t>珍稀水生动物保护救助：用于施工期珍稀水生动物的救助、保护。</w:t>
            </w:r>
          </w:p>
          <w:p>
            <w:pPr>
              <w:spacing w:line="240" w:lineRule="atLeast"/>
              <w:ind w:firstLine="0" w:firstLineChars="0"/>
              <w:jc w:val="left"/>
              <w:rPr>
                <w:sz w:val="21"/>
                <w:szCs w:val="21"/>
              </w:rPr>
            </w:pPr>
            <w:r>
              <w:rPr>
                <w:rFonts w:hint="eastAsia"/>
                <w:sz w:val="21"/>
                <w:szCs w:val="21"/>
              </w:rPr>
              <w:t>③</w:t>
            </w:r>
            <w:r>
              <w:rPr>
                <w:sz w:val="21"/>
                <w:szCs w:val="21"/>
              </w:rPr>
              <w:t>长江江豚施工期保护观察，科普教育与救护培训等。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725" w:type="pct"/>
            <w:tcBorders>
              <w:tl2br w:val="nil"/>
              <w:tr2bl w:val="nil"/>
            </w:tcBorders>
            <w:vAlign w:val="center"/>
          </w:tcPr>
          <w:p>
            <w:pPr>
              <w:spacing w:line="240" w:lineRule="atLeast"/>
              <w:ind w:firstLine="0" w:firstLineChars="0"/>
              <w:jc w:val="center"/>
              <w:rPr>
                <w:sz w:val="21"/>
                <w:szCs w:val="21"/>
              </w:rPr>
            </w:pPr>
            <w:r>
              <w:rPr>
                <w:rFonts w:hint="eastAsia"/>
                <w:sz w:val="21"/>
                <w:szCs w:val="21"/>
              </w:rPr>
              <w:t>二</w:t>
            </w:r>
            <w:r>
              <w:rPr>
                <w:sz w:val="21"/>
                <w:szCs w:val="21"/>
              </w:rPr>
              <w:t>、水生生态监测</w:t>
            </w:r>
          </w:p>
        </w:tc>
        <w:tc>
          <w:tcPr>
            <w:tcW w:w="467" w:type="pct"/>
            <w:tcBorders>
              <w:tl2br w:val="nil"/>
              <w:tr2bl w:val="nil"/>
            </w:tcBorders>
            <w:vAlign w:val="center"/>
          </w:tcPr>
          <w:p>
            <w:pPr>
              <w:spacing w:line="240" w:lineRule="atLeast"/>
              <w:ind w:firstLine="0" w:firstLineChars="0"/>
              <w:jc w:val="center"/>
              <w:rPr>
                <w:sz w:val="21"/>
                <w:szCs w:val="21"/>
              </w:rPr>
            </w:pPr>
            <w:r>
              <w:rPr>
                <w:rFonts w:hint="eastAsia"/>
                <w:sz w:val="21"/>
                <w:szCs w:val="21"/>
              </w:rPr>
              <w:t>5</w:t>
            </w:r>
          </w:p>
        </w:tc>
        <w:tc>
          <w:tcPr>
            <w:tcW w:w="428" w:type="pct"/>
            <w:tcBorders>
              <w:tl2br w:val="nil"/>
              <w:tr2bl w:val="nil"/>
            </w:tcBorders>
            <w:vAlign w:val="center"/>
          </w:tcPr>
          <w:p>
            <w:pPr>
              <w:spacing w:line="240" w:lineRule="atLeast"/>
              <w:ind w:firstLine="0" w:firstLineChars="0"/>
              <w:jc w:val="center"/>
              <w:rPr>
                <w:sz w:val="21"/>
                <w:szCs w:val="21"/>
              </w:rPr>
            </w:pPr>
            <w:r>
              <w:rPr>
                <w:rFonts w:hint="eastAsia"/>
                <w:sz w:val="21"/>
                <w:szCs w:val="21"/>
              </w:rPr>
              <w:t>75</w:t>
            </w:r>
          </w:p>
        </w:tc>
        <w:tc>
          <w:tcPr>
            <w:tcW w:w="3378" w:type="pct"/>
            <w:tcBorders>
              <w:tl2br w:val="nil"/>
              <w:tr2bl w:val="nil"/>
            </w:tcBorders>
            <w:vAlign w:val="center"/>
          </w:tcPr>
          <w:p>
            <w:pPr>
              <w:spacing w:line="240" w:lineRule="atLeast"/>
              <w:ind w:firstLine="0" w:firstLineChars="0"/>
              <w:jc w:val="left"/>
              <w:rPr>
                <w:sz w:val="21"/>
                <w:szCs w:val="21"/>
              </w:rPr>
            </w:pPr>
            <w:r>
              <w:rPr>
                <w:sz w:val="21"/>
                <w:szCs w:val="21"/>
              </w:rPr>
              <w:t>鱼类及水生生物监测：码头、码头上游、码头下游、核心区七里山码头4个资源监测断面。监测时间为施工期</w:t>
            </w:r>
            <w:r>
              <w:rPr>
                <w:rFonts w:hint="eastAsia"/>
                <w:sz w:val="21"/>
                <w:szCs w:val="21"/>
              </w:rPr>
              <w:t>2</w:t>
            </w:r>
            <w:r>
              <w:rPr>
                <w:sz w:val="21"/>
                <w:szCs w:val="21"/>
              </w:rPr>
              <w:t>年，营运期</w:t>
            </w:r>
            <w:r>
              <w:rPr>
                <w:rFonts w:hint="eastAsia"/>
                <w:sz w:val="21"/>
                <w:szCs w:val="21"/>
              </w:rPr>
              <w:t>3</w:t>
            </w:r>
            <w:r>
              <w:rPr>
                <w:sz w:val="21"/>
                <w:szCs w:val="21"/>
              </w:rPr>
              <w:t>年。费用为每年</w:t>
            </w:r>
            <w:r>
              <w:rPr>
                <w:rFonts w:hint="eastAsia"/>
                <w:sz w:val="21"/>
                <w:szCs w:val="21"/>
              </w:rPr>
              <w:t>15</w:t>
            </w:r>
            <w:r>
              <w:rPr>
                <w:sz w:val="21"/>
                <w:szCs w:val="21"/>
              </w:rPr>
              <w:t>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725" w:type="pct"/>
            <w:tcBorders>
              <w:tl2br w:val="nil"/>
              <w:tr2bl w:val="nil"/>
            </w:tcBorders>
            <w:vAlign w:val="center"/>
          </w:tcPr>
          <w:p>
            <w:pPr>
              <w:spacing w:line="240" w:lineRule="atLeast"/>
              <w:ind w:firstLine="0" w:firstLineChars="0"/>
              <w:jc w:val="center"/>
              <w:rPr>
                <w:sz w:val="21"/>
                <w:szCs w:val="21"/>
              </w:rPr>
            </w:pPr>
            <w:r>
              <w:rPr>
                <w:rFonts w:hint="eastAsia"/>
                <w:sz w:val="21"/>
                <w:szCs w:val="21"/>
              </w:rPr>
              <w:t>三</w:t>
            </w:r>
            <w:r>
              <w:rPr>
                <w:sz w:val="21"/>
                <w:szCs w:val="21"/>
              </w:rPr>
              <w:t>、生态修复</w:t>
            </w:r>
          </w:p>
        </w:tc>
        <w:tc>
          <w:tcPr>
            <w:tcW w:w="467" w:type="pct"/>
            <w:tcBorders>
              <w:tl2br w:val="nil"/>
              <w:tr2bl w:val="nil"/>
            </w:tcBorders>
            <w:vAlign w:val="center"/>
          </w:tcPr>
          <w:p>
            <w:pPr>
              <w:spacing w:line="240" w:lineRule="atLeast"/>
              <w:ind w:firstLine="0" w:firstLineChars="0"/>
              <w:jc w:val="center"/>
              <w:rPr>
                <w:sz w:val="21"/>
                <w:szCs w:val="21"/>
              </w:rPr>
            </w:pPr>
            <w:r>
              <w:rPr>
                <w:sz w:val="21"/>
                <w:szCs w:val="21"/>
              </w:rPr>
              <w:t>1</w:t>
            </w:r>
          </w:p>
        </w:tc>
        <w:tc>
          <w:tcPr>
            <w:tcW w:w="428" w:type="pct"/>
            <w:tcBorders>
              <w:tl2br w:val="nil"/>
              <w:tr2bl w:val="nil"/>
            </w:tcBorders>
            <w:vAlign w:val="center"/>
          </w:tcPr>
          <w:p>
            <w:pPr>
              <w:spacing w:line="240" w:lineRule="atLeast"/>
              <w:ind w:firstLine="0" w:firstLineChars="0"/>
              <w:jc w:val="center"/>
              <w:rPr>
                <w:sz w:val="21"/>
                <w:szCs w:val="21"/>
              </w:rPr>
            </w:pPr>
            <w:r>
              <w:rPr>
                <w:rFonts w:hint="eastAsia"/>
                <w:sz w:val="21"/>
                <w:szCs w:val="21"/>
              </w:rPr>
              <w:t>82</w:t>
            </w:r>
          </w:p>
        </w:tc>
        <w:tc>
          <w:tcPr>
            <w:tcW w:w="3378" w:type="pct"/>
            <w:tcBorders>
              <w:tl2br w:val="nil"/>
              <w:tr2bl w:val="nil"/>
            </w:tcBorders>
            <w:vAlign w:val="center"/>
          </w:tcPr>
          <w:p>
            <w:pPr>
              <w:spacing w:line="240" w:lineRule="atLeast"/>
              <w:ind w:firstLine="0" w:firstLineChars="0"/>
              <w:jc w:val="left"/>
              <w:rPr>
                <w:sz w:val="21"/>
                <w:szCs w:val="21"/>
              </w:rPr>
            </w:pPr>
            <w:r>
              <w:rPr>
                <w:sz w:val="21"/>
                <w:szCs w:val="21"/>
              </w:rPr>
              <w:t>项目完工后，在码头附近未固化水域恢复水生植被，进行生态修复。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725" w:type="pct"/>
            <w:tcBorders>
              <w:tl2br w:val="nil"/>
              <w:tr2bl w:val="nil"/>
            </w:tcBorders>
            <w:vAlign w:val="center"/>
          </w:tcPr>
          <w:p>
            <w:pPr>
              <w:spacing w:line="240" w:lineRule="atLeast"/>
              <w:ind w:firstLine="0" w:firstLineChars="0"/>
              <w:jc w:val="center"/>
              <w:rPr>
                <w:sz w:val="21"/>
                <w:szCs w:val="21"/>
              </w:rPr>
            </w:pPr>
            <w:r>
              <w:rPr>
                <w:rFonts w:hint="eastAsia"/>
                <w:sz w:val="21"/>
                <w:szCs w:val="21"/>
              </w:rPr>
              <w:t>四</w:t>
            </w:r>
            <w:r>
              <w:rPr>
                <w:sz w:val="21"/>
                <w:szCs w:val="21"/>
              </w:rPr>
              <w:t>、增殖放流</w:t>
            </w:r>
          </w:p>
        </w:tc>
        <w:tc>
          <w:tcPr>
            <w:tcW w:w="467" w:type="pct"/>
            <w:tcBorders>
              <w:tl2br w:val="nil"/>
              <w:tr2bl w:val="nil"/>
            </w:tcBorders>
            <w:vAlign w:val="center"/>
          </w:tcPr>
          <w:p>
            <w:pPr>
              <w:spacing w:line="240" w:lineRule="atLeast"/>
              <w:ind w:firstLine="0" w:firstLineChars="0"/>
              <w:jc w:val="center"/>
              <w:rPr>
                <w:sz w:val="21"/>
                <w:szCs w:val="21"/>
              </w:rPr>
            </w:pPr>
            <w:r>
              <w:rPr>
                <w:sz w:val="21"/>
                <w:szCs w:val="21"/>
              </w:rPr>
              <w:t>3</w:t>
            </w:r>
          </w:p>
        </w:tc>
        <w:tc>
          <w:tcPr>
            <w:tcW w:w="428" w:type="pct"/>
            <w:tcBorders>
              <w:tl2br w:val="nil"/>
              <w:tr2bl w:val="nil"/>
            </w:tcBorders>
            <w:vAlign w:val="center"/>
          </w:tcPr>
          <w:p>
            <w:pPr>
              <w:spacing w:line="240" w:lineRule="atLeast"/>
              <w:ind w:firstLine="0" w:firstLineChars="0"/>
              <w:jc w:val="center"/>
              <w:rPr>
                <w:sz w:val="21"/>
                <w:szCs w:val="21"/>
              </w:rPr>
            </w:pPr>
            <w:r>
              <w:rPr>
                <w:rFonts w:hint="eastAsia"/>
                <w:sz w:val="21"/>
                <w:szCs w:val="21"/>
              </w:rPr>
              <w:t>96</w:t>
            </w:r>
          </w:p>
        </w:tc>
        <w:tc>
          <w:tcPr>
            <w:tcW w:w="3378" w:type="pct"/>
            <w:tcBorders>
              <w:tl2br w:val="nil"/>
              <w:tr2bl w:val="nil"/>
            </w:tcBorders>
            <w:vAlign w:val="center"/>
          </w:tcPr>
          <w:p>
            <w:pPr>
              <w:spacing w:line="240" w:lineRule="atLeast"/>
              <w:ind w:firstLine="0" w:firstLineChars="0"/>
              <w:jc w:val="left"/>
              <w:rPr>
                <w:sz w:val="21"/>
                <w:szCs w:val="21"/>
              </w:rPr>
            </w:pPr>
            <w:r>
              <w:rPr>
                <w:sz w:val="21"/>
                <w:szCs w:val="21"/>
              </w:rPr>
              <w:t>拟在道仁矶江段，首次放流时间为工程营运期第一年12月。增殖放流胭脂鱼1万尾/年，铜鱼</w:t>
            </w:r>
            <w:r>
              <w:rPr>
                <w:rFonts w:hint="eastAsia"/>
                <w:sz w:val="21"/>
                <w:szCs w:val="21"/>
              </w:rPr>
              <w:t>3</w:t>
            </w:r>
            <w:r>
              <w:rPr>
                <w:sz w:val="21"/>
                <w:szCs w:val="21"/>
              </w:rPr>
              <w:t>万尾/年，长吻鮠2万尾/年，青鱼4万尾/年，鳙10万尾/年。每年共需经费</w:t>
            </w:r>
            <w:r>
              <w:rPr>
                <w:rFonts w:hint="eastAsia"/>
                <w:sz w:val="21"/>
                <w:szCs w:val="21"/>
              </w:rPr>
              <w:t>32</w:t>
            </w:r>
            <w:r>
              <w:rPr>
                <w:sz w:val="21"/>
                <w:szCs w:val="21"/>
              </w:rPr>
              <w:t>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725" w:type="pct"/>
            <w:tcBorders>
              <w:tl2br w:val="nil"/>
              <w:tr2bl w:val="nil"/>
            </w:tcBorders>
            <w:vAlign w:val="center"/>
          </w:tcPr>
          <w:p>
            <w:pPr>
              <w:spacing w:line="240" w:lineRule="atLeast"/>
              <w:ind w:firstLine="0" w:firstLineChars="0"/>
              <w:jc w:val="center"/>
              <w:rPr>
                <w:sz w:val="21"/>
                <w:szCs w:val="21"/>
              </w:rPr>
            </w:pPr>
            <w:r>
              <w:rPr>
                <w:rFonts w:hint="eastAsia"/>
                <w:sz w:val="21"/>
                <w:szCs w:val="21"/>
              </w:rPr>
              <w:t>五</w:t>
            </w:r>
            <w:r>
              <w:rPr>
                <w:sz w:val="21"/>
                <w:szCs w:val="21"/>
              </w:rPr>
              <w:t>、日常监管及宣传</w:t>
            </w:r>
          </w:p>
        </w:tc>
        <w:tc>
          <w:tcPr>
            <w:tcW w:w="467" w:type="pct"/>
            <w:tcBorders>
              <w:tl2br w:val="nil"/>
              <w:tr2bl w:val="nil"/>
            </w:tcBorders>
            <w:vAlign w:val="center"/>
          </w:tcPr>
          <w:p>
            <w:pPr>
              <w:spacing w:line="240" w:lineRule="atLeast"/>
              <w:ind w:firstLine="0" w:firstLineChars="0"/>
              <w:jc w:val="center"/>
              <w:rPr>
                <w:sz w:val="21"/>
                <w:szCs w:val="21"/>
              </w:rPr>
            </w:pPr>
            <w:r>
              <w:rPr>
                <w:rFonts w:hint="eastAsia"/>
                <w:sz w:val="21"/>
                <w:szCs w:val="21"/>
              </w:rPr>
              <w:t>-</w:t>
            </w:r>
          </w:p>
        </w:tc>
        <w:tc>
          <w:tcPr>
            <w:tcW w:w="428" w:type="pct"/>
            <w:tcBorders>
              <w:tl2br w:val="nil"/>
              <w:tr2bl w:val="nil"/>
            </w:tcBorders>
            <w:vAlign w:val="center"/>
          </w:tcPr>
          <w:p>
            <w:pPr>
              <w:spacing w:line="240" w:lineRule="atLeast"/>
              <w:ind w:firstLine="0" w:firstLineChars="0"/>
              <w:jc w:val="center"/>
              <w:rPr>
                <w:sz w:val="21"/>
                <w:szCs w:val="21"/>
              </w:rPr>
            </w:pPr>
            <w:r>
              <w:rPr>
                <w:rFonts w:hint="eastAsia"/>
                <w:sz w:val="21"/>
                <w:szCs w:val="21"/>
              </w:rPr>
              <w:t>47</w:t>
            </w:r>
          </w:p>
        </w:tc>
        <w:tc>
          <w:tcPr>
            <w:tcW w:w="3378" w:type="pct"/>
            <w:tcBorders>
              <w:tl2br w:val="nil"/>
              <w:tr2bl w:val="nil"/>
            </w:tcBorders>
            <w:vAlign w:val="center"/>
          </w:tcPr>
          <w:p>
            <w:pPr>
              <w:spacing w:line="240" w:lineRule="atLeast"/>
              <w:ind w:firstLine="0" w:firstLineChars="0"/>
              <w:jc w:val="left"/>
              <w:rPr>
                <w:sz w:val="21"/>
                <w:szCs w:val="21"/>
              </w:rPr>
            </w:pPr>
            <w:r>
              <w:rPr>
                <w:rFonts w:hint="eastAsia"/>
                <w:sz w:val="21"/>
                <w:szCs w:val="21"/>
              </w:rPr>
              <w:t>①</w:t>
            </w:r>
            <w:r>
              <w:rPr>
                <w:sz w:val="21"/>
                <w:szCs w:val="21"/>
              </w:rPr>
              <w:t>施工期和营运期控制和制止对水生生物和保护区环境有影响的各种水上人为活动。</w:t>
            </w:r>
          </w:p>
          <w:p>
            <w:pPr>
              <w:spacing w:line="240" w:lineRule="atLeast"/>
              <w:ind w:firstLine="0" w:firstLineChars="0"/>
              <w:jc w:val="left"/>
              <w:rPr>
                <w:sz w:val="21"/>
                <w:szCs w:val="21"/>
              </w:rPr>
            </w:pPr>
            <w:r>
              <w:rPr>
                <w:rFonts w:hint="eastAsia"/>
                <w:sz w:val="21"/>
                <w:szCs w:val="21"/>
              </w:rPr>
              <w:t>②</w:t>
            </w:r>
            <w:r>
              <w:rPr>
                <w:sz w:val="21"/>
                <w:szCs w:val="21"/>
              </w:rPr>
              <w:t>全年禁渔巡护。</w:t>
            </w:r>
          </w:p>
          <w:p>
            <w:pPr>
              <w:spacing w:line="240" w:lineRule="atLeast"/>
              <w:ind w:firstLine="0" w:firstLineChars="0"/>
              <w:jc w:val="left"/>
              <w:rPr>
                <w:sz w:val="21"/>
                <w:szCs w:val="21"/>
              </w:rPr>
            </w:pPr>
            <w:r>
              <w:rPr>
                <w:rFonts w:hint="eastAsia"/>
                <w:sz w:val="21"/>
                <w:szCs w:val="21"/>
              </w:rPr>
              <w:t>③</w:t>
            </w:r>
            <w:r>
              <w:rPr>
                <w:sz w:val="21"/>
                <w:szCs w:val="21"/>
              </w:rPr>
              <w:t>设置警示和宣传标牌、印制和发放宣传手册、开展环境和动物保护教育等。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725" w:type="pct"/>
            <w:tcBorders>
              <w:tl2br w:val="nil"/>
              <w:tr2bl w:val="nil"/>
            </w:tcBorders>
            <w:vAlign w:val="center"/>
          </w:tcPr>
          <w:p>
            <w:pPr>
              <w:spacing w:line="240" w:lineRule="atLeast"/>
              <w:ind w:firstLine="0" w:firstLineChars="0"/>
              <w:jc w:val="center"/>
              <w:rPr>
                <w:sz w:val="21"/>
                <w:szCs w:val="21"/>
              </w:rPr>
            </w:pPr>
            <w:r>
              <w:rPr>
                <w:sz w:val="21"/>
                <w:szCs w:val="21"/>
              </w:rPr>
              <w:t>合计</w:t>
            </w:r>
          </w:p>
        </w:tc>
        <w:tc>
          <w:tcPr>
            <w:tcW w:w="467" w:type="pct"/>
            <w:tcBorders>
              <w:tl2br w:val="nil"/>
              <w:tr2bl w:val="nil"/>
            </w:tcBorders>
            <w:vAlign w:val="center"/>
          </w:tcPr>
          <w:p>
            <w:pPr>
              <w:spacing w:line="240" w:lineRule="atLeast"/>
              <w:ind w:firstLine="0" w:firstLineChars="0"/>
              <w:jc w:val="center"/>
              <w:rPr>
                <w:sz w:val="21"/>
                <w:szCs w:val="21"/>
              </w:rPr>
            </w:pPr>
          </w:p>
        </w:tc>
        <w:tc>
          <w:tcPr>
            <w:tcW w:w="428" w:type="pct"/>
            <w:tcBorders>
              <w:tl2br w:val="nil"/>
              <w:tr2bl w:val="nil"/>
            </w:tcBorders>
            <w:vAlign w:val="center"/>
          </w:tcPr>
          <w:p>
            <w:pPr>
              <w:spacing w:line="240" w:lineRule="atLeast"/>
              <w:ind w:firstLine="0" w:firstLineChars="0"/>
              <w:jc w:val="center"/>
              <w:rPr>
                <w:sz w:val="21"/>
                <w:szCs w:val="21"/>
              </w:rPr>
            </w:pPr>
            <w:r>
              <w:rPr>
                <w:rFonts w:hint="eastAsia"/>
                <w:sz w:val="21"/>
                <w:szCs w:val="21"/>
              </w:rPr>
              <w:t>330</w:t>
            </w:r>
          </w:p>
        </w:tc>
        <w:tc>
          <w:tcPr>
            <w:tcW w:w="3378" w:type="pct"/>
            <w:tcBorders>
              <w:tl2br w:val="nil"/>
              <w:tr2bl w:val="nil"/>
            </w:tcBorders>
            <w:vAlign w:val="center"/>
          </w:tcPr>
          <w:p>
            <w:pPr>
              <w:spacing w:line="240" w:lineRule="atLeast"/>
              <w:ind w:firstLine="0" w:firstLineChars="0"/>
              <w:jc w:val="center"/>
              <w:rPr>
                <w:sz w:val="21"/>
                <w:szCs w:val="21"/>
              </w:rPr>
            </w:pPr>
          </w:p>
        </w:tc>
      </w:tr>
    </w:tbl>
    <w:p>
      <w:pPr>
        <w:pStyle w:val="453"/>
        <w:ind w:firstLine="643" w:firstLineChars="0"/>
        <w:rPr>
          <w:rFonts w:ascii="Times New Roman" w:cs="Times New Roman"/>
          <w:lang w:val="en-US"/>
        </w:rPr>
      </w:pPr>
      <w:bookmarkStart w:id="311" w:name="_Toc812"/>
      <w:bookmarkStart w:id="312" w:name="_Toc20246"/>
      <w:r>
        <w:rPr>
          <w:rFonts w:hint="eastAsia" w:ascii="Times New Roman" w:cs="Times New Roman"/>
          <w:lang w:val="en-US"/>
        </w:rPr>
        <w:t>专题报告结论及审查</w:t>
      </w:r>
      <w:bookmarkEnd w:id="311"/>
      <w:bookmarkEnd w:id="312"/>
      <w:r>
        <w:rPr>
          <w:rFonts w:hint="eastAsia" w:ascii="Times New Roman" w:cs="Times New Roman"/>
          <w:lang w:val="en-US"/>
        </w:rPr>
        <w:t xml:space="preserve"> </w:t>
      </w:r>
    </w:p>
    <w:p>
      <w:pPr>
        <w:widowControl/>
        <w:ind w:firstLine="480"/>
        <w:jc w:val="left"/>
      </w:pPr>
      <w:r>
        <w:rPr>
          <w:rFonts w:hint="eastAsia"/>
          <w:color w:val="000000"/>
          <w:kern w:val="0"/>
          <w:lang w:bidi="ar"/>
        </w:rPr>
        <w:t>2022</w:t>
      </w:r>
      <w:r>
        <w:rPr>
          <w:rFonts w:hint="eastAsia" w:ascii="宋体" w:hAnsi="宋体" w:cs="宋体"/>
          <w:color w:val="000000"/>
          <w:kern w:val="0"/>
          <w:lang w:bidi="ar"/>
        </w:rPr>
        <w:t xml:space="preserve">年 </w:t>
      </w:r>
      <w:r>
        <w:rPr>
          <w:rFonts w:hint="eastAsia"/>
          <w:color w:val="000000"/>
          <w:kern w:val="0"/>
          <w:lang w:bidi="ar"/>
        </w:rPr>
        <w:t>9</w:t>
      </w:r>
      <w:r>
        <w:rPr>
          <w:rFonts w:hint="eastAsia" w:ascii="宋体" w:hAnsi="宋体" w:cs="宋体"/>
          <w:color w:val="000000"/>
          <w:kern w:val="0"/>
          <w:lang w:bidi="ar"/>
        </w:rPr>
        <w:t xml:space="preserve">月 </w:t>
      </w:r>
      <w:r>
        <w:rPr>
          <w:rFonts w:hint="eastAsia"/>
          <w:color w:val="000000"/>
          <w:kern w:val="0"/>
          <w:lang w:bidi="ar"/>
        </w:rPr>
        <w:t>30</w:t>
      </w:r>
      <w:r>
        <w:rPr>
          <w:color w:val="000000"/>
          <w:kern w:val="0"/>
          <w:lang w:bidi="ar"/>
        </w:rPr>
        <w:t xml:space="preserve"> </w:t>
      </w:r>
      <w:r>
        <w:rPr>
          <w:rFonts w:hint="eastAsia" w:ascii="宋体" w:hAnsi="宋体" w:cs="宋体"/>
          <w:color w:val="000000"/>
          <w:kern w:val="0"/>
          <w:lang w:bidi="ar"/>
        </w:rPr>
        <w:t>日，</w:t>
      </w:r>
      <w:r>
        <w:rPr>
          <w:rFonts w:hint="eastAsia" w:eastAsiaTheme="minorEastAsia"/>
        </w:rPr>
        <w:t>湖南</w:t>
      </w:r>
      <w:r>
        <w:rPr>
          <w:rFonts w:eastAsiaTheme="minorEastAsia"/>
        </w:rPr>
        <w:t>省农业农村厅</w:t>
      </w:r>
      <w:r>
        <w:rPr>
          <w:rFonts w:hint="eastAsia" w:ascii="宋体" w:hAnsi="宋体" w:cs="宋体"/>
          <w:color w:val="000000"/>
          <w:kern w:val="0"/>
          <w:lang w:bidi="ar"/>
        </w:rPr>
        <w:t>在武汉市组织有关专家对</w:t>
      </w:r>
      <w:r>
        <w:rPr>
          <w:rFonts w:eastAsiaTheme="minorEastAsia"/>
        </w:rPr>
        <w:t>在</w:t>
      </w:r>
      <w:r>
        <w:rPr>
          <w:rFonts w:hint="eastAsia" w:eastAsiaTheme="minorEastAsia"/>
        </w:rPr>
        <w:t>长沙</w:t>
      </w:r>
      <w:r>
        <w:rPr>
          <w:rFonts w:eastAsiaTheme="minorEastAsia"/>
        </w:rPr>
        <w:t>组织有</w:t>
      </w:r>
      <w:r>
        <w:rPr>
          <w:rFonts w:hint="eastAsia" w:eastAsiaTheme="minorEastAsia"/>
        </w:rPr>
        <w:t>关专家（名单附后）对《岳阳港道仁矶码头工程对洞庭湖口铜鱼短颌鲚国家级水产种质资源保护区影响专题论证报告》（以下简称“专题报告”）进行了审查</w:t>
      </w:r>
      <w:r>
        <w:rPr>
          <w:rFonts w:hint="eastAsia" w:ascii="宋体" w:hAnsi="宋体" w:cs="宋体"/>
          <w:color w:val="000000"/>
          <w:kern w:val="0"/>
          <w:lang w:bidi="ar"/>
        </w:rPr>
        <w:t>，通过</w:t>
      </w:r>
      <w:r>
        <w:rPr>
          <w:rFonts w:eastAsiaTheme="minorEastAsia"/>
        </w:rPr>
        <w:t>审阅了专题报告和相关资料，经质询和讨论，形成</w:t>
      </w:r>
      <w:r>
        <w:rPr>
          <w:rFonts w:hint="eastAsia" w:eastAsiaTheme="minorEastAsia"/>
        </w:rPr>
        <w:t>审查意见。</w:t>
      </w:r>
      <w:r>
        <w:rPr>
          <w:rFonts w:hint="eastAsia" w:ascii="宋体" w:hAnsi="宋体" w:cs="宋体"/>
          <w:color w:val="000000"/>
          <w:kern w:val="0"/>
          <w:lang w:bidi="ar"/>
        </w:rPr>
        <w:t xml:space="preserve">审查意见见附件 </w:t>
      </w:r>
      <w:r>
        <w:rPr>
          <w:color w:val="000000"/>
          <w:kern w:val="0"/>
          <w:lang w:bidi="ar"/>
        </w:rPr>
        <w:t>1</w:t>
      </w:r>
      <w:r>
        <w:rPr>
          <w:rFonts w:hint="eastAsia"/>
          <w:color w:val="000000"/>
          <w:kern w:val="0"/>
          <w:lang w:val="en-US" w:eastAsia="zh-CN" w:bidi="ar"/>
        </w:rPr>
        <w:t>3</w:t>
      </w:r>
      <w:r>
        <w:rPr>
          <w:rFonts w:hint="eastAsia" w:ascii="宋体" w:hAnsi="宋体" w:cs="宋体"/>
          <w:color w:val="000000"/>
          <w:kern w:val="0"/>
          <w:lang w:bidi="ar"/>
        </w:rPr>
        <w:t xml:space="preserve">。 </w:t>
      </w:r>
    </w:p>
    <w:p>
      <w:pPr>
        <w:ind w:firstLine="482"/>
        <w:rPr>
          <w:color w:val="000000" w:themeColor="text1"/>
          <w:szCs w:val="20"/>
          <w14:textFill>
            <w14:solidFill>
              <w14:schemeClr w14:val="tx1"/>
            </w14:solidFill>
          </w14:textFill>
        </w:rPr>
      </w:pPr>
      <w:r>
        <w:rPr>
          <w:rFonts w:hint="eastAsia" w:ascii="宋体" w:hAnsi="宋体" w:cs="宋体"/>
          <w:b/>
          <w:bCs/>
          <w:color w:val="000000"/>
          <w:kern w:val="0"/>
          <w:lang w:bidi="ar"/>
        </w:rPr>
        <w:t>《专题报告》的主要结论</w:t>
      </w:r>
      <w:r>
        <w:rPr>
          <w:rFonts w:hint="eastAsia" w:ascii="宋体" w:hAnsi="宋体" w:cs="宋体"/>
          <w:color w:val="000000"/>
          <w:kern w:val="0"/>
          <w:lang w:bidi="ar"/>
        </w:rPr>
        <w:t>：</w:t>
      </w:r>
      <w:r>
        <w:rPr>
          <w:color w:val="000000" w:themeColor="text1"/>
          <w:szCs w:val="20"/>
          <w14:textFill>
            <w14:solidFill>
              <w14:schemeClr w14:val="tx1"/>
            </w14:solidFill>
          </w14:textFill>
        </w:rPr>
        <w:t>项目建设和运营对保护区的主要影响是水下施工悬浮物影响、噪声影响，以及发生水污染事故风险等。这些影响会导致部分鱼类个体或群体离开工程区域局部水域，甚至可能会直接伤害躲避不及的鱼类个体或群体，也会造成部分鱼类饵料资源的损失。</w:t>
      </w:r>
    </w:p>
    <w:p>
      <w:pPr>
        <w:ind w:firstLine="48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本工程通过施工避让鱼类等水生生物繁殖期和洄游期，采用</w:t>
      </w:r>
      <w:r>
        <w:t>环保的施工工艺</w:t>
      </w:r>
      <w:r>
        <w:rPr>
          <w:rFonts w:eastAsiaTheme="minorEastAsia"/>
          <w:color w:val="000000" w:themeColor="text1"/>
          <w14:textFill>
            <w14:solidFill>
              <w14:schemeClr w14:val="tx1"/>
            </w14:solidFill>
          </w14:textFill>
        </w:rPr>
        <w:t>，以及加强施工和运营管理等措施，可有效降低施工期悬浮物对水质的影响、降低施工和营运期噪声、扬尘的强度，从而减轻对水域生态环境的影响。通过采取</w:t>
      </w:r>
      <w:r>
        <w:rPr>
          <w:color w:val="000000" w:themeColor="text1"/>
          <w14:textFill>
            <w14:solidFill>
              <w14:schemeClr w14:val="tx1"/>
            </w14:solidFill>
          </w14:textFill>
        </w:rPr>
        <w:t>生态修复（增殖放流、水生植被修复）、水生生态监测和研究（水生生态监测、长江江豚监测）、驱鱼和临时救护、渔政管理、</w:t>
      </w:r>
      <w:r>
        <w:rPr>
          <w:rFonts w:eastAsiaTheme="minorEastAsia"/>
          <w:color w:val="000000" w:themeColor="text1"/>
          <w14:textFill>
            <w14:solidFill>
              <w14:schemeClr w14:val="tx1"/>
            </w14:solidFill>
          </w14:textFill>
        </w:rPr>
        <w:t>污染治理及风险防范等一系列措施，可有效减轻工程对</w:t>
      </w:r>
      <w:r>
        <w:rPr>
          <w:rFonts w:eastAsiaTheme="minorEastAsia"/>
        </w:rPr>
        <w:t>洞庭湖口铜鱼短颌鲚国家级水产种质资源保护区</w:t>
      </w:r>
      <w:r>
        <w:rPr>
          <w:rFonts w:eastAsiaTheme="minorEastAsia"/>
          <w:color w:val="000000" w:themeColor="text1"/>
          <w14:textFill>
            <w14:solidFill>
              <w14:schemeClr w14:val="tx1"/>
            </w14:solidFill>
          </w14:textFill>
        </w:rPr>
        <w:t>水生生物尤其是鱼类资源的影响。相关监测和科研成果将为保护措施的调整提供有力的科学依据，对</w:t>
      </w:r>
      <w:r>
        <w:rPr>
          <w:rFonts w:eastAsiaTheme="minorEastAsia"/>
        </w:rPr>
        <w:t>洞庭湖口铜鱼短颌鲚国家级水产种质资源保护区</w:t>
      </w:r>
      <w:r>
        <w:rPr>
          <w:rFonts w:eastAsiaTheme="minorEastAsia"/>
          <w:color w:val="000000" w:themeColor="text1"/>
          <w14:textFill>
            <w14:solidFill>
              <w14:schemeClr w14:val="tx1"/>
            </w14:solidFill>
          </w14:textFill>
        </w:rPr>
        <w:t>内水生生态环境的保护将起到积极作用。</w:t>
      </w:r>
    </w:p>
    <w:p>
      <w:pPr>
        <w:ind w:firstLine="48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因此，在落实本报告所提出的各项保护措施后，工程建设从环境保护角度上是可行的。</w:t>
      </w:r>
    </w:p>
    <w:p>
      <w:pPr>
        <w:widowControl/>
        <w:ind w:firstLine="482"/>
        <w:jc w:val="left"/>
        <w:rPr>
          <w:color w:val="000000"/>
          <w:kern w:val="0"/>
          <w:lang w:bidi="ar"/>
        </w:rPr>
      </w:pPr>
      <w:r>
        <w:rPr>
          <w:rFonts w:hint="eastAsia" w:ascii="宋体" w:hAnsi="宋体" w:cs="宋体"/>
          <w:b/>
          <w:bCs/>
          <w:color w:val="000000"/>
          <w:kern w:val="0"/>
          <w:lang w:bidi="ar"/>
        </w:rPr>
        <w:t>审查意见认为</w:t>
      </w:r>
      <w:r>
        <w:rPr>
          <w:rFonts w:hint="eastAsia" w:ascii="宋体" w:hAnsi="宋体" w:cs="宋体"/>
          <w:color w:val="000000"/>
          <w:kern w:val="0"/>
          <w:lang w:bidi="ar"/>
        </w:rPr>
        <w:t>：项目建设对保护区的主要影响是施工期打桩、疏浚以及抛石等产生的噪声、废水、悬浮物；运行期包括生境占用、船舶扰动、装卸散落粉尘以及风险事故等，对</w:t>
      </w:r>
      <w:r>
        <w:rPr>
          <w:rFonts w:hint="eastAsia"/>
          <w:color w:val="000000"/>
          <w:kern w:val="0"/>
          <w:lang w:bidi="ar"/>
        </w:rPr>
        <w:t>保护区造成不利影响。专题报告提出的驱鱼及长江江豚保护、增殖放流、生态修复、教育宣传和渔政管理等保护和补偿措施，可减缓工程建设对保护区的不利影响。</w:t>
      </w:r>
    </w:p>
    <w:p>
      <w:pPr>
        <w:widowControl/>
        <w:ind w:firstLine="480"/>
        <w:jc w:val="left"/>
        <w:rPr>
          <w:color w:val="000000"/>
          <w:kern w:val="0"/>
          <w:lang w:bidi="ar"/>
        </w:rPr>
      </w:pPr>
      <w:r>
        <w:rPr>
          <w:rFonts w:hint="eastAsia"/>
          <w:color w:val="000000"/>
          <w:kern w:val="0"/>
          <w:lang w:bidi="ar"/>
        </w:rPr>
        <w:t>专题题报告编制依据充分，数据资料详实，影响分析客观，评价结论总体可信。</w:t>
      </w:r>
    </w:p>
    <w:p>
      <w:pPr>
        <w:widowControl/>
        <w:ind w:firstLine="480"/>
        <w:jc w:val="left"/>
        <w:rPr>
          <w:color w:val="000000"/>
          <w:kern w:val="0"/>
          <w:lang w:bidi="ar"/>
        </w:rPr>
      </w:pPr>
      <w:r>
        <w:rPr>
          <w:rFonts w:hint="eastAsia"/>
          <w:color w:val="000000"/>
          <w:kern w:val="0"/>
          <w:lang w:bidi="ar"/>
        </w:rPr>
        <w:t>建议进一步分析营运期对水生生物的影响，优化生态补偿措施。</w:t>
      </w:r>
    </w:p>
    <w:p>
      <w:pPr>
        <w:pStyle w:val="2"/>
        <w:ind w:firstLine="480"/>
      </w:pPr>
    </w:p>
    <w:p>
      <w:pPr>
        <w:pStyle w:val="2"/>
        <w:ind w:firstLine="480"/>
      </w:pPr>
    </w:p>
    <w:p>
      <w:pPr>
        <w:widowControl/>
        <w:ind w:firstLine="482"/>
        <w:jc w:val="left"/>
      </w:pPr>
      <w:r>
        <w:rPr>
          <w:b/>
        </w:rPr>
        <w:br w:type="page"/>
      </w:r>
    </w:p>
    <w:p>
      <w:pPr>
        <w:pStyle w:val="2"/>
        <w:ind w:firstLine="480"/>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bookmarkEnd w:id="226"/>
    <w:p>
      <w:pPr>
        <w:pStyle w:val="457"/>
        <w:ind w:firstLine="0" w:firstLineChars="0"/>
        <w:rPr>
          <w:rFonts w:ascii="Times New Roman" w:hAnsi="Times New Roman" w:cs="Times New Roman"/>
        </w:rPr>
      </w:pPr>
      <w:r>
        <w:rPr>
          <w:rFonts w:ascii="Times New Roman" w:hAnsi="Times New Roman" w:cs="Times New Roman"/>
        </w:rPr>
        <w:t xml:space="preserve">  </w:t>
      </w:r>
      <w:bookmarkStart w:id="313" w:name="_Toc18462"/>
      <w:bookmarkStart w:id="314" w:name="_Toc106697033"/>
      <w:bookmarkStart w:id="315" w:name="_Toc31032"/>
      <w:r>
        <w:rPr>
          <w:rFonts w:ascii="Times New Roman" w:hAnsi="Times New Roman" w:cs="Times New Roman"/>
        </w:rPr>
        <w:t>环境保护措施及其可行性论证</w:t>
      </w:r>
      <w:bookmarkEnd w:id="313"/>
      <w:bookmarkEnd w:id="314"/>
      <w:bookmarkEnd w:id="315"/>
    </w:p>
    <w:p>
      <w:pPr>
        <w:pStyle w:val="453"/>
        <w:ind w:firstLine="643"/>
        <w:rPr>
          <w:rFonts w:ascii="Times New Roman" w:cs="Times New Roman"/>
        </w:rPr>
      </w:pPr>
      <w:bookmarkStart w:id="316" w:name="_Toc106697034"/>
      <w:bookmarkStart w:id="317" w:name="_Toc24245"/>
      <w:bookmarkStart w:id="318" w:name="_Toc7135"/>
      <w:bookmarkStart w:id="319" w:name="_Toc106697035"/>
      <w:r>
        <w:rPr>
          <w:rFonts w:ascii="Times New Roman" w:cs="Times New Roman"/>
        </w:rPr>
        <w:t>地表水环境污染防治措施</w:t>
      </w:r>
      <w:bookmarkEnd w:id="316"/>
      <w:bookmarkEnd w:id="317"/>
      <w:bookmarkEnd w:id="318"/>
    </w:p>
    <w:p>
      <w:pPr>
        <w:pStyle w:val="454"/>
        <w:ind w:firstLine="602"/>
        <w:rPr>
          <w:color w:val="auto"/>
        </w:rPr>
      </w:pPr>
      <w:bookmarkStart w:id="320" w:name="_Toc216509241"/>
      <w:bookmarkStart w:id="321" w:name="_Toc215889195"/>
      <w:bookmarkStart w:id="322" w:name="_Toc531150437"/>
      <w:bookmarkStart w:id="323" w:name="_Toc531231185"/>
      <w:bookmarkStart w:id="324" w:name="_Toc531254908"/>
      <w:r>
        <w:rPr>
          <w:color w:val="auto"/>
        </w:rPr>
        <w:t>施工期水污染防治措施</w:t>
      </w:r>
    </w:p>
    <w:p>
      <w:pPr>
        <w:pStyle w:val="456"/>
        <w:ind w:firstLine="482"/>
      </w:pPr>
      <w:r>
        <w:t>废水污染防治措施</w:t>
      </w:r>
    </w:p>
    <w:p>
      <w:pPr>
        <w:ind w:firstLine="480"/>
      </w:pPr>
      <w:r>
        <w:t>项目码头施工期产生的</w:t>
      </w:r>
      <w:r>
        <w:rPr>
          <w:kern w:val="0"/>
        </w:rPr>
        <w:t>水污染源包括施工生产废水、施工船舶污水和施工人员生活污水</w:t>
      </w:r>
      <w:r>
        <w:t>。为最大限度降低施工期对水环境的影响，建设单位拟采取如下措施：</w:t>
      </w:r>
    </w:p>
    <w:p>
      <w:pPr>
        <w:ind w:firstLine="480"/>
      </w:pPr>
      <w:r>
        <w:rPr>
          <w:rFonts w:hint="eastAsia"/>
        </w:rPr>
        <w:t>（1）</w:t>
      </w:r>
      <w:r>
        <w:t>科学选择施工期，水域作业选择枯水季节，严禁在4~7月进行水下施工作业，避开鱼类产卵繁殖期和洄游的主汛期。</w:t>
      </w:r>
    </w:p>
    <w:p>
      <w:pPr>
        <w:ind w:firstLine="480"/>
      </w:pPr>
      <w:r>
        <w:rPr>
          <w:rFonts w:hint="eastAsia"/>
        </w:rPr>
        <w:t>（2）</w:t>
      </w:r>
      <w:r>
        <w:t>按照航运部门的有关规定，办理水上作业公告，施工船舶悬挂信号标志，保证航运船舶安全及施工船舶作业安全，避免碰撞等交通安全事故发生。</w:t>
      </w:r>
    </w:p>
    <w:p>
      <w:pPr>
        <w:ind w:firstLine="480"/>
      </w:pPr>
      <w:r>
        <w:rPr>
          <w:rFonts w:hint="eastAsia"/>
        </w:rPr>
        <w:t>（3）</w:t>
      </w:r>
      <w:r>
        <w:t>引桥钻孔灌注桩施工时在项目岸边滩地设置2座12-15m</w:t>
      </w:r>
      <w:r>
        <w:rPr>
          <w:vertAlign w:val="superscript"/>
        </w:rPr>
        <w:t>3</w:t>
      </w:r>
      <w:r>
        <w:t>的钢板箱，其中1座作为泥浆池使用，另l座作为废浆池使用，将粗沙沉淀后，泥浆循环使用，沉淀下来的泥沙（钻孔废渣）经过沉淀处理后，</w:t>
      </w:r>
      <w:r>
        <w:rPr>
          <w:rFonts w:hint="eastAsia"/>
        </w:rPr>
        <w:t>用于</w:t>
      </w:r>
      <w:r>
        <w:t>陆域回填。</w:t>
      </w:r>
    </w:p>
    <w:p>
      <w:pPr>
        <w:ind w:firstLine="480"/>
      </w:pPr>
      <w:r>
        <w:rPr>
          <w:rFonts w:hint="eastAsia"/>
        </w:rPr>
        <w:t>（4）</w:t>
      </w:r>
      <w:r>
        <w:t>在泥浆池四周设置包围堰，并在泥浆池上方设置遮盖装置，防止地面径流雨污水或者雨水进入泥浆池后造成的废水溢出。</w:t>
      </w:r>
    </w:p>
    <w:p>
      <w:pPr>
        <w:ind w:firstLine="480"/>
      </w:pPr>
      <w:r>
        <w:rPr>
          <w:rFonts w:hint="eastAsia"/>
        </w:rPr>
        <w:t>（5）</w:t>
      </w:r>
      <w:r>
        <w:t>在施工场地四周设置截水沟截留雨水径流</w:t>
      </w:r>
      <w:r>
        <w:rPr>
          <w:spacing w:val="-17"/>
        </w:rPr>
        <w:t>，</w:t>
      </w:r>
      <w:r>
        <w:t>并在施工场地内设置隔油池和沉淀池对收集的施工废水进行隔油</w:t>
      </w:r>
      <w:r>
        <w:rPr>
          <w:spacing w:val="-17"/>
        </w:rPr>
        <w:t>、</w:t>
      </w:r>
      <w:r>
        <w:t>沉淀处理</w:t>
      </w:r>
      <w:r>
        <w:rPr>
          <w:spacing w:val="-17"/>
        </w:rPr>
        <w:t>，</w:t>
      </w:r>
      <w:r>
        <w:t>处理水首先循环回用于施工生产</w:t>
      </w:r>
      <w:r>
        <w:rPr>
          <w:spacing w:val="-17"/>
        </w:rPr>
        <w:t>，</w:t>
      </w:r>
      <w:r>
        <w:t>其余用于施工现场的洒水防尘和车辆</w:t>
      </w:r>
      <w:r>
        <w:rPr>
          <w:spacing w:val="-17"/>
        </w:rPr>
        <w:t>、</w:t>
      </w:r>
      <w:r>
        <w:t>机械冲洗</w:t>
      </w:r>
      <w:r>
        <w:rPr>
          <w:spacing w:val="-17"/>
        </w:rPr>
        <w:t>，</w:t>
      </w:r>
      <w:r>
        <w:t>不向外排放。</w:t>
      </w:r>
    </w:p>
    <w:p>
      <w:pPr>
        <w:ind w:firstLine="480"/>
      </w:pPr>
      <w:r>
        <w:rPr>
          <w:rFonts w:hint="eastAsia"/>
        </w:rPr>
        <w:t>（6）</w:t>
      </w:r>
      <w:r>
        <w:t>施工人员租用附近民宅作为办公休息地点，生活污水依托已有排水系统，可避免临时施工营地生活污水排放带来的污染影响。</w:t>
      </w:r>
    </w:p>
    <w:p>
      <w:pPr>
        <w:ind w:firstLine="480"/>
      </w:pPr>
      <w:r>
        <w:rPr>
          <w:rFonts w:hint="eastAsia"/>
        </w:rPr>
        <w:t>（7）</w:t>
      </w:r>
      <w:r>
        <w:t>严格管理施工船舶和施工机械。施工船舶舱底油污水和生活污水不得在码头所在江段排放，应交海事部门环保船接收处理。</w:t>
      </w:r>
    </w:p>
    <w:p>
      <w:pPr>
        <w:ind w:firstLine="480"/>
      </w:pPr>
      <w:r>
        <w:rPr>
          <w:rFonts w:hint="eastAsia"/>
        </w:rPr>
        <w:t>（8）</w:t>
      </w:r>
      <w:r>
        <w:t>对码头施工人员进行严格的管理，严禁乱抛废弃物，禁止向水域抛弃垃圾，禁止向水域排放施工废水。</w:t>
      </w:r>
    </w:p>
    <w:p>
      <w:pPr>
        <w:ind w:firstLine="480"/>
      </w:pPr>
      <w:r>
        <w:rPr>
          <w:rFonts w:hint="eastAsia"/>
        </w:rPr>
        <w:t>（9）</w:t>
      </w:r>
      <w:r>
        <w:t>加强施工船舶作业管理，避免与过往江段船舶发生碰撞等事故发生。施工船舶在水域内定点作业、停泊，以保证不发生船舶污染水域的事故。</w:t>
      </w:r>
    </w:p>
    <w:p>
      <w:pPr>
        <w:ind w:firstLine="480"/>
      </w:pPr>
      <w:r>
        <w:rPr>
          <w:rFonts w:hint="eastAsia"/>
        </w:rPr>
        <w:t>（10）</w:t>
      </w:r>
      <w:r>
        <w:t>通过有效的管理和技术手段，合理安排施工挖泥进度，水下施工严格按照</w:t>
      </w:r>
      <w:r>
        <w:rPr>
          <w:rFonts w:hint="eastAsia"/>
        </w:rPr>
        <w:t>《疏浚与吹填工程设计规范》（JTS 181-5-2012）</w:t>
      </w:r>
      <w:r>
        <w:t>进行施工设计和施工作业，最大限度地控制水下施工作业对底泥的搅动范围和强度，减少悬浮泥沙的发生量。</w:t>
      </w:r>
    </w:p>
    <w:p>
      <w:pPr>
        <w:ind w:firstLine="480"/>
      </w:pPr>
      <w:r>
        <w:rPr>
          <w:rFonts w:hint="eastAsia"/>
        </w:rPr>
        <w:t>（11）</w:t>
      </w:r>
      <w:r>
        <w:t>建设单位应加强打桩和疏浚施工的监管，并严格控制施工范围、施工进度和施工质量，尽量减小对岸坡的扰动，避免施工不当造成岸坡坍塌或滑坡，并做好施工场地及其附近一定区域内岸坡稳定监测工作，出现问题及时处理，施工完成后及时护坡、护岸施工，确保岸坡稳定。</w:t>
      </w:r>
    </w:p>
    <w:p>
      <w:pPr>
        <w:ind w:firstLine="480"/>
        <w:rPr>
          <w:rFonts w:hint="eastAsia" w:ascii="Times New Roman" w:hAnsi="Times New Roman" w:cs="Times New Roman"/>
        </w:rPr>
      </w:pPr>
      <w:r>
        <w:rPr>
          <w:rFonts w:hint="eastAsia" w:ascii="Times New Roman" w:hAnsi="Times New Roman" w:cs="Times New Roman"/>
          <w:b w:val="0"/>
          <w:bCs w:val="0"/>
          <w:sz w:val="24"/>
          <w:szCs w:val="24"/>
          <w:lang w:eastAsia="zh-CN"/>
        </w:rPr>
        <w:t>（</w:t>
      </w:r>
      <w:r>
        <w:rPr>
          <w:rFonts w:hint="eastAsia" w:ascii="Times New Roman" w:hAnsi="Times New Roman" w:cs="Times New Roman"/>
          <w:b w:val="0"/>
          <w:bCs w:val="0"/>
          <w:sz w:val="24"/>
          <w:szCs w:val="24"/>
          <w:lang w:val="en-US" w:eastAsia="zh-CN"/>
        </w:rPr>
        <w:t>12</w:t>
      </w:r>
      <w:r>
        <w:rPr>
          <w:rFonts w:hint="eastAsia" w:ascii="Times New Roman" w:hAnsi="Times New Roman" w:cs="Times New Roman"/>
          <w:b w:val="0"/>
          <w:bCs w:val="0"/>
          <w:sz w:val="24"/>
          <w:szCs w:val="24"/>
          <w:lang w:eastAsia="zh-CN"/>
        </w:rPr>
        <w:t>）</w:t>
      </w:r>
      <w:r>
        <w:rPr>
          <w:rFonts w:hint="eastAsia" w:ascii="Times New Roman" w:hAnsi="Times New Roman" w:eastAsia="宋体" w:cs="Times New Roman"/>
          <w:b w:val="0"/>
          <w:bCs w:val="0"/>
          <w:sz w:val="24"/>
          <w:szCs w:val="24"/>
        </w:rPr>
        <w:t>工程建设单位应编制施工期防汛抢险 及其它应急抢险预案措施，加强施工期安全监测，保证施工的顺利进行。</w:t>
      </w:r>
    </w:p>
    <w:p>
      <w:pPr>
        <w:ind w:firstLine="482"/>
        <w:rPr>
          <w:b/>
          <w:u w:val="single"/>
        </w:rPr>
      </w:pPr>
      <w:r>
        <w:rPr>
          <w:b/>
          <w:u w:val="single"/>
        </w:rPr>
        <w:t>疏浚</w:t>
      </w:r>
      <w:r>
        <w:rPr>
          <w:rFonts w:hint="eastAsia"/>
          <w:b/>
          <w:u w:val="single"/>
        </w:rPr>
        <w:t>工程</w:t>
      </w:r>
      <w:r>
        <w:rPr>
          <w:b/>
          <w:u w:val="single"/>
        </w:rPr>
        <w:t>污染防治措施：</w:t>
      </w:r>
    </w:p>
    <w:p>
      <w:pPr>
        <w:ind w:firstLine="480"/>
      </w:pPr>
      <w:r>
        <w:rPr>
          <w:rFonts w:hint="eastAsia"/>
        </w:rPr>
        <w:t>（1）疏浚淤泥工程施工设计严格按照</w:t>
      </w:r>
      <w:r>
        <w:rPr>
          <w:szCs w:val="28"/>
        </w:rPr>
        <w:t>《疏浚与吹填工程设计规范》（</w:t>
      </w:r>
      <w:r>
        <w:rPr>
          <w:kern w:val="0"/>
        </w:rPr>
        <w:t>JTS 181-5-2012</w:t>
      </w:r>
      <w:r>
        <w:rPr>
          <w:szCs w:val="28"/>
        </w:rPr>
        <w:t>）</w:t>
      </w:r>
      <w:r>
        <w:rPr>
          <w:rFonts w:hint="eastAsia"/>
          <w:szCs w:val="28"/>
        </w:rPr>
        <w:t>、</w:t>
      </w:r>
      <w:r>
        <w:t>《水运工程环境保护设计规范》（</w:t>
      </w:r>
      <w:r>
        <w:rPr>
          <w:spacing w:val="-3"/>
          <w:szCs w:val="22"/>
        </w:rPr>
        <w:t>JTS 149-2018</w:t>
      </w:r>
      <w:r>
        <w:t>）要求</w:t>
      </w:r>
      <w:r>
        <w:rPr>
          <w:rFonts w:hint="eastAsia"/>
        </w:rPr>
        <w:t>。</w:t>
      </w:r>
    </w:p>
    <w:p>
      <w:pPr>
        <w:ind w:firstLine="480"/>
      </w:pPr>
      <w:r>
        <w:rPr>
          <w:rFonts w:hint="eastAsia"/>
        </w:rPr>
        <w:t>（2）</w:t>
      </w:r>
      <w:r>
        <w:t>施工单位应合理安排施工船舶位置，设计好挖泥进度，并采用产生悬浮物较小的绞吸式挖泥船，以尽量减少疏浚作业对底质的扰动强度和范围。</w:t>
      </w:r>
    </w:p>
    <w:p>
      <w:pPr>
        <w:ind w:firstLine="480"/>
      </w:pPr>
      <w:r>
        <w:rPr>
          <w:rFonts w:hint="eastAsia"/>
        </w:rPr>
        <w:t>（3）绞吸挖泥船在铰刀头部设置防沙盖，以减少绞吸过程中的泄露与扩散，</w:t>
      </w:r>
      <w:r>
        <w:t>控制挖泥船吸泥管头部产生的悬浮泥浆的扩散</w:t>
      </w:r>
      <w:r>
        <w:rPr>
          <w:rFonts w:hint="eastAsia"/>
        </w:rPr>
        <w:t>。</w:t>
      </w:r>
      <w:r>
        <w:t>在挖泥船外围采用防污帘防护，有效控制悬浮泥沙产生的污染，最大限度地减轻疏浚区域周围环境的影响。</w:t>
      </w:r>
    </w:p>
    <w:p>
      <w:pPr>
        <w:ind w:firstLine="480"/>
        <w:rPr>
          <w:kern w:val="10"/>
        </w:rPr>
      </w:pPr>
      <w:r>
        <w:rPr>
          <w:rFonts w:hint="eastAsia"/>
        </w:rPr>
        <w:t>（4）</w:t>
      </w:r>
      <w:r>
        <w:rPr>
          <w:kern w:val="10"/>
        </w:rPr>
        <w:t>施工单位还应在疏浚作业的下游位置布设围油栏，避免疏浚的溢油事件发生后，泄露油品污染水环境。</w:t>
      </w:r>
    </w:p>
    <w:p>
      <w:pPr>
        <w:ind w:firstLine="480"/>
      </w:pPr>
      <w:r>
        <w:rPr>
          <w:rFonts w:hint="eastAsia"/>
        </w:rPr>
        <w:t>（5）</w:t>
      </w:r>
      <w:r>
        <w:t>尽可能在设计时间内完成施工进度，最大限度地减少施工船舶在水中的往返次数，非特殊情况不应随意延长工期。</w:t>
      </w:r>
    </w:p>
    <w:p>
      <w:pPr>
        <w:ind w:firstLine="480"/>
      </w:pPr>
      <w:r>
        <w:rPr>
          <w:rFonts w:hint="eastAsia"/>
        </w:rPr>
        <w:t>（6）</w:t>
      </w:r>
      <w:r>
        <w:t>加强对施工船舶的管理，对船舶定期检查，一旦发现船舶出现漏油情况，须立即维修，并且回收泄露废油及按《危险废物管理制度》处理好被泄漏油污涉及的区域。</w:t>
      </w:r>
    </w:p>
    <w:p>
      <w:pPr>
        <w:ind w:firstLine="480"/>
      </w:pPr>
      <w:r>
        <w:rPr>
          <w:rFonts w:hint="eastAsia"/>
        </w:rPr>
        <w:t>（7）在疏浚淤泥临时堆存区域设置板框压滤机对疏浚淤泥进行压滤脱水，疏浚淤泥脱水过程中产生的泥浆水通过在临时堆场设置的储存池储存后，用作施工生产用水和施工区域洒水降尘，其余部分用于周边林地、农田灌溉。</w:t>
      </w:r>
    </w:p>
    <w:p>
      <w:pPr>
        <w:ind w:firstLine="480"/>
      </w:pPr>
      <w:r>
        <w:rPr>
          <w:rFonts w:hint="eastAsia"/>
        </w:rPr>
        <w:t>（8）经脱水处理后的疏浚淤泥及时回填到后方陆域用地内，禁止在评价区水域随意丢弃疏浚土方。</w:t>
      </w:r>
    </w:p>
    <w:p>
      <w:pPr>
        <w:ind w:firstLine="480"/>
      </w:pPr>
      <w:r>
        <w:rPr>
          <w:rFonts w:hint="eastAsia"/>
        </w:rPr>
        <w:t>（9）运泥船以及输泥管线进行防漏处理，并定期对排泥管、挖泥船进行维修检查，一旦发生管损坏或连接不善，应立即采取补救措施，以避免意外的泥浆外溢。</w:t>
      </w:r>
    </w:p>
    <w:p>
      <w:pPr>
        <w:ind w:firstLine="480"/>
      </w:pPr>
      <w:r>
        <w:rPr>
          <w:rFonts w:hint="eastAsia"/>
        </w:rPr>
        <w:t>（10）在恶劣天气条件下应提前做好安全防护工作，必要时停止疏浚作业，避免发生意外的污染事故。</w:t>
      </w:r>
    </w:p>
    <w:p>
      <w:pPr>
        <w:ind w:firstLine="480"/>
        <w:rPr>
          <w:rFonts w:hint="eastAsia"/>
        </w:rPr>
      </w:pPr>
      <w:r>
        <w:rPr>
          <w:rFonts w:hint="eastAsia"/>
        </w:rPr>
        <w:t>（11）</w:t>
      </w:r>
      <w:r>
        <w:t>施工过程应对水域水质中悬浮物和浊度进行跟踪监测</w:t>
      </w:r>
      <w:r>
        <w:rPr>
          <w:rFonts w:hint="eastAsia"/>
        </w:rPr>
        <w:t>，</w:t>
      </w:r>
      <w:r>
        <w:t>根据跟踪监测结果控制作业量</w:t>
      </w:r>
      <w:r>
        <w:rPr>
          <w:rFonts w:hint="eastAsia"/>
        </w:rPr>
        <w:t>、</w:t>
      </w:r>
      <w:r>
        <w:t>调整施工进度</w:t>
      </w:r>
      <w:r>
        <w:rPr>
          <w:rFonts w:hint="eastAsia"/>
        </w:rPr>
        <w:t>。</w:t>
      </w:r>
    </w:p>
    <w:p>
      <w:pPr>
        <w:pStyle w:val="456"/>
        <w:ind w:firstLine="482"/>
      </w:pPr>
      <w:r>
        <w:t>废水污染防治措施可行性分析</w:t>
      </w:r>
    </w:p>
    <w:p>
      <w:pPr>
        <w:ind w:firstLine="482"/>
        <w:rPr>
          <w:b/>
          <w:bCs/>
        </w:rPr>
      </w:pPr>
      <w:r>
        <w:rPr>
          <w:b/>
          <w:bCs/>
        </w:rPr>
        <w:t>（1）施工生产废水</w:t>
      </w:r>
    </w:p>
    <w:p>
      <w:pPr>
        <w:ind w:firstLine="480"/>
      </w:pPr>
      <w:r>
        <w:t>施工废水经隔油、沉淀处理后可去除大部分粒径较大的颗粒，SS去除率可达到85%以上，沉淀后可首先循环回用于施工生产，其余用于施工现场的洒水防尘和车辆</w:t>
      </w:r>
      <w:r>
        <w:rPr>
          <w:spacing w:val="-17"/>
        </w:rPr>
        <w:t>、</w:t>
      </w:r>
      <w:r>
        <w:t>机械冲洗，沉淀下来的泥沙运往建筑消纳场处置，不会对周围水环境造成影响。</w:t>
      </w:r>
    </w:p>
    <w:p>
      <w:pPr>
        <w:ind w:firstLine="480"/>
      </w:pPr>
      <w:r>
        <w:rPr>
          <w:rFonts w:hint="eastAsia"/>
        </w:rPr>
        <w:t>水下方堆存产生的泥浆水经堆场溢流堰流出，在堆场设置的沉淀池内沉淀后，用作施工生产用水和施工区域洒水降尘，其余部分用于周边林地、农田灌溉。</w:t>
      </w:r>
    </w:p>
    <w:p>
      <w:pPr>
        <w:ind w:firstLine="482"/>
        <w:rPr>
          <w:b/>
          <w:u w:val="single"/>
        </w:rPr>
      </w:pPr>
      <w:r>
        <w:rPr>
          <w:rFonts w:hint="eastAsia"/>
          <w:b/>
          <w:u w:val="single"/>
        </w:rPr>
        <w:t>疏浚淤泥产生的泥浆水处理可行性分析：</w:t>
      </w:r>
    </w:p>
    <w:p>
      <w:pPr>
        <w:ind w:firstLine="480"/>
        <w:rPr>
          <w:rFonts w:hint="eastAsia"/>
        </w:rPr>
      </w:pPr>
      <w:r>
        <w:rPr>
          <w:rFonts w:hint="eastAsia"/>
        </w:rPr>
        <w:t>本项目疏浚工程采用绞吸式挖泥船进行疏浚，疏浚淤泥含水率较高为</w:t>
      </w:r>
      <w:r>
        <w:t>90%</w:t>
      </w:r>
      <w:r>
        <w:rPr>
          <w:rFonts w:hint="eastAsia"/>
        </w:rPr>
        <w:t>以上，可采用板框压滤机压滤脱水，形成含水率低于</w:t>
      </w:r>
      <w:r>
        <w:t>40%</w:t>
      </w:r>
      <w:r>
        <w:rPr>
          <w:rFonts w:hint="eastAsia"/>
        </w:rPr>
        <w:t>的泥饼，泥饼含水率较低，</w:t>
      </w:r>
      <w:r>
        <w:rPr>
          <w:rFonts w:hint="eastAsia"/>
          <w:kern w:val="0"/>
          <w:lang w:val="en-US" w:eastAsia="zh-CN"/>
        </w:rPr>
        <w:t>堆置在铺设有防渗薄膜的后方临时堆场经过自然干化处理后</w:t>
      </w:r>
      <w:r>
        <w:rPr>
          <w:rFonts w:hint="eastAsia"/>
        </w:rPr>
        <w:t>可作为工程回填土，实现资源再利用（参考《河道底泥环保疏浚方式及处理方案研究》余灿）。本项目疏浚淤泥含水率按</w:t>
      </w:r>
      <w:r>
        <w:t>90%</w:t>
      </w:r>
      <w:r>
        <w:rPr>
          <w:rFonts w:hint="eastAsia"/>
        </w:rPr>
        <w:t>计，泥饼含水率按照</w:t>
      </w:r>
      <w:r>
        <w:t>40%</w:t>
      </w:r>
      <w:r>
        <w:rPr>
          <w:rFonts w:hint="eastAsia"/>
        </w:rPr>
        <w:t>计，则疏浚淤泥产生的废水量为</w:t>
      </w:r>
      <w:r>
        <w:t>14.17</w:t>
      </w:r>
      <w:r>
        <w:rPr>
          <w:rFonts w:hint="eastAsia"/>
        </w:rPr>
        <w:t>万</w:t>
      </w:r>
      <w:r>
        <w:t>m</w:t>
      </w:r>
      <w:r>
        <w:rPr>
          <w:vertAlign w:val="superscript"/>
        </w:rPr>
        <w:t>3</w:t>
      </w:r>
      <w:r>
        <w:rPr>
          <w:rFonts w:hint="eastAsia"/>
        </w:rPr>
        <w:t>。</w:t>
      </w:r>
      <w:r>
        <w:t>设置</w:t>
      </w:r>
      <w:r>
        <w:rPr>
          <w:rFonts w:hint="eastAsia"/>
        </w:rPr>
        <w:t>1</w:t>
      </w:r>
      <w:r>
        <w:t>座不小于</w:t>
      </w:r>
      <w:r>
        <w:rPr>
          <w:rFonts w:hint="eastAsia"/>
          <w:lang w:val="en-US" w:eastAsia="zh-CN"/>
        </w:rPr>
        <w:t>150</w:t>
      </w:r>
      <w:r>
        <w:t>m</w:t>
      </w:r>
      <w:r>
        <w:rPr>
          <w:vertAlign w:val="superscript"/>
        </w:rPr>
        <w:t>3</w:t>
      </w:r>
      <w:r>
        <w:rPr>
          <w:rFonts w:hint="eastAsia"/>
          <w:vertAlign w:val="baseline"/>
          <w:lang w:val="en-US" w:eastAsia="zh-CN"/>
        </w:rPr>
        <w:t>沉淀池和</w:t>
      </w:r>
      <w:r>
        <w:t>150m</w:t>
      </w:r>
      <w:r>
        <w:rPr>
          <w:vertAlign w:val="superscript"/>
        </w:rPr>
        <w:t>3</w:t>
      </w:r>
      <w:r>
        <w:t>集装箱式储水池</w:t>
      </w:r>
      <w:r>
        <w:rPr>
          <w:rFonts w:hint="eastAsia"/>
        </w:rPr>
        <w:t>，储存疏浚淤泥产生的泥浆水，</w:t>
      </w:r>
      <w:r>
        <w:rPr>
          <w:rFonts w:hint="eastAsia"/>
          <w:lang w:val="en-US" w:eastAsia="zh-CN"/>
        </w:rPr>
        <w:t>产生的泥浆水设置堆场，堆场铺设防渗薄膜，四周设置防洪沟，经过压滤机压滤处理后的清淤污泥自然脱水干化，过程中产生的泥浆水经过设置的排水沟汇集沉淀池，上清液排至储水池回用于施工场地洒水降尘，剩余泥浆水通过罐车托运至城陵矶污水处理厂处理</w:t>
      </w:r>
      <w:r>
        <w:rPr>
          <w:rFonts w:hint="eastAsia"/>
        </w:rPr>
        <w:t>；</w:t>
      </w:r>
    </w:p>
    <w:p>
      <w:pPr>
        <w:ind w:firstLine="480"/>
        <w:rPr>
          <w:rFonts w:hint="default" w:ascii="Times New Roman" w:hAnsi="Times New Roman" w:eastAsia="宋体" w:cs="Times New Roman"/>
          <w:lang w:val="en-US" w:eastAsia="zh-CN"/>
        </w:rPr>
      </w:pPr>
      <w:r>
        <w:rPr>
          <w:rFonts w:hint="eastAsia" w:ascii="Times New Roman" w:hAnsi="Times New Roman" w:cs="Times New Roman"/>
          <w:lang w:val="en-US" w:eastAsia="zh-CN"/>
        </w:rPr>
        <w:t>疏浚污泥脱水后堆放区四周设置排水沟和沉淀池，堆放场地做好防渗措施，遇到雨季及时用防水毡布进行覆盖。加强施工管理，控制</w:t>
      </w:r>
      <w:r>
        <w:rPr>
          <w:rFonts w:hint="eastAsia"/>
        </w:rPr>
        <w:t>每日疏浚量</w:t>
      </w:r>
      <w:r>
        <w:rPr>
          <w:rFonts w:hint="eastAsia"/>
          <w:lang w:eastAsia="zh-CN"/>
        </w:rPr>
        <w:t>。</w:t>
      </w:r>
      <w:r>
        <w:rPr>
          <w:rFonts w:hint="eastAsia"/>
          <w:lang w:val="en-US" w:eastAsia="zh-CN"/>
        </w:rPr>
        <w:t>确保脱水和堆存过程中产生的汇流水经可以及时托运至污水处理站。</w:t>
      </w:r>
    </w:p>
    <w:p>
      <w:pPr>
        <w:ind w:firstLine="482"/>
        <w:rPr>
          <w:b/>
          <w:bCs/>
        </w:rPr>
      </w:pPr>
      <w:r>
        <w:rPr>
          <w:b/>
          <w:bCs/>
        </w:rPr>
        <w:t>（2）施工船舶污水</w:t>
      </w:r>
    </w:p>
    <w:p>
      <w:pPr>
        <w:ind w:firstLine="480"/>
      </w:pPr>
      <w:r>
        <w:t>本项目船舶生活污水和含油废水经施工单位负责交海事部门环保船接收处理，不外排，不会对周边水环境造成影响。</w:t>
      </w:r>
    </w:p>
    <w:p>
      <w:pPr>
        <w:ind w:firstLine="482"/>
        <w:rPr>
          <w:b/>
          <w:bCs/>
        </w:rPr>
      </w:pPr>
      <w:r>
        <w:rPr>
          <w:b/>
          <w:bCs/>
        </w:rPr>
        <w:t>（3）员工生活污水</w:t>
      </w:r>
    </w:p>
    <w:p>
      <w:pPr>
        <w:ind w:firstLine="480"/>
      </w:pPr>
      <w:r>
        <w:t>施工人员租用附近民宅作为办公休息地点，生活污水依托已有排水系统，可避免临时施工营地生活污水排放带来的污染影响。</w:t>
      </w:r>
    </w:p>
    <w:p>
      <w:pPr>
        <w:pStyle w:val="454"/>
        <w:ind w:firstLine="602"/>
        <w:rPr>
          <w:color w:val="auto"/>
        </w:rPr>
      </w:pPr>
      <w:r>
        <w:rPr>
          <w:color w:val="auto"/>
        </w:rPr>
        <w:t>运营期水污染防治措施</w:t>
      </w:r>
    </w:p>
    <w:p>
      <w:pPr>
        <w:pStyle w:val="2101"/>
        <w:spacing w:line="360" w:lineRule="auto"/>
        <w:rPr>
          <w:bCs/>
        </w:rPr>
      </w:pPr>
      <w:r>
        <w:rPr>
          <w:bCs/>
        </w:rPr>
        <w:t>本项目产生的废水主要为船舶废水（船舶舱底油污水、船舶生活污水）</w:t>
      </w:r>
      <w:r>
        <w:rPr>
          <w:rFonts w:hint="eastAsia"/>
          <w:bCs/>
        </w:rPr>
        <w:t>、生产废水（地面</w:t>
      </w:r>
      <w:r>
        <w:rPr>
          <w:bCs/>
        </w:rPr>
        <w:t>冲洗废水、流动机械冲洗废水</w:t>
      </w:r>
      <w:r>
        <w:rPr>
          <w:rFonts w:hint="eastAsia"/>
          <w:bCs/>
        </w:rPr>
        <w:t>、</w:t>
      </w:r>
      <w:r>
        <w:rPr>
          <w:bCs/>
        </w:rPr>
        <w:t>初期雨水</w:t>
      </w:r>
      <w:r>
        <w:rPr>
          <w:rFonts w:hint="eastAsia"/>
          <w:bCs/>
        </w:rPr>
        <w:t>）</w:t>
      </w:r>
      <w:r>
        <w:rPr>
          <w:bCs/>
        </w:rPr>
        <w:t>和生活污水。项目建设单位应按照相关法律法规、标准和技术规范等要求运行水污染防治设施并进行维护和管理，保证设施运行正常，处理、排放水污染物符合相关国家或地方污染物排放标准的规定。</w:t>
      </w:r>
    </w:p>
    <w:p>
      <w:pPr>
        <w:pStyle w:val="456"/>
        <w:ind w:firstLine="482"/>
        <w:rPr>
          <w:b w:val="0"/>
        </w:rPr>
      </w:pPr>
      <w:r>
        <w:rPr>
          <w:rFonts w:hint="eastAsia"/>
        </w:rPr>
        <w:t>船舶废水</w:t>
      </w:r>
    </w:p>
    <w:p>
      <w:pPr>
        <w:ind w:firstLine="482"/>
        <w:rPr>
          <w:b/>
        </w:rPr>
      </w:pPr>
      <w:r>
        <w:rPr>
          <w:rFonts w:hint="eastAsia"/>
          <w:b/>
        </w:rPr>
        <w:t>（1）</w:t>
      </w:r>
      <w:r>
        <w:rPr>
          <w:rFonts w:hint="eastAsia"/>
          <w:b/>
          <w:spacing w:val="-3"/>
          <w:szCs w:val="22"/>
        </w:rPr>
        <w:t>船舶舱底油污水</w:t>
      </w:r>
    </w:p>
    <w:p>
      <w:pPr>
        <w:widowControl/>
        <w:ind w:firstLine="470"/>
        <w:rPr>
          <w:b/>
        </w:rPr>
      </w:pPr>
      <w:r>
        <w:rPr>
          <w:rFonts w:hint="eastAsia" w:ascii="宋体" w:hAnsi="宋体" w:cs="宋体"/>
          <w:b/>
          <w:spacing w:val="-3"/>
          <w:szCs w:val="22"/>
        </w:rPr>
        <w:t>①</w:t>
      </w:r>
      <w:r>
        <w:rPr>
          <w:rFonts w:hint="eastAsia"/>
          <w:b/>
          <w:spacing w:val="-3"/>
          <w:szCs w:val="22"/>
        </w:rPr>
        <w:t>船舶舱底油污水</w:t>
      </w:r>
      <w:r>
        <w:rPr>
          <w:rFonts w:hint="eastAsia"/>
          <w:b/>
        </w:rPr>
        <w:t>污染防治措施</w:t>
      </w:r>
    </w:p>
    <w:p>
      <w:pPr>
        <w:ind w:firstLine="480"/>
        <w:rPr>
          <w:spacing w:val="-3"/>
          <w:szCs w:val="22"/>
        </w:rPr>
      </w:pPr>
      <w:r>
        <w:t>本项目</w:t>
      </w:r>
      <w:r>
        <w:rPr>
          <w:spacing w:val="-3"/>
          <w:szCs w:val="22"/>
        </w:rPr>
        <w:t>到港船舶油污水</w:t>
      </w:r>
      <w:r>
        <w:t>经自带的油</w:t>
      </w:r>
      <w:r>
        <w:rPr>
          <w:spacing w:val="-10"/>
        </w:rPr>
        <w:t>水分离器处理后</w:t>
      </w:r>
      <w:r>
        <w:rPr>
          <w:rFonts w:hint="eastAsia"/>
          <w:spacing w:val="-10"/>
        </w:rPr>
        <w:t>，</w:t>
      </w:r>
      <w:r>
        <w:rPr>
          <w:spacing w:val="-3"/>
          <w:szCs w:val="22"/>
        </w:rPr>
        <w:t>申请海事部门的环保工作船进行专业收集处理。</w:t>
      </w:r>
    </w:p>
    <w:p>
      <w:pPr>
        <w:widowControl/>
        <w:ind w:firstLine="468"/>
        <w:rPr>
          <w:spacing w:val="-3"/>
          <w:szCs w:val="22"/>
        </w:rPr>
      </w:pPr>
      <w:r>
        <w:rPr>
          <w:spacing w:val="-3"/>
          <w:szCs w:val="22"/>
        </w:rPr>
        <w:t>为进一步保护生态环境，加强内河通航水域的船舶污染防治，建设单位应按照《船舶水污染物内河港口岸上接收设施设计指南》（JTS/T 175-2019）要求，建设船舶水污染物岸上接收设施，并设置标识牌。</w:t>
      </w:r>
    </w:p>
    <w:p>
      <w:pPr>
        <w:widowControl/>
        <w:ind w:firstLine="468"/>
        <w:rPr>
          <w:spacing w:val="-3"/>
          <w:szCs w:val="22"/>
        </w:rPr>
      </w:pPr>
      <w:r>
        <w:rPr>
          <w:spacing w:val="-3"/>
          <w:szCs w:val="22"/>
        </w:rPr>
        <w:t>船舶生活污水、船舶含油污水岸上接收设施应包括船岸连接和接口设备，根据需要可配置岸上输送管道、槽车、储存设施和预处理设施等。</w:t>
      </w:r>
    </w:p>
    <w:p>
      <w:pPr>
        <w:widowControl/>
        <w:ind w:firstLine="468"/>
        <w:rPr>
          <w:spacing w:val="-3"/>
          <w:szCs w:val="22"/>
        </w:rPr>
      </w:pPr>
      <w:r>
        <w:rPr>
          <w:spacing w:val="-3"/>
          <w:szCs w:val="22"/>
        </w:rPr>
        <w:t>船舶含油污水接收设施应满足防火、防腐蚀要求。</w:t>
      </w:r>
    </w:p>
    <w:p>
      <w:pPr>
        <w:ind w:firstLine="482"/>
        <w:rPr>
          <w:b/>
        </w:rPr>
      </w:pPr>
      <w:r>
        <w:rPr>
          <w:rFonts w:hint="eastAsia"/>
          <w:b/>
        </w:rPr>
        <w:t>②</w:t>
      </w:r>
      <w:r>
        <w:rPr>
          <w:b/>
          <w:spacing w:val="-3"/>
          <w:szCs w:val="22"/>
        </w:rPr>
        <w:t>船舶舱底油污水</w:t>
      </w:r>
      <w:r>
        <w:rPr>
          <w:rFonts w:hint="eastAsia"/>
          <w:b/>
        </w:rPr>
        <w:t>处理可行性分析</w:t>
      </w:r>
    </w:p>
    <w:p>
      <w:pPr>
        <w:keepNext w:val="0"/>
        <w:keepLines w:val="0"/>
        <w:widowControl/>
        <w:suppressLineNumbers w:val="0"/>
        <w:jc w:val="left"/>
      </w:pPr>
      <w:r>
        <w:rPr>
          <w:spacing w:val="-3"/>
          <w:szCs w:val="22"/>
        </w:rPr>
        <w:t>本项目营运期到港船舶的舱底油污水主要污染物为石油类。根据《中华人民共和国防止船舶污染内河水域环境管理规定》（2006年1月1日）和《船舶水污染物排放标准》（GB3552-83）的规定，船舶不仅要设置油污储存舱和装设油水分离设备，还应装有排油监控装置和标准排放接头。根据国际海事组织有关公约规定船舶的污水不能在码头区域排放。根据《船舶与港口污染防治专项行动实施方案（2015-2020年）》：内河港口、码头、装卸站（以下简称港口）、船舶修造厂分别于2017年底前和2020年底前具备船舶含油污水、化学品洗舱水、生活污水和垃圾等接收能力，并做好与城市市政公共处理设施的衔接，全面实现船舶污染物按规定处置。到港船舶本身应配有处理机舱油污水的船用油水分离器，经处理后含油量应小于15mg/L，不得在码头所在江段排放舱底油污水，</w:t>
      </w:r>
      <w:r>
        <w:rPr>
          <w:rFonts w:hint="eastAsia" w:eastAsiaTheme="minorEastAsia"/>
          <w:lang w:val="en-US" w:eastAsia="zh-CN"/>
        </w:rPr>
        <w:t>港船油污水</w:t>
      </w:r>
      <w:r>
        <w:rPr>
          <w:rFonts w:hint="eastAsia" w:ascii="Times New Roman" w:hAnsi="Times New Roman" w:cs="Times New Roman" w:eastAsiaTheme="minorEastAsia"/>
          <w:kern w:val="2"/>
          <w:sz w:val="24"/>
          <w:szCs w:val="24"/>
          <w:lang w:val="en-US" w:eastAsia="zh-CN" w:bidi="ar"/>
        </w:rPr>
        <w:t>上岸进入港区专用储存池，再定期送往有处理资质的船舶油污水处理站进行处理。</w:t>
      </w:r>
    </w:p>
    <w:p>
      <w:pPr>
        <w:ind w:firstLine="482"/>
        <w:rPr>
          <w:b/>
        </w:rPr>
      </w:pPr>
      <w:r>
        <w:rPr>
          <w:rFonts w:hint="eastAsia"/>
          <w:b/>
        </w:rPr>
        <w:t>（2）</w:t>
      </w:r>
      <w:r>
        <w:rPr>
          <w:rFonts w:hint="eastAsia"/>
          <w:b/>
          <w:spacing w:val="-3"/>
          <w:szCs w:val="22"/>
        </w:rPr>
        <w:t>船舶生活污水</w:t>
      </w:r>
    </w:p>
    <w:p>
      <w:pPr>
        <w:widowControl/>
        <w:ind w:firstLine="470"/>
        <w:rPr>
          <w:b/>
        </w:rPr>
      </w:pPr>
      <w:r>
        <w:rPr>
          <w:rFonts w:hint="eastAsia" w:ascii="宋体" w:hAnsi="宋体" w:cs="宋体"/>
          <w:b/>
          <w:spacing w:val="-3"/>
          <w:szCs w:val="22"/>
        </w:rPr>
        <w:t>①</w:t>
      </w:r>
      <w:r>
        <w:rPr>
          <w:rFonts w:hint="eastAsia"/>
          <w:b/>
          <w:spacing w:val="-3"/>
          <w:szCs w:val="22"/>
        </w:rPr>
        <w:t>船舶生活污水</w:t>
      </w:r>
      <w:r>
        <w:rPr>
          <w:rFonts w:hint="eastAsia"/>
          <w:b/>
        </w:rPr>
        <w:t>污染防治措施</w:t>
      </w:r>
    </w:p>
    <w:p>
      <w:pPr>
        <w:widowControl/>
        <w:ind w:firstLine="468"/>
        <w:rPr>
          <w:spacing w:val="-3"/>
          <w:szCs w:val="22"/>
        </w:rPr>
      </w:pPr>
      <w:r>
        <w:rPr>
          <w:spacing w:val="-3"/>
          <w:szCs w:val="22"/>
        </w:rPr>
        <w:t>本项目船舶生活污水禁止直接向水域排放生活污水，</w:t>
      </w:r>
      <w:r>
        <w:rPr>
          <w:rFonts w:hint="eastAsia"/>
          <w:spacing w:val="-3"/>
          <w:szCs w:val="22"/>
          <w:lang w:val="en-US" w:eastAsia="zh-CN"/>
        </w:rPr>
        <w:t>船舶</w:t>
      </w:r>
      <w:r>
        <w:rPr>
          <w:spacing w:val="-3"/>
          <w:szCs w:val="22"/>
        </w:rPr>
        <w:t>生活污水</w:t>
      </w:r>
      <w:r>
        <w:rPr>
          <w:rFonts w:hint="eastAsia"/>
          <w:spacing w:val="-3"/>
          <w:szCs w:val="22"/>
          <w:lang w:val="en-US" w:eastAsia="zh-CN"/>
        </w:rPr>
        <w:t>进入港区接收设施</w:t>
      </w:r>
      <w:r>
        <w:rPr>
          <w:spacing w:val="-3"/>
          <w:szCs w:val="22"/>
        </w:rPr>
        <w:t>。</w:t>
      </w:r>
    </w:p>
    <w:p>
      <w:pPr>
        <w:widowControl/>
        <w:ind w:firstLine="468"/>
        <w:rPr>
          <w:spacing w:val="-3"/>
          <w:szCs w:val="22"/>
        </w:rPr>
      </w:pPr>
      <w:r>
        <w:rPr>
          <w:spacing w:val="-3"/>
          <w:szCs w:val="22"/>
        </w:rPr>
        <w:t>此外，项目建设单位应加强与港监部门的配合，积极做好到港船舶的环保监管工作，严禁向长江水域排放各类污水、倾倒各类固体废物；对没有配备防污设施的船舶按规定进行处理，同时采取相应的补救措施，如提供活动厕所或污水接收容器等；船舶靠港装卸、补给期间，应通过宣传教育，提高船员的节水意识，可显著减少船舶生活污水的排放量；加强船舶靠港装卸、补给期间冲洗设备的定期检査，杜绝</w:t>
      </w:r>
      <w:r>
        <w:rPr>
          <w:rFonts w:asciiTheme="minorEastAsia" w:hAnsiTheme="minorEastAsia" w:eastAsiaTheme="minorEastAsia"/>
          <w:spacing w:val="-3"/>
          <w:szCs w:val="22"/>
        </w:rPr>
        <w:t>“</w:t>
      </w:r>
      <w:r>
        <w:rPr>
          <w:spacing w:val="-3"/>
          <w:szCs w:val="22"/>
        </w:rPr>
        <w:t>跑、冒、滴、漏</w:t>
      </w:r>
      <w:r>
        <w:rPr>
          <w:rFonts w:asciiTheme="minorEastAsia" w:hAnsiTheme="minorEastAsia" w:eastAsiaTheme="minorEastAsia"/>
          <w:spacing w:val="-3"/>
          <w:szCs w:val="22"/>
        </w:rPr>
        <w:t>”</w:t>
      </w:r>
      <w:r>
        <w:rPr>
          <w:spacing w:val="-3"/>
          <w:szCs w:val="22"/>
        </w:rPr>
        <w:t>现象，也有利于污水量的最少化。</w:t>
      </w:r>
    </w:p>
    <w:p>
      <w:pPr>
        <w:widowControl/>
        <w:ind w:firstLine="468"/>
        <w:rPr>
          <w:spacing w:val="-3"/>
          <w:szCs w:val="22"/>
        </w:rPr>
      </w:pPr>
      <w:r>
        <w:rPr>
          <w:spacing w:val="-3"/>
          <w:szCs w:val="22"/>
        </w:rPr>
        <w:t>为保证到港船舶污染物不污染码头水域，建议在码头前沿醒目处设置严禁排污的警示牌和标明污染物回收站点的指示牌，并加强与岳阳地方海事部门的沟通与协调，加强本码头水域的监管和巡査。</w:t>
      </w:r>
    </w:p>
    <w:p>
      <w:pPr>
        <w:widowControl/>
        <w:ind w:firstLine="468"/>
        <w:rPr>
          <w:spacing w:val="-3"/>
          <w:szCs w:val="22"/>
        </w:rPr>
      </w:pPr>
      <w:r>
        <w:rPr>
          <w:spacing w:val="-3"/>
          <w:szCs w:val="22"/>
        </w:rPr>
        <w:t>为进一步保护生态环境，加强内河通航水域的船舶污染防治，建设单位应按照《船舶水污染物内河港口岸上接收设施设计指南》（JTS/T 175-2019）要求，建设船舶水污染物岸上接收设施，并设置标识牌。</w:t>
      </w:r>
    </w:p>
    <w:p>
      <w:pPr>
        <w:widowControl/>
        <w:ind w:firstLine="468"/>
        <w:rPr>
          <w:spacing w:val="-3"/>
          <w:szCs w:val="22"/>
        </w:rPr>
      </w:pPr>
      <w:r>
        <w:rPr>
          <w:spacing w:val="-3"/>
          <w:szCs w:val="22"/>
        </w:rPr>
        <w:t>船舶生活污水、船舶含油污水岸上接收设施应包括船岸连接和接口设备，根据需要可配置岸上输送管道、槽车、储存设施和预处理设施等。</w:t>
      </w:r>
    </w:p>
    <w:p>
      <w:pPr>
        <w:ind w:firstLine="482"/>
        <w:rPr>
          <w:b/>
        </w:rPr>
      </w:pPr>
      <w:r>
        <w:rPr>
          <w:rFonts w:hint="eastAsia"/>
          <w:b/>
        </w:rPr>
        <w:t>②</w:t>
      </w:r>
      <w:r>
        <w:rPr>
          <w:rFonts w:hint="eastAsia"/>
          <w:b/>
          <w:spacing w:val="-3"/>
          <w:szCs w:val="22"/>
        </w:rPr>
        <w:t>船舶生活污水</w:t>
      </w:r>
      <w:r>
        <w:rPr>
          <w:rFonts w:hint="eastAsia"/>
          <w:b/>
        </w:rPr>
        <w:t>处理可行性分析</w:t>
      </w:r>
    </w:p>
    <w:p>
      <w:pPr>
        <w:widowControl/>
        <w:ind w:firstLine="468"/>
        <w:rPr>
          <w:spacing w:val="-3"/>
          <w:szCs w:val="22"/>
        </w:rPr>
      </w:pPr>
      <w:r>
        <w:rPr>
          <w:spacing w:val="-3"/>
          <w:szCs w:val="22"/>
        </w:rPr>
        <w:t>《水污染防治行动计划》（2015）指出：加强船舶港口污染控制，积极治理船舶污染，依法强制报废超过使用年限的船舶。分类分级修订船舶及其设施、设备的相关环保标准。2018年起投入使用的沿海船舶、2021年起投入使用的内河船舶执行新的标准；其他船舶于2020年底前完成改造，经改造仍不能达到要求的，限期予以淘汰。航行于我国水域的国际航线船舶，要实施压载水交换或安装压载水灭活处理系统。规范拆船行为，禁止冲滩拆解。</w:t>
      </w:r>
    </w:p>
    <w:p>
      <w:pPr>
        <w:widowControl/>
        <w:ind w:firstLine="468"/>
        <w:rPr>
          <w:spacing w:val="-3"/>
          <w:szCs w:val="22"/>
        </w:rPr>
      </w:pPr>
      <w:r>
        <w:rPr>
          <w:spacing w:val="-3"/>
          <w:szCs w:val="22"/>
        </w:rPr>
        <w:t>增强港口码头污染防治能力。编制实施全国港口、码头、装卸站污染防治方案。加快垃圾接收、转运及处理处置设施建设，提高含油污水接收处置能力及污染事故应急能力。位于沿海和内河的港口、码头、装卸站及船舶修造厂，分别于2017年底前和2020年底前达到建设要求。港口、码头、装卸站的经营人应制定防治船舶及其有关活动污染水环境的应急计划。</w:t>
      </w:r>
    </w:p>
    <w:p>
      <w:pPr>
        <w:pStyle w:val="456"/>
        <w:ind w:firstLine="482"/>
        <w:rPr>
          <w:b w:val="0"/>
        </w:rPr>
      </w:pPr>
      <w:r>
        <w:rPr>
          <w:rFonts w:hint="eastAsia"/>
        </w:rPr>
        <w:t>生产废水</w:t>
      </w:r>
    </w:p>
    <w:p>
      <w:pPr>
        <w:ind w:firstLine="482"/>
        <w:rPr>
          <w:b/>
        </w:rPr>
      </w:pPr>
      <w:r>
        <w:rPr>
          <w:rFonts w:hint="eastAsia"/>
          <w:b/>
        </w:rPr>
        <w:t>（1）含油废水</w:t>
      </w:r>
    </w:p>
    <w:p>
      <w:pPr>
        <w:ind w:firstLine="482"/>
        <w:rPr>
          <w:b/>
        </w:rPr>
      </w:pPr>
      <w:r>
        <w:rPr>
          <w:rFonts w:hint="eastAsia"/>
          <w:b/>
        </w:rPr>
        <w:t>①含油废水污染防治措施</w:t>
      </w:r>
    </w:p>
    <w:p>
      <w:pPr>
        <w:ind w:firstLine="480"/>
      </w:pPr>
      <w:r>
        <w:t>本项目机修委托</w:t>
      </w:r>
      <w:r>
        <w:rPr>
          <w:rFonts w:hint="eastAsia"/>
          <w:szCs w:val="28"/>
        </w:rPr>
        <w:t>港外机械修理公司、设备厂家及其它社会力量，</w:t>
      </w:r>
      <w:r>
        <w:t>故项目含油废水主要为机械冲洗废水</w:t>
      </w:r>
      <w:r>
        <w:rPr>
          <w:rFonts w:hint="eastAsia"/>
        </w:rPr>
        <w:t>。</w:t>
      </w:r>
    </w:p>
    <w:p>
      <w:pPr>
        <w:ind w:firstLine="480"/>
      </w:pPr>
      <w:r>
        <w:t>本项目在流动机械库设置油水分离器</w:t>
      </w:r>
      <w:r>
        <w:rPr>
          <w:rFonts w:hint="eastAsia"/>
        </w:rPr>
        <w:t>1个，</w:t>
      </w:r>
      <w:r>
        <w:t>机械冲洗废水集中收集后</w:t>
      </w:r>
      <w:r>
        <w:rPr>
          <w:rFonts w:hint="eastAsia"/>
        </w:rPr>
        <w:t>，</w:t>
      </w:r>
      <w:r>
        <w:t>经油水分离器预处理后进入</w:t>
      </w:r>
      <w:r>
        <w:rPr>
          <w:rFonts w:hint="eastAsia"/>
          <w:lang w:val="en-US" w:eastAsia="zh-CN"/>
        </w:rPr>
        <w:t>项目自建</w:t>
      </w:r>
      <w:r>
        <w:t>含尘污水处理间处理</w:t>
      </w:r>
      <w:r>
        <w:rPr>
          <w:rFonts w:hint="eastAsia"/>
        </w:rPr>
        <w:t>。</w:t>
      </w:r>
    </w:p>
    <w:p>
      <w:pPr>
        <w:ind w:firstLine="480"/>
      </w:pPr>
      <w:r>
        <w:rPr>
          <w:lang w:val="zh-CN"/>
        </w:rPr>
        <w:t>油水分离器产生的废油属危险</w:t>
      </w:r>
      <w:r>
        <w:rPr>
          <w:rFonts w:hint="eastAsia"/>
          <w:lang w:val="zh-CN"/>
        </w:rPr>
        <w:t>废物</w:t>
      </w:r>
      <w:r>
        <w:rPr>
          <w:lang w:val="zh-CN"/>
        </w:rPr>
        <w:t>，应送有资质的危险废物接收回收处理。</w:t>
      </w:r>
    </w:p>
    <w:p>
      <w:pPr>
        <w:ind w:firstLine="482"/>
        <w:rPr>
          <w:b/>
        </w:rPr>
      </w:pPr>
      <w:r>
        <w:rPr>
          <w:rFonts w:hint="eastAsia"/>
          <w:b/>
        </w:rPr>
        <w:t>②含油废水处理可行性分析</w:t>
      </w:r>
    </w:p>
    <w:p>
      <w:pPr>
        <w:ind w:firstLine="480"/>
      </w:pPr>
      <w:r>
        <w:t>油水分离器进出水水质指标见下表</w:t>
      </w:r>
      <w:r>
        <w:rPr>
          <w:rFonts w:hint="eastAsia"/>
        </w:rPr>
        <w:t>。</w:t>
      </w:r>
    </w:p>
    <w:p>
      <w:pPr>
        <w:pStyle w:val="3590"/>
        <w:rPr>
          <w:bCs/>
          <w:szCs w:val="21"/>
        </w:rPr>
      </w:pPr>
      <w:r>
        <w:rPr>
          <w:bCs/>
          <w:szCs w:val="21"/>
        </w:rPr>
        <w:t>油水分离器</w:t>
      </w:r>
      <w:r>
        <w:t>进出</w:t>
      </w:r>
      <w:r>
        <w:rPr>
          <w:bCs/>
          <w:szCs w:val="21"/>
        </w:rPr>
        <w:t>水水质指标      单位：mg/L</w:t>
      </w:r>
    </w:p>
    <w:tbl>
      <w:tblPr>
        <w:tblStyle w:val="359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27"/>
        <w:gridCol w:w="2414"/>
        <w:gridCol w:w="2415"/>
        <w:gridCol w:w="22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8" w:type="dxa"/>
            <w:vAlign w:val="center"/>
          </w:tcPr>
          <w:p>
            <w:pPr>
              <w:tabs>
                <w:tab w:val="clear" w:pos="480"/>
              </w:tabs>
              <w:adjustRightInd w:val="0"/>
              <w:snapToGrid w:val="0"/>
              <w:spacing w:line="240" w:lineRule="auto"/>
              <w:ind w:firstLine="0" w:firstLineChars="0"/>
              <w:jc w:val="center"/>
              <w:rPr>
                <w:sz w:val="21"/>
                <w:szCs w:val="21"/>
              </w:rPr>
            </w:pPr>
            <w:r>
              <w:rPr>
                <w:sz w:val="21"/>
                <w:szCs w:val="21"/>
              </w:rPr>
              <w:t>水质指标</w:t>
            </w:r>
          </w:p>
        </w:tc>
        <w:tc>
          <w:tcPr>
            <w:tcW w:w="2350" w:type="dxa"/>
            <w:vAlign w:val="center"/>
          </w:tcPr>
          <w:p>
            <w:pPr>
              <w:tabs>
                <w:tab w:val="clear" w:pos="480"/>
              </w:tabs>
              <w:adjustRightInd w:val="0"/>
              <w:snapToGrid w:val="0"/>
              <w:spacing w:line="240" w:lineRule="auto"/>
              <w:ind w:firstLine="0" w:firstLineChars="0"/>
              <w:jc w:val="center"/>
              <w:rPr>
                <w:sz w:val="21"/>
                <w:szCs w:val="21"/>
              </w:rPr>
            </w:pPr>
            <w:r>
              <w:rPr>
                <w:sz w:val="21"/>
                <w:szCs w:val="21"/>
              </w:rPr>
              <w:t>进水水质</w:t>
            </w:r>
          </w:p>
        </w:tc>
        <w:tc>
          <w:tcPr>
            <w:tcW w:w="2351" w:type="dxa"/>
            <w:vAlign w:val="center"/>
          </w:tcPr>
          <w:p>
            <w:pPr>
              <w:tabs>
                <w:tab w:val="clear" w:pos="480"/>
              </w:tabs>
              <w:adjustRightInd w:val="0"/>
              <w:snapToGrid w:val="0"/>
              <w:spacing w:line="240" w:lineRule="auto"/>
              <w:ind w:firstLine="0" w:firstLineChars="0"/>
              <w:jc w:val="center"/>
              <w:rPr>
                <w:sz w:val="21"/>
                <w:szCs w:val="21"/>
              </w:rPr>
            </w:pPr>
            <w:r>
              <w:rPr>
                <w:sz w:val="21"/>
                <w:szCs w:val="21"/>
              </w:rPr>
              <w:t>出水水质</w:t>
            </w:r>
          </w:p>
        </w:tc>
        <w:tc>
          <w:tcPr>
            <w:tcW w:w="2171" w:type="dxa"/>
            <w:vAlign w:val="center"/>
          </w:tcPr>
          <w:p>
            <w:pPr>
              <w:tabs>
                <w:tab w:val="clear" w:pos="480"/>
              </w:tabs>
              <w:adjustRightInd w:val="0"/>
              <w:snapToGrid w:val="0"/>
              <w:spacing w:line="240" w:lineRule="auto"/>
              <w:ind w:firstLine="0" w:firstLineChars="0"/>
              <w:jc w:val="center"/>
              <w:rPr>
                <w:sz w:val="21"/>
                <w:szCs w:val="21"/>
              </w:rPr>
            </w:pPr>
            <w:r>
              <w:rPr>
                <w:sz w:val="21"/>
                <w:szCs w:val="21"/>
              </w:rPr>
              <w:t>去除率(%)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8" w:type="dxa"/>
            <w:vAlign w:val="center"/>
          </w:tcPr>
          <w:p>
            <w:pPr>
              <w:tabs>
                <w:tab w:val="clear" w:pos="480"/>
              </w:tabs>
              <w:adjustRightInd w:val="0"/>
              <w:snapToGrid w:val="0"/>
              <w:spacing w:line="240" w:lineRule="auto"/>
              <w:ind w:firstLine="0" w:firstLineChars="0"/>
              <w:jc w:val="center"/>
              <w:rPr>
                <w:sz w:val="21"/>
                <w:szCs w:val="21"/>
              </w:rPr>
            </w:pPr>
            <w:r>
              <w:rPr>
                <w:sz w:val="21"/>
                <w:szCs w:val="21"/>
              </w:rPr>
              <w:t>石油类</w:t>
            </w:r>
          </w:p>
        </w:tc>
        <w:tc>
          <w:tcPr>
            <w:tcW w:w="2350" w:type="dxa"/>
            <w:vAlign w:val="center"/>
          </w:tcPr>
          <w:p>
            <w:pPr>
              <w:tabs>
                <w:tab w:val="clear" w:pos="480"/>
              </w:tabs>
              <w:adjustRightInd w:val="0"/>
              <w:snapToGrid w:val="0"/>
              <w:spacing w:line="240" w:lineRule="auto"/>
              <w:ind w:firstLine="0" w:firstLineChars="0"/>
              <w:jc w:val="center"/>
              <w:rPr>
                <w:sz w:val="21"/>
                <w:szCs w:val="21"/>
              </w:rPr>
            </w:pPr>
            <w:r>
              <w:rPr>
                <w:sz w:val="21"/>
                <w:szCs w:val="21"/>
              </w:rPr>
              <w:t>≤10000</w:t>
            </w:r>
          </w:p>
        </w:tc>
        <w:tc>
          <w:tcPr>
            <w:tcW w:w="2351" w:type="dxa"/>
            <w:vAlign w:val="center"/>
          </w:tcPr>
          <w:p>
            <w:pPr>
              <w:tabs>
                <w:tab w:val="clear" w:pos="480"/>
              </w:tabs>
              <w:adjustRightInd w:val="0"/>
              <w:snapToGrid w:val="0"/>
              <w:spacing w:line="240" w:lineRule="auto"/>
              <w:ind w:firstLine="0" w:firstLineChars="0"/>
              <w:jc w:val="center"/>
              <w:rPr>
                <w:sz w:val="21"/>
                <w:szCs w:val="21"/>
              </w:rPr>
            </w:pPr>
            <w:r>
              <w:rPr>
                <w:sz w:val="21"/>
                <w:szCs w:val="21"/>
              </w:rPr>
              <w:t>≤5</w:t>
            </w:r>
          </w:p>
        </w:tc>
        <w:tc>
          <w:tcPr>
            <w:tcW w:w="2171" w:type="dxa"/>
            <w:vAlign w:val="center"/>
          </w:tcPr>
          <w:p>
            <w:pPr>
              <w:tabs>
                <w:tab w:val="clear" w:pos="480"/>
              </w:tabs>
              <w:adjustRightInd w:val="0"/>
              <w:snapToGrid w:val="0"/>
              <w:spacing w:line="240" w:lineRule="auto"/>
              <w:ind w:firstLine="0" w:firstLineChars="0"/>
              <w:jc w:val="center"/>
              <w:rPr>
                <w:sz w:val="21"/>
                <w:szCs w:val="21"/>
              </w:rPr>
            </w:pPr>
            <w:r>
              <w:rPr>
                <w:sz w:val="21"/>
                <w:szCs w:val="21"/>
              </w:rPr>
              <w:t>99.95%</w:t>
            </w:r>
          </w:p>
        </w:tc>
      </w:tr>
    </w:tbl>
    <w:p>
      <w:pPr>
        <w:ind w:firstLine="480"/>
      </w:pPr>
      <w:r>
        <w:t>从上表可以看出，油水分离器完全能使含油污水中的石油类处理后达到《污水综合排放标准》(GB8978-1996)</w:t>
      </w:r>
      <w:r>
        <w:rPr>
          <w:lang w:val="zh-CN"/>
        </w:rPr>
        <w:t>“一级标准”。</w:t>
      </w:r>
    </w:p>
    <w:p>
      <w:pPr>
        <w:ind w:firstLine="482"/>
        <w:rPr>
          <w:b/>
        </w:rPr>
      </w:pPr>
      <w:r>
        <w:rPr>
          <w:rFonts w:hint="eastAsia"/>
          <w:b/>
        </w:rPr>
        <w:t>（2）含尘废水</w:t>
      </w:r>
    </w:p>
    <w:p>
      <w:pPr>
        <w:ind w:firstLine="482"/>
        <w:rPr>
          <w:b/>
        </w:rPr>
      </w:pPr>
      <w:r>
        <w:rPr>
          <w:rFonts w:hint="eastAsia"/>
          <w:b/>
        </w:rPr>
        <w:t>①含尘废水污染防治措施</w:t>
      </w:r>
    </w:p>
    <w:p>
      <w:pPr>
        <w:ind w:firstLine="480"/>
      </w:pPr>
      <w:r>
        <w:t>本项目含尘废水主要为地面</w:t>
      </w:r>
      <w:r>
        <w:rPr>
          <w:rFonts w:hint="eastAsia"/>
        </w:rPr>
        <w:t>冲洗废水和初期雨水。</w:t>
      </w:r>
    </w:p>
    <w:p>
      <w:pPr>
        <w:pStyle w:val="458"/>
        <w:ind w:firstLine="480"/>
        <w:rPr>
          <w:rFonts w:cs="Times New Roman"/>
          <w:bCs/>
          <w:color w:val="auto"/>
        </w:rPr>
      </w:pPr>
      <w:r>
        <w:t>针对码头面</w:t>
      </w:r>
      <w:r>
        <w:rPr>
          <w:rFonts w:hint="eastAsia"/>
        </w:rPr>
        <w:t>冲洗废水和初期雨水，可</w:t>
      </w:r>
      <w:r>
        <w:t>在码头</w:t>
      </w:r>
      <w:r>
        <w:rPr>
          <w:rFonts w:hint="eastAsia"/>
        </w:rPr>
        <w:t>四周设置排水沟，每个泊位设</w:t>
      </w:r>
      <w:r>
        <w:t>1</w:t>
      </w:r>
      <w:r>
        <w:rPr>
          <w:rFonts w:hint="eastAsia"/>
        </w:rPr>
        <w:t>个污水收集池，收集池容积建议不小于3</w:t>
      </w:r>
      <w:r>
        <w:t>0m</w:t>
      </w:r>
      <w:r>
        <w:rPr>
          <w:vertAlign w:val="superscript"/>
        </w:rPr>
        <w:t>3</w:t>
      </w:r>
      <w:r>
        <w:rPr>
          <w:rFonts w:hint="eastAsia"/>
        </w:rPr>
        <w:t>，收集</w:t>
      </w:r>
      <w:r>
        <w:t>池内设置2台潜污泵（一用一备），码头面</w:t>
      </w:r>
      <w:r>
        <w:rPr>
          <w:rFonts w:hint="eastAsia"/>
        </w:rPr>
        <w:t>冲洗废水和初期雨水</w:t>
      </w:r>
      <w:r>
        <w:t>由码头面排水沟收集到污水收集池后，经污水泵加压通过码头设置的污水管道</w:t>
      </w:r>
      <w:r>
        <w:rPr>
          <w:rFonts w:hint="eastAsia"/>
        </w:rPr>
        <w:t>运送</w:t>
      </w:r>
      <w:r>
        <w:t>至陆域</w:t>
      </w:r>
      <w:r>
        <w:rPr>
          <w:spacing w:val="4"/>
        </w:rPr>
        <w:t>进行处理</w:t>
      </w:r>
      <w:r>
        <w:t>。</w:t>
      </w:r>
      <w:r>
        <w:rPr>
          <w:rFonts w:cs="Times New Roman"/>
          <w:bCs/>
          <w:color w:val="auto"/>
        </w:rPr>
        <w:t>污水收集池应在降雨过后12h内排空待用，并及时清理余杂物。</w:t>
      </w:r>
    </w:p>
    <w:p>
      <w:pPr>
        <w:pStyle w:val="458"/>
        <w:ind w:firstLine="480"/>
        <w:rPr>
          <w:rFonts w:cs="Times New Roman"/>
          <w:bCs/>
          <w:color w:val="auto"/>
        </w:rPr>
      </w:pPr>
      <w:r>
        <w:rPr>
          <w:color w:val="FF0000"/>
        </w:rPr>
        <w:t>码头引桥</w:t>
      </w:r>
      <w:r>
        <w:rPr>
          <w:rFonts w:hint="eastAsia"/>
          <w:color w:val="FF0000"/>
        </w:rPr>
        <w:t>设置径流收集装置，初期雨水经收集后，排入陆域堆场的沉淀池。</w:t>
      </w:r>
    </w:p>
    <w:p>
      <w:pPr>
        <w:ind w:firstLine="480"/>
        <w:rPr>
          <w:rFonts w:hint="default" w:eastAsia="宋体"/>
          <w:lang w:val="en-US" w:eastAsia="zh-CN"/>
        </w:rPr>
      </w:pPr>
      <w:r>
        <w:t>陆域堆场四周布置排水沟，场地内设1</w:t>
      </w:r>
      <w:r>
        <w:rPr>
          <w:rFonts w:hint="eastAsia"/>
        </w:rPr>
        <w:t>个</w:t>
      </w:r>
      <w:r>
        <w:t>150m</w:t>
      </w:r>
      <w:r>
        <w:rPr>
          <w:vertAlign w:val="superscript"/>
        </w:rPr>
        <w:t>3</w:t>
      </w:r>
      <w:r>
        <w:rPr>
          <w:rFonts w:hint="eastAsia"/>
        </w:rPr>
        <w:t>沉淀</w:t>
      </w:r>
      <w:r>
        <w:t>池和1</w:t>
      </w:r>
      <w:r>
        <w:rPr>
          <w:rFonts w:hint="eastAsia"/>
        </w:rPr>
        <w:t>个</w:t>
      </w:r>
      <w:r>
        <w:t>150m</w:t>
      </w:r>
      <w:r>
        <w:rPr>
          <w:vertAlign w:val="superscript"/>
        </w:rPr>
        <w:t>3</w:t>
      </w:r>
      <w:r>
        <w:rPr>
          <w:rFonts w:hint="eastAsia"/>
        </w:rPr>
        <w:t>蓄水池</w:t>
      </w:r>
      <w:r>
        <w:t>，陆域</w:t>
      </w:r>
      <w:r>
        <w:rPr>
          <w:rFonts w:hint="eastAsia"/>
        </w:rPr>
        <w:t>冲洗废水和初期雨水经</w:t>
      </w:r>
      <w:r>
        <w:t>堆场外围四周排水沟收集后</w:t>
      </w:r>
      <w:r>
        <w:rPr>
          <w:rFonts w:hint="eastAsia"/>
        </w:rPr>
        <w:t>，</w:t>
      </w:r>
      <w:r>
        <w:t>接入调节沉淀池沉淀处理</w:t>
      </w:r>
      <w:r>
        <w:rPr>
          <w:rFonts w:hint="eastAsia"/>
        </w:rPr>
        <w:t>，</w:t>
      </w:r>
      <w:r>
        <w:t>后排入蓄水池回用于</w:t>
      </w:r>
      <w:r>
        <w:rPr>
          <w:rFonts w:hint="eastAsia"/>
        </w:rPr>
        <w:t>散货</w:t>
      </w:r>
      <w:r>
        <w:t>堆场喷洒降尘。</w:t>
      </w:r>
      <w:r>
        <w:rPr>
          <w:rFonts w:hint="eastAsia"/>
          <w:lang w:val="en-US" w:eastAsia="zh-CN"/>
        </w:rPr>
        <w:t>盈余废水通过排入市政管网。</w:t>
      </w:r>
    </w:p>
    <w:p>
      <w:pPr>
        <w:ind w:firstLine="482"/>
        <w:rPr>
          <w:b/>
        </w:rPr>
      </w:pPr>
      <w:r>
        <w:rPr>
          <w:rFonts w:hint="eastAsia"/>
          <w:b/>
        </w:rPr>
        <w:t>②含尘废水处理可行性分析</w:t>
      </w:r>
    </w:p>
    <w:p>
      <w:pPr>
        <w:pStyle w:val="458"/>
        <w:ind w:firstLine="480"/>
        <w:rPr>
          <w:rFonts w:cs="Times New Roman"/>
          <w:color w:val="auto"/>
        </w:rPr>
      </w:pPr>
      <w:r>
        <w:rPr>
          <w:rFonts w:cs="Times New Roman"/>
          <w:color w:val="auto"/>
        </w:rPr>
        <w:t>含</w:t>
      </w:r>
      <w:r>
        <w:rPr>
          <w:rFonts w:hint="eastAsia" w:cs="Times New Roman"/>
          <w:color w:val="auto"/>
        </w:rPr>
        <w:t>尘</w:t>
      </w:r>
      <w:r>
        <w:rPr>
          <w:rFonts w:cs="Times New Roman"/>
          <w:color w:val="auto"/>
        </w:rPr>
        <w:t>污水主要通过沉淀装置去除其中的污染物SS，污水处理工艺流程见下图。</w:t>
      </w:r>
    </w:p>
    <w:p>
      <w:pPr>
        <w:pStyle w:val="458"/>
        <w:ind w:firstLine="0" w:firstLineChars="0"/>
        <w:jc w:val="center"/>
        <w:rPr>
          <w:rFonts w:cs="Times New Roman"/>
          <w:color w:val="auto"/>
          <w:sz w:val="21"/>
          <w:szCs w:val="24"/>
        </w:rPr>
      </w:pPr>
      <w:r>
        <w:rPr>
          <w:rFonts w:cs="Times New Roman"/>
          <w:color w:val="auto"/>
          <w:sz w:val="21"/>
          <w:szCs w:val="24"/>
        </w:rPr>
        <w:object>
          <v:shape id="_x0000_i1079" o:spt="75" type="#_x0000_t75" style="height:130.9pt;width:385.25pt;" o:ole="t" filled="f" o:preferrelative="t" stroked="f" coordsize="21600,21600">
            <v:path/>
            <v:fill on="f" focussize="0,0"/>
            <v:stroke on="f" joinstyle="miter"/>
            <v:imagedata r:id="rId284" o:title=""/>
            <o:lock v:ext="edit" aspectratio="t"/>
            <w10:wrap type="none"/>
            <w10:anchorlock/>
          </v:shape>
          <o:OLEObject Type="Embed" ProgID="Visio.Drawing.11" ShapeID="_x0000_i1079" DrawAspect="Content" ObjectID="_1468075779" r:id="rId283">
            <o:LockedField>false</o:LockedField>
          </o:OLEObject>
        </w:object>
      </w:r>
    </w:p>
    <w:p>
      <w:pPr>
        <w:pStyle w:val="21"/>
        <w:ind w:firstLine="482"/>
        <w:jc w:val="center"/>
        <w:rPr>
          <w:b/>
          <w:bCs/>
          <w:szCs w:val="21"/>
        </w:rPr>
      </w:pPr>
      <w:r>
        <w:rPr>
          <w:b/>
          <w:bCs/>
          <w:szCs w:val="21"/>
        </w:rPr>
        <w:t>图</w:t>
      </w:r>
      <w:r>
        <w:rPr>
          <w:rFonts w:hint="eastAsia"/>
          <w:b/>
          <w:bCs/>
          <w:szCs w:val="21"/>
        </w:rPr>
        <w:t>7</w:t>
      </w:r>
      <w:r>
        <w:rPr>
          <w:b/>
          <w:bCs/>
          <w:szCs w:val="21"/>
        </w:rPr>
        <w:t>-</w:t>
      </w:r>
      <w:r>
        <w:rPr>
          <w:rFonts w:hint="eastAsia"/>
          <w:b/>
          <w:bCs/>
          <w:szCs w:val="21"/>
        </w:rPr>
        <w:t>1</w:t>
      </w:r>
      <w:r>
        <w:rPr>
          <w:b/>
          <w:bCs/>
          <w:szCs w:val="21"/>
        </w:rPr>
        <w:t xml:space="preserve">  含</w:t>
      </w:r>
      <w:r>
        <w:rPr>
          <w:rFonts w:hint="eastAsia"/>
          <w:b/>
          <w:bCs/>
          <w:szCs w:val="21"/>
        </w:rPr>
        <w:t>尘</w:t>
      </w:r>
      <w:r>
        <w:rPr>
          <w:b/>
          <w:bCs/>
          <w:szCs w:val="21"/>
        </w:rPr>
        <w:t>污水处理工艺流程</w:t>
      </w:r>
    </w:p>
    <w:p>
      <w:pPr>
        <w:pStyle w:val="3590"/>
        <w:rPr>
          <w:bCs/>
          <w:szCs w:val="21"/>
        </w:rPr>
      </w:pPr>
      <w:r>
        <w:rPr>
          <w:bCs/>
          <w:szCs w:val="21"/>
        </w:rPr>
        <w:t xml:space="preserve">  SD型高效</w:t>
      </w:r>
      <w:r>
        <w:t>沉淀</w:t>
      </w:r>
      <w:r>
        <w:rPr>
          <w:bCs/>
          <w:szCs w:val="21"/>
        </w:rPr>
        <w:t>装置进出水水质指标             单位：mg/L</w:t>
      </w:r>
    </w:p>
    <w:tbl>
      <w:tblPr>
        <w:tblStyle w:val="359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18"/>
        <w:gridCol w:w="3215"/>
        <w:gridCol w:w="38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6" w:type="dxa"/>
            <w:vAlign w:val="center"/>
          </w:tcPr>
          <w:p>
            <w:pPr>
              <w:tabs>
                <w:tab w:val="clear" w:pos="480"/>
              </w:tabs>
              <w:adjustRightInd w:val="0"/>
              <w:snapToGrid w:val="0"/>
              <w:spacing w:line="240" w:lineRule="auto"/>
              <w:ind w:firstLine="0" w:firstLineChars="0"/>
              <w:jc w:val="center"/>
              <w:rPr>
                <w:b/>
                <w:sz w:val="18"/>
                <w:szCs w:val="18"/>
              </w:rPr>
            </w:pPr>
            <w:r>
              <w:rPr>
                <w:b/>
                <w:sz w:val="18"/>
                <w:szCs w:val="18"/>
              </w:rPr>
              <w:t>水质指标</w:t>
            </w:r>
          </w:p>
        </w:tc>
        <w:tc>
          <w:tcPr>
            <w:tcW w:w="3140" w:type="dxa"/>
            <w:vAlign w:val="center"/>
          </w:tcPr>
          <w:p>
            <w:pPr>
              <w:tabs>
                <w:tab w:val="clear" w:pos="480"/>
              </w:tabs>
              <w:adjustRightInd w:val="0"/>
              <w:snapToGrid w:val="0"/>
              <w:spacing w:line="240" w:lineRule="auto"/>
              <w:ind w:firstLine="0" w:firstLineChars="0"/>
              <w:jc w:val="center"/>
              <w:rPr>
                <w:b/>
                <w:sz w:val="18"/>
                <w:szCs w:val="18"/>
              </w:rPr>
            </w:pPr>
            <w:r>
              <w:rPr>
                <w:b/>
                <w:sz w:val="18"/>
                <w:szCs w:val="18"/>
              </w:rPr>
              <w:t>进水水质</w:t>
            </w:r>
          </w:p>
        </w:tc>
        <w:tc>
          <w:tcPr>
            <w:tcW w:w="3764" w:type="dxa"/>
            <w:vAlign w:val="center"/>
          </w:tcPr>
          <w:p>
            <w:pPr>
              <w:tabs>
                <w:tab w:val="clear" w:pos="480"/>
              </w:tabs>
              <w:adjustRightInd w:val="0"/>
              <w:snapToGrid w:val="0"/>
              <w:spacing w:line="240" w:lineRule="auto"/>
              <w:ind w:firstLine="0" w:firstLineChars="0"/>
              <w:jc w:val="center"/>
              <w:rPr>
                <w:b/>
                <w:sz w:val="18"/>
                <w:szCs w:val="18"/>
              </w:rPr>
            </w:pPr>
            <w:r>
              <w:rPr>
                <w:b/>
                <w:sz w:val="18"/>
                <w:szCs w:val="18"/>
              </w:rPr>
              <w:t>出水水质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66" w:type="dxa"/>
            <w:vAlign w:val="center"/>
          </w:tcPr>
          <w:p>
            <w:pPr>
              <w:tabs>
                <w:tab w:val="clear" w:pos="480"/>
              </w:tabs>
              <w:adjustRightInd w:val="0"/>
              <w:snapToGrid w:val="0"/>
              <w:spacing w:line="240" w:lineRule="auto"/>
              <w:ind w:firstLine="0" w:firstLineChars="0"/>
              <w:jc w:val="center"/>
              <w:rPr>
                <w:sz w:val="18"/>
                <w:szCs w:val="18"/>
              </w:rPr>
            </w:pPr>
            <w:r>
              <w:rPr>
                <w:sz w:val="18"/>
                <w:szCs w:val="18"/>
              </w:rPr>
              <w:t>SS</w:t>
            </w:r>
          </w:p>
        </w:tc>
        <w:tc>
          <w:tcPr>
            <w:tcW w:w="3140" w:type="dxa"/>
            <w:vAlign w:val="center"/>
          </w:tcPr>
          <w:p>
            <w:pPr>
              <w:tabs>
                <w:tab w:val="clear" w:pos="480"/>
              </w:tabs>
              <w:adjustRightInd w:val="0"/>
              <w:snapToGrid w:val="0"/>
              <w:spacing w:line="240" w:lineRule="auto"/>
              <w:ind w:firstLine="0" w:firstLineChars="0"/>
              <w:jc w:val="center"/>
              <w:rPr>
                <w:sz w:val="18"/>
                <w:szCs w:val="18"/>
              </w:rPr>
            </w:pPr>
            <w:r>
              <w:rPr>
                <w:sz w:val="18"/>
                <w:szCs w:val="18"/>
              </w:rPr>
              <w:t>≤3000</w:t>
            </w:r>
          </w:p>
        </w:tc>
        <w:tc>
          <w:tcPr>
            <w:tcW w:w="3764" w:type="dxa"/>
            <w:vAlign w:val="center"/>
          </w:tcPr>
          <w:p>
            <w:pPr>
              <w:tabs>
                <w:tab w:val="clear" w:pos="480"/>
              </w:tabs>
              <w:adjustRightInd w:val="0"/>
              <w:snapToGrid w:val="0"/>
              <w:spacing w:line="240" w:lineRule="auto"/>
              <w:ind w:firstLine="0" w:firstLineChars="0"/>
              <w:jc w:val="center"/>
              <w:rPr>
                <w:sz w:val="18"/>
                <w:szCs w:val="18"/>
              </w:rPr>
            </w:pPr>
            <w:r>
              <w:rPr>
                <w:sz w:val="18"/>
                <w:szCs w:val="18"/>
              </w:rPr>
              <w:t>≤70</w:t>
            </w:r>
          </w:p>
        </w:tc>
      </w:tr>
    </w:tbl>
    <w:p>
      <w:pPr>
        <w:pStyle w:val="2133"/>
        <w:spacing w:line="360" w:lineRule="auto"/>
      </w:pPr>
      <w:r>
        <w:t>本工程码头</w:t>
      </w:r>
      <w:r>
        <w:rPr>
          <w:rFonts w:hint="eastAsia"/>
        </w:rPr>
        <w:t>四周设置排水沟，每个泊位设</w:t>
      </w:r>
      <w:r>
        <w:t>1</w:t>
      </w:r>
      <w:r>
        <w:rPr>
          <w:rFonts w:hint="eastAsia"/>
        </w:rPr>
        <w:t>个污水收集池，</w:t>
      </w:r>
      <w:r>
        <w:t>陆域堆场四周布置排水沟，场地内设1</w:t>
      </w:r>
      <w:r>
        <w:rPr>
          <w:rFonts w:hint="eastAsia"/>
        </w:rPr>
        <w:t>个</w:t>
      </w:r>
      <w:r>
        <w:t>150m</w:t>
      </w:r>
      <w:r>
        <w:rPr>
          <w:vertAlign w:val="superscript"/>
        </w:rPr>
        <w:t>3</w:t>
      </w:r>
      <w:r>
        <w:rPr>
          <w:rFonts w:hint="eastAsia"/>
        </w:rPr>
        <w:t>沉淀</w:t>
      </w:r>
      <w:r>
        <w:t>池和1</w:t>
      </w:r>
      <w:r>
        <w:rPr>
          <w:rFonts w:hint="eastAsia"/>
        </w:rPr>
        <w:t>个</w:t>
      </w:r>
      <w:r>
        <w:t>150m</w:t>
      </w:r>
      <w:r>
        <w:rPr>
          <w:vertAlign w:val="superscript"/>
        </w:rPr>
        <w:t>3</w:t>
      </w:r>
      <w:r>
        <w:rPr>
          <w:rFonts w:hint="eastAsia"/>
        </w:rPr>
        <w:t>蓄水池，由工程分析可知地面冲洗废水</w:t>
      </w:r>
      <w:r>
        <w:t>产生量约为116.12 m</w:t>
      </w:r>
      <w:r>
        <w:rPr>
          <w:vertAlign w:val="superscript"/>
        </w:rPr>
        <w:t>3</w:t>
      </w:r>
      <w:r>
        <w:t>/</w:t>
      </w:r>
      <w:r>
        <w:rPr>
          <w:rFonts w:hint="eastAsia"/>
        </w:rPr>
        <w:t>次，</w:t>
      </w:r>
      <w:r>
        <w:rPr>
          <w:bCs/>
        </w:rPr>
        <w:t>流机设备冲洗日排水量为5.4m</w:t>
      </w:r>
      <w:r>
        <w:rPr>
          <w:bCs/>
          <w:vertAlign w:val="superscript"/>
        </w:rPr>
        <w:t>3</w:t>
      </w:r>
      <w:r>
        <w:rPr>
          <w:bCs/>
        </w:rPr>
        <w:t>/d</w:t>
      </w:r>
      <w:r>
        <w:rPr>
          <w:rFonts w:hint="eastAsia"/>
          <w:bCs/>
        </w:rPr>
        <w:t>，</w:t>
      </w:r>
      <w:r>
        <w:rPr>
          <w:rFonts w:hint="eastAsia"/>
        </w:rPr>
        <w:t>初期雨水量为</w:t>
      </w:r>
      <w:r>
        <w:t>35.22 m</w:t>
      </w:r>
      <w:r>
        <w:rPr>
          <w:vertAlign w:val="superscript"/>
        </w:rPr>
        <w:t>3</w:t>
      </w:r>
      <w:r>
        <w:t xml:space="preserve"> /次</w:t>
      </w:r>
      <w:r>
        <w:rPr>
          <w:rFonts w:hint="eastAsia"/>
        </w:rPr>
        <w:t>，</w:t>
      </w:r>
      <w:r>
        <w:rPr>
          <w:bCs/>
        </w:rPr>
        <w:t>项目沉淀池容积可满足废水处理要求</w:t>
      </w:r>
      <w:r>
        <w:rPr>
          <w:rFonts w:hint="eastAsia"/>
          <w:bCs/>
        </w:rPr>
        <w:t>。含尘废水经处理后S</w:t>
      </w:r>
      <w:r>
        <w:rPr>
          <w:bCs/>
        </w:rPr>
        <w:t>S</w:t>
      </w:r>
      <w:r>
        <w:t>≤70</w:t>
      </w:r>
      <w:r>
        <w:rPr>
          <w:bCs/>
        </w:rPr>
        <w:t xml:space="preserve"> mg/L</w:t>
      </w:r>
      <w:r>
        <w:rPr>
          <w:rFonts w:hint="eastAsia"/>
          <w:bCs/>
        </w:rPr>
        <w:t>，可用于</w:t>
      </w:r>
      <w:r>
        <w:rPr>
          <w:rFonts w:cs="Times New Roman"/>
        </w:rPr>
        <w:t>堆场喷洒降尘</w:t>
      </w:r>
      <w:r>
        <w:rPr>
          <w:rFonts w:hint="eastAsia" w:cs="Times New Roman"/>
        </w:rPr>
        <w:t>。</w:t>
      </w:r>
    </w:p>
    <w:p>
      <w:pPr>
        <w:pStyle w:val="456"/>
        <w:ind w:firstLine="482"/>
        <w:rPr>
          <w:b w:val="0"/>
          <w:bCs w:val="0"/>
        </w:rPr>
      </w:pPr>
      <w:r>
        <w:rPr>
          <w:rFonts w:hint="eastAsia"/>
        </w:rPr>
        <w:t>生活污水</w:t>
      </w:r>
    </w:p>
    <w:p>
      <w:pPr>
        <w:ind w:firstLine="480"/>
        <w:rPr>
          <w:rFonts w:hint="eastAsia" w:cs="Times New Roman"/>
        </w:rPr>
      </w:pPr>
      <w:r>
        <w:rPr>
          <w:rFonts w:hint="eastAsia" w:cs="Times New Roman"/>
        </w:rPr>
        <w:t>码头在运营期产生的生活污水经过化粪池处理后接入市政污水管网，</w:t>
      </w:r>
      <w:r>
        <w:rPr>
          <w:rFonts w:hint="eastAsia" w:cs="Times New Roman"/>
          <w:lang w:val="en-US" w:eastAsia="zh-CN"/>
        </w:rPr>
        <w:t>依托临港水质净化厂进行</w:t>
      </w:r>
      <w:r>
        <w:rPr>
          <w:rFonts w:hint="eastAsia" w:cs="Times New Roman"/>
        </w:rPr>
        <w:t>处理。</w:t>
      </w:r>
    </w:p>
    <w:p>
      <w:pPr>
        <w:ind w:firstLine="480"/>
      </w:pPr>
      <w:r>
        <w:rPr>
          <w:rFonts w:hint="eastAsia" w:cs="Times New Roman"/>
          <w:lang w:val="en-US" w:eastAsia="zh-CN"/>
        </w:rPr>
        <w:t>临港水质净化厂</w:t>
      </w:r>
      <w:r>
        <w:rPr>
          <w:rFonts w:hint="eastAsia"/>
        </w:rPr>
        <w:t>建设情况：</w:t>
      </w:r>
    </w:p>
    <w:p>
      <w:pPr>
        <w:pStyle w:val="2133"/>
        <w:spacing w:line="360" w:lineRule="auto"/>
        <w:jc w:val="left"/>
        <w:rPr>
          <w:rFonts w:cs="Times New Roman"/>
        </w:rPr>
      </w:pPr>
      <w:r>
        <w:rPr>
          <w:rFonts w:ascii="Times New Roman" w:hAnsi="Times New Roman" w:eastAsia="宋体" w:cs="Times New Roman"/>
          <w:i w:val="0"/>
          <w:iCs w:val="0"/>
          <w:caps w:val="0"/>
          <w:spacing w:val="0"/>
          <w:sz w:val="24"/>
          <w:szCs w:val="24"/>
        </w:rPr>
        <w:t>临港水质净化厂位于云港路与沿江路交界处，处理规模为3万吨/天，采用CASS污水处理工艺，规划服务面积160.63平方公里，出水执行一级A标准。</w:t>
      </w:r>
      <w:r>
        <w:rPr>
          <w:rFonts w:hint="eastAsia" w:cs="Times New Roman"/>
          <w:i w:val="0"/>
          <w:iCs w:val="0"/>
          <w:caps w:val="0"/>
          <w:spacing w:val="0"/>
          <w:sz w:val="24"/>
          <w:szCs w:val="24"/>
          <w:lang w:val="en-US" w:eastAsia="zh-CN"/>
        </w:rPr>
        <w:t>本项目位于临港水质净化厂服务范围内，且周围市政管网已铺设，项目生活污水经过化粪池处理后排入临港水质净化厂。</w:t>
      </w:r>
      <w:r>
        <w:rPr>
          <w:rFonts w:hint="eastAsia"/>
        </w:rPr>
        <w:t>本项目位于</w:t>
      </w:r>
      <w:r>
        <w:rPr>
          <w:rFonts w:hint="eastAsia" w:cs="Times New Roman"/>
          <w:i w:val="0"/>
          <w:iCs w:val="0"/>
          <w:caps w:val="0"/>
          <w:spacing w:val="0"/>
          <w:sz w:val="24"/>
          <w:szCs w:val="24"/>
          <w:lang w:val="en-US" w:eastAsia="zh-CN"/>
        </w:rPr>
        <w:t>临港水质净化厂</w:t>
      </w:r>
      <w:r>
        <w:rPr>
          <w:rFonts w:hint="eastAsia"/>
        </w:rPr>
        <w:t>纳管范围，主要排放污水为后方陆域生活污水，水质简单，年排放量</w:t>
      </w:r>
      <w:r>
        <w:rPr>
          <w:rFonts w:hint="eastAsia"/>
          <w:lang w:val="en-US" w:eastAsia="zh-CN"/>
        </w:rPr>
        <w:t>9002.4</w:t>
      </w:r>
      <w:r>
        <w:t>m</w:t>
      </w:r>
      <w:r>
        <w:rPr>
          <w:vertAlign w:val="superscript"/>
        </w:rPr>
        <w:t>3</w:t>
      </w:r>
      <w:r>
        <w:t>/a</w:t>
      </w:r>
      <w:r>
        <w:rPr>
          <w:rFonts w:hint="eastAsia"/>
        </w:rPr>
        <w:t>，</w:t>
      </w:r>
      <w:r>
        <w:rPr>
          <w:rFonts w:hint="eastAsia"/>
          <w:lang w:val="en-US" w:eastAsia="zh-CN"/>
        </w:rPr>
        <w:t>27.28</w:t>
      </w:r>
      <w:r>
        <w:t>m</w:t>
      </w:r>
      <w:r>
        <w:rPr>
          <w:vertAlign w:val="superscript"/>
        </w:rPr>
        <w:t>3</w:t>
      </w:r>
      <w:r>
        <w:t>/</w:t>
      </w:r>
      <w:r>
        <w:rPr>
          <w:rFonts w:hint="eastAsia"/>
        </w:rPr>
        <w:t>d，占</w:t>
      </w:r>
      <w:r>
        <w:rPr>
          <w:rFonts w:hint="eastAsia" w:cs="Times New Roman"/>
          <w:i w:val="0"/>
          <w:iCs w:val="0"/>
          <w:caps w:val="0"/>
          <w:spacing w:val="0"/>
          <w:sz w:val="24"/>
          <w:szCs w:val="24"/>
          <w:lang w:val="en-US" w:eastAsia="zh-CN"/>
        </w:rPr>
        <w:t>临港水质净化厂</w:t>
      </w:r>
      <w:r>
        <w:rPr>
          <w:rFonts w:hint="eastAsia"/>
        </w:rPr>
        <w:t>总处理量的0.</w:t>
      </w:r>
      <w:r>
        <w:rPr>
          <w:rFonts w:hint="eastAsia"/>
          <w:lang w:val="en-US" w:eastAsia="zh-CN"/>
        </w:rPr>
        <w:t>091</w:t>
      </w:r>
      <w:r>
        <w:rPr>
          <w:rFonts w:hint="eastAsia"/>
        </w:rPr>
        <w:t>%，不会对污水处理厂处理工艺和出水水质产生影响。</w:t>
      </w:r>
    </w:p>
    <w:bookmarkEnd w:id="320"/>
    <w:bookmarkEnd w:id="321"/>
    <w:bookmarkEnd w:id="322"/>
    <w:bookmarkEnd w:id="323"/>
    <w:bookmarkEnd w:id="324"/>
    <w:p>
      <w:pPr>
        <w:pStyle w:val="453"/>
        <w:ind w:firstLine="643" w:firstLineChars="0"/>
        <w:rPr>
          <w:rFonts w:ascii="Times New Roman" w:cs="Times New Roman"/>
        </w:rPr>
      </w:pPr>
      <w:bookmarkStart w:id="325" w:name="_Toc24863"/>
      <w:bookmarkStart w:id="326" w:name="_Toc2871"/>
      <w:r>
        <w:rPr>
          <w:rFonts w:ascii="Times New Roman" w:cs="Times New Roman"/>
        </w:rPr>
        <w:t>大气污染防治措施</w:t>
      </w:r>
      <w:bookmarkEnd w:id="319"/>
      <w:bookmarkEnd w:id="325"/>
      <w:bookmarkEnd w:id="326"/>
    </w:p>
    <w:p>
      <w:pPr>
        <w:pStyle w:val="454"/>
        <w:ind w:firstLine="602"/>
        <w:rPr>
          <w:color w:val="auto"/>
        </w:rPr>
      </w:pPr>
      <w:bookmarkStart w:id="327" w:name="_Toc411012917"/>
      <w:r>
        <w:rPr>
          <w:color w:val="auto"/>
        </w:rPr>
        <w:t>施工期大气污染防治措施</w:t>
      </w:r>
    </w:p>
    <w:p>
      <w:pPr>
        <w:ind w:firstLine="480"/>
      </w:pPr>
      <w:r>
        <w:t>项目码头施工期产生的大气污染物主要为开挖平整、材料运输、砂石料装卸等过程产生的扬尘，以及施工船舶、车辆和机械燃油废气、</w:t>
      </w:r>
      <w:r>
        <w:rPr>
          <w:spacing w:val="-2"/>
        </w:rPr>
        <w:t>淤</w:t>
      </w:r>
      <w:r>
        <w:rPr>
          <w:spacing w:val="-3"/>
        </w:rPr>
        <w:t>泥恶臭</w:t>
      </w:r>
      <w:r>
        <w:t>等。为最大限度降低施工期对大气环境的影响，建设单位拟采取如下措施：</w:t>
      </w:r>
    </w:p>
    <w:p>
      <w:pPr>
        <w:ind w:firstLine="480"/>
      </w:pPr>
      <w:r>
        <w:rPr>
          <w:rFonts w:hint="eastAsia"/>
        </w:rPr>
        <w:t>（1）</w:t>
      </w:r>
      <w:r>
        <w:t>施工前先修筑厂界围墙或简易围屏，如用瓦楞板或聚丙烯布等在施工区四周建 高2.5~3.0m的围幛，减少扬尘的逸散。</w:t>
      </w:r>
    </w:p>
    <w:p>
      <w:pPr>
        <w:ind w:firstLine="480"/>
      </w:pPr>
      <w:r>
        <w:rPr>
          <w:rFonts w:hint="eastAsia"/>
        </w:rPr>
        <w:t>（2）</w:t>
      </w:r>
      <w:r>
        <w:t>建设过程中使用的建筑材料，在装卸、堆放过程中将会产生大量的粉尘外逸，施工单位必须加强施工区的规划管理。建筑材料（主要是砂子、石子）尽量不大量的堆存，少量堆存将其置于较为空旷的位置，并进行遮挡，减少物料起尘对周边环境的影响。</w:t>
      </w:r>
    </w:p>
    <w:p>
      <w:pPr>
        <w:ind w:firstLine="480"/>
      </w:pPr>
      <w:r>
        <w:rPr>
          <w:rFonts w:hint="eastAsia"/>
        </w:rPr>
        <w:t>（3）</w:t>
      </w:r>
      <w:r>
        <w:t>对施工现场及运输道路应定期清扫洒水，减少起尘量。</w:t>
      </w:r>
    </w:p>
    <w:p>
      <w:pPr>
        <w:ind w:firstLine="480"/>
      </w:pPr>
      <w:r>
        <w:rPr>
          <w:rFonts w:hint="eastAsia"/>
        </w:rPr>
        <w:t>（4）</w:t>
      </w:r>
      <w:r>
        <w:t>施工车辆运输砂土、水泥、碎石等易起尘的物料要加盖蓬布、控制车速，防止物料洒落和产生扬尘；卸车时应尽量减小落差，减少扬尘。</w:t>
      </w:r>
    </w:p>
    <w:p>
      <w:pPr>
        <w:ind w:firstLine="480"/>
      </w:pPr>
      <w:r>
        <w:rPr>
          <w:rFonts w:hint="eastAsia"/>
        </w:rPr>
        <w:t>（5）</w:t>
      </w:r>
      <w:r>
        <w:t>在施工场地出口设置车辆冲洗区，车辆出工地要进行清洗，以免携带泥土至外面道路形成道路扬尘。</w:t>
      </w:r>
    </w:p>
    <w:p>
      <w:pPr>
        <w:ind w:firstLine="480"/>
      </w:pPr>
      <w:r>
        <w:rPr>
          <w:rFonts w:hint="eastAsia"/>
        </w:rPr>
        <w:t>（6）</w:t>
      </w:r>
      <w:r>
        <w:rPr>
          <w:szCs w:val="22"/>
        </w:rPr>
        <w:t>加强施工管理，坚持文明装卸。合理安排施工车辆行驶路线，尽量避开居民集中区，控制施工车辆行驶速度，路经居民区集中区域应减缓行驶车速。</w:t>
      </w:r>
    </w:p>
    <w:p>
      <w:pPr>
        <w:ind w:firstLine="480"/>
      </w:pPr>
      <w:r>
        <w:rPr>
          <w:rFonts w:hint="eastAsia"/>
        </w:rPr>
        <w:t>（7）</w:t>
      </w:r>
      <w:r>
        <w:t>加强对施工机械、车辆的维修保养，尽量选用低能耗、低污染排放的施工机械和车辆，选用有环保合格和车辆检验合格标志、排气达标的车辆，不得使用不符合排放标准的车辆。</w:t>
      </w:r>
    </w:p>
    <w:p>
      <w:pPr>
        <w:ind w:firstLine="480"/>
      </w:pPr>
      <w:r>
        <w:rPr>
          <w:rFonts w:hint="eastAsia"/>
        </w:rPr>
        <w:t>（8）</w:t>
      </w:r>
      <w:r>
        <w:rPr>
          <w:lang w:bidi="ar"/>
        </w:rPr>
        <w:t>施工机械用油应选用无铅汽油、零号柴油等污染物含量少的优质燃料，</w:t>
      </w:r>
      <w:r>
        <w:t>禁止以柴油为燃料的施工机械超负荷工作，减少尾气排放。</w:t>
      </w:r>
    </w:p>
    <w:p>
      <w:pPr>
        <w:ind w:firstLine="480"/>
        <w:rPr>
          <w:rFonts w:hint="default" w:ascii="Times New Roman" w:hAnsi="Times New Roman" w:eastAsia="宋体" w:cs="Times New Roman"/>
          <w:lang w:eastAsia="zh-CN"/>
        </w:rPr>
      </w:pPr>
      <w:r>
        <w:rPr>
          <w:rFonts w:hint="eastAsia" w:ascii="Times New Roman" w:hAnsi="Times New Roman" w:cs="Times New Roman"/>
          <w:lang w:eastAsia="zh-CN"/>
        </w:rPr>
        <w:t>（</w:t>
      </w:r>
      <w:r>
        <w:rPr>
          <w:rFonts w:hint="eastAsia" w:ascii="Times New Roman" w:hAnsi="Times New Roman" w:cs="Times New Roman"/>
          <w:lang w:val="en-US" w:eastAsia="zh-CN"/>
        </w:rPr>
        <w:t>9</w:t>
      </w:r>
      <w:r>
        <w:rPr>
          <w:rFonts w:hint="eastAsia" w:ascii="Times New Roman" w:hAnsi="Times New Roman" w:cs="Times New Roman"/>
          <w:lang w:eastAsia="zh-CN"/>
        </w:rPr>
        <w:t>）</w:t>
      </w:r>
      <w:r>
        <w:rPr>
          <w:rFonts w:hint="eastAsia" w:ascii="Times New Roman" w:hAnsi="Times New Roman" w:cs="Times New Roman"/>
          <w:lang w:val="en-US" w:eastAsia="zh-CN"/>
        </w:rPr>
        <w:t>施工期清淤淤泥堆存区远离环境敏感区布设，四周设围挡，减少干化过程中恶臭对周围敏感点的影响。</w:t>
      </w:r>
    </w:p>
    <w:p>
      <w:pPr>
        <w:ind w:firstLine="480"/>
      </w:pPr>
      <w:r>
        <w:t>因此，以上施工期防治施工扬尘、施工机械设备、车辆燃油废气</w:t>
      </w:r>
      <w:r>
        <w:rPr>
          <w:rFonts w:hint="eastAsia"/>
          <w:lang w:eastAsia="zh-CN"/>
        </w:rPr>
        <w:t>、</w:t>
      </w:r>
      <w:r>
        <w:rPr>
          <w:rFonts w:hint="eastAsia"/>
          <w:lang w:val="en-US" w:eastAsia="zh-CN"/>
        </w:rPr>
        <w:t>清淤淤泥恶臭</w:t>
      </w:r>
      <w:r>
        <w:t>的措施可以起到防治污染物对拟建项目周边环境空气质量状况的不良影响，在经济、技术上均具有较高的 可行性和可操作性。</w:t>
      </w:r>
    </w:p>
    <w:p>
      <w:pPr>
        <w:pStyle w:val="454"/>
        <w:ind w:firstLine="602"/>
        <w:rPr>
          <w:color w:val="auto"/>
        </w:rPr>
      </w:pPr>
      <w:r>
        <w:rPr>
          <w:color w:val="auto"/>
        </w:rPr>
        <w:t>运营期大气污染防治措施</w:t>
      </w:r>
    </w:p>
    <w:p>
      <w:pPr>
        <w:pStyle w:val="456"/>
        <w:ind w:firstLine="482"/>
      </w:pPr>
      <w:r>
        <w:t>废气污染防治措施</w:t>
      </w:r>
    </w:p>
    <w:p>
      <w:pPr>
        <w:ind w:firstLine="480"/>
      </w:pPr>
      <w:r>
        <w:rPr>
          <w:rFonts w:hint="eastAsia"/>
        </w:rPr>
        <w:t>工程营运期主要环境空气影响为道路扬尘、汽车尾气、装卸扬尘、堆场风蚀起尘、自卸汽车卸料起尘</w:t>
      </w:r>
      <w:r>
        <w:rPr>
          <w:rFonts w:hint="eastAsia"/>
          <w:lang w:val="en-US" w:eastAsia="zh-CN"/>
        </w:rPr>
        <w:t>和船舶尾气</w:t>
      </w:r>
      <w:r>
        <w:t>。</w:t>
      </w:r>
    </w:p>
    <w:p>
      <w:pPr>
        <w:pStyle w:val="458"/>
        <w:ind w:firstLine="480"/>
        <w:rPr>
          <w:rFonts w:cs="Times New Roman"/>
          <w:color w:val="auto"/>
        </w:rPr>
      </w:pPr>
      <w:r>
        <w:rPr>
          <w:rFonts w:hint="eastAsia" w:cs="Times New Roman"/>
          <w:color w:val="auto"/>
          <w:lang w:val="en-US" w:eastAsia="zh-CN"/>
        </w:rPr>
        <w:t>本项目</w:t>
      </w:r>
      <w:r>
        <w:rPr>
          <w:rFonts w:cs="Times New Roman"/>
          <w:color w:val="auto"/>
        </w:rPr>
        <w:t>采取的主要措施包括：</w:t>
      </w:r>
    </w:p>
    <w:p>
      <w:pPr>
        <w:widowControl/>
        <w:numPr>
          <w:ilvl w:val="0"/>
          <w:numId w:val="68"/>
        </w:numPr>
        <w:ind w:firstLine="480"/>
        <w:jc w:val="left"/>
        <w:rPr>
          <w:rFonts w:hint="eastAsia" w:ascii="宋体" w:hAnsi="宋体" w:eastAsia="宋体" w:cs="宋体"/>
          <w:b w:val="0"/>
          <w:bCs w:val="0"/>
          <w:color w:val="000000"/>
          <w:sz w:val="24"/>
          <w:szCs w:val="24"/>
        </w:rPr>
      </w:pPr>
      <w:r>
        <w:rPr>
          <w:rFonts w:hint="eastAsia"/>
          <w:szCs w:val="20"/>
        </w:rPr>
        <w:t>卸船机卸下物料通过带式输送机输送至装船机进行装船。</w:t>
      </w:r>
      <w:r>
        <w:rPr>
          <w:rFonts w:hint="eastAsia" w:ascii="宋体" w:hAnsi="宋体" w:eastAsia="宋体" w:cs="宋体"/>
          <w:b w:val="0"/>
          <w:bCs w:val="0"/>
          <w:color w:val="000000"/>
          <w:sz w:val="24"/>
          <w:szCs w:val="24"/>
        </w:rPr>
        <w:t>输送系统均采用全封闭廊道形式，避免输送过程中的扬尘及洒落，码头前沿不能封闭处皮带两侧设置挡风板，避免扬尘</w:t>
      </w:r>
      <w:r>
        <w:rPr>
          <w:rFonts w:hint="eastAsia" w:ascii="宋体" w:hAnsi="宋体" w:eastAsia="宋体" w:cs="宋体"/>
          <w:b w:val="0"/>
          <w:bCs w:val="0"/>
          <w:color w:val="000000"/>
          <w:sz w:val="24"/>
          <w:szCs w:val="24"/>
          <w:lang w:eastAsia="zh-CN"/>
        </w:rPr>
        <w:t>，</w:t>
      </w:r>
      <w:r>
        <w:rPr>
          <w:rFonts w:hint="eastAsia" w:ascii="宋体" w:hAnsi="宋体" w:eastAsia="宋体" w:cs="宋体"/>
          <w:b w:val="0"/>
          <w:bCs w:val="0"/>
          <w:color w:val="000000"/>
          <w:sz w:val="24"/>
          <w:szCs w:val="24"/>
        </w:rPr>
        <w:t>输送系统每个转接点处以及卸车点均配置抑尘设备，采用微雾抑尘工艺。</w:t>
      </w:r>
    </w:p>
    <w:p>
      <w:pPr>
        <w:widowControl/>
        <w:numPr>
          <w:ilvl w:val="0"/>
          <w:numId w:val="68"/>
        </w:numPr>
        <w:ind w:firstLine="480"/>
        <w:jc w:val="left"/>
      </w:pPr>
      <w:r>
        <w:rPr>
          <w:rFonts w:hint="eastAsia"/>
          <w:szCs w:val="20"/>
        </w:rPr>
        <w:t>装船机设置装船溜筒，装船作业时，将溜筒伸入船舱进行作业，减小下料带来扬尘。</w:t>
      </w:r>
    </w:p>
    <w:p>
      <w:pPr>
        <w:pStyle w:val="458"/>
        <w:ind w:firstLine="480"/>
        <w:rPr>
          <w:rFonts w:cs="Times New Roman"/>
          <w:color w:val="auto"/>
        </w:rPr>
      </w:pPr>
      <w:r>
        <w:rPr>
          <w:rFonts w:hint="eastAsia" w:cs="Times New Roman"/>
          <w:color w:val="auto"/>
        </w:rPr>
        <w:t>（</w:t>
      </w:r>
      <w:r>
        <w:rPr>
          <w:rFonts w:hint="eastAsia" w:cs="Times New Roman"/>
          <w:color w:val="auto"/>
          <w:lang w:val="en-US" w:eastAsia="zh-CN"/>
        </w:rPr>
        <w:t>3</w:t>
      </w:r>
      <w:r>
        <w:rPr>
          <w:rFonts w:hint="eastAsia" w:cs="Times New Roman"/>
          <w:color w:val="auto"/>
        </w:rPr>
        <w:t>）</w:t>
      </w:r>
      <w:r>
        <w:rPr>
          <w:rFonts w:cs="Times New Roman"/>
          <w:color w:val="auto"/>
        </w:rPr>
        <w:t>在散货装卸过程中控制装卸作业落差，适当降低取料高度，在抓斗下方码平台与运输船之间设置防撒的帆布，防止散货装卸过程中撒落至长江中；</w:t>
      </w:r>
    </w:p>
    <w:p>
      <w:pPr>
        <w:pStyle w:val="458"/>
        <w:ind w:firstLine="480"/>
        <w:rPr>
          <w:rFonts w:hint="eastAsia" w:eastAsia="宋体" w:cs="Times New Roman"/>
          <w:color w:val="auto"/>
          <w:lang w:eastAsia="zh-CN"/>
        </w:rPr>
      </w:pPr>
      <w:r>
        <w:rPr>
          <w:rFonts w:hint="eastAsia" w:cs="Times New Roman"/>
          <w:color w:val="auto"/>
        </w:rPr>
        <w:t>（</w:t>
      </w:r>
      <w:r>
        <w:rPr>
          <w:rFonts w:hint="eastAsia" w:cs="Times New Roman"/>
          <w:color w:val="auto"/>
          <w:lang w:val="en-US" w:eastAsia="zh-CN"/>
        </w:rPr>
        <w:t>4</w:t>
      </w:r>
      <w:r>
        <w:rPr>
          <w:rFonts w:hint="eastAsia" w:cs="Times New Roman"/>
          <w:color w:val="auto"/>
        </w:rPr>
        <w:t>）</w:t>
      </w:r>
      <w:r>
        <w:rPr>
          <w:rFonts w:hint="eastAsia" w:ascii="宋体" w:hAnsi="宋体" w:eastAsia="宋体" w:cs="宋体"/>
          <w:b w:val="0"/>
          <w:bCs w:val="0"/>
          <w:color w:val="000000"/>
          <w:sz w:val="24"/>
          <w:szCs w:val="24"/>
        </w:rPr>
        <w:t>砂石料卸车采用自卸车自卸形式，设置</w:t>
      </w:r>
      <w:r>
        <w:rPr>
          <w:rFonts w:hint="eastAsia" w:ascii="宋体" w:hAnsi="宋体" w:cs="宋体"/>
          <w:b w:val="0"/>
          <w:bCs w:val="0"/>
          <w:color w:val="000000"/>
          <w:sz w:val="24"/>
          <w:szCs w:val="24"/>
          <w:lang w:val="en-US" w:eastAsia="zh-CN"/>
        </w:rPr>
        <w:t>全封闭</w:t>
      </w:r>
      <w:r>
        <w:rPr>
          <w:rFonts w:hint="eastAsia" w:ascii="宋体" w:hAnsi="宋体" w:eastAsia="宋体" w:cs="宋体"/>
          <w:b w:val="0"/>
          <w:bCs w:val="0"/>
          <w:color w:val="000000"/>
          <w:sz w:val="24"/>
          <w:szCs w:val="24"/>
        </w:rPr>
        <w:t>卸车棚</w:t>
      </w:r>
      <w:r>
        <w:rPr>
          <w:rFonts w:hint="eastAsia" w:ascii="宋体" w:hAnsi="宋体" w:cs="宋体"/>
          <w:b w:val="0"/>
          <w:bCs w:val="0"/>
          <w:color w:val="000000"/>
          <w:sz w:val="24"/>
          <w:szCs w:val="24"/>
          <w:lang w:eastAsia="zh-CN"/>
        </w:rPr>
        <w:t>，</w:t>
      </w:r>
      <w:r>
        <w:rPr>
          <w:rFonts w:hint="eastAsia" w:ascii="宋体" w:hAnsi="宋体" w:eastAsia="宋体" w:cs="宋体"/>
          <w:b w:val="0"/>
          <w:bCs w:val="0"/>
          <w:color w:val="000000"/>
          <w:sz w:val="24"/>
          <w:szCs w:val="24"/>
        </w:rPr>
        <w:t>卸车在全封闭情况下进行</w:t>
      </w:r>
      <w:r>
        <w:rPr>
          <w:rFonts w:hint="eastAsia" w:ascii="宋体" w:hAnsi="宋体" w:cs="宋体"/>
          <w:b w:val="0"/>
          <w:bCs w:val="0"/>
          <w:color w:val="000000"/>
          <w:sz w:val="24"/>
          <w:szCs w:val="24"/>
          <w:lang w:eastAsia="zh-CN"/>
        </w:rPr>
        <w:t>，</w:t>
      </w:r>
      <w:r>
        <w:rPr>
          <w:rFonts w:cs="Times New Roman"/>
          <w:color w:val="auto"/>
        </w:rPr>
        <w:t>落料处设置水雾化喷淋装置并在落料处设置返尘板</w:t>
      </w:r>
      <w:r>
        <w:rPr>
          <w:rFonts w:hint="eastAsia" w:cs="Times New Roman"/>
          <w:color w:val="auto"/>
          <w:lang w:eastAsia="zh-CN"/>
        </w:rPr>
        <w:t>。</w:t>
      </w:r>
    </w:p>
    <w:p>
      <w:pPr>
        <w:pStyle w:val="458"/>
        <w:ind w:firstLine="480"/>
        <w:rPr>
          <w:rFonts w:hint="default" w:ascii="宋体" w:hAnsi="宋体" w:eastAsia="宋体" w:cs="宋体"/>
          <w:b w:val="0"/>
          <w:bCs w:val="0"/>
          <w:color w:val="000000"/>
          <w:sz w:val="24"/>
          <w:szCs w:val="24"/>
          <w:lang w:val="en-US" w:eastAsia="zh-CN"/>
        </w:rPr>
      </w:pPr>
      <w:r>
        <w:rPr>
          <w:rFonts w:hint="eastAsia" w:cs="Times New Roman"/>
          <w:color w:val="auto"/>
        </w:rPr>
        <w:t>（</w:t>
      </w:r>
      <w:r>
        <w:rPr>
          <w:rFonts w:hint="eastAsia" w:cs="Times New Roman"/>
          <w:color w:val="auto"/>
          <w:lang w:val="en-US" w:eastAsia="zh-CN"/>
        </w:rPr>
        <w:t>5</w:t>
      </w:r>
      <w:r>
        <w:rPr>
          <w:rFonts w:hint="eastAsia" w:cs="Times New Roman"/>
          <w:color w:val="auto"/>
        </w:rPr>
        <w:t>）</w:t>
      </w:r>
      <w:r>
        <w:rPr>
          <w:rFonts w:hint="eastAsia" w:ascii="宋体" w:hAnsi="宋体" w:eastAsia="宋体" w:cs="宋体"/>
          <w:b w:val="0"/>
          <w:bCs w:val="0"/>
          <w:color w:val="000000"/>
          <w:sz w:val="24"/>
          <w:szCs w:val="24"/>
        </w:rPr>
        <w:t>水泥卸船采用螺旋卸船机。</w:t>
      </w:r>
      <w:r>
        <w:rPr>
          <w:rFonts w:hint="eastAsia" w:ascii="宋体" w:hAnsi="宋体" w:eastAsia="宋体" w:cs="宋体"/>
          <w:b w:val="0"/>
          <w:bCs w:val="0"/>
          <w:color w:val="000000"/>
          <w:sz w:val="24"/>
          <w:szCs w:val="24"/>
          <w:lang w:val="en-US" w:eastAsia="zh-CN"/>
        </w:rPr>
        <w:t>卸船时控制敞口面积。</w:t>
      </w:r>
    </w:p>
    <w:p>
      <w:pPr>
        <w:pStyle w:val="458"/>
        <w:ind w:firstLine="480"/>
        <w:rPr>
          <w:rFonts w:cs="Times New Roman"/>
          <w:color w:val="auto"/>
        </w:rPr>
      </w:pPr>
      <w:r>
        <w:rPr>
          <w:rFonts w:hint="default" w:ascii="Times New Roman" w:hAnsi="Times New Roman" w:eastAsia="宋体" w:cs="Times New Roman"/>
          <w:b w:val="0"/>
          <w:bCs w:val="0"/>
          <w:color w:val="000000"/>
          <w:sz w:val="24"/>
          <w:szCs w:val="24"/>
          <w:lang w:eastAsia="zh-CN"/>
        </w:rPr>
        <w:t>（</w:t>
      </w:r>
      <w:r>
        <w:rPr>
          <w:rFonts w:hint="default" w:ascii="Times New Roman" w:hAnsi="Times New Roman" w:eastAsia="宋体" w:cs="Times New Roman"/>
          <w:b w:val="0"/>
          <w:bCs w:val="0"/>
          <w:color w:val="000000"/>
          <w:sz w:val="24"/>
          <w:szCs w:val="24"/>
          <w:lang w:val="en-US" w:eastAsia="zh-CN"/>
        </w:rPr>
        <w:t>6</w:t>
      </w:r>
      <w:r>
        <w:rPr>
          <w:rFonts w:hint="default" w:ascii="Times New Roman" w:hAnsi="Times New Roman" w:eastAsia="宋体" w:cs="Times New Roman"/>
          <w:b w:val="0"/>
          <w:bCs w:val="0"/>
          <w:color w:val="000000"/>
          <w:sz w:val="24"/>
          <w:szCs w:val="24"/>
          <w:lang w:eastAsia="zh-CN"/>
        </w:rPr>
        <w:t>）</w:t>
      </w:r>
      <w:r>
        <w:rPr>
          <w:rFonts w:cs="Times New Roman"/>
          <w:color w:val="auto"/>
        </w:rPr>
        <w:t>采用先进环保的装卸船设备，抓斗、漏斗等装卸料点采用高压自动微雾抑尘系统湿式除尘方式，相关装置与设备联锁，同步运行，防止粉尘逸散；</w:t>
      </w:r>
    </w:p>
    <w:p>
      <w:pPr>
        <w:pStyle w:val="458"/>
      </w:pPr>
      <w:r>
        <w:t>（</w:t>
      </w:r>
      <w:r>
        <w:rPr>
          <w:rFonts w:hint="eastAsia"/>
          <w:lang w:val="en-US" w:eastAsia="zh-CN"/>
        </w:rPr>
        <w:t>7</w:t>
      </w:r>
      <w:r>
        <w:t>）港区配备洒水车</w:t>
      </w:r>
      <w:r>
        <w:rPr>
          <w:rFonts w:hint="eastAsia"/>
        </w:rPr>
        <w:t>及清扫车</w:t>
      </w:r>
      <w:r>
        <w:t>，对港区道路</w:t>
      </w:r>
      <w:r>
        <w:rPr>
          <w:rFonts w:hint="eastAsia"/>
        </w:rPr>
        <w:t>定时定线</w:t>
      </w:r>
      <w:r>
        <w:t>清扫并洒水，防止货物转运过程中的二次起尘。</w:t>
      </w:r>
      <w:r>
        <w:rPr>
          <w:rFonts w:hint="eastAsia"/>
        </w:rPr>
        <w:t>在厂界合理进行绿化，</w:t>
      </w:r>
      <w:r>
        <w:t>美化港区环境，发挥绿色植物吸烟滞尘作用。</w:t>
      </w:r>
    </w:p>
    <w:p>
      <w:pPr>
        <w:keepNext w:val="0"/>
        <w:keepLines w:val="0"/>
        <w:widowControl/>
        <w:suppressLineNumbers w:val="0"/>
        <w:jc w:val="left"/>
      </w:pPr>
      <w:r>
        <w:rPr>
          <w:rFonts w:hint="eastAsia"/>
        </w:rPr>
        <w:t>（</w:t>
      </w:r>
      <w:r>
        <w:rPr>
          <w:rFonts w:hint="eastAsia"/>
          <w:lang w:val="en-US" w:eastAsia="zh-CN"/>
        </w:rPr>
        <w:t>8</w:t>
      </w:r>
      <w:r>
        <w:rPr>
          <w:rFonts w:hint="eastAsia"/>
        </w:rPr>
        <w:t>）</w:t>
      </w:r>
      <w:r>
        <w:t>加强机械、车辆的保养、维修，使其保持正常运行，减少污染物的排放。使用合格的燃料油，在燃柴油机械的燃料油中添加助燃剂，使其充分燃烧，减少尾气中污染物的排放量。</w:t>
      </w:r>
      <w:r>
        <w:rPr>
          <w:rFonts w:hint="eastAsia" w:ascii="宋体" w:hAnsi="宋体" w:eastAsia="宋体" w:cs="宋体"/>
          <w:color w:val="000000"/>
          <w:kern w:val="0"/>
          <w:sz w:val="24"/>
          <w:szCs w:val="24"/>
          <w:lang w:val="en-US" w:eastAsia="zh-CN" w:bidi="ar"/>
        </w:rPr>
        <w:t>尽量采用电动机械，减少燃油机械带来的废气污染。到港船舶使用岸电，</w:t>
      </w:r>
    </w:p>
    <w:p>
      <w:pPr>
        <w:keepNext w:val="0"/>
        <w:keepLines w:val="0"/>
        <w:widowControl/>
        <w:suppressLineNumbers w:val="0"/>
        <w:ind w:left="0" w:leftChars="0" w:firstLine="0" w:firstLineChars="0"/>
        <w:jc w:val="left"/>
      </w:pPr>
      <w:r>
        <w:rPr>
          <w:rFonts w:hint="eastAsia" w:ascii="宋体" w:hAnsi="宋体" w:eastAsia="宋体" w:cs="宋体"/>
          <w:color w:val="000000"/>
          <w:kern w:val="0"/>
          <w:sz w:val="24"/>
          <w:szCs w:val="24"/>
          <w:lang w:val="en-US" w:eastAsia="zh-CN" w:bidi="ar"/>
        </w:rPr>
        <w:t xml:space="preserve">严禁使用柴油发电机组，岸电使用期间，船舶应关闭所有主辅机，使用电力对船上部分 </w:t>
      </w:r>
    </w:p>
    <w:p>
      <w:pPr>
        <w:keepNext w:val="0"/>
        <w:keepLines w:val="0"/>
        <w:widowControl/>
        <w:suppressLineNumbers w:val="0"/>
        <w:ind w:left="0" w:leftChars="0" w:firstLine="0" w:firstLineChars="0"/>
        <w:jc w:val="left"/>
      </w:pPr>
      <w:r>
        <w:rPr>
          <w:rFonts w:hint="eastAsia" w:ascii="宋体" w:hAnsi="宋体" w:eastAsia="宋体" w:cs="宋体"/>
          <w:color w:val="000000"/>
          <w:kern w:val="0"/>
          <w:sz w:val="24"/>
          <w:szCs w:val="24"/>
          <w:lang w:val="en-US" w:eastAsia="zh-CN" w:bidi="ar"/>
        </w:rPr>
        <w:t xml:space="preserve">动力设备、全部的照明设备、通信设备、控制设备等进行供电，以保障船舶停港期间的 </w:t>
      </w:r>
    </w:p>
    <w:p>
      <w:pPr>
        <w:keepNext w:val="0"/>
        <w:keepLines w:val="0"/>
        <w:widowControl/>
        <w:suppressLineNumbers w:val="0"/>
        <w:ind w:left="0" w:leftChars="0" w:firstLine="0" w:firstLineChars="0"/>
        <w:jc w:val="left"/>
      </w:pPr>
      <w:r>
        <w:rPr>
          <w:rFonts w:hint="eastAsia" w:ascii="宋体" w:hAnsi="宋体" w:eastAsia="宋体" w:cs="宋体"/>
          <w:color w:val="000000"/>
          <w:kern w:val="0"/>
          <w:sz w:val="24"/>
          <w:szCs w:val="24"/>
          <w:lang w:val="en-US" w:eastAsia="zh-CN" w:bidi="ar"/>
        </w:rPr>
        <w:t>正常运行和对船舶排放废气的有效控制。</w:t>
      </w:r>
    </w:p>
    <w:p>
      <w:pPr>
        <w:ind w:firstLine="480"/>
      </w:pPr>
      <w:r>
        <w:t>（</w:t>
      </w:r>
      <w:r>
        <w:rPr>
          <w:rFonts w:hint="eastAsia"/>
          <w:lang w:val="en-US" w:eastAsia="zh-CN"/>
        </w:rPr>
        <w:t>9</w:t>
      </w:r>
      <w:r>
        <w:t>）</w:t>
      </w:r>
      <w:r>
        <w:rPr>
          <w:rFonts w:hint="eastAsia"/>
        </w:rPr>
        <w:t>码头装船采用干雾除尘，</w:t>
      </w:r>
      <w:r>
        <w:t>对装卸作业的易扬尘点，如卸料漏斗等处设置喷嘴进行喷雾除尘。卸船机的除尘设备，由卸船机厂商配套提供。</w:t>
      </w:r>
    </w:p>
    <w:p>
      <w:pPr>
        <w:ind w:firstLine="480"/>
      </w:pPr>
      <w:r>
        <w:rPr>
          <w:rFonts w:hint="eastAsia"/>
        </w:rPr>
        <w:t>（</w:t>
      </w:r>
      <w:r>
        <w:rPr>
          <w:rFonts w:hint="eastAsia"/>
          <w:lang w:val="en-US" w:eastAsia="zh-CN"/>
        </w:rPr>
        <w:t>10</w:t>
      </w:r>
      <w:r>
        <w:rPr>
          <w:rFonts w:hint="eastAsia"/>
        </w:rPr>
        <w:t>）项目散货物料于卸料棚泄料后通过封闭皮带运输至堆场，堆场进行全封闭作业，并配备洒水喷雾系统，堆取料作业过程中进行洒水喷雾降尘。</w:t>
      </w:r>
    </w:p>
    <w:p>
      <w:pPr>
        <w:ind w:firstLine="480"/>
      </w:pPr>
      <w:r>
        <w:rPr>
          <w:rFonts w:hint="eastAsia"/>
        </w:rPr>
        <w:t>（</w:t>
      </w:r>
      <w:r>
        <w:rPr>
          <w:rFonts w:hint="eastAsia"/>
          <w:lang w:val="en-US" w:eastAsia="zh-CN"/>
        </w:rPr>
        <w:t>11</w:t>
      </w:r>
      <w:r>
        <w:rPr>
          <w:rFonts w:hint="eastAsia"/>
        </w:rPr>
        <w:t>）卸料棚进行三面封闭，仅留汽车出入口；卸料漏斗处采样干雾除尘，设置喷嘴进行喷雾除尘。</w:t>
      </w:r>
    </w:p>
    <w:p>
      <w:pPr>
        <w:ind w:firstLine="480"/>
      </w:pPr>
      <w:r>
        <w:rPr>
          <w:rFonts w:hint="eastAsia"/>
        </w:rPr>
        <w:t>（</w:t>
      </w:r>
      <w:r>
        <w:rPr>
          <w:rFonts w:hint="eastAsia"/>
          <w:lang w:val="en-US" w:eastAsia="zh-CN"/>
        </w:rPr>
        <w:t>12</w:t>
      </w:r>
      <w:r>
        <w:rPr>
          <w:rFonts w:hint="eastAsia"/>
        </w:rPr>
        <w:t>）转运站及皮带运输降尘：</w:t>
      </w:r>
      <w:r>
        <w:t>皮带机全程封闭，转运站内的皮带交接点处，由于物料高处下落和空气的剪切作用，产生大量粉尘。转运站设置干式布袋除尘系统，除尘效率≥99%。在卸料漏斗的易扬尘处设置吸尘罩，使散货受料系统处于负压密闭状态，防止粉尘外扬。为保持转运站内清洁的作业环境，转运站的皮带机头部附近设置喷嘴进行喷雾除尘。控制洒水量，避免对散货和皮带系统产生负面影响。由远程控制中心通过本地电磁阀控制喷雾除尘系统的启闭。</w:t>
      </w:r>
    </w:p>
    <w:p>
      <w:pPr>
        <w:pStyle w:val="456"/>
        <w:ind w:firstLine="482"/>
      </w:pPr>
      <w:r>
        <w:t>废气达标排放可行性分析</w:t>
      </w:r>
    </w:p>
    <w:p>
      <w:pPr>
        <w:pStyle w:val="458"/>
        <w:ind w:firstLine="480"/>
        <w:rPr>
          <w:rFonts w:cs="Times New Roman"/>
          <w:color w:val="auto"/>
        </w:rPr>
      </w:pPr>
      <w:r>
        <w:rPr>
          <w:rFonts w:cs="Times New Roman"/>
          <w:color w:val="auto"/>
        </w:rPr>
        <w:t>本项目在防治散货粉尘污染的措施方面，码头装卸区域将采用湿式除尘；皮带机廊道采用密封式廊道；转运站各转载点采取密闭措施，设置密闭溜筒和密闭导料槽，通过干雾除尘措施防尘。</w:t>
      </w:r>
    </w:p>
    <w:p>
      <w:pPr>
        <w:widowControl/>
        <w:ind w:firstLine="480"/>
      </w:pPr>
      <w:r>
        <w:t>湿式除尘仍然是目前我国各散货运输港口最为经济适用，也最为有效的除尘方式，具有运行简单，维护方便，效果稳定的特点，一般港口均将湿式除尘作为港口除尘方式的首选。随着相关技术的进步，特别是湿式除尘系统喷雾喷嘴的改进以及计算机管理系统的运用，湿式除尘的效果较以往均有大幅的提高，在湿式除尘系统管理措施严格到位的情况下，整个港区均能保持干净整洁的环境状况。</w:t>
      </w:r>
    </w:p>
    <w:p>
      <w:pPr>
        <w:widowControl/>
        <w:ind w:firstLine="480"/>
      </w:pPr>
      <w:r>
        <w:t>干雾抑尘系统产生的水雾颗粒能达到10μm以下，与最活跃的尘埃颗粒大小相近，经碰撞、吸附、凝结形成较大的尘埃团，可在重力的作用下自然降落而不会随气流逸散，除尘效率能达95%以上。</w:t>
      </w:r>
    </w:p>
    <w:p>
      <w:pPr>
        <w:pStyle w:val="458"/>
        <w:ind w:firstLine="480"/>
        <w:rPr>
          <w:rFonts w:cs="Times New Roman"/>
          <w:color w:val="auto"/>
          <w:szCs w:val="36"/>
        </w:rPr>
      </w:pPr>
      <w:r>
        <w:rPr>
          <w:rFonts w:cs="Times New Roman"/>
          <w:color w:val="auto"/>
        </w:rPr>
        <w:t xml:space="preserve">在采取本环评提出的治理措施后，可估算出工程散货装卸过程中洒水抑尘后TSP的产生量为 </w:t>
      </w:r>
      <w:r>
        <w:rPr>
          <w:rFonts w:hint="eastAsia" w:cs="Times New Roman"/>
          <w:color w:val="auto"/>
        </w:rPr>
        <w:t>8.039t</w:t>
      </w:r>
      <w:r>
        <w:rPr>
          <w:rFonts w:cs="Times New Roman"/>
          <w:color w:val="auto"/>
        </w:rPr>
        <w:t>/a。通过</w:t>
      </w:r>
      <w:r>
        <w:rPr>
          <w:rFonts w:hint="eastAsia" w:cs="Times New Roman"/>
          <w:color w:val="auto"/>
        </w:rPr>
        <w:t>第五章节</w:t>
      </w:r>
      <w:r>
        <w:rPr>
          <w:rFonts w:cs="Times New Roman"/>
          <w:color w:val="auto"/>
        </w:rPr>
        <w:t>预测分析可知，项目无组织</w:t>
      </w:r>
      <w:r>
        <w:rPr>
          <w:rFonts w:hint="eastAsia" w:cs="Times New Roman"/>
          <w:color w:val="auto"/>
        </w:rPr>
        <w:t>正常</w:t>
      </w:r>
      <w:r>
        <w:rPr>
          <w:rFonts w:cs="Times New Roman"/>
          <w:color w:val="auto"/>
        </w:rPr>
        <w:t>排放的颗粒物</w:t>
      </w:r>
      <w:r>
        <w:rPr>
          <w:rFonts w:cs="Times New Roman"/>
          <w:color w:val="auto"/>
          <w:spacing w:val="-1"/>
        </w:rPr>
        <w:t>TS</w:t>
      </w:r>
      <w:r>
        <w:rPr>
          <w:rFonts w:cs="Times New Roman"/>
          <w:color w:val="auto"/>
        </w:rPr>
        <w:t>P可达到《大气污染物综合排放标准》（GB16297-1996）中无组织排放监控浓度限值</w:t>
      </w:r>
      <w:r>
        <w:rPr>
          <w:rFonts w:cs="Times New Roman"/>
          <w:color w:val="auto"/>
          <w:szCs w:val="36"/>
        </w:rPr>
        <w:t>，项目废气达标排放。</w:t>
      </w:r>
    </w:p>
    <w:bookmarkEnd w:id="327"/>
    <w:p>
      <w:pPr>
        <w:pStyle w:val="453"/>
        <w:ind w:firstLine="643" w:firstLineChars="0"/>
        <w:rPr>
          <w:rFonts w:ascii="Times New Roman" w:cs="Times New Roman"/>
        </w:rPr>
      </w:pPr>
      <w:bookmarkStart w:id="328" w:name="_Toc106697036"/>
      <w:bookmarkStart w:id="329" w:name="_Toc25602"/>
      <w:bookmarkStart w:id="330" w:name="_Toc18425"/>
      <w:r>
        <w:rPr>
          <w:rFonts w:ascii="Times New Roman" w:cs="Times New Roman"/>
        </w:rPr>
        <w:t>噪声污染防治措施</w:t>
      </w:r>
      <w:bookmarkEnd w:id="328"/>
      <w:bookmarkEnd w:id="329"/>
      <w:bookmarkEnd w:id="330"/>
    </w:p>
    <w:p>
      <w:pPr>
        <w:pStyle w:val="454"/>
        <w:ind w:firstLine="602"/>
        <w:rPr>
          <w:color w:val="auto"/>
        </w:rPr>
      </w:pPr>
      <w:r>
        <w:rPr>
          <w:color w:val="auto"/>
        </w:rPr>
        <w:t>施工期噪声污染防治措施</w:t>
      </w:r>
    </w:p>
    <w:p>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项目运营期间的噪声主要来源于港口机械作业、船舶发动机和船舶鸣笛产生的船舶噪声等。船舶发动机噪声源强可达 </w:t>
      </w:r>
      <w:r>
        <w:rPr>
          <w:rFonts w:hint="default" w:ascii="Times New Roman" w:hAnsi="Times New Roman" w:eastAsia="宋体" w:cs="Times New Roman"/>
          <w:color w:val="000000"/>
          <w:kern w:val="0"/>
          <w:sz w:val="24"/>
          <w:szCs w:val="24"/>
          <w:lang w:val="en-US" w:eastAsia="zh-CN" w:bidi="ar"/>
        </w:rPr>
        <w:t>80~85 dB(A)</w:t>
      </w:r>
      <w:r>
        <w:rPr>
          <w:rFonts w:hint="eastAsia" w:ascii="宋体" w:hAnsi="宋体" w:eastAsia="宋体" w:cs="宋体"/>
          <w:color w:val="000000"/>
          <w:kern w:val="0"/>
          <w:sz w:val="24"/>
          <w:szCs w:val="24"/>
          <w:lang w:val="en-US" w:eastAsia="zh-CN" w:bidi="ar"/>
        </w:rPr>
        <w:t>，一般停靠港后不开动发动机，所以影响不大。船舶鸣笛为突发性噪声，主要采取船舶按照规定进行鸣笛的措施来减轻船舶鸣笛噪声影响。</w:t>
      </w:r>
    </w:p>
    <w:p>
      <w:pPr>
        <w:ind w:firstLine="482"/>
        <w:rPr>
          <w:b/>
          <w:bCs/>
        </w:rPr>
      </w:pPr>
      <w:r>
        <w:rPr>
          <w:rFonts w:hint="eastAsia"/>
          <w:b/>
          <w:bCs/>
        </w:rPr>
        <w:t>（1）</w:t>
      </w:r>
      <w:r>
        <w:rPr>
          <w:b/>
          <w:bCs/>
        </w:rPr>
        <w:t>降低声源的噪声强度</w:t>
      </w:r>
    </w:p>
    <w:p>
      <w:pPr>
        <w:ind w:left="480" w:leftChars="200" w:firstLine="0" w:firstLineChars="0"/>
      </w:pPr>
      <w:r>
        <w:t>①采用低噪声施工机械设备和先进的施工技术，淘汰落后的施工设备；</w:t>
      </w:r>
    </w:p>
    <w:p>
      <w:pPr>
        <w:ind w:firstLine="480"/>
      </w:pPr>
      <w:r>
        <w:t>②对有固定基座的设备应作单独地基处理，以减少地面振动与结构噪声的传递；</w:t>
      </w:r>
    </w:p>
    <w:p>
      <w:pPr>
        <w:ind w:firstLine="480"/>
      </w:pPr>
      <w:r>
        <w:t>③模板、脚手架支拆时，应做到轻拿轻放，严禁抛掷；</w:t>
      </w:r>
    </w:p>
    <w:p>
      <w:pPr>
        <w:ind w:firstLine="480"/>
      </w:pPr>
      <w:r>
        <w:rPr>
          <w:rFonts w:hint="eastAsia"/>
        </w:rPr>
        <w:t>④</w:t>
      </w:r>
      <w:r>
        <w:t>对机械设备进行定期维修，使其保持良好的运行工况，严禁带故障工作造成噪声排放超标；</w:t>
      </w:r>
    </w:p>
    <w:p>
      <w:pPr>
        <w:ind w:firstLine="480"/>
      </w:pPr>
      <w:r>
        <w:rPr>
          <w:rFonts w:hint="eastAsia"/>
        </w:rPr>
        <w:t>⑤</w:t>
      </w:r>
      <w:r>
        <w:t>避免在同一时间集中使用大量的动力机械设备。</w:t>
      </w:r>
    </w:p>
    <w:p>
      <w:pPr>
        <w:ind w:firstLine="482"/>
        <w:rPr>
          <w:b/>
          <w:bCs/>
        </w:rPr>
      </w:pPr>
      <w:r>
        <w:rPr>
          <w:rFonts w:hint="eastAsia"/>
          <w:b/>
          <w:bCs/>
        </w:rPr>
        <w:t>（2）传播途径降噪措施</w:t>
      </w:r>
    </w:p>
    <w:p>
      <w:pPr>
        <w:ind w:firstLine="480"/>
      </w:pPr>
      <w:r>
        <w:t>①项目施工现场四周应当设置高度不低于2m的围挡，围挡可以当作声屏障，从而 降低施工噪声对厂界外敏感点的影响；</w:t>
      </w:r>
    </w:p>
    <w:p>
      <w:pPr>
        <w:ind w:firstLine="480"/>
      </w:pPr>
      <w:r>
        <w:t>②对各施工环节中噪声较为突出且又难以对声源进行降噪可能的设备装置，应采 取临时围障措施，围障最好敷以吸声材料，以此达到降噪效果。</w:t>
      </w:r>
    </w:p>
    <w:p>
      <w:pPr>
        <w:ind w:firstLine="482"/>
        <w:rPr>
          <w:b/>
          <w:bCs/>
        </w:rPr>
      </w:pPr>
      <w:r>
        <w:rPr>
          <w:rFonts w:hint="eastAsia"/>
          <w:b/>
          <w:bCs/>
        </w:rPr>
        <w:t>（3）其他措施和建议</w:t>
      </w:r>
    </w:p>
    <w:p>
      <w:pPr>
        <w:ind w:firstLine="480"/>
      </w:pPr>
      <w:r>
        <w:t>①设立项目施工环境影响监督公告牌，在建筑围墙的醒目处明确标明：施工环境影响的投诉方式及联系电话（包括建设单位责任人及施工监查责任人等），让公众随时监督项目施工过程；</w:t>
      </w:r>
    </w:p>
    <w:p>
      <w:pPr>
        <w:ind w:firstLine="480"/>
      </w:pPr>
      <w:r>
        <w:t>②对交通车辆及施工船舶造成的噪声影响要加强管理，运输车辆及船舶尽量采用 低声级的喇叭，合理制定运输路线，车辆在场区外的行进路线应尽量对周边的敏感点采 取避让措施，若无法避让而必须要经过环境敏感点的，应采取减速慢行、禁止鸣笛等措 施降低运输车辆的噪声对周边环境的影响。</w:t>
      </w:r>
    </w:p>
    <w:p>
      <w:pPr>
        <w:ind w:firstLine="480"/>
      </w:pPr>
      <w:r>
        <w:t>③加强施工管理，合理安排施工作业时间，禁止在中午（12:00-14:00）和夜间（22:00-6:00）施工，避免在同一时间集中使用大量的动力机械设备，施工单位应按规定及时办理相关手续，并做好相应的防护措施。</w:t>
      </w:r>
    </w:p>
    <w:p>
      <w:pPr>
        <w:ind w:firstLine="480"/>
      </w:pPr>
      <w:r>
        <w:rPr>
          <w:rFonts w:hint="eastAsia"/>
        </w:rPr>
        <w:t>④</w:t>
      </w:r>
      <w:r>
        <w:t>考虑到项目施工期间工地来往车辆行驶可能会对沿途声环境造成一定的影响，本次评价建议工程施工材料运输安排在白天进行，严禁夜间扰民。</w:t>
      </w:r>
    </w:p>
    <w:p>
      <w:pPr>
        <w:ind w:firstLine="480"/>
      </w:pPr>
      <w:r>
        <w:rPr>
          <w:rFonts w:hint="eastAsia"/>
        </w:rPr>
        <w:t>⑤</w:t>
      </w:r>
      <w:r>
        <w:rPr>
          <w:lang w:val="en-GB"/>
        </w:rPr>
        <w:t>工程在运输道路以及临时道路的选线时，尽量避开、远离居民敏感点，以减小施工汽车运输时产生的噪声，尽量将施工道路交通噪声对沿线居民点的影响降至最低。</w:t>
      </w:r>
    </w:p>
    <w:p>
      <w:pPr>
        <w:ind w:firstLine="480"/>
      </w:pPr>
      <w:r>
        <w:rPr>
          <w:rFonts w:eastAsia="楷体"/>
        </w:rPr>
        <w:t>⑥</w:t>
      </w:r>
      <w:r>
        <w:t>通过采取以上噪声污染防控措施，建设单位可将噪声污染对周边声环境质量的影响 控制在最低水平，噪声污染防治措施从经济、技术方面来说具有可行性。</w:t>
      </w:r>
    </w:p>
    <w:p>
      <w:pPr>
        <w:pStyle w:val="454"/>
        <w:ind w:firstLine="602"/>
        <w:rPr>
          <w:color w:val="auto"/>
        </w:rPr>
      </w:pPr>
      <w:r>
        <w:rPr>
          <w:color w:val="auto"/>
        </w:rPr>
        <w:t>运营期噪声污染防治措施</w:t>
      </w:r>
    </w:p>
    <w:p>
      <w:pPr>
        <w:pStyle w:val="456"/>
        <w:ind w:firstLine="482"/>
      </w:pPr>
      <w:r>
        <w:t>噪声防治措施</w:t>
      </w:r>
    </w:p>
    <w:p>
      <w:pPr>
        <w:ind w:firstLine="480"/>
      </w:pPr>
      <w:r>
        <w:t>项目运营期间的噪声主要来源于港口机械作业、船舶发动机和船舶鸣笛产生的船舶噪声等。船舶发动机噪声源强可达80~85 dB(A)，一般停靠港后不开动发动机，所以影响不大。船舶鸣笛为突发性噪声，主要采取船舶按照规定进行鸣笛的措施来减轻船舶鸣笛噪声影响。</w:t>
      </w:r>
    </w:p>
    <w:p>
      <w:pPr>
        <w:ind w:firstLine="482"/>
        <w:rPr>
          <w:b/>
        </w:rPr>
      </w:pPr>
      <w:r>
        <w:rPr>
          <w:b/>
        </w:rPr>
        <w:t>（1）噪声源控制</w:t>
      </w:r>
    </w:p>
    <w:p>
      <w:pPr>
        <w:ind w:firstLine="480"/>
      </w:pPr>
      <w:r>
        <w:t>①码头所选用的装卸机械设备的单机噪声必须满足《工业企业厂界噪声标准》的有关规定，尽可能选取加工精度高、装配质量好、产噪低的设备，以降低声源的噪声发射功率；</w:t>
      </w:r>
    </w:p>
    <w:p>
      <w:pPr>
        <w:ind w:firstLine="480"/>
      </w:pPr>
      <w:r>
        <w:t>②对于某些设备运行时因振动产生的噪声，将考虑设备基础的隔振、减振；</w:t>
      </w:r>
    </w:p>
    <w:p>
      <w:pPr>
        <w:ind w:firstLine="480"/>
      </w:pPr>
      <w:r>
        <w:t>③设专人对机械设备进行定期保养和维护，并负责对工作人员进行培训，严格按操作规范使用各类机械；</w:t>
      </w:r>
    </w:p>
    <w:p>
      <w:pPr>
        <w:ind w:firstLine="480"/>
      </w:pPr>
      <w:r>
        <w:rPr>
          <w:rFonts w:hint="eastAsia"/>
        </w:rPr>
        <w:t>④</w:t>
      </w:r>
      <w:r>
        <w:t>控制船的鸣笛次数和时间，船舶进入港区禁止鸣笛，并安排专人通过通信设施或其他设施方法引导；</w:t>
      </w:r>
    </w:p>
    <w:p>
      <w:pPr>
        <w:ind w:firstLine="480"/>
      </w:pPr>
      <w:r>
        <w:rPr>
          <w:rFonts w:hint="eastAsia"/>
        </w:rPr>
        <w:t>⑤</w:t>
      </w:r>
      <w:r>
        <w:t>合理进行总体布局，流动性设备尽可能远离厂界运行，以增大其噪声衰减距离；</w:t>
      </w:r>
    </w:p>
    <w:p>
      <w:pPr>
        <w:ind w:firstLine="480"/>
      </w:pPr>
      <w:r>
        <w:rPr>
          <w:rFonts w:eastAsia="楷体"/>
        </w:rPr>
        <w:t>⑥</w:t>
      </w:r>
      <w:r>
        <w:t>加强港区附近交通管理，避免交通阻塞而增加车辆噪声。</w:t>
      </w:r>
    </w:p>
    <w:p>
      <w:pPr>
        <w:ind w:firstLine="482"/>
        <w:rPr>
          <w:b/>
        </w:rPr>
      </w:pPr>
      <w:r>
        <w:rPr>
          <w:b/>
        </w:rPr>
        <w:t>（2）装卸产生的瞬时突发噪声</w:t>
      </w:r>
    </w:p>
    <w:p>
      <w:pPr>
        <w:ind w:firstLine="480"/>
      </w:pPr>
      <w:r>
        <w:t>建议采取以下管理控制措施：</w:t>
      </w:r>
    </w:p>
    <w:p>
      <w:pPr>
        <w:ind w:firstLine="480"/>
      </w:pPr>
      <w:r>
        <w:t>①严格遵守设备及装卸操作规范，防止因误操作而产生异常噪音，做到轻拿轻放。</w:t>
      </w:r>
    </w:p>
    <w:p>
      <w:pPr>
        <w:ind w:firstLine="480"/>
      </w:pPr>
      <w:r>
        <w:t>②定期对设备的主要部件进行维修和保养，保持其技术性能良好，使其排放的噪声符合有关技术标准。</w:t>
      </w:r>
    </w:p>
    <w:p>
      <w:pPr>
        <w:ind w:firstLine="480"/>
      </w:pPr>
      <w:r>
        <w:t>③检查设备的状态时，注重对其噪声的监测，对超过噪声排放标准的设备及时采取控制措施。</w:t>
      </w:r>
    </w:p>
    <w:p>
      <w:pPr>
        <w:ind w:firstLine="480"/>
      </w:pPr>
      <w:r>
        <w:rPr>
          <w:rFonts w:hint="eastAsia"/>
        </w:rPr>
        <w:t>④</w:t>
      </w:r>
      <w:r>
        <w:t>加强设备的检查工作，遇到突发情况时，及时修理产生异常噪音的车辆、机械设备，缩短异常噪音的排放时间。</w:t>
      </w:r>
    </w:p>
    <w:p>
      <w:pPr>
        <w:ind w:firstLine="480"/>
      </w:pPr>
      <w:r>
        <w:rPr>
          <w:rFonts w:hint="eastAsia"/>
        </w:rPr>
        <w:t>⑤</w:t>
      </w:r>
      <w:r>
        <w:t>船舶噪声主要有船舶发动机的移动噪声和船舶的汽笛声，均为间歇性噪声源，其中汽笛声为突发性噪声。船舶发动机噪声主要采用停港即停机，减少停靠时间等方法减少发声时间，船舶汽笛按照规定进行鸣笛。</w:t>
      </w:r>
    </w:p>
    <w:p>
      <w:pPr>
        <w:pStyle w:val="456"/>
        <w:ind w:firstLine="482"/>
      </w:pPr>
      <w:r>
        <w:t>噪声达标排放可行性分析</w:t>
      </w:r>
    </w:p>
    <w:p>
      <w:pPr>
        <w:ind w:firstLine="480"/>
      </w:pPr>
      <w:r>
        <w:t>在采取本环评提出的治理措施后，通过预测分析可知，可确保所有厂界噪声排放均达到《工业企业厂界环境噪声排放标准》（GB12348-2008）相应的3类、4类标准要求，其防治措施可行。</w:t>
      </w:r>
    </w:p>
    <w:p>
      <w:pPr>
        <w:pStyle w:val="453"/>
        <w:ind w:firstLine="643" w:firstLineChars="0"/>
        <w:rPr>
          <w:rFonts w:ascii="Times New Roman" w:cs="Times New Roman"/>
        </w:rPr>
      </w:pPr>
      <w:bookmarkStart w:id="331" w:name="_Toc106697037"/>
      <w:bookmarkStart w:id="332" w:name="_Toc26340"/>
      <w:bookmarkStart w:id="333" w:name="_Toc32580"/>
      <w:bookmarkStart w:id="334" w:name="_Toc531150438"/>
      <w:bookmarkStart w:id="335" w:name="_Toc531231186"/>
      <w:bookmarkStart w:id="336" w:name="_Toc531254909"/>
      <w:r>
        <w:rPr>
          <w:rFonts w:ascii="Times New Roman" w:cs="Times New Roman"/>
        </w:rPr>
        <w:t>固体废物治理措施</w:t>
      </w:r>
      <w:bookmarkEnd w:id="331"/>
      <w:bookmarkEnd w:id="332"/>
      <w:bookmarkEnd w:id="333"/>
    </w:p>
    <w:p>
      <w:pPr>
        <w:pStyle w:val="454"/>
        <w:ind w:firstLine="602"/>
        <w:rPr>
          <w:color w:val="auto"/>
        </w:rPr>
      </w:pPr>
      <w:r>
        <w:rPr>
          <w:color w:val="auto"/>
        </w:rPr>
        <w:t>施工期固体废物污染防治措施</w:t>
      </w:r>
    </w:p>
    <w:p>
      <w:pPr>
        <w:ind w:firstLine="480"/>
      </w:pPr>
      <w:r>
        <w:rPr>
          <w:rFonts w:hint="eastAsia"/>
        </w:rPr>
        <w:t>（1）</w:t>
      </w:r>
      <w:r>
        <w:t>对施工人员开展宣传教育，使施工人员生活垃圾做到全部有效收集和贮存，船舶生活垃圾由施工单位负责交海事部门环保船接收处理</w:t>
      </w:r>
      <w:r>
        <w:rPr>
          <w:rFonts w:hint="eastAsia"/>
        </w:rPr>
        <w:t>，</w:t>
      </w:r>
      <w:r>
        <w:t>施工期设置垃圾桶及垃圾集中堆放场地，陆域施工人员生活垃圾由施工单位定期交由环卫部门处理。</w:t>
      </w:r>
    </w:p>
    <w:p>
      <w:pPr>
        <w:ind w:firstLine="480"/>
      </w:pPr>
      <w:r>
        <w:rPr>
          <w:rFonts w:hint="eastAsia"/>
        </w:rPr>
        <w:t>（2）</w:t>
      </w:r>
      <w:r>
        <w:t>加强建筑垃圾和疏浚污泥的管理。施工单位应尽量回收利用建筑垃圾，对建筑垃圾的收集处理应严格执行《城市建筑垃圾管理规定》，服从当地城市市容环境卫生行政主管部门统一管理，严禁建设和施工单位将建筑施工活动中产生的工程废弃物料等垃圾堆放在河流沿岸护坡或倾倒入河。</w:t>
      </w:r>
      <w:r>
        <w:rPr>
          <w:rFonts w:hint="eastAsia" w:eastAsiaTheme="minorEastAsia"/>
        </w:rPr>
        <w:t>港池疏浚污泥</w:t>
      </w:r>
      <w:r>
        <w:rPr>
          <w:rFonts w:hint="eastAsia"/>
        </w:rPr>
        <w:t>通过挖泥船运至</w:t>
      </w:r>
      <w:r>
        <w:rPr>
          <w:rFonts w:hint="eastAsia" w:eastAsiaTheme="minorEastAsia"/>
        </w:rPr>
        <w:t>码头用地范围内堆存，经脱水后，</w:t>
      </w:r>
      <w:r>
        <w:rPr>
          <w:rFonts w:hint="eastAsia"/>
        </w:rPr>
        <w:t>用于码头配套工程陆域的回填土</w:t>
      </w:r>
      <w:r>
        <w:rPr>
          <w:rFonts w:hint="eastAsia" w:eastAsiaTheme="minorEastAsia"/>
        </w:rPr>
        <w:t>。</w:t>
      </w:r>
      <w:r>
        <w:rPr>
          <w:rFonts w:eastAsiaTheme="minorEastAsia"/>
        </w:rPr>
        <w:t>施工产生的弃土、弃渣不得堆放在河道内尤其是河道岸坡上，避免岸坡应荷载加大而失稳。</w:t>
      </w:r>
      <w:r>
        <w:t>施工单位应尽快清理施工场地内的建筑垃圾。</w:t>
      </w:r>
    </w:p>
    <w:p>
      <w:pPr>
        <w:ind w:firstLine="480"/>
      </w:pPr>
      <w:r>
        <w:rPr>
          <w:rFonts w:hint="eastAsia"/>
          <w:kern w:val="0"/>
        </w:rPr>
        <w:t>（3）</w:t>
      </w:r>
      <w:r>
        <w:t>建设单位应对施工单位处置建筑垃圾进行督促。</w:t>
      </w:r>
    </w:p>
    <w:p>
      <w:pPr>
        <w:pStyle w:val="454"/>
        <w:ind w:firstLine="602"/>
        <w:rPr>
          <w:color w:val="auto"/>
        </w:rPr>
      </w:pPr>
      <w:r>
        <w:rPr>
          <w:color w:val="auto"/>
        </w:rPr>
        <w:t>运营期固体废物污染防治措施</w:t>
      </w:r>
    </w:p>
    <w:p>
      <w:pPr>
        <w:widowControl/>
        <w:ind w:firstLine="482"/>
        <w:rPr>
          <w:b/>
        </w:rPr>
      </w:pPr>
      <w:r>
        <w:rPr>
          <w:b/>
        </w:rPr>
        <w:t>（1）到港船舶生活垃圾</w:t>
      </w:r>
    </w:p>
    <w:p>
      <w:pPr>
        <w:widowControl/>
        <w:ind w:firstLine="480"/>
      </w:pPr>
      <w:r>
        <w:t>在船舶配备有盖、不渗漏、不外溢的垃圾储存容器或者实行袋装，按照《船舶垃圾管理计划》对所产生的垃圾进行分类、收集、存放，由海事部门指定的船舶接收统一处理，严禁乱丢乱弃，对环境影响较小。</w:t>
      </w:r>
    </w:p>
    <w:p>
      <w:pPr>
        <w:pStyle w:val="458"/>
        <w:ind w:firstLine="480"/>
        <w:rPr>
          <w:rFonts w:cs="Times New Roman"/>
          <w:color w:val="auto"/>
        </w:rPr>
      </w:pPr>
      <w:r>
        <w:rPr>
          <w:rFonts w:cs="Times New Roman"/>
          <w:color w:val="auto"/>
        </w:rPr>
        <w:t>船舶垃圾严格管理，内河水域禁止排放船舶垃圾。停靠本码头船舶应配有船籍港海事机构批准的《船舶垃圾管理计划》和核发的《船舶垃圾记录簿》，并由海事部门定期检查垃圾处理是否与计划一致。码头停泊区加强巡逻，发现垃圾入河要坚决进行制止并采取措施。</w:t>
      </w:r>
    </w:p>
    <w:p>
      <w:pPr>
        <w:pStyle w:val="458"/>
        <w:ind w:firstLine="468"/>
        <w:rPr>
          <w:rFonts w:cs="Times New Roman"/>
          <w:color w:val="auto"/>
        </w:rPr>
      </w:pPr>
      <w:r>
        <w:rPr>
          <w:rFonts w:cs="Times New Roman"/>
          <w:color w:val="auto"/>
          <w:spacing w:val="-3"/>
          <w:szCs w:val="22"/>
        </w:rPr>
        <w:t>为进一步保护生态环境，加强内河通航水域的船舶污染防治，建设单位应按照《船舶水污染物内河港口岸上接收设施设计指南》（JTS/T 175-2019）要求，建设船舶生活垃圾岸上接收设施，并设置标识牌。船舶生活垃圾岸上接收设施应包括储存设施和必要的装卸、运输设备等，并符合现行的国家标准《生活垃圾分类标识》（GB/T 19095）或港口所在地有关垃圾分类要求，船舶生活垃圾分类收集交岸时应与接收设施分类方式相衔接。</w:t>
      </w:r>
    </w:p>
    <w:p>
      <w:pPr>
        <w:widowControl/>
        <w:ind w:firstLine="482"/>
        <w:rPr>
          <w:b/>
          <w:spacing w:val="-3"/>
          <w:szCs w:val="22"/>
        </w:rPr>
      </w:pPr>
      <w:r>
        <w:rPr>
          <w:b/>
        </w:rPr>
        <w:t>（2）</w:t>
      </w:r>
      <w:r>
        <w:rPr>
          <w:b/>
          <w:spacing w:val="-3"/>
          <w:szCs w:val="22"/>
        </w:rPr>
        <w:t>含油抹布</w:t>
      </w:r>
    </w:p>
    <w:p>
      <w:pPr>
        <w:widowControl/>
        <w:ind w:firstLine="480"/>
      </w:pPr>
      <w:r>
        <w:t>本项目含油抹布按照</w:t>
      </w:r>
      <w:r>
        <w:rPr>
          <w:szCs w:val="28"/>
        </w:rPr>
        <w:t>《危险废物贮存污染控制标准》（GB18597-2001及2013年修改单）要求，</w:t>
      </w:r>
      <w:r>
        <w:t>依托陆域项目的危废暂存间贮存，后委托有资质单位处置，严禁乱丢乱弃。</w:t>
      </w:r>
    </w:p>
    <w:p>
      <w:pPr>
        <w:widowControl/>
        <w:ind w:firstLine="470"/>
        <w:rPr>
          <w:b/>
        </w:rPr>
      </w:pPr>
      <w:r>
        <w:rPr>
          <w:b/>
          <w:spacing w:val="-3"/>
          <w:szCs w:val="22"/>
        </w:rPr>
        <w:t>（</w:t>
      </w:r>
      <w:r>
        <w:rPr>
          <w:rFonts w:hint="eastAsia"/>
          <w:b/>
          <w:spacing w:val="-3"/>
          <w:szCs w:val="22"/>
        </w:rPr>
        <w:t>3</w:t>
      </w:r>
      <w:r>
        <w:rPr>
          <w:b/>
          <w:spacing w:val="-3"/>
          <w:szCs w:val="22"/>
        </w:rPr>
        <w:t>）</w:t>
      </w:r>
      <w:r>
        <w:rPr>
          <w:b/>
        </w:rPr>
        <w:t>污水收集池污泥、沉渣</w:t>
      </w:r>
    </w:p>
    <w:p>
      <w:pPr>
        <w:widowControl/>
        <w:ind w:firstLine="480"/>
      </w:pPr>
      <w:r>
        <w:t>项目污水收集池产生的污泥主要成分为煤渣，经收集后可回收利用。</w:t>
      </w:r>
    </w:p>
    <w:p>
      <w:pPr>
        <w:ind w:firstLine="480"/>
        <w:rPr>
          <w:szCs w:val="28"/>
        </w:rPr>
      </w:pPr>
      <w:r>
        <w:rPr>
          <w:szCs w:val="28"/>
        </w:rPr>
        <w:t>综上所述，项目运营过程产生的固体废物去向明确，处理合理，经济可行。</w:t>
      </w:r>
    </w:p>
    <w:p>
      <w:pPr>
        <w:pStyle w:val="2133"/>
        <w:spacing w:line="360" w:lineRule="auto"/>
        <w:ind w:firstLine="482"/>
        <w:jc w:val="left"/>
        <w:rPr>
          <w:rFonts w:cs="Times New Roman"/>
          <w:b/>
        </w:rPr>
      </w:pPr>
      <w:r>
        <w:rPr>
          <w:rFonts w:hint="eastAsia" w:cs="Times New Roman"/>
          <w:b/>
        </w:rPr>
        <w:t>（4）港区工作人员生活垃圾</w:t>
      </w:r>
    </w:p>
    <w:p>
      <w:pPr>
        <w:ind w:firstLine="480"/>
        <w:rPr>
          <w:szCs w:val="28"/>
        </w:rPr>
      </w:pPr>
      <w:r>
        <w:rPr>
          <w:rFonts w:hint="eastAsia"/>
        </w:rPr>
        <w:t>本项目工作人员生活垃圾通过垃圾筒收集后，交由环卫部门定期清运，严禁乱丢乱弃。</w:t>
      </w:r>
    </w:p>
    <w:p>
      <w:pPr>
        <w:widowControl/>
        <w:ind w:firstLine="482"/>
        <w:rPr>
          <w:b/>
        </w:rPr>
      </w:pPr>
      <w:r>
        <w:rPr>
          <w:b/>
        </w:rPr>
        <w:t>（</w:t>
      </w:r>
      <w:r>
        <w:rPr>
          <w:rFonts w:hint="eastAsia"/>
          <w:b/>
        </w:rPr>
        <w:t>5</w:t>
      </w:r>
      <w:r>
        <w:rPr>
          <w:b/>
        </w:rPr>
        <w:t>）废机油</w:t>
      </w:r>
    </w:p>
    <w:p>
      <w:pPr>
        <w:widowControl/>
        <w:ind w:firstLine="480"/>
      </w:pPr>
      <w:r>
        <w:t>码头设备修理装卸作业中产生的废机油属于危险废物，应委托有资质单位处置，严禁乱丢乱弃。</w:t>
      </w:r>
    </w:p>
    <w:p>
      <w:pPr>
        <w:widowControl/>
        <w:ind w:firstLine="480"/>
      </w:pPr>
      <w:r>
        <w:rPr>
          <w:rFonts w:hint="eastAsia"/>
          <w:lang w:val="en-US" w:eastAsia="zh-CN"/>
        </w:rPr>
        <w:t xml:space="preserve">本项目在后方陆域设置一处危废暂存间，面积 </w:t>
      </w:r>
      <w:r>
        <w:rPr>
          <w:rFonts w:hint="default"/>
          <w:lang w:val="en-US" w:eastAsia="zh-CN"/>
        </w:rPr>
        <w:t>20m2 ,</w:t>
      </w:r>
      <w:r>
        <w:rPr>
          <w:rFonts w:hint="eastAsia"/>
          <w:lang w:val="en-US" w:eastAsia="zh-CN"/>
        </w:rPr>
        <w:t>危险固废暂存间按《危险废物贮存污染控制标准》（</w:t>
      </w:r>
      <w:r>
        <w:rPr>
          <w:rFonts w:hint="default"/>
          <w:lang w:val="en-US" w:eastAsia="zh-CN"/>
        </w:rPr>
        <w:t xml:space="preserve">GB18597-2001 </w:t>
      </w:r>
      <w:r>
        <w:rPr>
          <w:rFonts w:hint="eastAsia"/>
          <w:lang w:val="en-US" w:eastAsia="zh-CN"/>
        </w:rPr>
        <w:t xml:space="preserve">及 </w:t>
      </w:r>
      <w:r>
        <w:rPr>
          <w:rFonts w:hint="default"/>
          <w:lang w:val="en-US" w:eastAsia="zh-CN"/>
        </w:rPr>
        <w:t xml:space="preserve">2013 </w:t>
      </w:r>
      <w:r>
        <w:rPr>
          <w:rFonts w:hint="eastAsia"/>
          <w:lang w:val="en-US" w:eastAsia="zh-CN"/>
        </w:rPr>
        <w:t>年修改单）要求进行规范设置，项目产生的废机油和废含油抹布暂存于危废暂存间，按照《中华人民共和国固体废物污染环境防治法》结合本项目实际情况，每年转移一次，转移过程严格执行危险废物转移联单制度，以保证项目所有固体废物均得到有效处置，不会产生二次污染，实现固体废弃物的资源化、减量化和无害化。</w:t>
      </w:r>
    </w:p>
    <w:p>
      <w:pPr>
        <w:pStyle w:val="458"/>
        <w:ind w:firstLine="480"/>
        <w:rPr>
          <w:rFonts w:cs="Times New Roman"/>
          <w:color w:val="auto"/>
        </w:rPr>
      </w:pPr>
      <w:r>
        <w:rPr>
          <w:rFonts w:cs="Times New Roman"/>
          <w:color w:val="auto"/>
        </w:rPr>
        <w:t>危险废物在收集、贮存、运输和处置过程中要符合以下要求：</w:t>
      </w:r>
    </w:p>
    <w:p>
      <w:pPr>
        <w:pStyle w:val="458"/>
        <w:numPr>
          <w:ilvl w:val="0"/>
          <w:numId w:val="69"/>
        </w:numPr>
        <w:ind w:firstLineChars="0"/>
        <w:rPr>
          <w:rFonts w:cs="Times New Roman"/>
          <w:b/>
          <w:bCs/>
          <w:color w:val="auto"/>
        </w:rPr>
      </w:pPr>
      <w:r>
        <w:rPr>
          <w:rFonts w:cs="Times New Roman"/>
          <w:b/>
          <w:bCs/>
          <w:color w:val="auto"/>
        </w:rPr>
        <w:t>危险废物的收集防治要求</w:t>
      </w:r>
    </w:p>
    <w:p>
      <w:pPr>
        <w:pStyle w:val="458"/>
        <w:ind w:firstLine="480"/>
        <w:rPr>
          <w:rFonts w:cs="Times New Roman"/>
          <w:color w:val="auto"/>
        </w:rPr>
      </w:pPr>
      <w:r>
        <w:rPr>
          <w:rFonts w:hint="eastAsia" w:ascii="宋体" w:hAnsi="宋体"/>
          <w:color w:val="auto"/>
        </w:rPr>
        <w:t>（1）</w:t>
      </w:r>
      <w:r>
        <w:rPr>
          <w:rFonts w:cs="Times New Roman"/>
          <w:color w:val="auto"/>
        </w:rPr>
        <w:t>危险废物要根据其成分，用符合国家标准的专门容器分类收集。</w:t>
      </w:r>
    </w:p>
    <w:p>
      <w:pPr>
        <w:pStyle w:val="458"/>
        <w:ind w:firstLine="480"/>
        <w:rPr>
          <w:rFonts w:cs="Times New Roman"/>
          <w:color w:val="auto"/>
        </w:rPr>
      </w:pPr>
      <w:r>
        <w:rPr>
          <w:rFonts w:hint="eastAsia" w:ascii="宋体" w:hAnsi="宋体"/>
          <w:color w:val="auto"/>
        </w:rPr>
        <w:t>（2）</w:t>
      </w:r>
      <w:r>
        <w:rPr>
          <w:rFonts w:cs="Times New Roman"/>
          <w:color w:val="auto"/>
        </w:rPr>
        <w:t>装有危险废物的容器和场所必须设有标签，在标签上详细标明危险废物的名称、 重量、成分、特性以及发生泄漏、扩散污染事故时的应急措施和补救方法。</w:t>
      </w:r>
    </w:p>
    <w:p>
      <w:pPr>
        <w:pStyle w:val="458"/>
        <w:ind w:firstLine="480"/>
        <w:rPr>
          <w:rFonts w:cs="Times New Roman"/>
          <w:color w:val="auto"/>
        </w:rPr>
      </w:pPr>
      <w:r>
        <w:rPr>
          <w:rFonts w:hint="eastAsia" w:ascii="宋体" w:hAnsi="宋体"/>
          <w:color w:val="auto"/>
        </w:rPr>
        <w:t>（3）</w:t>
      </w:r>
      <w:r>
        <w:rPr>
          <w:rFonts w:cs="Times New Roman"/>
          <w:color w:val="auto"/>
        </w:rPr>
        <w:t xml:space="preserve"> 危险废物收集时应根据危险废物的种类、数量、危险特性、物理形态、运输要求 等因素确定包装形式，具体包装应符合如下要求：</w:t>
      </w:r>
    </w:p>
    <w:p>
      <w:pPr>
        <w:pStyle w:val="458"/>
        <w:ind w:firstLine="480"/>
        <w:rPr>
          <w:rFonts w:cs="Times New Roman"/>
          <w:color w:val="auto"/>
        </w:rPr>
      </w:pPr>
      <w:r>
        <w:rPr>
          <w:rFonts w:hint="eastAsia" w:ascii="宋体" w:hAnsi="宋体"/>
          <w:color w:val="auto"/>
        </w:rPr>
        <w:t>①</w:t>
      </w:r>
      <w:r>
        <w:rPr>
          <w:rFonts w:cs="Times New Roman"/>
          <w:color w:val="auto"/>
        </w:rPr>
        <w:t xml:space="preserve"> 包装材质要与危险废物相容，可根据废物特性选择钢、铝、塑料等材质。</w:t>
      </w:r>
    </w:p>
    <w:p>
      <w:pPr>
        <w:pStyle w:val="458"/>
        <w:ind w:firstLine="480"/>
        <w:rPr>
          <w:rFonts w:cs="Times New Roman"/>
          <w:color w:val="auto"/>
        </w:rPr>
      </w:pPr>
      <w:r>
        <w:rPr>
          <w:rFonts w:hint="eastAsia" w:ascii="宋体" w:hAnsi="宋体"/>
          <w:color w:val="auto"/>
        </w:rPr>
        <w:t>②</w:t>
      </w:r>
      <w:r>
        <w:rPr>
          <w:rFonts w:cs="Times New Roman"/>
          <w:color w:val="auto"/>
        </w:rPr>
        <w:t xml:space="preserve"> 性质类似的废物可收集到同一容器中，性质不相容的危险废物不应混合包装。</w:t>
      </w:r>
    </w:p>
    <w:p>
      <w:pPr>
        <w:pStyle w:val="458"/>
        <w:ind w:firstLine="480"/>
        <w:rPr>
          <w:rFonts w:cs="Times New Roman"/>
          <w:color w:val="auto"/>
        </w:rPr>
      </w:pPr>
      <w:r>
        <w:rPr>
          <w:rFonts w:hint="eastAsia" w:ascii="宋体" w:hAnsi="宋体"/>
          <w:color w:val="auto"/>
        </w:rPr>
        <w:t>③</w:t>
      </w:r>
      <w:r>
        <w:rPr>
          <w:rFonts w:cs="Times New Roman"/>
          <w:color w:val="auto"/>
        </w:rPr>
        <w:t xml:space="preserve"> 危险废物包装应能有效隔断危险废物迁移扩散途径，并达到防渗、防漏要求。</w:t>
      </w:r>
    </w:p>
    <w:p>
      <w:pPr>
        <w:pStyle w:val="458"/>
        <w:ind w:firstLine="480"/>
        <w:rPr>
          <w:rFonts w:cs="Times New Roman"/>
          <w:color w:val="auto"/>
        </w:rPr>
      </w:pPr>
      <w:r>
        <w:rPr>
          <w:rFonts w:hint="eastAsia" w:ascii="宋体" w:hAnsi="宋体"/>
          <w:color w:val="auto"/>
        </w:rPr>
        <w:t>④</w:t>
      </w:r>
      <w:r>
        <w:rPr>
          <w:rFonts w:cs="Times New Roman"/>
          <w:color w:val="auto"/>
        </w:rPr>
        <w:t xml:space="preserve"> 包装好的危险废物应设置相应的标签，标签信息应填写完整详实。</w:t>
      </w:r>
    </w:p>
    <w:p>
      <w:pPr>
        <w:pStyle w:val="458"/>
        <w:ind w:firstLine="480"/>
        <w:rPr>
          <w:rFonts w:cs="Times New Roman"/>
          <w:color w:val="auto"/>
        </w:rPr>
      </w:pPr>
      <w:r>
        <w:rPr>
          <w:rFonts w:hint="eastAsia" w:ascii="宋体" w:hAnsi="宋体"/>
          <w:color w:val="auto"/>
        </w:rPr>
        <w:t>⑤</w:t>
      </w:r>
      <w:r>
        <w:rPr>
          <w:rFonts w:cs="Times New Roman"/>
          <w:color w:val="auto"/>
        </w:rPr>
        <w:t xml:space="preserve"> 盛装过危险废物的包装袋或包装容器破损后应按危险废物进行管理和处置。</w:t>
      </w:r>
    </w:p>
    <w:p>
      <w:pPr>
        <w:pStyle w:val="458"/>
        <w:ind w:firstLine="480"/>
        <w:rPr>
          <w:rFonts w:cs="Times New Roman"/>
          <w:color w:val="auto"/>
        </w:rPr>
      </w:pPr>
      <w:r>
        <w:rPr>
          <w:rFonts w:hint="eastAsia" w:ascii="宋体" w:hAnsi="宋体"/>
          <w:color w:val="auto"/>
        </w:rPr>
        <w:t>⑥</w:t>
      </w:r>
      <w:r>
        <w:rPr>
          <w:rFonts w:cs="Times New Roman"/>
          <w:color w:val="auto"/>
        </w:rPr>
        <w:t xml:space="preserve"> 危险废物还应根据《危险货物运输包装通用技术条件》（GB12463-2009）的有关要求进行运输包装。</w:t>
      </w:r>
    </w:p>
    <w:p>
      <w:pPr>
        <w:pStyle w:val="458"/>
        <w:ind w:firstLine="480"/>
        <w:rPr>
          <w:rFonts w:cs="Times New Roman"/>
          <w:color w:val="auto"/>
        </w:rPr>
      </w:pPr>
      <w:r>
        <w:rPr>
          <w:rFonts w:hint="eastAsia" w:ascii="宋体" w:hAnsi="宋体"/>
          <w:color w:val="auto"/>
        </w:rPr>
        <w:t>（4）</w:t>
      </w:r>
      <w:r>
        <w:rPr>
          <w:rFonts w:cs="Times New Roman"/>
          <w:color w:val="auto"/>
        </w:rPr>
        <w:t xml:space="preserve"> 危险废物的收集作业应满足如下要求：</w:t>
      </w:r>
    </w:p>
    <w:p>
      <w:pPr>
        <w:pStyle w:val="458"/>
        <w:ind w:firstLine="480"/>
        <w:rPr>
          <w:rFonts w:cs="Times New Roman"/>
          <w:color w:val="auto"/>
        </w:rPr>
      </w:pPr>
      <w:r>
        <w:rPr>
          <w:rFonts w:hint="eastAsia" w:ascii="宋体" w:hAnsi="宋体"/>
          <w:color w:val="auto"/>
        </w:rPr>
        <w:t>①</w:t>
      </w:r>
      <w:r>
        <w:rPr>
          <w:rFonts w:cs="Times New Roman"/>
          <w:color w:val="auto"/>
        </w:rPr>
        <w:t xml:space="preserve"> 应根据收集设备、转运车辆以及现场人员等实际情况确定相应作业区域，同时 要设置作业界限标志和警示牌。</w:t>
      </w:r>
    </w:p>
    <w:p>
      <w:pPr>
        <w:pStyle w:val="458"/>
        <w:ind w:firstLine="480"/>
        <w:rPr>
          <w:rFonts w:cs="Times New Roman"/>
          <w:color w:val="auto"/>
        </w:rPr>
      </w:pPr>
      <w:r>
        <w:rPr>
          <w:rFonts w:hint="eastAsia" w:ascii="宋体" w:hAnsi="宋体"/>
          <w:color w:val="auto"/>
        </w:rPr>
        <w:t>②</w:t>
      </w:r>
      <w:r>
        <w:rPr>
          <w:rFonts w:cs="Times New Roman"/>
          <w:color w:val="auto"/>
        </w:rPr>
        <w:t xml:space="preserve"> 作业区域内应设置危险废物收集专用通道和人员避险通道。</w:t>
      </w:r>
    </w:p>
    <w:p>
      <w:pPr>
        <w:pStyle w:val="458"/>
        <w:ind w:firstLine="480"/>
        <w:rPr>
          <w:rFonts w:cs="Times New Roman"/>
          <w:color w:val="auto"/>
        </w:rPr>
      </w:pPr>
      <w:r>
        <w:rPr>
          <w:rFonts w:hint="eastAsia" w:ascii="宋体" w:hAnsi="宋体"/>
          <w:color w:val="auto"/>
        </w:rPr>
        <w:t>③</w:t>
      </w:r>
      <w:r>
        <w:rPr>
          <w:rFonts w:cs="Times New Roman"/>
          <w:color w:val="auto"/>
        </w:rPr>
        <w:t xml:space="preserve"> 收集时应配备必要的收集工具和包装物，以及必要的应急监测设备及应急装备。</w:t>
      </w:r>
    </w:p>
    <w:p>
      <w:pPr>
        <w:pStyle w:val="458"/>
        <w:ind w:firstLine="480"/>
        <w:rPr>
          <w:rFonts w:cs="Times New Roman"/>
          <w:color w:val="auto"/>
        </w:rPr>
      </w:pPr>
      <w:r>
        <w:rPr>
          <w:rFonts w:hint="eastAsia" w:ascii="宋体" w:hAnsi="宋体"/>
          <w:color w:val="auto"/>
        </w:rPr>
        <w:t>④</w:t>
      </w:r>
      <w:r>
        <w:rPr>
          <w:rFonts w:cs="Times New Roman"/>
          <w:color w:val="auto"/>
        </w:rPr>
        <w:t xml:space="preserve"> 危险废物收集应参照《危险废物收集贮存运输技术规范》（HJ2025-2012）附录A填写记录表，并将记录表作为危险废物管理的重要档案妥善保存。</w:t>
      </w:r>
    </w:p>
    <w:p>
      <w:pPr>
        <w:pStyle w:val="458"/>
        <w:ind w:firstLine="480"/>
        <w:rPr>
          <w:rFonts w:cs="Times New Roman"/>
          <w:color w:val="auto"/>
        </w:rPr>
      </w:pPr>
      <w:r>
        <w:rPr>
          <w:rFonts w:hint="eastAsia" w:ascii="宋体" w:hAnsi="宋体"/>
          <w:color w:val="auto"/>
        </w:rPr>
        <w:t>⑤</w:t>
      </w:r>
      <w:r>
        <w:rPr>
          <w:rFonts w:cs="Times New Roman"/>
          <w:color w:val="auto"/>
        </w:rPr>
        <w:t xml:space="preserve"> 收集结束后应清理和恢复收集作业区域，确保作业区域环境整洁安全。</w:t>
      </w:r>
    </w:p>
    <w:p>
      <w:pPr>
        <w:pStyle w:val="458"/>
        <w:ind w:firstLine="480"/>
        <w:rPr>
          <w:rFonts w:cs="Times New Roman"/>
          <w:color w:val="auto"/>
        </w:rPr>
      </w:pPr>
      <w:r>
        <w:rPr>
          <w:rFonts w:hint="eastAsia" w:ascii="宋体" w:hAnsi="宋体"/>
          <w:color w:val="auto"/>
        </w:rPr>
        <w:t>⑥</w:t>
      </w:r>
      <w:r>
        <w:rPr>
          <w:rFonts w:cs="Times New Roman"/>
          <w:color w:val="auto"/>
        </w:rPr>
        <w:t xml:space="preserve"> 收集过危险废物的容器、设备、设施、场所及其它物品转作它用时，应消除污 染，确保其使用安全。</w:t>
      </w:r>
    </w:p>
    <w:p>
      <w:pPr>
        <w:pStyle w:val="458"/>
        <w:ind w:firstLine="480"/>
        <w:rPr>
          <w:rFonts w:cs="Times New Roman"/>
          <w:color w:val="auto"/>
        </w:rPr>
      </w:pPr>
      <w:r>
        <w:rPr>
          <w:rFonts w:hint="eastAsia" w:ascii="宋体" w:hAnsi="宋体"/>
          <w:color w:val="auto"/>
        </w:rPr>
        <w:t>（5）</w:t>
      </w:r>
      <w:r>
        <w:rPr>
          <w:rFonts w:cs="Times New Roman"/>
          <w:color w:val="auto"/>
        </w:rPr>
        <w:t>危险废物内部转运作业应满足如下要求：</w:t>
      </w:r>
    </w:p>
    <w:p>
      <w:pPr>
        <w:pStyle w:val="458"/>
        <w:ind w:firstLine="480"/>
        <w:rPr>
          <w:rFonts w:cs="Times New Roman"/>
          <w:color w:val="auto"/>
        </w:rPr>
      </w:pPr>
      <w:r>
        <w:rPr>
          <w:rFonts w:hint="eastAsia" w:ascii="宋体" w:hAnsi="宋体"/>
          <w:color w:val="auto"/>
        </w:rPr>
        <w:t>①</w:t>
      </w:r>
      <w:r>
        <w:rPr>
          <w:rFonts w:cs="Times New Roman"/>
          <w:color w:val="auto"/>
        </w:rPr>
        <w:t xml:space="preserve"> 危险废物内部转运作业应采用专用的工具，危险废物内部转运应参照《危险废 物收集贮存运输技术规范》（HJ2025-2012）附录B填写《危险废物厂内转运记录表》。</w:t>
      </w:r>
    </w:p>
    <w:p>
      <w:pPr>
        <w:pStyle w:val="458"/>
        <w:ind w:firstLine="480"/>
        <w:rPr>
          <w:rFonts w:cs="Times New Roman"/>
          <w:color w:val="auto"/>
        </w:rPr>
      </w:pPr>
      <w:r>
        <w:rPr>
          <w:rFonts w:hint="eastAsia" w:ascii="宋体" w:hAnsi="宋体"/>
          <w:color w:val="auto"/>
        </w:rPr>
        <w:t>②</w:t>
      </w:r>
      <w:r>
        <w:rPr>
          <w:rFonts w:cs="Times New Roman"/>
          <w:color w:val="auto"/>
        </w:rPr>
        <w:t xml:space="preserve"> 危险废物内部转运结束后，应对转运路线进行检查和清理，确保无危险废物遗 失在转运路线上，并对转运工具进行清洗。</w:t>
      </w:r>
    </w:p>
    <w:p>
      <w:pPr>
        <w:pStyle w:val="458"/>
        <w:numPr>
          <w:ilvl w:val="0"/>
          <w:numId w:val="69"/>
        </w:numPr>
        <w:ind w:firstLineChars="0"/>
        <w:rPr>
          <w:rFonts w:cs="Times New Roman"/>
          <w:b/>
          <w:bCs/>
          <w:color w:val="auto"/>
        </w:rPr>
      </w:pPr>
      <w:r>
        <w:rPr>
          <w:rFonts w:cs="Times New Roman"/>
          <w:b/>
          <w:bCs/>
          <w:color w:val="auto"/>
        </w:rPr>
        <w:t>危险废物的贮存防治要求</w:t>
      </w:r>
    </w:p>
    <w:p>
      <w:pPr>
        <w:pStyle w:val="458"/>
        <w:ind w:firstLine="480"/>
        <w:rPr>
          <w:rFonts w:cs="Times New Roman"/>
          <w:color w:val="auto"/>
        </w:rPr>
      </w:pPr>
      <w:r>
        <w:rPr>
          <w:rFonts w:hint="eastAsia" w:ascii="宋体" w:hAnsi="宋体"/>
          <w:color w:val="auto"/>
        </w:rPr>
        <w:t>（1）</w:t>
      </w:r>
      <w:r>
        <w:rPr>
          <w:rFonts w:cs="Times New Roman"/>
          <w:color w:val="auto"/>
        </w:rPr>
        <w:t>对已产生的危险废物，若暂时不能回收利用或进行处理处置的，其产生单位须 建设专门的危险废物贮存设施进行贮存，并设立危险废物标志，或委托具有专门危险废 物贮存设施的单位进行贮存，贮存期限不得超过国家规定。</w:t>
      </w:r>
    </w:p>
    <w:p>
      <w:pPr>
        <w:pStyle w:val="458"/>
        <w:ind w:firstLine="480"/>
        <w:rPr>
          <w:rFonts w:cs="Times New Roman"/>
          <w:color w:val="auto"/>
        </w:rPr>
      </w:pPr>
      <w:r>
        <w:rPr>
          <w:rFonts w:cs="Times New Roman"/>
          <w:color w:val="auto"/>
        </w:rPr>
        <w:t>贮存危险废物的单位需拥有相应的许可证。禁止将危险废物以任何形式转移给无许 可证的单位，或转移到非危险废物贮存设施中。危险废物贮存设施应有相应的配套设施 并按有关规定进行管理。</w:t>
      </w:r>
    </w:p>
    <w:p>
      <w:pPr>
        <w:pStyle w:val="458"/>
        <w:ind w:firstLine="480"/>
        <w:rPr>
          <w:rFonts w:cs="Times New Roman"/>
          <w:color w:val="auto"/>
        </w:rPr>
      </w:pPr>
      <w:r>
        <w:rPr>
          <w:rFonts w:hint="eastAsia" w:ascii="宋体" w:hAnsi="宋体"/>
          <w:color w:val="auto"/>
        </w:rPr>
        <w:t>（2）</w:t>
      </w:r>
      <w:r>
        <w:rPr>
          <w:rFonts w:cs="Times New Roman"/>
          <w:color w:val="auto"/>
        </w:rPr>
        <w:t>危险废物的贮存设施应满足以下要求：</w:t>
      </w:r>
    </w:p>
    <w:p>
      <w:pPr>
        <w:pStyle w:val="458"/>
        <w:ind w:firstLine="480"/>
        <w:rPr>
          <w:rFonts w:cs="Times New Roman"/>
          <w:color w:val="auto"/>
        </w:rPr>
      </w:pPr>
      <w:r>
        <w:rPr>
          <w:rFonts w:hint="eastAsia" w:ascii="宋体" w:hAnsi="宋体"/>
          <w:color w:val="auto"/>
        </w:rPr>
        <w:t>①</w:t>
      </w:r>
      <w:r>
        <w:rPr>
          <w:rFonts w:cs="Times New Roman"/>
          <w:color w:val="auto"/>
        </w:rPr>
        <w:t xml:space="preserve"> 应建有堵截泄漏的裙脚，地面与裙脚要用坚固防渗的材料建造。应有隔离设施、 报警装置和防风、防晒、防雨设施；</w:t>
      </w:r>
    </w:p>
    <w:p>
      <w:pPr>
        <w:pStyle w:val="458"/>
        <w:ind w:firstLine="480"/>
        <w:rPr>
          <w:rFonts w:cs="Times New Roman"/>
          <w:color w:val="auto"/>
        </w:rPr>
      </w:pPr>
      <w:r>
        <w:rPr>
          <w:rFonts w:hint="eastAsia" w:ascii="宋体" w:hAnsi="宋体"/>
          <w:color w:val="auto"/>
        </w:rPr>
        <w:t>②</w:t>
      </w:r>
      <w:r>
        <w:rPr>
          <w:rFonts w:cs="Times New Roman"/>
          <w:color w:val="auto"/>
        </w:rPr>
        <w:t xml:space="preserve"> 基础防渗层为粘土层的，其厚度应在1m以上，渗透系数应小于1.0×10</w:t>
      </w:r>
      <w:r>
        <w:rPr>
          <w:rFonts w:cs="Times New Roman"/>
          <w:color w:val="auto"/>
          <w:vertAlign w:val="superscript"/>
        </w:rPr>
        <w:t>-7</w:t>
      </w:r>
      <w:r>
        <w:rPr>
          <w:rFonts w:cs="Times New Roman"/>
          <w:color w:val="auto"/>
        </w:rPr>
        <w:t>cm/s；基础防渗层也可用厚度在2mm以上的高密度聚乙烯或其他人工防渗材料组成，渗透系 数应小于1.0×10</w:t>
      </w:r>
      <w:r>
        <w:rPr>
          <w:rFonts w:cs="Times New Roman"/>
          <w:color w:val="auto"/>
          <w:vertAlign w:val="superscript"/>
        </w:rPr>
        <w:t>-10</w:t>
      </w:r>
      <w:r>
        <w:rPr>
          <w:rFonts w:cs="Times New Roman"/>
          <w:color w:val="auto"/>
        </w:rPr>
        <w:t xml:space="preserve"> cm/s；</w:t>
      </w:r>
    </w:p>
    <w:p>
      <w:pPr>
        <w:pStyle w:val="458"/>
        <w:ind w:firstLine="480"/>
        <w:rPr>
          <w:rFonts w:cs="Times New Roman"/>
          <w:color w:val="auto"/>
        </w:rPr>
      </w:pPr>
      <w:r>
        <w:rPr>
          <w:rFonts w:hint="eastAsia" w:ascii="宋体" w:hAnsi="宋体"/>
          <w:color w:val="auto"/>
        </w:rPr>
        <w:t>③</w:t>
      </w:r>
      <w:r>
        <w:rPr>
          <w:rFonts w:cs="Times New Roman"/>
          <w:color w:val="auto"/>
        </w:rPr>
        <w:t xml:space="preserve"> 须有泄漏液体收集装置及气体导出口和气体净化装置；</w:t>
      </w:r>
    </w:p>
    <w:p>
      <w:pPr>
        <w:pStyle w:val="458"/>
        <w:ind w:firstLine="480"/>
        <w:rPr>
          <w:rFonts w:cs="Times New Roman"/>
          <w:color w:val="auto"/>
        </w:rPr>
      </w:pPr>
      <w:r>
        <w:rPr>
          <w:rFonts w:hint="eastAsia" w:ascii="宋体" w:hAnsi="宋体"/>
          <w:color w:val="auto"/>
        </w:rPr>
        <w:t>④</w:t>
      </w:r>
      <w:r>
        <w:rPr>
          <w:rFonts w:cs="Times New Roman"/>
          <w:color w:val="auto"/>
        </w:rPr>
        <w:t xml:space="preserve"> 用于存放液体、半固体危险废物的地方，还须有耐腐蚀的硬化地面，地面无裂隙；</w:t>
      </w:r>
    </w:p>
    <w:p>
      <w:pPr>
        <w:pStyle w:val="458"/>
        <w:ind w:firstLine="480"/>
        <w:rPr>
          <w:rFonts w:cs="Times New Roman"/>
          <w:color w:val="auto"/>
        </w:rPr>
      </w:pPr>
      <w:r>
        <w:rPr>
          <w:rFonts w:hint="eastAsia" w:ascii="宋体" w:hAnsi="宋体"/>
          <w:color w:val="auto"/>
        </w:rPr>
        <w:t>⑤</w:t>
      </w:r>
      <w:r>
        <w:rPr>
          <w:rFonts w:cs="Times New Roman"/>
          <w:color w:val="auto"/>
        </w:rPr>
        <w:t xml:space="preserve"> 贮存危险废物时应按危险废物的种类和特性进行分区贮存，每个贮存区域之间宜设置挡墙间隔，并应设置防雨、防火、防雷、防扬尘装置；</w:t>
      </w:r>
    </w:p>
    <w:p>
      <w:pPr>
        <w:pStyle w:val="458"/>
        <w:ind w:firstLine="480"/>
        <w:rPr>
          <w:rFonts w:cs="Times New Roman"/>
          <w:color w:val="auto"/>
        </w:rPr>
      </w:pPr>
      <w:r>
        <w:rPr>
          <w:rFonts w:hint="eastAsia" w:ascii="宋体" w:hAnsi="宋体"/>
          <w:color w:val="auto"/>
        </w:rPr>
        <w:t>⑥</w:t>
      </w:r>
      <w:r>
        <w:rPr>
          <w:rFonts w:cs="Times New Roman"/>
          <w:color w:val="auto"/>
        </w:rPr>
        <w:t xml:space="preserve"> 衬层上需建有渗滤液收集清除系统、径流疏导系统、雨水收集池；</w:t>
      </w:r>
    </w:p>
    <w:p>
      <w:pPr>
        <w:pStyle w:val="458"/>
        <w:ind w:firstLine="480"/>
        <w:rPr>
          <w:rFonts w:cs="Times New Roman"/>
          <w:color w:val="auto"/>
        </w:rPr>
      </w:pPr>
      <w:r>
        <w:rPr>
          <w:rFonts w:hint="eastAsia" w:ascii="宋体" w:hAnsi="宋体"/>
          <w:color w:val="auto"/>
        </w:rPr>
        <w:t>⑦</w:t>
      </w:r>
      <w:r>
        <w:rPr>
          <w:rFonts w:cs="Times New Roman"/>
          <w:color w:val="auto"/>
        </w:rPr>
        <w:t xml:space="preserve"> 危险废物贮存设施应配备通讯设备、照明设施和消防设施；</w:t>
      </w:r>
    </w:p>
    <w:p>
      <w:pPr>
        <w:pStyle w:val="458"/>
        <w:ind w:firstLine="480"/>
        <w:rPr>
          <w:rFonts w:cs="Times New Roman"/>
          <w:color w:val="auto"/>
        </w:rPr>
      </w:pPr>
      <w:r>
        <w:rPr>
          <w:rFonts w:hint="eastAsia" w:ascii="宋体" w:hAnsi="宋体"/>
          <w:color w:val="auto"/>
        </w:rPr>
        <w:t>⑧</w:t>
      </w:r>
      <w:r>
        <w:rPr>
          <w:rFonts w:cs="Times New Roman"/>
          <w:color w:val="auto"/>
        </w:rPr>
        <w:t xml:space="preserve"> 废弃危险化学品贮存应满足《危险化学品安全管理条例》、《废弃危险化学品污染环境防治办法》的要求。</w:t>
      </w:r>
    </w:p>
    <w:p>
      <w:pPr>
        <w:pStyle w:val="458"/>
        <w:ind w:firstLine="480"/>
        <w:rPr>
          <w:rFonts w:cs="Times New Roman"/>
          <w:color w:val="auto"/>
        </w:rPr>
      </w:pPr>
      <w:r>
        <w:rPr>
          <w:rFonts w:hint="eastAsia" w:ascii="宋体" w:hAnsi="宋体"/>
          <w:color w:val="auto"/>
        </w:rPr>
        <w:t>⑨</w:t>
      </w:r>
      <w:r>
        <w:rPr>
          <w:rFonts w:cs="Times New Roman"/>
          <w:color w:val="auto"/>
        </w:rPr>
        <w:t xml:space="preserve"> 危险废物贮存设施应根据贮存的废物种类和特性按照GB18597附录A设置标志。</w:t>
      </w:r>
    </w:p>
    <w:p>
      <w:pPr>
        <w:pStyle w:val="458"/>
        <w:ind w:firstLine="480"/>
        <w:rPr>
          <w:rFonts w:cs="Times New Roman"/>
          <w:color w:val="auto"/>
        </w:rPr>
      </w:pPr>
      <w:r>
        <w:rPr>
          <w:rFonts w:hint="eastAsia" w:ascii="宋体" w:hAnsi="宋体"/>
          <w:color w:val="auto"/>
        </w:rPr>
        <w:t>（3）</w:t>
      </w:r>
      <w:r>
        <w:rPr>
          <w:rFonts w:cs="Times New Roman"/>
          <w:color w:val="auto"/>
        </w:rPr>
        <w:t>危险废物的贮存设施的选址与设计、运行与管理、安全防护、环境监测及应急措施、以及关闭等须遵循《危险废物贮存污染控制标准》的规定。</w:t>
      </w:r>
    </w:p>
    <w:p>
      <w:pPr>
        <w:pStyle w:val="458"/>
        <w:ind w:firstLine="480"/>
        <w:rPr>
          <w:rFonts w:cs="Times New Roman"/>
          <w:color w:val="auto"/>
        </w:rPr>
      </w:pPr>
      <w:r>
        <w:rPr>
          <w:rFonts w:hint="eastAsia" w:ascii="宋体" w:hAnsi="宋体"/>
          <w:color w:val="auto"/>
        </w:rPr>
        <w:t>（4）</w:t>
      </w:r>
      <w:r>
        <w:rPr>
          <w:rFonts w:cs="Times New Roman"/>
          <w:color w:val="auto"/>
        </w:rPr>
        <w:t xml:space="preserve"> 贮存易燃易爆危险废物应配置有机气体报警、火灾报警装置和导出静电的接地 装置。</w:t>
      </w:r>
    </w:p>
    <w:p>
      <w:pPr>
        <w:pStyle w:val="458"/>
        <w:ind w:firstLine="480"/>
        <w:rPr>
          <w:rFonts w:cs="Times New Roman"/>
          <w:color w:val="auto"/>
        </w:rPr>
      </w:pPr>
      <w:r>
        <w:rPr>
          <w:rFonts w:hint="eastAsia" w:ascii="宋体" w:hAnsi="宋体"/>
          <w:color w:val="auto"/>
        </w:rPr>
        <w:t>（5）</w:t>
      </w:r>
      <w:r>
        <w:rPr>
          <w:rFonts w:cs="Times New Roman"/>
          <w:color w:val="auto"/>
        </w:rPr>
        <w:t xml:space="preserve"> 危险废物贮存期限应符合《中华人民共和国固体废物污染环境防治法》中的规 定，不得超过一年。</w:t>
      </w:r>
    </w:p>
    <w:p>
      <w:pPr>
        <w:pStyle w:val="458"/>
        <w:ind w:firstLine="480"/>
        <w:rPr>
          <w:rFonts w:cs="Times New Roman"/>
          <w:color w:val="auto"/>
        </w:rPr>
      </w:pPr>
      <w:r>
        <w:rPr>
          <w:rFonts w:hint="eastAsia" w:ascii="宋体" w:hAnsi="宋体"/>
          <w:color w:val="auto"/>
        </w:rPr>
        <w:t>（6）</w:t>
      </w:r>
      <w:r>
        <w:rPr>
          <w:rFonts w:cs="Times New Roman"/>
          <w:color w:val="auto"/>
        </w:rPr>
        <w:t>危险废物贮存单位应建立危险废物贮存的台账制度，危险废物出入库交接记录 内容应参照《危险废物收集贮存运输技术规范》（HJ2025-2012）附录C执行。</w:t>
      </w:r>
    </w:p>
    <w:p>
      <w:pPr>
        <w:pStyle w:val="458"/>
        <w:ind w:firstLine="480"/>
        <w:rPr>
          <w:rFonts w:cs="Times New Roman"/>
          <w:color w:val="auto"/>
        </w:rPr>
      </w:pPr>
      <w:r>
        <w:rPr>
          <w:rFonts w:cs="Times New Roman"/>
          <w:color w:val="auto"/>
        </w:rPr>
        <w:t>只要建设单位认真按《危险废物贮存污染控制标准》（GB18579-2001）的要求，进 行危险废物贮存场所及贮存设施的建设、运行管理，本项目危险废物的贮存对环境的影 响可得到有效的控制。</w:t>
      </w:r>
    </w:p>
    <w:p>
      <w:pPr>
        <w:pStyle w:val="453"/>
        <w:ind w:firstLine="643" w:firstLineChars="0"/>
        <w:rPr>
          <w:rFonts w:ascii="Times New Roman" w:cs="Times New Roman"/>
        </w:rPr>
      </w:pPr>
      <w:bookmarkStart w:id="337" w:name="_Toc106697038"/>
      <w:bookmarkStart w:id="338" w:name="_Toc32206"/>
      <w:bookmarkStart w:id="339" w:name="_Toc9956"/>
      <w:r>
        <w:rPr>
          <w:rFonts w:ascii="Times New Roman" w:cs="Times New Roman"/>
        </w:rPr>
        <w:t>生态保护措施</w:t>
      </w:r>
      <w:bookmarkEnd w:id="337"/>
      <w:bookmarkEnd w:id="338"/>
      <w:bookmarkEnd w:id="339"/>
    </w:p>
    <w:p>
      <w:pPr>
        <w:pStyle w:val="454"/>
        <w:ind w:firstLine="602"/>
        <w:rPr>
          <w:color w:val="auto"/>
        </w:rPr>
      </w:pPr>
      <w:bookmarkStart w:id="340" w:name="_Toc26642_WPSOffice_Level3"/>
      <w:bookmarkStart w:id="341" w:name="_Toc515895916"/>
      <w:bookmarkStart w:id="342" w:name="_Toc12907_WPSOffice_Level3"/>
      <w:r>
        <w:rPr>
          <w:rFonts w:hint="eastAsia"/>
          <w:color w:val="auto"/>
          <w:lang w:val="en-US" w:eastAsia="zh-CN"/>
        </w:rPr>
        <w:t>施工期生态保护措施</w:t>
      </w:r>
    </w:p>
    <w:p>
      <w:pPr>
        <w:pStyle w:val="456"/>
        <w:ind w:firstLine="482"/>
        <w:rPr>
          <w:rFonts w:hint="default"/>
          <w:lang w:val="en-US"/>
        </w:rPr>
      </w:pPr>
      <w:r>
        <w:rPr>
          <w:rFonts w:hint="eastAsia"/>
          <w:lang w:val="en-US" w:eastAsia="zh-CN"/>
        </w:rPr>
        <w:t>水生生态保护措施</w:t>
      </w:r>
    </w:p>
    <w:p>
      <w:pPr>
        <w:ind w:firstLine="480"/>
      </w:pPr>
      <w:r>
        <w:t>（1）</w:t>
      </w:r>
      <w:r>
        <w:rPr>
          <w:rFonts w:hint="default"/>
        </w:rPr>
        <w:t>调整施工时段：进一步优化施工进度和施工工序，合理安排施工时段，繁殖季节及繁殖活动前后应减小施工活动规模。在鱼类的繁殖季节（4~6月）及中华鲟洄游高峰期（10~12月）应减少涉水施工。以尽量减少或避免工程船螺旋桨和施工活动对中华鲟的机械损伤及对鱼类产卵的影响。</w:t>
      </w:r>
    </w:p>
    <w:p>
      <w:pPr>
        <w:ind w:firstLine="480"/>
      </w:pPr>
      <w:r>
        <w:rPr>
          <w:rFonts w:hint="default"/>
        </w:rPr>
        <w:t>（2）严格控制水下施工范围：严格控制</w:t>
      </w:r>
      <w:r>
        <w:t>码头打桩区、抛石区</w:t>
      </w:r>
      <w:r>
        <w:rPr>
          <w:rFonts w:hint="default"/>
        </w:rPr>
        <w:t>，减少对水体的扰动，降低对浮游动植物、底栖生物的影响。</w:t>
      </w:r>
    </w:p>
    <w:p>
      <w:pPr>
        <w:ind w:firstLine="480"/>
      </w:pPr>
      <w:r>
        <w:rPr>
          <w:rFonts w:hint="default"/>
        </w:rPr>
        <w:t>（3）优化施工管理和施工工艺：为避免施工船舶对江段水生生物特别是中华鲟</w:t>
      </w:r>
      <w:r>
        <w:rPr>
          <w:rFonts w:hint="eastAsia" w:ascii="Times New Roman" w:hAnsi="Times New Roman" w:cs="Times New Roman"/>
          <w:lang w:eastAsia="zh-CN"/>
        </w:rPr>
        <w:t>、</w:t>
      </w:r>
      <w:r>
        <w:rPr>
          <w:rFonts w:hint="eastAsia" w:ascii="Times New Roman" w:hAnsi="Times New Roman" w:cs="Times New Roman"/>
          <w:lang w:val="en-US" w:eastAsia="zh-CN"/>
        </w:rPr>
        <w:t>长江江豚</w:t>
      </w:r>
      <w:r>
        <w:rPr>
          <w:rFonts w:hint="default"/>
        </w:rPr>
        <w:t>造成伤害，施工单位应优化施工工艺方案，控制施工作业、施工船舶污染物排放。抓紧施工进度，尽量缩短水上作业时间。加强施工区域通航管理工作，严防危险品运输船舶溢油事故。</w:t>
      </w:r>
    </w:p>
    <w:p>
      <w:pPr>
        <w:ind w:firstLine="480"/>
      </w:pPr>
      <w:r>
        <w:rPr>
          <w:rFonts w:hint="default"/>
        </w:rPr>
        <w:t>（</w:t>
      </w:r>
      <w:r>
        <w:t>4</w:t>
      </w:r>
      <w:r>
        <w:rPr>
          <w:rFonts w:hint="default"/>
        </w:rPr>
        <w:t>）施工期水生生态监测：由于施工产生的噪声、振动等因素，拟建工程在施工期不可避免的会对中华鲟等水生生物的索饵、繁殖及洄游等生命活动产生一定的影响，为了保护生态环境及维持保护区的生态功能，应加强对工程邻近水域水质浮游生物等相关监测，保证码头施工期不会对保护区带来水生态环境方面的污染。</w:t>
      </w:r>
    </w:p>
    <w:p>
      <w:pPr>
        <w:ind w:firstLine="480"/>
      </w:pPr>
      <w:r>
        <w:rPr>
          <w:rFonts w:hint="default"/>
        </w:rPr>
        <w:t>（</w:t>
      </w:r>
      <w:r>
        <w:t>5</w:t>
      </w:r>
      <w:r>
        <w:rPr>
          <w:rFonts w:hint="default"/>
        </w:rPr>
        <w:t>）制定水生生物保护规定</w:t>
      </w:r>
      <w:r>
        <w:t>程</w:t>
      </w:r>
      <w:r>
        <w:rPr>
          <w:rFonts w:hint="default"/>
        </w:rPr>
        <w:t>：施工人员在施工中能按照规定自觉保护珍稀水生动物，并遵守相关的生态保护规定。严禁施工人员在施工江段进行捕鱼或从事其它有碍生态环境及鱼类保护的活动。</w:t>
      </w:r>
    </w:p>
    <w:p>
      <w:pPr>
        <w:ind w:firstLine="480"/>
      </w:pPr>
      <w:r>
        <w:rPr>
          <w:rFonts w:hint="default"/>
        </w:rPr>
        <w:t>由于中华鲟有周期性上浮的行为，应优化调整施工方案，减少施工船只数量及施工活动规模，以降低对中华鲟等鱼类的机械损伤。</w:t>
      </w:r>
    </w:p>
    <w:p>
      <w:pPr>
        <w:ind w:firstLine="480"/>
      </w:pPr>
      <w:r>
        <w:rPr>
          <w:rFonts w:hint="default"/>
        </w:rPr>
        <w:t>在工程施工期，夜间应减少或避免高强度光源长时间照射，尤其是照射在保护区水域。</w:t>
      </w:r>
    </w:p>
    <w:p>
      <w:pPr>
        <w:ind w:firstLine="480"/>
      </w:pPr>
      <w:r>
        <w:rPr>
          <w:rFonts w:hint="default"/>
        </w:rPr>
        <w:t>建议在施工期通过敲击船舷、超声波等驱鱼措施，驱赶工程区域水生生物尤其是豚类。</w:t>
      </w:r>
    </w:p>
    <w:p>
      <w:pPr>
        <w:ind w:firstLine="480"/>
      </w:pPr>
      <w:r>
        <w:rPr>
          <w:rFonts w:hint="default"/>
        </w:rPr>
        <w:t>（</w:t>
      </w:r>
      <w:r>
        <w:t>6</w:t>
      </w:r>
      <w:r>
        <w:rPr>
          <w:rFonts w:hint="default"/>
        </w:rPr>
        <w:t>）制定严格的作业规程：加强施工人员管理，不得随意破坏洲滩和岸坡上的植被。工程所需砂石料应采用购买方式获取，严禁随意在江段和岸坡取砂石。陆域施工时严禁随意砍伐工程附近区域的树木或破坏植被。施工期的各种固体废物均进行收集处理，不得随意抛弃。</w:t>
      </w:r>
    </w:p>
    <w:p>
      <w:pPr>
        <w:ind w:firstLine="480"/>
      </w:pPr>
      <w:r>
        <w:rPr>
          <w:rFonts w:hint="default"/>
        </w:rPr>
        <w:t>（7）加强生态环境保护的宣传和管理力度：加大对《中华人民共和国渔业法》等法律法规的学习和宣传力度，加强对承包商、施工人员的宣传教育工作，严禁施工人员利用水上作业之便进行捕捞活动。</w:t>
      </w:r>
    </w:p>
    <w:p>
      <w:pPr>
        <w:ind w:firstLine="480"/>
      </w:pPr>
      <w:r>
        <w:rPr>
          <w:rFonts w:hint="default"/>
        </w:rPr>
        <w:t>（8）植被恢复：码头岸坡及时进行护岸工程，陆域施工区在施工结束后播撒草种以恢复植被。</w:t>
      </w:r>
    </w:p>
    <w:p>
      <w:pPr>
        <w:ind w:firstLine="480"/>
      </w:pPr>
      <w:r>
        <w:rPr>
          <w:rFonts w:hint="default"/>
        </w:rPr>
        <w:t>（9）</w:t>
      </w:r>
      <w:r>
        <w:t>施工期巡视及应急生态保护措施</w:t>
      </w:r>
      <w:r>
        <w:rPr>
          <w:rFonts w:hint="default"/>
        </w:rPr>
        <w:t>：</w:t>
      </w:r>
      <w:r>
        <w:t>施工期间应加强对工程河段周围水体的巡查，施工点派专人进行巡视与瞭望，误伤保护动物的应急措施主要是通过监测，及时发现误伤个体，并进行救护。</w:t>
      </w:r>
    </w:p>
    <w:p>
      <w:pPr>
        <w:ind w:firstLine="480"/>
      </w:pPr>
      <w:r>
        <w:t>本工程总体上属非污染生态影响建设项目，但在工程施工过程中也会有一些污染物产生，其污染排放风险主要体现在施工船舶溢油事故对工程河段水质带来的风险，从而影响该工程河段渔业水域的生态功能。</w:t>
      </w:r>
    </w:p>
    <w:p>
      <w:pPr>
        <w:ind w:firstLine="480"/>
      </w:pPr>
      <w:r>
        <w:t>针对船舶事故，制定应急预案，配备应急通讯联络器材设备和相应的应急处理设施，包括油污拦截、清理设施，消防设施等。当风险事故发生时，及时</w:t>
      </w:r>
      <w:r>
        <w:rPr>
          <w:rFonts w:hint="default"/>
        </w:rPr>
        <w:t>作出</w:t>
      </w:r>
      <w:r>
        <w:t>应急响应，启动应急预案。应急预案包括江面油污拦截与清理预案、河岸带油污预防与清理预案等，对其他事故如搁浅、起火等，应具备及时处理能力和防止油污溢漏措施。</w:t>
      </w:r>
    </w:p>
    <w:p>
      <w:pPr>
        <w:ind w:firstLine="480"/>
      </w:pPr>
      <w:r>
        <w:t>针对可能出现的伤害保护水生动物的应急事件，应及时启动应急预案，保护水生态环境，救护受影响的水生动物，特别是保护对象和保护水生动物，并对事故影响进行评价和采取适当的补偿措施。误伤保护动物的应急措施主要是通过监测，及时发现误伤个体，并进行救护。保护水生动物事故应急预案见</w:t>
      </w:r>
      <w:r>
        <w:rPr>
          <w:rFonts w:hint="default"/>
        </w:rPr>
        <w:t>图</w:t>
      </w:r>
      <w:r>
        <w:t>。</w:t>
      </w:r>
    </w:p>
    <w:p>
      <w:pPr>
        <w:ind w:firstLine="480"/>
        <w:jc w:val="center"/>
        <w:rPr>
          <w:sz w:val="28"/>
          <w:szCs w:val="28"/>
        </w:rPr>
      </w:pPr>
      <w:r>
        <w:drawing>
          <wp:inline distT="0" distB="0" distL="0" distR="0">
            <wp:extent cx="3399155" cy="2482215"/>
            <wp:effectExtent l="0" t="0" r="10795" b="13335"/>
            <wp:docPr id="38" name="图片 38" descr="C:\Users\XIANGJ~1\AppData\Local\Temp\ksohtml6680\wps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XIANGJ~1\AppData\Local\Temp\ksohtml6680\wps37.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a:xfrm>
                      <a:off x="0" y="0"/>
                      <a:ext cx="3410317" cy="2490352"/>
                    </a:xfrm>
                    <a:prstGeom prst="rect">
                      <a:avLst/>
                    </a:prstGeom>
                    <a:noFill/>
                    <a:ln>
                      <a:noFill/>
                    </a:ln>
                  </pic:spPr>
                </pic:pic>
              </a:graphicData>
            </a:graphic>
          </wp:inline>
        </w:drawing>
      </w:r>
      <w:r>
        <w:rPr>
          <w:sz w:val="28"/>
          <w:szCs w:val="28"/>
        </w:rPr>
        <w:t xml:space="preserve"> </w:t>
      </w:r>
    </w:p>
    <w:p>
      <w:pPr>
        <w:pStyle w:val="2261"/>
      </w:pPr>
      <w:r>
        <w:rPr>
          <w:rFonts w:hint="eastAsia"/>
        </w:rPr>
        <w:t xml:space="preserve">图 </w:t>
      </w:r>
      <w:r>
        <w:rPr>
          <w:rFonts w:hint="eastAsia"/>
          <w:lang w:val="en-US" w:eastAsia="zh-CN"/>
        </w:rPr>
        <w:t>7-1</w:t>
      </w:r>
      <w:r>
        <w:rPr>
          <w:b/>
        </w:rPr>
        <w:t xml:space="preserve"> </w:t>
      </w:r>
      <w:r>
        <w:rPr>
          <w:rFonts w:ascii="宋体" w:hAnsi="宋体"/>
          <w:b/>
        </w:rPr>
        <w:t>涉水工程江段水生生物事故应急预案图</w:t>
      </w:r>
    </w:p>
    <w:p>
      <w:pPr>
        <w:pStyle w:val="456"/>
        <w:ind w:firstLine="482"/>
        <w:rPr>
          <w:rFonts w:hint="default"/>
          <w:lang w:val="en-US"/>
        </w:rPr>
      </w:pPr>
      <w:r>
        <w:rPr>
          <w:rFonts w:hint="eastAsia"/>
          <w:lang w:val="en-US" w:eastAsia="zh-CN"/>
        </w:rPr>
        <w:t>陆生生态保护措施</w:t>
      </w:r>
    </w:p>
    <w:p>
      <w:pPr>
        <w:ind w:firstLine="480"/>
        <w:rPr>
          <w:rFonts w:ascii="Times New Roman" w:hAnsi="Times New Roman" w:cs="Times New Roman"/>
        </w:rPr>
      </w:pPr>
      <w:r>
        <w:rPr>
          <w:rFonts w:hint="default" w:ascii="Times New Roman" w:hAnsi="Times New Roman" w:cs="Times New Roman"/>
        </w:rPr>
        <w:t>开展施工期环境监理工作，不得在长江河道滩地上布置施工营地和施工场地，不得破坏洲滩和岸坡植被，护岸工程实行一次平整，严禁随意砍伐工程附近区域的树木或破坏植被；生态护坡选用当地常见植物。项目建成后</w:t>
      </w:r>
      <w:r>
        <w:rPr>
          <w:rFonts w:hint="eastAsia" w:ascii="Times New Roman" w:hAnsi="Times New Roman" w:cs="Times New Roman"/>
          <w:lang w:val="en-US" w:eastAsia="zh-CN"/>
        </w:rPr>
        <w:t>对后方陆域和岸线河滩进行绿化</w:t>
      </w:r>
      <w:r>
        <w:rPr>
          <w:rFonts w:hint="default" w:ascii="Times New Roman" w:hAnsi="Times New Roman" w:cs="Times New Roman"/>
        </w:rPr>
        <w:t>，绿化面积有所增加，破坏</w:t>
      </w:r>
      <w:r>
        <w:rPr>
          <w:rFonts w:ascii="Times New Roman" w:hAnsi="Times New Roman" w:cs="Times New Roman"/>
        </w:rPr>
        <w:t>植被得到补偿。</w:t>
      </w:r>
    </w:p>
    <w:p>
      <w:pPr>
        <w:pStyle w:val="456"/>
        <w:ind w:firstLine="482"/>
        <w:rPr>
          <w:rFonts w:hint="default"/>
          <w:lang w:val="en-US"/>
        </w:rPr>
      </w:pPr>
      <w:r>
        <w:rPr>
          <w:rFonts w:hint="eastAsia"/>
          <w:lang w:val="en-US" w:eastAsia="zh-CN"/>
        </w:rPr>
        <w:t>水土保持措施</w:t>
      </w:r>
    </w:p>
    <w:p>
      <w:pPr>
        <w:ind w:firstLine="480"/>
      </w:pPr>
      <w:r>
        <w:t>码头施工单位应严格遵守国家和地方有关水土保持法律、法规，并按要求编制该项目建设区和影响区水土保持实施方案。该项目应严格遵守水土保持设施与主体工程的“三同时”制度，即所涉及或承担的水土保持设施应与其主体工程同时设计、同时投资、同时施工、同时验收、同时运行，并接受有关水行政主管部门的监督检查。其主体工程竣工时，必须相应完成如绿化、固土及截洪、排水等有关水土保持工作，以控制水土流失。</w:t>
      </w:r>
    </w:p>
    <w:p>
      <w:pPr>
        <w:keepNext w:val="0"/>
        <w:keepLines w:val="0"/>
        <w:widowControl/>
        <w:suppressLineNumbers w:val="0"/>
        <w:jc w:val="left"/>
        <w:rPr>
          <w:rFonts w:hint="eastAsia" w:ascii="宋体" w:hAnsi="宋体" w:eastAsia="宋体" w:cs="宋体"/>
          <w:b w:val="0"/>
          <w:bCs w:val="0"/>
          <w:color w:val="000000"/>
          <w:kern w:val="0"/>
          <w:sz w:val="24"/>
          <w:szCs w:val="24"/>
          <w:lang w:val="en-US" w:eastAsia="zh-CN" w:bidi="ar"/>
        </w:rPr>
      </w:pPr>
      <w:r>
        <w:rPr>
          <w:rFonts w:hint="eastAsia" w:ascii="宋体" w:hAnsi="宋体" w:eastAsia="宋体" w:cs="宋体"/>
          <w:b w:val="0"/>
          <w:bCs w:val="0"/>
          <w:color w:val="000000"/>
          <w:kern w:val="0"/>
          <w:sz w:val="24"/>
          <w:szCs w:val="24"/>
          <w:lang w:val="en-US" w:eastAsia="zh-CN" w:bidi="ar"/>
        </w:rPr>
        <w:t>本项目采取的水土流失防治措施如下：</w:t>
      </w:r>
    </w:p>
    <w:p>
      <w:pPr>
        <w:keepNext w:val="0"/>
        <w:keepLines w:val="0"/>
        <w:widowControl/>
        <w:suppressLineNumbers w:val="0"/>
        <w:jc w:val="left"/>
        <w:rPr>
          <w:rFonts w:hint="eastAsia" w:ascii="宋体" w:hAnsi="宋体" w:eastAsia="宋体" w:cs="宋体"/>
        </w:rPr>
      </w:pPr>
      <w:r>
        <w:rPr>
          <w:rFonts w:hint="eastAsia" w:ascii="宋体" w:hAnsi="宋体" w:eastAsia="宋体" w:cs="宋体"/>
          <w:b w:val="0"/>
          <w:bCs w:val="0"/>
          <w:color w:val="000000"/>
          <w:kern w:val="0"/>
          <w:sz w:val="24"/>
          <w:szCs w:val="24"/>
          <w:lang w:val="en-US" w:eastAsia="zh-CN" w:bidi="ar"/>
        </w:rPr>
        <w:t xml:space="preserve">（1）码头及前方作业带区 </w:t>
      </w:r>
    </w:p>
    <w:p>
      <w:pPr>
        <w:keepNext w:val="0"/>
        <w:keepLines w:val="0"/>
        <w:widowControl/>
        <w:suppressLineNumbers w:val="0"/>
        <w:jc w:val="left"/>
        <w:rPr>
          <w:rFonts w:hint="eastAsia" w:ascii="宋体" w:hAnsi="宋体" w:eastAsia="宋体" w:cs="宋体"/>
        </w:rPr>
      </w:pPr>
      <w:r>
        <w:rPr>
          <w:rFonts w:hint="eastAsia" w:ascii="宋体" w:hAnsi="宋体" w:eastAsia="宋体" w:cs="宋体"/>
          <w:b w:val="0"/>
          <w:bCs w:val="0"/>
          <w:color w:val="000000"/>
          <w:kern w:val="0"/>
          <w:sz w:val="24"/>
          <w:szCs w:val="24"/>
          <w:lang w:val="en-US" w:eastAsia="zh-CN" w:bidi="ar"/>
        </w:rPr>
        <w:t xml:space="preserve">1）码头及引桥作业带区 </w:t>
      </w:r>
    </w:p>
    <w:p>
      <w:pPr>
        <w:keepNext w:val="0"/>
        <w:keepLines w:val="0"/>
        <w:widowControl/>
        <w:suppressLineNumbers w:val="0"/>
        <w:jc w:val="left"/>
        <w:rPr>
          <w:rFonts w:hint="eastAsia" w:ascii="宋体" w:hAnsi="宋体" w:eastAsia="宋体" w:cs="宋体"/>
        </w:rPr>
      </w:pPr>
      <w:r>
        <w:rPr>
          <w:rFonts w:hint="eastAsia" w:ascii="宋体" w:hAnsi="宋体" w:eastAsia="宋体" w:cs="宋体"/>
          <w:b w:val="0"/>
          <w:bCs w:val="0"/>
          <w:color w:val="000000"/>
          <w:kern w:val="0"/>
          <w:sz w:val="24"/>
          <w:szCs w:val="24"/>
          <w:lang w:val="en-US" w:eastAsia="zh-CN" w:bidi="ar"/>
        </w:rPr>
        <w:t>本区包括6个泊位、码头平台、引桥及皮带机廊桥等，码头平台通过5座行车引桥和3座皮带机廊道桥与后方陆域连接。码头岸线和泊位长度均为 840m，码头岸线宽度为 22~24m，占地面积0.51hm</w:t>
      </w:r>
      <w:r>
        <w:rPr>
          <w:rFonts w:hint="eastAsia" w:ascii="宋体" w:hAnsi="宋体" w:eastAsia="宋体" w:cs="宋体"/>
          <w:b w:val="0"/>
          <w:bCs w:val="0"/>
          <w:color w:val="000000"/>
          <w:kern w:val="0"/>
          <w:sz w:val="24"/>
          <w:szCs w:val="24"/>
          <w:vertAlign w:val="superscript"/>
          <w:lang w:val="en-US" w:eastAsia="zh-CN" w:bidi="ar"/>
        </w:rPr>
        <w:t>2</w:t>
      </w:r>
      <w:r>
        <w:rPr>
          <w:rFonts w:hint="eastAsia" w:ascii="宋体" w:hAnsi="宋体" w:eastAsia="宋体" w:cs="宋体"/>
          <w:b w:val="0"/>
          <w:bCs w:val="0"/>
          <w:color w:val="000000"/>
          <w:kern w:val="0"/>
          <w:sz w:val="24"/>
          <w:szCs w:val="24"/>
          <w:lang w:val="en-US" w:eastAsia="zh-CN" w:bidi="ar"/>
        </w:rPr>
        <w:t xml:space="preserve">。 </w:t>
      </w:r>
    </w:p>
    <w:p>
      <w:pPr>
        <w:keepNext w:val="0"/>
        <w:keepLines w:val="0"/>
        <w:widowControl/>
        <w:suppressLineNumbers w:val="0"/>
        <w:jc w:val="left"/>
        <w:rPr>
          <w:rFonts w:hint="eastAsia" w:ascii="宋体" w:hAnsi="宋体" w:eastAsia="宋体" w:cs="宋体"/>
        </w:rPr>
      </w:pPr>
      <w:r>
        <w:rPr>
          <w:rFonts w:hint="eastAsia" w:ascii="宋体" w:hAnsi="宋体" w:eastAsia="宋体" w:cs="宋体"/>
          <w:b w:val="0"/>
          <w:bCs w:val="0"/>
          <w:color w:val="000000"/>
          <w:kern w:val="0"/>
          <w:sz w:val="24"/>
          <w:szCs w:val="24"/>
          <w:lang w:val="en-US" w:eastAsia="zh-CN" w:bidi="ar"/>
        </w:rPr>
        <w:t>泊位、码头、部分引桥涉水工程中水工结构直接采用钢平台施工，疏挖采用环保型绞吸船，不需要修筑围堰。部分引桥基础钻孔灌注桩采用陆上平台的施工方法，本方案根据项目区特点及实际情况，补充施工期的临时拦挡措施，规划在钻孔灌注桩施工期场地周边设置彩钢板拦挡，彩钢板，尺寸为 1.8*2.4m。雨季施工应对回填料堆放地采用彩条布覆盖，及时运至后方回填。</w:t>
      </w:r>
      <w:r>
        <w:rPr>
          <w:rFonts w:hint="eastAsia" w:ascii="宋体" w:hAnsi="宋体" w:eastAsia="宋体" w:cs="宋体"/>
          <w:b w:val="0"/>
          <w:bCs w:val="0"/>
          <w:color w:val="FF0000"/>
          <w:kern w:val="0"/>
          <w:sz w:val="24"/>
          <w:szCs w:val="24"/>
          <w:lang w:val="en-US" w:eastAsia="zh-CN" w:bidi="ar"/>
        </w:rPr>
        <w:t xml:space="preserve"> </w:t>
      </w:r>
    </w:p>
    <w:p>
      <w:pPr>
        <w:keepNext w:val="0"/>
        <w:keepLines w:val="0"/>
        <w:widowControl/>
        <w:suppressLineNumbers w:val="0"/>
        <w:jc w:val="left"/>
        <w:rPr>
          <w:rFonts w:hint="eastAsia" w:ascii="宋体" w:hAnsi="宋体" w:eastAsia="宋体" w:cs="宋体"/>
        </w:rPr>
      </w:pPr>
      <w:r>
        <w:rPr>
          <w:rFonts w:hint="eastAsia" w:ascii="宋体" w:hAnsi="宋体" w:eastAsia="宋体" w:cs="宋体"/>
          <w:b w:val="0"/>
          <w:bCs w:val="0"/>
          <w:color w:val="000000"/>
          <w:kern w:val="0"/>
          <w:sz w:val="24"/>
          <w:szCs w:val="24"/>
          <w:lang w:val="en-US" w:eastAsia="zh-CN" w:bidi="ar"/>
        </w:rPr>
        <w:t xml:space="preserve">2）施工临建区 </w:t>
      </w:r>
    </w:p>
    <w:p>
      <w:pPr>
        <w:keepNext w:val="0"/>
        <w:keepLines w:val="0"/>
        <w:widowControl/>
        <w:suppressLineNumbers w:val="0"/>
        <w:jc w:val="left"/>
        <w:rPr>
          <w:rFonts w:hint="eastAsia" w:ascii="宋体" w:hAnsi="宋体" w:eastAsia="宋体" w:cs="宋体"/>
          <w:lang w:eastAsia="zh-CN"/>
        </w:rPr>
      </w:pPr>
      <w:r>
        <w:rPr>
          <w:rFonts w:hint="eastAsia" w:ascii="宋体" w:hAnsi="宋体" w:eastAsia="宋体" w:cs="宋体"/>
          <w:b w:val="0"/>
          <w:bCs w:val="0"/>
          <w:color w:val="000000"/>
          <w:kern w:val="0"/>
          <w:sz w:val="24"/>
          <w:szCs w:val="24"/>
          <w:lang w:val="en-US" w:eastAsia="zh-CN" w:bidi="ar"/>
        </w:rPr>
        <w:t>施工期做好临时拦挡、排水、沉沙措施，遇雨天气覆盖扰动面防护；施工前，对临时占用土地进行铺垫防护；施工区两侧布设临时排水土沟（砂浆抹面），排水末端设砖 砌沉砂池，遇雨天气覆盖扰动面防护；土质排水沟采用梯形断面，顶宽 0.75m，</w:t>
      </w:r>
      <w:r>
        <w:rPr>
          <w:rFonts w:hint="eastAsia" w:ascii="宋体" w:hAnsi="宋体" w:eastAsia="宋体" w:cs="宋体"/>
          <w:b w:val="0"/>
          <w:bCs w:val="0"/>
          <w:color w:val="000000"/>
          <w:sz w:val="24"/>
          <w:szCs w:val="24"/>
        </w:rPr>
        <w:t>两侧布设临时排水土沟（砂浆抹面），排水末端设砖 砌沉砂池，遇雨天气覆盖扰动面防护；土质排水沟采用梯形断面</w:t>
      </w:r>
      <w:r>
        <w:rPr>
          <w:rFonts w:hint="eastAsia" w:ascii="宋体" w:hAnsi="宋体" w:eastAsia="宋体" w:cs="宋体"/>
          <w:b w:val="0"/>
          <w:bCs w:val="0"/>
          <w:color w:val="000000"/>
          <w:sz w:val="24"/>
          <w:szCs w:val="24"/>
          <w:lang w:eastAsia="zh-CN"/>
        </w:rPr>
        <w:t>。</w:t>
      </w:r>
      <w:r>
        <w:rPr>
          <w:rFonts w:hint="eastAsia" w:ascii="宋体" w:hAnsi="宋体" w:eastAsia="宋体" w:cs="宋体"/>
          <w:b w:val="0"/>
          <w:bCs w:val="0"/>
          <w:color w:val="000000"/>
          <w:sz w:val="24"/>
          <w:szCs w:val="24"/>
        </w:rPr>
        <w:t>施工结束后土地平整，按 120kg/hm2 标准撒播草籽绿化防护。</w:t>
      </w:r>
    </w:p>
    <w:p>
      <w:pPr>
        <w:keepNext w:val="0"/>
        <w:keepLines w:val="0"/>
        <w:widowControl/>
        <w:suppressLineNumbers w:val="0"/>
        <w:jc w:val="left"/>
        <w:rPr>
          <w:rFonts w:hint="eastAsia" w:ascii="宋体" w:hAnsi="宋体" w:eastAsia="宋体" w:cs="宋体"/>
        </w:rPr>
      </w:pPr>
      <w:r>
        <w:rPr>
          <w:rFonts w:hint="eastAsia" w:ascii="宋体" w:hAnsi="宋体" w:eastAsia="宋体" w:cs="宋体"/>
          <w:b w:val="0"/>
          <w:bCs w:val="0"/>
          <w:color w:val="000000"/>
          <w:kern w:val="0"/>
          <w:sz w:val="24"/>
          <w:szCs w:val="24"/>
          <w:lang w:val="en-US" w:eastAsia="zh-CN" w:bidi="ar"/>
        </w:rPr>
        <w:t xml:space="preserve">（2）陆域平台区 </w:t>
      </w:r>
    </w:p>
    <w:p>
      <w:pPr>
        <w:keepNext w:val="0"/>
        <w:keepLines w:val="0"/>
        <w:widowControl/>
        <w:suppressLineNumbers w:val="0"/>
        <w:jc w:val="left"/>
        <w:rPr>
          <w:rFonts w:hint="eastAsia" w:ascii="宋体" w:hAnsi="宋体" w:eastAsia="宋体" w:cs="宋体"/>
        </w:rPr>
      </w:pPr>
      <w:r>
        <w:rPr>
          <w:rFonts w:hint="eastAsia" w:ascii="宋体" w:hAnsi="宋体" w:eastAsia="宋体" w:cs="宋体"/>
          <w:b w:val="0"/>
          <w:bCs w:val="0"/>
          <w:color w:val="000000"/>
          <w:kern w:val="0"/>
          <w:sz w:val="24"/>
          <w:szCs w:val="24"/>
          <w:lang w:val="en-US" w:eastAsia="zh-CN" w:bidi="ar"/>
        </w:rPr>
        <w:t xml:space="preserve">1）堆场、辅助设施区 </w:t>
      </w:r>
    </w:p>
    <w:p>
      <w:pPr>
        <w:keepNext w:val="0"/>
        <w:keepLines w:val="0"/>
        <w:widowControl/>
        <w:suppressLineNumbers w:val="0"/>
        <w:jc w:val="left"/>
        <w:rPr>
          <w:rFonts w:hint="eastAsia" w:ascii="宋体" w:hAnsi="宋体" w:eastAsia="宋体" w:cs="宋体"/>
        </w:rPr>
      </w:pPr>
      <w:r>
        <w:rPr>
          <w:rFonts w:hint="eastAsia" w:ascii="宋体" w:hAnsi="宋体" w:eastAsia="宋体" w:cs="宋体"/>
          <w:b w:val="0"/>
          <w:bCs w:val="0"/>
          <w:color w:val="000000"/>
          <w:kern w:val="0"/>
          <w:sz w:val="24"/>
          <w:szCs w:val="24"/>
          <w:lang w:val="en-US" w:eastAsia="zh-CN" w:bidi="ar"/>
        </w:rPr>
        <w:t xml:space="preserve">陆域平台区的防护，主要是做好预防保护及土石方平衡的合理调运利用，合理安排施工进度，港池疏挖土方必须及时用于陆域回填，避免滞留在作业区路面上造成水土流失。 </w:t>
      </w:r>
    </w:p>
    <w:p>
      <w:pPr>
        <w:keepNext w:val="0"/>
        <w:keepLines w:val="0"/>
        <w:widowControl/>
        <w:suppressLineNumbers w:val="0"/>
        <w:jc w:val="left"/>
        <w:rPr>
          <w:rFonts w:hint="eastAsia" w:ascii="宋体" w:hAnsi="宋体" w:eastAsia="宋体" w:cs="宋体"/>
        </w:rPr>
      </w:pPr>
      <w:r>
        <w:rPr>
          <w:rFonts w:hint="eastAsia" w:ascii="宋体" w:hAnsi="宋体" w:eastAsia="宋体" w:cs="宋体"/>
          <w:b w:val="0"/>
          <w:bCs w:val="0"/>
          <w:color w:val="000000"/>
          <w:kern w:val="0"/>
          <w:sz w:val="24"/>
          <w:szCs w:val="24"/>
          <w:lang w:val="en-US" w:eastAsia="zh-CN" w:bidi="ar"/>
        </w:rPr>
        <w:t xml:space="preserve">施工前对可剥离区域进行表土剥离，堆放在绿化区集中防护；施工期，施工区两侧布设临时排水土沟，排水末端设砖砌沉砂池。 </w:t>
      </w:r>
    </w:p>
    <w:p>
      <w:pPr>
        <w:keepNext w:val="0"/>
        <w:keepLines w:val="0"/>
        <w:widowControl/>
        <w:suppressLineNumbers w:val="0"/>
        <w:jc w:val="left"/>
        <w:rPr>
          <w:rFonts w:hint="eastAsia" w:ascii="宋体" w:hAnsi="宋体" w:eastAsia="宋体" w:cs="宋体"/>
        </w:rPr>
      </w:pPr>
      <w:r>
        <w:rPr>
          <w:rFonts w:hint="eastAsia" w:ascii="宋体" w:hAnsi="宋体" w:eastAsia="宋体" w:cs="宋体"/>
          <w:b w:val="0"/>
          <w:bCs w:val="0"/>
          <w:color w:val="000000"/>
          <w:kern w:val="0"/>
          <w:sz w:val="24"/>
          <w:szCs w:val="24"/>
          <w:lang w:val="en-US" w:eastAsia="zh-CN" w:bidi="ar"/>
        </w:rPr>
        <w:t xml:space="preserve">2）绿化区 </w:t>
      </w:r>
    </w:p>
    <w:p>
      <w:pPr>
        <w:keepNext w:val="0"/>
        <w:keepLines w:val="0"/>
        <w:widowControl/>
        <w:suppressLineNumbers w:val="0"/>
        <w:jc w:val="left"/>
        <w:rPr>
          <w:rFonts w:hint="eastAsia" w:ascii="宋体" w:hAnsi="宋体" w:eastAsia="宋体" w:cs="宋体"/>
        </w:rPr>
      </w:pPr>
      <w:r>
        <w:rPr>
          <w:rFonts w:hint="eastAsia" w:ascii="宋体" w:hAnsi="宋体" w:eastAsia="宋体" w:cs="宋体"/>
          <w:b w:val="0"/>
          <w:bCs w:val="0"/>
          <w:color w:val="000000"/>
          <w:kern w:val="0"/>
          <w:sz w:val="24"/>
          <w:szCs w:val="24"/>
          <w:lang w:val="en-US" w:eastAsia="zh-CN" w:bidi="ar"/>
        </w:rPr>
        <w:t xml:space="preserve">为降低本项目建成后对周围环境景观的负面影响，同时美化项目区，主体工程设计在施工区的空隙地进行园林绿化。 </w:t>
      </w:r>
    </w:p>
    <w:p>
      <w:pPr>
        <w:keepNext w:val="0"/>
        <w:keepLines w:val="0"/>
        <w:widowControl/>
        <w:suppressLineNumbers w:val="0"/>
        <w:jc w:val="left"/>
        <w:rPr>
          <w:rFonts w:hint="eastAsia" w:ascii="宋体" w:hAnsi="宋体" w:eastAsia="宋体" w:cs="宋体"/>
          <w:b w:val="0"/>
          <w:bCs w:val="0"/>
          <w:color w:val="000000"/>
          <w:kern w:val="0"/>
          <w:sz w:val="24"/>
          <w:szCs w:val="24"/>
          <w:lang w:val="en-US" w:eastAsia="zh-CN" w:bidi="ar"/>
        </w:rPr>
      </w:pPr>
      <w:r>
        <w:rPr>
          <w:rFonts w:hint="eastAsia" w:ascii="宋体" w:hAnsi="宋体" w:eastAsia="宋体" w:cs="宋体"/>
          <w:b w:val="0"/>
          <w:bCs w:val="0"/>
          <w:color w:val="000000"/>
          <w:kern w:val="0"/>
          <w:sz w:val="24"/>
          <w:szCs w:val="24"/>
          <w:lang w:val="en-US" w:eastAsia="zh-CN" w:bidi="ar"/>
        </w:rPr>
        <w:t xml:space="preserve">施工前对可剥离区域进行表土剥离，在绿化区集中堆放，做好临时排水、沉砂池措施，遇雨天气覆盖扰动面防护。 </w:t>
      </w:r>
    </w:p>
    <w:p>
      <w:pPr>
        <w:keepNext w:val="0"/>
        <w:keepLines w:val="0"/>
        <w:widowControl/>
        <w:suppressLineNumbers w:val="0"/>
        <w:jc w:val="left"/>
        <w:rPr>
          <w:rFonts w:hint="eastAsia" w:ascii="宋体" w:hAnsi="宋体" w:eastAsia="宋体" w:cs="宋体"/>
        </w:rPr>
      </w:pPr>
      <w:r>
        <w:rPr>
          <w:rFonts w:hint="eastAsia" w:ascii="宋体" w:hAnsi="宋体" w:eastAsia="宋体" w:cs="宋体"/>
          <w:b w:val="0"/>
          <w:bCs w:val="0"/>
          <w:color w:val="000000"/>
          <w:kern w:val="0"/>
          <w:sz w:val="24"/>
          <w:szCs w:val="24"/>
          <w:lang w:val="en-US" w:eastAsia="zh-CN" w:bidi="ar"/>
        </w:rPr>
        <w:t xml:space="preserve">3）施工临建区 </w:t>
      </w:r>
    </w:p>
    <w:p>
      <w:pPr>
        <w:keepNext w:val="0"/>
        <w:keepLines w:val="0"/>
        <w:widowControl/>
        <w:suppressLineNumbers w:val="0"/>
        <w:jc w:val="left"/>
        <w:rPr>
          <w:rFonts w:hint="eastAsia" w:ascii="宋体" w:hAnsi="宋体" w:eastAsia="宋体" w:cs="宋体"/>
          <w:b w:val="0"/>
          <w:bCs w:val="0"/>
          <w:color w:val="000000"/>
          <w:kern w:val="0"/>
          <w:sz w:val="24"/>
          <w:szCs w:val="24"/>
          <w:lang w:val="en-US" w:eastAsia="zh-CN" w:bidi="ar"/>
        </w:rPr>
      </w:pPr>
      <w:r>
        <w:rPr>
          <w:rFonts w:hint="eastAsia" w:ascii="宋体" w:hAnsi="宋体" w:eastAsia="宋体" w:cs="宋体"/>
          <w:b w:val="0"/>
          <w:bCs w:val="0"/>
          <w:color w:val="000000"/>
          <w:kern w:val="0"/>
          <w:sz w:val="24"/>
          <w:szCs w:val="24"/>
          <w:lang w:val="en-US" w:eastAsia="zh-CN" w:bidi="ar"/>
        </w:rPr>
        <w:t>本区与堆场、辅助设施区占地重叠，具体防护措施同堆场、辅助设施区，不 单独考虑。项目采取的水土保持措施见下表。</w:t>
      </w:r>
    </w:p>
    <w:p>
      <w:pPr>
        <w:pStyle w:val="3590"/>
        <w:rPr>
          <w:bCs/>
          <w:szCs w:val="21"/>
        </w:rPr>
      </w:pPr>
      <w:r>
        <w:rPr>
          <w:bCs/>
          <w:szCs w:val="21"/>
        </w:rPr>
        <w:t xml:space="preserve"> </w:t>
      </w:r>
      <w:r>
        <w:rPr>
          <w:rFonts w:hint="eastAsia"/>
          <w:bCs/>
          <w:szCs w:val="21"/>
          <w:lang w:val="en-US" w:eastAsia="zh-CN"/>
        </w:rPr>
        <w:t>水土保持措施一览表</w:t>
      </w:r>
      <w:r>
        <w:rPr>
          <w:bCs/>
          <w:szCs w:val="21"/>
        </w:rPr>
        <w:t xml:space="preserve"> </w:t>
      </w:r>
    </w:p>
    <w:tbl>
      <w:tblPr>
        <w:tblStyle w:val="88"/>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33"/>
        <w:gridCol w:w="1374"/>
        <w:gridCol w:w="1708"/>
        <w:gridCol w:w="526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3" w:type="pct"/>
            <w:tcBorders>
              <w:bottom w:val="single" w:color="auto" w:sz="12" w:space="0"/>
            </w:tcBorders>
            <w:vAlign w:val="center"/>
          </w:tcPr>
          <w:p>
            <w:pPr>
              <w:tabs>
                <w:tab w:val="clear" w:pos="480"/>
              </w:tabs>
              <w:adjustRightInd w:val="0"/>
              <w:snapToGrid w:val="0"/>
              <w:spacing w:line="240" w:lineRule="auto"/>
              <w:ind w:firstLine="0" w:firstLineChars="0"/>
              <w:jc w:val="center"/>
              <w:rPr>
                <w:rFonts w:hint="eastAsia" w:ascii="Times New Roman" w:hAnsi="Times New Roman" w:eastAsia="宋体"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一级区域</w:t>
            </w:r>
          </w:p>
        </w:tc>
        <w:tc>
          <w:tcPr>
            <w:tcW w:w="740" w:type="pct"/>
            <w:tcBorders>
              <w:bottom w:val="single" w:color="auto" w:sz="12" w:space="0"/>
            </w:tcBorders>
            <w:vAlign w:val="center"/>
          </w:tcPr>
          <w:p>
            <w:pPr>
              <w:tabs>
                <w:tab w:val="clear" w:pos="480"/>
              </w:tabs>
              <w:snapToGrid w:val="0"/>
              <w:spacing w:line="240" w:lineRule="auto"/>
              <w:ind w:firstLine="0" w:firstLineChars="0"/>
              <w:jc w:val="center"/>
              <w:rPr>
                <w:rFonts w:hint="default" w:ascii="Times New Roman" w:hAnsi="Times New Roman" w:eastAsia="宋体"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二级区域</w:t>
            </w:r>
          </w:p>
        </w:tc>
        <w:tc>
          <w:tcPr>
            <w:tcW w:w="3756" w:type="pct"/>
            <w:gridSpan w:val="2"/>
            <w:tcBorders>
              <w:bottom w:val="single" w:color="auto" w:sz="12" w:space="0"/>
            </w:tcBorders>
            <w:vAlign w:val="center"/>
          </w:tcPr>
          <w:p>
            <w:pPr>
              <w:tabs>
                <w:tab w:val="clear" w:pos="480"/>
              </w:tabs>
              <w:snapToGrid w:val="0"/>
              <w:spacing w:line="240" w:lineRule="auto"/>
              <w:ind w:firstLine="0" w:firstLineChars="0"/>
              <w:jc w:val="center"/>
              <w:rPr>
                <w:rFonts w:hint="default" w:ascii="Times New Roman" w:hAnsi="Times New Roman" w:eastAsia="宋体"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水土保持措施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3" w:type="pct"/>
            <w:vMerge w:val="restart"/>
            <w:tcBorders>
              <w:top w:val="single" w:color="auto" w:sz="12" w:space="0"/>
              <w:tl2br w:val="nil"/>
              <w:tr2bl w:val="nil"/>
            </w:tcBorders>
            <w:vAlign w:val="center"/>
          </w:tcPr>
          <w:p>
            <w:pPr>
              <w:tabs>
                <w:tab w:val="clear" w:pos="480"/>
              </w:tabs>
              <w:snapToGrid w:val="0"/>
              <w:spacing w:line="240" w:lineRule="auto"/>
              <w:ind w:firstLine="0" w:firstLineChars="0"/>
              <w:jc w:val="center"/>
              <w:rPr>
                <w:rFonts w:hint="default" w:ascii="Times New Roman" w:hAnsi="Times New Roman" w:eastAsia="宋体"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码头及前方作业带</w:t>
            </w:r>
          </w:p>
        </w:tc>
        <w:tc>
          <w:tcPr>
            <w:tcW w:w="740" w:type="pct"/>
            <w:tcBorders>
              <w:top w:val="single" w:color="auto" w:sz="12" w:space="0"/>
              <w:tl2br w:val="nil"/>
              <w:tr2bl w:val="nil"/>
            </w:tcBorders>
            <w:vAlign w:val="center"/>
          </w:tcPr>
          <w:p>
            <w:pPr>
              <w:tabs>
                <w:tab w:val="clear" w:pos="480"/>
              </w:tabs>
              <w:snapToGrid w:val="0"/>
              <w:spacing w:line="240" w:lineRule="auto"/>
              <w:ind w:firstLine="0" w:firstLineChars="0"/>
              <w:jc w:val="center"/>
              <w:rPr>
                <w:rFonts w:hint="default" w:ascii="Times New Roman" w:hAnsi="Times New Roman" w:eastAsia="宋体"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码头及引桥作业带区</w:t>
            </w:r>
          </w:p>
        </w:tc>
        <w:tc>
          <w:tcPr>
            <w:tcW w:w="920" w:type="pct"/>
            <w:tcBorders>
              <w:top w:val="single" w:color="auto" w:sz="12" w:space="0"/>
              <w:tl2br w:val="nil"/>
              <w:tr2bl w:val="nil"/>
            </w:tcBorders>
            <w:vAlign w:val="center"/>
          </w:tcPr>
          <w:p>
            <w:pPr>
              <w:tabs>
                <w:tab w:val="clear" w:pos="480"/>
              </w:tabs>
              <w:snapToGrid w:val="0"/>
              <w:spacing w:line="240" w:lineRule="auto"/>
              <w:ind w:firstLine="0" w:firstLineChars="0"/>
              <w:jc w:val="center"/>
              <w:rPr>
                <w:rFonts w:hint="default" w:ascii="Times New Roman" w:hAnsi="Times New Roman" w:eastAsia="宋体"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临时措施</w:t>
            </w:r>
          </w:p>
        </w:tc>
        <w:tc>
          <w:tcPr>
            <w:tcW w:w="2835" w:type="pct"/>
            <w:tcBorders>
              <w:top w:val="single" w:color="auto" w:sz="12" w:space="0"/>
              <w:tl2br w:val="nil"/>
              <w:tr2bl w:val="nil"/>
            </w:tcBorders>
            <w:vAlign w:val="center"/>
          </w:tcPr>
          <w:p>
            <w:pPr>
              <w:tabs>
                <w:tab w:val="clear" w:pos="480"/>
              </w:tabs>
              <w:snapToGrid w:val="0"/>
              <w:spacing w:line="240" w:lineRule="auto"/>
              <w:ind w:firstLine="0" w:firstLineChars="0"/>
              <w:jc w:val="center"/>
              <w:rPr>
                <w:rFonts w:hint="default" w:ascii="Times New Roman" w:hAnsi="Times New Roman" w:eastAsia="宋体"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临时拦挡、彩条布覆盖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503" w:type="pct"/>
            <w:vMerge w:val="continue"/>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p>
        </w:tc>
        <w:tc>
          <w:tcPr>
            <w:tcW w:w="740" w:type="pct"/>
            <w:vMerge w:val="restart"/>
            <w:tcBorders>
              <w:tl2br w:val="nil"/>
              <w:tr2bl w:val="nil"/>
            </w:tcBorders>
            <w:vAlign w:val="center"/>
          </w:tcPr>
          <w:p>
            <w:pPr>
              <w:tabs>
                <w:tab w:val="clear" w:pos="480"/>
              </w:tabs>
              <w:snapToGrid w:val="0"/>
              <w:spacing w:line="240" w:lineRule="auto"/>
              <w:ind w:firstLine="0" w:firstLineChars="0"/>
              <w:jc w:val="center"/>
              <w:rPr>
                <w:rFonts w:hint="default" w:ascii="Times New Roman" w:hAnsi="Times New Roman" w:eastAsia="宋体"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施工临建区</w:t>
            </w:r>
          </w:p>
        </w:tc>
        <w:tc>
          <w:tcPr>
            <w:tcW w:w="920" w:type="pct"/>
            <w:tcBorders>
              <w:tl2br w:val="nil"/>
              <w:tr2bl w:val="nil"/>
            </w:tcBorders>
            <w:vAlign w:val="center"/>
          </w:tcPr>
          <w:p>
            <w:pPr>
              <w:tabs>
                <w:tab w:val="clear" w:pos="480"/>
              </w:tabs>
              <w:snapToGrid w:val="0"/>
              <w:spacing w:line="240" w:lineRule="auto"/>
              <w:ind w:firstLine="0" w:firstLineChars="0"/>
              <w:jc w:val="center"/>
              <w:rPr>
                <w:rFonts w:hint="default" w:ascii="Times New Roman" w:hAnsi="Times New Roman" w:eastAsia="宋体"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工程措施</w:t>
            </w:r>
          </w:p>
        </w:tc>
        <w:tc>
          <w:tcPr>
            <w:tcW w:w="2835" w:type="pct"/>
            <w:tcBorders>
              <w:tl2br w:val="nil"/>
              <w:tr2bl w:val="nil"/>
            </w:tcBorders>
            <w:vAlign w:val="center"/>
          </w:tcPr>
          <w:p>
            <w:pPr>
              <w:tabs>
                <w:tab w:val="clear" w:pos="480"/>
              </w:tabs>
              <w:snapToGrid w:val="0"/>
              <w:spacing w:line="240" w:lineRule="auto"/>
              <w:ind w:firstLine="0" w:firstLineChars="0"/>
              <w:jc w:val="center"/>
              <w:rPr>
                <w:rFonts w:hint="default" w:ascii="Times New Roman" w:hAnsi="Times New Roman" w:eastAsia="宋体"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土地平整、表土单独堆存回用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3" w:type="pct"/>
            <w:vMerge w:val="continue"/>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p>
        </w:tc>
        <w:tc>
          <w:tcPr>
            <w:tcW w:w="740" w:type="pct"/>
            <w:vMerge w:val="continue"/>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p>
        </w:tc>
        <w:tc>
          <w:tcPr>
            <w:tcW w:w="920" w:type="pct"/>
            <w:vMerge w:val="restart"/>
            <w:tcBorders>
              <w:tl2br w:val="nil"/>
              <w:tr2bl w:val="nil"/>
            </w:tcBorders>
            <w:vAlign w:val="center"/>
          </w:tcPr>
          <w:p>
            <w:pPr>
              <w:tabs>
                <w:tab w:val="clear" w:pos="480"/>
              </w:tabs>
              <w:snapToGrid w:val="0"/>
              <w:spacing w:line="240" w:lineRule="auto"/>
              <w:ind w:firstLine="0" w:firstLineChars="0"/>
              <w:jc w:val="center"/>
              <w:rPr>
                <w:rFonts w:hint="default" w:ascii="Times New Roman" w:hAnsi="Times New Roman" w:eastAsia="宋体"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植物措施</w:t>
            </w:r>
          </w:p>
        </w:tc>
        <w:tc>
          <w:tcPr>
            <w:tcW w:w="2835" w:type="pct"/>
            <w:tcBorders>
              <w:tl2br w:val="nil"/>
              <w:tr2bl w:val="nil"/>
            </w:tcBorders>
            <w:vAlign w:val="center"/>
          </w:tcPr>
          <w:p>
            <w:pPr>
              <w:tabs>
                <w:tab w:val="clear" w:pos="480"/>
              </w:tabs>
              <w:snapToGrid w:val="0"/>
              <w:spacing w:line="240" w:lineRule="auto"/>
              <w:ind w:firstLine="0" w:firstLineChars="0"/>
              <w:jc w:val="center"/>
              <w:rPr>
                <w:rFonts w:hint="default" w:ascii="Times New Roman" w:hAnsi="Times New Roman" w:eastAsia="宋体"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临时排水沟、沉砂池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3" w:type="pct"/>
            <w:vMerge w:val="continue"/>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p>
        </w:tc>
        <w:tc>
          <w:tcPr>
            <w:tcW w:w="740" w:type="pct"/>
            <w:vMerge w:val="continue"/>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p>
        </w:tc>
        <w:tc>
          <w:tcPr>
            <w:tcW w:w="920" w:type="pct"/>
            <w:vMerge w:val="continue"/>
            <w:tcBorders>
              <w:tl2br w:val="nil"/>
              <w:tr2bl w:val="nil"/>
            </w:tcBorders>
            <w:vAlign w:val="center"/>
          </w:tcPr>
          <w:p>
            <w:pPr>
              <w:tabs>
                <w:tab w:val="clear" w:pos="480"/>
              </w:tabs>
              <w:adjustRightInd w:val="0"/>
              <w:snapToGrid w:val="0"/>
              <w:spacing w:line="240" w:lineRule="auto"/>
              <w:ind w:firstLine="0" w:firstLineChars="0"/>
              <w:jc w:val="center"/>
              <w:rPr>
                <w:rFonts w:ascii="Times New Roman" w:hAnsi="Times New Roman" w:cs="Times New Roman"/>
                <w:sz w:val="18"/>
                <w:szCs w:val="18"/>
                <w:vertAlign w:val="baseline"/>
              </w:rPr>
            </w:pPr>
          </w:p>
        </w:tc>
        <w:tc>
          <w:tcPr>
            <w:tcW w:w="2835" w:type="pct"/>
            <w:tcBorders>
              <w:tl2br w:val="nil"/>
              <w:tr2bl w:val="nil"/>
            </w:tcBorders>
            <w:vAlign w:val="center"/>
          </w:tcPr>
          <w:p>
            <w:pPr>
              <w:tabs>
                <w:tab w:val="clear" w:pos="480"/>
              </w:tabs>
              <w:snapToGrid w:val="0"/>
              <w:spacing w:line="240" w:lineRule="auto"/>
              <w:ind w:firstLine="0" w:firstLineChars="0"/>
              <w:jc w:val="center"/>
              <w:rPr>
                <w:rFonts w:hint="eastAsia" w:ascii="Times New Roman" w:hAnsi="Times New Roman" w:eastAsia="宋体"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临时拦挡、彩条布铺垫和覆盖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503" w:type="pct"/>
            <w:vMerge w:val="continue"/>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p>
        </w:tc>
        <w:tc>
          <w:tcPr>
            <w:tcW w:w="740" w:type="pct"/>
            <w:vMerge w:val="continue"/>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p>
        </w:tc>
        <w:tc>
          <w:tcPr>
            <w:tcW w:w="920" w:type="pct"/>
            <w:vMerge w:val="continue"/>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p>
        </w:tc>
        <w:tc>
          <w:tcPr>
            <w:tcW w:w="2835" w:type="pct"/>
            <w:tcBorders>
              <w:tl2br w:val="nil"/>
              <w:tr2bl w:val="nil"/>
            </w:tcBorders>
            <w:vAlign w:val="center"/>
          </w:tcPr>
          <w:p>
            <w:pPr>
              <w:tabs>
                <w:tab w:val="clear" w:pos="480"/>
              </w:tabs>
              <w:snapToGrid w:val="0"/>
              <w:spacing w:line="240" w:lineRule="auto"/>
              <w:ind w:firstLine="0" w:firstLineChars="0"/>
              <w:jc w:val="center"/>
              <w:rPr>
                <w:rFonts w:hint="default" w:ascii="Times New Roman" w:hAnsi="Times New Roman" w:eastAsia="宋体"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播撒草籽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3" w:type="pct"/>
            <w:vMerge w:val="restart"/>
            <w:tcBorders>
              <w:tl2br w:val="nil"/>
              <w:tr2bl w:val="nil"/>
            </w:tcBorders>
            <w:vAlign w:val="center"/>
          </w:tcPr>
          <w:p>
            <w:pPr>
              <w:tabs>
                <w:tab w:val="clear" w:pos="480"/>
              </w:tabs>
              <w:snapToGrid w:val="0"/>
              <w:spacing w:line="240" w:lineRule="auto"/>
              <w:ind w:firstLine="0" w:firstLineChars="0"/>
              <w:jc w:val="center"/>
              <w:rPr>
                <w:rFonts w:hint="default" w:ascii="Times New Roman" w:hAnsi="Times New Roman" w:eastAsia="宋体"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陆域平台区</w:t>
            </w:r>
          </w:p>
        </w:tc>
        <w:tc>
          <w:tcPr>
            <w:tcW w:w="740" w:type="pct"/>
            <w:vMerge w:val="restart"/>
            <w:tcBorders>
              <w:tl2br w:val="nil"/>
              <w:tr2bl w:val="nil"/>
            </w:tcBorders>
            <w:vAlign w:val="center"/>
          </w:tcPr>
          <w:p>
            <w:pPr>
              <w:tabs>
                <w:tab w:val="clear" w:pos="480"/>
              </w:tabs>
              <w:snapToGrid w:val="0"/>
              <w:spacing w:line="240" w:lineRule="auto"/>
              <w:ind w:firstLine="0" w:firstLineChars="0"/>
              <w:jc w:val="center"/>
              <w:rPr>
                <w:rFonts w:hint="default" w:ascii="Times New Roman" w:hAnsi="Times New Roman" w:eastAsia="宋体"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堆存、辅助设施区</w:t>
            </w:r>
          </w:p>
        </w:tc>
        <w:tc>
          <w:tcPr>
            <w:tcW w:w="920" w:type="pct"/>
            <w:tcBorders>
              <w:tl2br w:val="nil"/>
              <w:tr2bl w:val="nil"/>
            </w:tcBorders>
            <w:vAlign w:val="center"/>
          </w:tcPr>
          <w:p>
            <w:pPr>
              <w:tabs>
                <w:tab w:val="clear" w:pos="480"/>
              </w:tabs>
              <w:snapToGrid w:val="0"/>
              <w:spacing w:line="240" w:lineRule="auto"/>
              <w:ind w:firstLine="0" w:firstLineChars="0"/>
              <w:jc w:val="center"/>
              <w:rPr>
                <w:rFonts w:hint="default" w:ascii="Times New Roman" w:hAnsi="Times New Roman" w:eastAsia="宋体"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工程措施</w:t>
            </w:r>
          </w:p>
        </w:tc>
        <w:tc>
          <w:tcPr>
            <w:tcW w:w="2835" w:type="pct"/>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r>
              <w:rPr>
                <w:rFonts w:hint="eastAsia" w:ascii="Times New Roman" w:hAnsi="Times New Roman" w:cs="Times New Roman"/>
                <w:sz w:val="18"/>
                <w:szCs w:val="18"/>
                <w:vertAlign w:val="baseline"/>
                <w:lang w:val="en-US" w:eastAsia="zh-CN"/>
              </w:rPr>
              <w:t>表土剥离单独堆存回用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3" w:type="pct"/>
            <w:vMerge w:val="continue"/>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p>
        </w:tc>
        <w:tc>
          <w:tcPr>
            <w:tcW w:w="740" w:type="pct"/>
            <w:vMerge w:val="continue"/>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p>
        </w:tc>
        <w:tc>
          <w:tcPr>
            <w:tcW w:w="920" w:type="pct"/>
            <w:vMerge w:val="restart"/>
            <w:tcBorders>
              <w:tl2br w:val="nil"/>
              <w:tr2bl w:val="nil"/>
            </w:tcBorders>
            <w:vAlign w:val="center"/>
          </w:tcPr>
          <w:p>
            <w:pPr>
              <w:tabs>
                <w:tab w:val="clear" w:pos="480"/>
              </w:tabs>
              <w:snapToGrid w:val="0"/>
              <w:spacing w:line="240" w:lineRule="auto"/>
              <w:ind w:firstLine="0" w:firstLineChars="0"/>
              <w:jc w:val="center"/>
              <w:rPr>
                <w:rFonts w:hint="default" w:ascii="Times New Roman" w:hAnsi="Times New Roman" w:eastAsia="宋体"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临时措施</w:t>
            </w:r>
          </w:p>
        </w:tc>
        <w:tc>
          <w:tcPr>
            <w:tcW w:w="2835" w:type="pct"/>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r>
              <w:rPr>
                <w:rFonts w:hint="eastAsia" w:ascii="Times New Roman" w:hAnsi="Times New Roman" w:cs="Times New Roman"/>
                <w:sz w:val="18"/>
                <w:szCs w:val="18"/>
                <w:vertAlign w:val="baseline"/>
                <w:lang w:val="en-US" w:eastAsia="zh-CN"/>
              </w:rPr>
              <w:t>临时排水沟、沉砂池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3" w:type="pct"/>
            <w:vMerge w:val="continue"/>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p>
        </w:tc>
        <w:tc>
          <w:tcPr>
            <w:tcW w:w="740" w:type="pct"/>
            <w:vMerge w:val="continue"/>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p>
        </w:tc>
        <w:tc>
          <w:tcPr>
            <w:tcW w:w="920" w:type="pct"/>
            <w:vMerge w:val="continue"/>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p>
        </w:tc>
        <w:tc>
          <w:tcPr>
            <w:tcW w:w="2835" w:type="pct"/>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r>
              <w:rPr>
                <w:rFonts w:hint="eastAsia" w:ascii="Times New Roman" w:hAnsi="Times New Roman" w:cs="Times New Roman"/>
                <w:sz w:val="18"/>
                <w:szCs w:val="18"/>
                <w:vertAlign w:val="baseline"/>
                <w:lang w:val="en-US" w:eastAsia="zh-CN"/>
              </w:rPr>
              <w:t>临时拦挡、彩条布铺垫和覆盖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3" w:type="pct"/>
            <w:vMerge w:val="continue"/>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p>
        </w:tc>
        <w:tc>
          <w:tcPr>
            <w:tcW w:w="740" w:type="pct"/>
            <w:vMerge w:val="continue"/>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p>
        </w:tc>
        <w:tc>
          <w:tcPr>
            <w:tcW w:w="920" w:type="pct"/>
            <w:tcBorders>
              <w:tl2br w:val="nil"/>
              <w:tr2bl w:val="nil"/>
            </w:tcBorders>
            <w:vAlign w:val="center"/>
          </w:tcPr>
          <w:p>
            <w:pPr>
              <w:tabs>
                <w:tab w:val="clear" w:pos="480"/>
              </w:tabs>
              <w:snapToGrid w:val="0"/>
              <w:spacing w:line="240" w:lineRule="auto"/>
              <w:ind w:firstLine="0" w:firstLineChars="0"/>
              <w:jc w:val="center"/>
              <w:rPr>
                <w:rFonts w:hint="default" w:ascii="Times New Roman" w:hAnsi="Times New Roman" w:eastAsia="宋体"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植物措施</w:t>
            </w:r>
          </w:p>
        </w:tc>
        <w:tc>
          <w:tcPr>
            <w:tcW w:w="2835" w:type="pct"/>
            <w:tcBorders>
              <w:tl2br w:val="nil"/>
              <w:tr2bl w:val="nil"/>
            </w:tcBorders>
            <w:vAlign w:val="center"/>
          </w:tcPr>
          <w:p>
            <w:pPr>
              <w:tabs>
                <w:tab w:val="clear" w:pos="480"/>
              </w:tabs>
              <w:snapToGrid w:val="0"/>
              <w:spacing w:line="240" w:lineRule="auto"/>
              <w:ind w:firstLine="0" w:firstLineChars="0"/>
              <w:jc w:val="center"/>
              <w:rPr>
                <w:rFonts w:hint="default" w:ascii="Times New Roman" w:hAnsi="Times New Roman" w:eastAsia="宋体"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草皮护坡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3" w:type="pct"/>
            <w:vMerge w:val="continue"/>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p>
        </w:tc>
        <w:tc>
          <w:tcPr>
            <w:tcW w:w="740" w:type="pct"/>
            <w:vMerge w:val="restart"/>
            <w:tcBorders>
              <w:tl2br w:val="nil"/>
              <w:tr2bl w:val="nil"/>
            </w:tcBorders>
            <w:vAlign w:val="center"/>
          </w:tcPr>
          <w:p>
            <w:pPr>
              <w:tabs>
                <w:tab w:val="clear" w:pos="480"/>
              </w:tabs>
              <w:snapToGrid w:val="0"/>
              <w:spacing w:line="240" w:lineRule="auto"/>
              <w:ind w:firstLine="0" w:firstLineChars="0"/>
              <w:jc w:val="center"/>
              <w:rPr>
                <w:rFonts w:hint="eastAsia" w:ascii="Times New Roman" w:hAnsi="Times New Roman" w:eastAsia="宋体"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绿化区</w:t>
            </w:r>
          </w:p>
        </w:tc>
        <w:tc>
          <w:tcPr>
            <w:tcW w:w="920" w:type="pct"/>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r>
              <w:rPr>
                <w:rFonts w:hint="eastAsia" w:ascii="Times New Roman" w:hAnsi="Times New Roman" w:cs="Times New Roman"/>
                <w:sz w:val="18"/>
                <w:szCs w:val="18"/>
                <w:vertAlign w:val="baseline"/>
                <w:lang w:val="en-US" w:eastAsia="zh-CN"/>
              </w:rPr>
              <w:t>工程措施</w:t>
            </w:r>
          </w:p>
        </w:tc>
        <w:tc>
          <w:tcPr>
            <w:tcW w:w="2835" w:type="pct"/>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r>
              <w:rPr>
                <w:rFonts w:hint="eastAsia" w:ascii="Times New Roman" w:hAnsi="Times New Roman" w:cs="Times New Roman"/>
                <w:sz w:val="18"/>
                <w:szCs w:val="18"/>
                <w:vertAlign w:val="baseline"/>
                <w:lang w:val="en-US" w:eastAsia="zh-CN"/>
              </w:rPr>
              <w:t>土地平整、表土单独堆存回用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3" w:type="pct"/>
            <w:vMerge w:val="continue"/>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p>
        </w:tc>
        <w:tc>
          <w:tcPr>
            <w:tcW w:w="740" w:type="pct"/>
            <w:vMerge w:val="continue"/>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p>
        </w:tc>
        <w:tc>
          <w:tcPr>
            <w:tcW w:w="920" w:type="pct"/>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r>
              <w:rPr>
                <w:rFonts w:hint="eastAsia" w:ascii="Times New Roman" w:hAnsi="Times New Roman" w:cs="Times New Roman"/>
                <w:sz w:val="18"/>
                <w:szCs w:val="18"/>
                <w:vertAlign w:val="baseline"/>
                <w:lang w:val="en-US" w:eastAsia="zh-CN"/>
              </w:rPr>
              <w:t>临时措施</w:t>
            </w:r>
          </w:p>
        </w:tc>
        <w:tc>
          <w:tcPr>
            <w:tcW w:w="2835" w:type="pct"/>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r>
              <w:rPr>
                <w:rFonts w:hint="eastAsia" w:ascii="Times New Roman" w:hAnsi="Times New Roman" w:cs="Times New Roman"/>
                <w:sz w:val="18"/>
                <w:szCs w:val="18"/>
                <w:vertAlign w:val="baseline"/>
                <w:lang w:val="en-US" w:eastAsia="zh-CN"/>
              </w:rPr>
              <w:t>彩条布覆盖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3" w:type="pct"/>
            <w:vMerge w:val="continue"/>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p>
        </w:tc>
        <w:tc>
          <w:tcPr>
            <w:tcW w:w="740" w:type="pct"/>
            <w:vMerge w:val="continue"/>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p>
        </w:tc>
        <w:tc>
          <w:tcPr>
            <w:tcW w:w="920" w:type="pct"/>
            <w:tcBorders>
              <w:tl2br w:val="nil"/>
              <w:tr2bl w:val="nil"/>
            </w:tcBorders>
            <w:vAlign w:val="center"/>
          </w:tcPr>
          <w:p>
            <w:pPr>
              <w:tabs>
                <w:tab w:val="clear" w:pos="480"/>
              </w:tabs>
              <w:snapToGrid w:val="0"/>
              <w:spacing w:line="240" w:lineRule="auto"/>
              <w:ind w:firstLine="0" w:firstLineChars="0"/>
              <w:jc w:val="center"/>
              <w:rPr>
                <w:rFonts w:ascii="Times New Roman" w:hAnsi="Times New Roman" w:cs="Times New Roman"/>
                <w:sz w:val="18"/>
                <w:szCs w:val="18"/>
                <w:vertAlign w:val="baseline"/>
              </w:rPr>
            </w:pPr>
            <w:r>
              <w:rPr>
                <w:rFonts w:hint="eastAsia" w:ascii="Times New Roman" w:hAnsi="Times New Roman" w:cs="Times New Roman"/>
                <w:sz w:val="18"/>
                <w:szCs w:val="18"/>
                <w:vertAlign w:val="baseline"/>
                <w:lang w:val="en-US" w:eastAsia="zh-CN"/>
              </w:rPr>
              <w:t>植物措施</w:t>
            </w:r>
          </w:p>
        </w:tc>
        <w:tc>
          <w:tcPr>
            <w:tcW w:w="2835" w:type="pct"/>
            <w:tcBorders>
              <w:tl2br w:val="nil"/>
              <w:tr2bl w:val="nil"/>
            </w:tcBorders>
            <w:vAlign w:val="center"/>
          </w:tcPr>
          <w:p>
            <w:pPr>
              <w:tabs>
                <w:tab w:val="clear" w:pos="480"/>
              </w:tabs>
              <w:snapToGrid w:val="0"/>
              <w:spacing w:line="240" w:lineRule="auto"/>
              <w:ind w:firstLine="0" w:firstLineChars="0"/>
              <w:jc w:val="center"/>
              <w:rPr>
                <w:rFonts w:hint="default" w:ascii="Times New Roman" w:hAnsi="Times New Roman" w:eastAsia="宋体"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园林绿化</w:t>
            </w:r>
          </w:p>
        </w:tc>
      </w:tr>
    </w:tbl>
    <w:p>
      <w:pPr>
        <w:pStyle w:val="454"/>
        <w:ind w:firstLine="602"/>
        <w:rPr>
          <w:color w:val="auto"/>
        </w:rPr>
      </w:pPr>
      <w:r>
        <w:rPr>
          <w:rFonts w:hint="eastAsia"/>
          <w:color w:val="auto"/>
          <w:lang w:val="en-US" w:eastAsia="zh-CN"/>
        </w:rPr>
        <w:t>营运期生态保护措施</w:t>
      </w:r>
    </w:p>
    <w:p>
      <w:pPr>
        <w:ind w:firstLine="480"/>
      </w:pPr>
      <w:r>
        <w:t>对于码头作业工人，如不加强管理，可能人为的影响该江段水生生态环境，运营期，建设单位重点要做好以下几项工作：</w:t>
      </w:r>
    </w:p>
    <w:p>
      <w:pPr>
        <w:ind w:firstLine="480"/>
      </w:pPr>
      <w:r>
        <w:t>（1）加大对水上作业人员的法律、法规意识培训，包括《中华人民共和国野生动物法》、《中华人民共和国</w:t>
      </w:r>
      <w:r>
        <w:rPr>
          <w:rFonts w:hint="eastAsia"/>
        </w:rPr>
        <w:t>渔业法</w:t>
      </w:r>
      <w:r>
        <w:t>》等，严禁作业人员利用码头趸船捕捞珍稀水生保护动物。</w:t>
      </w:r>
    </w:p>
    <w:p>
      <w:pPr>
        <w:ind w:firstLine="480"/>
      </w:pPr>
      <w:r>
        <w:t>（2）</w:t>
      </w:r>
      <w:r>
        <w:rPr>
          <w:rFonts w:hint="eastAsia"/>
        </w:rPr>
        <w:t>减少水域污染：采取有效的环境保护措施，控制生活垃圾、生活污水、生产废水和噪声等的排放，码头水域禁止停靠船舶排放船舶生活污水和舱底油污水，降低对水生生态的影响。</w:t>
      </w:r>
    </w:p>
    <w:p>
      <w:pPr>
        <w:ind w:firstLine="480"/>
      </w:pPr>
      <w:r>
        <w:rPr>
          <w:rFonts w:hint="eastAsia"/>
        </w:rPr>
        <w:t>（3）建议在营运期船舶靠岸前或离开前通过敲击船舷来驱赶码头区域的重要水生生物。</w:t>
      </w:r>
    </w:p>
    <w:p>
      <w:pPr>
        <w:ind w:firstLine="480"/>
      </w:pPr>
      <w:r>
        <w:t>（</w:t>
      </w:r>
      <w:r>
        <w:rPr>
          <w:rFonts w:hint="eastAsia"/>
        </w:rPr>
        <w:t>4</w:t>
      </w:r>
      <w:r>
        <w:t>）</w:t>
      </w:r>
      <w:r>
        <w:rPr>
          <w:rFonts w:hint="eastAsia"/>
        </w:rPr>
        <w:t>营运期水生生态监测</w:t>
      </w:r>
      <w:r>
        <w:t>定</w:t>
      </w:r>
      <w:r>
        <w:rPr>
          <w:rFonts w:hint="eastAsia"/>
        </w:rPr>
        <w:t>：由于相关作业产生的噪声、振动等因素，拟建工程在运营期不可避免的会对中华鲟等水生生物的索饵、繁殖及洄游等生命活动产生一定的影响，为了保护生态环境及维持保护区的生态功能，应加强对工程邻近水域</w:t>
      </w:r>
      <w:r>
        <w:rPr>
          <w:rFonts w:hint="eastAsia"/>
          <w:lang w:val="en-US" w:eastAsia="zh-CN"/>
        </w:rPr>
        <w:t>水生生态监测，具体的监测内容和监测时段周期详见6.4.7章节水生生态监测</w:t>
      </w:r>
      <w:r>
        <w:rPr>
          <w:rFonts w:hint="eastAsia"/>
        </w:rPr>
        <w:t>。</w:t>
      </w:r>
    </w:p>
    <w:p>
      <w:pPr>
        <w:ind w:firstLine="480"/>
      </w:pPr>
      <w:r>
        <w:t>（5）</w:t>
      </w:r>
      <w:r>
        <w:rPr>
          <w:rFonts w:hint="eastAsia"/>
        </w:rPr>
        <w:t>人工增殖放流：根据《中华人民共和国渔业法》和《中华人民共和国自然保护区条例》等法律、法规等的规定，拟建工程业主需采取鱼类人工增殖放流来补偿工程对鱼类资源造成的影响。增殖放流是补充鱼类资源的有效途径之一。</w:t>
      </w:r>
      <w:r>
        <w:rPr>
          <w:rFonts w:hint="eastAsia"/>
          <w:lang w:val="en-US" w:eastAsia="zh-CN"/>
        </w:rPr>
        <w:t>详细增殖放流方案详见章节6.4.6.5章节</w:t>
      </w:r>
      <w:r>
        <w:rPr>
          <w:rFonts w:hint="eastAsia"/>
        </w:rPr>
        <w:t>。</w:t>
      </w:r>
    </w:p>
    <w:bookmarkEnd w:id="334"/>
    <w:bookmarkEnd w:id="335"/>
    <w:bookmarkEnd w:id="336"/>
    <w:bookmarkEnd w:id="340"/>
    <w:bookmarkEnd w:id="341"/>
    <w:bookmarkEnd w:id="342"/>
    <w:p>
      <w:pPr>
        <w:pStyle w:val="453"/>
        <w:ind w:firstLine="643" w:firstLineChars="0"/>
        <w:rPr>
          <w:rFonts w:ascii="Times New Roman" w:cs="Times New Roman"/>
          <w:color w:val="auto"/>
        </w:rPr>
      </w:pPr>
      <w:bookmarkStart w:id="343" w:name="_Toc106697039"/>
      <w:bookmarkStart w:id="344" w:name="_Toc21458"/>
      <w:bookmarkStart w:id="345" w:name="_Toc17649"/>
      <w:r>
        <w:rPr>
          <w:rFonts w:ascii="Times New Roman" w:cs="Times New Roman"/>
        </w:rPr>
        <w:t>环境</w:t>
      </w:r>
      <w:r>
        <w:rPr>
          <w:rFonts w:ascii="Times New Roman" w:cs="Times New Roman"/>
          <w:color w:val="auto"/>
        </w:rPr>
        <w:t>风险防范措施</w:t>
      </w:r>
      <w:bookmarkEnd w:id="343"/>
      <w:bookmarkEnd w:id="344"/>
      <w:bookmarkEnd w:id="345"/>
    </w:p>
    <w:p>
      <w:pPr>
        <w:pStyle w:val="454"/>
        <w:ind w:firstLine="602"/>
        <w:rPr>
          <w:color w:val="auto"/>
        </w:rPr>
      </w:pPr>
      <w:r>
        <w:rPr>
          <w:color w:val="auto"/>
        </w:rPr>
        <w:t>船舶溢油事故防范措施</w:t>
      </w:r>
    </w:p>
    <w:p>
      <w:pPr>
        <w:numPr>
          <w:ilvl w:val="0"/>
          <w:numId w:val="70"/>
        </w:numPr>
        <w:ind w:firstLineChars="0"/>
        <w:jc w:val="left"/>
      </w:pPr>
      <w:r>
        <w:t>加强船舶人员培训教育，提高操作技能和安全意识</w:t>
      </w:r>
    </w:p>
    <w:p>
      <w:pPr>
        <w:ind w:firstLine="480"/>
      </w:pPr>
      <w:r>
        <w:t>船舶事故的原因，除恶劣天气为人类很难控制外，多数与操作人员的管理密切相关。减少事故的发生，就是要加强操作人员的安全意识及操作技能。</w:t>
      </w:r>
      <w:r>
        <w:rPr>
          <w:rFonts w:hint="eastAsia"/>
        </w:rPr>
        <w:t>船舶</w:t>
      </w:r>
      <w:r>
        <w:t>公司要组织经常性的水上安全意识教育和水上安全技能训练，作好船舶的定期检查和养护工作，确保各种设备安全有效、性能良好。普及安全知识提高船员素质，加强船员对安全生产知识的了解和对安全技术的熟练掌握。科学合理安排作息时间，避免船员疲劳造成反应迟缓、注意力不集中等现象，减少人为灾难因素。</w:t>
      </w:r>
    </w:p>
    <w:p>
      <w:pPr>
        <w:ind w:firstLine="480"/>
      </w:pPr>
      <w:r>
        <w:t>项目施工前应在下游饮用水源点敏感水域附近设置警示牌，同时公布对应单位联系电话及事故应急计划。施工船舶必须设置事故溢油应急设备及相关设施，在疏浚河段下游100m处设置围油栏。</w:t>
      </w:r>
    </w:p>
    <w:p>
      <w:pPr>
        <w:ind w:firstLine="480"/>
      </w:pPr>
      <w:r>
        <w:t>一旦发生油品泄漏，应立即画出事故影响区，并立即告知各取水点所属的自来水公司，以便自来水公司视事故情况采取禁止取水措施。</w:t>
      </w:r>
    </w:p>
    <w:p>
      <w:pPr>
        <w:numPr>
          <w:ilvl w:val="0"/>
          <w:numId w:val="70"/>
        </w:numPr>
        <w:ind w:firstLineChars="0"/>
        <w:jc w:val="left"/>
      </w:pPr>
      <w:r>
        <w:t>督促进出港船舶加强港内航行与靠离泊风险控制</w:t>
      </w:r>
    </w:p>
    <w:p>
      <w:pPr>
        <w:ind w:firstLine="480"/>
      </w:pPr>
      <w:r>
        <w:rPr>
          <w:rFonts w:hint="eastAsia" w:ascii="宋体" w:hAnsi="宋体" w:cs="宋体"/>
        </w:rPr>
        <w:t>①</w:t>
      </w:r>
      <w:r>
        <w:t>加强航行组织与进出港口准备。到港船舶进出港口前，船长应督促相关人员严格按照检查表中的检查项目清单逐项认真地检查、试验、测试和落实，做好相关记录并签字确认，以确保每一项检查、试验或测试都得到认真落实。</w:t>
      </w:r>
    </w:p>
    <w:p>
      <w:pPr>
        <w:ind w:firstLine="480"/>
      </w:pPr>
      <w:r>
        <w:rPr>
          <w:rFonts w:hint="eastAsia" w:ascii="宋体" w:hAnsi="宋体" w:cs="宋体"/>
        </w:rPr>
        <w:t>②</w:t>
      </w:r>
      <w:r>
        <w:t>督促到港船舶在进出港口、靠离泊前制订周密的航行与操纵计划和程序。</w:t>
      </w:r>
    </w:p>
    <w:p>
      <w:pPr>
        <w:ind w:firstLine="480"/>
      </w:pPr>
      <w:r>
        <w:rPr>
          <w:rFonts w:hint="eastAsia" w:ascii="宋体" w:hAnsi="宋体" w:cs="宋体"/>
        </w:rPr>
        <w:t>③</w:t>
      </w:r>
      <w:r>
        <w:t>到港船舶应及时掌握最新水深地形图、港口航道、水文气象、助航标志、水深底质、通航密度等相关资料，了解并严格遵守港区有关规章、航行法规和通讯、报告制度，充分考虑环境和自然因素对船舶操纵的影响。</w:t>
      </w:r>
    </w:p>
    <w:p>
      <w:pPr>
        <w:ind w:firstLine="480"/>
      </w:pPr>
      <w:r>
        <w:rPr>
          <w:rFonts w:hint="eastAsia" w:ascii="宋体" w:hAnsi="宋体" w:cs="宋体"/>
        </w:rPr>
        <w:t>④</w:t>
      </w:r>
      <w:r>
        <w:t>船舶应对动力设备工况进行充分的分析与评价，根据应急预案做好应急准备措施，做到早检查、早发现、早解决，防止船舶因设备问题造成紧迫局面。必要时请求岸基提供帮助。</w:t>
      </w:r>
    </w:p>
    <w:p>
      <w:pPr>
        <w:ind w:firstLine="480"/>
      </w:pPr>
      <w:r>
        <w:rPr>
          <w:rFonts w:hint="eastAsia" w:ascii="宋体" w:hAnsi="宋体" w:cs="宋体"/>
        </w:rPr>
        <w:t>⑤</w:t>
      </w:r>
      <w:r>
        <w:t>充分利用和管理驾驶台资源，合理组织值班船员，明确驾驶台团队各自的位置、角度、常规职责、应急职责、信息沟通交流方式、记录、应急处置、驾驶台工作规程等，做到严守职责，坚守岗位。</w:t>
      </w:r>
    </w:p>
    <w:p>
      <w:pPr>
        <w:ind w:firstLine="480"/>
      </w:pPr>
      <w:r>
        <w:rPr>
          <w:rFonts w:hint="eastAsia" w:ascii="宋体" w:hAnsi="宋体" w:cs="宋体"/>
        </w:rPr>
        <w:t>⑥</w:t>
      </w:r>
      <w:r>
        <w:t>切实做好通信与沟通工作。VHF 应在指定频道收听并保持与港口的控制台、水上交通指挥中心等有关方面的联系，并听从其指导。装有 AIS 的船舶应正确使用和识别AIS。</w:t>
      </w:r>
    </w:p>
    <w:p>
      <w:pPr>
        <w:ind w:firstLine="480"/>
      </w:pPr>
      <w:r>
        <w:rPr>
          <w:rFonts w:hint="eastAsia" w:ascii="宋体" w:hAnsi="宋体" w:cs="宋体"/>
        </w:rPr>
        <w:t>⑦</w:t>
      </w:r>
      <w:r>
        <w:t>禁止船舶在关键动力、助导航设备存在隐患的情况下进出港，禁止疲劳驾驶。</w:t>
      </w:r>
    </w:p>
    <w:p>
      <w:pPr>
        <w:ind w:firstLine="480"/>
      </w:pPr>
      <w:r>
        <w:rPr>
          <w:rFonts w:hint="eastAsia" w:ascii="宋体" w:hAnsi="宋体" w:cs="宋体"/>
        </w:rPr>
        <w:t>⑧</w:t>
      </w:r>
      <w:r>
        <w:t>时刻注意天气的变化，遇有恶劣天气应停止作业。</w:t>
      </w:r>
    </w:p>
    <w:p>
      <w:pPr>
        <w:ind w:firstLine="480"/>
      </w:pPr>
      <w:r>
        <w:rPr>
          <w:rFonts w:hint="eastAsia" w:ascii="宋体" w:hAnsi="宋体" w:cs="宋体"/>
        </w:rPr>
        <w:t>⑨</w:t>
      </w:r>
      <w:r>
        <w:t>建设单位应根据要求委托有资质的单位编制《船舶污染风险与污染防治能力评价报告》，报海事主管部门审批，并按报告的要求配置相应的应急资源及防污设备建立溢油应急体系和制订溢油防治计划。</w:t>
      </w:r>
    </w:p>
    <w:p>
      <w:pPr>
        <w:numPr>
          <w:ilvl w:val="0"/>
          <w:numId w:val="70"/>
        </w:numPr>
        <w:ind w:firstLineChars="0"/>
        <w:jc w:val="left"/>
      </w:pPr>
      <w:r>
        <w:t>港区配备溢油应急设备</w:t>
      </w:r>
    </w:p>
    <w:p>
      <w:pPr>
        <w:ind w:firstLine="480"/>
      </w:pPr>
      <w:r>
        <w:t>应根据《港口码头水上污染事故应急防备能力要求》（JT/T451-2017）设置溢油应急措施，配备应急设备，同时配备报警系统及必要的通信器材，以便及时与岳阳海事局搜救中心建立联系，及时采取应急措施。</w:t>
      </w:r>
    </w:p>
    <w:p>
      <w:pPr>
        <w:pStyle w:val="454"/>
        <w:ind w:firstLine="602"/>
        <w:rPr>
          <w:color w:val="auto"/>
        </w:rPr>
      </w:pPr>
      <w:r>
        <w:rPr>
          <w:color w:val="auto"/>
        </w:rPr>
        <w:t>船舶溢油事故处置措施</w:t>
      </w:r>
    </w:p>
    <w:p>
      <w:pPr>
        <w:ind w:firstLine="480"/>
        <w:rPr>
          <w:rFonts w:eastAsia="黑体"/>
          <w:b/>
          <w:bCs/>
        </w:rPr>
      </w:pPr>
      <w:r>
        <w:t>1、启动分级应急相应程序</w:t>
      </w:r>
    </w:p>
    <w:p>
      <w:pPr>
        <w:ind w:firstLine="480"/>
      </w:pPr>
      <w:r>
        <w:t>发现泄漏事故后，应立即通知船长及相关操作人员，并采取一切办法切断事故源。船长作出判断，启动分级应急响应程序，发出警报，迅速通知岳阳市水域溢油应急指挥部、当地海事局和环保部门。现场抢险组等各组在组长指挥下立即按各自的职责实施事故救援，各专业救援队伍迅速赶往事故现场。</w:t>
      </w:r>
    </w:p>
    <w:p>
      <w:pPr>
        <w:ind w:firstLine="480"/>
      </w:pPr>
      <w:r>
        <w:t>2、消除泄漏的措施方法</w:t>
      </w:r>
    </w:p>
    <w:p>
      <w:pPr>
        <w:ind w:firstLine="480"/>
      </w:pPr>
      <w:r>
        <w:t>迅速查明事故发生的源点、泄漏部位和原因。初步判断船舶（或油管）破损情况，组织堵漏和将残油转移。当肇事船舶作业有困难时，可按以下几点协助进行。作业要求如下：</w:t>
      </w:r>
    </w:p>
    <w:p>
      <w:pPr>
        <w:ind w:firstLine="480"/>
      </w:pPr>
      <w:r>
        <w:t>（1）必要时，由救捞人员进行水下探摸。采取各种可能的方法，尽力封堵破损口。</w:t>
      </w:r>
    </w:p>
    <w:p>
      <w:pPr>
        <w:ind w:firstLine="480"/>
      </w:pPr>
      <w:r>
        <w:t>（2）将残油驳至其他货舱或可接收油的油轮、油驳及油囊中。过驳时须严格遵守安全和防污染操作规程，注意不断调整各舱油量，保持船体平稳上升。需另备移动式泵系设备，以防船上货油泵系不能使用。</w:t>
      </w:r>
    </w:p>
    <w:p>
      <w:pPr>
        <w:ind w:firstLine="480"/>
      </w:pPr>
      <w:r>
        <w:t>（3）为保证两船安全并靠，应在两船船舷之间设置足够的碰垫，并准备移动式球形碰垫。过驳时派专人随时调整和加固缆绳，密切监视输油管及油舱状况。</w:t>
      </w:r>
    </w:p>
    <w:p>
      <w:pPr>
        <w:ind w:firstLine="480"/>
      </w:pPr>
      <w:r>
        <w:t>3、溢油的围控</w:t>
      </w:r>
    </w:p>
    <w:p>
      <w:pPr>
        <w:ind w:firstLine="480"/>
      </w:pPr>
      <w:r>
        <w:t>（1）当船舶在码头前沿溢油时，在事故码头周围布设一道或多道防火围油栏进行围控，调用消防船待命，采取防火与防爆措施。</w:t>
      </w:r>
    </w:p>
    <w:p>
      <w:pPr>
        <w:ind w:firstLine="480"/>
      </w:pPr>
      <w:r>
        <w:t>（2）船舶在锚地、航道上溢油时，事故现场的水文</w:t>
      </w:r>
      <w:r>
        <w:rPr>
          <w:rFonts w:hint="eastAsia"/>
        </w:rPr>
        <w:t>（</w:t>
      </w:r>
      <w:r>
        <w:t>流速、风速等</w:t>
      </w:r>
      <w:r>
        <w:rPr>
          <w:rFonts w:hint="eastAsia"/>
        </w:rPr>
        <w:t>）</w:t>
      </w:r>
      <w:r>
        <w:t>符合围油栏的作业条件许可时，采用围油栏在事故水域进行定位围控。</w:t>
      </w:r>
    </w:p>
    <w:p>
      <w:pPr>
        <w:ind w:firstLine="480"/>
      </w:pPr>
      <w:r>
        <w:t>（3）在现场围油不可能的情况下，可用围油栏将溢油诱导至利于进行清除作业且对环境敏感区影响较小的水域，再进行清除作业。</w:t>
      </w:r>
    </w:p>
    <w:p>
      <w:pPr>
        <w:ind w:firstLine="480"/>
      </w:pPr>
      <w:r>
        <w:t>（4）当溢油受风和流的影响有可能向环境敏感区漂移时，需在敏感区周围布设围油栏，减少污染损害。</w:t>
      </w:r>
    </w:p>
    <w:p>
      <w:pPr>
        <w:ind w:firstLine="480"/>
      </w:pPr>
      <w:r>
        <w:t>4、岸滩污染带油膜清除</w:t>
      </w:r>
    </w:p>
    <w:p>
      <w:pPr>
        <w:ind w:firstLine="480"/>
      </w:pPr>
      <w:r>
        <w:t>岸线溢油的清除一般可直接进行，正常情况下不需要专用设备。根据油品的种类和数量、污染的地理范围、受到影响的岸线长度和自然状况制定岸线清除方案。岸线清除通常有以下三个阶段：</w:t>
      </w:r>
    </w:p>
    <w:p>
      <w:pPr>
        <w:ind w:firstLine="480"/>
      </w:pPr>
      <w:r>
        <w:t>（1）清除重污染物及浮油。</w:t>
      </w:r>
    </w:p>
    <w:p>
      <w:pPr>
        <w:ind w:firstLine="480"/>
      </w:pPr>
      <w:r>
        <w:t>（2）清除中度污染物、搁浅于岸线的油及被油污染的岸边泥沙、草丛。</w:t>
      </w:r>
    </w:p>
    <w:p>
      <w:pPr>
        <w:ind w:firstLine="480"/>
      </w:pPr>
      <w:r>
        <w:t>（3）清除轻度污染岸线污染物及油迹。</w:t>
      </w:r>
    </w:p>
    <w:p>
      <w:pPr>
        <w:ind w:firstLine="480"/>
      </w:pPr>
      <w:r>
        <w:t>大区域的污染清除的方法由岸线类型决定，漂到岸边的浮油应尽快地围拢与收集，以防止流到未被污染的岸线。可使用泵、真空罐车或油罐拖车收集浮油，若车辆无法到达，可使用桶、勺、或其他容器捞起溢油，再将装油的容器用船运走。此外，还可使用适量的吸油材料。待流动的溢油清除后，通常可用高压水或分散剂清除污油，用凉水或热水冲洗取决于设备性能及油的种类，一般情况下水温大约加热到60℃并以10~20 升/分钟的水流喷射冲洗，同时必须将冲洗下来的油污水收集起来。</w:t>
      </w:r>
    </w:p>
    <w:p>
      <w:pPr>
        <w:ind w:firstLine="480"/>
      </w:pPr>
      <w:r>
        <w:t>5、溢油分散剂的使用</w:t>
      </w:r>
    </w:p>
    <w:p>
      <w:pPr>
        <w:ind w:firstLine="480"/>
      </w:pPr>
      <w:r>
        <w:t>《溢油分散剂使用准则》（GB18188.2-2000）规定</w:t>
      </w:r>
      <w:r>
        <w:rPr>
          <w:rFonts w:asciiTheme="minorEastAsia" w:hAnsiTheme="minorEastAsia" w:eastAsiaTheme="minorEastAsia"/>
        </w:rPr>
        <w:t>“</w:t>
      </w:r>
      <w:r>
        <w:t>溢油发生在对水产资源有重大影响的区域时，限制使用溢油分散剂</w:t>
      </w:r>
      <w:r>
        <w:rPr>
          <w:rFonts w:asciiTheme="minorEastAsia" w:hAnsiTheme="minorEastAsia" w:eastAsiaTheme="minorEastAsia"/>
        </w:rPr>
        <w:t>”</w:t>
      </w:r>
      <w:r>
        <w:t>。</w:t>
      </w:r>
    </w:p>
    <w:p>
      <w:pPr>
        <w:ind w:firstLine="480"/>
      </w:pPr>
      <w:r>
        <w:t>6、回收油及油污废弃物的处置</w:t>
      </w:r>
    </w:p>
    <w:p>
      <w:pPr>
        <w:ind w:firstLine="480"/>
      </w:pPr>
      <w:r>
        <w:t>溢油现场清除收集的废油送往有资质的危险废物处置单位进行处置。</w:t>
      </w:r>
    </w:p>
    <w:p>
      <w:pPr>
        <w:pStyle w:val="454"/>
        <w:ind w:firstLine="602"/>
        <w:rPr>
          <w:color w:val="auto"/>
        </w:rPr>
      </w:pPr>
      <w:bookmarkStart w:id="346" w:name="_Toc457408425"/>
      <w:r>
        <w:rPr>
          <w:color w:val="auto"/>
        </w:rPr>
        <w:t>风险事故应急预案</w:t>
      </w:r>
      <w:bookmarkEnd w:id="346"/>
    </w:p>
    <w:p>
      <w:pPr>
        <w:ind w:firstLine="480"/>
        <w:rPr>
          <w:spacing w:val="-1"/>
        </w:rPr>
      </w:pPr>
      <w:r>
        <w:t>根据《中华人民共和国防治船舶污染内河水域环境管理规定》的要求，本项目应制定相应的污染事故应急计划，并报主管部门备案。本报告列出《船舶溢油事故应急预案》的主要框架内容，建设单位应根据港区实际情况进一步完善，并通过主管部门组织的专家审查。</w:t>
      </w:r>
    </w:p>
    <w:p>
      <w:pPr>
        <w:pStyle w:val="456"/>
        <w:ind w:firstLine="482"/>
      </w:pPr>
      <w:r>
        <w:t>机构与职责</w:t>
      </w:r>
    </w:p>
    <w:p>
      <w:pPr>
        <w:pStyle w:val="458"/>
        <w:ind w:firstLine="482"/>
        <w:rPr>
          <w:rFonts w:cs="Times New Roman"/>
          <w:b/>
          <w:color w:val="auto"/>
        </w:rPr>
      </w:pPr>
      <w:r>
        <w:rPr>
          <w:rFonts w:cs="Times New Roman"/>
          <w:b/>
          <w:color w:val="auto"/>
        </w:rPr>
        <w:t>1、环境突发事故应急指挥组织机构</w:t>
      </w:r>
    </w:p>
    <w:p>
      <w:pPr>
        <w:ind w:firstLine="480"/>
      </w:pPr>
      <w:r>
        <w:t>应急组织指挥机构由岳阳海事局海事处领导、建设单位生产安全部领导、生产安全部应急小组领导成员、以及相关的技术咨询专家组成。建设单位生产安全部应急小组组长在岳阳海事局海事处领导、公司生产安全部领导未到达事故现场时担任应急指挥，待有关领导抵达现场时移交指挥。</w:t>
      </w:r>
    </w:p>
    <w:p>
      <w:pPr>
        <w:ind w:firstLine="480"/>
      </w:pPr>
      <w:r>
        <w:t>应急组织指挥机构成员职责见下表。</w:t>
      </w:r>
    </w:p>
    <w:p>
      <w:pPr>
        <w:pStyle w:val="3590"/>
      </w:pPr>
      <w:r>
        <w:t>应急组织指挥机构成员职责一览表</w:t>
      </w:r>
    </w:p>
    <w:tbl>
      <w:tblPr>
        <w:tblStyle w:val="87"/>
        <w:tblW w:w="9101" w:type="dxa"/>
        <w:jc w:val="center"/>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
      <w:tblGrid>
        <w:gridCol w:w="492"/>
        <w:gridCol w:w="1349"/>
        <w:gridCol w:w="5657"/>
        <w:gridCol w:w="1603"/>
      </w:tblGrid>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75" w:hRule="exact"/>
          <w:jc w:val="center"/>
        </w:trPr>
        <w:tc>
          <w:tcPr>
            <w:tcW w:w="492" w:type="dxa"/>
            <w:vAlign w:val="center"/>
          </w:tcPr>
          <w:p>
            <w:pPr>
              <w:tabs>
                <w:tab w:val="clear" w:pos="480"/>
              </w:tabs>
              <w:kinsoku w:val="0"/>
              <w:overflowPunct w:val="0"/>
              <w:autoSpaceDE w:val="0"/>
              <w:autoSpaceDN w:val="0"/>
              <w:adjustRightInd w:val="0"/>
              <w:spacing w:line="276" w:lineRule="auto"/>
              <w:ind w:left="23" w:firstLine="0" w:firstLineChars="0"/>
              <w:jc w:val="left"/>
              <w:rPr>
                <w:kern w:val="0"/>
              </w:rPr>
            </w:pPr>
            <w:r>
              <w:rPr>
                <w:spacing w:val="1"/>
                <w:kern w:val="0"/>
                <w:sz w:val="21"/>
                <w:szCs w:val="21"/>
              </w:rPr>
              <w:t>序号</w:t>
            </w:r>
          </w:p>
        </w:tc>
        <w:tc>
          <w:tcPr>
            <w:tcW w:w="1349" w:type="dxa"/>
            <w:vAlign w:val="center"/>
          </w:tcPr>
          <w:p>
            <w:pPr>
              <w:tabs>
                <w:tab w:val="clear" w:pos="480"/>
              </w:tabs>
              <w:kinsoku w:val="0"/>
              <w:overflowPunct w:val="0"/>
              <w:autoSpaceDE w:val="0"/>
              <w:autoSpaceDN w:val="0"/>
              <w:adjustRightInd w:val="0"/>
              <w:spacing w:line="276" w:lineRule="auto"/>
              <w:ind w:left="242" w:firstLine="0" w:firstLineChars="0"/>
              <w:jc w:val="left"/>
              <w:rPr>
                <w:kern w:val="0"/>
              </w:rPr>
            </w:pPr>
            <w:r>
              <w:rPr>
                <w:spacing w:val="1"/>
                <w:kern w:val="0"/>
                <w:sz w:val="21"/>
                <w:szCs w:val="21"/>
              </w:rPr>
              <w:t>机构成员</w:t>
            </w:r>
          </w:p>
        </w:tc>
        <w:tc>
          <w:tcPr>
            <w:tcW w:w="5657" w:type="dxa"/>
            <w:vAlign w:val="center"/>
          </w:tcPr>
          <w:p>
            <w:pPr>
              <w:tabs>
                <w:tab w:val="clear" w:pos="480"/>
              </w:tabs>
              <w:kinsoku w:val="0"/>
              <w:overflowPunct w:val="0"/>
              <w:autoSpaceDE w:val="0"/>
              <w:autoSpaceDN w:val="0"/>
              <w:adjustRightInd w:val="0"/>
              <w:spacing w:line="276" w:lineRule="auto"/>
              <w:ind w:right="2" w:firstLine="0" w:firstLineChars="0"/>
              <w:jc w:val="center"/>
              <w:rPr>
                <w:kern w:val="0"/>
              </w:rPr>
            </w:pPr>
            <w:r>
              <w:rPr>
                <w:spacing w:val="1"/>
                <w:kern w:val="0"/>
                <w:sz w:val="21"/>
                <w:szCs w:val="21"/>
              </w:rPr>
              <w:t>职责</w:t>
            </w:r>
          </w:p>
        </w:tc>
        <w:tc>
          <w:tcPr>
            <w:tcW w:w="1603" w:type="dxa"/>
            <w:vAlign w:val="center"/>
          </w:tcPr>
          <w:p>
            <w:pPr>
              <w:tabs>
                <w:tab w:val="clear" w:pos="480"/>
              </w:tabs>
              <w:kinsoku w:val="0"/>
              <w:overflowPunct w:val="0"/>
              <w:autoSpaceDE w:val="0"/>
              <w:autoSpaceDN w:val="0"/>
              <w:adjustRightInd w:val="0"/>
              <w:spacing w:line="276" w:lineRule="auto"/>
              <w:ind w:left="41" w:right="42" w:firstLine="0" w:firstLineChars="0"/>
              <w:jc w:val="center"/>
              <w:rPr>
                <w:kern w:val="0"/>
              </w:rPr>
            </w:pPr>
            <w:r>
              <w:rPr>
                <w:spacing w:val="1"/>
                <w:kern w:val="0"/>
                <w:sz w:val="21"/>
                <w:szCs w:val="21"/>
              </w:rPr>
              <w:t>备注</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114" w:hRule="atLeast"/>
          <w:jc w:val="center"/>
        </w:trPr>
        <w:tc>
          <w:tcPr>
            <w:tcW w:w="492" w:type="dxa"/>
            <w:vAlign w:val="center"/>
          </w:tcPr>
          <w:p>
            <w:pPr>
              <w:tabs>
                <w:tab w:val="clear" w:pos="480"/>
              </w:tabs>
              <w:kinsoku w:val="0"/>
              <w:overflowPunct w:val="0"/>
              <w:autoSpaceDE w:val="0"/>
              <w:autoSpaceDN w:val="0"/>
              <w:adjustRightInd w:val="0"/>
              <w:spacing w:line="276" w:lineRule="auto"/>
              <w:ind w:left="161" w:right="161" w:firstLine="0" w:firstLineChars="0"/>
              <w:jc w:val="center"/>
              <w:rPr>
                <w:kern w:val="0"/>
              </w:rPr>
            </w:pPr>
            <w:r>
              <w:rPr>
                <w:kern w:val="0"/>
                <w:sz w:val="21"/>
                <w:szCs w:val="21"/>
              </w:rPr>
              <w:t>1</w:t>
            </w:r>
          </w:p>
        </w:tc>
        <w:tc>
          <w:tcPr>
            <w:tcW w:w="1349" w:type="dxa"/>
            <w:vAlign w:val="center"/>
          </w:tcPr>
          <w:p>
            <w:pPr>
              <w:tabs>
                <w:tab w:val="clear" w:pos="480"/>
              </w:tabs>
              <w:kinsoku w:val="0"/>
              <w:overflowPunct w:val="0"/>
              <w:autoSpaceDE w:val="0"/>
              <w:autoSpaceDN w:val="0"/>
              <w:adjustRightInd w:val="0"/>
              <w:spacing w:line="276" w:lineRule="auto"/>
              <w:ind w:left="455" w:hanging="420" w:firstLineChars="0"/>
              <w:jc w:val="left"/>
              <w:rPr>
                <w:kern w:val="0"/>
              </w:rPr>
            </w:pPr>
            <w:r>
              <w:rPr>
                <w:kern w:val="0"/>
                <w:sz w:val="21"/>
                <w:szCs w:val="21"/>
              </w:rPr>
              <w:t>岳阳海事局海 事处</w:t>
            </w:r>
          </w:p>
        </w:tc>
        <w:tc>
          <w:tcPr>
            <w:tcW w:w="5657" w:type="dxa"/>
            <w:vAlign w:val="center"/>
          </w:tcPr>
          <w:p>
            <w:pPr>
              <w:tabs>
                <w:tab w:val="clear" w:pos="480"/>
              </w:tabs>
              <w:kinsoku w:val="0"/>
              <w:overflowPunct w:val="0"/>
              <w:autoSpaceDE w:val="0"/>
              <w:autoSpaceDN w:val="0"/>
              <w:adjustRightInd w:val="0"/>
              <w:spacing w:line="276" w:lineRule="auto"/>
              <w:ind w:left="80" w:firstLine="0" w:firstLineChars="0"/>
              <w:rPr>
                <w:kern w:val="0"/>
              </w:rPr>
            </w:pPr>
            <w:r>
              <w:rPr>
                <w:kern w:val="0"/>
                <w:sz w:val="21"/>
                <w:szCs w:val="21"/>
              </w:rPr>
              <w:t>接收水上事故险情报告，负责监督油污应急计划的实施，必要时协调水上专业救助队伍和交通行业有关部门的应急行动，调动各部门拥有的溢油应急反应的人力、物力、后勤支援，召集应急专家为本码头提供技术咨询支持。</w:t>
            </w:r>
          </w:p>
        </w:tc>
        <w:tc>
          <w:tcPr>
            <w:tcW w:w="1603" w:type="dxa"/>
            <w:vAlign w:val="center"/>
          </w:tcPr>
          <w:p>
            <w:pPr>
              <w:tabs>
                <w:tab w:val="clear" w:pos="480"/>
              </w:tabs>
              <w:kinsoku w:val="0"/>
              <w:overflowPunct w:val="0"/>
              <w:autoSpaceDE w:val="0"/>
              <w:autoSpaceDN w:val="0"/>
              <w:adjustRightInd w:val="0"/>
              <w:spacing w:line="276" w:lineRule="auto"/>
              <w:ind w:right="2" w:firstLine="0" w:firstLineChars="0"/>
              <w:jc w:val="center"/>
              <w:rPr>
                <w:kern w:val="0"/>
              </w:rPr>
            </w:pPr>
            <w:r>
              <w:rPr>
                <w:kern w:val="0"/>
                <w:sz w:val="21"/>
                <w:szCs w:val="21"/>
              </w:rPr>
              <w: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732" w:hRule="atLeast"/>
          <w:jc w:val="center"/>
        </w:trPr>
        <w:tc>
          <w:tcPr>
            <w:tcW w:w="492" w:type="dxa"/>
            <w:vAlign w:val="center"/>
          </w:tcPr>
          <w:p>
            <w:pPr>
              <w:tabs>
                <w:tab w:val="clear" w:pos="480"/>
              </w:tabs>
              <w:kinsoku w:val="0"/>
              <w:overflowPunct w:val="0"/>
              <w:autoSpaceDE w:val="0"/>
              <w:autoSpaceDN w:val="0"/>
              <w:adjustRightInd w:val="0"/>
              <w:spacing w:line="276" w:lineRule="auto"/>
              <w:ind w:left="161" w:right="161" w:firstLine="0" w:firstLineChars="0"/>
              <w:jc w:val="center"/>
              <w:rPr>
                <w:kern w:val="0"/>
              </w:rPr>
            </w:pPr>
            <w:r>
              <w:rPr>
                <w:kern w:val="0"/>
                <w:sz w:val="21"/>
                <w:szCs w:val="21"/>
              </w:rPr>
              <w:t>2</w:t>
            </w:r>
          </w:p>
        </w:tc>
        <w:tc>
          <w:tcPr>
            <w:tcW w:w="1349" w:type="dxa"/>
            <w:vAlign w:val="center"/>
          </w:tcPr>
          <w:p>
            <w:pPr>
              <w:tabs>
                <w:tab w:val="clear" w:pos="480"/>
              </w:tabs>
              <w:kinsoku w:val="0"/>
              <w:overflowPunct w:val="0"/>
              <w:autoSpaceDE w:val="0"/>
              <w:autoSpaceDN w:val="0"/>
              <w:adjustRightInd w:val="0"/>
              <w:spacing w:line="276" w:lineRule="auto"/>
              <w:ind w:firstLine="0" w:firstLineChars="0"/>
              <w:jc w:val="center"/>
              <w:rPr>
                <w:kern w:val="0"/>
                <w:sz w:val="20"/>
                <w:szCs w:val="20"/>
              </w:rPr>
            </w:pPr>
          </w:p>
          <w:p>
            <w:pPr>
              <w:tabs>
                <w:tab w:val="clear" w:pos="480"/>
              </w:tabs>
              <w:kinsoku w:val="0"/>
              <w:overflowPunct w:val="0"/>
              <w:autoSpaceDE w:val="0"/>
              <w:autoSpaceDN w:val="0"/>
              <w:adjustRightInd w:val="0"/>
              <w:spacing w:line="276" w:lineRule="auto"/>
              <w:ind w:left="35" w:firstLine="0" w:firstLineChars="0"/>
              <w:jc w:val="center"/>
              <w:rPr>
                <w:kern w:val="0"/>
              </w:rPr>
            </w:pPr>
            <w:r>
              <w:rPr>
                <w:kern w:val="0"/>
                <w:sz w:val="21"/>
                <w:szCs w:val="21"/>
              </w:rPr>
              <w:t>生态环境主管部门</w:t>
            </w:r>
          </w:p>
        </w:tc>
        <w:tc>
          <w:tcPr>
            <w:tcW w:w="5657" w:type="dxa"/>
            <w:vAlign w:val="center"/>
          </w:tcPr>
          <w:p>
            <w:pPr>
              <w:tabs>
                <w:tab w:val="clear" w:pos="480"/>
              </w:tabs>
              <w:kinsoku w:val="0"/>
              <w:overflowPunct w:val="0"/>
              <w:autoSpaceDE w:val="0"/>
              <w:autoSpaceDN w:val="0"/>
              <w:adjustRightInd w:val="0"/>
              <w:spacing w:line="276" w:lineRule="auto"/>
              <w:ind w:left="80" w:firstLine="0" w:firstLineChars="0"/>
              <w:rPr>
                <w:kern w:val="0"/>
              </w:rPr>
            </w:pPr>
            <w:r>
              <w:rPr>
                <w:kern w:val="0"/>
                <w:sz w:val="21"/>
                <w:szCs w:val="21"/>
              </w:rPr>
              <w:t>组织有关专家提供技术咨询，负责事故可能造成环境危害的监测组织、指导工作，组织有关单位人员进行现场监测，密切关注上下游水厂取水口水域水质变化情况，提供相应的环保监测技术支持。对事故处理后的吸油毡处置、溢油回收、清污作业等提出技术要求。</w:t>
            </w:r>
          </w:p>
        </w:tc>
        <w:tc>
          <w:tcPr>
            <w:tcW w:w="1603" w:type="dxa"/>
            <w:vAlign w:val="center"/>
          </w:tcPr>
          <w:p>
            <w:pPr>
              <w:tabs>
                <w:tab w:val="clear" w:pos="480"/>
              </w:tabs>
              <w:kinsoku w:val="0"/>
              <w:overflowPunct w:val="0"/>
              <w:autoSpaceDE w:val="0"/>
              <w:autoSpaceDN w:val="0"/>
              <w:adjustRightInd w:val="0"/>
              <w:spacing w:line="276" w:lineRule="auto"/>
              <w:ind w:left="41" w:right="42" w:firstLine="0" w:firstLineChars="0"/>
              <w:jc w:val="center"/>
              <w:rPr>
                <w:kern w:val="0"/>
                <w:sz w:val="21"/>
                <w:szCs w:val="21"/>
              </w:rPr>
            </w:pPr>
            <w:r>
              <w:rPr>
                <w:kern w:val="0"/>
                <w:sz w:val="21"/>
                <w:szCs w:val="21"/>
              </w:rPr>
              <w:t>湖南省生态环</w:t>
            </w:r>
          </w:p>
          <w:p>
            <w:pPr>
              <w:tabs>
                <w:tab w:val="clear" w:pos="480"/>
              </w:tabs>
              <w:kinsoku w:val="0"/>
              <w:overflowPunct w:val="0"/>
              <w:autoSpaceDE w:val="0"/>
              <w:autoSpaceDN w:val="0"/>
              <w:adjustRightInd w:val="0"/>
              <w:spacing w:line="276" w:lineRule="auto"/>
              <w:ind w:left="41" w:right="42" w:firstLine="0" w:firstLineChars="0"/>
              <w:jc w:val="center"/>
              <w:rPr>
                <w:kern w:val="0"/>
              </w:rPr>
            </w:pPr>
            <w:r>
              <w:rPr>
                <w:kern w:val="0"/>
                <w:sz w:val="21"/>
                <w:szCs w:val="21"/>
              </w:rPr>
              <w:t>境厅、岳阳市生态环境局、岳阳市生态环境局云溪分局</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114" w:hRule="atLeast"/>
          <w:jc w:val="center"/>
        </w:trPr>
        <w:tc>
          <w:tcPr>
            <w:tcW w:w="492" w:type="dxa"/>
            <w:vAlign w:val="center"/>
          </w:tcPr>
          <w:p>
            <w:pPr>
              <w:tabs>
                <w:tab w:val="clear" w:pos="480"/>
              </w:tabs>
              <w:kinsoku w:val="0"/>
              <w:overflowPunct w:val="0"/>
              <w:autoSpaceDE w:val="0"/>
              <w:autoSpaceDN w:val="0"/>
              <w:adjustRightInd w:val="0"/>
              <w:spacing w:line="276" w:lineRule="auto"/>
              <w:ind w:left="161" w:right="161" w:firstLine="0" w:firstLineChars="0"/>
              <w:jc w:val="center"/>
              <w:rPr>
                <w:kern w:val="0"/>
              </w:rPr>
            </w:pPr>
            <w:r>
              <w:rPr>
                <w:kern w:val="0"/>
                <w:sz w:val="21"/>
                <w:szCs w:val="21"/>
              </w:rPr>
              <w:t>3</w:t>
            </w:r>
          </w:p>
        </w:tc>
        <w:tc>
          <w:tcPr>
            <w:tcW w:w="1349" w:type="dxa"/>
            <w:vAlign w:val="center"/>
          </w:tcPr>
          <w:p>
            <w:pPr>
              <w:tabs>
                <w:tab w:val="clear" w:pos="480"/>
              </w:tabs>
              <w:kinsoku w:val="0"/>
              <w:overflowPunct w:val="0"/>
              <w:autoSpaceDE w:val="0"/>
              <w:autoSpaceDN w:val="0"/>
              <w:adjustRightInd w:val="0"/>
              <w:spacing w:before="3" w:line="276" w:lineRule="auto"/>
              <w:ind w:firstLine="0" w:firstLineChars="0"/>
              <w:jc w:val="left"/>
              <w:rPr>
                <w:kern w:val="0"/>
                <w:sz w:val="26"/>
                <w:szCs w:val="26"/>
              </w:rPr>
            </w:pPr>
          </w:p>
          <w:p>
            <w:pPr>
              <w:tabs>
                <w:tab w:val="clear" w:pos="480"/>
              </w:tabs>
              <w:kinsoku w:val="0"/>
              <w:overflowPunct w:val="0"/>
              <w:autoSpaceDE w:val="0"/>
              <w:autoSpaceDN w:val="0"/>
              <w:adjustRightInd w:val="0"/>
              <w:spacing w:line="276" w:lineRule="auto"/>
              <w:ind w:left="559" w:hanging="525" w:firstLineChars="0"/>
              <w:jc w:val="left"/>
              <w:rPr>
                <w:kern w:val="0"/>
              </w:rPr>
            </w:pPr>
            <w:r>
              <w:rPr>
                <w:kern w:val="0"/>
                <w:sz w:val="21"/>
                <w:szCs w:val="21"/>
              </w:rPr>
              <w:t>技术咨询专家 组</w:t>
            </w:r>
          </w:p>
        </w:tc>
        <w:tc>
          <w:tcPr>
            <w:tcW w:w="5657" w:type="dxa"/>
            <w:vAlign w:val="center"/>
          </w:tcPr>
          <w:p>
            <w:pPr>
              <w:tabs>
                <w:tab w:val="clear" w:pos="480"/>
              </w:tabs>
              <w:kinsoku w:val="0"/>
              <w:overflowPunct w:val="0"/>
              <w:autoSpaceDE w:val="0"/>
              <w:autoSpaceDN w:val="0"/>
              <w:adjustRightInd w:val="0"/>
              <w:spacing w:line="276" w:lineRule="auto"/>
              <w:ind w:left="80" w:firstLine="0" w:firstLineChars="0"/>
              <w:rPr>
                <w:kern w:val="0"/>
              </w:rPr>
            </w:pPr>
            <w:r>
              <w:rPr>
                <w:kern w:val="0"/>
                <w:sz w:val="21"/>
                <w:szCs w:val="21"/>
              </w:rPr>
              <w:t>由海事、生态环境等部门组织有关专家成立技术咨询专家组，为应急反应提供技术咨询参加应急反应决策支持工作。还将视事故影响程度聘请国内溢油应急反应专家，对事故影响预测、应急决策、清污作业和事故后的污染赔偿等处理提供咨询。</w:t>
            </w:r>
          </w:p>
        </w:tc>
        <w:tc>
          <w:tcPr>
            <w:tcW w:w="1603" w:type="dxa"/>
            <w:vAlign w:val="center"/>
          </w:tcPr>
          <w:p>
            <w:pPr>
              <w:tabs>
                <w:tab w:val="clear" w:pos="480"/>
              </w:tabs>
              <w:kinsoku w:val="0"/>
              <w:overflowPunct w:val="0"/>
              <w:autoSpaceDE w:val="0"/>
              <w:autoSpaceDN w:val="0"/>
              <w:adjustRightInd w:val="0"/>
              <w:spacing w:line="276" w:lineRule="auto"/>
              <w:ind w:left="375" w:hanging="315" w:firstLineChars="0"/>
              <w:jc w:val="center"/>
              <w:rPr>
                <w:kern w:val="0"/>
              </w:rPr>
            </w:pPr>
            <w:r>
              <w:rPr>
                <w:kern w:val="0"/>
                <w:sz w:val="21"/>
                <w:szCs w:val="21"/>
              </w:rPr>
              <w:t>事故发生时临时组建</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81" w:hRule="exact"/>
          <w:jc w:val="center"/>
        </w:trPr>
        <w:tc>
          <w:tcPr>
            <w:tcW w:w="492" w:type="dxa"/>
            <w:vMerge w:val="restart"/>
            <w:vAlign w:val="center"/>
          </w:tcPr>
          <w:p>
            <w:pPr>
              <w:tabs>
                <w:tab w:val="clear" w:pos="480"/>
              </w:tabs>
              <w:kinsoku w:val="0"/>
              <w:overflowPunct w:val="0"/>
              <w:autoSpaceDE w:val="0"/>
              <w:autoSpaceDN w:val="0"/>
              <w:adjustRightInd w:val="0"/>
              <w:spacing w:line="276" w:lineRule="auto"/>
              <w:ind w:left="161" w:right="161" w:firstLine="0" w:firstLineChars="0"/>
              <w:jc w:val="center"/>
              <w:rPr>
                <w:kern w:val="0"/>
              </w:rPr>
            </w:pPr>
            <w:r>
              <w:rPr>
                <w:kern w:val="0"/>
                <w:sz w:val="21"/>
                <w:szCs w:val="21"/>
              </w:rPr>
              <w:t>4</w:t>
            </w:r>
          </w:p>
        </w:tc>
        <w:tc>
          <w:tcPr>
            <w:tcW w:w="1349" w:type="dxa"/>
            <w:vMerge w:val="restart"/>
            <w:vAlign w:val="center"/>
          </w:tcPr>
          <w:p>
            <w:pPr>
              <w:tabs>
                <w:tab w:val="clear" w:pos="480"/>
              </w:tabs>
              <w:kinsoku w:val="0"/>
              <w:overflowPunct w:val="0"/>
              <w:autoSpaceDE w:val="0"/>
              <w:autoSpaceDN w:val="0"/>
              <w:adjustRightInd w:val="0"/>
              <w:spacing w:line="276" w:lineRule="auto"/>
              <w:ind w:left="139" w:hanging="105" w:firstLineChars="0"/>
              <w:jc w:val="left"/>
              <w:rPr>
                <w:kern w:val="0"/>
              </w:rPr>
            </w:pPr>
            <w:r>
              <w:rPr>
                <w:kern w:val="0"/>
                <w:sz w:val="21"/>
                <w:szCs w:val="21"/>
              </w:rPr>
              <w:t>项目生产安全部</w:t>
            </w:r>
          </w:p>
        </w:tc>
        <w:tc>
          <w:tcPr>
            <w:tcW w:w="5657" w:type="dxa"/>
            <w:vMerge w:val="restart"/>
            <w:vAlign w:val="center"/>
          </w:tcPr>
          <w:p>
            <w:pPr>
              <w:tabs>
                <w:tab w:val="clear" w:pos="480"/>
              </w:tabs>
              <w:kinsoku w:val="0"/>
              <w:overflowPunct w:val="0"/>
              <w:autoSpaceDE w:val="0"/>
              <w:autoSpaceDN w:val="0"/>
              <w:adjustRightInd w:val="0"/>
              <w:spacing w:line="276" w:lineRule="auto"/>
              <w:ind w:left="80" w:firstLine="0" w:firstLineChars="0"/>
              <w:rPr>
                <w:kern w:val="0"/>
              </w:rPr>
            </w:pPr>
            <w:r>
              <w:rPr>
                <w:kern w:val="0"/>
                <w:sz w:val="21"/>
                <w:szCs w:val="21"/>
              </w:rPr>
              <w:t>应急指挥中心主任在应急指挥中担任本码头现场应急总指挥，下达调动本分公司各种力量参加抢险、救援命令，决策重大事 故处理方案，决定向本系统上级汇报或请求其它救援的时间、方式等。</w:t>
            </w:r>
          </w:p>
        </w:tc>
        <w:tc>
          <w:tcPr>
            <w:tcW w:w="1603" w:type="dxa"/>
            <w:vAlign w:val="center"/>
          </w:tcPr>
          <w:p>
            <w:pPr>
              <w:tabs>
                <w:tab w:val="clear" w:pos="480"/>
              </w:tabs>
              <w:kinsoku w:val="0"/>
              <w:overflowPunct w:val="0"/>
              <w:autoSpaceDE w:val="0"/>
              <w:autoSpaceDN w:val="0"/>
              <w:adjustRightInd w:val="0"/>
              <w:spacing w:before="75" w:line="276" w:lineRule="auto"/>
              <w:ind w:firstLine="0" w:firstLineChars="0"/>
              <w:jc w:val="center"/>
              <w:rPr>
                <w:kern w:val="0"/>
              </w:rPr>
            </w:pPr>
            <w:r>
              <w:rPr>
                <w:kern w:val="0"/>
                <w:sz w:val="21"/>
                <w:szCs w:val="21"/>
              </w:rPr>
              <w:t>法人代表</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13" w:hRule="atLeast"/>
          <w:jc w:val="center"/>
        </w:trPr>
        <w:tc>
          <w:tcPr>
            <w:tcW w:w="492" w:type="dxa"/>
            <w:vMerge w:val="continue"/>
            <w:vAlign w:val="center"/>
          </w:tcPr>
          <w:p>
            <w:pPr>
              <w:tabs>
                <w:tab w:val="clear" w:pos="480"/>
              </w:tabs>
              <w:kinsoku w:val="0"/>
              <w:overflowPunct w:val="0"/>
              <w:autoSpaceDE w:val="0"/>
              <w:autoSpaceDN w:val="0"/>
              <w:adjustRightInd w:val="0"/>
              <w:spacing w:before="75" w:line="276" w:lineRule="auto"/>
              <w:ind w:left="271" w:firstLine="0" w:firstLineChars="0"/>
              <w:jc w:val="left"/>
              <w:rPr>
                <w:kern w:val="0"/>
              </w:rPr>
            </w:pPr>
          </w:p>
        </w:tc>
        <w:tc>
          <w:tcPr>
            <w:tcW w:w="1349" w:type="dxa"/>
            <w:vMerge w:val="continue"/>
            <w:vAlign w:val="center"/>
          </w:tcPr>
          <w:p>
            <w:pPr>
              <w:tabs>
                <w:tab w:val="clear" w:pos="480"/>
              </w:tabs>
              <w:kinsoku w:val="0"/>
              <w:overflowPunct w:val="0"/>
              <w:autoSpaceDE w:val="0"/>
              <w:autoSpaceDN w:val="0"/>
              <w:adjustRightInd w:val="0"/>
              <w:spacing w:before="75" w:line="276" w:lineRule="auto"/>
              <w:ind w:left="271" w:firstLine="0" w:firstLineChars="0"/>
              <w:jc w:val="left"/>
              <w:rPr>
                <w:kern w:val="0"/>
              </w:rPr>
            </w:pPr>
          </w:p>
        </w:tc>
        <w:tc>
          <w:tcPr>
            <w:tcW w:w="5657" w:type="dxa"/>
            <w:vMerge w:val="continue"/>
            <w:vAlign w:val="center"/>
          </w:tcPr>
          <w:p>
            <w:pPr>
              <w:kinsoku w:val="0"/>
              <w:overflowPunct w:val="0"/>
              <w:autoSpaceDE w:val="0"/>
              <w:autoSpaceDN w:val="0"/>
              <w:adjustRightInd w:val="0"/>
              <w:spacing w:line="276" w:lineRule="auto"/>
              <w:ind w:left="2055" w:right="2060" w:firstLine="480"/>
              <w:rPr>
                <w:kern w:val="0"/>
              </w:rPr>
            </w:pPr>
          </w:p>
        </w:tc>
        <w:tc>
          <w:tcPr>
            <w:tcW w:w="1603" w:type="dxa"/>
            <w:vAlign w:val="center"/>
          </w:tcPr>
          <w:p>
            <w:pPr>
              <w:tabs>
                <w:tab w:val="clear" w:pos="480"/>
              </w:tabs>
              <w:kinsoku w:val="0"/>
              <w:overflowPunct w:val="0"/>
              <w:autoSpaceDE w:val="0"/>
              <w:autoSpaceDN w:val="0"/>
              <w:adjustRightInd w:val="0"/>
              <w:spacing w:before="46" w:line="276" w:lineRule="auto"/>
              <w:ind w:left="165" w:firstLine="0" w:firstLineChars="0"/>
              <w:jc w:val="center"/>
              <w:rPr>
                <w:kern w:val="0"/>
              </w:rPr>
            </w:pPr>
            <w:r>
              <w:rPr>
                <w:kern w:val="0"/>
                <w:sz w:val="21"/>
                <w:szCs w:val="21"/>
              </w:rPr>
              <w:t>部门负责人</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375" w:hRule="atLeast"/>
          <w:jc w:val="center"/>
        </w:trPr>
        <w:tc>
          <w:tcPr>
            <w:tcW w:w="492" w:type="dxa"/>
            <w:vAlign w:val="center"/>
          </w:tcPr>
          <w:p>
            <w:pPr>
              <w:tabs>
                <w:tab w:val="clear" w:pos="480"/>
              </w:tabs>
              <w:kinsoku w:val="0"/>
              <w:overflowPunct w:val="0"/>
              <w:autoSpaceDE w:val="0"/>
              <w:autoSpaceDN w:val="0"/>
              <w:adjustRightInd w:val="0"/>
              <w:spacing w:before="8" w:line="276" w:lineRule="auto"/>
              <w:ind w:firstLine="0" w:firstLineChars="0"/>
              <w:jc w:val="left"/>
              <w:rPr>
                <w:kern w:val="0"/>
                <w:sz w:val="15"/>
                <w:szCs w:val="15"/>
              </w:rPr>
            </w:pPr>
          </w:p>
          <w:p>
            <w:pPr>
              <w:tabs>
                <w:tab w:val="clear" w:pos="480"/>
              </w:tabs>
              <w:kinsoku w:val="0"/>
              <w:overflowPunct w:val="0"/>
              <w:autoSpaceDE w:val="0"/>
              <w:autoSpaceDN w:val="0"/>
              <w:adjustRightInd w:val="0"/>
              <w:spacing w:line="276" w:lineRule="auto"/>
              <w:ind w:left="161" w:right="161" w:firstLine="0" w:firstLineChars="0"/>
              <w:jc w:val="center"/>
              <w:rPr>
                <w:kern w:val="0"/>
              </w:rPr>
            </w:pPr>
            <w:r>
              <w:rPr>
                <w:kern w:val="0"/>
                <w:sz w:val="21"/>
                <w:szCs w:val="21"/>
              </w:rPr>
              <w:t>5</w:t>
            </w:r>
          </w:p>
        </w:tc>
        <w:tc>
          <w:tcPr>
            <w:tcW w:w="1349" w:type="dxa"/>
            <w:vAlign w:val="center"/>
          </w:tcPr>
          <w:p>
            <w:pPr>
              <w:tabs>
                <w:tab w:val="clear" w:pos="480"/>
              </w:tabs>
              <w:kinsoku w:val="0"/>
              <w:overflowPunct w:val="0"/>
              <w:autoSpaceDE w:val="0"/>
              <w:autoSpaceDN w:val="0"/>
              <w:adjustRightInd w:val="0"/>
              <w:spacing w:line="276" w:lineRule="auto"/>
              <w:ind w:left="35" w:right="37" w:firstLine="0" w:firstLineChars="0"/>
              <w:jc w:val="center"/>
              <w:rPr>
                <w:kern w:val="0"/>
              </w:rPr>
            </w:pPr>
            <w:r>
              <w:rPr>
                <w:kern w:val="0"/>
                <w:sz w:val="21"/>
                <w:szCs w:val="21"/>
              </w:rPr>
              <w:t>项目生产安全部应急小组</w:t>
            </w:r>
          </w:p>
        </w:tc>
        <w:tc>
          <w:tcPr>
            <w:tcW w:w="5657" w:type="dxa"/>
            <w:vAlign w:val="center"/>
          </w:tcPr>
          <w:p>
            <w:pPr>
              <w:tabs>
                <w:tab w:val="clear" w:pos="480"/>
              </w:tabs>
              <w:kinsoku w:val="0"/>
              <w:overflowPunct w:val="0"/>
              <w:autoSpaceDE w:val="0"/>
              <w:autoSpaceDN w:val="0"/>
              <w:adjustRightInd w:val="0"/>
              <w:spacing w:line="276" w:lineRule="auto"/>
              <w:ind w:left="80" w:firstLine="0" w:firstLineChars="0"/>
              <w:rPr>
                <w:kern w:val="0"/>
              </w:rPr>
            </w:pPr>
            <w:r>
              <w:rPr>
                <w:kern w:val="0"/>
                <w:sz w:val="21"/>
                <w:szCs w:val="21"/>
              </w:rPr>
              <w:t>组长全面负责本计划实施。在接到现场事故报告后组织本港区人员采取应急措施，并在海事局主管部门领导、公司应急小组领导抵达现场前担任应急指挥。组长不在现场时，副组长担任 总监相应的职责，依此类推。小组成员执行组长或应急总指挥下达的命令，具体负责组织现场人员回收或消除溢油等工作。</w:t>
            </w:r>
          </w:p>
        </w:tc>
        <w:tc>
          <w:tcPr>
            <w:tcW w:w="1603" w:type="dxa"/>
            <w:vAlign w:val="center"/>
          </w:tcPr>
          <w:p>
            <w:pPr>
              <w:tabs>
                <w:tab w:val="clear" w:pos="480"/>
              </w:tabs>
              <w:kinsoku w:val="0"/>
              <w:overflowPunct w:val="0"/>
              <w:autoSpaceDE w:val="0"/>
              <w:autoSpaceDN w:val="0"/>
              <w:adjustRightInd w:val="0"/>
              <w:spacing w:line="276" w:lineRule="auto"/>
              <w:ind w:left="585" w:hanging="525" w:firstLineChars="0"/>
              <w:jc w:val="center"/>
              <w:rPr>
                <w:kern w:val="0"/>
              </w:rPr>
            </w:pPr>
            <w:r>
              <w:rPr>
                <w:kern w:val="0"/>
                <w:sz w:val="21"/>
                <w:szCs w:val="21"/>
              </w:rPr>
              <w:t>项目建成后组建</w:t>
            </w:r>
          </w:p>
        </w:tc>
      </w:tr>
    </w:tbl>
    <w:p>
      <w:pPr>
        <w:pStyle w:val="458"/>
        <w:ind w:firstLine="482"/>
        <w:rPr>
          <w:rFonts w:cs="Times New Roman"/>
          <w:b/>
          <w:color w:val="auto"/>
        </w:rPr>
      </w:pPr>
      <w:r>
        <w:rPr>
          <w:rFonts w:cs="Times New Roman"/>
          <w:b/>
          <w:color w:val="auto"/>
        </w:rPr>
        <w:t>2、应急防治队伍</w:t>
      </w:r>
    </w:p>
    <w:p>
      <w:pPr>
        <w:ind w:firstLine="480"/>
      </w:pPr>
      <w:r>
        <w:t>成立专职应急队伍，可选择平时从事围油栏铺设作业、回收和处理污染物水及残油、 以及码头装卸作业人员等，发生污染事故时，可以立即投入应急行动。</w:t>
      </w:r>
    </w:p>
    <w:p>
      <w:pPr>
        <w:pStyle w:val="458"/>
        <w:ind w:firstLine="482"/>
        <w:rPr>
          <w:rFonts w:cs="Times New Roman"/>
          <w:b/>
          <w:color w:val="auto"/>
        </w:rPr>
      </w:pPr>
      <w:r>
        <w:rPr>
          <w:rFonts w:cs="Times New Roman"/>
          <w:b/>
          <w:color w:val="auto"/>
        </w:rPr>
        <w:t>3、人员培训</w:t>
      </w:r>
    </w:p>
    <w:p>
      <w:pPr>
        <w:pStyle w:val="458"/>
        <w:ind w:firstLine="480"/>
        <w:rPr>
          <w:rFonts w:cs="Times New Roman"/>
          <w:color w:val="auto"/>
        </w:rPr>
      </w:pPr>
      <w:r>
        <w:rPr>
          <w:rFonts w:cs="Times New Roman"/>
          <w:color w:val="auto"/>
        </w:rPr>
        <w:t>码头应急反应的有关管理人员、设施操作人员、应急清污人员应通过专业培训和在职培训，掌握履行其职责所需的相关知识，逐步实现应急反应人员持证上岗，使应急人 员具备应急反应理论和溢油控制及清污的实践经验。</w:t>
      </w:r>
    </w:p>
    <w:p>
      <w:pPr>
        <w:ind w:firstLine="482"/>
        <w:rPr>
          <w:b/>
        </w:rPr>
      </w:pPr>
      <w:r>
        <w:rPr>
          <w:b/>
        </w:rPr>
        <w:t>4、演习</w:t>
      </w:r>
    </w:p>
    <w:p>
      <w:pPr>
        <w:ind w:firstLine="480"/>
      </w:pPr>
      <w:r>
        <w:t>为了提高应对水上突发事件的应急处置水平和应急指挥能力，增强应急队伍应急处置和安全保护技能，加强各应急救助单位之间的配合与沟通，检验参与单位应急能力， 应适时组织举办综合演习。</w:t>
      </w:r>
    </w:p>
    <w:p>
      <w:pPr>
        <w:ind w:firstLine="480"/>
      </w:pPr>
      <w:r>
        <w:rPr>
          <w:rFonts w:hint="eastAsia" w:ascii="宋体" w:hAnsi="宋体" w:cs="宋体"/>
        </w:rPr>
        <w:t>①</w:t>
      </w:r>
      <w:r>
        <w:t xml:space="preserve"> 每年举行一次溢油应急演习，检验各个环节是否能快速、协调、有效地实施。</w:t>
      </w:r>
    </w:p>
    <w:p>
      <w:pPr>
        <w:ind w:firstLine="480"/>
      </w:pPr>
      <w:r>
        <w:rPr>
          <w:rFonts w:hint="eastAsia" w:ascii="宋体" w:hAnsi="宋体" w:cs="宋体"/>
        </w:rPr>
        <w:t>②</w:t>
      </w:r>
      <w:r>
        <w:t xml:space="preserve"> 演习分室内演习和现场实地模拟事故演习。</w:t>
      </w:r>
    </w:p>
    <w:p>
      <w:pPr>
        <w:ind w:firstLine="480"/>
      </w:pPr>
      <w:r>
        <w:rPr>
          <w:rFonts w:hint="eastAsia" w:ascii="宋体" w:hAnsi="宋体" w:cs="宋体"/>
        </w:rPr>
        <w:t>③</w:t>
      </w:r>
      <w:r>
        <w:t xml:space="preserve"> 演习前，溢油应急指挥部办公室做好演习方案。</w:t>
      </w:r>
    </w:p>
    <w:p>
      <w:pPr>
        <w:ind w:firstLine="480"/>
      </w:pPr>
      <w:r>
        <w:t>演习内容：</w:t>
      </w:r>
    </w:p>
    <w:p>
      <w:pPr>
        <w:ind w:firstLine="480"/>
      </w:pPr>
      <w:r>
        <w:rPr>
          <w:rFonts w:hint="eastAsia" w:ascii="宋体" w:hAnsi="宋体" w:cs="宋体"/>
        </w:rPr>
        <w:t>①</w:t>
      </w:r>
      <w:r>
        <w:t xml:space="preserve"> 执行指挥人员的指示。</w:t>
      </w:r>
    </w:p>
    <w:p>
      <w:pPr>
        <w:ind w:firstLine="480"/>
      </w:pPr>
      <w:r>
        <w:rPr>
          <w:rFonts w:hint="eastAsia" w:ascii="宋体" w:hAnsi="宋体" w:cs="宋体"/>
        </w:rPr>
        <w:t>②</w:t>
      </w:r>
      <w:r>
        <w:t xml:space="preserve"> 使用各种设备和器材。</w:t>
      </w:r>
    </w:p>
    <w:p>
      <w:pPr>
        <w:ind w:firstLine="480"/>
      </w:pPr>
      <w:r>
        <w:rPr>
          <w:rFonts w:hint="eastAsia" w:ascii="宋体" w:hAnsi="宋体" w:cs="宋体"/>
        </w:rPr>
        <w:t>③</w:t>
      </w:r>
      <w:r>
        <w:t xml:space="preserve"> 完成溢油围油栏和清除作业。</w:t>
      </w:r>
    </w:p>
    <w:p>
      <w:pPr>
        <w:ind w:firstLine="480"/>
      </w:pPr>
      <w:r>
        <w:rPr>
          <w:rFonts w:hint="eastAsia" w:ascii="宋体" w:hAnsi="宋体" w:cs="宋体"/>
        </w:rPr>
        <w:t>④</w:t>
      </w:r>
      <w:r>
        <w:t xml:space="preserve"> 清除受影响地区的溢油。</w:t>
      </w:r>
    </w:p>
    <w:p>
      <w:pPr>
        <w:ind w:firstLine="480"/>
      </w:pPr>
      <w:r>
        <w:rPr>
          <w:rFonts w:hint="eastAsia" w:ascii="宋体" w:hAnsi="宋体" w:cs="宋体"/>
        </w:rPr>
        <w:t>⑤</w:t>
      </w:r>
      <w:r>
        <w:t xml:space="preserve"> 回收、清洁、修复和储存各种设备。</w:t>
      </w:r>
    </w:p>
    <w:p>
      <w:pPr>
        <w:ind w:firstLine="482"/>
        <w:rPr>
          <w:b/>
        </w:rPr>
      </w:pPr>
      <w:r>
        <w:rPr>
          <w:b/>
        </w:rPr>
        <w:t>5、定期检查</w:t>
      </w:r>
    </w:p>
    <w:p>
      <w:pPr>
        <w:ind w:firstLine="480"/>
      </w:pPr>
      <w:r>
        <w:t>本应急计划保证相关人员人手一册，并且每年进行一次计划检查，及时对应急组织指挥机构成员及其联系方式进行修改更新。</w:t>
      </w:r>
    </w:p>
    <w:p>
      <w:pPr>
        <w:pStyle w:val="456"/>
        <w:ind w:firstLine="482"/>
      </w:pPr>
      <w:r>
        <w:t>应急抢险设备和材料的配备</w:t>
      </w:r>
    </w:p>
    <w:p>
      <w:pPr>
        <w:ind w:firstLine="480"/>
      </w:pPr>
      <w:r>
        <w:t>本项目应备有通讯联络器材设备，当出现事故时，能顺畅地与当地方海事局、应急队伍联络上，并积极配合海事局和环保部门、渔业部门做好相关应急工作。</w:t>
      </w:r>
    </w:p>
    <w:p>
      <w:pPr>
        <w:ind w:firstLine="480"/>
      </w:pPr>
      <w:r>
        <w:t>根据《港口码头水上污染事故应急防备能力要求》（JTT451-2016），码头、装卸站可通过自行配置、联防等方式按照要求配置水上污染事故基本应急防备设备和物资；基本应急防备设备和物资应能在接到应急反应通知后1小时内到达码头前沿水域事故现场。河港从事非油类物质作业的码头水上溢油应急设施、设备、物资配备要求见</w:t>
      </w:r>
      <w:r>
        <w:rPr>
          <w:rFonts w:hint="eastAsia"/>
          <w:lang w:val="en-US" w:eastAsia="zh-CN"/>
        </w:rPr>
        <w:t>表7-5</w:t>
      </w:r>
      <w:r>
        <w:t>。</w:t>
      </w:r>
    </w:p>
    <w:p>
      <w:pPr>
        <w:pStyle w:val="3590"/>
        <w:rPr>
          <w:rFonts w:ascii="Times New Roman" w:hAnsi="Times New Roman" w:eastAsia="宋体" w:cs="Times New Roman"/>
        </w:rPr>
      </w:pPr>
      <w:r>
        <w:rPr>
          <w:rFonts w:ascii="Times New Roman" w:hAnsi="Times New Roman" w:eastAsia="宋体" w:cs="Times New Roman"/>
        </w:rPr>
        <w:t xml:space="preserve"> 河港其它码头水上溢油应急设施、设备、物资配备要求</w:t>
      </w:r>
    </w:p>
    <w:tbl>
      <w:tblPr>
        <w:tblStyle w:val="8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4"/>
        <w:gridCol w:w="1526"/>
        <w:gridCol w:w="1658"/>
        <w:gridCol w:w="1673"/>
        <w:gridCol w:w="1677"/>
        <w:gridCol w:w="15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1476" w:type="pct"/>
            <w:gridSpan w:val="2"/>
            <w:vMerge w:val="restar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设备名称</w:t>
            </w:r>
          </w:p>
        </w:tc>
        <w:tc>
          <w:tcPr>
            <w:tcW w:w="3523" w:type="pct"/>
            <w:gridSpan w:val="4"/>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靠泊能力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1476" w:type="pct"/>
            <w:gridSpan w:val="2"/>
            <w:vMerge w:val="continue"/>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rFonts w:eastAsia="宋体"/>
                <w:sz w:val="21"/>
                <w:szCs w:val="21"/>
              </w:rPr>
            </w:pPr>
          </w:p>
        </w:tc>
        <w:tc>
          <w:tcPr>
            <w:tcW w:w="893"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1000</w:t>
            </w:r>
            <w:r>
              <w:rPr>
                <w:rFonts w:ascii="宋体" w:hAnsi="宋体"/>
                <w:sz w:val="21"/>
                <w:szCs w:val="21"/>
              </w:rPr>
              <w:t>吨级～</w:t>
            </w:r>
            <w:r>
              <w:rPr>
                <w:sz w:val="21"/>
                <w:szCs w:val="21"/>
              </w:rPr>
              <w:t>5000</w:t>
            </w:r>
            <w:r>
              <w:rPr>
                <w:rFonts w:ascii="宋体" w:hAnsi="宋体"/>
                <w:sz w:val="21"/>
                <w:szCs w:val="21"/>
              </w:rPr>
              <w:t>吨级</w:t>
            </w:r>
            <w:r>
              <w:rPr>
                <w:sz w:val="21"/>
                <w:szCs w:val="21"/>
              </w:rPr>
              <w:t>(</w:t>
            </w:r>
            <w:r>
              <w:rPr>
                <w:rFonts w:ascii="宋体" w:hAnsi="宋体"/>
                <w:sz w:val="21"/>
                <w:szCs w:val="21"/>
              </w:rPr>
              <w:t>含</w:t>
            </w:r>
            <w:r>
              <w:rPr>
                <w:sz w:val="21"/>
                <w:szCs w:val="21"/>
              </w:rPr>
              <w:t>)</w:t>
            </w:r>
          </w:p>
        </w:tc>
        <w:tc>
          <w:tcPr>
            <w:tcW w:w="901"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5000</w:t>
            </w:r>
            <w:r>
              <w:rPr>
                <w:rFonts w:ascii="宋体" w:hAnsi="宋体"/>
                <w:sz w:val="21"/>
                <w:szCs w:val="21"/>
              </w:rPr>
              <w:t>吨级～</w:t>
            </w:r>
            <w:r>
              <w:rPr>
                <w:sz w:val="21"/>
                <w:szCs w:val="21"/>
              </w:rPr>
              <w:t>10000</w:t>
            </w:r>
            <w:r>
              <w:rPr>
                <w:rFonts w:ascii="宋体" w:hAnsi="宋体"/>
                <w:sz w:val="21"/>
                <w:szCs w:val="21"/>
              </w:rPr>
              <w:t>吨级</w:t>
            </w:r>
            <w:r>
              <w:rPr>
                <w:sz w:val="21"/>
                <w:szCs w:val="21"/>
              </w:rPr>
              <w:t>(</w:t>
            </w:r>
            <w:r>
              <w:rPr>
                <w:rFonts w:ascii="宋体" w:hAnsi="宋体"/>
                <w:sz w:val="21"/>
                <w:szCs w:val="21"/>
              </w:rPr>
              <w:t>含</w:t>
            </w:r>
            <w:r>
              <w:rPr>
                <w:sz w:val="21"/>
                <w:szCs w:val="21"/>
              </w:rPr>
              <w:t>)</w:t>
            </w:r>
          </w:p>
        </w:tc>
        <w:tc>
          <w:tcPr>
            <w:tcW w:w="903"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10000</w:t>
            </w:r>
            <w:r>
              <w:rPr>
                <w:rFonts w:ascii="宋体" w:hAnsi="宋体"/>
                <w:sz w:val="21"/>
                <w:szCs w:val="21"/>
              </w:rPr>
              <w:t>吨级～</w:t>
            </w:r>
            <w:r>
              <w:rPr>
                <w:sz w:val="21"/>
                <w:szCs w:val="21"/>
              </w:rPr>
              <w:t>50000</w:t>
            </w:r>
            <w:r>
              <w:rPr>
                <w:rFonts w:ascii="宋体" w:hAnsi="宋体"/>
                <w:sz w:val="21"/>
                <w:szCs w:val="21"/>
              </w:rPr>
              <w:t>吨级</w:t>
            </w:r>
          </w:p>
        </w:tc>
        <w:tc>
          <w:tcPr>
            <w:tcW w:w="824"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50000</w:t>
            </w:r>
            <w:r>
              <w:rPr>
                <w:rFonts w:ascii="宋体" w:hAnsi="宋体"/>
                <w:sz w:val="21"/>
                <w:szCs w:val="21"/>
              </w:rPr>
              <w:t>吨级及以上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654"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围油栏</w:t>
            </w:r>
          </w:p>
        </w:tc>
        <w:tc>
          <w:tcPr>
            <w:tcW w:w="821"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应急型m</w:t>
            </w:r>
          </w:p>
        </w:tc>
        <w:tc>
          <w:tcPr>
            <w:tcW w:w="3523" w:type="pct"/>
            <w:gridSpan w:val="4"/>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不低于最大设计船型的3</w:t>
            </w:r>
            <w:r>
              <w:rPr>
                <w:rFonts w:ascii="宋体" w:hAnsi="宋体"/>
                <w:sz w:val="21"/>
                <w:szCs w:val="21"/>
              </w:rPr>
              <w:t>倍设计船长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654"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收油机</w:t>
            </w:r>
          </w:p>
        </w:tc>
        <w:tc>
          <w:tcPr>
            <w:tcW w:w="821"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总能力m</w:t>
            </w:r>
            <w:r>
              <w:rPr>
                <w:sz w:val="21"/>
                <w:szCs w:val="21"/>
                <w:vertAlign w:val="superscript"/>
              </w:rPr>
              <w:t>3</w:t>
            </w:r>
            <w:r>
              <w:rPr>
                <w:sz w:val="21"/>
                <w:szCs w:val="21"/>
              </w:rPr>
              <w:t>/h</w:t>
            </w:r>
          </w:p>
        </w:tc>
        <w:tc>
          <w:tcPr>
            <w:tcW w:w="893"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1</w:t>
            </w:r>
          </w:p>
        </w:tc>
        <w:tc>
          <w:tcPr>
            <w:tcW w:w="901"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2</w:t>
            </w:r>
          </w:p>
        </w:tc>
        <w:tc>
          <w:tcPr>
            <w:tcW w:w="903"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3</w:t>
            </w:r>
          </w:p>
        </w:tc>
        <w:tc>
          <w:tcPr>
            <w:tcW w:w="824"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654"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油拖网</w:t>
            </w:r>
          </w:p>
        </w:tc>
        <w:tc>
          <w:tcPr>
            <w:tcW w:w="821"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数量套</w:t>
            </w:r>
          </w:p>
        </w:tc>
        <w:tc>
          <w:tcPr>
            <w:tcW w:w="3523" w:type="pct"/>
            <w:gridSpan w:val="4"/>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654"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吸油材料</w:t>
            </w:r>
          </w:p>
        </w:tc>
        <w:tc>
          <w:tcPr>
            <w:tcW w:w="821"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数量t</w:t>
            </w:r>
          </w:p>
        </w:tc>
        <w:tc>
          <w:tcPr>
            <w:tcW w:w="893"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0.2</w:t>
            </w:r>
          </w:p>
        </w:tc>
        <w:tc>
          <w:tcPr>
            <w:tcW w:w="901"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0.3</w:t>
            </w:r>
          </w:p>
        </w:tc>
        <w:tc>
          <w:tcPr>
            <w:tcW w:w="903"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0.5</w:t>
            </w:r>
          </w:p>
        </w:tc>
        <w:tc>
          <w:tcPr>
            <w:tcW w:w="824"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654"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储存装置</w:t>
            </w:r>
          </w:p>
        </w:tc>
        <w:tc>
          <w:tcPr>
            <w:tcW w:w="821"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有效容积m</w:t>
            </w:r>
            <w:r>
              <w:rPr>
                <w:sz w:val="21"/>
                <w:szCs w:val="21"/>
                <w:vertAlign w:val="superscript"/>
              </w:rPr>
              <w:t>3</w:t>
            </w:r>
          </w:p>
        </w:tc>
        <w:tc>
          <w:tcPr>
            <w:tcW w:w="893"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1</w:t>
            </w:r>
          </w:p>
        </w:tc>
        <w:tc>
          <w:tcPr>
            <w:tcW w:w="901"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2</w:t>
            </w:r>
          </w:p>
        </w:tc>
        <w:tc>
          <w:tcPr>
            <w:tcW w:w="903"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3</w:t>
            </w:r>
          </w:p>
        </w:tc>
        <w:tc>
          <w:tcPr>
            <w:tcW w:w="824"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textAlignment w:val="auto"/>
              <w:rPr>
                <w:sz w:val="21"/>
                <w:szCs w:val="21"/>
              </w:rPr>
            </w:pPr>
            <w:r>
              <w:rPr>
                <w:sz w:val="21"/>
                <w:szCs w:val="21"/>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5000" w:type="pct"/>
            <w:gridSpan w:val="6"/>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sz w:val="21"/>
                <w:szCs w:val="21"/>
              </w:rPr>
            </w:pPr>
            <w:r>
              <w:rPr>
                <w:sz w:val="21"/>
                <w:szCs w:val="21"/>
              </w:rPr>
              <w:t>注：仅适用于油品的粘度大于6000cSt</w:t>
            </w:r>
            <w:r>
              <w:rPr>
                <w:rFonts w:ascii="宋体" w:hAnsi="宋体"/>
                <w:sz w:val="21"/>
                <w:szCs w:val="21"/>
              </w:rPr>
              <w:t>或港区水域的水温可能低于油品的凝点的情况下配备。</w:t>
            </w:r>
          </w:p>
        </w:tc>
      </w:tr>
    </w:tbl>
    <w:p>
      <w:pPr>
        <w:ind w:firstLine="480"/>
        <w:rPr>
          <w:rFonts w:cs="Times New Roman"/>
        </w:rPr>
      </w:pPr>
      <w:r>
        <w:t>拟建码头设计代表船型为</w:t>
      </w:r>
      <w:r>
        <w:rPr>
          <w:rFonts w:hint="eastAsia"/>
          <w:lang w:val="en-US" w:eastAsia="zh-CN"/>
        </w:rPr>
        <w:t>5</w:t>
      </w:r>
      <w:r>
        <w:t>000</w:t>
      </w:r>
      <w:r>
        <w:rPr>
          <w:rFonts w:hint="eastAsia"/>
          <w:lang w:val="en-US" w:eastAsia="zh-CN"/>
        </w:rPr>
        <w:t>~10000</w:t>
      </w:r>
      <w:r>
        <w:t>t级普通货船，</w:t>
      </w:r>
      <w:r>
        <w:rPr>
          <w:rFonts w:hint="eastAsia"/>
          <w:lang w:val="en-US" w:eastAsia="zh-CN"/>
        </w:rPr>
        <w:t>最大</w:t>
      </w:r>
      <w:r>
        <w:t>船</w:t>
      </w:r>
      <w:r>
        <w:rPr>
          <w:rFonts w:hint="eastAsia"/>
          <w:lang w:val="en-US" w:eastAsia="zh-CN"/>
        </w:rPr>
        <w:t>型</w:t>
      </w:r>
      <w:r>
        <w:t>为1</w:t>
      </w:r>
      <w:r>
        <w:rPr>
          <w:rFonts w:hint="eastAsia"/>
          <w:lang w:val="en-US" w:eastAsia="zh-CN"/>
        </w:rPr>
        <w:t>23</w:t>
      </w:r>
      <w:r>
        <w:t>m</w:t>
      </w:r>
      <w:r>
        <w:rPr>
          <w:rFonts w:hint="eastAsia"/>
          <w:lang w:val="en-US" w:eastAsia="zh-CN"/>
        </w:rPr>
        <w:t>×21.6m船型</w:t>
      </w:r>
      <w:r>
        <w:t>，因此应急型围油栏的长度至少需</w:t>
      </w:r>
      <w:r>
        <w:rPr>
          <w:rFonts w:hint="eastAsia"/>
          <w:lang w:val="en-US" w:eastAsia="zh-CN"/>
        </w:rPr>
        <w:t>369</w:t>
      </w:r>
      <w:r>
        <w:t>m。因此，码头风险控制措施设备见</w:t>
      </w:r>
      <w:r>
        <w:rPr>
          <w:rFonts w:hint="eastAsia"/>
          <w:lang w:val="en-US" w:eastAsia="zh-CN"/>
        </w:rPr>
        <w:t>表7-6</w:t>
      </w:r>
      <w:r>
        <w:t>。</w:t>
      </w:r>
    </w:p>
    <w:p>
      <w:pPr>
        <w:pStyle w:val="3590"/>
        <w:rPr>
          <w:rFonts w:ascii="Times New Roman" w:hAnsi="Times New Roman" w:eastAsia="宋体" w:cs="Times New Roman"/>
          <w:b/>
          <w:kern w:val="2"/>
          <w:sz w:val="21"/>
          <w:szCs w:val="20"/>
          <w:lang w:val="en-US" w:eastAsia="zh-CN" w:bidi="ar-SA"/>
        </w:rPr>
      </w:pPr>
      <w:r>
        <w:rPr>
          <w:rFonts w:ascii="Times New Roman" w:hAnsi="Times New Roman" w:eastAsia="宋体" w:cs="Times New Roman"/>
          <w:b/>
          <w:kern w:val="2"/>
          <w:sz w:val="21"/>
          <w:szCs w:val="20"/>
          <w:lang w:val="en-US" w:eastAsia="zh-CN" w:bidi="ar-SA"/>
        </w:rPr>
        <w:t xml:space="preserve">  码头风险控制措施设备一览表</w:t>
      </w:r>
    </w:p>
    <w:tbl>
      <w:tblPr>
        <w:tblStyle w:val="8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91"/>
        <w:gridCol w:w="1969"/>
        <w:gridCol w:w="1075"/>
        <w:gridCol w:w="1467"/>
        <w:gridCol w:w="34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601"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序号</w:t>
            </w:r>
          </w:p>
        </w:tc>
        <w:tc>
          <w:tcPr>
            <w:tcW w:w="1085"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名</w:t>
            </w:r>
            <w:r>
              <w:rPr>
                <w:rFonts w:ascii="Times New Roman" w:hAnsi="Times New Roman" w:eastAsia="宋体" w:cs="Times New Roman"/>
                <w:sz w:val="21"/>
                <w:szCs w:val="21"/>
              </w:rPr>
              <w:tab/>
            </w:r>
            <w:r>
              <w:rPr>
                <w:rFonts w:ascii="Times New Roman" w:hAnsi="Times New Roman" w:eastAsia="宋体" w:cs="Times New Roman"/>
                <w:sz w:val="21"/>
                <w:szCs w:val="21"/>
              </w:rPr>
              <w:t>称</w:t>
            </w:r>
          </w:p>
        </w:tc>
        <w:tc>
          <w:tcPr>
            <w:tcW w:w="592"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单位</w:t>
            </w:r>
          </w:p>
        </w:tc>
        <w:tc>
          <w:tcPr>
            <w:tcW w:w="808"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数量</w:t>
            </w:r>
          </w:p>
        </w:tc>
        <w:tc>
          <w:tcPr>
            <w:tcW w:w="1912"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601"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1</w:t>
            </w:r>
          </w:p>
        </w:tc>
        <w:tc>
          <w:tcPr>
            <w:tcW w:w="1085"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防火围油栏</w:t>
            </w:r>
          </w:p>
        </w:tc>
        <w:tc>
          <w:tcPr>
            <w:tcW w:w="592"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米</w:t>
            </w:r>
          </w:p>
        </w:tc>
        <w:tc>
          <w:tcPr>
            <w:tcW w:w="808"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369</w:t>
            </w:r>
          </w:p>
        </w:tc>
        <w:tc>
          <w:tcPr>
            <w:tcW w:w="1912"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601"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2</w:t>
            </w:r>
          </w:p>
        </w:tc>
        <w:tc>
          <w:tcPr>
            <w:tcW w:w="1085"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收油机</w:t>
            </w:r>
          </w:p>
        </w:tc>
        <w:tc>
          <w:tcPr>
            <w:tcW w:w="592"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套</w:t>
            </w:r>
          </w:p>
        </w:tc>
        <w:tc>
          <w:tcPr>
            <w:tcW w:w="808"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2</w:t>
            </w:r>
          </w:p>
        </w:tc>
        <w:tc>
          <w:tcPr>
            <w:tcW w:w="1912"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2m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601"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3</w:t>
            </w:r>
          </w:p>
        </w:tc>
        <w:tc>
          <w:tcPr>
            <w:tcW w:w="1085"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吸油毡</w:t>
            </w:r>
          </w:p>
        </w:tc>
        <w:tc>
          <w:tcPr>
            <w:tcW w:w="592"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吨</w:t>
            </w:r>
          </w:p>
        </w:tc>
        <w:tc>
          <w:tcPr>
            <w:tcW w:w="808"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hint="eastAsia" w:ascii="Times New Roman" w:hAnsi="Times New Roman" w:eastAsia="宋体" w:cs="Times New Roman"/>
                <w:sz w:val="21"/>
                <w:szCs w:val="21"/>
                <w:lang w:eastAsia="zh-CN"/>
              </w:rPr>
            </w:pPr>
            <w:r>
              <w:rPr>
                <w:rFonts w:ascii="Times New Roman" w:hAnsi="Times New Roman" w:eastAsia="宋体" w:cs="Times New Roman"/>
                <w:sz w:val="21"/>
                <w:szCs w:val="21"/>
              </w:rPr>
              <w:t>0.</w:t>
            </w:r>
            <w:r>
              <w:rPr>
                <w:rFonts w:hint="eastAsia" w:ascii="Times New Roman" w:hAnsi="Times New Roman" w:eastAsia="宋体" w:cs="Times New Roman"/>
                <w:sz w:val="21"/>
                <w:szCs w:val="21"/>
                <w:lang w:val="en-US" w:eastAsia="zh-CN"/>
              </w:rPr>
              <w:t>3</w:t>
            </w:r>
          </w:p>
        </w:tc>
        <w:tc>
          <w:tcPr>
            <w:tcW w:w="1912"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601"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4</w:t>
            </w:r>
          </w:p>
        </w:tc>
        <w:tc>
          <w:tcPr>
            <w:tcW w:w="1085"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储存装置</w:t>
            </w:r>
          </w:p>
        </w:tc>
        <w:tc>
          <w:tcPr>
            <w:tcW w:w="592"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m3</w:t>
            </w:r>
          </w:p>
        </w:tc>
        <w:tc>
          <w:tcPr>
            <w:tcW w:w="808"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2</w:t>
            </w:r>
          </w:p>
        </w:tc>
        <w:tc>
          <w:tcPr>
            <w:tcW w:w="1912"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有效容积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601"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5</w:t>
            </w:r>
          </w:p>
        </w:tc>
        <w:tc>
          <w:tcPr>
            <w:tcW w:w="1085"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各种安全标志</w:t>
            </w:r>
          </w:p>
        </w:tc>
        <w:tc>
          <w:tcPr>
            <w:tcW w:w="592"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套</w:t>
            </w:r>
          </w:p>
        </w:tc>
        <w:tc>
          <w:tcPr>
            <w:tcW w:w="808"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2</w:t>
            </w:r>
          </w:p>
        </w:tc>
        <w:tc>
          <w:tcPr>
            <w:tcW w:w="1912" w:type="pct"/>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禁止、警告、指令、提示、警示等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5000" w:type="pct"/>
            <w:gridSpan w:val="5"/>
            <w:vAlign w:val="center"/>
          </w:tcPr>
          <w:p>
            <w:pPr>
              <w:pStyle w:val="2057"/>
              <w:keepNext w:val="0"/>
              <w:keepLines w:val="0"/>
              <w:pageBreakBefore w:val="0"/>
              <w:widowControl w:val="0"/>
              <w:kinsoku/>
              <w:wordWrap/>
              <w:overflowPunct/>
              <w:topLinePunct w:val="0"/>
              <w:autoSpaceDE/>
              <w:autoSpaceDN/>
              <w:bidi w:val="0"/>
              <w:adjustRightInd/>
              <w:snapToGrid/>
              <w:spacing w:afterLines="0"/>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自行配置</w:t>
            </w:r>
            <w:r>
              <w:rPr>
                <w:rFonts w:hint="eastAsia" w:ascii="Times New Roman" w:hAnsi="Times New Roman" w:eastAsia="宋体" w:cs="Times New Roman"/>
                <w:sz w:val="21"/>
                <w:szCs w:val="21"/>
              </w:rPr>
              <w:t>或</w:t>
            </w:r>
            <w:r>
              <w:rPr>
                <w:rFonts w:ascii="Times New Roman" w:hAnsi="Times New Roman" w:eastAsia="宋体" w:cs="Times New Roman"/>
                <w:sz w:val="21"/>
                <w:szCs w:val="21"/>
              </w:rPr>
              <w:t>联防</w:t>
            </w:r>
            <w:r>
              <w:rPr>
                <w:rFonts w:hint="eastAsia" w:ascii="Times New Roman" w:hAnsi="Times New Roman" w:eastAsia="宋体" w:cs="Times New Roman"/>
                <w:sz w:val="21"/>
                <w:szCs w:val="21"/>
              </w:rPr>
              <w:t>溢油应急设备库，</w:t>
            </w:r>
            <w:r>
              <w:rPr>
                <w:rFonts w:ascii="Times New Roman" w:hAnsi="Times New Roman" w:eastAsia="宋体" w:cs="Times New Roman"/>
                <w:sz w:val="21"/>
                <w:szCs w:val="21"/>
              </w:rPr>
              <w:t>能在接到应急通知后1小时内到达码头前沿水域事故现场</w:t>
            </w:r>
          </w:p>
        </w:tc>
      </w:tr>
    </w:tbl>
    <w:p>
      <w:pPr>
        <w:pStyle w:val="456"/>
        <w:ind w:firstLine="482"/>
      </w:pPr>
      <w:r>
        <w:t>应急响应启动程序</w:t>
      </w:r>
    </w:p>
    <w:p>
      <w:pPr>
        <w:ind w:firstLine="480"/>
      </w:pPr>
      <w:r>
        <w:t>当出现下列情况之一，当事人或发现者必须立即报警：</w:t>
      </w:r>
    </w:p>
    <w:p>
      <w:pPr>
        <w:ind w:firstLine="480"/>
      </w:pPr>
      <w:r>
        <w:rPr>
          <w:rFonts w:hint="eastAsia" w:ascii="宋体" w:hAnsi="宋体" w:cs="宋体"/>
        </w:rPr>
        <w:t>①</w:t>
      </w:r>
      <w:r>
        <w:t>码头区域内任何人一旦发现泄漏事故；</w:t>
      </w:r>
    </w:p>
    <w:p>
      <w:pPr>
        <w:ind w:firstLine="480"/>
      </w:pPr>
      <w:r>
        <w:rPr>
          <w:rFonts w:hint="eastAsia" w:ascii="宋体" w:hAnsi="宋体" w:cs="宋体"/>
        </w:rPr>
        <w:t>②</w:t>
      </w:r>
      <w:r>
        <w:t>作业人员发现有泄漏可能，采取措施后未能抑制泄漏。发现油品泄漏事故时，应立即报告值班人员、溢油事故应急指挥中心及其负责人，并采取一切办法切断事故源。应急指挥中心接到报警后，应当作出判断，启动分级应急响应程序，发出警报，迅速通知有关部门及现场抢险组等各组组长，立即组织力量，及时赶赴现场，各组立即按各自的职责实施事故救援，各专业救援队伍迅速赶往事故现场。</w:t>
      </w:r>
    </w:p>
    <w:p>
      <w:pPr>
        <w:pStyle w:val="456"/>
        <w:ind w:firstLine="482"/>
      </w:pPr>
      <w:r>
        <w:t>应急处置方法</w:t>
      </w:r>
    </w:p>
    <w:p>
      <w:pPr>
        <w:ind w:firstLine="480"/>
        <w:rPr>
          <w:rFonts w:eastAsia="黑体"/>
          <w:b/>
          <w:bCs/>
        </w:rPr>
      </w:pPr>
      <w:r>
        <w:t>1、启动分级应急相应程序</w:t>
      </w:r>
    </w:p>
    <w:p>
      <w:pPr>
        <w:ind w:firstLine="480"/>
      </w:pPr>
      <w:r>
        <w:t>在码头出现和可能出现事故溢油时，码头区调度室及值班人员应视溢油程度需要快速向应急小组报告。应急小组在接到事故现场人员报告后，迅速组织技术评估人员立即 评估溢油规模，预计溢油漂移趋势及对码头上、下游水厂取水口造成影响，初步确定应 急方案。</w:t>
      </w:r>
    </w:p>
    <w:p>
      <w:pPr>
        <w:ind w:firstLine="480"/>
      </w:pPr>
      <w:r>
        <w:t>在经过溢油事故初始评估后，应急小组组长决定是否启动应急计划。若溢油事故规 模较小，码头人员、设备具备处理的能力，应立即组织人员、调用设备进行处理，若码 头人员、设备不具备处理的能力，应立即启动应急计划。</w:t>
      </w:r>
    </w:p>
    <w:p>
      <w:pPr>
        <w:ind w:firstLine="480"/>
      </w:pPr>
      <w:r>
        <w:t>2、</w:t>
      </w:r>
      <w:r>
        <w:rPr>
          <w:b/>
        </w:rPr>
        <w:t>工程应急反应</w:t>
      </w:r>
    </w:p>
    <w:p>
      <w:pPr>
        <w:ind w:firstLine="480"/>
      </w:pPr>
      <w:r>
        <w:t>应急计划反应内容包括：由组长或其指定的人员向上级主管部门以及与事故相关海 事、环保等部门报告。报告内容应包括：</w:t>
      </w:r>
    </w:p>
    <w:p>
      <w:pPr>
        <w:ind w:firstLine="480"/>
      </w:pPr>
      <w:r>
        <w:rPr>
          <w:rFonts w:hint="eastAsia" w:ascii="宋体" w:hAnsi="宋体" w:cs="宋体"/>
        </w:rPr>
        <w:t>（1）</w:t>
      </w:r>
      <w:r>
        <w:t>事故发生的时间、地点、船名、位置；</w:t>
      </w:r>
    </w:p>
    <w:p>
      <w:pPr>
        <w:ind w:firstLine="480"/>
      </w:pPr>
      <w:r>
        <w:rPr>
          <w:rFonts w:hint="eastAsia" w:ascii="宋体" w:hAnsi="宋体" w:cs="宋体"/>
        </w:rPr>
        <w:t>（2）</w:t>
      </w:r>
      <w:r>
        <w:t>事故发生江段气象、水文情况；</w:t>
      </w:r>
    </w:p>
    <w:p>
      <w:pPr>
        <w:ind w:firstLine="480"/>
      </w:pPr>
      <w:r>
        <w:rPr>
          <w:rFonts w:hint="eastAsia" w:ascii="宋体" w:hAnsi="宋体" w:cs="宋体"/>
        </w:rPr>
        <w:t>（3）</w:t>
      </w:r>
      <w:r>
        <w:t>油污染源、溢油原因（包括船名、船型、碰撞/搁浅、船东或货主）、溢油单位（名称、地址、电话、联系人/代理人）、油品种类和数量以及进一步溢油的可能性、油膜的描述，包括移动方向、长度、宽度和形状；</w:t>
      </w:r>
    </w:p>
    <w:p>
      <w:pPr>
        <w:ind w:firstLine="480"/>
      </w:pPr>
      <w:r>
        <w:rPr>
          <w:rFonts w:hint="eastAsia" w:ascii="宋体" w:hAnsi="宋体" w:cs="宋体"/>
        </w:rPr>
        <w:t>（4）</w:t>
      </w:r>
      <w:r>
        <w:t xml:space="preserve"> 事故发生后已经采取的措施及控制情况；</w:t>
      </w:r>
    </w:p>
    <w:p>
      <w:pPr>
        <w:ind w:firstLine="480"/>
      </w:pPr>
      <w:r>
        <w:rPr>
          <w:rFonts w:hint="eastAsia" w:ascii="宋体" w:hAnsi="宋体" w:cs="宋体"/>
        </w:rPr>
        <w:t>（5）</w:t>
      </w:r>
      <w:r>
        <w:t xml:space="preserve"> 事故发展势态、可能发生的严重后果；</w:t>
      </w:r>
    </w:p>
    <w:p>
      <w:pPr>
        <w:ind w:firstLine="480"/>
      </w:pPr>
      <w:r>
        <w:rPr>
          <w:rFonts w:hint="eastAsia" w:ascii="宋体" w:hAnsi="宋体" w:cs="宋体"/>
        </w:rPr>
        <w:t>（6）</w:t>
      </w:r>
      <w:r>
        <w:t xml:space="preserve"> 需要的援助（应急设施和物资、人员、环境监测、医疗援助等）；</w:t>
      </w:r>
    </w:p>
    <w:p>
      <w:pPr>
        <w:ind w:firstLine="480"/>
      </w:pPr>
      <w:r>
        <w:rPr>
          <w:rFonts w:hint="eastAsia" w:ascii="宋体" w:hAnsi="宋体" w:cs="宋体"/>
        </w:rPr>
        <w:t>（7）</w:t>
      </w:r>
      <w:r>
        <w:t xml:space="preserve"> 事故报警单位、联系人及联系电话等。</w:t>
      </w:r>
    </w:p>
    <w:p>
      <w:pPr>
        <w:ind w:firstLine="480"/>
      </w:pPr>
      <w:r>
        <w:t>采取的行动：</w:t>
      </w:r>
    </w:p>
    <w:p>
      <w:pPr>
        <w:ind w:firstLine="480"/>
      </w:pPr>
      <w:r>
        <w:rPr>
          <w:rFonts w:hint="eastAsia" w:ascii="宋体" w:hAnsi="宋体" w:cs="宋体"/>
        </w:rPr>
        <w:t>（1）</w:t>
      </w:r>
      <w:r>
        <w:t xml:space="preserve"> 发出溢油事故报警或紧急通报，用电话和传真通知上级部门；</w:t>
      </w:r>
    </w:p>
    <w:p>
      <w:pPr>
        <w:ind w:firstLine="480"/>
      </w:pPr>
      <w:r>
        <w:rPr>
          <w:rFonts w:hint="eastAsia" w:ascii="宋体" w:hAnsi="宋体" w:cs="宋体"/>
        </w:rPr>
        <w:t>（2）</w:t>
      </w:r>
      <w:r>
        <w:t>编制溢油源位置及漂移方向情况报告（根据实际情况至少每隔1小时报告一次）；</w:t>
      </w:r>
    </w:p>
    <w:p>
      <w:pPr>
        <w:ind w:firstLine="480"/>
      </w:pPr>
      <w:r>
        <w:rPr>
          <w:rFonts w:hint="eastAsia" w:ascii="宋体" w:hAnsi="宋体" w:cs="宋体"/>
        </w:rPr>
        <w:t>（3）</w:t>
      </w:r>
      <w:r>
        <w:t>安排后勤保障，估计/预测污油运动方向（经常处于变化中）；</w:t>
      </w:r>
    </w:p>
    <w:p>
      <w:pPr>
        <w:ind w:firstLine="480"/>
      </w:pPr>
      <w:r>
        <w:rPr>
          <w:rFonts w:hint="eastAsia" w:ascii="宋体" w:hAnsi="宋体" w:cs="宋体"/>
        </w:rPr>
        <w:t>（4）</w:t>
      </w:r>
      <w:r>
        <w:t xml:space="preserve"> 派出船艇对溢油源/浮油区域周围实行警戒或交通管制，监视溢油在水上的扩散 情况。必要和可能时，实行空中监视；</w:t>
      </w:r>
    </w:p>
    <w:p>
      <w:pPr>
        <w:ind w:firstLine="480"/>
      </w:pPr>
      <w:r>
        <w:rPr>
          <w:rFonts w:hint="eastAsia" w:ascii="宋体" w:hAnsi="宋体" w:cs="宋体"/>
        </w:rPr>
        <w:t>（5）</w:t>
      </w:r>
      <w:r>
        <w:t>判别受威胁的敏感区域/设施，通知可能受威胁的单位；</w:t>
      </w:r>
    </w:p>
    <w:p>
      <w:pPr>
        <w:ind w:firstLine="480"/>
      </w:pPr>
      <w:r>
        <w:rPr>
          <w:rFonts w:hint="eastAsia" w:ascii="宋体" w:hAnsi="宋体" w:cs="宋体"/>
        </w:rPr>
        <w:t>（6）</w:t>
      </w:r>
      <w:r>
        <w:t xml:space="preserve"> 根据溢油源的类型、规模、溢出地点、溢出油的种类、溢油扩散方向等，考虑采 取相应的防治措施；</w:t>
      </w:r>
    </w:p>
    <w:p>
      <w:pPr>
        <w:ind w:firstLine="480"/>
      </w:pPr>
      <w:r>
        <w:rPr>
          <w:rFonts w:hint="eastAsia" w:ascii="宋体" w:hAnsi="宋体" w:cs="宋体"/>
        </w:rPr>
        <w:t>（7）</w:t>
      </w:r>
      <w:r>
        <w:t>策划并执行清除作业，指定人员做好相关记录；</w:t>
      </w:r>
    </w:p>
    <w:p>
      <w:pPr>
        <w:ind w:firstLine="480"/>
      </w:pPr>
      <w:r>
        <w:rPr>
          <w:rFonts w:hint="eastAsia" w:ascii="宋体" w:hAnsi="宋体" w:cs="宋体"/>
        </w:rPr>
        <w:t>（8）</w:t>
      </w:r>
      <w:r>
        <w:t>适时发布终止作业的命令和解除警报。 各有关部门接到油污事件报警或通报后，应及时按计划规定和要求做好溢油事故防备和应急反应的各项工作，及时将采取或可能采取的措施反馈给油污应急指挥中心，听从应急指挥中心的统一指挥和行动现场总指挥的调动及安排，做好行动中的情况记录配合工作。</w:t>
      </w:r>
    </w:p>
    <w:p>
      <w:pPr>
        <w:ind w:firstLine="480"/>
      </w:pPr>
      <w:r>
        <w:t>应急小组全体成员立即采取应急措施，包括溢油控制与清除，溢油的监测和监视等。 同时，在事故发生第一时间应立即通知码头上、下游各水厂，组织有关单位人员对取水 口水域水质进行密集监测，一旦发现污染超标现象，立即停止取水。</w:t>
      </w:r>
    </w:p>
    <w:p>
      <w:pPr>
        <w:ind w:firstLine="480"/>
      </w:pPr>
      <w:r>
        <w:t>发生污染事故时应及时报告，事故处理完毕后，建设单位生产安全部应对事故原因、溢油量、污染清除处理过程、污染范围和影响程度报告海事局和环保局，由海事局、环保局等部门组织调查，按实际情况确定由事故溢油造成受损失的赔偿费用，经法院最终裁决后，给予经济赔偿。</w:t>
      </w:r>
    </w:p>
    <w:p>
      <w:pPr>
        <w:pStyle w:val="456"/>
        <w:ind w:firstLine="482"/>
      </w:pPr>
      <w:r>
        <w:t>应急环境监测及事故后评价</w:t>
      </w:r>
    </w:p>
    <w:p>
      <w:pPr>
        <w:ind w:firstLine="480"/>
      </w:pPr>
      <w:r>
        <w:t>环境监测部门到达事故现场后，查明油品的扩散情况和浓度。监测点位以事故发生地为主，根据流向流速、风向及其它自然条件等现场具体情况进行布点采样。在溢漏点下游，可在污染源与环境保护目标对象之间布设多个采样点，在环境保护目标附近适当增加采样点，以说明污染物排放、扩散、降解的规律和方式。在未受污染的区域再设置对照点，与受污染点样品进行对照分析，从而可以及时、准确地判断事故的污染情况。</w:t>
      </w:r>
    </w:p>
    <w:p>
      <w:pPr>
        <w:ind w:firstLine="480"/>
      </w:pPr>
      <w:r>
        <w:t>发生对环境造成严重污染的事件后，应对受污染水域与岸线进行污染物浓度的测定与受污染面积估算。根据受污染前后污染物浓度的变化，分析污染程度，以便评价溢油事故对环境和资源造成的污染损害程度，也为制订污染损害场所恢复方案提供基础数据。污染损害场所恢复后，进行污染定性分析与定量测试，以便评价恢复的程度。其应急环境监测应由有资质的单位负责，其数据为指挥部门提供决策依据，并进行事故后评价。当地环保局核实陆岸与岸滩的污染清除和损害情况。</w:t>
      </w:r>
    </w:p>
    <w:p>
      <w:pPr>
        <w:pStyle w:val="456"/>
        <w:ind w:firstLine="482"/>
      </w:pPr>
      <w:r>
        <w:t>应急状态终止与恢复措施</w:t>
      </w:r>
    </w:p>
    <w:p>
      <w:pPr>
        <w:ind w:firstLine="480"/>
      </w:pPr>
      <w:r>
        <w:t>船舶溢油事故污染无继发可能，污染损害索赔取证记录已完成等。经环境、消防、卫生等有关主管部门批准，确认终止时机。应急状态终止后，应根据上级有关部门的指示和实际情况，继续进行环境监测和评价工作，直至自然过程或其他补救措施无需继续进行为止。</w:t>
      </w:r>
    </w:p>
    <w:p>
      <w:pPr>
        <w:pStyle w:val="456"/>
        <w:ind w:firstLine="482"/>
      </w:pPr>
      <w:r>
        <w:t>其它要求</w:t>
      </w:r>
    </w:p>
    <w:p>
      <w:pPr>
        <w:ind w:firstLine="480"/>
        <w:rPr>
          <w:rFonts w:ascii="Times New Roman" w:cs="Times New Roman"/>
        </w:rPr>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r>
        <w:t>由于溢油事故的发生地点、溢油量、溢油时的风向风力等存在很大的不确定性，溢油事故发生后产生的环境和生态影响与应急响应时间以及采取应急措施的有效性等因素有着极大的关系。因此，建议本项目溢油应急响应时间不高于1h。</w:t>
      </w:r>
    </w:p>
    <w:p>
      <w:pPr>
        <w:pStyle w:val="453"/>
        <w:ind w:firstLine="643" w:firstLineChars="0"/>
        <w:rPr>
          <w:rFonts w:ascii="Times New Roman" w:cs="Times New Roman"/>
        </w:rPr>
      </w:pPr>
      <w:bookmarkStart w:id="347" w:name="_Toc29614"/>
      <w:r>
        <w:rPr>
          <w:rFonts w:ascii="Times New Roman" w:cs="Times New Roman"/>
        </w:rPr>
        <w:t>环保措施</w:t>
      </w:r>
      <w:r>
        <w:rPr>
          <w:rFonts w:ascii="Times New Roman" w:cs="Times New Roman"/>
          <w:spacing w:val="2"/>
        </w:rPr>
        <w:t>及</w:t>
      </w:r>
      <w:r>
        <w:rPr>
          <w:rFonts w:cs="Times New Roman" w:asciiTheme="minorEastAsia" w:hAnsiTheme="minorEastAsia" w:eastAsiaTheme="minorEastAsia"/>
        </w:rPr>
        <w:t>“</w:t>
      </w:r>
      <w:r>
        <w:rPr>
          <w:rFonts w:ascii="Times New Roman" w:cs="Times New Roman"/>
        </w:rPr>
        <w:t>三同</w:t>
      </w:r>
      <w:r>
        <w:rPr>
          <w:rFonts w:ascii="Times New Roman" w:cs="Times New Roman"/>
          <w:spacing w:val="1"/>
        </w:rPr>
        <w:t>时</w:t>
      </w:r>
      <w:r>
        <w:rPr>
          <w:rFonts w:cs="Times New Roman" w:asciiTheme="minorEastAsia" w:hAnsiTheme="minorEastAsia" w:eastAsiaTheme="minorEastAsia"/>
        </w:rPr>
        <w:t>”</w:t>
      </w:r>
      <w:r>
        <w:rPr>
          <w:rFonts w:ascii="Times New Roman" w:cs="Times New Roman"/>
          <w:spacing w:val="1"/>
        </w:rPr>
        <w:t>验收</w:t>
      </w:r>
      <w:bookmarkEnd w:id="347"/>
    </w:p>
    <w:p>
      <w:pPr>
        <w:ind w:firstLine="480"/>
      </w:pPr>
      <w:r>
        <w:t>本项目的环境保护投资估算为</w:t>
      </w:r>
      <w:r>
        <w:rPr>
          <w:rFonts w:hint="eastAsia"/>
          <w:lang w:val="en-US" w:eastAsia="zh-CN"/>
        </w:rPr>
        <w:t>728</w:t>
      </w:r>
      <w:r>
        <w:t>万元，占总投资额106863.71万元的0.</w:t>
      </w:r>
      <w:r>
        <w:rPr>
          <w:rFonts w:hint="eastAsia"/>
          <w:lang w:val="en-US" w:eastAsia="zh-CN"/>
        </w:rPr>
        <w:t>68</w:t>
      </w:r>
      <w:r>
        <w:t>%，项目环保措施及投资估算详见下表。</w:t>
      </w:r>
    </w:p>
    <w:p>
      <w:pPr>
        <w:pStyle w:val="3590"/>
      </w:pPr>
      <w:r>
        <w:t>本项目环境保</w:t>
      </w:r>
      <w:r>
        <w:rPr>
          <w:spacing w:val="2"/>
        </w:rPr>
        <w:t>护</w:t>
      </w:r>
      <w:r>
        <w:rPr>
          <w:rFonts w:asciiTheme="minorEastAsia" w:hAnsiTheme="minorEastAsia" w:eastAsiaTheme="minorEastAsia"/>
          <w:bCs/>
        </w:rPr>
        <w:t>“</w:t>
      </w:r>
      <w:r>
        <w:t>三同</w:t>
      </w:r>
      <w:r>
        <w:rPr>
          <w:spacing w:val="1"/>
        </w:rPr>
        <w:t>时</w:t>
      </w:r>
      <w:r>
        <w:rPr>
          <w:rFonts w:asciiTheme="minorEastAsia" w:hAnsiTheme="minorEastAsia" w:eastAsiaTheme="minorEastAsia"/>
          <w:bCs/>
        </w:rPr>
        <w:t>”</w:t>
      </w:r>
      <w:r>
        <w:t>措施汇总及投资估算表</w:t>
      </w:r>
    </w:p>
    <w:tbl>
      <w:tblPr>
        <w:tblStyle w:val="3596"/>
        <w:tblW w:w="1411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59"/>
        <w:gridCol w:w="402"/>
        <w:gridCol w:w="1701"/>
        <w:gridCol w:w="2410"/>
        <w:gridCol w:w="5764"/>
        <w:gridCol w:w="1985"/>
        <w:gridCol w:w="9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61" w:type="dxa"/>
            <w:gridSpan w:val="2"/>
            <w:tcBorders>
              <w:bottom w:val="single" w:color="auto" w:sz="12" w:space="0"/>
            </w:tcBorders>
            <w:vAlign w:val="center"/>
          </w:tcPr>
          <w:p>
            <w:pPr>
              <w:pStyle w:val="2691"/>
            </w:pPr>
            <w:r>
              <w:t>类别</w:t>
            </w:r>
          </w:p>
        </w:tc>
        <w:tc>
          <w:tcPr>
            <w:tcW w:w="1701" w:type="dxa"/>
            <w:tcBorders>
              <w:bottom w:val="single" w:color="auto" w:sz="12" w:space="0"/>
            </w:tcBorders>
            <w:vAlign w:val="center"/>
          </w:tcPr>
          <w:p>
            <w:pPr>
              <w:pStyle w:val="2691"/>
            </w:pPr>
            <w:r>
              <w:t>污染源</w:t>
            </w:r>
          </w:p>
        </w:tc>
        <w:tc>
          <w:tcPr>
            <w:tcW w:w="2410" w:type="dxa"/>
            <w:tcBorders>
              <w:bottom w:val="single" w:color="auto" w:sz="12" w:space="0"/>
            </w:tcBorders>
            <w:vAlign w:val="center"/>
          </w:tcPr>
          <w:p>
            <w:pPr>
              <w:pStyle w:val="2691"/>
            </w:pPr>
            <w:r>
              <w:t>污染物</w:t>
            </w:r>
          </w:p>
        </w:tc>
        <w:tc>
          <w:tcPr>
            <w:tcW w:w="5764" w:type="dxa"/>
            <w:tcBorders>
              <w:bottom w:val="single" w:color="auto" w:sz="12" w:space="0"/>
            </w:tcBorders>
            <w:vAlign w:val="center"/>
          </w:tcPr>
          <w:p>
            <w:pPr>
              <w:pStyle w:val="2691"/>
            </w:pPr>
            <w:r>
              <w:t>治理措施（设施数量、规模、处理能力等）</w:t>
            </w:r>
          </w:p>
        </w:tc>
        <w:tc>
          <w:tcPr>
            <w:tcW w:w="1985" w:type="dxa"/>
            <w:tcBorders>
              <w:bottom w:val="single" w:color="auto" w:sz="12" w:space="0"/>
            </w:tcBorders>
            <w:vAlign w:val="center"/>
          </w:tcPr>
          <w:p>
            <w:pPr>
              <w:pStyle w:val="2691"/>
            </w:pPr>
            <w:r>
              <w:t>处理效果、执行标准或拟达要求</w:t>
            </w:r>
          </w:p>
        </w:tc>
        <w:tc>
          <w:tcPr>
            <w:tcW w:w="992" w:type="dxa"/>
            <w:tcBorders>
              <w:bottom w:val="single" w:color="auto" w:sz="12" w:space="0"/>
            </w:tcBorders>
            <w:vAlign w:val="center"/>
          </w:tcPr>
          <w:p>
            <w:pPr>
              <w:pStyle w:val="2691"/>
            </w:pPr>
            <w:r>
              <w:t>投资</w:t>
            </w:r>
          </w:p>
          <w:p>
            <w:pPr>
              <w:pStyle w:val="2691"/>
            </w:pPr>
            <w:r>
              <w:t>（万元）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59" w:type="dxa"/>
            <w:vMerge w:val="restart"/>
            <w:tcBorders>
              <w:top w:val="single" w:color="auto" w:sz="12" w:space="0"/>
            </w:tcBorders>
            <w:vAlign w:val="center"/>
          </w:tcPr>
          <w:p>
            <w:pPr>
              <w:pStyle w:val="2691"/>
            </w:pPr>
            <w:r>
              <w:t>施工期</w:t>
            </w:r>
          </w:p>
        </w:tc>
        <w:tc>
          <w:tcPr>
            <w:tcW w:w="402" w:type="dxa"/>
            <w:vMerge w:val="restart"/>
            <w:tcBorders>
              <w:top w:val="single" w:color="auto" w:sz="12" w:space="0"/>
            </w:tcBorders>
            <w:vAlign w:val="center"/>
          </w:tcPr>
          <w:p>
            <w:pPr>
              <w:pStyle w:val="2691"/>
            </w:pPr>
            <w:r>
              <w:t>废水</w:t>
            </w:r>
          </w:p>
        </w:tc>
        <w:tc>
          <w:tcPr>
            <w:tcW w:w="1701" w:type="dxa"/>
            <w:tcBorders>
              <w:top w:val="single" w:color="auto" w:sz="12" w:space="0"/>
            </w:tcBorders>
            <w:vAlign w:val="center"/>
          </w:tcPr>
          <w:p>
            <w:pPr>
              <w:pStyle w:val="2691"/>
            </w:pPr>
            <w:r>
              <w:t>生产废水</w:t>
            </w:r>
          </w:p>
        </w:tc>
        <w:tc>
          <w:tcPr>
            <w:tcW w:w="2410" w:type="dxa"/>
            <w:tcBorders>
              <w:top w:val="single" w:color="auto" w:sz="12" w:space="0"/>
            </w:tcBorders>
            <w:vAlign w:val="center"/>
          </w:tcPr>
          <w:p>
            <w:pPr>
              <w:pStyle w:val="2691"/>
            </w:pPr>
            <w:r>
              <w:rPr>
                <w:spacing w:val="-1"/>
              </w:rPr>
              <w:t>SS</w:t>
            </w:r>
            <w:r>
              <w:t>、石油类等</w:t>
            </w:r>
          </w:p>
        </w:tc>
        <w:tc>
          <w:tcPr>
            <w:tcW w:w="5764" w:type="dxa"/>
            <w:tcBorders>
              <w:top w:val="single" w:color="auto" w:sz="12" w:space="0"/>
            </w:tcBorders>
            <w:vAlign w:val="center"/>
          </w:tcPr>
          <w:p>
            <w:pPr>
              <w:pStyle w:val="2691"/>
              <w:rPr>
                <w:rFonts w:hint="eastAsia" w:eastAsia="宋体"/>
                <w:lang w:eastAsia="zh-CN"/>
              </w:rPr>
            </w:pPr>
            <w:r>
              <w:t>施工场地四周设置截水沟截留雨水径流</w:t>
            </w:r>
            <w:r>
              <w:rPr>
                <w:spacing w:val="-17"/>
              </w:rPr>
              <w:t>，</w:t>
            </w:r>
            <w:r>
              <w:t>并在施工场地内设置隔油池和沉淀池对收集的施工废水进行隔油</w:t>
            </w:r>
            <w:r>
              <w:rPr>
                <w:spacing w:val="-17"/>
              </w:rPr>
              <w:t>、</w:t>
            </w:r>
            <w:r>
              <w:t>沉淀处理，处理达标后回用于生产及施工机械冲洗，不外排；桩基施工时设置2座12-15m</w:t>
            </w:r>
            <w:r>
              <w:rPr>
                <w:vertAlign w:val="superscript"/>
              </w:rPr>
              <w:t>3</w:t>
            </w:r>
            <w:r>
              <w:t>的钢板箱泥浆池处理桩基施工废水，在泥浆池四周设置包围堰，并在泥浆池上方设置遮盖装置</w:t>
            </w:r>
            <w:r>
              <w:rPr>
                <w:rFonts w:hint="eastAsia"/>
              </w:rPr>
              <w:t>；对疏浚淤泥采用板框压滤机压滤脱水，</w:t>
            </w:r>
            <w:r>
              <w:t>设置</w:t>
            </w:r>
            <w:r>
              <w:rPr>
                <w:rFonts w:hint="eastAsia"/>
              </w:rPr>
              <w:t>1</w:t>
            </w:r>
            <w:r>
              <w:t>座不小于</w:t>
            </w:r>
            <w:r>
              <w:rPr>
                <w:rFonts w:hint="eastAsia"/>
                <w:lang w:val="en-US" w:eastAsia="zh-CN"/>
              </w:rPr>
              <w:t>150</w:t>
            </w:r>
            <w:r>
              <w:t>m</w:t>
            </w:r>
            <w:r>
              <w:rPr>
                <w:vertAlign w:val="superscript"/>
              </w:rPr>
              <w:t>3</w:t>
            </w:r>
            <w:r>
              <w:rPr>
                <w:rFonts w:hint="eastAsia"/>
                <w:vertAlign w:val="baseline"/>
                <w:lang w:val="en-US" w:eastAsia="zh-CN"/>
              </w:rPr>
              <w:t>沉淀池和</w:t>
            </w:r>
            <w:r>
              <w:t>150m</w:t>
            </w:r>
            <w:r>
              <w:rPr>
                <w:vertAlign w:val="superscript"/>
              </w:rPr>
              <w:t>3</w:t>
            </w:r>
            <w:r>
              <w:t>集装箱式储水池</w:t>
            </w:r>
            <w:r>
              <w:rPr>
                <w:rFonts w:hint="eastAsia"/>
              </w:rPr>
              <w:t>，储存疏浚淤泥产生的泥浆水，</w:t>
            </w:r>
            <w:r>
              <w:rPr>
                <w:rFonts w:hint="eastAsia"/>
                <w:lang w:val="en-US" w:eastAsia="zh-CN"/>
              </w:rPr>
              <w:t>产生的泥浆水设置堆场，堆场铺设防渗薄膜，四周设置防洪沟，经过压滤机压滤处理后的清淤污泥自然脱水干化，过程中产生的泥浆水经过设置的排水沟汇集沉淀池，上清液排至储水池回用于施工场地洒水降尘，剩余泥浆水通过罐车托运至城陵矶污水处理厂处理</w:t>
            </w:r>
            <w:r>
              <w:rPr>
                <w:rFonts w:hint="eastAsia"/>
              </w:rPr>
              <w:t>；</w:t>
            </w:r>
            <w:r>
              <w:t>严格按照《疏浚工程技术规范》进行施工设计和施工作业，最大限度地控制水下施工作业对底泥的搅动范围和强度，减少悬浮泥沙的发生量</w:t>
            </w:r>
            <w:r>
              <w:rPr>
                <w:rFonts w:hint="eastAsia"/>
                <w:lang w:eastAsia="zh-CN"/>
              </w:rPr>
              <w:t>，</w:t>
            </w:r>
            <w:r>
              <w:t>施工场地出口设置车辆冲洗区</w:t>
            </w:r>
            <w:r>
              <w:rPr>
                <w:rFonts w:hint="eastAsia"/>
                <w:lang w:eastAsia="zh-CN"/>
              </w:rPr>
              <w:t>，</w:t>
            </w:r>
            <w:r>
              <w:rPr>
                <w:rFonts w:hint="eastAsia"/>
                <w:lang w:val="en-US" w:eastAsia="zh-CN"/>
              </w:rPr>
              <w:t>施工车辆冲洗水经过沉淀池沉淀后回用施工场地洒水降尘不外排</w:t>
            </w:r>
          </w:p>
        </w:tc>
        <w:tc>
          <w:tcPr>
            <w:tcW w:w="1985" w:type="dxa"/>
            <w:vMerge w:val="restart"/>
            <w:tcBorders>
              <w:top w:val="single" w:color="auto" w:sz="12" w:space="0"/>
            </w:tcBorders>
            <w:vAlign w:val="center"/>
          </w:tcPr>
          <w:p>
            <w:pPr>
              <w:pStyle w:val="2691"/>
            </w:pPr>
            <w:r>
              <w:t>措施落实到位，废水不外排</w:t>
            </w:r>
          </w:p>
        </w:tc>
        <w:tc>
          <w:tcPr>
            <w:tcW w:w="992" w:type="dxa"/>
            <w:tcBorders>
              <w:top w:val="single" w:color="auto" w:sz="12" w:space="0"/>
            </w:tcBorders>
            <w:vAlign w:val="center"/>
          </w:tcPr>
          <w:p>
            <w:pPr>
              <w:pStyle w:val="2691"/>
              <w:rPr>
                <w:rFonts w:hint="default" w:eastAsia="宋体"/>
                <w:lang w:val="en-US" w:eastAsia="zh-CN"/>
              </w:rPr>
            </w:pPr>
            <w:r>
              <w:rPr>
                <w:rFonts w:hint="eastAsia"/>
                <w:lang w:val="en-US" w:eastAsia="zh-CN"/>
              </w:rPr>
              <w:t>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59" w:type="dxa"/>
            <w:vMerge w:val="continue"/>
            <w:vAlign w:val="center"/>
          </w:tcPr>
          <w:p>
            <w:pPr>
              <w:pStyle w:val="2691"/>
            </w:pPr>
          </w:p>
        </w:tc>
        <w:tc>
          <w:tcPr>
            <w:tcW w:w="402" w:type="dxa"/>
            <w:vMerge w:val="continue"/>
            <w:vAlign w:val="center"/>
          </w:tcPr>
          <w:p>
            <w:pPr>
              <w:pStyle w:val="2691"/>
            </w:pPr>
          </w:p>
        </w:tc>
        <w:tc>
          <w:tcPr>
            <w:tcW w:w="1701" w:type="dxa"/>
            <w:vAlign w:val="center"/>
          </w:tcPr>
          <w:p>
            <w:pPr>
              <w:pStyle w:val="2691"/>
            </w:pPr>
            <w:r>
              <w:t>施工船舶污水</w:t>
            </w:r>
          </w:p>
        </w:tc>
        <w:tc>
          <w:tcPr>
            <w:tcW w:w="2410" w:type="dxa"/>
            <w:vAlign w:val="center"/>
          </w:tcPr>
          <w:p>
            <w:pPr>
              <w:pStyle w:val="2691"/>
            </w:pPr>
            <w:r>
              <w:t>CO</w:t>
            </w:r>
            <w:r>
              <w:rPr>
                <w:spacing w:val="-1"/>
              </w:rPr>
              <w:t>D</w:t>
            </w:r>
            <w:r>
              <w:t>、BOD</w:t>
            </w:r>
            <w:r>
              <w:rPr>
                <w:vertAlign w:val="subscript"/>
              </w:rPr>
              <w:t>5</w:t>
            </w:r>
            <w:r>
              <w:t>、NH</w:t>
            </w:r>
            <w:r>
              <w:rPr>
                <w:vertAlign w:val="subscript"/>
              </w:rPr>
              <w:t>3</w:t>
            </w:r>
            <w:r>
              <w:t>-N、</w:t>
            </w:r>
          </w:p>
          <w:p>
            <w:pPr>
              <w:pStyle w:val="2691"/>
            </w:pPr>
            <w:r>
              <w:t>SS、石油类等</w:t>
            </w:r>
          </w:p>
        </w:tc>
        <w:tc>
          <w:tcPr>
            <w:tcW w:w="5764" w:type="dxa"/>
            <w:vAlign w:val="center"/>
          </w:tcPr>
          <w:p>
            <w:pPr>
              <w:pStyle w:val="2691"/>
            </w:pPr>
            <w:r>
              <w:t>船舶污水经船主收集送海事部门指定单位收集并负责处理。建设单位在施工招标时，应明确施工单位落实船舶油污水处理责任</w:t>
            </w:r>
          </w:p>
        </w:tc>
        <w:tc>
          <w:tcPr>
            <w:tcW w:w="1985" w:type="dxa"/>
            <w:vMerge w:val="continue"/>
            <w:vAlign w:val="center"/>
          </w:tcPr>
          <w:p>
            <w:pPr>
              <w:pStyle w:val="2691"/>
            </w:pPr>
          </w:p>
        </w:tc>
        <w:tc>
          <w:tcPr>
            <w:tcW w:w="992" w:type="dxa"/>
            <w:vAlign w:val="center"/>
          </w:tcPr>
          <w:p>
            <w:pPr>
              <w:pStyle w:val="2691"/>
              <w:rPr>
                <w:rFonts w:hint="default" w:eastAsia="宋体"/>
                <w:lang w:val="en-US" w:eastAsia="zh-CN"/>
              </w:rPr>
            </w:pPr>
            <w:r>
              <w:rPr>
                <w:rFonts w:hint="eastAsia"/>
                <w:lang w:val="en-US" w:eastAsia="zh-CN"/>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59" w:type="dxa"/>
            <w:vMerge w:val="continue"/>
            <w:vAlign w:val="center"/>
          </w:tcPr>
          <w:p>
            <w:pPr>
              <w:pStyle w:val="2691"/>
            </w:pPr>
          </w:p>
        </w:tc>
        <w:tc>
          <w:tcPr>
            <w:tcW w:w="402" w:type="dxa"/>
            <w:vMerge w:val="continue"/>
            <w:vAlign w:val="center"/>
          </w:tcPr>
          <w:p>
            <w:pPr>
              <w:pStyle w:val="2691"/>
            </w:pPr>
          </w:p>
        </w:tc>
        <w:tc>
          <w:tcPr>
            <w:tcW w:w="1701" w:type="dxa"/>
            <w:vAlign w:val="center"/>
          </w:tcPr>
          <w:p>
            <w:pPr>
              <w:pStyle w:val="2691"/>
            </w:pPr>
            <w:r>
              <w:t>生活污水</w:t>
            </w:r>
          </w:p>
        </w:tc>
        <w:tc>
          <w:tcPr>
            <w:tcW w:w="2410" w:type="dxa"/>
            <w:vAlign w:val="center"/>
          </w:tcPr>
          <w:p>
            <w:pPr>
              <w:pStyle w:val="2691"/>
            </w:pPr>
            <w:r>
              <w:t>CO</w:t>
            </w:r>
            <w:r>
              <w:rPr>
                <w:spacing w:val="-1"/>
              </w:rPr>
              <w:t>D</w:t>
            </w:r>
            <w:r>
              <w:t>、BOD</w:t>
            </w:r>
            <w:r>
              <w:rPr>
                <w:vertAlign w:val="subscript"/>
              </w:rPr>
              <w:t>5</w:t>
            </w:r>
            <w:r>
              <w:t>、NH</w:t>
            </w:r>
            <w:r>
              <w:rPr>
                <w:vertAlign w:val="subscript"/>
              </w:rPr>
              <w:t>3</w:t>
            </w:r>
            <w:r>
              <w:t>-N、SS等</w:t>
            </w:r>
          </w:p>
        </w:tc>
        <w:tc>
          <w:tcPr>
            <w:tcW w:w="5764" w:type="dxa"/>
            <w:vAlign w:val="center"/>
          </w:tcPr>
          <w:p>
            <w:pPr>
              <w:pStyle w:val="2691"/>
            </w:pPr>
            <w:r>
              <w:t>租用附近民宅作为办公休息地点，生活污水依托已有排水系统</w:t>
            </w:r>
          </w:p>
        </w:tc>
        <w:tc>
          <w:tcPr>
            <w:tcW w:w="1985" w:type="dxa"/>
            <w:vMerge w:val="continue"/>
            <w:vAlign w:val="center"/>
          </w:tcPr>
          <w:p>
            <w:pPr>
              <w:pStyle w:val="2691"/>
            </w:pPr>
          </w:p>
        </w:tc>
        <w:tc>
          <w:tcPr>
            <w:tcW w:w="992" w:type="dxa"/>
            <w:vAlign w:val="center"/>
          </w:tcPr>
          <w:p>
            <w:pPr>
              <w:pStyle w:val="2691"/>
              <w:rPr>
                <w:rFonts w:hint="eastAsia" w:eastAsia="宋体"/>
                <w:lang w:eastAsia="zh-CN"/>
              </w:rPr>
            </w:pPr>
            <w:r>
              <w:rPr>
                <w:rFonts w:hint="eastAsia"/>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59" w:type="dxa"/>
            <w:vMerge w:val="continue"/>
            <w:vAlign w:val="center"/>
          </w:tcPr>
          <w:p>
            <w:pPr>
              <w:pStyle w:val="2691"/>
            </w:pPr>
          </w:p>
        </w:tc>
        <w:tc>
          <w:tcPr>
            <w:tcW w:w="402" w:type="dxa"/>
            <w:vMerge w:val="restart"/>
            <w:vAlign w:val="center"/>
          </w:tcPr>
          <w:p>
            <w:pPr>
              <w:pStyle w:val="2691"/>
            </w:pPr>
            <w:r>
              <w:t>废气</w:t>
            </w:r>
          </w:p>
        </w:tc>
        <w:tc>
          <w:tcPr>
            <w:tcW w:w="1701" w:type="dxa"/>
            <w:vAlign w:val="center"/>
          </w:tcPr>
          <w:p>
            <w:pPr>
              <w:pStyle w:val="2691"/>
            </w:pPr>
            <w:r>
              <w:rPr>
                <w:rFonts w:hint="eastAsia"/>
                <w:lang w:val="en-US" w:eastAsia="zh-CN"/>
              </w:rPr>
              <w:t>施工</w:t>
            </w:r>
            <w:r>
              <w:t>扬尘</w:t>
            </w:r>
          </w:p>
        </w:tc>
        <w:tc>
          <w:tcPr>
            <w:tcW w:w="2410" w:type="dxa"/>
            <w:vAlign w:val="center"/>
          </w:tcPr>
          <w:p>
            <w:pPr>
              <w:pStyle w:val="2691"/>
            </w:pPr>
            <w:r>
              <w:t>TSP</w:t>
            </w:r>
          </w:p>
        </w:tc>
        <w:tc>
          <w:tcPr>
            <w:tcW w:w="5764" w:type="dxa"/>
            <w:vAlign w:val="center"/>
          </w:tcPr>
          <w:p>
            <w:pPr>
              <w:pStyle w:val="2691"/>
              <w:rPr>
                <w:rFonts w:hint="default" w:eastAsia="宋体"/>
                <w:lang w:val="en-US" w:eastAsia="zh-CN"/>
              </w:rPr>
            </w:pPr>
            <w:r>
              <w:t>修筑厂界围墙或简易围屏，减少扬尘的逸散；对施工现场及运输道路应定期清扫洒水，减少起尘量；运输砂土、水泥、碎石等易起尘的物料要加盖蓬布、控制车速，防止物料洒落和产生扬尘</w:t>
            </w:r>
            <w:r>
              <w:rPr>
                <w:rFonts w:hint="eastAsia"/>
              </w:rPr>
              <w:t>；</w:t>
            </w:r>
            <w:r>
              <w:t>施工场地出口设置车辆冲洗区</w:t>
            </w:r>
            <w:r>
              <w:rPr>
                <w:rFonts w:hint="eastAsia"/>
                <w:lang w:eastAsia="zh-CN"/>
              </w:rPr>
              <w:t>，</w:t>
            </w:r>
            <w:r>
              <w:rPr>
                <w:rFonts w:hint="eastAsia"/>
                <w:lang w:val="en-US" w:eastAsia="zh-CN"/>
              </w:rPr>
              <w:t>减少车辆运输起尘</w:t>
            </w:r>
          </w:p>
        </w:tc>
        <w:tc>
          <w:tcPr>
            <w:tcW w:w="1985" w:type="dxa"/>
            <w:vAlign w:val="center"/>
          </w:tcPr>
          <w:p>
            <w:pPr>
              <w:pStyle w:val="2691"/>
            </w:pPr>
            <w:r>
              <w:t>减少施工扬尘</w:t>
            </w:r>
          </w:p>
        </w:tc>
        <w:tc>
          <w:tcPr>
            <w:tcW w:w="992" w:type="dxa"/>
            <w:vAlign w:val="center"/>
          </w:tcPr>
          <w:p>
            <w:pPr>
              <w:pStyle w:val="2691"/>
              <w:rPr>
                <w:rFonts w:hint="default" w:eastAsia="宋体"/>
                <w:lang w:val="en-US" w:eastAsia="zh-CN"/>
              </w:rPr>
            </w:pPr>
            <w:r>
              <w:rPr>
                <w:rFonts w:hint="eastAsia"/>
                <w:lang w:val="en-US" w:eastAsia="zh-CN"/>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59" w:type="dxa"/>
            <w:vMerge w:val="continue"/>
            <w:vAlign w:val="center"/>
          </w:tcPr>
          <w:p>
            <w:pPr>
              <w:pStyle w:val="2691"/>
            </w:pPr>
          </w:p>
        </w:tc>
        <w:tc>
          <w:tcPr>
            <w:tcW w:w="402" w:type="dxa"/>
            <w:vMerge w:val="continue"/>
            <w:vAlign w:val="center"/>
          </w:tcPr>
          <w:p>
            <w:pPr>
              <w:pStyle w:val="2691"/>
            </w:pPr>
          </w:p>
        </w:tc>
        <w:tc>
          <w:tcPr>
            <w:tcW w:w="1701" w:type="dxa"/>
            <w:vAlign w:val="center"/>
          </w:tcPr>
          <w:p>
            <w:pPr>
              <w:pStyle w:val="2691"/>
              <w:ind w:firstLine="0" w:firstLineChars="0"/>
            </w:pPr>
            <w:r>
              <w:t>燃油废气</w:t>
            </w:r>
          </w:p>
        </w:tc>
        <w:tc>
          <w:tcPr>
            <w:tcW w:w="2410" w:type="dxa"/>
            <w:vAlign w:val="center"/>
          </w:tcPr>
          <w:p>
            <w:pPr>
              <w:pStyle w:val="2691"/>
              <w:ind w:firstLine="0" w:firstLineChars="0"/>
              <w:rPr>
                <w:spacing w:val="-1"/>
              </w:rPr>
            </w:pPr>
            <w:r>
              <w:rPr>
                <w:spacing w:val="-1"/>
              </w:rPr>
              <w:t>SO</w:t>
            </w:r>
            <w:r>
              <w:rPr>
                <w:position w:val="-2"/>
                <w:sz w:val="14"/>
                <w:szCs w:val="14"/>
              </w:rPr>
              <w:t>2</w:t>
            </w:r>
            <w:r>
              <w:t>、C</w:t>
            </w:r>
            <w:r>
              <w:rPr>
                <w:spacing w:val="-1"/>
              </w:rPr>
              <w:t>O</w:t>
            </w:r>
            <w:r>
              <w:t>、</w:t>
            </w:r>
            <w:r>
              <w:rPr>
                <w:spacing w:val="-1"/>
              </w:rPr>
              <w:t>NO</w:t>
            </w:r>
            <w:r>
              <w:t>x、烃类</w:t>
            </w:r>
          </w:p>
        </w:tc>
        <w:tc>
          <w:tcPr>
            <w:tcW w:w="5764" w:type="dxa"/>
            <w:vAlign w:val="center"/>
          </w:tcPr>
          <w:p>
            <w:pPr>
              <w:pStyle w:val="2691"/>
              <w:ind w:firstLine="0" w:firstLineChars="0"/>
            </w:pPr>
            <w:r>
              <w:t>加强对施工机械、车辆的维修保养，选择优质燃料，禁止以柴油为燃料的施工机械超负荷工作，减少尾气排放</w:t>
            </w:r>
          </w:p>
        </w:tc>
        <w:tc>
          <w:tcPr>
            <w:tcW w:w="1985" w:type="dxa"/>
            <w:vAlign w:val="center"/>
          </w:tcPr>
          <w:p>
            <w:pPr>
              <w:pStyle w:val="2691"/>
              <w:ind w:firstLine="0" w:firstLineChars="0"/>
            </w:pPr>
            <w:r>
              <w:t>达标排放</w:t>
            </w:r>
          </w:p>
        </w:tc>
        <w:tc>
          <w:tcPr>
            <w:tcW w:w="992" w:type="dxa"/>
            <w:vAlign w:val="center"/>
          </w:tcPr>
          <w:p>
            <w:pPr>
              <w:pStyle w:val="2691"/>
              <w:ind w:firstLine="0" w:firstLineChars="0"/>
            </w:pPr>
            <w: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59" w:type="dxa"/>
            <w:vMerge w:val="continue"/>
            <w:vAlign w:val="center"/>
          </w:tcPr>
          <w:p>
            <w:pPr>
              <w:pStyle w:val="2691"/>
            </w:pPr>
          </w:p>
        </w:tc>
        <w:tc>
          <w:tcPr>
            <w:tcW w:w="402" w:type="dxa"/>
            <w:vMerge w:val="continue"/>
            <w:vAlign w:val="center"/>
          </w:tcPr>
          <w:p>
            <w:pPr>
              <w:pStyle w:val="2691"/>
            </w:pPr>
          </w:p>
        </w:tc>
        <w:tc>
          <w:tcPr>
            <w:tcW w:w="1701" w:type="dxa"/>
            <w:vAlign w:val="center"/>
          </w:tcPr>
          <w:p>
            <w:pPr>
              <w:pStyle w:val="2691"/>
              <w:rPr>
                <w:rFonts w:hint="default" w:eastAsia="宋体"/>
                <w:lang w:val="en-US" w:eastAsia="zh-CN"/>
              </w:rPr>
            </w:pPr>
            <w:r>
              <w:rPr>
                <w:rFonts w:hint="eastAsia"/>
                <w:lang w:val="en-US" w:eastAsia="zh-CN"/>
              </w:rPr>
              <w:t>清淤恶臭</w:t>
            </w:r>
          </w:p>
        </w:tc>
        <w:tc>
          <w:tcPr>
            <w:tcW w:w="2410" w:type="dxa"/>
            <w:vAlign w:val="center"/>
          </w:tcPr>
          <w:p>
            <w:pPr>
              <w:pStyle w:val="2691"/>
              <w:rPr>
                <w:rFonts w:hint="default" w:eastAsia="宋体"/>
                <w:lang w:val="en-US" w:eastAsia="zh-CN"/>
              </w:rPr>
            </w:pPr>
            <w:r>
              <w:rPr>
                <w:rFonts w:hint="eastAsia"/>
                <w:lang w:val="en-US" w:eastAsia="zh-CN"/>
              </w:rPr>
              <w:t>NH</w:t>
            </w:r>
            <w:r>
              <w:rPr>
                <w:rFonts w:hint="eastAsia"/>
                <w:vertAlign w:val="subscript"/>
                <w:lang w:val="en-US" w:eastAsia="zh-CN"/>
              </w:rPr>
              <w:t>3</w:t>
            </w:r>
            <w:r>
              <w:rPr>
                <w:rFonts w:hint="eastAsia"/>
                <w:lang w:val="en-US" w:eastAsia="zh-CN"/>
              </w:rPr>
              <w:t>、H</w:t>
            </w:r>
            <w:r>
              <w:rPr>
                <w:rFonts w:hint="eastAsia"/>
                <w:vertAlign w:val="subscript"/>
                <w:lang w:val="en-US" w:eastAsia="zh-CN"/>
              </w:rPr>
              <w:t>2</w:t>
            </w:r>
            <w:r>
              <w:rPr>
                <w:rFonts w:hint="eastAsia"/>
                <w:lang w:val="en-US" w:eastAsia="zh-CN"/>
              </w:rPr>
              <w:t>S、臭气浓度</w:t>
            </w:r>
          </w:p>
        </w:tc>
        <w:tc>
          <w:tcPr>
            <w:tcW w:w="5764" w:type="dxa"/>
            <w:vAlign w:val="center"/>
          </w:tcPr>
          <w:p>
            <w:pPr>
              <w:pStyle w:val="2691"/>
              <w:rPr>
                <w:rFonts w:hint="default" w:eastAsia="宋体"/>
                <w:lang w:val="en-US" w:eastAsia="zh-CN"/>
              </w:rPr>
            </w:pPr>
            <w:r>
              <w:rPr>
                <w:rFonts w:hint="eastAsia"/>
                <w:lang w:val="en-US" w:eastAsia="zh-CN"/>
              </w:rPr>
              <w:t>清淤淤泥及时脱水固化回填，堆放淤泥四周设置排洪沟，设置围挡，雨天设置防水布进行覆盖</w:t>
            </w:r>
          </w:p>
        </w:tc>
        <w:tc>
          <w:tcPr>
            <w:tcW w:w="1985" w:type="dxa"/>
            <w:vAlign w:val="center"/>
          </w:tcPr>
          <w:p>
            <w:pPr>
              <w:pStyle w:val="2691"/>
              <w:rPr>
                <w:rFonts w:hint="default" w:eastAsia="宋体"/>
                <w:lang w:val="en-US" w:eastAsia="zh-CN"/>
              </w:rPr>
            </w:pPr>
            <w:r>
              <w:rPr>
                <w:rFonts w:hint="eastAsia"/>
                <w:lang w:val="en-US" w:eastAsia="zh-CN"/>
              </w:rPr>
              <w:t>满足《恶臭污染物排放标准》（GB14554-93）标准要求</w:t>
            </w:r>
          </w:p>
        </w:tc>
        <w:tc>
          <w:tcPr>
            <w:tcW w:w="992" w:type="dxa"/>
            <w:vAlign w:val="center"/>
          </w:tcPr>
          <w:p>
            <w:pPr>
              <w:pStyle w:val="2691"/>
              <w:rPr>
                <w:rFonts w:hint="default" w:eastAsia="宋体"/>
                <w:lang w:val="en-US" w:eastAsia="zh-CN"/>
              </w:rPr>
            </w:pPr>
            <w:r>
              <w:rPr>
                <w:rFonts w:hint="eastAsia"/>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59" w:type="dxa"/>
            <w:vMerge w:val="continue"/>
            <w:vAlign w:val="center"/>
          </w:tcPr>
          <w:p>
            <w:pPr>
              <w:pStyle w:val="2691"/>
            </w:pPr>
          </w:p>
        </w:tc>
        <w:tc>
          <w:tcPr>
            <w:tcW w:w="402" w:type="dxa"/>
            <w:vAlign w:val="center"/>
          </w:tcPr>
          <w:p>
            <w:pPr>
              <w:pStyle w:val="2691"/>
            </w:pPr>
            <w:r>
              <w:t>噪声</w:t>
            </w:r>
          </w:p>
        </w:tc>
        <w:tc>
          <w:tcPr>
            <w:tcW w:w="1701" w:type="dxa"/>
            <w:vAlign w:val="center"/>
          </w:tcPr>
          <w:p>
            <w:pPr>
              <w:pStyle w:val="2691"/>
            </w:pPr>
            <w:r>
              <w:t>施工机械、车辆</w:t>
            </w:r>
          </w:p>
        </w:tc>
        <w:tc>
          <w:tcPr>
            <w:tcW w:w="2410" w:type="dxa"/>
            <w:vAlign w:val="center"/>
          </w:tcPr>
          <w:p>
            <w:pPr>
              <w:pStyle w:val="2691"/>
            </w:pPr>
            <w:r>
              <w:t>噪声</w:t>
            </w:r>
          </w:p>
        </w:tc>
        <w:tc>
          <w:tcPr>
            <w:tcW w:w="5764" w:type="dxa"/>
            <w:vAlign w:val="center"/>
          </w:tcPr>
          <w:p>
            <w:pPr>
              <w:pStyle w:val="2691"/>
            </w:pPr>
            <w:r>
              <w:t>加强管理，合理安排施工时间，选用低噪声设备，对机械设备进行定期维修</w:t>
            </w:r>
          </w:p>
        </w:tc>
        <w:tc>
          <w:tcPr>
            <w:tcW w:w="1985" w:type="dxa"/>
            <w:vAlign w:val="center"/>
          </w:tcPr>
          <w:p>
            <w:pPr>
              <w:pStyle w:val="2691"/>
            </w:pPr>
            <w:r>
              <w:t>达标排放</w:t>
            </w:r>
          </w:p>
        </w:tc>
        <w:tc>
          <w:tcPr>
            <w:tcW w:w="992" w:type="dxa"/>
            <w:vAlign w:val="center"/>
          </w:tcPr>
          <w:p>
            <w:pPr>
              <w:pStyle w:val="2691"/>
              <w:rPr>
                <w:rFonts w:hint="eastAsia" w:eastAsia="宋体"/>
                <w:lang w:eastAsia="zh-CN"/>
              </w:rPr>
            </w:pPr>
            <w:r>
              <w:rPr>
                <w:rFonts w:hint="eastAsia"/>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59" w:type="dxa"/>
            <w:vMerge w:val="continue"/>
            <w:vAlign w:val="center"/>
          </w:tcPr>
          <w:p>
            <w:pPr>
              <w:pStyle w:val="2691"/>
            </w:pPr>
          </w:p>
        </w:tc>
        <w:tc>
          <w:tcPr>
            <w:tcW w:w="402" w:type="dxa"/>
            <w:vMerge w:val="restart"/>
            <w:vAlign w:val="center"/>
          </w:tcPr>
          <w:p>
            <w:pPr>
              <w:pStyle w:val="2691"/>
            </w:pPr>
            <w:r>
              <w:t>固废</w:t>
            </w:r>
          </w:p>
        </w:tc>
        <w:tc>
          <w:tcPr>
            <w:tcW w:w="1701" w:type="dxa"/>
            <w:vAlign w:val="center"/>
          </w:tcPr>
          <w:p>
            <w:pPr>
              <w:pStyle w:val="2691"/>
            </w:pPr>
            <w:r>
              <w:t>建筑垃圾</w:t>
            </w:r>
          </w:p>
        </w:tc>
        <w:tc>
          <w:tcPr>
            <w:tcW w:w="2410" w:type="dxa"/>
            <w:vAlign w:val="center"/>
          </w:tcPr>
          <w:p>
            <w:pPr>
              <w:pStyle w:val="2691"/>
            </w:pPr>
            <w:r>
              <w:t>建筑垃圾、疏浚污泥</w:t>
            </w:r>
          </w:p>
        </w:tc>
        <w:tc>
          <w:tcPr>
            <w:tcW w:w="5764" w:type="dxa"/>
            <w:vAlign w:val="center"/>
          </w:tcPr>
          <w:p>
            <w:pPr>
              <w:pStyle w:val="2691"/>
            </w:pPr>
            <w:r>
              <w:t>加强建筑垃圾和疏浚污泥的管理，建筑垃圾尽量回收利用，不能回收的部分应运至指定地方清理；港池疏浚污及时回填到后方陆域用地内，禁止在评价区水域随意丢弃疏浚土方</w:t>
            </w:r>
          </w:p>
        </w:tc>
        <w:tc>
          <w:tcPr>
            <w:tcW w:w="1985" w:type="dxa"/>
            <w:vMerge w:val="restart"/>
            <w:vAlign w:val="center"/>
          </w:tcPr>
          <w:p>
            <w:pPr>
              <w:pStyle w:val="2691"/>
              <w:rPr>
                <w:rFonts w:hint="default" w:eastAsia="宋体"/>
                <w:lang w:val="en-US" w:eastAsia="zh-CN"/>
              </w:rPr>
            </w:pPr>
            <w:r>
              <w:rPr>
                <w:rFonts w:hint="eastAsia"/>
                <w:lang w:val="en-US" w:eastAsia="zh-CN"/>
              </w:rPr>
              <w:t>妥善处置，不外排</w:t>
            </w:r>
          </w:p>
        </w:tc>
        <w:tc>
          <w:tcPr>
            <w:tcW w:w="992" w:type="dxa"/>
            <w:vMerge w:val="restart"/>
            <w:vAlign w:val="center"/>
          </w:tcPr>
          <w:p>
            <w:pPr>
              <w:pStyle w:val="2691"/>
              <w:rPr>
                <w:rFonts w:hint="default" w:eastAsia="宋体"/>
                <w:lang w:val="en-US" w:eastAsia="zh-CN"/>
              </w:rPr>
            </w:pPr>
            <w:r>
              <w:rPr>
                <w:rFonts w:hint="eastAsia"/>
                <w:lang w:val="en-US" w:eastAsia="zh-CN"/>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59" w:type="dxa"/>
            <w:vMerge w:val="continue"/>
            <w:vAlign w:val="center"/>
          </w:tcPr>
          <w:p>
            <w:pPr>
              <w:pStyle w:val="2691"/>
            </w:pPr>
          </w:p>
        </w:tc>
        <w:tc>
          <w:tcPr>
            <w:tcW w:w="402" w:type="dxa"/>
            <w:vMerge w:val="continue"/>
            <w:vAlign w:val="center"/>
          </w:tcPr>
          <w:p>
            <w:pPr>
              <w:pStyle w:val="2691"/>
            </w:pPr>
          </w:p>
        </w:tc>
        <w:tc>
          <w:tcPr>
            <w:tcW w:w="1701" w:type="dxa"/>
            <w:vAlign w:val="center"/>
          </w:tcPr>
          <w:p>
            <w:pPr>
              <w:pStyle w:val="2691"/>
            </w:pPr>
            <w:r>
              <w:rPr>
                <w:rFonts w:hint="eastAsia"/>
              </w:rPr>
              <w:t>施工人员</w:t>
            </w:r>
            <w:r>
              <w:t>生活垃圾</w:t>
            </w:r>
          </w:p>
        </w:tc>
        <w:tc>
          <w:tcPr>
            <w:tcW w:w="2410" w:type="dxa"/>
            <w:vAlign w:val="center"/>
          </w:tcPr>
          <w:p>
            <w:pPr>
              <w:pStyle w:val="2691"/>
            </w:pPr>
            <w:r>
              <w:t>生活垃圾</w:t>
            </w:r>
          </w:p>
        </w:tc>
        <w:tc>
          <w:tcPr>
            <w:tcW w:w="5764" w:type="dxa"/>
            <w:vAlign w:val="center"/>
          </w:tcPr>
          <w:p>
            <w:pPr>
              <w:pStyle w:val="2691"/>
            </w:pPr>
            <w:r>
              <w:t>船舶生活垃圾由施工单位负责交海事部门环保船接收处理</w:t>
            </w:r>
            <w:r>
              <w:rPr>
                <w:rFonts w:hint="eastAsia"/>
              </w:rPr>
              <w:t>，陆域</w:t>
            </w:r>
            <w:r>
              <w:t>施工人员生活垃圾集中</w:t>
            </w:r>
            <w:r>
              <w:rPr>
                <w:rFonts w:hint="eastAsia"/>
              </w:rPr>
              <w:t>收集</w:t>
            </w:r>
            <w:r>
              <w:t>定期交由环卫部门处理</w:t>
            </w:r>
          </w:p>
        </w:tc>
        <w:tc>
          <w:tcPr>
            <w:tcW w:w="1985" w:type="dxa"/>
            <w:vMerge w:val="continue"/>
            <w:vAlign w:val="center"/>
          </w:tcPr>
          <w:p>
            <w:pPr>
              <w:pStyle w:val="2691"/>
            </w:pPr>
          </w:p>
        </w:tc>
        <w:tc>
          <w:tcPr>
            <w:tcW w:w="992"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59" w:type="dxa"/>
            <w:vMerge w:val="restart"/>
            <w:vAlign w:val="center"/>
          </w:tcPr>
          <w:p>
            <w:pPr>
              <w:pStyle w:val="2691"/>
            </w:pPr>
            <w:r>
              <w:t>运营期</w:t>
            </w:r>
          </w:p>
        </w:tc>
        <w:tc>
          <w:tcPr>
            <w:tcW w:w="402" w:type="dxa"/>
            <w:vMerge w:val="restart"/>
            <w:vAlign w:val="center"/>
          </w:tcPr>
          <w:p>
            <w:pPr>
              <w:pStyle w:val="2691"/>
            </w:pPr>
            <w:r>
              <w:t>废水</w:t>
            </w:r>
          </w:p>
        </w:tc>
        <w:tc>
          <w:tcPr>
            <w:tcW w:w="1701" w:type="dxa"/>
            <w:vAlign w:val="center"/>
          </w:tcPr>
          <w:p>
            <w:pPr>
              <w:pStyle w:val="2691"/>
            </w:pPr>
            <w:r>
              <w:t>船舶生活污水</w:t>
            </w:r>
          </w:p>
        </w:tc>
        <w:tc>
          <w:tcPr>
            <w:tcW w:w="2410" w:type="dxa"/>
            <w:vAlign w:val="center"/>
          </w:tcPr>
          <w:p>
            <w:pPr>
              <w:pStyle w:val="2691"/>
              <w:rPr>
                <w:spacing w:val="-1"/>
              </w:rPr>
            </w:pPr>
            <w:r>
              <w:t>CO</w:t>
            </w:r>
            <w:r>
              <w:rPr>
                <w:spacing w:val="-1"/>
              </w:rPr>
              <w:t>D</w:t>
            </w:r>
            <w:r>
              <w:t>、BOD</w:t>
            </w:r>
            <w:r>
              <w:rPr>
                <w:vertAlign w:val="subscript"/>
              </w:rPr>
              <w:t>5</w:t>
            </w:r>
            <w:r>
              <w:t>、</w:t>
            </w:r>
            <w:r>
              <w:rPr>
                <w:spacing w:val="-1"/>
              </w:rPr>
              <w:t>SS、</w:t>
            </w:r>
          </w:p>
          <w:p>
            <w:pPr>
              <w:pStyle w:val="2691"/>
            </w:pPr>
            <w:r>
              <w:t>NH</w:t>
            </w:r>
            <w:r>
              <w:rPr>
                <w:vertAlign w:val="subscript"/>
              </w:rPr>
              <w:t>3</w:t>
            </w:r>
            <w:r>
              <w:t>-N</w:t>
            </w:r>
          </w:p>
        </w:tc>
        <w:tc>
          <w:tcPr>
            <w:tcW w:w="5764" w:type="dxa"/>
            <w:vAlign w:val="center"/>
          </w:tcPr>
          <w:p>
            <w:pPr>
              <w:pStyle w:val="2691"/>
            </w:pPr>
            <w:r>
              <w:rPr>
                <w:sz w:val="21"/>
                <w:szCs w:val="21"/>
              </w:rPr>
              <w:t>本项目</w:t>
            </w:r>
            <w:r>
              <w:rPr>
                <w:spacing w:val="0"/>
                <w:sz w:val="21"/>
                <w:szCs w:val="21"/>
              </w:rPr>
              <w:t>到港生活污水</w:t>
            </w:r>
            <w:r>
              <w:rPr>
                <w:rFonts w:hint="default" w:ascii="Times New Roman" w:hAnsi="Times New Roman" w:eastAsia="宋体" w:cs="Times New Roman"/>
                <w:kern w:val="2"/>
                <w:sz w:val="21"/>
                <w:szCs w:val="21"/>
                <w:lang w:val="en-US" w:eastAsia="zh-CN" w:bidi="ar"/>
              </w:rPr>
              <w:t>上岸进入港区专用</w:t>
            </w:r>
            <w:r>
              <w:rPr>
                <w:rFonts w:hint="default" w:eastAsia="宋体" w:cs="Times New Roman"/>
                <w:kern w:val="2"/>
                <w:sz w:val="21"/>
                <w:szCs w:val="21"/>
                <w:lang w:val="en-US" w:eastAsia="zh-CN" w:bidi="ar"/>
              </w:rPr>
              <w:t>接收装置</w:t>
            </w:r>
            <w:r>
              <w:rPr>
                <w:rFonts w:hint="default" w:ascii="Times New Roman" w:hAnsi="Times New Roman" w:eastAsia="宋体" w:cs="Times New Roman"/>
                <w:kern w:val="2"/>
                <w:sz w:val="21"/>
                <w:szCs w:val="21"/>
                <w:lang w:val="en-US" w:eastAsia="zh-CN" w:bidi="ar"/>
              </w:rPr>
              <w:t>，</w:t>
            </w:r>
            <w:r>
              <w:rPr>
                <w:spacing w:val="0"/>
                <w:sz w:val="21"/>
                <w:szCs w:val="21"/>
              </w:rPr>
              <w:t>申请海事部门的环保工作船进行专业收集处理</w:t>
            </w:r>
          </w:p>
        </w:tc>
        <w:tc>
          <w:tcPr>
            <w:tcW w:w="1985" w:type="dxa"/>
            <w:vMerge w:val="restart"/>
            <w:vAlign w:val="center"/>
          </w:tcPr>
          <w:p>
            <w:pPr>
              <w:pStyle w:val="2691"/>
            </w:pPr>
            <w:r>
              <w:t>满足《船舶水污染物排放标准》（GB3552-2018）</w:t>
            </w:r>
          </w:p>
        </w:tc>
        <w:tc>
          <w:tcPr>
            <w:tcW w:w="992" w:type="dxa"/>
            <w:vAlign w:val="center"/>
          </w:tcPr>
          <w:p>
            <w:pPr>
              <w:pStyle w:val="2691"/>
              <w:rPr>
                <w:rFonts w:hint="default" w:eastAsia="宋体"/>
                <w:lang w:val="en-US" w:eastAsia="zh-CN"/>
              </w:rPr>
            </w:pPr>
            <w:r>
              <w:rPr>
                <w:rFonts w:hint="eastAsia"/>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59" w:type="dxa"/>
            <w:vMerge w:val="continue"/>
            <w:vAlign w:val="center"/>
          </w:tcPr>
          <w:p>
            <w:pPr>
              <w:pStyle w:val="2691"/>
            </w:pPr>
          </w:p>
        </w:tc>
        <w:tc>
          <w:tcPr>
            <w:tcW w:w="402" w:type="dxa"/>
            <w:vMerge w:val="continue"/>
            <w:vAlign w:val="center"/>
          </w:tcPr>
          <w:p>
            <w:pPr>
              <w:pStyle w:val="2691"/>
            </w:pPr>
          </w:p>
        </w:tc>
        <w:tc>
          <w:tcPr>
            <w:tcW w:w="1701" w:type="dxa"/>
            <w:vAlign w:val="center"/>
          </w:tcPr>
          <w:p>
            <w:pPr>
              <w:pStyle w:val="2691"/>
            </w:pPr>
            <w:r>
              <w:t>船舶舱底油污水</w:t>
            </w:r>
          </w:p>
        </w:tc>
        <w:tc>
          <w:tcPr>
            <w:tcW w:w="2410" w:type="dxa"/>
            <w:vAlign w:val="center"/>
          </w:tcPr>
          <w:p>
            <w:pPr>
              <w:pStyle w:val="2691"/>
            </w:pPr>
            <w:r>
              <w:t>石油类</w:t>
            </w:r>
          </w:p>
        </w:tc>
        <w:tc>
          <w:tcPr>
            <w:tcW w:w="5764" w:type="dxa"/>
            <w:vAlign w:val="center"/>
          </w:tcPr>
          <w:p>
            <w:pPr>
              <w:pStyle w:val="2691"/>
            </w:pPr>
            <w:r>
              <w:rPr>
                <w:spacing w:val="0"/>
                <w:sz w:val="21"/>
                <w:szCs w:val="21"/>
              </w:rPr>
              <w:t>到港船舶油污水</w:t>
            </w:r>
            <w:r>
              <w:t>由船舶自备的油水分离器隔油处理后</w:t>
            </w:r>
            <w:r>
              <w:rPr>
                <w:rFonts w:hint="default" w:ascii="Times New Roman" w:hAnsi="Times New Roman" w:eastAsia="宋体" w:cs="Times New Roman"/>
                <w:kern w:val="2"/>
                <w:sz w:val="21"/>
                <w:szCs w:val="21"/>
                <w:lang w:val="en-US" w:eastAsia="zh-CN" w:bidi="ar"/>
              </w:rPr>
              <w:t>上岸进入港区专用</w:t>
            </w:r>
            <w:r>
              <w:rPr>
                <w:rFonts w:hint="default" w:eastAsia="宋体" w:cs="Times New Roman"/>
                <w:kern w:val="2"/>
                <w:sz w:val="21"/>
                <w:szCs w:val="21"/>
                <w:lang w:val="en-US" w:eastAsia="zh-CN" w:bidi="ar"/>
              </w:rPr>
              <w:t>接收装置</w:t>
            </w:r>
            <w:r>
              <w:rPr>
                <w:rFonts w:hint="default" w:ascii="Times New Roman" w:hAnsi="Times New Roman" w:eastAsia="宋体" w:cs="Times New Roman"/>
                <w:kern w:val="2"/>
                <w:sz w:val="21"/>
                <w:szCs w:val="21"/>
                <w:lang w:val="en-US" w:eastAsia="zh-CN" w:bidi="ar"/>
              </w:rPr>
              <w:t>，</w:t>
            </w:r>
            <w:r>
              <w:rPr>
                <w:spacing w:val="0"/>
                <w:sz w:val="21"/>
                <w:szCs w:val="21"/>
              </w:rPr>
              <w:t>申请海事部门的环保工作船进行专业收集处理</w:t>
            </w:r>
          </w:p>
        </w:tc>
        <w:tc>
          <w:tcPr>
            <w:tcW w:w="1985" w:type="dxa"/>
            <w:vMerge w:val="continue"/>
            <w:vAlign w:val="center"/>
          </w:tcPr>
          <w:p>
            <w:pPr>
              <w:pStyle w:val="2691"/>
            </w:pPr>
          </w:p>
        </w:tc>
        <w:tc>
          <w:tcPr>
            <w:tcW w:w="992" w:type="dxa"/>
            <w:vAlign w:val="center"/>
          </w:tcPr>
          <w:p>
            <w:pPr>
              <w:pStyle w:val="2691"/>
            </w:pPr>
            <w: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59" w:type="dxa"/>
            <w:vMerge w:val="continue"/>
            <w:vAlign w:val="center"/>
          </w:tcPr>
          <w:p>
            <w:pPr>
              <w:pStyle w:val="2691"/>
            </w:pPr>
          </w:p>
        </w:tc>
        <w:tc>
          <w:tcPr>
            <w:tcW w:w="402" w:type="dxa"/>
            <w:vMerge w:val="continue"/>
            <w:vAlign w:val="center"/>
          </w:tcPr>
          <w:p>
            <w:pPr>
              <w:pStyle w:val="2691"/>
            </w:pPr>
          </w:p>
        </w:tc>
        <w:tc>
          <w:tcPr>
            <w:tcW w:w="1701" w:type="dxa"/>
            <w:vAlign w:val="center"/>
          </w:tcPr>
          <w:p>
            <w:pPr>
              <w:pStyle w:val="2691"/>
            </w:pPr>
            <w:r>
              <w:t>码头冲洗废水</w:t>
            </w:r>
          </w:p>
        </w:tc>
        <w:tc>
          <w:tcPr>
            <w:tcW w:w="2410" w:type="dxa"/>
            <w:vAlign w:val="center"/>
          </w:tcPr>
          <w:p>
            <w:pPr>
              <w:pStyle w:val="2691"/>
            </w:pPr>
            <w:r>
              <w:t>SS</w:t>
            </w:r>
          </w:p>
        </w:tc>
        <w:tc>
          <w:tcPr>
            <w:tcW w:w="5764" w:type="dxa"/>
            <w:vMerge w:val="restart"/>
            <w:vAlign w:val="center"/>
          </w:tcPr>
          <w:p>
            <w:pPr>
              <w:pStyle w:val="2691"/>
            </w:pPr>
            <w:r>
              <w:t>设置1座100m</w:t>
            </w:r>
            <w:r>
              <w:rPr>
                <w:vertAlign w:val="superscript"/>
              </w:rPr>
              <w:t>3</w:t>
            </w:r>
            <w:r>
              <w:t>的污水收集池</w:t>
            </w:r>
            <w:r>
              <w:rPr>
                <w:spacing w:val="-16"/>
              </w:rPr>
              <w:t>收集废水，后</w:t>
            </w:r>
            <w:r>
              <w:t>由防爆污水泵和管道抽送</w:t>
            </w:r>
            <w:r>
              <w:rPr>
                <w:spacing w:val="2"/>
              </w:rPr>
              <w:t>至后方陆域工程区</w:t>
            </w:r>
            <w:r>
              <w:t>的</w:t>
            </w:r>
            <w:r>
              <w:rPr>
                <w:spacing w:val="2"/>
              </w:rPr>
              <w:t>污水</w:t>
            </w:r>
            <w:r>
              <w:t>处</w:t>
            </w:r>
            <w:r>
              <w:rPr>
                <w:spacing w:val="2"/>
              </w:rPr>
              <w:t>理</w:t>
            </w:r>
            <w:r>
              <w:t>站处理</w:t>
            </w:r>
            <w:r>
              <w:rPr>
                <w:rFonts w:hint="eastAsia"/>
              </w:rPr>
              <w:t>，</w:t>
            </w:r>
            <w:r>
              <w:t>陆域设置</w:t>
            </w:r>
            <w:r>
              <w:rPr>
                <w:rFonts w:hint="eastAsia"/>
              </w:rPr>
              <w:t>1套污水处理装置</w:t>
            </w:r>
          </w:p>
        </w:tc>
        <w:tc>
          <w:tcPr>
            <w:tcW w:w="1985" w:type="dxa"/>
            <w:vMerge w:val="restart"/>
            <w:vAlign w:val="center"/>
          </w:tcPr>
          <w:p>
            <w:pPr>
              <w:pStyle w:val="2691"/>
            </w:pPr>
            <w:r>
              <w:t>措施落实到位</w:t>
            </w:r>
          </w:p>
        </w:tc>
        <w:tc>
          <w:tcPr>
            <w:tcW w:w="992" w:type="dxa"/>
            <w:vMerge w:val="restart"/>
            <w:vAlign w:val="center"/>
          </w:tcPr>
          <w:p>
            <w:pPr>
              <w:pStyle w:val="2691"/>
            </w:pPr>
            <w: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59" w:type="dxa"/>
            <w:vMerge w:val="continue"/>
            <w:vAlign w:val="center"/>
          </w:tcPr>
          <w:p>
            <w:pPr>
              <w:pStyle w:val="2691"/>
            </w:pPr>
          </w:p>
        </w:tc>
        <w:tc>
          <w:tcPr>
            <w:tcW w:w="402" w:type="dxa"/>
            <w:vMerge w:val="continue"/>
            <w:vAlign w:val="center"/>
          </w:tcPr>
          <w:p>
            <w:pPr>
              <w:pStyle w:val="2691"/>
            </w:pPr>
          </w:p>
        </w:tc>
        <w:tc>
          <w:tcPr>
            <w:tcW w:w="1701" w:type="dxa"/>
            <w:vAlign w:val="center"/>
          </w:tcPr>
          <w:p>
            <w:pPr>
              <w:pStyle w:val="2691"/>
            </w:pPr>
            <w:r>
              <w:t>初期雨水</w:t>
            </w:r>
          </w:p>
        </w:tc>
        <w:tc>
          <w:tcPr>
            <w:tcW w:w="2410" w:type="dxa"/>
            <w:vAlign w:val="center"/>
          </w:tcPr>
          <w:p>
            <w:pPr>
              <w:pStyle w:val="2691"/>
            </w:pPr>
            <w:r>
              <w:t>SS</w:t>
            </w:r>
          </w:p>
        </w:tc>
        <w:tc>
          <w:tcPr>
            <w:tcW w:w="5764" w:type="dxa"/>
            <w:vMerge w:val="continue"/>
            <w:vAlign w:val="center"/>
          </w:tcPr>
          <w:p>
            <w:pPr>
              <w:pStyle w:val="2691"/>
            </w:pPr>
          </w:p>
        </w:tc>
        <w:tc>
          <w:tcPr>
            <w:tcW w:w="1985" w:type="dxa"/>
            <w:vMerge w:val="continue"/>
            <w:vAlign w:val="center"/>
          </w:tcPr>
          <w:p>
            <w:pPr>
              <w:pStyle w:val="2691"/>
            </w:pPr>
          </w:p>
        </w:tc>
        <w:tc>
          <w:tcPr>
            <w:tcW w:w="992"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59" w:type="dxa"/>
            <w:vMerge w:val="continue"/>
            <w:vAlign w:val="center"/>
          </w:tcPr>
          <w:p>
            <w:pPr>
              <w:pStyle w:val="2691"/>
            </w:pPr>
          </w:p>
        </w:tc>
        <w:tc>
          <w:tcPr>
            <w:tcW w:w="402" w:type="dxa"/>
            <w:vMerge w:val="continue"/>
            <w:vAlign w:val="center"/>
          </w:tcPr>
          <w:p>
            <w:pPr>
              <w:pStyle w:val="2691"/>
            </w:pPr>
          </w:p>
        </w:tc>
        <w:tc>
          <w:tcPr>
            <w:tcW w:w="1701" w:type="dxa"/>
            <w:vAlign w:val="center"/>
          </w:tcPr>
          <w:p>
            <w:pPr>
              <w:pStyle w:val="2691"/>
            </w:pPr>
            <w:r>
              <w:t>生活污水</w:t>
            </w:r>
          </w:p>
        </w:tc>
        <w:tc>
          <w:tcPr>
            <w:tcW w:w="2410" w:type="dxa"/>
            <w:vAlign w:val="center"/>
          </w:tcPr>
          <w:p>
            <w:pPr>
              <w:pStyle w:val="2691"/>
              <w:rPr>
                <w:spacing w:val="-1"/>
              </w:rPr>
            </w:pPr>
            <w:r>
              <w:t>CO</w:t>
            </w:r>
            <w:r>
              <w:rPr>
                <w:spacing w:val="-1"/>
              </w:rPr>
              <w:t>D</w:t>
            </w:r>
            <w:r>
              <w:t>、BOD</w:t>
            </w:r>
            <w:r>
              <w:rPr>
                <w:vertAlign w:val="subscript"/>
              </w:rPr>
              <w:t>5</w:t>
            </w:r>
            <w:r>
              <w:t>、</w:t>
            </w:r>
            <w:r>
              <w:rPr>
                <w:spacing w:val="-1"/>
              </w:rPr>
              <w:t>SS、</w:t>
            </w:r>
          </w:p>
          <w:p>
            <w:pPr>
              <w:pStyle w:val="2691"/>
            </w:pPr>
            <w:r>
              <w:t>NH</w:t>
            </w:r>
            <w:r>
              <w:rPr>
                <w:vertAlign w:val="subscript"/>
              </w:rPr>
              <w:t>3</w:t>
            </w:r>
            <w:r>
              <w:t>-N</w:t>
            </w:r>
          </w:p>
        </w:tc>
        <w:tc>
          <w:tcPr>
            <w:tcW w:w="5764" w:type="dxa"/>
            <w:vAlign w:val="center"/>
          </w:tcPr>
          <w:p>
            <w:pPr>
              <w:pStyle w:val="2691"/>
            </w:pPr>
            <w:r>
              <w:rPr>
                <w:rFonts w:hint="eastAsia"/>
              </w:rPr>
              <w:t>经过化粪池处理后排入市政管网</w:t>
            </w:r>
          </w:p>
        </w:tc>
        <w:tc>
          <w:tcPr>
            <w:tcW w:w="1985" w:type="dxa"/>
            <w:vAlign w:val="center"/>
          </w:tcPr>
          <w:p>
            <w:pPr>
              <w:pStyle w:val="2691"/>
            </w:pPr>
            <w:r>
              <w:t>达标排放</w:t>
            </w:r>
          </w:p>
        </w:tc>
        <w:tc>
          <w:tcPr>
            <w:tcW w:w="992"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59" w:type="dxa"/>
            <w:vMerge w:val="continue"/>
            <w:vAlign w:val="center"/>
          </w:tcPr>
          <w:p>
            <w:pPr>
              <w:pStyle w:val="2691"/>
            </w:pPr>
          </w:p>
        </w:tc>
        <w:tc>
          <w:tcPr>
            <w:tcW w:w="402" w:type="dxa"/>
            <w:vAlign w:val="center"/>
          </w:tcPr>
          <w:p>
            <w:pPr>
              <w:pStyle w:val="2691"/>
            </w:pPr>
            <w:r>
              <w:t>废气</w:t>
            </w:r>
          </w:p>
        </w:tc>
        <w:tc>
          <w:tcPr>
            <w:tcW w:w="1701" w:type="dxa"/>
            <w:vAlign w:val="center"/>
          </w:tcPr>
          <w:p>
            <w:pPr>
              <w:pStyle w:val="2691"/>
            </w:pPr>
            <w:r>
              <w:t>散货装卸运输粉尘</w:t>
            </w:r>
          </w:p>
        </w:tc>
        <w:tc>
          <w:tcPr>
            <w:tcW w:w="2410" w:type="dxa"/>
            <w:vAlign w:val="center"/>
          </w:tcPr>
          <w:p>
            <w:pPr>
              <w:pStyle w:val="2691"/>
            </w:pPr>
            <w:r>
              <w:t>TSP</w:t>
            </w:r>
          </w:p>
        </w:tc>
        <w:tc>
          <w:tcPr>
            <w:tcW w:w="5764" w:type="dxa"/>
            <w:vAlign w:val="center"/>
          </w:tcPr>
          <w:p>
            <w:pPr>
              <w:pStyle w:val="2691"/>
            </w:pPr>
            <w:r>
              <w:t>码头装卸区域采用</w:t>
            </w:r>
            <w:r>
              <w:rPr>
                <w:szCs w:val="28"/>
              </w:rPr>
              <w:t>高压自动微雾抑尘系统</w:t>
            </w:r>
            <w:r>
              <w:t>湿式除尘系统；皮带机廊道采用密封式廊道；转运站各转载点采取密闭措施，设置密闭溜筒和密闭导料槽，通过干雾除尘措施防尘；在码头实施岸基供电设施，船舶靠泊配置岸电设施的泊位后，关闭发动机，使用岸电作为能源；及时冲洗清扫码头面</w:t>
            </w:r>
          </w:p>
        </w:tc>
        <w:tc>
          <w:tcPr>
            <w:tcW w:w="1985" w:type="dxa"/>
            <w:vAlign w:val="center"/>
          </w:tcPr>
          <w:p>
            <w:pPr>
              <w:pStyle w:val="2691"/>
            </w:pPr>
            <w:r>
              <w:t>达到《大气污染物综合排放标准》</w:t>
            </w:r>
          </w:p>
          <w:p>
            <w:pPr>
              <w:pStyle w:val="2691"/>
            </w:pPr>
            <w:r>
              <w:t>（GB16297</w:t>
            </w:r>
            <w:r>
              <w:rPr>
                <w:spacing w:val="-1"/>
              </w:rPr>
              <w:t>-</w:t>
            </w:r>
            <w:r>
              <w:t>1996）中的无组织排放限值要求</w:t>
            </w:r>
          </w:p>
        </w:tc>
        <w:tc>
          <w:tcPr>
            <w:tcW w:w="992" w:type="dxa"/>
            <w:vAlign w:val="center"/>
          </w:tcPr>
          <w:p>
            <w:pPr>
              <w:pStyle w:val="2691"/>
            </w:pPr>
            <w:r>
              <w:t>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59" w:type="dxa"/>
            <w:vMerge w:val="continue"/>
            <w:vAlign w:val="center"/>
          </w:tcPr>
          <w:p>
            <w:pPr>
              <w:pStyle w:val="2691"/>
            </w:pPr>
          </w:p>
        </w:tc>
        <w:tc>
          <w:tcPr>
            <w:tcW w:w="402" w:type="dxa"/>
            <w:vAlign w:val="center"/>
          </w:tcPr>
          <w:p>
            <w:pPr>
              <w:pStyle w:val="2691"/>
            </w:pPr>
            <w:r>
              <w:t>噪声</w:t>
            </w:r>
          </w:p>
        </w:tc>
        <w:tc>
          <w:tcPr>
            <w:tcW w:w="1701" w:type="dxa"/>
            <w:vAlign w:val="center"/>
          </w:tcPr>
          <w:p>
            <w:pPr>
              <w:pStyle w:val="2691"/>
            </w:pPr>
            <w:r>
              <w:t>各类机械、船舶噪声</w:t>
            </w:r>
          </w:p>
        </w:tc>
        <w:tc>
          <w:tcPr>
            <w:tcW w:w="2410" w:type="dxa"/>
            <w:vAlign w:val="center"/>
          </w:tcPr>
          <w:p>
            <w:pPr>
              <w:pStyle w:val="2691"/>
            </w:pPr>
            <w:r>
              <w:t>噪声</w:t>
            </w:r>
          </w:p>
        </w:tc>
        <w:tc>
          <w:tcPr>
            <w:tcW w:w="5764" w:type="dxa"/>
            <w:vAlign w:val="center"/>
          </w:tcPr>
          <w:p>
            <w:pPr>
              <w:pStyle w:val="2691"/>
            </w:pPr>
            <w:r>
              <w:t>加强对进出港区车辆、船舶管理，非必要时禁鸣；加强噪声设备的维护管理，采用低噪声设备和减振措施；设专人对机械设备进行定期保养和维护</w:t>
            </w:r>
          </w:p>
        </w:tc>
        <w:tc>
          <w:tcPr>
            <w:tcW w:w="1985" w:type="dxa"/>
            <w:vAlign w:val="center"/>
          </w:tcPr>
          <w:p>
            <w:pPr>
              <w:pStyle w:val="2691"/>
            </w:pPr>
            <w:r>
              <w:t>厂界达《工业企业厂界环境噪声排放标准》（GB12348- 2008）中 3类、4 类标准</w:t>
            </w:r>
          </w:p>
        </w:tc>
        <w:tc>
          <w:tcPr>
            <w:tcW w:w="992" w:type="dxa"/>
            <w:vAlign w:val="center"/>
          </w:tcPr>
          <w:p>
            <w:pPr>
              <w:pStyle w:val="2691"/>
            </w:pPr>
            <w: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59" w:type="dxa"/>
            <w:vMerge w:val="continue"/>
            <w:vAlign w:val="center"/>
          </w:tcPr>
          <w:p>
            <w:pPr>
              <w:pStyle w:val="2691"/>
            </w:pPr>
          </w:p>
        </w:tc>
        <w:tc>
          <w:tcPr>
            <w:tcW w:w="402" w:type="dxa"/>
            <w:vMerge w:val="restart"/>
            <w:vAlign w:val="center"/>
          </w:tcPr>
          <w:p>
            <w:pPr>
              <w:pStyle w:val="2691"/>
            </w:pPr>
            <w:r>
              <w:t>固废</w:t>
            </w:r>
          </w:p>
        </w:tc>
        <w:tc>
          <w:tcPr>
            <w:tcW w:w="1701" w:type="dxa"/>
            <w:vAlign w:val="center"/>
          </w:tcPr>
          <w:p>
            <w:pPr>
              <w:pStyle w:val="2691"/>
            </w:pPr>
            <w:r>
              <w:t>船舶生活垃圾</w:t>
            </w:r>
          </w:p>
        </w:tc>
        <w:tc>
          <w:tcPr>
            <w:tcW w:w="2410" w:type="dxa"/>
            <w:vAlign w:val="center"/>
          </w:tcPr>
          <w:p>
            <w:pPr>
              <w:pStyle w:val="2691"/>
            </w:pPr>
            <w:r>
              <w:t>生活垃圾</w:t>
            </w:r>
          </w:p>
        </w:tc>
        <w:tc>
          <w:tcPr>
            <w:tcW w:w="5764" w:type="dxa"/>
            <w:vAlign w:val="center"/>
          </w:tcPr>
          <w:p>
            <w:pPr>
              <w:pStyle w:val="2691"/>
              <w:rPr>
                <w:sz w:val="12"/>
                <w:szCs w:val="12"/>
              </w:rPr>
            </w:pPr>
            <w:r>
              <w:t>交海事部门环保船接收处理</w:t>
            </w:r>
          </w:p>
        </w:tc>
        <w:tc>
          <w:tcPr>
            <w:tcW w:w="1985" w:type="dxa"/>
            <w:vMerge w:val="restart"/>
            <w:vAlign w:val="center"/>
          </w:tcPr>
          <w:p>
            <w:pPr>
              <w:pStyle w:val="2691"/>
            </w:pPr>
            <w:r>
              <w:t>满足</w:t>
            </w:r>
          </w:p>
        </w:tc>
        <w:tc>
          <w:tcPr>
            <w:tcW w:w="992" w:type="dxa"/>
            <w:vMerge w:val="restart"/>
            <w:vAlign w:val="center"/>
          </w:tcPr>
          <w:p>
            <w:pPr>
              <w:pStyle w:val="2691"/>
            </w:pPr>
            <w: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59" w:type="dxa"/>
            <w:vMerge w:val="continue"/>
            <w:vAlign w:val="center"/>
          </w:tcPr>
          <w:p>
            <w:pPr>
              <w:pStyle w:val="2691"/>
            </w:pPr>
          </w:p>
        </w:tc>
        <w:tc>
          <w:tcPr>
            <w:tcW w:w="402" w:type="dxa"/>
            <w:vMerge w:val="continue"/>
            <w:vAlign w:val="center"/>
          </w:tcPr>
          <w:p>
            <w:pPr>
              <w:pStyle w:val="2691"/>
            </w:pPr>
          </w:p>
        </w:tc>
        <w:tc>
          <w:tcPr>
            <w:tcW w:w="1701" w:type="dxa"/>
            <w:vAlign w:val="center"/>
          </w:tcPr>
          <w:p>
            <w:pPr>
              <w:pStyle w:val="2691"/>
            </w:pPr>
            <w:r>
              <w:t>设备维修含油抹布</w:t>
            </w:r>
          </w:p>
        </w:tc>
        <w:tc>
          <w:tcPr>
            <w:tcW w:w="2410" w:type="dxa"/>
            <w:vAlign w:val="center"/>
          </w:tcPr>
          <w:p>
            <w:pPr>
              <w:pStyle w:val="2691"/>
            </w:pPr>
            <w:r>
              <w:t>含油抹布</w:t>
            </w:r>
          </w:p>
        </w:tc>
        <w:tc>
          <w:tcPr>
            <w:tcW w:w="5764" w:type="dxa"/>
            <w:vMerge w:val="restart"/>
            <w:vAlign w:val="center"/>
          </w:tcPr>
          <w:p>
            <w:pPr>
              <w:pStyle w:val="2691"/>
            </w:pPr>
            <w:r>
              <w:t>依托后方陆域工程区危废暂存间，收集后定期交由有资质单位进行处理</w:t>
            </w:r>
          </w:p>
        </w:tc>
        <w:tc>
          <w:tcPr>
            <w:tcW w:w="1985" w:type="dxa"/>
            <w:vMerge w:val="continue"/>
            <w:vAlign w:val="center"/>
          </w:tcPr>
          <w:p>
            <w:pPr>
              <w:pStyle w:val="2691"/>
            </w:pPr>
          </w:p>
        </w:tc>
        <w:tc>
          <w:tcPr>
            <w:tcW w:w="992"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59" w:type="dxa"/>
            <w:vMerge w:val="continue"/>
            <w:vAlign w:val="center"/>
          </w:tcPr>
          <w:p>
            <w:pPr>
              <w:pStyle w:val="2691"/>
            </w:pPr>
          </w:p>
        </w:tc>
        <w:tc>
          <w:tcPr>
            <w:tcW w:w="402" w:type="dxa"/>
            <w:vMerge w:val="continue"/>
            <w:vAlign w:val="center"/>
          </w:tcPr>
          <w:p>
            <w:pPr>
              <w:pStyle w:val="2691"/>
            </w:pPr>
          </w:p>
        </w:tc>
        <w:tc>
          <w:tcPr>
            <w:tcW w:w="1701" w:type="dxa"/>
            <w:vAlign w:val="center"/>
          </w:tcPr>
          <w:p>
            <w:pPr>
              <w:pStyle w:val="2691"/>
            </w:pPr>
            <w:r>
              <w:t>废机油</w:t>
            </w:r>
          </w:p>
        </w:tc>
        <w:tc>
          <w:tcPr>
            <w:tcW w:w="2410" w:type="dxa"/>
            <w:vAlign w:val="center"/>
          </w:tcPr>
          <w:p>
            <w:pPr>
              <w:pStyle w:val="2691"/>
            </w:pPr>
            <w:r>
              <w:t>废机油</w:t>
            </w:r>
          </w:p>
        </w:tc>
        <w:tc>
          <w:tcPr>
            <w:tcW w:w="5764" w:type="dxa"/>
            <w:vMerge w:val="continue"/>
            <w:vAlign w:val="center"/>
          </w:tcPr>
          <w:p>
            <w:pPr>
              <w:pStyle w:val="2691"/>
            </w:pPr>
          </w:p>
        </w:tc>
        <w:tc>
          <w:tcPr>
            <w:tcW w:w="1985" w:type="dxa"/>
            <w:vMerge w:val="continue"/>
            <w:vAlign w:val="center"/>
          </w:tcPr>
          <w:p>
            <w:pPr>
              <w:pStyle w:val="2691"/>
            </w:pPr>
          </w:p>
        </w:tc>
        <w:tc>
          <w:tcPr>
            <w:tcW w:w="992"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59" w:type="dxa"/>
            <w:vMerge w:val="continue"/>
            <w:vAlign w:val="center"/>
          </w:tcPr>
          <w:p>
            <w:pPr>
              <w:pStyle w:val="2691"/>
            </w:pPr>
          </w:p>
        </w:tc>
        <w:tc>
          <w:tcPr>
            <w:tcW w:w="402" w:type="dxa"/>
            <w:vMerge w:val="continue"/>
            <w:vAlign w:val="center"/>
          </w:tcPr>
          <w:p>
            <w:pPr>
              <w:pStyle w:val="2691"/>
            </w:pPr>
          </w:p>
        </w:tc>
        <w:tc>
          <w:tcPr>
            <w:tcW w:w="1701" w:type="dxa"/>
            <w:vAlign w:val="center"/>
          </w:tcPr>
          <w:p>
            <w:pPr>
              <w:pStyle w:val="2691"/>
            </w:pPr>
            <w:r>
              <w:t>污水收集池污泥</w:t>
            </w:r>
          </w:p>
        </w:tc>
        <w:tc>
          <w:tcPr>
            <w:tcW w:w="2410" w:type="dxa"/>
            <w:vAlign w:val="center"/>
          </w:tcPr>
          <w:p>
            <w:pPr>
              <w:pStyle w:val="2691"/>
            </w:pPr>
            <w:r>
              <w:t>污泥</w:t>
            </w:r>
          </w:p>
        </w:tc>
        <w:tc>
          <w:tcPr>
            <w:tcW w:w="5764" w:type="dxa"/>
            <w:vAlign w:val="center"/>
          </w:tcPr>
          <w:p>
            <w:pPr>
              <w:pStyle w:val="2691"/>
              <w:rPr>
                <w:sz w:val="12"/>
                <w:szCs w:val="12"/>
              </w:rPr>
            </w:pPr>
            <w:r>
              <w:t>主要为</w:t>
            </w:r>
            <w:r>
              <w:rPr>
                <w:rFonts w:hint="eastAsia"/>
                <w:lang w:val="en-US" w:eastAsia="zh-CN"/>
              </w:rPr>
              <w:t>泥沙</w:t>
            </w:r>
            <w:r>
              <w:t>，经收集后可回收利用</w:t>
            </w:r>
          </w:p>
        </w:tc>
        <w:tc>
          <w:tcPr>
            <w:tcW w:w="1985" w:type="dxa"/>
            <w:vMerge w:val="continue"/>
            <w:vAlign w:val="center"/>
          </w:tcPr>
          <w:p>
            <w:pPr>
              <w:pStyle w:val="2691"/>
            </w:pPr>
          </w:p>
        </w:tc>
        <w:tc>
          <w:tcPr>
            <w:tcW w:w="992" w:type="dxa"/>
            <w:vMerge w:val="continue"/>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61" w:type="dxa"/>
            <w:gridSpan w:val="2"/>
            <w:vAlign w:val="center"/>
          </w:tcPr>
          <w:p>
            <w:pPr>
              <w:pStyle w:val="2691"/>
            </w:pPr>
            <w:r>
              <w:t>生态</w:t>
            </w:r>
          </w:p>
        </w:tc>
        <w:tc>
          <w:tcPr>
            <w:tcW w:w="1701" w:type="dxa"/>
            <w:vAlign w:val="center"/>
          </w:tcPr>
          <w:p>
            <w:pPr>
              <w:pStyle w:val="2691"/>
            </w:pPr>
            <w:r>
              <w:t>项目建设</w:t>
            </w:r>
          </w:p>
        </w:tc>
        <w:tc>
          <w:tcPr>
            <w:tcW w:w="2410" w:type="dxa"/>
            <w:vAlign w:val="center"/>
          </w:tcPr>
          <w:p>
            <w:pPr>
              <w:pStyle w:val="2691"/>
            </w:pPr>
            <w:r>
              <w:t>生态</w:t>
            </w:r>
          </w:p>
        </w:tc>
        <w:tc>
          <w:tcPr>
            <w:tcW w:w="5764" w:type="dxa"/>
            <w:vAlign w:val="center"/>
          </w:tcPr>
          <w:p>
            <w:pPr>
              <w:pStyle w:val="2691"/>
            </w:pPr>
            <w:r>
              <w:t>生态修复、人工增殖放流、水生生态监测、长江江豚监测等生态补偿</w:t>
            </w:r>
          </w:p>
        </w:tc>
        <w:tc>
          <w:tcPr>
            <w:tcW w:w="1985" w:type="dxa"/>
            <w:vAlign w:val="center"/>
          </w:tcPr>
          <w:p>
            <w:pPr>
              <w:pStyle w:val="2691"/>
            </w:pPr>
            <w:r>
              <w:t>-</w:t>
            </w:r>
          </w:p>
        </w:tc>
        <w:tc>
          <w:tcPr>
            <w:tcW w:w="992" w:type="dxa"/>
            <w:vAlign w:val="center"/>
          </w:tcPr>
          <w:p>
            <w:pPr>
              <w:pStyle w:val="2691"/>
            </w:pPr>
            <w:r>
              <w:t>3</w:t>
            </w:r>
            <w:r>
              <w:rPr>
                <w:rFonts w:hint="eastAsia"/>
              </w:rPr>
              <w: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61" w:type="dxa"/>
            <w:gridSpan w:val="2"/>
            <w:vAlign w:val="center"/>
          </w:tcPr>
          <w:p>
            <w:pPr>
              <w:pStyle w:val="2691"/>
            </w:pPr>
            <w:r>
              <w:t>绿化</w:t>
            </w:r>
          </w:p>
        </w:tc>
        <w:tc>
          <w:tcPr>
            <w:tcW w:w="9875" w:type="dxa"/>
            <w:gridSpan w:val="3"/>
            <w:vAlign w:val="center"/>
          </w:tcPr>
          <w:p>
            <w:pPr>
              <w:ind w:firstLine="420"/>
              <w:rPr>
                <w:sz w:val="21"/>
              </w:rPr>
            </w:pPr>
            <w:r>
              <w:rPr>
                <w:sz w:val="21"/>
              </w:rPr>
              <w:t>选择适宜当地气候生长的常绿乔木和灌木如：刺槐、槐树、女贞、夹竹桃等进行绿化</w:t>
            </w:r>
          </w:p>
        </w:tc>
        <w:tc>
          <w:tcPr>
            <w:tcW w:w="1985" w:type="dxa"/>
            <w:vAlign w:val="center"/>
          </w:tcPr>
          <w:p>
            <w:pPr>
              <w:pStyle w:val="2691"/>
            </w:pPr>
            <w:r>
              <w:t>-</w:t>
            </w:r>
          </w:p>
        </w:tc>
        <w:tc>
          <w:tcPr>
            <w:tcW w:w="992" w:type="dxa"/>
            <w:vAlign w:val="center"/>
          </w:tcPr>
          <w:p>
            <w:pPr>
              <w:ind w:firstLine="0" w:firstLineChars="0"/>
              <w:jc w:val="center"/>
              <w:rPr>
                <w:sz w:val="21"/>
              </w:rPr>
            </w:pPr>
            <w:r>
              <w:rPr>
                <w:sz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61" w:type="dxa"/>
            <w:gridSpan w:val="2"/>
            <w:vAlign w:val="center"/>
          </w:tcPr>
          <w:p>
            <w:pPr>
              <w:pStyle w:val="2691"/>
            </w:pPr>
            <w:r>
              <w:t>事故应急措施</w:t>
            </w:r>
          </w:p>
        </w:tc>
        <w:tc>
          <w:tcPr>
            <w:tcW w:w="9875" w:type="dxa"/>
            <w:gridSpan w:val="3"/>
            <w:vAlign w:val="center"/>
          </w:tcPr>
          <w:p>
            <w:pPr>
              <w:pStyle w:val="2691"/>
            </w:pPr>
            <w:r>
              <w:t>事故应急人员培训，围油设备、收油设备及其他防护设备，制定污染应急计划，预留事故水质监测通讯报警设备、设施</w:t>
            </w:r>
          </w:p>
        </w:tc>
        <w:tc>
          <w:tcPr>
            <w:tcW w:w="1985" w:type="dxa"/>
            <w:vAlign w:val="center"/>
          </w:tcPr>
          <w:p>
            <w:pPr>
              <w:pStyle w:val="2691"/>
            </w:pPr>
            <w:r>
              <w:t>-</w:t>
            </w:r>
          </w:p>
        </w:tc>
        <w:tc>
          <w:tcPr>
            <w:tcW w:w="992" w:type="dxa"/>
            <w:vAlign w:val="center"/>
          </w:tcPr>
          <w:p>
            <w:pPr>
              <w:ind w:firstLine="0" w:firstLineChars="0"/>
              <w:jc w:val="center"/>
              <w:rPr>
                <w:sz w:val="21"/>
              </w:rPr>
            </w:pPr>
            <w:r>
              <w:rPr>
                <w:sz w:val="21"/>
              </w:rPr>
              <w: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61" w:type="dxa"/>
            <w:gridSpan w:val="2"/>
            <w:vAlign w:val="center"/>
          </w:tcPr>
          <w:p>
            <w:pPr>
              <w:pStyle w:val="2691"/>
              <w:ind w:firstLine="0" w:firstLineChars="0"/>
              <w:rPr>
                <w:rFonts w:hint="default" w:ascii="Times New Roman" w:hAnsi="Times New Roman" w:eastAsia="宋体" w:cs="Times New Roman"/>
                <w:kern w:val="2"/>
                <w:sz w:val="21"/>
                <w:szCs w:val="21"/>
                <w:lang w:val="en-US" w:eastAsia="zh-CN" w:bidi="ar-SA"/>
              </w:rPr>
            </w:pPr>
            <w:r>
              <w:rPr>
                <w:rFonts w:hint="eastAsia"/>
                <w:lang w:val="en-US" w:eastAsia="zh-CN"/>
              </w:rPr>
              <w:t>施工期环境监测</w:t>
            </w:r>
          </w:p>
        </w:tc>
        <w:tc>
          <w:tcPr>
            <w:tcW w:w="9875" w:type="dxa"/>
            <w:gridSpan w:val="3"/>
            <w:vAlign w:val="center"/>
          </w:tcPr>
          <w:p>
            <w:pPr>
              <w:pStyle w:val="2691"/>
              <w:ind w:firstLine="0" w:firstLineChars="0"/>
              <w:rPr>
                <w:rFonts w:hint="default" w:eastAsia="宋体"/>
                <w:lang w:val="en-US" w:eastAsia="zh-CN"/>
              </w:rPr>
            </w:pPr>
            <w:r>
              <w:rPr>
                <w:rFonts w:hint="eastAsia"/>
                <w:lang w:val="en-US" w:eastAsia="zh-CN"/>
              </w:rPr>
              <w:t>施工期间对地表水环境、环境空气、水生生态进行监测</w:t>
            </w:r>
          </w:p>
        </w:tc>
        <w:tc>
          <w:tcPr>
            <w:tcW w:w="1985" w:type="dxa"/>
            <w:vAlign w:val="center"/>
          </w:tcPr>
          <w:p>
            <w:pPr>
              <w:pStyle w:val="2691"/>
            </w:pPr>
            <w:r>
              <w:t>-</w:t>
            </w:r>
          </w:p>
        </w:tc>
        <w:tc>
          <w:tcPr>
            <w:tcW w:w="992" w:type="dxa"/>
            <w:vAlign w:val="center"/>
          </w:tcPr>
          <w:p>
            <w:pPr>
              <w:ind w:firstLine="0" w:firstLineChars="0"/>
              <w:jc w:val="center"/>
              <w:rPr>
                <w:rFonts w:hint="default" w:eastAsia="宋体"/>
                <w:sz w:val="21"/>
                <w:lang w:val="en-US" w:eastAsia="zh-CN"/>
              </w:rPr>
            </w:pPr>
            <w:r>
              <w:rPr>
                <w:rFonts w:hint="eastAsia"/>
                <w:sz w:val="21"/>
                <w:lang w:val="en-US" w:eastAsia="zh-CN"/>
              </w:rPr>
              <w:t>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261" w:type="dxa"/>
            <w:gridSpan w:val="2"/>
            <w:vAlign w:val="center"/>
          </w:tcPr>
          <w:p>
            <w:pPr>
              <w:pStyle w:val="2691"/>
            </w:pPr>
            <w:r>
              <w:t>环境管理</w:t>
            </w:r>
          </w:p>
        </w:tc>
        <w:tc>
          <w:tcPr>
            <w:tcW w:w="9875" w:type="dxa"/>
            <w:gridSpan w:val="3"/>
            <w:vAlign w:val="center"/>
          </w:tcPr>
          <w:p>
            <w:pPr>
              <w:pStyle w:val="2691"/>
            </w:pPr>
            <w:r>
              <w:t>本项目建成后，应设立专门的环境管理机构，负责环境保护监督管理工作。本项目施工期和运营期的环境保护和防治污染设施由建设单位实施。</w:t>
            </w:r>
          </w:p>
        </w:tc>
        <w:tc>
          <w:tcPr>
            <w:tcW w:w="1985" w:type="dxa"/>
            <w:vAlign w:val="center"/>
          </w:tcPr>
          <w:p>
            <w:pPr>
              <w:pStyle w:val="2691"/>
            </w:pPr>
            <w:r>
              <w:t>-</w:t>
            </w:r>
          </w:p>
        </w:tc>
        <w:tc>
          <w:tcPr>
            <w:tcW w:w="992" w:type="dxa"/>
            <w:vAlign w:val="center"/>
          </w:tcPr>
          <w:p>
            <w:pPr>
              <w:ind w:firstLine="0" w:firstLineChars="0"/>
              <w:jc w:val="center"/>
              <w:rPr>
                <w:sz w:val="21"/>
              </w:rPr>
            </w:pPr>
            <w:r>
              <w:rPr>
                <w:sz w:val="21"/>
              </w:rPr>
              <w: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121" w:type="dxa"/>
            <w:gridSpan w:val="6"/>
            <w:vAlign w:val="center"/>
          </w:tcPr>
          <w:p>
            <w:pPr>
              <w:ind w:firstLine="0" w:firstLineChars="0"/>
              <w:jc w:val="center"/>
              <w:rPr>
                <w:sz w:val="21"/>
                <w:szCs w:val="21"/>
              </w:rPr>
            </w:pPr>
            <w:r>
              <w:rPr>
                <w:sz w:val="21"/>
                <w:szCs w:val="21"/>
              </w:rPr>
              <w:t>合计</w:t>
            </w:r>
          </w:p>
        </w:tc>
        <w:tc>
          <w:tcPr>
            <w:tcW w:w="992" w:type="dxa"/>
            <w:vAlign w:val="center"/>
          </w:tcPr>
          <w:p>
            <w:pPr>
              <w:ind w:firstLine="0" w:firstLineChars="0"/>
              <w:jc w:val="center"/>
              <w:rPr>
                <w:rFonts w:hint="default" w:eastAsia="宋体"/>
                <w:sz w:val="21"/>
                <w:lang w:val="en-US" w:eastAsia="zh-CN"/>
              </w:rPr>
            </w:pPr>
            <w:r>
              <w:rPr>
                <w:rFonts w:hint="eastAsia"/>
                <w:sz w:val="21"/>
                <w:lang w:val="en-US" w:eastAsia="zh-CN"/>
              </w:rPr>
              <w:t>728</w:t>
            </w:r>
          </w:p>
        </w:tc>
      </w:tr>
    </w:tbl>
    <w:p>
      <w:pPr>
        <w:ind w:firstLine="480"/>
        <w:sectPr>
          <w:pgSz w:w="16838" w:h="11906" w:orient="landscape"/>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26" w:charSpace="0"/>
        </w:sectPr>
      </w:pPr>
    </w:p>
    <w:p>
      <w:pPr>
        <w:pStyle w:val="457"/>
        <w:ind w:firstLine="723"/>
        <w:rPr>
          <w:rFonts w:ascii="Times New Roman" w:hAnsi="Times New Roman" w:cs="Times New Roman"/>
        </w:rPr>
      </w:pPr>
      <w:r>
        <w:rPr>
          <w:rFonts w:ascii="Times New Roman" w:hAnsi="Times New Roman" w:cs="Times New Roman"/>
        </w:rPr>
        <w:t xml:space="preserve">  </w:t>
      </w:r>
      <w:bookmarkStart w:id="348" w:name="_Toc401255996"/>
      <w:bookmarkStart w:id="349" w:name="_Toc3007"/>
      <w:bookmarkStart w:id="350" w:name="_Toc106697041"/>
      <w:bookmarkStart w:id="351" w:name="_Toc13752"/>
      <w:r>
        <w:rPr>
          <w:rFonts w:ascii="Times New Roman" w:hAnsi="Times New Roman" w:cs="Times New Roman"/>
        </w:rPr>
        <w:t>环境</w:t>
      </w:r>
      <w:bookmarkEnd w:id="348"/>
      <w:r>
        <w:rPr>
          <w:rFonts w:ascii="Times New Roman" w:hAnsi="Times New Roman" w:cs="Times New Roman"/>
        </w:rPr>
        <w:t>影响经济损益分析</w:t>
      </w:r>
      <w:bookmarkEnd w:id="349"/>
      <w:bookmarkEnd w:id="350"/>
      <w:bookmarkEnd w:id="351"/>
    </w:p>
    <w:p>
      <w:pPr>
        <w:ind w:firstLine="480"/>
      </w:pPr>
      <w:r>
        <w:t>对建设项目进行环境影响经济损益分析</w:t>
      </w:r>
      <w:r>
        <w:rPr>
          <w:spacing w:val="-50"/>
        </w:rPr>
        <w:t>，</w:t>
      </w:r>
      <w:r>
        <w:t>是为了衡量项目投入的环保投资所能收到 的环保效果和经济实效</w:t>
      </w:r>
      <w:r>
        <w:rPr>
          <w:spacing w:val="-17"/>
        </w:rPr>
        <w:t>，</w:t>
      </w:r>
      <w:r>
        <w:t>有利于最大限度地控制污染</w:t>
      </w:r>
      <w:r>
        <w:rPr>
          <w:spacing w:val="-17"/>
        </w:rPr>
        <w:t>，</w:t>
      </w:r>
      <w:r>
        <w:t>降低环境的影响程度</w:t>
      </w:r>
      <w:r>
        <w:rPr>
          <w:spacing w:val="-17"/>
        </w:rPr>
        <w:t>，</w:t>
      </w:r>
      <w:r>
        <w:t>合理利用 自然资源，以最少的环境代价取得最大的经济效益和社会效益。</w:t>
      </w:r>
    </w:p>
    <w:p>
      <w:pPr>
        <w:pStyle w:val="453"/>
        <w:ind w:firstLine="643" w:firstLineChars="0"/>
        <w:rPr>
          <w:rFonts w:ascii="Times New Roman" w:cs="Times New Roman"/>
        </w:rPr>
      </w:pPr>
      <w:bookmarkStart w:id="352" w:name="_Toc10564"/>
      <w:bookmarkStart w:id="353" w:name="_Toc106697042"/>
      <w:bookmarkStart w:id="354" w:name="_Toc2572"/>
      <w:r>
        <w:rPr>
          <w:rFonts w:ascii="Times New Roman" w:cs="Times New Roman"/>
        </w:rPr>
        <w:t>项目环境损失分析</w:t>
      </w:r>
      <w:bookmarkEnd w:id="352"/>
      <w:bookmarkEnd w:id="353"/>
      <w:bookmarkEnd w:id="354"/>
    </w:p>
    <w:p>
      <w:pPr>
        <w:adjustRightInd w:val="0"/>
        <w:snapToGrid w:val="0"/>
        <w:ind w:firstLine="496"/>
        <w:rPr>
          <w:spacing w:val="4"/>
        </w:rPr>
      </w:pPr>
      <w:r>
        <w:rPr>
          <w:spacing w:val="4"/>
        </w:rPr>
        <w:t>本项目带来的环境损失主要表现在施工期码头、引桥基础施工对区域水环境的影响、生态的影响；营运期装卸作业过程中产生的废气、生产废水和事故风险溢油。</w:t>
      </w:r>
    </w:p>
    <w:p>
      <w:pPr>
        <w:adjustRightInd w:val="0"/>
        <w:snapToGrid w:val="0"/>
        <w:ind w:firstLine="496"/>
        <w:rPr>
          <w:spacing w:val="4"/>
        </w:rPr>
      </w:pPr>
      <w:r>
        <w:rPr>
          <w:spacing w:val="4"/>
        </w:rPr>
        <w:t>1、水工建筑物施工作业对水环境的影响</w:t>
      </w:r>
    </w:p>
    <w:p>
      <w:pPr>
        <w:adjustRightInd w:val="0"/>
        <w:snapToGrid w:val="0"/>
        <w:ind w:firstLine="496"/>
        <w:rPr>
          <w:spacing w:val="4"/>
        </w:rPr>
      </w:pPr>
      <w:r>
        <w:rPr>
          <w:spacing w:val="4"/>
        </w:rPr>
        <w:t>本项目水域施工将造成局部水域悬浮物浓度增加，对局部水环境、生态环境有一定的污染影响，但影响是暂时的、有限的，随着施工期的结束，这种影响也随之结束。</w:t>
      </w:r>
    </w:p>
    <w:p>
      <w:pPr>
        <w:adjustRightInd w:val="0"/>
        <w:snapToGrid w:val="0"/>
        <w:ind w:firstLine="496"/>
        <w:rPr>
          <w:spacing w:val="4"/>
        </w:rPr>
      </w:pPr>
      <w:r>
        <w:rPr>
          <w:spacing w:val="4"/>
        </w:rPr>
        <w:t>2、装卸作业废气</w:t>
      </w:r>
    </w:p>
    <w:p>
      <w:pPr>
        <w:adjustRightInd w:val="0"/>
        <w:snapToGrid w:val="0"/>
        <w:ind w:firstLine="496"/>
        <w:rPr>
          <w:spacing w:val="4"/>
        </w:rPr>
      </w:pPr>
      <w:r>
        <w:rPr>
          <w:spacing w:val="4"/>
        </w:rPr>
        <w:t>施工期粉尘、机械噪声将会对局部区域环境造成影响。运营期散货装卸作业时，</w:t>
      </w:r>
      <w:r>
        <w:rPr>
          <w:spacing w:val="5"/>
        </w:rPr>
        <w:t>将会产生部分粉尘，对大气环境造成一定影响</w:t>
      </w:r>
      <w:r>
        <w:rPr>
          <w:spacing w:val="4"/>
        </w:rPr>
        <w:t>。</w:t>
      </w:r>
    </w:p>
    <w:p>
      <w:pPr>
        <w:adjustRightInd w:val="0"/>
        <w:snapToGrid w:val="0"/>
        <w:ind w:firstLine="496"/>
        <w:rPr>
          <w:spacing w:val="4"/>
        </w:rPr>
      </w:pPr>
      <w:r>
        <w:rPr>
          <w:spacing w:val="4"/>
        </w:rPr>
        <w:t>3、生产生活污水</w:t>
      </w:r>
    </w:p>
    <w:p>
      <w:pPr>
        <w:adjustRightInd w:val="0"/>
        <w:snapToGrid w:val="0"/>
        <w:ind w:firstLine="496"/>
        <w:rPr>
          <w:spacing w:val="4"/>
        </w:rPr>
      </w:pPr>
      <w:r>
        <w:rPr>
          <w:spacing w:val="4"/>
        </w:rPr>
        <w:t>营运期将会产生初期雨水、冲洗水</w:t>
      </w:r>
      <w:r>
        <w:rPr>
          <w:rFonts w:hint="eastAsia"/>
          <w:spacing w:val="4"/>
        </w:rPr>
        <w:t>、</w:t>
      </w:r>
      <w:r>
        <w:rPr>
          <w:spacing w:val="4"/>
        </w:rPr>
        <w:t>生活污水</w:t>
      </w:r>
      <w:r>
        <w:rPr>
          <w:rFonts w:hint="eastAsia"/>
          <w:spacing w:val="4"/>
        </w:rPr>
        <w:t>，</w:t>
      </w:r>
      <w:r>
        <w:rPr>
          <w:spacing w:val="4"/>
        </w:rPr>
        <w:t>但不外排，对地表水环境的影响有限。</w:t>
      </w:r>
    </w:p>
    <w:p>
      <w:pPr>
        <w:adjustRightInd w:val="0"/>
        <w:snapToGrid w:val="0"/>
        <w:ind w:firstLine="496"/>
        <w:rPr>
          <w:spacing w:val="4"/>
        </w:rPr>
      </w:pPr>
      <w:r>
        <w:rPr>
          <w:spacing w:val="4"/>
        </w:rPr>
        <w:t>4、事故溢油</w:t>
      </w:r>
    </w:p>
    <w:p>
      <w:pPr>
        <w:adjustRightInd w:val="0"/>
        <w:snapToGrid w:val="0"/>
        <w:ind w:firstLine="496"/>
        <w:rPr>
          <w:spacing w:val="4"/>
        </w:rPr>
      </w:pPr>
      <w:r>
        <w:rPr>
          <w:spacing w:val="4"/>
        </w:rPr>
        <w:t>到港船舶如在码头水域发生碰撞等事故，造成柴油泄漏，将对区域地表水环境产生污染影响，造成环境损失，但溢油风险事故概率极低。</w:t>
      </w:r>
    </w:p>
    <w:p>
      <w:pPr>
        <w:pStyle w:val="453"/>
        <w:ind w:firstLine="643" w:firstLineChars="0"/>
        <w:rPr>
          <w:rFonts w:ascii="Times New Roman" w:cs="Times New Roman"/>
        </w:rPr>
      </w:pPr>
      <w:bookmarkStart w:id="355" w:name="bookmark54"/>
      <w:bookmarkEnd w:id="355"/>
      <w:bookmarkStart w:id="356" w:name="_Toc106697043"/>
      <w:bookmarkStart w:id="357" w:name="_Toc31124"/>
      <w:bookmarkStart w:id="358" w:name="_Toc28204"/>
      <w:r>
        <w:rPr>
          <w:rFonts w:ascii="Times New Roman" w:cs="Times New Roman"/>
        </w:rPr>
        <w:t>环境影响经济效益分析</w:t>
      </w:r>
      <w:bookmarkEnd w:id="356"/>
      <w:bookmarkEnd w:id="357"/>
      <w:bookmarkEnd w:id="358"/>
    </w:p>
    <w:p>
      <w:pPr>
        <w:pStyle w:val="454"/>
        <w:ind w:firstLine="602"/>
        <w:rPr>
          <w:color w:val="auto"/>
        </w:rPr>
      </w:pPr>
      <w:r>
        <w:rPr>
          <w:color w:val="auto"/>
        </w:rPr>
        <w:t>社会效益</w:t>
      </w:r>
    </w:p>
    <w:p>
      <w:pPr>
        <w:ind w:firstLine="480"/>
        <w:rPr>
          <w:spacing w:val="4"/>
        </w:rPr>
      </w:pPr>
      <w:r>
        <w:t>本项目的建设适应岳阳市的经济发展需要，同时较好地满足了岳阳市的运输需求。通过码头的建设，能够加大招商引资力度，积极承接经济发达地区产业转移，极大地促进岳阳市的经济发展。因此本项目的建设能够有效地改善投资环境，有利于当地政府、企业吸引投资，增加当地居民的就业机会，促进其更好地发展</w:t>
      </w:r>
      <w:r>
        <w:rPr>
          <w:spacing w:val="4"/>
        </w:rPr>
        <w:t>。</w:t>
      </w:r>
    </w:p>
    <w:p>
      <w:pPr>
        <w:pStyle w:val="454"/>
        <w:ind w:firstLine="602"/>
        <w:rPr>
          <w:color w:val="auto"/>
        </w:rPr>
      </w:pPr>
      <w:r>
        <w:rPr>
          <w:color w:val="auto"/>
        </w:rPr>
        <w:t>经济效益</w:t>
      </w:r>
    </w:p>
    <w:p>
      <w:pPr>
        <w:ind w:firstLine="480"/>
      </w:pPr>
      <w:r>
        <w:t>港口生产所需的装卸工人和司机要求技能不高，当地一般群众即可胜任，项目可为当地增加部份就业岗位，可为当地群众带来工资性收入。本项目的建设和实施能改善当地水运企业的经济状况，为当地水运企业工人带来了新的希望。项目为货主企业改善了运输条件，提升了竞争力，可显著促进当地经济发展，造福当地人民群众。</w:t>
      </w:r>
    </w:p>
    <w:p>
      <w:pPr>
        <w:pStyle w:val="454"/>
        <w:ind w:firstLine="602"/>
        <w:rPr>
          <w:color w:val="auto"/>
        </w:rPr>
      </w:pPr>
      <w:r>
        <w:rPr>
          <w:color w:val="auto"/>
        </w:rPr>
        <w:t>环境效益</w:t>
      </w:r>
    </w:p>
    <w:p>
      <w:pPr>
        <w:ind w:firstLine="480"/>
      </w:pPr>
      <w:r>
        <w:t>工程施工对区域环境会带来短暂的影响，通过控制采取适当的方法、文明施工，加强施工监理等措施减缓影响。各种废水经污水处理设施处理后回用，对周围地表水环境影响不明显；采取的各种降噪、隔声措施可降低噪声设备的声级，减少噪声对港界的影响，同时改善工作环境，保护了劳动者的身心健康；固体废物在采取合理的处理处置措施后，不产生二次污染，基本不对周边环境产生危害。</w:t>
      </w:r>
    </w:p>
    <w:p>
      <w:pPr>
        <w:adjustRightInd w:val="0"/>
        <w:snapToGrid w:val="0"/>
        <w:ind w:firstLine="496"/>
        <w:rPr>
          <w:spacing w:val="4"/>
        </w:rPr>
      </w:pPr>
      <w:r>
        <w:rPr>
          <w:spacing w:val="4"/>
        </w:rPr>
        <w:t>本项目在采取切实可行的环保措施后，可以大幅度减少污染物的排放量。项目环境经济效益估算见下表。</w:t>
      </w:r>
    </w:p>
    <w:p>
      <w:pPr>
        <w:pStyle w:val="3588"/>
      </w:pPr>
      <w:r>
        <w:t>本项目环境经济效益估算</w:t>
      </w:r>
    </w:p>
    <w:tbl>
      <w:tblPr>
        <w:tblStyle w:val="360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25"/>
        <w:gridCol w:w="3817"/>
        <w:gridCol w:w="2477"/>
        <w:gridCol w:w="216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3" w:type="dxa"/>
            <w:vAlign w:val="center"/>
          </w:tcPr>
          <w:p>
            <w:pPr>
              <w:tabs>
                <w:tab w:val="clear" w:pos="480"/>
              </w:tabs>
              <w:adjustRightInd w:val="0"/>
              <w:snapToGrid w:val="0"/>
              <w:spacing w:line="240" w:lineRule="auto"/>
              <w:ind w:firstLine="0" w:firstLineChars="0"/>
              <w:jc w:val="center"/>
              <w:rPr>
                <w:b/>
                <w:spacing w:val="4"/>
                <w:kern w:val="0"/>
                <w:sz w:val="21"/>
                <w:szCs w:val="21"/>
              </w:rPr>
            </w:pPr>
            <w:r>
              <w:rPr>
                <w:b/>
                <w:spacing w:val="4"/>
                <w:kern w:val="0"/>
                <w:sz w:val="21"/>
                <w:szCs w:val="21"/>
              </w:rPr>
              <w:t>序号</w:t>
            </w:r>
          </w:p>
        </w:tc>
        <w:tc>
          <w:tcPr>
            <w:tcW w:w="3716" w:type="dxa"/>
            <w:vAlign w:val="center"/>
          </w:tcPr>
          <w:p>
            <w:pPr>
              <w:tabs>
                <w:tab w:val="clear" w:pos="480"/>
              </w:tabs>
              <w:adjustRightInd w:val="0"/>
              <w:snapToGrid w:val="0"/>
              <w:spacing w:line="240" w:lineRule="auto"/>
              <w:ind w:firstLine="0" w:firstLineChars="0"/>
              <w:jc w:val="center"/>
              <w:rPr>
                <w:b/>
                <w:spacing w:val="4"/>
                <w:kern w:val="0"/>
                <w:sz w:val="21"/>
                <w:szCs w:val="21"/>
              </w:rPr>
            </w:pPr>
            <w:r>
              <w:rPr>
                <w:b/>
                <w:spacing w:val="4"/>
                <w:kern w:val="0"/>
                <w:sz w:val="21"/>
                <w:szCs w:val="21"/>
              </w:rPr>
              <w:t>投资目的</w:t>
            </w:r>
          </w:p>
        </w:tc>
        <w:tc>
          <w:tcPr>
            <w:tcW w:w="2411" w:type="dxa"/>
            <w:vAlign w:val="center"/>
          </w:tcPr>
          <w:p>
            <w:pPr>
              <w:tabs>
                <w:tab w:val="clear" w:pos="480"/>
              </w:tabs>
              <w:adjustRightInd w:val="0"/>
              <w:snapToGrid w:val="0"/>
              <w:spacing w:line="240" w:lineRule="auto"/>
              <w:ind w:firstLine="0" w:firstLineChars="0"/>
              <w:jc w:val="center"/>
              <w:rPr>
                <w:b/>
                <w:spacing w:val="4"/>
                <w:kern w:val="0"/>
                <w:sz w:val="21"/>
                <w:szCs w:val="21"/>
              </w:rPr>
            </w:pPr>
            <w:r>
              <w:rPr>
                <w:b/>
                <w:spacing w:val="4"/>
                <w:kern w:val="0"/>
                <w:sz w:val="21"/>
                <w:szCs w:val="21"/>
              </w:rPr>
              <w:t>估算换回费用（万元）</w:t>
            </w:r>
          </w:p>
        </w:tc>
        <w:tc>
          <w:tcPr>
            <w:tcW w:w="2110" w:type="dxa"/>
            <w:vAlign w:val="center"/>
          </w:tcPr>
          <w:p>
            <w:pPr>
              <w:tabs>
                <w:tab w:val="clear" w:pos="480"/>
              </w:tabs>
              <w:adjustRightInd w:val="0"/>
              <w:snapToGrid w:val="0"/>
              <w:spacing w:line="240" w:lineRule="auto"/>
              <w:ind w:firstLine="0" w:firstLineChars="0"/>
              <w:jc w:val="center"/>
              <w:rPr>
                <w:b/>
                <w:spacing w:val="4"/>
                <w:kern w:val="0"/>
                <w:sz w:val="21"/>
                <w:szCs w:val="21"/>
              </w:rPr>
            </w:pPr>
            <w:r>
              <w:rPr>
                <w:b/>
                <w:spacing w:val="4"/>
                <w:kern w:val="0"/>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3" w:type="dxa"/>
            <w:vAlign w:val="center"/>
          </w:tcPr>
          <w:p>
            <w:pPr>
              <w:tabs>
                <w:tab w:val="clear" w:pos="480"/>
              </w:tabs>
              <w:adjustRightInd w:val="0"/>
              <w:snapToGrid w:val="0"/>
              <w:spacing w:line="240" w:lineRule="auto"/>
              <w:ind w:firstLine="0" w:firstLineChars="0"/>
              <w:jc w:val="center"/>
              <w:rPr>
                <w:spacing w:val="4"/>
                <w:kern w:val="0"/>
                <w:sz w:val="21"/>
                <w:szCs w:val="21"/>
              </w:rPr>
            </w:pPr>
            <w:r>
              <w:rPr>
                <w:spacing w:val="4"/>
                <w:kern w:val="0"/>
                <w:sz w:val="21"/>
                <w:szCs w:val="21"/>
              </w:rPr>
              <w:t>1</w:t>
            </w:r>
          </w:p>
        </w:tc>
        <w:tc>
          <w:tcPr>
            <w:tcW w:w="3716" w:type="dxa"/>
            <w:vAlign w:val="center"/>
          </w:tcPr>
          <w:p>
            <w:pPr>
              <w:tabs>
                <w:tab w:val="clear" w:pos="480"/>
              </w:tabs>
              <w:adjustRightInd w:val="0"/>
              <w:snapToGrid w:val="0"/>
              <w:spacing w:line="240" w:lineRule="auto"/>
              <w:ind w:firstLine="0" w:firstLineChars="0"/>
              <w:jc w:val="center"/>
              <w:rPr>
                <w:spacing w:val="4"/>
                <w:kern w:val="0"/>
                <w:sz w:val="21"/>
                <w:szCs w:val="21"/>
              </w:rPr>
            </w:pPr>
            <w:r>
              <w:rPr>
                <w:spacing w:val="4"/>
                <w:kern w:val="0"/>
                <w:sz w:val="21"/>
                <w:szCs w:val="21"/>
              </w:rPr>
              <w:t>杜绝风险事故发生，避免事故溢油造成经济损失，减少水域污染</w:t>
            </w:r>
          </w:p>
        </w:tc>
        <w:tc>
          <w:tcPr>
            <w:tcW w:w="2411" w:type="dxa"/>
            <w:vAlign w:val="center"/>
          </w:tcPr>
          <w:p>
            <w:pPr>
              <w:tabs>
                <w:tab w:val="clear" w:pos="480"/>
              </w:tabs>
              <w:adjustRightInd w:val="0"/>
              <w:snapToGrid w:val="0"/>
              <w:spacing w:line="240" w:lineRule="auto"/>
              <w:ind w:firstLine="0" w:firstLineChars="0"/>
              <w:jc w:val="center"/>
              <w:rPr>
                <w:spacing w:val="4"/>
                <w:kern w:val="0"/>
                <w:sz w:val="21"/>
                <w:szCs w:val="21"/>
              </w:rPr>
            </w:pPr>
            <w:r>
              <w:rPr>
                <w:spacing w:val="4"/>
                <w:kern w:val="0"/>
                <w:sz w:val="21"/>
                <w:szCs w:val="21"/>
              </w:rPr>
              <w:t>40</w:t>
            </w:r>
          </w:p>
        </w:tc>
        <w:tc>
          <w:tcPr>
            <w:tcW w:w="2110" w:type="dxa"/>
            <w:vAlign w:val="center"/>
          </w:tcPr>
          <w:p>
            <w:pPr>
              <w:tabs>
                <w:tab w:val="clear" w:pos="480"/>
              </w:tabs>
              <w:adjustRightInd w:val="0"/>
              <w:snapToGrid w:val="0"/>
              <w:spacing w:line="240" w:lineRule="auto"/>
              <w:ind w:firstLine="0" w:firstLineChars="0"/>
              <w:jc w:val="center"/>
              <w:rPr>
                <w:spacing w:val="4"/>
                <w:kern w:val="0"/>
                <w:sz w:val="21"/>
                <w:szCs w:val="21"/>
              </w:rPr>
            </w:pPr>
            <w:r>
              <w:rPr>
                <w:spacing w:val="4"/>
                <w:kern w:val="0"/>
                <w:sz w:val="21"/>
                <w:szCs w:val="21"/>
              </w:rPr>
              <w:t>按发生一次事故溢油损失计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3" w:type="dxa"/>
            <w:vAlign w:val="center"/>
          </w:tcPr>
          <w:p>
            <w:pPr>
              <w:tabs>
                <w:tab w:val="clear" w:pos="480"/>
              </w:tabs>
              <w:adjustRightInd w:val="0"/>
              <w:snapToGrid w:val="0"/>
              <w:spacing w:line="240" w:lineRule="auto"/>
              <w:ind w:firstLine="0" w:firstLineChars="0"/>
              <w:jc w:val="center"/>
              <w:rPr>
                <w:spacing w:val="4"/>
                <w:kern w:val="0"/>
                <w:sz w:val="21"/>
                <w:szCs w:val="21"/>
              </w:rPr>
            </w:pPr>
            <w:r>
              <w:rPr>
                <w:spacing w:val="4"/>
                <w:kern w:val="0"/>
                <w:sz w:val="21"/>
                <w:szCs w:val="21"/>
              </w:rPr>
              <w:t>2</w:t>
            </w:r>
          </w:p>
        </w:tc>
        <w:tc>
          <w:tcPr>
            <w:tcW w:w="3716" w:type="dxa"/>
            <w:vAlign w:val="center"/>
          </w:tcPr>
          <w:p>
            <w:pPr>
              <w:tabs>
                <w:tab w:val="clear" w:pos="480"/>
              </w:tabs>
              <w:adjustRightInd w:val="0"/>
              <w:snapToGrid w:val="0"/>
              <w:spacing w:line="240" w:lineRule="auto"/>
              <w:ind w:firstLine="0" w:firstLineChars="0"/>
              <w:jc w:val="center"/>
              <w:rPr>
                <w:spacing w:val="4"/>
                <w:kern w:val="0"/>
                <w:sz w:val="21"/>
                <w:szCs w:val="21"/>
              </w:rPr>
            </w:pPr>
            <w:r>
              <w:rPr>
                <w:spacing w:val="4"/>
                <w:kern w:val="0"/>
                <w:sz w:val="21"/>
                <w:szCs w:val="21"/>
              </w:rPr>
              <w:t>控制装卸环节的废气污染</w:t>
            </w:r>
          </w:p>
        </w:tc>
        <w:tc>
          <w:tcPr>
            <w:tcW w:w="2411" w:type="dxa"/>
            <w:vAlign w:val="center"/>
          </w:tcPr>
          <w:p>
            <w:pPr>
              <w:tabs>
                <w:tab w:val="clear" w:pos="480"/>
              </w:tabs>
              <w:adjustRightInd w:val="0"/>
              <w:snapToGrid w:val="0"/>
              <w:spacing w:line="240" w:lineRule="auto"/>
              <w:ind w:firstLine="0" w:firstLineChars="0"/>
              <w:jc w:val="center"/>
              <w:rPr>
                <w:spacing w:val="4"/>
                <w:kern w:val="0"/>
                <w:sz w:val="21"/>
                <w:szCs w:val="21"/>
              </w:rPr>
            </w:pPr>
            <w:r>
              <w:rPr>
                <w:spacing w:val="4"/>
                <w:kern w:val="0"/>
                <w:sz w:val="21"/>
                <w:szCs w:val="21"/>
              </w:rPr>
              <w:t>10</w:t>
            </w:r>
          </w:p>
        </w:tc>
        <w:tc>
          <w:tcPr>
            <w:tcW w:w="2110" w:type="dxa"/>
            <w:vAlign w:val="center"/>
          </w:tcPr>
          <w:p>
            <w:pPr>
              <w:tabs>
                <w:tab w:val="clear" w:pos="480"/>
              </w:tabs>
              <w:adjustRightInd w:val="0"/>
              <w:snapToGrid w:val="0"/>
              <w:spacing w:line="240" w:lineRule="auto"/>
              <w:ind w:firstLine="0" w:firstLineChars="0"/>
              <w:jc w:val="center"/>
              <w:rPr>
                <w:spacing w:val="4"/>
                <w:kern w:val="0"/>
                <w:sz w:val="21"/>
                <w:szCs w:val="21"/>
              </w:rPr>
            </w:pPr>
            <w:r>
              <w:rPr>
                <w:spacing w:val="4"/>
                <w:kern w:val="0"/>
                <w:sz w:val="21"/>
                <w:szCs w:val="21"/>
              </w:rPr>
              <w:t>按周边人群收到的长期影响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3" w:type="dxa"/>
            <w:vAlign w:val="center"/>
          </w:tcPr>
          <w:p>
            <w:pPr>
              <w:tabs>
                <w:tab w:val="clear" w:pos="480"/>
              </w:tabs>
              <w:adjustRightInd w:val="0"/>
              <w:snapToGrid w:val="0"/>
              <w:spacing w:line="240" w:lineRule="auto"/>
              <w:ind w:firstLine="0" w:firstLineChars="0"/>
              <w:jc w:val="center"/>
              <w:rPr>
                <w:spacing w:val="4"/>
                <w:kern w:val="0"/>
                <w:sz w:val="21"/>
                <w:szCs w:val="21"/>
              </w:rPr>
            </w:pPr>
            <w:r>
              <w:rPr>
                <w:spacing w:val="4"/>
                <w:kern w:val="0"/>
                <w:sz w:val="21"/>
                <w:szCs w:val="21"/>
              </w:rPr>
              <w:t>3</w:t>
            </w:r>
          </w:p>
        </w:tc>
        <w:tc>
          <w:tcPr>
            <w:tcW w:w="3716" w:type="dxa"/>
            <w:vAlign w:val="center"/>
          </w:tcPr>
          <w:p>
            <w:pPr>
              <w:tabs>
                <w:tab w:val="clear" w:pos="480"/>
              </w:tabs>
              <w:adjustRightInd w:val="0"/>
              <w:snapToGrid w:val="0"/>
              <w:spacing w:line="240" w:lineRule="auto"/>
              <w:ind w:firstLine="0" w:firstLineChars="0"/>
              <w:jc w:val="center"/>
              <w:rPr>
                <w:spacing w:val="4"/>
                <w:kern w:val="0"/>
                <w:sz w:val="21"/>
                <w:szCs w:val="21"/>
              </w:rPr>
            </w:pPr>
            <w:r>
              <w:rPr>
                <w:spacing w:val="4"/>
                <w:kern w:val="0"/>
                <w:sz w:val="21"/>
                <w:szCs w:val="21"/>
              </w:rPr>
              <w:t>防止污水排放和其它污染物对水体影响</w:t>
            </w:r>
          </w:p>
        </w:tc>
        <w:tc>
          <w:tcPr>
            <w:tcW w:w="2411" w:type="dxa"/>
            <w:vAlign w:val="center"/>
          </w:tcPr>
          <w:p>
            <w:pPr>
              <w:tabs>
                <w:tab w:val="clear" w:pos="480"/>
              </w:tabs>
              <w:adjustRightInd w:val="0"/>
              <w:snapToGrid w:val="0"/>
              <w:spacing w:line="240" w:lineRule="auto"/>
              <w:ind w:firstLine="0" w:firstLineChars="0"/>
              <w:jc w:val="center"/>
              <w:rPr>
                <w:spacing w:val="4"/>
                <w:kern w:val="0"/>
                <w:sz w:val="21"/>
                <w:szCs w:val="21"/>
              </w:rPr>
            </w:pPr>
            <w:r>
              <w:rPr>
                <w:spacing w:val="4"/>
                <w:kern w:val="0"/>
                <w:sz w:val="21"/>
                <w:szCs w:val="21"/>
              </w:rPr>
              <w:t>20</w:t>
            </w:r>
          </w:p>
        </w:tc>
        <w:tc>
          <w:tcPr>
            <w:tcW w:w="2110" w:type="dxa"/>
            <w:vAlign w:val="center"/>
          </w:tcPr>
          <w:p>
            <w:pPr>
              <w:tabs>
                <w:tab w:val="clear" w:pos="480"/>
              </w:tabs>
              <w:adjustRightInd w:val="0"/>
              <w:snapToGrid w:val="0"/>
              <w:spacing w:line="240" w:lineRule="auto"/>
              <w:ind w:firstLine="0" w:firstLineChars="0"/>
              <w:jc w:val="center"/>
              <w:rPr>
                <w:spacing w:val="4"/>
                <w:kern w:val="0"/>
                <w:sz w:val="21"/>
                <w:szCs w:val="21"/>
              </w:rPr>
            </w:pPr>
            <w:r>
              <w:rPr>
                <w:spacing w:val="4"/>
                <w:kern w:val="0"/>
                <w:sz w:val="21"/>
                <w:szCs w:val="21"/>
              </w:rPr>
              <w:t>按污染物排入江中造成的损失计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19" w:type="dxa"/>
            <w:gridSpan w:val="2"/>
            <w:vAlign w:val="center"/>
          </w:tcPr>
          <w:p>
            <w:pPr>
              <w:tabs>
                <w:tab w:val="clear" w:pos="480"/>
              </w:tabs>
              <w:adjustRightInd w:val="0"/>
              <w:snapToGrid w:val="0"/>
              <w:spacing w:line="240" w:lineRule="auto"/>
              <w:ind w:firstLine="0" w:firstLineChars="0"/>
              <w:jc w:val="center"/>
              <w:rPr>
                <w:spacing w:val="4"/>
                <w:kern w:val="0"/>
                <w:sz w:val="21"/>
                <w:szCs w:val="21"/>
              </w:rPr>
            </w:pPr>
            <w:r>
              <w:rPr>
                <w:spacing w:val="4"/>
                <w:kern w:val="0"/>
                <w:sz w:val="21"/>
                <w:szCs w:val="21"/>
              </w:rPr>
              <w:t>合计</w:t>
            </w:r>
          </w:p>
        </w:tc>
        <w:tc>
          <w:tcPr>
            <w:tcW w:w="2411" w:type="dxa"/>
            <w:vAlign w:val="center"/>
          </w:tcPr>
          <w:p>
            <w:pPr>
              <w:tabs>
                <w:tab w:val="clear" w:pos="480"/>
              </w:tabs>
              <w:adjustRightInd w:val="0"/>
              <w:snapToGrid w:val="0"/>
              <w:spacing w:line="240" w:lineRule="auto"/>
              <w:ind w:firstLine="0" w:firstLineChars="0"/>
              <w:jc w:val="center"/>
              <w:rPr>
                <w:spacing w:val="4"/>
                <w:kern w:val="0"/>
                <w:sz w:val="21"/>
                <w:szCs w:val="21"/>
              </w:rPr>
            </w:pPr>
            <w:r>
              <w:rPr>
                <w:spacing w:val="4"/>
                <w:kern w:val="0"/>
                <w:sz w:val="21"/>
                <w:szCs w:val="21"/>
              </w:rPr>
              <w:t>70</w:t>
            </w:r>
          </w:p>
        </w:tc>
        <w:tc>
          <w:tcPr>
            <w:tcW w:w="2110" w:type="dxa"/>
            <w:vAlign w:val="center"/>
          </w:tcPr>
          <w:p>
            <w:pPr>
              <w:tabs>
                <w:tab w:val="clear" w:pos="480"/>
              </w:tabs>
              <w:adjustRightInd w:val="0"/>
              <w:snapToGrid w:val="0"/>
              <w:spacing w:line="240" w:lineRule="auto"/>
              <w:ind w:firstLine="0" w:firstLineChars="0"/>
              <w:jc w:val="center"/>
              <w:rPr>
                <w:spacing w:val="4"/>
                <w:kern w:val="0"/>
                <w:sz w:val="21"/>
                <w:szCs w:val="21"/>
              </w:rPr>
            </w:pPr>
            <w:r>
              <w:rPr>
                <w:spacing w:val="4"/>
                <w:kern w:val="0"/>
                <w:sz w:val="21"/>
                <w:szCs w:val="21"/>
              </w:rPr>
              <w:t>/</w:t>
            </w:r>
          </w:p>
        </w:tc>
      </w:tr>
    </w:tbl>
    <w:p>
      <w:pPr>
        <w:ind w:firstLine="480"/>
      </w:pPr>
      <w:r>
        <w:t>结合本项目带来的环境损失、产生的经济效益和社会效益，以及工程环保投入和产生的环境效益进行综合分析，本项目的建设在创造良好经济效益和社会效益的同时，对环境的影响有限，经采取措施后，能够将工程带来的环境损失得到最大限度的控制。</w:t>
      </w:r>
    </w:p>
    <w:p>
      <w:pPr>
        <w:pStyle w:val="453"/>
        <w:ind w:firstLine="643" w:firstLineChars="0"/>
        <w:rPr>
          <w:rFonts w:ascii="Times New Roman" w:cs="Times New Roman"/>
        </w:rPr>
      </w:pPr>
      <w:bookmarkStart w:id="359" w:name="_Toc2231"/>
      <w:bookmarkStart w:id="360" w:name="_Toc106697044"/>
      <w:bookmarkStart w:id="361" w:name="_Toc19751"/>
      <w:r>
        <w:rPr>
          <w:rFonts w:ascii="Times New Roman" w:cs="Times New Roman"/>
        </w:rPr>
        <w:t>环境影响经济损益分析</w:t>
      </w:r>
      <w:bookmarkEnd w:id="359"/>
      <w:bookmarkEnd w:id="360"/>
      <w:bookmarkEnd w:id="361"/>
    </w:p>
    <w:p>
      <w:pPr>
        <w:pStyle w:val="454"/>
        <w:ind w:firstLine="602"/>
        <w:rPr>
          <w:color w:val="auto"/>
        </w:rPr>
      </w:pPr>
      <w:r>
        <w:rPr>
          <w:color w:val="auto"/>
        </w:rPr>
        <w:t>环保投资估算</w:t>
      </w:r>
    </w:p>
    <w:p>
      <w:pPr>
        <w:ind w:firstLine="480"/>
      </w:pPr>
      <w:r>
        <w:t>本项目总投资106863.71万元，其中环保直接总投资</w:t>
      </w:r>
      <w:r>
        <w:rPr>
          <w:rFonts w:hint="eastAsia"/>
          <w:lang w:eastAsia="zh-CN"/>
        </w:rPr>
        <w:t>728</w:t>
      </w:r>
      <w:r>
        <w:t>万元，约占总投资的0.</w:t>
      </w:r>
      <w:r>
        <w:rPr>
          <w:rFonts w:hint="eastAsia"/>
          <w:lang w:val="en-US" w:eastAsia="zh-CN"/>
        </w:rPr>
        <w:t>68</w:t>
      </w:r>
      <w:r>
        <w:t>%。</w:t>
      </w:r>
      <w:r>
        <w:rPr>
          <w:spacing w:val="4"/>
        </w:rPr>
        <w:t>本项目的主要经济效益是船舶大型化效益，即项目建成后进口散货采用10000t</w:t>
      </w:r>
      <w:r>
        <w:rPr>
          <w:rFonts w:hint="eastAsia"/>
          <w:spacing w:val="4"/>
        </w:rPr>
        <w:t>、</w:t>
      </w:r>
      <w:r>
        <w:rPr>
          <w:spacing w:val="4"/>
        </w:rPr>
        <w:t xml:space="preserve"> 5000t级船运输至岳阳港，相较于水上过驳取消后，采用运输费用较高的3000t级小船型运输所节省的运输费用。</w:t>
      </w:r>
      <w:r>
        <w:t>因此，本项目的实施具有良好的经济效益。</w:t>
      </w:r>
    </w:p>
    <w:p>
      <w:pPr>
        <w:pStyle w:val="454"/>
        <w:ind w:firstLine="602"/>
        <w:rPr>
          <w:color w:val="auto"/>
          <w:lang w:val="en-US"/>
        </w:rPr>
      </w:pPr>
      <w:r>
        <w:rPr>
          <w:color w:val="auto"/>
        </w:rPr>
        <w:t>环境影响经济损益分析</w:t>
      </w:r>
    </w:p>
    <w:p>
      <w:pPr>
        <w:adjustRightInd w:val="0"/>
        <w:snapToGrid w:val="0"/>
        <w:ind w:firstLine="496"/>
        <w:rPr>
          <w:spacing w:val="4"/>
        </w:rPr>
      </w:pPr>
      <w:r>
        <w:rPr>
          <w:spacing w:val="4"/>
        </w:rPr>
        <w:t>结合本项目带来的环境损失、产生的经济效益、社会效益以及工程环保投入和产生的环境效益进行综合分析和比较，本项目的建设在创造良好经济效益和社会效益的同时，经采取污染防治措施后，能够将工程带来的环境损失降到很低程度，对环境的影响有限。</w:t>
      </w:r>
    </w:p>
    <w:p>
      <w:pPr>
        <w:autoSpaceDE w:val="0"/>
        <w:autoSpaceDN w:val="0"/>
        <w:adjustRightInd w:val="0"/>
        <w:snapToGrid w:val="0"/>
        <w:ind w:firstLine="496"/>
      </w:pPr>
      <w:r>
        <w:rPr>
          <w:spacing w:val="4"/>
        </w:rPr>
        <w:t>综上所述，本项目的建设能够做到经济效益、社会效益和环境效益的统一。</w:t>
      </w:r>
    </w:p>
    <w:p>
      <w:pPr>
        <w:pStyle w:val="457"/>
        <w:ind w:firstLine="723"/>
        <w:rPr>
          <w:rFonts w:ascii="Times New Roman" w:hAnsi="Times New Roman" w:cs="Times New Roman"/>
        </w:rPr>
        <w:sectPr>
          <w:pgSz w:w="11906" w:h="16838"/>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457"/>
        <w:ind w:firstLine="0" w:firstLineChars="0"/>
        <w:rPr>
          <w:rFonts w:ascii="Times New Roman" w:hAnsi="Times New Roman" w:cs="Times New Roman"/>
        </w:rPr>
      </w:pPr>
      <w:r>
        <w:rPr>
          <w:rFonts w:ascii="Times New Roman" w:hAnsi="Times New Roman" w:cs="Times New Roman"/>
        </w:rPr>
        <w:t xml:space="preserve">  </w:t>
      </w:r>
      <w:bookmarkStart w:id="362" w:name="_Toc106697045"/>
      <w:bookmarkStart w:id="363" w:name="_Toc9514"/>
      <w:bookmarkStart w:id="364" w:name="_Toc20978"/>
      <w:r>
        <w:rPr>
          <w:rFonts w:ascii="Times New Roman" w:hAnsi="Times New Roman" w:cs="Times New Roman"/>
        </w:rPr>
        <w:t>环境管理与监测计划</w:t>
      </w:r>
      <w:bookmarkEnd w:id="362"/>
      <w:bookmarkEnd w:id="363"/>
      <w:bookmarkEnd w:id="364"/>
    </w:p>
    <w:p>
      <w:pPr>
        <w:ind w:firstLine="480"/>
      </w:pPr>
      <w:bookmarkStart w:id="365" w:name="_Toc449004789"/>
      <w:bookmarkStart w:id="366" w:name="_Toc234318329"/>
      <w:bookmarkStart w:id="367" w:name="_Toc18119481"/>
      <w:bookmarkStart w:id="368" w:name="_Toc22979304"/>
      <w:bookmarkStart w:id="369" w:name="_Toc235327168"/>
      <w:bookmarkStart w:id="370" w:name="_Toc426116638"/>
      <w:r>
        <w:t>环境管理是企业管理中的重要环节之一。在企业中，建立健全环保机构，加强环保管理工作，开展厂内环境监测、监督，并把环保工作纳入生产管理，对于减少企业污染物排放，促进资源的合理利用与回收，提高经济效益和环境效益有着重要意义。</w:t>
      </w:r>
    </w:p>
    <w:bookmarkEnd w:id="365"/>
    <w:p>
      <w:pPr>
        <w:pStyle w:val="453"/>
        <w:ind w:firstLine="643" w:firstLineChars="0"/>
        <w:rPr>
          <w:rFonts w:ascii="Times New Roman" w:cs="Times New Roman"/>
        </w:rPr>
      </w:pPr>
      <w:bookmarkStart w:id="371" w:name="_Toc106697046"/>
      <w:bookmarkStart w:id="372" w:name="_Toc25347"/>
      <w:bookmarkStart w:id="373" w:name="_Toc10723"/>
      <w:r>
        <w:rPr>
          <w:rFonts w:ascii="Times New Roman" w:cs="Times New Roman"/>
        </w:rPr>
        <w:t>环境管理</w:t>
      </w:r>
      <w:bookmarkEnd w:id="371"/>
      <w:bookmarkEnd w:id="372"/>
      <w:bookmarkEnd w:id="373"/>
    </w:p>
    <w:p>
      <w:pPr>
        <w:ind w:firstLine="480"/>
      </w:pPr>
      <w:r>
        <w:t>环境管理是以环境科学理论为基础</w:t>
      </w:r>
      <w:r>
        <w:rPr>
          <w:spacing w:val="-10"/>
        </w:rPr>
        <w:t>，</w:t>
      </w:r>
      <w:r>
        <w:t>运用经济</w:t>
      </w:r>
      <w:r>
        <w:rPr>
          <w:spacing w:val="-10"/>
        </w:rPr>
        <w:t>、</w:t>
      </w:r>
      <w:r>
        <w:t>法律</w:t>
      </w:r>
      <w:r>
        <w:rPr>
          <w:spacing w:val="-10"/>
        </w:rPr>
        <w:t>、</w:t>
      </w:r>
      <w:r>
        <w:rPr>
          <w:spacing w:val="-2"/>
        </w:rPr>
        <w:t>技</w:t>
      </w:r>
      <w:r>
        <w:t>术</w:t>
      </w:r>
      <w:r>
        <w:rPr>
          <w:spacing w:val="-10"/>
        </w:rPr>
        <w:t>、</w:t>
      </w:r>
      <w:r>
        <w:t>行政</w:t>
      </w:r>
      <w:r>
        <w:rPr>
          <w:spacing w:val="-11"/>
        </w:rPr>
        <w:t>、</w:t>
      </w:r>
      <w:r>
        <w:t>教育等手段对 经济</w:t>
      </w:r>
      <w:r>
        <w:rPr>
          <w:spacing w:val="-17"/>
        </w:rPr>
        <w:t>、</w:t>
      </w:r>
      <w:r>
        <w:t>社会发展过程中施加给环境的污染和破坏影响进行调节控制</w:t>
      </w:r>
      <w:r>
        <w:rPr>
          <w:spacing w:val="-17"/>
        </w:rPr>
        <w:t>、</w:t>
      </w:r>
      <w:r>
        <w:t>实现经济</w:t>
      </w:r>
      <w:r>
        <w:rPr>
          <w:spacing w:val="-17"/>
        </w:rPr>
        <w:t>、</w:t>
      </w:r>
      <w:r>
        <w:t>社会和 环境效益的和谐统一</w:t>
      </w:r>
      <w:r>
        <w:rPr>
          <w:spacing w:val="-26"/>
        </w:rPr>
        <w:t>。</w:t>
      </w:r>
      <w:r>
        <w:t>本环境管理计划依据环评报告书提出的主要环境问题</w:t>
      </w:r>
      <w:r>
        <w:rPr>
          <w:spacing w:val="-26"/>
        </w:rPr>
        <w:t>、</w:t>
      </w:r>
      <w:r>
        <w:t xml:space="preserve">环保工程 </w:t>
      </w:r>
      <w:r>
        <w:rPr>
          <w:spacing w:val="2"/>
        </w:rPr>
        <w:t>措施</w:t>
      </w:r>
      <w:r>
        <w:t>及</w:t>
      </w:r>
      <w:r>
        <w:rPr>
          <w:spacing w:val="2"/>
        </w:rPr>
        <w:t>省</w:t>
      </w:r>
      <w:r>
        <w:t>、</w:t>
      </w:r>
      <w:r>
        <w:rPr>
          <w:spacing w:val="2"/>
        </w:rPr>
        <w:t>地市</w:t>
      </w:r>
      <w:r>
        <w:t>生态环境部</w:t>
      </w:r>
      <w:r>
        <w:rPr>
          <w:spacing w:val="2"/>
        </w:rPr>
        <w:t>门对</w:t>
      </w:r>
      <w:r>
        <w:t>企</w:t>
      </w:r>
      <w:r>
        <w:rPr>
          <w:spacing w:val="2"/>
        </w:rPr>
        <w:t>业</w:t>
      </w:r>
      <w:r>
        <w:t>环</w:t>
      </w:r>
      <w:r>
        <w:rPr>
          <w:spacing w:val="2"/>
        </w:rPr>
        <w:t>境管</w:t>
      </w:r>
      <w:r>
        <w:t>理</w:t>
      </w:r>
      <w:r>
        <w:rPr>
          <w:spacing w:val="2"/>
        </w:rPr>
        <w:t>的</w:t>
      </w:r>
      <w:r>
        <w:t>要</w:t>
      </w:r>
      <w:r>
        <w:rPr>
          <w:spacing w:val="2"/>
        </w:rPr>
        <w:t>求，</w:t>
      </w:r>
      <w:r>
        <w:t>提</w:t>
      </w:r>
      <w:r>
        <w:rPr>
          <w:spacing w:val="2"/>
        </w:rPr>
        <w:t>出</w:t>
      </w:r>
      <w:r>
        <w:t>该</w:t>
      </w:r>
      <w:r>
        <w:rPr>
          <w:spacing w:val="2"/>
        </w:rPr>
        <w:t>项目</w:t>
      </w:r>
      <w:r>
        <w:t>的</w:t>
      </w:r>
      <w:r>
        <w:rPr>
          <w:spacing w:val="2"/>
        </w:rPr>
        <w:t>环</w:t>
      </w:r>
      <w:r>
        <w:t>境</w:t>
      </w:r>
      <w:r>
        <w:rPr>
          <w:spacing w:val="2"/>
        </w:rPr>
        <w:t>管理</w:t>
      </w:r>
      <w:r>
        <w:t>和</w:t>
      </w:r>
      <w:r>
        <w:rPr>
          <w:spacing w:val="2"/>
        </w:rPr>
        <w:t>监</w:t>
      </w:r>
      <w:r>
        <w:t>测</w:t>
      </w:r>
      <w:r>
        <w:rPr>
          <w:spacing w:val="2"/>
        </w:rPr>
        <w:t>计划</w:t>
      </w:r>
      <w:r>
        <w:t>， 供各级生态环境部门对该项目进行环境管理时参考</w:t>
      </w:r>
      <w:r>
        <w:rPr>
          <w:spacing w:val="-26"/>
        </w:rPr>
        <w:t>，</w:t>
      </w:r>
      <w:r>
        <w:t>并作为企业项目设计</w:t>
      </w:r>
      <w:r>
        <w:rPr>
          <w:spacing w:val="-26"/>
        </w:rPr>
        <w:t>、</w:t>
      </w:r>
      <w:r>
        <w:t>建设及运营阶段环境保护管理工作的依据。</w:t>
      </w:r>
    </w:p>
    <w:p>
      <w:pPr>
        <w:ind w:firstLine="480"/>
      </w:pPr>
      <w:r>
        <w:t>本项目的环境管理将遵守环境保护法规有关规定，针对项目特点，遵循以下基本原则：</w:t>
      </w:r>
    </w:p>
    <w:p>
      <w:pPr>
        <w:ind w:firstLine="480"/>
      </w:pPr>
      <w:r>
        <w:rPr>
          <w:rFonts w:hint="eastAsia" w:ascii="宋体" w:hAnsi="宋体" w:cs="宋体"/>
        </w:rPr>
        <w:t>（1）</w:t>
      </w:r>
      <w:r>
        <w:t>按</w:t>
      </w:r>
      <w:r>
        <w:rPr>
          <w:rFonts w:asciiTheme="minorEastAsia" w:hAnsiTheme="minorEastAsia" w:eastAsiaTheme="minorEastAsia"/>
        </w:rPr>
        <w:t>“</w:t>
      </w:r>
      <w:r>
        <w:t>可持续发展战略</w:t>
      </w:r>
      <w:r>
        <w:rPr>
          <w:rFonts w:asciiTheme="minorEastAsia" w:hAnsiTheme="minorEastAsia" w:eastAsiaTheme="minorEastAsia"/>
        </w:rPr>
        <w:t>”</w:t>
      </w:r>
      <w:r>
        <w:t>，正确处理发展生产和保护环境之间的关系，把经济和环境效益统一起来。</w:t>
      </w:r>
    </w:p>
    <w:p>
      <w:pPr>
        <w:ind w:firstLine="480"/>
      </w:pPr>
      <w:r>
        <w:rPr>
          <w:rFonts w:hint="eastAsia" w:ascii="宋体" w:hAnsi="宋体" w:cs="宋体"/>
        </w:rPr>
        <w:t>（2）</w:t>
      </w:r>
      <w:r>
        <w:t>把环境管理作为企业管理的一个组成部分，并贯穿于生产全过程，将环保指标 纳入生产计划指标，同时进行考核和检查。</w:t>
      </w:r>
    </w:p>
    <w:p>
      <w:pPr>
        <w:ind w:firstLine="480"/>
      </w:pPr>
      <w:r>
        <w:rPr>
          <w:rFonts w:hint="eastAsia" w:ascii="宋体" w:hAnsi="宋体" w:cs="宋体"/>
        </w:rPr>
        <w:t>（3）</w:t>
      </w:r>
      <w:r>
        <w:t>加强全公司职工的环境保护意识，将专业管理和群众管理相结合。</w:t>
      </w:r>
    </w:p>
    <w:p>
      <w:pPr>
        <w:pStyle w:val="454"/>
        <w:ind w:firstLine="602"/>
        <w:rPr>
          <w:color w:val="auto"/>
        </w:rPr>
      </w:pPr>
      <w:r>
        <w:rPr>
          <w:color w:val="auto"/>
        </w:rPr>
        <w:t>施工前环境管理</w:t>
      </w:r>
    </w:p>
    <w:p>
      <w:pPr>
        <w:ind w:firstLine="480"/>
      </w:pPr>
      <w:r>
        <w:t>在施工前，施工单位应详细编制施工组织计划并建立环境管理制度，要有专人负责施工期间的环境保护工作，对施工中产生的</w:t>
      </w:r>
      <w:r>
        <w:rPr>
          <w:rFonts w:asciiTheme="minorEastAsia" w:hAnsiTheme="minorEastAsia" w:eastAsiaTheme="minorEastAsia"/>
        </w:rPr>
        <w:t>“</w:t>
      </w:r>
      <w:r>
        <w:t>三废</w:t>
      </w:r>
      <w:r>
        <w:rPr>
          <w:rFonts w:asciiTheme="minorEastAsia" w:hAnsiTheme="minorEastAsia" w:eastAsiaTheme="minorEastAsia"/>
        </w:rPr>
        <w:t>”</w:t>
      </w:r>
      <w:r>
        <w:t>应作出相应的防治措施及处置方法。环境管理要做到贯彻国家的环保法规标准，建立各项环保管理制度，做到有章可循，科学管理。工程建设时应保证环保投资落实到位，使各项环保设施达到设计规定的效率和要求。</w:t>
      </w:r>
    </w:p>
    <w:p>
      <w:pPr>
        <w:pStyle w:val="454"/>
        <w:ind w:firstLine="602"/>
        <w:rPr>
          <w:color w:val="auto"/>
        </w:rPr>
      </w:pPr>
      <w:r>
        <w:rPr>
          <w:color w:val="auto"/>
        </w:rPr>
        <w:t>施工期环境管理</w:t>
      </w:r>
    </w:p>
    <w:p>
      <w:pPr>
        <w:ind w:firstLine="480"/>
      </w:pPr>
      <w:r>
        <w:t>为预防和治理施工中的环境污染问题，除采取必要的污染治理措施外，还必须加强施工期的环境监测和管理。对此，提出以下建议：</w:t>
      </w:r>
    </w:p>
    <w:p>
      <w:pPr>
        <w:ind w:firstLine="480"/>
      </w:pPr>
      <w:r>
        <w:rPr>
          <w:rFonts w:hint="eastAsia" w:ascii="宋体" w:hAnsi="宋体" w:cs="宋体"/>
        </w:rPr>
        <w:t>（1）</w:t>
      </w:r>
      <w:r>
        <w:t>建设单位应与施工单位协商，将施工期环境保护责任纳入双方合同文本，要求 施工单位认真落实施工的环境保护措施。</w:t>
      </w:r>
    </w:p>
    <w:p>
      <w:pPr>
        <w:ind w:firstLine="480"/>
      </w:pPr>
      <w:r>
        <w:rPr>
          <w:rFonts w:hint="eastAsia" w:ascii="宋体" w:hAnsi="宋体" w:cs="宋体"/>
        </w:rPr>
        <w:t>（2）</w:t>
      </w:r>
      <w:r>
        <w:t>施工单位施工前应严格按照环评报告书及批复的要求认真编制施工组织计划， 将其作为环境管理和环境保护竣工验收的依据。</w:t>
      </w:r>
    </w:p>
    <w:p>
      <w:pPr>
        <w:ind w:firstLine="480"/>
      </w:pPr>
      <w:r>
        <w:rPr>
          <w:rFonts w:hint="eastAsia" w:ascii="宋体" w:hAnsi="宋体" w:cs="宋体"/>
        </w:rPr>
        <w:t>（3）</w:t>
      </w:r>
      <w:r>
        <w:t>施工单位应配备专职环境管理人员，负责各类污染源的现场监控和管理，对施 工过程中产生的扬尘、噪声和污水等污染物，采取有效的处理措施，并将此项内容作为 工程施工考核指标之一。</w:t>
      </w:r>
    </w:p>
    <w:p>
      <w:pPr>
        <w:ind w:firstLine="480"/>
      </w:pPr>
      <w:r>
        <w:rPr>
          <w:rFonts w:hint="eastAsia" w:ascii="宋体" w:hAnsi="宋体" w:cs="宋体"/>
        </w:rPr>
        <w:t>（4）</w:t>
      </w:r>
      <w:r>
        <w:t>专职环境管理人员应做好文明施工的宣传工作，借助黑板报、宣传栏等工具对 施工工人进行环境保护教育。</w:t>
      </w:r>
    </w:p>
    <w:p>
      <w:pPr>
        <w:ind w:firstLine="480"/>
      </w:pPr>
      <w:r>
        <w:rPr>
          <w:rFonts w:hint="eastAsia" w:ascii="宋体" w:hAnsi="宋体" w:cs="宋体"/>
        </w:rPr>
        <w:t>（5）</w:t>
      </w:r>
      <w:r>
        <w:t>施工单位应自觉接受当地生态环境主管部门的监督指导，主动配合生态环境主 管部门搞好施工期的环境保护工作。</w:t>
      </w:r>
    </w:p>
    <w:p>
      <w:pPr>
        <w:ind w:firstLine="480"/>
      </w:pPr>
      <w:r>
        <w:rPr>
          <w:rFonts w:hint="eastAsia" w:ascii="宋体" w:hAnsi="宋体" w:cs="宋体"/>
        </w:rPr>
        <w:t>（6）</w:t>
      </w:r>
      <w:r>
        <w:t>建设单位应按有关施工招标程序设置环境监理，并在当地生态环境部门的监督指导下，全面、规范地进行施工期的环境监理，保证施工现场噪声、扬尘、废气、污废水、 建筑垃圾等排放能够满足相应标准要求。</w:t>
      </w:r>
    </w:p>
    <w:p>
      <w:pPr>
        <w:ind w:firstLine="480"/>
      </w:pPr>
      <w:r>
        <w:t>为了便于生态环境主管部门对本工程施工期的环境监管，评价拟定施工期环境监管 计划见下表。</w:t>
      </w:r>
    </w:p>
    <w:p>
      <w:pPr>
        <w:pStyle w:val="2691"/>
        <w:rPr>
          <w:b/>
        </w:rPr>
      </w:pPr>
      <w:r>
        <w:rPr>
          <w:b/>
        </w:rPr>
        <w:t>表9-1 施工期环境监管计划</w:t>
      </w:r>
    </w:p>
    <w:tbl>
      <w:tblPr>
        <w:tblStyle w:val="87"/>
        <w:tblW w:w="9041" w:type="dxa"/>
        <w:jc w:val="center"/>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
      <w:tblGrid>
        <w:gridCol w:w="786"/>
        <w:gridCol w:w="1240"/>
        <w:gridCol w:w="4818"/>
        <w:gridCol w:w="2197"/>
      </w:tblGrid>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4" w:hRule="exact"/>
          <w:jc w:val="center"/>
        </w:trPr>
        <w:tc>
          <w:tcPr>
            <w:tcW w:w="786" w:type="dxa"/>
            <w:vAlign w:val="center"/>
          </w:tcPr>
          <w:p>
            <w:pPr>
              <w:pStyle w:val="2691"/>
              <w:spacing w:line="240" w:lineRule="atLeast"/>
            </w:pPr>
            <w:r>
              <w:t>序号</w:t>
            </w:r>
          </w:p>
        </w:tc>
        <w:tc>
          <w:tcPr>
            <w:tcW w:w="1240" w:type="dxa"/>
            <w:vAlign w:val="center"/>
          </w:tcPr>
          <w:p>
            <w:pPr>
              <w:pStyle w:val="2691"/>
              <w:spacing w:line="240" w:lineRule="atLeast"/>
            </w:pPr>
            <w:r>
              <w:t>项目</w:t>
            </w:r>
          </w:p>
        </w:tc>
        <w:tc>
          <w:tcPr>
            <w:tcW w:w="4818" w:type="dxa"/>
            <w:vAlign w:val="center"/>
          </w:tcPr>
          <w:p>
            <w:pPr>
              <w:pStyle w:val="2691"/>
              <w:spacing w:line="240" w:lineRule="atLeast"/>
            </w:pPr>
            <w:r>
              <w:t>监管内容</w:t>
            </w:r>
          </w:p>
        </w:tc>
        <w:tc>
          <w:tcPr>
            <w:tcW w:w="2197" w:type="dxa"/>
            <w:vAlign w:val="center"/>
          </w:tcPr>
          <w:p>
            <w:pPr>
              <w:pStyle w:val="2691"/>
              <w:spacing w:line="240" w:lineRule="atLeast"/>
            </w:pPr>
            <w:r>
              <w:t>预期效果</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744" w:hRule="exact"/>
          <w:jc w:val="center"/>
        </w:trPr>
        <w:tc>
          <w:tcPr>
            <w:tcW w:w="786" w:type="dxa"/>
            <w:vAlign w:val="center"/>
          </w:tcPr>
          <w:p>
            <w:pPr>
              <w:pStyle w:val="2691"/>
              <w:spacing w:line="240" w:lineRule="atLeast"/>
            </w:pPr>
            <w:r>
              <w:t>1</w:t>
            </w:r>
          </w:p>
        </w:tc>
        <w:tc>
          <w:tcPr>
            <w:tcW w:w="1240" w:type="dxa"/>
            <w:vAlign w:val="center"/>
          </w:tcPr>
          <w:p>
            <w:pPr>
              <w:pStyle w:val="2691"/>
              <w:spacing w:line="240" w:lineRule="atLeast"/>
            </w:pPr>
            <w:r>
              <w:t>生态保护与 水土保持</w:t>
            </w:r>
          </w:p>
        </w:tc>
        <w:tc>
          <w:tcPr>
            <w:tcW w:w="4818" w:type="dxa"/>
            <w:vAlign w:val="center"/>
          </w:tcPr>
          <w:p>
            <w:pPr>
              <w:pStyle w:val="2691"/>
              <w:spacing w:line="240" w:lineRule="atLeast"/>
              <w:jc w:val="left"/>
            </w:pPr>
            <w:r>
              <w:t>①做好施工总平面规划与优化，尽量减少施工临</w:t>
            </w:r>
          </w:p>
          <w:p>
            <w:pPr>
              <w:pStyle w:val="2691"/>
              <w:spacing w:line="240" w:lineRule="atLeast"/>
              <w:jc w:val="left"/>
            </w:pPr>
            <w:r>
              <w:t>时占地；</w:t>
            </w:r>
          </w:p>
          <w:p>
            <w:pPr>
              <w:pStyle w:val="2691"/>
              <w:spacing w:line="240" w:lineRule="atLeast"/>
              <w:jc w:val="left"/>
            </w:pPr>
            <w:r>
              <w:t>②设置临时排水系统，防止水土流失；</w:t>
            </w:r>
          </w:p>
          <w:p>
            <w:pPr>
              <w:pStyle w:val="2691"/>
              <w:spacing w:line="240" w:lineRule="atLeast"/>
              <w:jc w:val="left"/>
            </w:pPr>
            <w:r>
              <w:t>③及时对施工区域进行种植绿化；</w:t>
            </w:r>
          </w:p>
          <w:p>
            <w:pPr>
              <w:pStyle w:val="2691"/>
              <w:spacing w:line="240" w:lineRule="atLeast"/>
              <w:jc w:val="left"/>
            </w:pPr>
            <w:r>
              <w:t>④禁止在施工河段进行垂钓以及捕杀野生动物。</w:t>
            </w:r>
          </w:p>
        </w:tc>
        <w:tc>
          <w:tcPr>
            <w:tcW w:w="2197" w:type="dxa"/>
            <w:vAlign w:val="center"/>
          </w:tcPr>
          <w:p>
            <w:pPr>
              <w:pStyle w:val="2691"/>
              <w:spacing w:line="240" w:lineRule="atLeast"/>
            </w:pPr>
            <w:r>
              <w:t>减少水土流失，保护生态环境</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605" w:hRule="exact"/>
          <w:jc w:val="center"/>
        </w:trPr>
        <w:tc>
          <w:tcPr>
            <w:tcW w:w="786" w:type="dxa"/>
            <w:vAlign w:val="center"/>
          </w:tcPr>
          <w:p>
            <w:pPr>
              <w:pStyle w:val="2691"/>
              <w:spacing w:line="240" w:lineRule="atLeast"/>
            </w:pPr>
            <w:r>
              <w:t>2</w:t>
            </w:r>
          </w:p>
        </w:tc>
        <w:tc>
          <w:tcPr>
            <w:tcW w:w="1240" w:type="dxa"/>
            <w:vAlign w:val="center"/>
          </w:tcPr>
          <w:p>
            <w:pPr>
              <w:pStyle w:val="2691"/>
              <w:spacing w:line="240" w:lineRule="atLeast"/>
            </w:pPr>
            <w:r>
              <w:t>废气防治</w:t>
            </w:r>
          </w:p>
        </w:tc>
        <w:tc>
          <w:tcPr>
            <w:tcW w:w="4818" w:type="dxa"/>
            <w:vAlign w:val="center"/>
          </w:tcPr>
          <w:p>
            <w:pPr>
              <w:pStyle w:val="2691"/>
              <w:spacing w:line="240" w:lineRule="atLeast"/>
              <w:jc w:val="left"/>
            </w:pPr>
            <w:r>
              <w:t>①各施工场地和运输道路定期洒水</w:t>
            </w:r>
            <w:r>
              <w:rPr>
                <w:rFonts w:hint="eastAsia"/>
              </w:rPr>
              <w:t>；</w:t>
            </w:r>
          </w:p>
          <w:p>
            <w:pPr>
              <w:pStyle w:val="2691"/>
              <w:spacing w:line="240" w:lineRule="atLeast"/>
              <w:jc w:val="left"/>
            </w:pPr>
            <w:r>
              <w:t>②</w:t>
            </w:r>
            <w:r>
              <w:rPr>
                <w:rFonts w:hint="eastAsia"/>
              </w:rPr>
              <w:t>施工现场四周设置围挡；</w:t>
            </w:r>
          </w:p>
        </w:tc>
        <w:tc>
          <w:tcPr>
            <w:tcW w:w="2197" w:type="dxa"/>
            <w:vAlign w:val="center"/>
          </w:tcPr>
          <w:p>
            <w:pPr>
              <w:pStyle w:val="2691"/>
              <w:spacing w:line="240" w:lineRule="atLeast"/>
            </w:pPr>
            <w:r>
              <w:t>减少扬尘产生</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385" w:hRule="exact"/>
          <w:jc w:val="center"/>
        </w:trPr>
        <w:tc>
          <w:tcPr>
            <w:tcW w:w="786" w:type="dxa"/>
            <w:vAlign w:val="center"/>
          </w:tcPr>
          <w:p>
            <w:pPr>
              <w:pStyle w:val="2691"/>
              <w:spacing w:line="240" w:lineRule="atLeast"/>
            </w:pPr>
            <w:r>
              <w:t>3</w:t>
            </w:r>
          </w:p>
        </w:tc>
        <w:tc>
          <w:tcPr>
            <w:tcW w:w="1240" w:type="dxa"/>
            <w:vAlign w:val="center"/>
          </w:tcPr>
          <w:p>
            <w:pPr>
              <w:pStyle w:val="2691"/>
              <w:spacing w:line="240" w:lineRule="atLeast"/>
            </w:pPr>
            <w:r>
              <w:t>噪声防治</w:t>
            </w:r>
          </w:p>
        </w:tc>
        <w:tc>
          <w:tcPr>
            <w:tcW w:w="4818" w:type="dxa"/>
            <w:vAlign w:val="center"/>
          </w:tcPr>
          <w:p>
            <w:pPr>
              <w:pStyle w:val="2691"/>
              <w:spacing w:line="240" w:lineRule="atLeast"/>
              <w:jc w:val="left"/>
            </w:pPr>
            <w:r>
              <w:t>①选用低噪声设备；</w:t>
            </w:r>
          </w:p>
          <w:p>
            <w:pPr>
              <w:pStyle w:val="2691"/>
              <w:spacing w:line="240" w:lineRule="atLeast"/>
              <w:jc w:val="left"/>
            </w:pPr>
            <w:r>
              <w:t>②合理安排施工时间</w:t>
            </w:r>
            <w:r>
              <w:rPr>
                <w:rFonts w:hint="eastAsia"/>
              </w:rPr>
              <w:t>；</w:t>
            </w:r>
          </w:p>
          <w:p>
            <w:pPr>
              <w:pStyle w:val="2691"/>
              <w:spacing w:line="240" w:lineRule="atLeast"/>
              <w:jc w:val="left"/>
            </w:pPr>
            <w:r>
              <w:t>③禁止高噪声机械夜间作业的检查。</w:t>
            </w:r>
          </w:p>
          <w:p>
            <w:pPr>
              <w:pStyle w:val="2691"/>
              <w:spacing w:line="240" w:lineRule="atLeast"/>
              <w:jc w:val="left"/>
            </w:pPr>
            <w:r>
              <w:t>④加强机械和车辆维修保养的检查</w:t>
            </w:r>
          </w:p>
        </w:tc>
        <w:tc>
          <w:tcPr>
            <w:tcW w:w="2197" w:type="dxa"/>
            <w:vAlign w:val="center"/>
          </w:tcPr>
          <w:p>
            <w:pPr>
              <w:pStyle w:val="2691"/>
              <w:spacing w:line="240" w:lineRule="atLeast"/>
            </w:pPr>
            <w:r>
              <w:t>施工场界噪声限值标准，防止噪声扰民</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000" w:hRule="exact"/>
          <w:jc w:val="center"/>
        </w:trPr>
        <w:tc>
          <w:tcPr>
            <w:tcW w:w="786" w:type="dxa"/>
            <w:vAlign w:val="center"/>
          </w:tcPr>
          <w:p>
            <w:pPr>
              <w:pStyle w:val="2691"/>
              <w:spacing w:line="240" w:lineRule="atLeast"/>
            </w:pPr>
            <w:r>
              <w:t>4</w:t>
            </w:r>
          </w:p>
        </w:tc>
        <w:tc>
          <w:tcPr>
            <w:tcW w:w="1240" w:type="dxa"/>
            <w:vAlign w:val="center"/>
          </w:tcPr>
          <w:p>
            <w:pPr>
              <w:pStyle w:val="2691"/>
              <w:spacing w:line="240" w:lineRule="atLeast"/>
            </w:pPr>
            <w:r>
              <w:t>固废处置</w:t>
            </w:r>
          </w:p>
        </w:tc>
        <w:tc>
          <w:tcPr>
            <w:tcW w:w="4818" w:type="dxa"/>
            <w:vAlign w:val="center"/>
          </w:tcPr>
          <w:p>
            <w:pPr>
              <w:pStyle w:val="2691"/>
              <w:spacing w:line="240" w:lineRule="atLeast"/>
              <w:jc w:val="left"/>
            </w:pPr>
            <w:r>
              <w:t>①平衡土石方，减少弃土产生量；</w:t>
            </w:r>
          </w:p>
          <w:p>
            <w:pPr>
              <w:pStyle w:val="2691"/>
              <w:spacing w:line="240" w:lineRule="atLeast"/>
              <w:jc w:val="left"/>
            </w:pPr>
            <w:r>
              <w:t>②设置固废堆场，并设置挡土墙与导水沟渠；</w:t>
            </w:r>
          </w:p>
          <w:p>
            <w:pPr>
              <w:pStyle w:val="2691"/>
              <w:spacing w:line="240" w:lineRule="atLeast"/>
              <w:jc w:val="left"/>
            </w:pPr>
            <w:r>
              <w:t>③生活垃圾集中收集处置。</w:t>
            </w:r>
          </w:p>
        </w:tc>
        <w:tc>
          <w:tcPr>
            <w:tcW w:w="2197" w:type="dxa"/>
            <w:vAlign w:val="center"/>
          </w:tcPr>
          <w:p>
            <w:pPr>
              <w:pStyle w:val="2691"/>
              <w:spacing w:line="240" w:lineRule="atLeast"/>
            </w:pPr>
            <w:r>
              <w:t>减轻固废对环境的影响</w:t>
            </w:r>
          </w:p>
        </w:tc>
      </w:tr>
    </w:tbl>
    <w:p>
      <w:pPr>
        <w:pStyle w:val="454"/>
        <w:ind w:firstLine="602"/>
        <w:rPr>
          <w:color w:val="auto"/>
        </w:rPr>
      </w:pPr>
      <w:r>
        <w:rPr>
          <w:color w:val="auto"/>
        </w:rPr>
        <w:t>运营期环境管理</w:t>
      </w:r>
    </w:p>
    <w:p>
      <w:pPr>
        <w:kinsoku w:val="0"/>
        <w:overflowPunct w:val="0"/>
        <w:spacing w:before="8" w:line="110" w:lineRule="exact"/>
        <w:ind w:firstLine="220"/>
        <w:rPr>
          <w:sz w:val="11"/>
          <w:szCs w:val="11"/>
        </w:rPr>
      </w:pPr>
    </w:p>
    <w:p>
      <w:pPr>
        <w:numPr>
          <w:ilvl w:val="0"/>
          <w:numId w:val="71"/>
        </w:numPr>
        <w:ind w:firstLineChars="0"/>
        <w:jc w:val="left"/>
        <w:rPr>
          <w:b/>
        </w:rPr>
      </w:pPr>
      <w:r>
        <w:rPr>
          <w:b/>
        </w:rPr>
        <w:t>环境管理机构设置</w:t>
      </w:r>
    </w:p>
    <w:p>
      <w:pPr>
        <w:pStyle w:val="458"/>
        <w:ind w:firstLine="480"/>
        <w:rPr>
          <w:rFonts w:cs="Times New Roman"/>
          <w:color w:val="auto"/>
        </w:rPr>
      </w:pPr>
      <w:r>
        <w:rPr>
          <w:rFonts w:cs="Times New Roman"/>
          <w:color w:val="auto"/>
        </w:rPr>
        <w:t>根据《建设项目环境保护设计规定》企业应设置环境保护管理机构，负责组织、落实、监督本企业环保工作。为了适应环保管理工作要求，结合港区实际情况，建设单位应配备专职或兼职的环境管理人员，对港区排污、环保设施运行及环境统计、宣传教育等进行管理。本项目可依托</w:t>
      </w:r>
      <w:r>
        <w:rPr>
          <w:rFonts w:cs="Times New Roman"/>
          <w:color w:val="auto"/>
          <w:spacing w:val="4"/>
        </w:rPr>
        <w:t>陆域工程的环境管理机构进行环境管理。</w:t>
      </w:r>
    </w:p>
    <w:p>
      <w:pPr>
        <w:numPr>
          <w:ilvl w:val="0"/>
          <w:numId w:val="71"/>
        </w:numPr>
        <w:ind w:firstLineChars="0"/>
        <w:jc w:val="left"/>
        <w:rPr>
          <w:b/>
        </w:rPr>
      </w:pPr>
      <w:r>
        <w:rPr>
          <w:b/>
        </w:rPr>
        <w:t>工作职责</w:t>
      </w:r>
    </w:p>
    <w:p>
      <w:pPr>
        <w:pStyle w:val="458"/>
        <w:ind w:firstLine="480"/>
        <w:rPr>
          <w:rFonts w:cs="Times New Roman"/>
          <w:color w:val="auto"/>
        </w:rPr>
      </w:pPr>
      <w:r>
        <w:rPr>
          <w:rFonts w:cs="Times New Roman"/>
          <w:color w:val="auto"/>
        </w:rPr>
        <w:t>环境管理人员的具体职责如下：</w:t>
      </w:r>
    </w:p>
    <w:p>
      <w:pPr>
        <w:pStyle w:val="458"/>
        <w:ind w:firstLine="480"/>
        <w:rPr>
          <w:rFonts w:cs="Times New Roman"/>
          <w:color w:val="auto"/>
        </w:rPr>
      </w:pPr>
      <w:r>
        <w:rPr>
          <w:rFonts w:cs="Times New Roman"/>
          <w:color w:val="auto"/>
        </w:rPr>
        <w:t>（1）督促、检查本企业执行国家有关环境保护方针、政策、法规及企业环境保护制度，贯彻执行</w:t>
      </w:r>
      <w:r>
        <w:rPr>
          <w:rFonts w:cs="Times New Roman" w:asciiTheme="minorEastAsia" w:hAnsiTheme="minorEastAsia" w:eastAsiaTheme="minorEastAsia"/>
          <w:color w:val="auto"/>
        </w:rPr>
        <w:t>“</w:t>
      </w:r>
      <w:r>
        <w:rPr>
          <w:rFonts w:cs="Times New Roman"/>
          <w:color w:val="auto"/>
        </w:rPr>
        <w:t>三同时</w:t>
      </w:r>
      <w:r>
        <w:rPr>
          <w:rFonts w:cs="Times New Roman" w:asciiTheme="minorEastAsia" w:hAnsiTheme="minorEastAsia" w:eastAsiaTheme="minorEastAsia"/>
          <w:color w:val="auto"/>
        </w:rPr>
        <w:t>”</w:t>
      </w:r>
      <w:r>
        <w:rPr>
          <w:rFonts w:cs="Times New Roman"/>
          <w:color w:val="auto"/>
        </w:rPr>
        <w:t>的规定，并参加有关方案的审定及竣工验收工作；</w:t>
      </w:r>
    </w:p>
    <w:p>
      <w:pPr>
        <w:pStyle w:val="458"/>
        <w:ind w:firstLine="480"/>
        <w:rPr>
          <w:rFonts w:cs="Times New Roman"/>
          <w:color w:val="auto"/>
        </w:rPr>
      </w:pPr>
      <w:r>
        <w:rPr>
          <w:rFonts w:cs="Times New Roman"/>
          <w:color w:val="auto"/>
        </w:rPr>
        <w:t>（2）根据工程生产特点和产污情况，制定本企业环境管理办法，按照有关规定，制定本企业污染综合防治的经济技术原则，制定切实可行的环保管理制度和条例；</w:t>
      </w:r>
    </w:p>
    <w:p>
      <w:pPr>
        <w:pStyle w:val="458"/>
        <w:ind w:firstLine="480"/>
        <w:rPr>
          <w:rFonts w:cs="Times New Roman"/>
          <w:color w:val="auto"/>
        </w:rPr>
      </w:pPr>
      <w:r>
        <w:rPr>
          <w:rFonts w:cs="Times New Roman"/>
          <w:color w:val="auto"/>
        </w:rPr>
        <w:t>（3）负责组织企业污染源调查，并按月或季度编写企业环境质量报告；</w:t>
      </w:r>
    </w:p>
    <w:p>
      <w:pPr>
        <w:pStyle w:val="458"/>
        <w:ind w:firstLine="480"/>
        <w:rPr>
          <w:rFonts w:cs="Times New Roman"/>
          <w:color w:val="auto"/>
        </w:rPr>
      </w:pPr>
      <w:r>
        <w:rPr>
          <w:rFonts w:cs="Times New Roman"/>
          <w:color w:val="auto"/>
        </w:rPr>
        <w:t>（4）把污染源监督和</w:t>
      </w:r>
      <w:r>
        <w:rPr>
          <w:rFonts w:cs="Times New Roman" w:asciiTheme="minorEastAsia" w:hAnsiTheme="minorEastAsia" w:eastAsiaTheme="minorEastAsia"/>
          <w:color w:val="auto"/>
        </w:rPr>
        <w:t>“</w:t>
      </w:r>
      <w:r>
        <w:rPr>
          <w:rFonts w:cs="Times New Roman"/>
          <w:color w:val="auto"/>
        </w:rPr>
        <w:t>三废</w:t>
      </w:r>
      <w:r>
        <w:rPr>
          <w:rFonts w:cs="Times New Roman" w:asciiTheme="minorEastAsia" w:hAnsiTheme="minorEastAsia" w:eastAsiaTheme="minorEastAsia"/>
          <w:color w:val="auto"/>
        </w:rPr>
        <w:t>”</w:t>
      </w:r>
      <w:r>
        <w:rPr>
          <w:rFonts w:cs="Times New Roman"/>
          <w:color w:val="auto"/>
        </w:rPr>
        <w:t>排放纳入日常管理工作，并落实到岗位；</w:t>
      </w:r>
    </w:p>
    <w:p>
      <w:pPr>
        <w:pStyle w:val="458"/>
        <w:ind w:firstLine="480"/>
        <w:rPr>
          <w:rFonts w:cs="Times New Roman"/>
          <w:color w:val="auto"/>
        </w:rPr>
      </w:pPr>
      <w:r>
        <w:rPr>
          <w:rFonts w:cs="Times New Roman"/>
          <w:color w:val="auto"/>
        </w:rPr>
        <w:t>（5）按照责、权、利实行奖罚制度，对违反制度的行为根据情节给予处罚，对有功人员给予奖励；</w:t>
      </w:r>
    </w:p>
    <w:p>
      <w:pPr>
        <w:pStyle w:val="458"/>
        <w:ind w:firstLine="480"/>
        <w:rPr>
          <w:rFonts w:cs="Times New Roman"/>
          <w:color w:val="auto"/>
        </w:rPr>
      </w:pPr>
      <w:r>
        <w:rPr>
          <w:rFonts w:cs="Times New Roman"/>
          <w:color w:val="auto"/>
        </w:rPr>
        <w:t>（6）配合上级生态环境主管部门，贯彻落实有关环保法规和规定；</w:t>
      </w:r>
    </w:p>
    <w:p>
      <w:pPr>
        <w:pStyle w:val="458"/>
        <w:ind w:firstLine="480"/>
        <w:rPr>
          <w:rFonts w:cs="Times New Roman"/>
          <w:color w:val="auto"/>
        </w:rPr>
      </w:pPr>
      <w:r>
        <w:rPr>
          <w:rFonts w:cs="Times New Roman"/>
          <w:color w:val="auto"/>
        </w:rPr>
        <w:t>（7）负责本企业污染事故的调查和处理；</w:t>
      </w:r>
    </w:p>
    <w:p>
      <w:pPr>
        <w:pStyle w:val="458"/>
        <w:ind w:firstLine="480"/>
        <w:rPr>
          <w:rFonts w:cs="Times New Roman"/>
          <w:color w:val="auto"/>
        </w:rPr>
      </w:pPr>
      <w:r>
        <w:rPr>
          <w:rFonts w:cs="Times New Roman"/>
          <w:color w:val="auto"/>
        </w:rPr>
        <w:t>（8）做好环境统计工作，建立环保档案；</w:t>
      </w:r>
    </w:p>
    <w:p>
      <w:pPr>
        <w:pStyle w:val="458"/>
        <w:ind w:firstLine="480"/>
        <w:rPr>
          <w:rFonts w:cs="Times New Roman"/>
          <w:color w:val="auto"/>
        </w:rPr>
      </w:pPr>
      <w:r>
        <w:rPr>
          <w:rFonts w:cs="Times New Roman"/>
          <w:color w:val="auto"/>
        </w:rPr>
        <w:t>（9）与有关组织合作，积极开展清洁生产活动，广泛开展环保宣传教育活动，普及环境科学知识。</w:t>
      </w:r>
    </w:p>
    <w:p>
      <w:pPr>
        <w:pStyle w:val="458"/>
        <w:ind w:firstLine="482"/>
        <w:rPr>
          <w:rFonts w:cs="Times New Roman"/>
          <w:b/>
          <w:color w:val="auto"/>
        </w:rPr>
      </w:pPr>
      <w:r>
        <w:rPr>
          <w:rFonts w:cs="Times New Roman"/>
          <w:b/>
          <w:color w:val="auto"/>
        </w:rPr>
        <w:t>3、管理要求</w:t>
      </w:r>
    </w:p>
    <w:p>
      <w:pPr>
        <w:pStyle w:val="458"/>
        <w:ind w:firstLine="480"/>
        <w:rPr>
          <w:rFonts w:cs="Times New Roman"/>
          <w:color w:val="auto"/>
        </w:rPr>
      </w:pPr>
      <w:r>
        <w:rPr>
          <w:rFonts w:cs="Times New Roman"/>
          <w:color w:val="auto"/>
        </w:rPr>
        <w:t>营运期间要把环保工作纳入工厂全面工作之中，既要重视污染的末端处理，又要重视生产全过程控制，同时还要重视固体废物的综合利用，使环境污染防范于未然，贯彻以防为主、防治结合的方针，实施污染物排放总量控制，推行清洁生产，日常管理要有一整套行之有效的管理制度，落实具体责任和奖罚规定。环境管理人员要以环境保护统一管理、对各部门环保工作定期检查，并接受政府生态环境部门的监督。</w:t>
      </w:r>
    </w:p>
    <w:p>
      <w:pPr>
        <w:pStyle w:val="458"/>
        <w:ind w:firstLine="480"/>
        <w:rPr>
          <w:rFonts w:cs="Times New Roman"/>
          <w:color w:val="auto"/>
        </w:rPr>
      </w:pPr>
      <w:r>
        <w:rPr>
          <w:rFonts w:hint="eastAsia" w:ascii="宋体" w:hAnsi="宋体"/>
          <w:color w:val="auto"/>
        </w:rPr>
        <w:t>（1）</w:t>
      </w:r>
      <w:r>
        <w:rPr>
          <w:rFonts w:cs="Times New Roman"/>
          <w:color w:val="auto"/>
        </w:rPr>
        <w:t>配合生态环境行政主管部门的工作</w:t>
      </w:r>
    </w:p>
    <w:p>
      <w:pPr>
        <w:pStyle w:val="458"/>
        <w:ind w:firstLine="480"/>
        <w:rPr>
          <w:rFonts w:cs="Times New Roman"/>
          <w:color w:val="auto"/>
        </w:rPr>
      </w:pPr>
      <w:r>
        <w:rPr>
          <w:rFonts w:cs="Times New Roman"/>
          <w:color w:val="auto"/>
        </w:rPr>
        <w:t>应及时向当地生态环境主管部门申报登记污染物排放情况，积极配合政府环境监测部门的监督检查工作，并按要求上报各项环保工作的执行情况。</w:t>
      </w:r>
    </w:p>
    <w:p>
      <w:pPr>
        <w:pStyle w:val="458"/>
        <w:ind w:firstLine="480"/>
        <w:rPr>
          <w:rFonts w:cs="Times New Roman"/>
          <w:color w:val="auto"/>
        </w:rPr>
      </w:pPr>
      <w:r>
        <w:rPr>
          <w:rFonts w:hint="eastAsia" w:ascii="宋体" w:hAnsi="宋体"/>
          <w:color w:val="auto"/>
        </w:rPr>
        <w:t>（2）</w:t>
      </w:r>
      <w:r>
        <w:rPr>
          <w:rFonts w:cs="Times New Roman"/>
          <w:color w:val="auto"/>
        </w:rPr>
        <w:t>制定并实施企业环境保护计划</w:t>
      </w:r>
    </w:p>
    <w:p>
      <w:pPr>
        <w:pStyle w:val="458"/>
        <w:ind w:firstLine="480"/>
        <w:rPr>
          <w:rFonts w:cs="Times New Roman"/>
          <w:color w:val="auto"/>
        </w:rPr>
      </w:pPr>
      <w:r>
        <w:rPr>
          <w:rFonts w:cs="Times New Roman"/>
          <w:color w:val="auto"/>
        </w:rPr>
        <w:t>根据企业的实际情况，制定企业的环境保护计划，并组织实施。</w:t>
      </w:r>
    </w:p>
    <w:p>
      <w:pPr>
        <w:pStyle w:val="458"/>
        <w:ind w:firstLine="480"/>
        <w:rPr>
          <w:rFonts w:cs="Times New Roman"/>
          <w:color w:val="auto"/>
        </w:rPr>
      </w:pPr>
      <w:r>
        <w:rPr>
          <w:rFonts w:hint="eastAsia" w:ascii="宋体" w:hAnsi="宋体"/>
          <w:color w:val="auto"/>
        </w:rPr>
        <w:t>（3）</w:t>
      </w:r>
      <w:r>
        <w:rPr>
          <w:rFonts w:cs="Times New Roman"/>
          <w:color w:val="auto"/>
        </w:rPr>
        <w:t>监督和检查环境保护设施运行状况</w:t>
      </w:r>
    </w:p>
    <w:p>
      <w:pPr>
        <w:pStyle w:val="458"/>
        <w:ind w:firstLine="480"/>
        <w:rPr>
          <w:rFonts w:cs="Times New Roman"/>
          <w:color w:val="auto"/>
        </w:rPr>
      </w:pPr>
      <w:r>
        <w:rPr>
          <w:rFonts w:cs="Times New Roman"/>
          <w:color w:val="auto"/>
        </w:rPr>
        <w:t>项目营运期间，应监督和检查各项污染防护措施等环境保护设施运行状况，定期对环境保护设施进行保养和维护，确保设施正常运行。同时应对环境保护设施的运行情况进行记录。</w:t>
      </w:r>
    </w:p>
    <w:p>
      <w:pPr>
        <w:pStyle w:val="458"/>
        <w:ind w:firstLine="480"/>
        <w:rPr>
          <w:rFonts w:cs="Times New Roman"/>
          <w:color w:val="auto"/>
        </w:rPr>
      </w:pPr>
      <w:r>
        <w:rPr>
          <w:rFonts w:hint="eastAsia" w:ascii="宋体" w:hAnsi="宋体"/>
          <w:color w:val="auto"/>
        </w:rPr>
        <w:t>（4）</w:t>
      </w:r>
      <w:r>
        <w:rPr>
          <w:rFonts w:cs="Times New Roman"/>
          <w:color w:val="auto"/>
        </w:rPr>
        <w:t>建立环境科技档案及管理档案</w:t>
      </w:r>
    </w:p>
    <w:p>
      <w:pPr>
        <w:pStyle w:val="458"/>
        <w:ind w:firstLine="480"/>
        <w:rPr>
          <w:rFonts w:cs="Times New Roman"/>
          <w:color w:val="auto"/>
        </w:rPr>
      </w:pPr>
      <w:r>
        <w:rPr>
          <w:rFonts w:cs="Times New Roman"/>
          <w:color w:val="auto"/>
        </w:rPr>
        <w:t>应建立环境保护工作中的各类档案资料，包括环评报告、环保工程验收报告、环境监测报告、环保设施运行记录以及有关的污染物排放标准、环保法规等。</w:t>
      </w:r>
    </w:p>
    <w:p>
      <w:pPr>
        <w:pStyle w:val="458"/>
        <w:ind w:firstLine="480"/>
        <w:rPr>
          <w:rFonts w:cs="Times New Roman"/>
          <w:color w:val="auto"/>
        </w:rPr>
      </w:pPr>
      <w:r>
        <w:rPr>
          <w:rFonts w:hint="eastAsia" w:ascii="宋体" w:hAnsi="宋体"/>
          <w:color w:val="auto"/>
        </w:rPr>
        <w:t>（5）</w:t>
      </w:r>
      <w:r>
        <w:rPr>
          <w:rFonts w:cs="Times New Roman"/>
          <w:color w:val="auto"/>
        </w:rPr>
        <w:t>处理与本项目有关的其它环境保护问题</w:t>
      </w:r>
    </w:p>
    <w:p>
      <w:pPr>
        <w:pStyle w:val="458"/>
        <w:ind w:firstLine="482"/>
        <w:rPr>
          <w:rFonts w:cs="Times New Roman"/>
          <w:b/>
          <w:color w:val="auto"/>
        </w:rPr>
      </w:pPr>
      <w:r>
        <w:rPr>
          <w:rFonts w:cs="Times New Roman"/>
          <w:b/>
          <w:color w:val="auto"/>
        </w:rPr>
        <w:t>4、环境管理计划</w:t>
      </w:r>
    </w:p>
    <w:p>
      <w:pPr>
        <w:ind w:firstLine="480"/>
      </w:pPr>
      <w:r>
        <w:t>环境管理计划要从项目建设全过程进行，从设计阶段污染防范、施工阶段污染防治、运营后环保设施环境管理、信息反馈和群众监督各方面形成网络管理，使环境管理工作 贯穿于生产的全过程中。</w:t>
      </w:r>
    </w:p>
    <w:p>
      <w:pPr>
        <w:ind w:firstLine="480"/>
      </w:pPr>
      <w:r>
        <w:t>本项目环境管理工作计划见下表。在环境管理大方案下，本项目环境管理工作重点应从减少污染物排放，降低对环境影响等方面进行分项控制。</w:t>
      </w:r>
    </w:p>
    <w:p>
      <w:pPr>
        <w:pStyle w:val="2691"/>
        <w:rPr>
          <w:b/>
        </w:rPr>
      </w:pPr>
      <w:r>
        <w:rPr>
          <w:b/>
        </w:rPr>
        <w:t>表9-2 环境管理工作计划表</w:t>
      </w:r>
    </w:p>
    <w:tbl>
      <w:tblPr>
        <w:tblStyle w:val="3596"/>
        <w:tblW w:w="904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04"/>
        <w:gridCol w:w="763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exact"/>
          <w:jc w:val="center"/>
        </w:trPr>
        <w:tc>
          <w:tcPr>
            <w:tcW w:w="1404" w:type="dxa"/>
            <w:vAlign w:val="center"/>
          </w:tcPr>
          <w:p>
            <w:pPr>
              <w:pStyle w:val="2691"/>
            </w:pPr>
            <w:r>
              <w:t>情况</w:t>
            </w:r>
          </w:p>
        </w:tc>
        <w:tc>
          <w:tcPr>
            <w:tcW w:w="7637" w:type="dxa"/>
            <w:vAlign w:val="center"/>
          </w:tcPr>
          <w:p>
            <w:pPr>
              <w:pStyle w:val="2691"/>
            </w:pPr>
            <w:r>
              <w:t>环境管理工作内容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44" w:hRule="atLeast"/>
          <w:jc w:val="center"/>
        </w:trPr>
        <w:tc>
          <w:tcPr>
            <w:tcW w:w="1404" w:type="dxa"/>
            <w:vAlign w:val="center"/>
          </w:tcPr>
          <w:p>
            <w:pPr>
              <w:pStyle w:val="2691"/>
            </w:pPr>
            <w:r>
              <w:t>企业环境管理总要求</w:t>
            </w:r>
          </w:p>
        </w:tc>
        <w:tc>
          <w:tcPr>
            <w:tcW w:w="7637" w:type="dxa"/>
            <w:vAlign w:val="center"/>
          </w:tcPr>
          <w:p>
            <w:pPr>
              <w:pStyle w:val="2691"/>
              <w:jc w:val="left"/>
            </w:pPr>
            <w:r>
              <w:t>根据国家建设项目环境保护管理规定，认真落实各项环保手续</w:t>
            </w:r>
          </w:p>
          <w:p>
            <w:pPr>
              <w:pStyle w:val="2691"/>
              <w:jc w:val="left"/>
            </w:pPr>
            <w:r>
              <w:t>①可研阶段，委托评价单位进行环境影响评价工作；</w:t>
            </w:r>
          </w:p>
          <w:p>
            <w:pPr>
              <w:pStyle w:val="2691"/>
              <w:jc w:val="left"/>
            </w:pPr>
            <w:r>
              <w:t>②开工前，履行</w:t>
            </w:r>
            <w:r>
              <w:rPr>
                <w:rFonts w:eastAsiaTheme="minorEastAsia"/>
              </w:rPr>
              <w:t>“</w:t>
            </w:r>
            <w:r>
              <w:t>三同时</w:t>
            </w:r>
            <w:r>
              <w:rPr>
                <w:rFonts w:eastAsiaTheme="minorEastAsia"/>
              </w:rPr>
              <w:t>”</w:t>
            </w:r>
            <w:r>
              <w:t>手续；</w:t>
            </w:r>
          </w:p>
          <w:p>
            <w:pPr>
              <w:pStyle w:val="2691"/>
              <w:jc w:val="left"/>
            </w:pPr>
            <w:r>
              <w:t>③生产装置投产后进行环保设施竣工验收；</w:t>
            </w:r>
          </w:p>
          <w:p>
            <w:pPr>
              <w:pStyle w:val="2691"/>
              <w:jc w:val="left"/>
            </w:pPr>
            <w:r>
              <w:rPr>
                <w:rFonts w:hint="eastAsia" w:ascii="宋体" w:hAnsi="宋体" w:cs="宋体"/>
              </w:rPr>
              <w:t>④</w:t>
            </w:r>
            <w:r>
              <w:t xml:space="preserve"> 生产中，定期请当地生态环境部门监督、检查，协助主管部门做好环境管理工作，对不达标装置及时整改。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18" w:hRule="atLeast"/>
          <w:jc w:val="center"/>
        </w:trPr>
        <w:tc>
          <w:tcPr>
            <w:tcW w:w="1404" w:type="dxa"/>
            <w:vAlign w:val="center"/>
          </w:tcPr>
          <w:p>
            <w:pPr>
              <w:pStyle w:val="2691"/>
            </w:pPr>
            <w:r>
              <w:t>设计阶段</w:t>
            </w:r>
          </w:p>
        </w:tc>
        <w:tc>
          <w:tcPr>
            <w:tcW w:w="7637" w:type="dxa"/>
            <w:vAlign w:val="center"/>
          </w:tcPr>
          <w:p>
            <w:pPr>
              <w:pStyle w:val="2691"/>
              <w:jc w:val="left"/>
            </w:pPr>
            <w:r>
              <w:t>设计中充分考虑批复后环评报告书中提出的环保设施和措施</w:t>
            </w:r>
          </w:p>
          <w:p>
            <w:pPr>
              <w:pStyle w:val="2691"/>
              <w:jc w:val="left"/>
            </w:pPr>
            <w:r>
              <w:t>① 设计委托合同中标明环保设施设计；</w:t>
            </w:r>
          </w:p>
          <w:p>
            <w:pPr>
              <w:pStyle w:val="2691"/>
              <w:jc w:val="left"/>
            </w:pPr>
            <w:r>
              <w:t>②设计部门充分调研，比较提出先进、合理的环保设备和设施。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1404" w:type="dxa"/>
            <w:vAlign w:val="center"/>
          </w:tcPr>
          <w:p>
            <w:pPr>
              <w:pStyle w:val="2691"/>
            </w:pPr>
            <w:r>
              <w:t>施工阶段</w:t>
            </w:r>
          </w:p>
        </w:tc>
        <w:tc>
          <w:tcPr>
            <w:tcW w:w="7637" w:type="dxa"/>
            <w:vAlign w:val="center"/>
          </w:tcPr>
          <w:p>
            <w:pPr>
              <w:pStyle w:val="2691"/>
              <w:jc w:val="left"/>
            </w:pPr>
            <w:r>
              <w:t>①工程合同中明确要求及时清理施工垃圾、废水；</w:t>
            </w:r>
          </w:p>
          <w:p>
            <w:pPr>
              <w:pStyle w:val="2691"/>
              <w:jc w:val="left"/>
            </w:pPr>
            <w:r>
              <w:t>②保证施工期噪声不扰民；</w:t>
            </w:r>
          </w:p>
          <w:p>
            <w:pPr>
              <w:pStyle w:val="2691"/>
              <w:jc w:val="left"/>
            </w:pPr>
            <w:r>
              <w:t>③施工期运输车辆需加盖蓬布。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25" w:hRule="atLeast"/>
          <w:jc w:val="center"/>
        </w:trPr>
        <w:tc>
          <w:tcPr>
            <w:tcW w:w="1404" w:type="dxa"/>
            <w:vAlign w:val="center"/>
          </w:tcPr>
          <w:p>
            <w:pPr>
              <w:pStyle w:val="2691"/>
            </w:pPr>
            <w:r>
              <w:t>生产运营阶段</w:t>
            </w:r>
          </w:p>
        </w:tc>
        <w:tc>
          <w:tcPr>
            <w:tcW w:w="7637" w:type="dxa"/>
            <w:vAlign w:val="center"/>
          </w:tcPr>
          <w:p>
            <w:pPr>
              <w:pStyle w:val="2691"/>
              <w:jc w:val="left"/>
            </w:pPr>
            <w:r>
              <w:t>保证环保设施正常运行，主动接受环保部门监督，备有事故应急措施</w:t>
            </w:r>
          </w:p>
          <w:p>
            <w:pPr>
              <w:pStyle w:val="2691"/>
              <w:jc w:val="left"/>
            </w:pPr>
            <w:r>
              <w:t>① 主管副经理全面负责环保工作；</w:t>
            </w:r>
          </w:p>
          <w:p>
            <w:pPr>
              <w:pStyle w:val="2691"/>
              <w:jc w:val="left"/>
            </w:pPr>
            <w:r>
              <w:t>② 环保科负责厂内环保设施的管理和维护；</w:t>
            </w:r>
          </w:p>
          <w:p>
            <w:pPr>
              <w:pStyle w:val="2691"/>
              <w:jc w:val="left"/>
            </w:pPr>
            <w:r>
              <w:t>③对废气的治理、废水的治理及减振降噪设施，建立环保设施档案；</w:t>
            </w:r>
          </w:p>
          <w:p>
            <w:pPr>
              <w:pStyle w:val="2691"/>
              <w:jc w:val="left"/>
            </w:pPr>
            <w:r>
              <w:rPr>
                <w:rFonts w:hint="eastAsia" w:ascii="宋体" w:hAnsi="宋体" w:cs="宋体"/>
              </w:rPr>
              <w:t>④</w:t>
            </w:r>
            <w:r>
              <w:t xml:space="preserve"> 定期组织污染源和厂区环境监测；</w:t>
            </w:r>
          </w:p>
          <w:p>
            <w:pPr>
              <w:pStyle w:val="2691"/>
              <w:jc w:val="left"/>
            </w:pPr>
            <w:r>
              <w:rPr>
                <w:rFonts w:hint="eastAsia"/>
              </w:rPr>
              <w:t>⑤</w:t>
            </w:r>
            <w:r>
              <w:t xml:space="preserve"> 事故应急方案合理，应急设备设施齐备、完好。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25" w:hRule="atLeast"/>
          <w:jc w:val="center"/>
        </w:trPr>
        <w:tc>
          <w:tcPr>
            <w:tcW w:w="1404" w:type="dxa"/>
            <w:vAlign w:val="center"/>
          </w:tcPr>
          <w:p>
            <w:pPr>
              <w:pStyle w:val="2691"/>
            </w:pPr>
            <w:r>
              <w:t>信息反馈和群众监督</w:t>
            </w:r>
          </w:p>
        </w:tc>
        <w:tc>
          <w:tcPr>
            <w:tcW w:w="7637" w:type="dxa"/>
            <w:vAlign w:val="center"/>
          </w:tcPr>
          <w:p>
            <w:pPr>
              <w:pStyle w:val="2691"/>
              <w:jc w:val="left"/>
            </w:pPr>
            <w:r>
              <w:t>反馈监测数据，加强群众监督，改进污染治理工作。</w:t>
            </w:r>
          </w:p>
          <w:p>
            <w:pPr>
              <w:pStyle w:val="2691"/>
              <w:jc w:val="left"/>
            </w:pPr>
            <w:r>
              <w:t>① 建立奖惩制度，保证环保设施正常运转；</w:t>
            </w:r>
          </w:p>
          <w:p>
            <w:pPr>
              <w:pStyle w:val="2691"/>
              <w:jc w:val="left"/>
            </w:pPr>
            <w:r>
              <w:t>② 归纳整理监测数据，技术部门配合进行工艺改进；</w:t>
            </w:r>
          </w:p>
          <w:p>
            <w:pPr>
              <w:pStyle w:val="2691"/>
              <w:jc w:val="left"/>
            </w:pPr>
            <w:r>
              <w:t>③ 聘请附近村民为监督员，收集附近村民意见；</w:t>
            </w:r>
          </w:p>
          <w:p>
            <w:pPr>
              <w:pStyle w:val="2691"/>
              <w:jc w:val="left"/>
            </w:pPr>
            <w:r>
              <w:rPr>
                <w:rFonts w:hint="eastAsia" w:ascii="宋体" w:hAnsi="宋体" w:cs="宋体"/>
              </w:rPr>
              <w:t>④</w:t>
            </w:r>
            <w:r>
              <w:t xml:space="preserve"> 配合生态环境部门的检查验收。</w:t>
            </w:r>
          </w:p>
        </w:tc>
      </w:tr>
    </w:tbl>
    <w:p>
      <w:pPr>
        <w:ind w:firstLine="482"/>
        <w:rPr>
          <w:b/>
        </w:rPr>
      </w:pPr>
      <w:r>
        <w:rPr>
          <w:b/>
          <w:bCs/>
        </w:rPr>
        <w:t>5</w:t>
      </w:r>
      <w:r>
        <w:rPr>
          <w:b/>
        </w:rPr>
        <w:t>、环保奖惩制度</w:t>
      </w:r>
    </w:p>
    <w:p>
      <w:pPr>
        <w:ind w:firstLine="480"/>
      </w:pPr>
      <w:r>
        <w:t>各级管理人员都应树立保护环境的思想</w:t>
      </w:r>
      <w:r>
        <w:rPr>
          <w:spacing w:val="-26"/>
        </w:rPr>
        <w:t>，</w:t>
      </w:r>
      <w:r>
        <w:t>企业也应设置环境保护奖惩条例</w:t>
      </w:r>
      <w:r>
        <w:rPr>
          <w:spacing w:val="-26"/>
        </w:rPr>
        <w:t>。</w:t>
      </w:r>
      <w:r>
        <w:t>对爱护 环保治理设施</w:t>
      </w:r>
      <w:r>
        <w:rPr>
          <w:spacing w:val="-12"/>
        </w:rPr>
        <w:t>、</w:t>
      </w:r>
      <w:r>
        <w:t>节省原料</w:t>
      </w:r>
      <w:r>
        <w:rPr>
          <w:spacing w:val="-12"/>
        </w:rPr>
        <w:t>、</w:t>
      </w:r>
      <w:r>
        <w:t>改善工作环境者实行奖励</w:t>
      </w:r>
      <w:r>
        <w:rPr>
          <w:spacing w:val="-12"/>
        </w:rPr>
        <w:t>；</w:t>
      </w:r>
      <w:r>
        <w:t>对于环保观念淡薄</w:t>
      </w:r>
      <w:r>
        <w:rPr>
          <w:spacing w:val="-12"/>
        </w:rPr>
        <w:t>，</w:t>
      </w:r>
      <w:r>
        <w:t>不按环</w:t>
      </w:r>
      <w:r>
        <w:rPr>
          <w:spacing w:val="-2"/>
        </w:rPr>
        <w:t>保</w:t>
      </w:r>
      <w:r>
        <w:t>要求管理，造成环保设施损坏、环境污染及原材料浪费者一律予以重罚。</w:t>
      </w:r>
    </w:p>
    <w:p>
      <w:pPr>
        <w:ind w:firstLine="482"/>
        <w:rPr>
          <w:b/>
        </w:rPr>
      </w:pPr>
      <w:r>
        <w:rPr>
          <w:b/>
          <w:bCs/>
        </w:rPr>
        <w:t>6</w:t>
      </w:r>
      <w:r>
        <w:rPr>
          <w:b/>
          <w:spacing w:val="1"/>
        </w:rPr>
        <w:t>、建立</w:t>
      </w:r>
      <w:r>
        <w:rPr>
          <w:b/>
          <w:bCs/>
        </w:rPr>
        <w:t>I</w:t>
      </w:r>
      <w:r>
        <w:rPr>
          <w:b/>
          <w:bCs/>
          <w:spacing w:val="-2"/>
        </w:rPr>
        <w:t>S</w:t>
      </w:r>
      <w:r>
        <w:rPr>
          <w:b/>
          <w:bCs/>
        </w:rPr>
        <w:t>O14000</w:t>
      </w:r>
      <w:r>
        <w:rPr>
          <w:b/>
        </w:rPr>
        <w:t>体系</w:t>
      </w:r>
    </w:p>
    <w:p>
      <w:pPr>
        <w:ind w:firstLine="480"/>
      </w:pPr>
      <w:r>
        <w:t>建议将ISO1400</w:t>
      </w:r>
      <w:r>
        <w:rPr>
          <w:spacing w:val="-1"/>
        </w:rPr>
        <w:t>0</w:t>
      </w:r>
      <w:r>
        <w:t>标准纳入公司日常管理工作中，争取早日通过ISO1400</w:t>
      </w:r>
      <w:r>
        <w:rPr>
          <w:spacing w:val="-1"/>
        </w:rPr>
        <w:t>0</w:t>
      </w:r>
      <w:r>
        <w:t>认证。</w:t>
      </w:r>
    </w:p>
    <w:p>
      <w:pPr>
        <w:ind w:firstLine="482"/>
        <w:rPr>
          <w:b/>
        </w:rPr>
      </w:pPr>
      <w:r>
        <w:rPr>
          <w:b/>
          <w:bCs/>
        </w:rPr>
        <w:t>7</w:t>
      </w:r>
      <w:r>
        <w:rPr>
          <w:b/>
        </w:rPr>
        <w:t>、定期向社会公开本项目以下信息内容</w:t>
      </w:r>
    </w:p>
    <w:p>
      <w:pPr>
        <w:ind w:firstLine="480"/>
      </w:pPr>
      <w:r>
        <w:rPr>
          <w:rFonts w:hint="eastAsia"/>
        </w:rPr>
        <w:t>（1）</w:t>
      </w:r>
      <w:r>
        <w:t>基础信息</w:t>
      </w:r>
      <w:r>
        <w:rPr>
          <w:spacing w:val="-34"/>
        </w:rPr>
        <w:t>，</w:t>
      </w:r>
      <w:r>
        <w:t>包括单位名称</w:t>
      </w:r>
      <w:r>
        <w:rPr>
          <w:spacing w:val="-34"/>
        </w:rPr>
        <w:t>、</w:t>
      </w:r>
      <w:r>
        <w:t>组织机构代码</w:t>
      </w:r>
      <w:r>
        <w:rPr>
          <w:spacing w:val="-34"/>
        </w:rPr>
        <w:t>、</w:t>
      </w:r>
      <w:r>
        <w:t>法定代表人</w:t>
      </w:r>
      <w:r>
        <w:rPr>
          <w:spacing w:val="-34"/>
        </w:rPr>
        <w:t>、</w:t>
      </w:r>
      <w:r>
        <w:t>生产地址</w:t>
      </w:r>
      <w:r>
        <w:rPr>
          <w:spacing w:val="-34"/>
        </w:rPr>
        <w:t>、</w:t>
      </w:r>
      <w:r>
        <w:t>联系方</w:t>
      </w:r>
      <w:r>
        <w:rPr>
          <w:spacing w:val="-2"/>
        </w:rPr>
        <w:t>式</w:t>
      </w:r>
      <w:r>
        <w:t>，以及生产经营和管理服务的主要内容、产品及规模；</w:t>
      </w:r>
    </w:p>
    <w:p>
      <w:pPr>
        <w:ind w:firstLine="480"/>
      </w:pPr>
      <w:r>
        <w:rPr>
          <w:rFonts w:hint="eastAsia"/>
        </w:rPr>
        <w:t>（2）</w:t>
      </w:r>
      <w:r>
        <w:t xml:space="preserve"> 排污信息</w:t>
      </w:r>
      <w:r>
        <w:rPr>
          <w:spacing w:val="-57"/>
        </w:rPr>
        <w:t>，</w:t>
      </w:r>
      <w:r>
        <w:t>包括主要污染物及特征污染物的名称</w:t>
      </w:r>
      <w:r>
        <w:rPr>
          <w:spacing w:val="-57"/>
        </w:rPr>
        <w:t>、</w:t>
      </w:r>
      <w:r>
        <w:t>排放方式</w:t>
      </w:r>
      <w:r>
        <w:rPr>
          <w:spacing w:val="-57"/>
        </w:rPr>
        <w:t>、</w:t>
      </w:r>
      <w:r>
        <w:t>排放口数量和分布情况、排放浓度和总量、执行的污染物排放标准、核定的排放总量；</w:t>
      </w:r>
    </w:p>
    <w:p>
      <w:pPr>
        <w:ind w:firstLine="480"/>
      </w:pPr>
      <w:r>
        <w:rPr>
          <w:rFonts w:hint="eastAsia"/>
        </w:rPr>
        <w:t>（3）</w:t>
      </w:r>
      <w:r>
        <w:t>防治污染设施的建设和运行情况；</w:t>
      </w:r>
    </w:p>
    <w:p>
      <w:pPr>
        <w:ind w:firstLine="480"/>
      </w:pPr>
      <w:r>
        <w:rPr>
          <w:rFonts w:hint="eastAsia"/>
        </w:rPr>
        <w:t>（4）</w:t>
      </w:r>
      <w:r>
        <w:t xml:space="preserve"> 建设项目环境影响评价及其他环境保护行政许可情况；</w:t>
      </w:r>
    </w:p>
    <w:p>
      <w:pPr>
        <w:ind w:firstLine="480"/>
      </w:pPr>
      <w:r>
        <w:rPr>
          <w:rFonts w:hint="eastAsia"/>
        </w:rPr>
        <w:t>（5）</w:t>
      </w:r>
      <w:r>
        <w:t xml:space="preserve"> 突发环境事件应急预案；</w:t>
      </w:r>
    </w:p>
    <w:p>
      <w:pPr>
        <w:ind w:firstLine="480"/>
      </w:pPr>
      <w:r>
        <w:rPr>
          <w:rFonts w:hint="eastAsia"/>
        </w:rPr>
        <w:t>（6）</w:t>
      </w:r>
      <w:r>
        <w:t>其他应当公开的环境信息。</w:t>
      </w:r>
    </w:p>
    <w:p>
      <w:pPr>
        <w:pStyle w:val="453"/>
        <w:ind w:firstLine="643" w:firstLineChars="0"/>
        <w:rPr>
          <w:rFonts w:ascii="Times New Roman" w:cs="Times New Roman"/>
        </w:rPr>
      </w:pPr>
      <w:bookmarkStart w:id="374" w:name="_Toc106697047"/>
      <w:bookmarkStart w:id="375" w:name="_Toc30286"/>
      <w:bookmarkStart w:id="376" w:name="_Toc454291260"/>
      <w:bookmarkStart w:id="377" w:name="_Toc20736"/>
      <w:r>
        <w:rPr>
          <w:rFonts w:ascii="Times New Roman" w:cs="Times New Roman"/>
        </w:rPr>
        <w:t>环境监测</w:t>
      </w:r>
      <w:bookmarkEnd w:id="374"/>
      <w:bookmarkEnd w:id="375"/>
      <w:bookmarkEnd w:id="376"/>
      <w:bookmarkEnd w:id="377"/>
    </w:p>
    <w:p>
      <w:pPr>
        <w:ind w:firstLine="480"/>
      </w:pPr>
      <w:r>
        <w:t>环境监测（包括污染源监测）是企业环境保护的重要组成部分，也是企业的一项规范化制度。根据环境监测结果进行数据整理分析，建立监测档案，可为掌握污染物排放 变化规律及污染源治理提供依据，为上级生态环境部门进行区域环境规划、管理执法提供依据。同时，环境监测也是企业实现污染物总量控制，做到清洁生产的重要保障手段之一。</w:t>
      </w:r>
    </w:p>
    <w:p>
      <w:pPr>
        <w:ind w:firstLine="480"/>
      </w:pPr>
      <w:r>
        <w:t>环境监测是环境管理的基础，其主要职责是对本工程污染源和区域的环境质量进行监测，并对监测数据进行统计、分析，以便生态环境管理部门及时、准确地掌握本工程的排污状况及对环境的污染状况。</w:t>
      </w:r>
    </w:p>
    <w:p>
      <w:pPr>
        <w:ind w:firstLine="480"/>
      </w:pPr>
      <w:r>
        <w:t>具体细分职责如下：</w:t>
      </w:r>
    </w:p>
    <w:p>
      <w:pPr>
        <w:ind w:firstLine="480"/>
      </w:pPr>
      <w:r>
        <w:rPr>
          <w:rFonts w:hint="eastAsia" w:ascii="宋体" w:hAnsi="宋体" w:cs="宋体"/>
        </w:rPr>
        <w:t>（1）</w:t>
      </w:r>
      <w:r>
        <w:t xml:space="preserve"> 制定环境监测年度计划和实施方案，并建立各项规章制度加以落实；</w:t>
      </w:r>
    </w:p>
    <w:p>
      <w:pPr>
        <w:ind w:firstLine="480"/>
      </w:pPr>
      <w:r>
        <w:rPr>
          <w:rFonts w:hint="eastAsia" w:ascii="宋体" w:hAnsi="宋体" w:cs="宋体"/>
        </w:rPr>
        <w:t>（2）</w:t>
      </w:r>
      <w:r>
        <w:t xml:space="preserve"> 按时完成项目的环境监控计划规定的各项监控任务，并按有关规定编制报告表， 负责做好呈报工作；</w:t>
      </w:r>
    </w:p>
    <w:p>
      <w:pPr>
        <w:ind w:firstLine="480"/>
      </w:pPr>
      <w:r>
        <w:rPr>
          <w:rFonts w:hint="eastAsia" w:ascii="宋体" w:hAnsi="宋体" w:cs="宋体"/>
        </w:rPr>
        <w:t>（3）</w:t>
      </w:r>
      <w:r>
        <w:t xml:space="preserve"> 在项目出现突发性污染事故时，积极参与事故的调查和处理工作；</w:t>
      </w:r>
    </w:p>
    <w:p>
      <w:pPr>
        <w:ind w:firstLine="480"/>
      </w:pPr>
      <w:r>
        <w:rPr>
          <w:rFonts w:hint="eastAsia" w:ascii="宋体" w:hAnsi="宋体" w:cs="宋体"/>
        </w:rPr>
        <w:t>（4）</w:t>
      </w:r>
      <w:r>
        <w:t>负责做好监测仪器的维护、保养和检验工作，确保监控工作的顺利进行；</w:t>
      </w:r>
    </w:p>
    <w:p>
      <w:pPr>
        <w:ind w:firstLine="480"/>
      </w:pPr>
      <w:r>
        <w:rPr>
          <w:rFonts w:hint="eastAsia" w:ascii="宋体" w:hAnsi="宋体" w:cs="宋体"/>
        </w:rPr>
        <w:t>（5）</w:t>
      </w:r>
      <w:r>
        <w:t>组织并监督环境监测计划的实施；</w:t>
      </w:r>
    </w:p>
    <w:p>
      <w:pPr>
        <w:ind w:firstLine="480"/>
      </w:pPr>
      <w:r>
        <w:rPr>
          <w:rFonts w:hint="eastAsia" w:ascii="宋体" w:hAnsi="宋体" w:cs="宋体"/>
        </w:rPr>
        <w:t>（6）</w:t>
      </w:r>
      <w:r>
        <w:t>在环境监测基础上，建立项目的污染源档案，了解项目污染物排放量、排放源 强、排放规律及相关的污染治理、综合利用情况。</w:t>
      </w:r>
    </w:p>
    <w:p>
      <w:pPr>
        <w:pStyle w:val="454"/>
        <w:ind w:firstLine="602"/>
        <w:rPr>
          <w:color w:val="auto"/>
        </w:rPr>
      </w:pPr>
      <w:r>
        <w:rPr>
          <w:color w:val="auto"/>
        </w:rPr>
        <w:t>施工期环境监测</w:t>
      </w:r>
    </w:p>
    <w:p>
      <w:pPr>
        <w:ind w:firstLine="504"/>
        <w:rPr>
          <w:spacing w:val="6"/>
        </w:rPr>
      </w:pPr>
      <w:r>
        <w:rPr>
          <w:rFonts w:hint="eastAsia"/>
          <w:spacing w:val="6"/>
        </w:rPr>
        <w:t>（1）</w:t>
      </w:r>
      <w:r>
        <w:rPr>
          <w:spacing w:val="6"/>
        </w:rPr>
        <w:t>噪声：在码头施工场界布设2~3个监测点，每月监测一天，昼夜各监测一次，监测因子为等效A 声级。</w:t>
      </w:r>
    </w:p>
    <w:p>
      <w:pPr>
        <w:ind w:firstLine="504"/>
        <w:rPr>
          <w:spacing w:val="6"/>
        </w:rPr>
      </w:pPr>
      <w:r>
        <w:rPr>
          <w:rFonts w:hint="eastAsia"/>
          <w:spacing w:val="6"/>
        </w:rPr>
        <w:t>（2）</w:t>
      </w:r>
      <w:r>
        <w:rPr>
          <w:spacing w:val="6"/>
        </w:rPr>
        <w:t>大气：在施工区及其周围布设1个大气监测点，每季度监测一次，每次连续三天，监测因子为TSP。</w:t>
      </w:r>
    </w:p>
    <w:p>
      <w:pPr>
        <w:ind w:firstLine="480"/>
        <w:rPr>
          <w:rFonts w:eastAsiaTheme="minorEastAsia"/>
        </w:rPr>
      </w:pPr>
      <w:r>
        <w:rPr>
          <w:rFonts w:hint="eastAsia" w:eastAsiaTheme="minorEastAsia"/>
        </w:rPr>
        <w:t>（3）</w:t>
      </w:r>
      <w:r>
        <w:rPr>
          <w:rFonts w:eastAsiaTheme="minorEastAsia"/>
        </w:rPr>
        <w:t>废水：在项目码头上下游两端0.5km处各布设1个水质监测点，每季度监测一次，每次连续两天，监测因子为COD、SS和石油类。</w:t>
      </w:r>
    </w:p>
    <w:p>
      <w:pPr>
        <w:pStyle w:val="34"/>
        <w:spacing w:line="360" w:lineRule="auto"/>
        <w:ind w:firstLine="480"/>
        <w:rPr>
          <w:rFonts w:ascii="Times New Roman" w:hAnsi="Times New Roman" w:eastAsiaTheme="minorEastAsia"/>
          <w:sz w:val="24"/>
          <w:szCs w:val="24"/>
        </w:rPr>
      </w:pPr>
      <w:r>
        <w:rPr>
          <w:rFonts w:ascii="Times New Roman" w:hAnsi="Times New Roman" w:eastAsiaTheme="minorEastAsia"/>
          <w:sz w:val="24"/>
          <w:szCs w:val="24"/>
        </w:rPr>
        <w:t>（4）水生生态：设置码头、码头上游、码头下游、核心区七里山码头4个监测断面，水文、水动力学特征、SS、噪声、水体理化性质（主要为N、P、溶解氧、pH等）；浮游植物、浮游动物、底栖动物的种类、生物量和密度；水生维管束植物种类及数量；鱼类的种类组成、资源量的时空分布及累积变化效应。施工期2年，每年5月、9月各监测1次</w:t>
      </w:r>
      <w:r>
        <w:rPr>
          <w:rFonts w:hint="eastAsia" w:ascii="Times New Roman" w:hAnsi="Times New Roman" w:eastAsiaTheme="minorEastAsia"/>
          <w:sz w:val="24"/>
          <w:szCs w:val="24"/>
        </w:rPr>
        <w:t>，共4次</w:t>
      </w:r>
      <w:r>
        <w:rPr>
          <w:rFonts w:ascii="Times New Roman" w:hAnsi="Times New Roman" w:eastAsiaTheme="minorEastAsia"/>
          <w:sz w:val="24"/>
          <w:szCs w:val="24"/>
        </w:rPr>
        <w:t>。</w:t>
      </w:r>
    </w:p>
    <w:p>
      <w:pPr>
        <w:pStyle w:val="454"/>
        <w:ind w:firstLine="602"/>
        <w:rPr>
          <w:color w:val="auto"/>
        </w:rPr>
      </w:pPr>
      <w:r>
        <w:rPr>
          <w:color w:val="auto"/>
        </w:rPr>
        <w:t>运营期环境监测</w:t>
      </w:r>
    </w:p>
    <w:p>
      <w:pPr>
        <w:ind w:firstLine="480"/>
      </w:pPr>
      <w:r>
        <w:t>根据企业的具体情况</w:t>
      </w:r>
      <w:r>
        <w:rPr>
          <w:rFonts w:hint="eastAsia"/>
          <w:lang w:val="en-US" w:eastAsia="zh-CN"/>
        </w:rPr>
        <w:t>结合《排污许可证申请与合法技术规范 码头》（HJ1107-2020）</w:t>
      </w:r>
      <w:r>
        <w:t>，本报告制订现提出监测计划，见下表。</w:t>
      </w:r>
    </w:p>
    <w:p>
      <w:pPr>
        <w:pStyle w:val="619"/>
        <w:numPr>
          <w:ilvl w:val="0"/>
          <w:numId w:val="0"/>
        </w:numPr>
        <w:rPr>
          <w:rFonts w:cs="Times New Roman"/>
        </w:rPr>
      </w:pPr>
      <w:r>
        <w:rPr>
          <w:rFonts w:cs="Times New Roman"/>
        </w:rPr>
        <w:t>表9-3  建设项目监测计划一览表</w:t>
      </w:r>
    </w:p>
    <w:tbl>
      <w:tblPr>
        <w:tblStyle w:val="3596"/>
        <w:tblW w:w="921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30"/>
        <w:gridCol w:w="1932"/>
        <w:gridCol w:w="2126"/>
        <w:gridCol w:w="1418"/>
        <w:gridCol w:w="271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17" w:type="dxa"/>
            <w:gridSpan w:val="5"/>
            <w:vAlign w:val="center"/>
          </w:tcPr>
          <w:p>
            <w:pPr>
              <w:pStyle w:val="2691"/>
            </w:pPr>
            <w:r>
              <w:t>一、污染源监测计划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0" w:type="dxa"/>
            <w:vAlign w:val="center"/>
          </w:tcPr>
          <w:p>
            <w:pPr>
              <w:pStyle w:val="2691"/>
            </w:pPr>
            <w:r>
              <w:t>项目</w:t>
            </w:r>
          </w:p>
        </w:tc>
        <w:tc>
          <w:tcPr>
            <w:tcW w:w="1932" w:type="dxa"/>
            <w:vAlign w:val="center"/>
          </w:tcPr>
          <w:p>
            <w:pPr>
              <w:pStyle w:val="2691"/>
            </w:pPr>
            <w:r>
              <w:t>监测位置</w:t>
            </w:r>
          </w:p>
        </w:tc>
        <w:tc>
          <w:tcPr>
            <w:tcW w:w="2126" w:type="dxa"/>
            <w:vAlign w:val="center"/>
          </w:tcPr>
          <w:p>
            <w:pPr>
              <w:pStyle w:val="2691"/>
            </w:pPr>
            <w:r>
              <w:t>监测项目</w:t>
            </w:r>
          </w:p>
        </w:tc>
        <w:tc>
          <w:tcPr>
            <w:tcW w:w="1418" w:type="dxa"/>
            <w:vAlign w:val="center"/>
          </w:tcPr>
          <w:p>
            <w:pPr>
              <w:pStyle w:val="2691"/>
            </w:pPr>
            <w:r>
              <w:t>监测频率</w:t>
            </w:r>
          </w:p>
        </w:tc>
        <w:tc>
          <w:tcPr>
            <w:tcW w:w="2711" w:type="dxa"/>
            <w:vAlign w:val="center"/>
          </w:tcPr>
          <w:p>
            <w:pPr>
              <w:pStyle w:val="2691"/>
            </w:pPr>
            <w: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0" w:type="dxa"/>
            <w:vAlign w:val="center"/>
          </w:tcPr>
          <w:p>
            <w:pPr>
              <w:pStyle w:val="2691"/>
            </w:pPr>
            <w:r>
              <w:t>废气</w:t>
            </w:r>
          </w:p>
        </w:tc>
        <w:tc>
          <w:tcPr>
            <w:tcW w:w="1932" w:type="dxa"/>
            <w:vAlign w:val="center"/>
          </w:tcPr>
          <w:p>
            <w:pPr>
              <w:pStyle w:val="2691"/>
            </w:pPr>
            <w:r>
              <w:t>厂界</w:t>
            </w:r>
          </w:p>
        </w:tc>
        <w:tc>
          <w:tcPr>
            <w:tcW w:w="2126" w:type="dxa"/>
            <w:vAlign w:val="center"/>
          </w:tcPr>
          <w:p>
            <w:pPr>
              <w:pStyle w:val="2691"/>
            </w:pPr>
            <w:r>
              <w:t>TSP</w:t>
            </w:r>
          </w:p>
        </w:tc>
        <w:tc>
          <w:tcPr>
            <w:tcW w:w="1418" w:type="dxa"/>
            <w:vAlign w:val="center"/>
          </w:tcPr>
          <w:p>
            <w:pPr>
              <w:pStyle w:val="2691"/>
            </w:pPr>
            <w:r>
              <w:t>半年</w:t>
            </w:r>
          </w:p>
          <w:p>
            <w:pPr>
              <w:pStyle w:val="2691"/>
            </w:pPr>
            <w:r>
              <w:t>一次</w:t>
            </w:r>
          </w:p>
        </w:tc>
        <w:tc>
          <w:tcPr>
            <w:tcW w:w="2711" w:type="dxa"/>
            <w:vAlign w:val="center"/>
          </w:tcPr>
          <w:p>
            <w:pPr>
              <w:pStyle w:val="2691"/>
            </w:pPr>
            <w:r>
              <w:t>《大气污染物综合排放标准》（GB16297-1996）中无组织排放监控浓度限值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0" w:type="dxa"/>
            <w:vAlign w:val="center"/>
          </w:tcPr>
          <w:p>
            <w:pPr>
              <w:pStyle w:val="2691"/>
            </w:pPr>
            <w:r>
              <w:t>噪声</w:t>
            </w:r>
          </w:p>
        </w:tc>
        <w:tc>
          <w:tcPr>
            <w:tcW w:w="1932" w:type="dxa"/>
            <w:vAlign w:val="center"/>
          </w:tcPr>
          <w:p>
            <w:pPr>
              <w:pStyle w:val="2691"/>
            </w:pPr>
            <w:r>
              <w:t>厂界外1m</w:t>
            </w:r>
          </w:p>
        </w:tc>
        <w:tc>
          <w:tcPr>
            <w:tcW w:w="2126" w:type="dxa"/>
            <w:vAlign w:val="center"/>
          </w:tcPr>
          <w:p>
            <w:pPr>
              <w:pStyle w:val="2691"/>
            </w:pPr>
            <w:r>
              <w:t>Leq(</w:t>
            </w:r>
            <w:r>
              <w:rPr>
                <w:spacing w:val="-1"/>
              </w:rPr>
              <w:t>A</w:t>
            </w:r>
            <w:r>
              <w:t>)</w:t>
            </w:r>
          </w:p>
        </w:tc>
        <w:tc>
          <w:tcPr>
            <w:tcW w:w="1418" w:type="dxa"/>
            <w:vAlign w:val="center"/>
          </w:tcPr>
          <w:p>
            <w:pPr>
              <w:pStyle w:val="2691"/>
            </w:pPr>
            <w:r>
              <w:rPr>
                <w:rFonts w:hint="eastAsia"/>
                <w:lang w:val="en-US" w:eastAsia="zh-CN"/>
              </w:rPr>
              <w:t>每季度一次</w:t>
            </w:r>
            <w:r>
              <w:t>，</w:t>
            </w:r>
            <w:r>
              <w:rPr>
                <w:spacing w:val="5"/>
              </w:rPr>
              <w:t>每</w:t>
            </w:r>
            <w:r>
              <w:t>次2</w:t>
            </w:r>
            <w:r>
              <w:rPr>
                <w:spacing w:val="4"/>
              </w:rPr>
              <w:t>天，分昼</w:t>
            </w:r>
            <w:r>
              <w:rPr>
                <w:spacing w:val="5"/>
              </w:rPr>
              <w:t>夜</w:t>
            </w:r>
            <w:r>
              <w:rPr>
                <w:spacing w:val="4"/>
              </w:rPr>
              <w:t>两个</w:t>
            </w:r>
            <w:r>
              <w:t>时段</w:t>
            </w:r>
          </w:p>
        </w:tc>
        <w:tc>
          <w:tcPr>
            <w:tcW w:w="2711" w:type="dxa"/>
            <w:vAlign w:val="center"/>
          </w:tcPr>
          <w:p>
            <w:pPr>
              <w:pStyle w:val="2691"/>
            </w:pPr>
            <w:r>
              <w:t>《工业企业厂界环境噪声排放标准》（GB12348-2008）3类、4类标准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62" w:type="dxa"/>
            <w:gridSpan w:val="2"/>
            <w:vAlign w:val="center"/>
          </w:tcPr>
          <w:p>
            <w:pPr>
              <w:pStyle w:val="2691"/>
            </w:pPr>
            <w:r>
              <w:t>固体废物</w:t>
            </w:r>
          </w:p>
        </w:tc>
        <w:tc>
          <w:tcPr>
            <w:tcW w:w="2126" w:type="dxa"/>
            <w:vAlign w:val="center"/>
          </w:tcPr>
          <w:p>
            <w:pPr>
              <w:pStyle w:val="3325"/>
              <w:kinsoku w:val="0"/>
              <w:overflowPunct w:val="0"/>
              <w:spacing w:line="239" w:lineRule="exact"/>
              <w:ind w:right="9" w:firstLine="0" w:firstLineChars="0"/>
              <w:jc w:val="center"/>
              <w:rPr>
                <w:rFonts w:ascii="Times New Roman" w:hAnsi="Times New Roman"/>
                <w:lang w:eastAsia="zh-CN"/>
              </w:rPr>
            </w:pPr>
            <w:r>
              <w:rPr>
                <w:rFonts w:ascii="Times New Roman" w:hAnsi="Times New Roman"/>
                <w:sz w:val="21"/>
                <w:szCs w:val="21"/>
                <w:lang w:eastAsia="zh-CN"/>
              </w:rPr>
              <w:t>统计固废产生量及去向</w:t>
            </w:r>
          </w:p>
        </w:tc>
        <w:tc>
          <w:tcPr>
            <w:tcW w:w="1418" w:type="dxa"/>
            <w:vAlign w:val="center"/>
          </w:tcPr>
          <w:p>
            <w:pPr>
              <w:pStyle w:val="2691"/>
            </w:pPr>
            <w:r>
              <w:t>台账统计，年报一次</w:t>
            </w:r>
          </w:p>
        </w:tc>
        <w:tc>
          <w:tcPr>
            <w:tcW w:w="2711" w:type="dxa"/>
            <w:vAlign w:val="center"/>
          </w:tcPr>
          <w:p>
            <w:pPr>
              <w:pStyle w:val="269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17" w:type="dxa"/>
            <w:gridSpan w:val="5"/>
            <w:vAlign w:val="center"/>
          </w:tcPr>
          <w:p>
            <w:pPr>
              <w:pStyle w:val="2691"/>
            </w:pPr>
            <w:r>
              <w:t>二、环境风险事故监测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0" w:type="dxa"/>
            <w:vAlign w:val="center"/>
          </w:tcPr>
          <w:p>
            <w:pPr>
              <w:pStyle w:val="2691"/>
            </w:pPr>
            <w:r>
              <w:t>项目</w:t>
            </w:r>
          </w:p>
        </w:tc>
        <w:tc>
          <w:tcPr>
            <w:tcW w:w="1932" w:type="dxa"/>
            <w:vAlign w:val="center"/>
          </w:tcPr>
          <w:p>
            <w:pPr>
              <w:pStyle w:val="2691"/>
            </w:pPr>
            <w:r>
              <w:t>监测位置</w:t>
            </w:r>
          </w:p>
        </w:tc>
        <w:tc>
          <w:tcPr>
            <w:tcW w:w="2126" w:type="dxa"/>
            <w:vAlign w:val="center"/>
          </w:tcPr>
          <w:p>
            <w:pPr>
              <w:pStyle w:val="2691"/>
            </w:pPr>
            <w:r>
              <w:t>监测项目</w:t>
            </w:r>
          </w:p>
        </w:tc>
        <w:tc>
          <w:tcPr>
            <w:tcW w:w="1418" w:type="dxa"/>
            <w:vAlign w:val="center"/>
          </w:tcPr>
          <w:p>
            <w:pPr>
              <w:pStyle w:val="2691"/>
            </w:pPr>
            <w:r>
              <w:t>监测频率</w:t>
            </w:r>
          </w:p>
        </w:tc>
        <w:tc>
          <w:tcPr>
            <w:tcW w:w="2711" w:type="dxa"/>
            <w:vAlign w:val="center"/>
          </w:tcPr>
          <w:p>
            <w:pPr>
              <w:pStyle w:val="2691"/>
            </w:pPr>
            <w: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0" w:type="dxa"/>
            <w:vAlign w:val="center"/>
          </w:tcPr>
          <w:p>
            <w:pPr>
              <w:pStyle w:val="2691"/>
            </w:pPr>
            <w:r>
              <w:t>地表水环境</w:t>
            </w:r>
          </w:p>
        </w:tc>
        <w:tc>
          <w:tcPr>
            <w:tcW w:w="1932" w:type="dxa"/>
            <w:vAlign w:val="center"/>
          </w:tcPr>
          <w:p>
            <w:pPr>
              <w:pStyle w:val="2691"/>
            </w:pPr>
            <w:r>
              <w:t>码头上、下游</w:t>
            </w:r>
          </w:p>
        </w:tc>
        <w:tc>
          <w:tcPr>
            <w:tcW w:w="2126" w:type="dxa"/>
            <w:vAlign w:val="center"/>
          </w:tcPr>
          <w:p>
            <w:pPr>
              <w:pStyle w:val="2691"/>
            </w:pPr>
            <w:r>
              <w:t>COD、石油类</w:t>
            </w:r>
          </w:p>
        </w:tc>
        <w:tc>
          <w:tcPr>
            <w:tcW w:w="1418" w:type="dxa"/>
            <w:vAlign w:val="center"/>
          </w:tcPr>
          <w:p>
            <w:pPr>
              <w:pStyle w:val="2691"/>
            </w:pPr>
            <w:r>
              <w:rPr>
                <w:rFonts w:hint="eastAsia"/>
                <w:lang w:val="en-US" w:eastAsia="zh-CN"/>
              </w:rPr>
              <w:t>应急</w:t>
            </w:r>
          </w:p>
          <w:p>
            <w:pPr>
              <w:pStyle w:val="2691"/>
            </w:pPr>
            <w:r>
              <w:t>监测</w:t>
            </w:r>
          </w:p>
        </w:tc>
        <w:tc>
          <w:tcPr>
            <w:tcW w:w="2711" w:type="dxa"/>
            <w:vAlign w:val="center"/>
          </w:tcPr>
          <w:p>
            <w:pPr>
              <w:pStyle w:val="2691"/>
            </w:pPr>
            <w:r>
              <w:t>《地表水环境质量标准》（GB3838-2002）III类标准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17" w:type="dxa"/>
            <w:gridSpan w:val="5"/>
            <w:vAlign w:val="center"/>
          </w:tcPr>
          <w:p>
            <w:pPr>
              <w:pStyle w:val="2691"/>
            </w:pPr>
            <w:r>
              <w:t>三、环境质量现状监测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0" w:type="dxa"/>
            <w:vAlign w:val="center"/>
          </w:tcPr>
          <w:p>
            <w:pPr>
              <w:pStyle w:val="2691"/>
            </w:pPr>
            <w:r>
              <w:t>项目</w:t>
            </w:r>
          </w:p>
        </w:tc>
        <w:tc>
          <w:tcPr>
            <w:tcW w:w="1932" w:type="dxa"/>
            <w:vAlign w:val="center"/>
          </w:tcPr>
          <w:p>
            <w:pPr>
              <w:pStyle w:val="2691"/>
            </w:pPr>
            <w:r>
              <w:t>监测位置</w:t>
            </w:r>
          </w:p>
        </w:tc>
        <w:tc>
          <w:tcPr>
            <w:tcW w:w="2126" w:type="dxa"/>
            <w:vAlign w:val="center"/>
          </w:tcPr>
          <w:p>
            <w:pPr>
              <w:pStyle w:val="2691"/>
            </w:pPr>
            <w:r>
              <w:t>监测项目</w:t>
            </w:r>
          </w:p>
        </w:tc>
        <w:tc>
          <w:tcPr>
            <w:tcW w:w="1418" w:type="dxa"/>
            <w:vAlign w:val="center"/>
          </w:tcPr>
          <w:p>
            <w:pPr>
              <w:pStyle w:val="2691"/>
            </w:pPr>
            <w:r>
              <w:t>监测频率</w:t>
            </w:r>
          </w:p>
        </w:tc>
        <w:tc>
          <w:tcPr>
            <w:tcW w:w="2711" w:type="dxa"/>
            <w:vAlign w:val="center"/>
          </w:tcPr>
          <w:p>
            <w:pPr>
              <w:pStyle w:val="2691"/>
            </w:pPr>
            <w: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0" w:type="dxa"/>
            <w:vAlign w:val="center"/>
          </w:tcPr>
          <w:p>
            <w:pPr>
              <w:pStyle w:val="2691"/>
            </w:pPr>
            <w:r>
              <w:t>环境</w:t>
            </w:r>
          </w:p>
          <w:p>
            <w:pPr>
              <w:pStyle w:val="2691"/>
            </w:pPr>
            <w:r>
              <w:t>空气</w:t>
            </w:r>
          </w:p>
        </w:tc>
        <w:tc>
          <w:tcPr>
            <w:tcW w:w="1932" w:type="dxa"/>
            <w:vAlign w:val="center"/>
          </w:tcPr>
          <w:p>
            <w:pPr>
              <w:pStyle w:val="2691"/>
            </w:pPr>
            <w:r>
              <w:t>码头上风向及下风向各布一个监测点</w:t>
            </w:r>
          </w:p>
        </w:tc>
        <w:tc>
          <w:tcPr>
            <w:tcW w:w="2126" w:type="dxa"/>
            <w:vAlign w:val="center"/>
          </w:tcPr>
          <w:p>
            <w:pPr>
              <w:pStyle w:val="2691"/>
            </w:pPr>
            <w:r>
              <w:t>TSP、PM</w:t>
            </w:r>
            <w:r>
              <w:rPr>
                <w:vertAlign w:val="subscript"/>
              </w:rPr>
              <w:t>10</w:t>
            </w:r>
          </w:p>
        </w:tc>
        <w:tc>
          <w:tcPr>
            <w:tcW w:w="1418" w:type="dxa"/>
            <w:vAlign w:val="center"/>
          </w:tcPr>
          <w:p>
            <w:pPr>
              <w:pStyle w:val="2691"/>
            </w:pPr>
            <w:r>
              <w:t>每季度一次</w:t>
            </w:r>
          </w:p>
        </w:tc>
        <w:tc>
          <w:tcPr>
            <w:tcW w:w="2711" w:type="dxa"/>
            <w:vAlign w:val="center"/>
          </w:tcPr>
          <w:p>
            <w:pPr>
              <w:pStyle w:val="2691"/>
            </w:pPr>
            <w:r>
              <w:t>《环境空气质量标准》</w:t>
            </w:r>
          </w:p>
          <w:p>
            <w:pPr>
              <w:pStyle w:val="2691"/>
            </w:pPr>
            <w:r>
              <w:t>（GB3095-2012）二级标准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0" w:type="dxa"/>
            <w:vAlign w:val="center"/>
          </w:tcPr>
          <w:p>
            <w:pPr>
              <w:pStyle w:val="2691"/>
            </w:pPr>
            <w:r>
              <w:t>地表</w:t>
            </w:r>
          </w:p>
          <w:p>
            <w:pPr>
              <w:pStyle w:val="2691"/>
            </w:pPr>
            <w:r>
              <w:t>水环境</w:t>
            </w:r>
          </w:p>
        </w:tc>
        <w:tc>
          <w:tcPr>
            <w:tcW w:w="1932" w:type="dxa"/>
            <w:vAlign w:val="center"/>
          </w:tcPr>
          <w:p>
            <w:pPr>
              <w:pStyle w:val="2691"/>
            </w:pPr>
            <w:r>
              <w:t>码头上游500m和下游1.0km处</w:t>
            </w:r>
          </w:p>
        </w:tc>
        <w:tc>
          <w:tcPr>
            <w:tcW w:w="2126" w:type="dxa"/>
            <w:vAlign w:val="center"/>
          </w:tcPr>
          <w:p>
            <w:pPr>
              <w:pStyle w:val="2691"/>
            </w:pPr>
            <w:r>
              <w:t>pH、SS、COD、</w:t>
            </w:r>
          </w:p>
          <w:p>
            <w:pPr>
              <w:pStyle w:val="2691"/>
            </w:pPr>
            <w:r>
              <w:t>BOD</w:t>
            </w:r>
            <w:r>
              <w:rPr>
                <w:vertAlign w:val="subscript"/>
              </w:rPr>
              <w:t>5</w:t>
            </w:r>
            <w:r>
              <w:t>、NH</w:t>
            </w:r>
            <w:r>
              <w:rPr>
                <w:vertAlign w:val="subscript"/>
              </w:rPr>
              <w:t>3</w:t>
            </w:r>
            <w:r>
              <w:t>-N、石油类</w:t>
            </w:r>
          </w:p>
        </w:tc>
        <w:tc>
          <w:tcPr>
            <w:tcW w:w="1418" w:type="dxa"/>
            <w:vAlign w:val="center"/>
          </w:tcPr>
          <w:p>
            <w:pPr>
              <w:pStyle w:val="2691"/>
            </w:pPr>
            <w:r>
              <w:t>每年平、枯水期各一次</w:t>
            </w:r>
          </w:p>
        </w:tc>
        <w:tc>
          <w:tcPr>
            <w:tcW w:w="2711" w:type="dxa"/>
            <w:vAlign w:val="center"/>
          </w:tcPr>
          <w:p>
            <w:pPr>
              <w:pStyle w:val="2691"/>
            </w:pPr>
            <w:r>
              <w:t>《地表水环境质量标准》（GB3838-2002）III类标准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0" w:type="dxa"/>
            <w:vAlign w:val="center"/>
          </w:tcPr>
          <w:p>
            <w:pPr>
              <w:pStyle w:val="2691"/>
            </w:pPr>
            <w:r>
              <w:t>声环境</w:t>
            </w:r>
          </w:p>
        </w:tc>
        <w:tc>
          <w:tcPr>
            <w:tcW w:w="1932" w:type="dxa"/>
            <w:vAlign w:val="center"/>
          </w:tcPr>
          <w:p>
            <w:pPr>
              <w:pStyle w:val="2691"/>
            </w:pPr>
            <w:r>
              <w:t>港界</w:t>
            </w:r>
          </w:p>
        </w:tc>
        <w:tc>
          <w:tcPr>
            <w:tcW w:w="2126" w:type="dxa"/>
            <w:vAlign w:val="center"/>
          </w:tcPr>
          <w:p>
            <w:pPr>
              <w:pStyle w:val="2691"/>
            </w:pPr>
            <w:r>
              <w:t>Leq(</w:t>
            </w:r>
            <w:r>
              <w:rPr>
                <w:spacing w:val="-1"/>
              </w:rPr>
              <w:t>A</w:t>
            </w:r>
            <w:r>
              <w:t>)</w:t>
            </w:r>
          </w:p>
        </w:tc>
        <w:tc>
          <w:tcPr>
            <w:tcW w:w="1418" w:type="dxa"/>
            <w:vAlign w:val="center"/>
          </w:tcPr>
          <w:p>
            <w:pPr>
              <w:pStyle w:val="2691"/>
            </w:pPr>
            <w:r>
              <w:rPr>
                <w:rFonts w:hint="eastAsia"/>
                <w:lang w:val="en-US" w:eastAsia="zh-CN"/>
              </w:rPr>
              <w:t>每季度一次</w:t>
            </w:r>
            <w:r>
              <w:t>，</w:t>
            </w:r>
            <w:r>
              <w:rPr>
                <w:spacing w:val="5"/>
              </w:rPr>
              <w:t>每</w:t>
            </w:r>
            <w:r>
              <w:t>次2</w:t>
            </w:r>
            <w:r>
              <w:rPr>
                <w:spacing w:val="4"/>
              </w:rPr>
              <w:t>天，分昼</w:t>
            </w:r>
            <w:r>
              <w:rPr>
                <w:spacing w:val="5"/>
              </w:rPr>
              <w:t>夜</w:t>
            </w:r>
            <w:r>
              <w:rPr>
                <w:spacing w:val="4"/>
              </w:rPr>
              <w:t>两个</w:t>
            </w:r>
            <w:r>
              <w:t>时段</w:t>
            </w:r>
          </w:p>
        </w:tc>
        <w:tc>
          <w:tcPr>
            <w:tcW w:w="2711" w:type="dxa"/>
            <w:vAlign w:val="center"/>
          </w:tcPr>
          <w:p>
            <w:pPr>
              <w:pStyle w:val="2691"/>
            </w:pPr>
            <w:r>
              <w:t>《声环境质量标准》（GB3096-2008）3类、4a类标准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17" w:type="dxa"/>
            <w:gridSpan w:val="5"/>
            <w:vAlign w:val="center"/>
          </w:tcPr>
          <w:p>
            <w:pPr>
              <w:pStyle w:val="2691"/>
            </w:pPr>
            <w:r>
              <w:t>四、生态监测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0" w:type="dxa"/>
            <w:vAlign w:val="center"/>
          </w:tcPr>
          <w:p>
            <w:pPr>
              <w:pStyle w:val="2691"/>
            </w:pPr>
            <w:r>
              <w:t>项目</w:t>
            </w:r>
          </w:p>
        </w:tc>
        <w:tc>
          <w:tcPr>
            <w:tcW w:w="1932" w:type="dxa"/>
            <w:vAlign w:val="center"/>
          </w:tcPr>
          <w:p>
            <w:pPr>
              <w:pStyle w:val="2691"/>
            </w:pPr>
            <w:r>
              <w:t>监测位置</w:t>
            </w:r>
          </w:p>
        </w:tc>
        <w:tc>
          <w:tcPr>
            <w:tcW w:w="3544" w:type="dxa"/>
            <w:gridSpan w:val="2"/>
            <w:vAlign w:val="center"/>
          </w:tcPr>
          <w:p>
            <w:pPr>
              <w:pStyle w:val="2691"/>
            </w:pPr>
            <w:r>
              <w:t>监测项目</w:t>
            </w:r>
          </w:p>
        </w:tc>
        <w:tc>
          <w:tcPr>
            <w:tcW w:w="2711" w:type="dxa"/>
            <w:vAlign w:val="center"/>
          </w:tcPr>
          <w:p>
            <w:pPr>
              <w:pStyle w:val="2691"/>
            </w:pPr>
            <w:r>
              <w:t>监测频率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0" w:type="dxa"/>
            <w:vAlign w:val="center"/>
          </w:tcPr>
          <w:p>
            <w:pPr>
              <w:pStyle w:val="2691"/>
              <w:rPr>
                <w:rFonts w:eastAsiaTheme="minorEastAsia"/>
              </w:rPr>
            </w:pPr>
            <w:r>
              <w:rPr>
                <w:rFonts w:eastAsiaTheme="minorEastAsia"/>
              </w:rPr>
              <w:t>水生生态</w:t>
            </w:r>
          </w:p>
        </w:tc>
        <w:tc>
          <w:tcPr>
            <w:tcW w:w="1932" w:type="dxa"/>
            <w:vAlign w:val="center"/>
          </w:tcPr>
          <w:p>
            <w:pPr>
              <w:pStyle w:val="2691"/>
            </w:pPr>
            <w:r>
              <w:rPr>
                <w:rFonts w:eastAsiaTheme="minorEastAsia"/>
              </w:rPr>
              <w:t>码头、码头上游、码头下游</w:t>
            </w:r>
          </w:p>
        </w:tc>
        <w:tc>
          <w:tcPr>
            <w:tcW w:w="3544" w:type="dxa"/>
            <w:gridSpan w:val="2"/>
            <w:vAlign w:val="center"/>
          </w:tcPr>
          <w:p>
            <w:pPr>
              <w:pStyle w:val="2691"/>
            </w:pPr>
            <w:r>
              <w:rPr>
                <w:rFonts w:eastAsiaTheme="minorEastAsia"/>
              </w:rPr>
              <w:t>浮游植物、浮游动物、底栖动物的种类、生物量和密度；水生维管束植物种类及数量；鱼类的种类组成、资源量的时空分布及累积变化效应、鱼类</w:t>
            </w:r>
            <w:r>
              <w:rPr>
                <w:rFonts w:asciiTheme="minorEastAsia" w:hAnsiTheme="minorEastAsia" w:eastAsiaTheme="minorEastAsia"/>
              </w:rPr>
              <w:t>“</w:t>
            </w:r>
            <w:r>
              <w:rPr>
                <w:rFonts w:eastAsiaTheme="minorEastAsia"/>
              </w:rPr>
              <w:t>三场</w:t>
            </w:r>
            <w:r>
              <w:rPr>
                <w:rFonts w:asciiTheme="minorEastAsia" w:hAnsiTheme="minorEastAsia" w:eastAsiaTheme="minorEastAsia"/>
              </w:rPr>
              <w:t>”</w:t>
            </w:r>
          </w:p>
        </w:tc>
        <w:tc>
          <w:tcPr>
            <w:tcW w:w="2711" w:type="dxa"/>
            <w:vAlign w:val="center"/>
          </w:tcPr>
          <w:p>
            <w:pPr>
              <w:pStyle w:val="2691"/>
            </w:pPr>
            <w:r>
              <w:rPr>
                <w:kern w:val="0"/>
              </w:rPr>
              <w:t>运营期</w:t>
            </w:r>
            <w:r>
              <w:t>第1年</w:t>
            </w:r>
            <w:r>
              <w:rPr>
                <w:rFonts w:hint="eastAsia"/>
              </w:rPr>
              <w:t>至第3年</w:t>
            </w:r>
            <w:r>
              <w:rPr>
                <w:kern w:val="0"/>
              </w:rPr>
              <w:t>，每年</w:t>
            </w:r>
            <w:r>
              <w:rPr>
                <w:rFonts w:hint="eastAsia"/>
                <w:kern w:val="0"/>
              </w:rPr>
              <w:t>5</w:t>
            </w:r>
            <w:r>
              <w:rPr>
                <w:kern w:val="0"/>
              </w:rPr>
              <w:t>月、9月各监测1次，共监测</w:t>
            </w:r>
            <w:r>
              <w:rPr>
                <w:rFonts w:hint="eastAsia"/>
                <w:kern w:val="0"/>
              </w:rPr>
              <w:t>3</w:t>
            </w:r>
            <w:r>
              <w:rPr>
                <w:kern w:val="0"/>
              </w:rPr>
              <w:t>年（</w:t>
            </w:r>
            <w:r>
              <w:rPr>
                <w:rFonts w:hint="eastAsia"/>
                <w:kern w:val="0"/>
              </w:rPr>
              <w:t>6</w:t>
            </w:r>
            <w:r>
              <w:rPr>
                <w:kern w:val="0"/>
              </w:rPr>
              <w:t>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0" w:type="dxa"/>
            <w:vAlign w:val="center"/>
          </w:tcPr>
          <w:p>
            <w:pPr>
              <w:pStyle w:val="2691"/>
              <w:rPr>
                <w:rFonts w:eastAsiaTheme="minorEastAsia"/>
              </w:rPr>
            </w:pPr>
            <w:r>
              <w:rPr>
                <w:rFonts w:eastAsiaTheme="minorEastAsia"/>
              </w:rPr>
              <w:t>陆生生态</w:t>
            </w:r>
          </w:p>
        </w:tc>
        <w:tc>
          <w:tcPr>
            <w:tcW w:w="1932" w:type="dxa"/>
            <w:vAlign w:val="center"/>
          </w:tcPr>
          <w:p>
            <w:pPr>
              <w:pStyle w:val="2691"/>
              <w:rPr>
                <w:rFonts w:eastAsiaTheme="minorEastAsia"/>
              </w:rPr>
            </w:pPr>
            <w:r>
              <w:rPr>
                <w:rFonts w:eastAsiaTheme="minorEastAsia"/>
              </w:rPr>
              <w:t>码头影响区域</w:t>
            </w:r>
          </w:p>
        </w:tc>
        <w:tc>
          <w:tcPr>
            <w:tcW w:w="3544" w:type="dxa"/>
            <w:gridSpan w:val="2"/>
            <w:vAlign w:val="center"/>
          </w:tcPr>
          <w:p>
            <w:pPr>
              <w:pStyle w:val="2691"/>
              <w:rPr>
                <w:rFonts w:eastAsiaTheme="minorEastAsia"/>
              </w:rPr>
            </w:pPr>
            <w:r>
              <w:t>植物：种类及组成、种群密度、覆盖度、外来种等；动物：种类、分布、密度和季节动态变化；重点保护野生动物的种类、数量、栖息地、觅食地等</w:t>
            </w:r>
          </w:p>
        </w:tc>
        <w:tc>
          <w:tcPr>
            <w:tcW w:w="2711" w:type="dxa"/>
            <w:vAlign w:val="center"/>
          </w:tcPr>
          <w:p>
            <w:pPr>
              <w:pStyle w:val="2691"/>
            </w:pPr>
            <w:r>
              <w:t>运营期第1年起，每年6~8月开展1次植物、两栖类、爬行类、兽类监测，监测3年（3次）；运营期第1年起，</w:t>
            </w:r>
            <w:r>
              <w:rPr>
                <w:kern w:val="0"/>
              </w:rPr>
              <w:t>3月~7月鸟类繁殖期，10月~次年3月鸟类繁越冬期</w:t>
            </w:r>
            <w:r>
              <w:t>，各进行1次监测，共监测3年（6次）</w:t>
            </w:r>
          </w:p>
        </w:tc>
      </w:tr>
      <w:bookmarkEnd w:id="366"/>
      <w:bookmarkEnd w:id="367"/>
      <w:bookmarkEnd w:id="368"/>
      <w:bookmarkEnd w:id="369"/>
      <w:bookmarkEnd w:id="370"/>
    </w:tbl>
    <w:p>
      <w:pPr>
        <w:pStyle w:val="453"/>
        <w:ind w:firstLine="643" w:firstLineChars="0"/>
        <w:rPr>
          <w:rFonts w:ascii="Times New Roman" w:cs="Times New Roman"/>
        </w:rPr>
      </w:pPr>
      <w:bookmarkStart w:id="378" w:name="_Toc106697048"/>
      <w:bookmarkStart w:id="379" w:name="_Toc8410"/>
      <w:bookmarkStart w:id="380" w:name="_Toc15820"/>
      <w:r>
        <w:rPr>
          <w:rFonts w:ascii="Times New Roman" w:cs="Times New Roman"/>
        </w:rPr>
        <w:t>环境监理</w:t>
      </w:r>
      <w:bookmarkEnd w:id="378"/>
      <w:bookmarkEnd w:id="379"/>
      <w:bookmarkEnd w:id="380"/>
    </w:p>
    <w:p>
      <w:pPr>
        <w:ind w:firstLine="480"/>
      </w:pPr>
      <w:r>
        <w:t>工程建设的环境监理是工程监理的重要组成部分，环境监理工程师受业主委托，对本报告书提出的工程施工期和运营期的环境保护措施的落实、实施进行环境监理，对所有实施环保项目的专业部门和工程承包商的环境保护工作进行监督、检查和管理，切实保护好工程影响区的环境。</w:t>
      </w:r>
    </w:p>
    <w:p>
      <w:pPr>
        <w:ind w:firstLine="480"/>
      </w:pPr>
      <w:r>
        <w:t>1、环境监理的原则</w:t>
      </w:r>
    </w:p>
    <w:p>
      <w:pPr>
        <w:ind w:firstLine="480"/>
      </w:pPr>
      <w:r>
        <w:rPr>
          <w:snapToGrid w:val="0"/>
          <w:kern w:val="0"/>
        </w:rPr>
        <w:t>工程监理单位应根据本工程环境影响报告书及其批复文件、工程设计文件、工程施工合同及招投标文件、工程监理合同等编制环境监理方案，并严格按照制定的环境监理方案实施监理工作</w:t>
      </w:r>
      <w:r>
        <w:t>。</w:t>
      </w:r>
    </w:p>
    <w:p>
      <w:pPr>
        <w:ind w:firstLine="480"/>
      </w:pPr>
      <w:r>
        <w:t>2、环境监理的对象</w:t>
      </w:r>
    </w:p>
    <w:p>
      <w:pPr>
        <w:ind w:firstLine="480"/>
      </w:pPr>
      <w:r>
        <w:rPr>
          <w:snapToGrid w:val="0"/>
          <w:kern w:val="0"/>
        </w:rPr>
        <w:t>环境监理的对象是所有由于施工活动可能产生的环境污染行为、环境监理，应以施工期的环境保护、施工后期的生态恢复和污染防治措施的落实情况为重点，对土地占用、野生动植物保护、水土保持要明确防护措施并列入监理招标文件中</w:t>
      </w:r>
      <w:r>
        <w:t>。</w:t>
      </w:r>
    </w:p>
    <w:p>
      <w:pPr>
        <w:ind w:firstLine="480"/>
      </w:pPr>
      <w:r>
        <w:t>3、环境监理时段</w:t>
      </w:r>
    </w:p>
    <w:p>
      <w:pPr>
        <w:ind w:firstLine="480"/>
      </w:pPr>
      <w:r>
        <w:t>本工程环境监理时段为建设期。</w:t>
      </w:r>
    </w:p>
    <w:p>
      <w:pPr>
        <w:ind w:firstLine="480"/>
      </w:pPr>
      <w:r>
        <w:t>4、环境监理工作程序</w:t>
      </w:r>
    </w:p>
    <w:p>
      <w:pPr>
        <w:ind w:firstLine="480"/>
      </w:pPr>
      <w:r>
        <w:t>建设单位应通过招投标的方式委托环境监理机构。在开展环境监理工作前，环境监理机构应先编制环境监理方案。</w:t>
      </w:r>
    </w:p>
    <w:p>
      <w:pPr>
        <w:ind w:firstLine="480"/>
      </w:pPr>
      <w:r>
        <w:t>环境监理机构环境监理程序如下：</w:t>
      </w:r>
    </w:p>
    <w:p>
      <w:pPr>
        <w:ind w:firstLine="480"/>
      </w:pPr>
      <w:r>
        <w:rPr>
          <w:rFonts w:hint="eastAsia" w:ascii="宋体" w:hAnsi="宋体" w:cs="宋体"/>
        </w:rPr>
        <w:t>（1）</w:t>
      </w:r>
      <w:r>
        <w:t xml:space="preserve"> 根据本项目建设进度和工程特点编制阶段性或单项措施环境监理实施细则；</w:t>
      </w:r>
    </w:p>
    <w:p>
      <w:pPr>
        <w:ind w:firstLine="480"/>
      </w:pPr>
      <w:r>
        <w:rPr>
          <w:rFonts w:hint="eastAsia" w:ascii="宋体" w:hAnsi="宋体" w:cs="宋体"/>
        </w:rPr>
        <w:t>（2）</w:t>
      </w:r>
      <w:r>
        <w:t>在工程开工建设前完成设计文件环保核查，并及时向工程建设单位提交设计文 件环保核查报告；</w:t>
      </w:r>
    </w:p>
    <w:p>
      <w:pPr>
        <w:ind w:firstLine="480"/>
      </w:pPr>
      <w:r>
        <w:rPr>
          <w:rFonts w:hint="eastAsia" w:ascii="宋体" w:hAnsi="宋体" w:cs="宋体"/>
        </w:rPr>
        <w:t>（3）</w:t>
      </w:r>
      <w:r>
        <w:t>向建设项目现场派驻环境监理项目部和监理人员，采取巡视、检查、旁站等方式进行跟踪管理；</w:t>
      </w:r>
    </w:p>
    <w:p>
      <w:pPr>
        <w:ind w:firstLine="480"/>
      </w:pPr>
      <w:r>
        <w:rPr>
          <w:rFonts w:hint="eastAsia" w:ascii="宋体" w:hAnsi="宋体" w:cs="宋体"/>
        </w:rPr>
        <w:t>（4）</w:t>
      </w:r>
      <w:r>
        <w:t xml:space="preserve"> 参加项目施工例会、项目验收会和组织项目环境监理例会，对工程环保进度、环境质量进行控制，提出工程暂停、复工和设计变更等要求或决定；</w:t>
      </w:r>
    </w:p>
    <w:p>
      <w:pPr>
        <w:ind w:firstLine="480"/>
      </w:pPr>
      <w:r>
        <w:rPr>
          <w:rFonts w:hint="eastAsia" w:ascii="宋体" w:hAnsi="宋体" w:cs="宋体"/>
        </w:rPr>
        <w:t>（5）</w:t>
      </w:r>
      <w:r>
        <w:t>按照监理实施细则实施监理，填写监理日志，定期向工程建设单位提交监理月报表和专题报告，并同时报送当地生态环境行政主管部门；</w:t>
      </w:r>
    </w:p>
    <w:p>
      <w:pPr>
        <w:ind w:firstLine="480"/>
      </w:pPr>
      <w:r>
        <w:rPr>
          <w:rFonts w:hint="eastAsia" w:ascii="宋体" w:hAnsi="宋体" w:cs="宋体"/>
        </w:rPr>
        <w:t>（6）</w:t>
      </w:r>
      <w:r>
        <w:t xml:space="preserve"> 在建设项目开工和竣工环境保护验收前分别向工程建设单位提交阶段环境监理报告。在本项目通过竣工环境保护验收后移交环境监理档案资料。</w:t>
      </w:r>
    </w:p>
    <w:p>
      <w:pPr>
        <w:ind w:firstLine="480"/>
      </w:pPr>
      <w:r>
        <w:t>5、环境工程监理具体工作方法</w:t>
      </w:r>
    </w:p>
    <w:p>
      <w:pPr>
        <w:ind w:firstLine="480"/>
      </w:pPr>
      <w:r>
        <w:rPr>
          <w:rFonts w:hint="eastAsia" w:ascii="宋体" w:hAnsi="宋体" w:cs="宋体"/>
        </w:rPr>
        <w:t>（1）</w:t>
      </w:r>
      <w:r>
        <w:t>审查经批准的环境影响报告书提出的环境保护措施在工程初步设计、施工图设计中的落实情况；</w:t>
      </w:r>
    </w:p>
    <w:p>
      <w:pPr>
        <w:ind w:firstLine="480"/>
      </w:pPr>
      <w:r>
        <w:rPr>
          <w:rFonts w:hint="eastAsia" w:ascii="宋体" w:hAnsi="宋体" w:cs="宋体"/>
        </w:rPr>
        <w:t>（2）</w:t>
      </w:r>
      <w:r>
        <w:t>协助建设单位组织对施工、设计、管理人员的环境保护培训；</w:t>
      </w:r>
    </w:p>
    <w:p>
      <w:pPr>
        <w:ind w:firstLine="480"/>
      </w:pPr>
      <w:r>
        <w:rPr>
          <w:rFonts w:hint="eastAsia" w:ascii="宋体" w:hAnsi="宋体" w:cs="宋体"/>
        </w:rPr>
        <w:t>（3）</w:t>
      </w:r>
      <w:r>
        <w:t>审核招标文件、工程合同有关环境保护条款；</w:t>
      </w:r>
    </w:p>
    <w:p>
      <w:pPr>
        <w:ind w:firstLine="480"/>
      </w:pPr>
      <w:r>
        <w:rPr>
          <w:rFonts w:hint="eastAsia" w:ascii="宋体" w:hAnsi="宋体" w:cs="宋体"/>
        </w:rPr>
        <w:t>（4）</w:t>
      </w:r>
      <w:r>
        <w:t>对施工建设过程中减少工程环境影响的环境措施保护工程（包括生态、水、气、声环境）施工质量进行监理，并按照标准进行阶段验收和签字；</w:t>
      </w:r>
    </w:p>
    <w:p>
      <w:pPr>
        <w:ind w:firstLine="480"/>
      </w:pPr>
      <w:r>
        <w:rPr>
          <w:rFonts w:hint="eastAsia" w:ascii="宋体" w:hAnsi="宋体" w:cs="宋体"/>
        </w:rPr>
        <w:t>（5）</w:t>
      </w:r>
      <w:r>
        <w:t>系统记录工程施工环境影响，环境保护措施效果，环境保护工程施工质量；</w:t>
      </w:r>
    </w:p>
    <w:p>
      <w:pPr>
        <w:ind w:firstLine="480"/>
      </w:pPr>
      <w:r>
        <w:rPr>
          <w:rFonts w:hint="eastAsia" w:ascii="宋体" w:hAnsi="宋体" w:cs="宋体"/>
        </w:rPr>
        <w:t>（6）</w:t>
      </w:r>
      <w:r>
        <w:t>及时向公司基建处反映有关环境保护设计和施工问题，并提出解决建议；</w:t>
      </w:r>
    </w:p>
    <w:p>
      <w:pPr>
        <w:ind w:firstLine="480"/>
      </w:pPr>
      <w:r>
        <w:rPr>
          <w:rFonts w:hint="eastAsia" w:ascii="宋体" w:hAnsi="宋体" w:cs="宋体"/>
        </w:rPr>
        <w:t>（7）</w:t>
      </w:r>
      <w:r>
        <w:t xml:space="preserve"> 负责起草工程环境监理工作计划和总结。</w:t>
      </w:r>
    </w:p>
    <w:p>
      <w:pPr>
        <w:ind w:firstLine="480"/>
      </w:pPr>
      <w:r>
        <w:t>6、环境工程监理工作制度</w:t>
      </w:r>
    </w:p>
    <w:p>
      <w:pPr>
        <w:ind w:firstLine="480"/>
      </w:pPr>
      <w:r>
        <w:t>环境工程监理应建立工作记录、人员培训、报告、函件来往、例会等制度。</w:t>
      </w:r>
    </w:p>
    <w:p>
      <w:pPr>
        <w:ind w:firstLine="480"/>
      </w:pPr>
      <w:r>
        <w:t>7、环境工程监理机构、工作方式</w:t>
      </w:r>
    </w:p>
    <w:p>
      <w:pPr>
        <w:ind w:firstLine="480"/>
      </w:pPr>
      <w:r>
        <w:t>建设期的环境监理应由建设指挥部委托具有环境工程监理资格并经环境保护业务培训的单位对设计文件中环境保护措施的实施情况进行工程环境监理。建设单位应在委托监理时应与监理单位签订建设期的环境监理合同。</w:t>
      </w:r>
    </w:p>
    <w:p>
      <w:pPr>
        <w:ind w:firstLine="480"/>
      </w:pPr>
      <w:r>
        <w:t>环境监理单位应收集本工程的有关资料，包括工程的基本情况、环境影响评价报告 书（包括水土保持方案）、环境保护设计、施工和生产企业的设备、生产方式及管理、 施工和生产现场的环境情况、施工和生产过程的排污规律、防治措施等。</w:t>
      </w:r>
    </w:p>
    <w:p>
      <w:pPr>
        <w:ind w:firstLine="480"/>
      </w:pPr>
      <w:r>
        <w:t>8、监理进度要求</w:t>
      </w:r>
    </w:p>
    <w:p>
      <w:pPr>
        <w:ind w:firstLine="480"/>
      </w:pPr>
      <w:r>
        <w:t>施工期环境监理的进度应当同主体工程的监理进度一致，环境监理人员同其他专业监理人员应当同时进场，在编制主体工程监理规划的同时应当同时编制环保工程监理专 项监理实施细则，明确环保工程监理的要求。</w:t>
      </w:r>
    </w:p>
    <w:p>
      <w:pPr>
        <w:pStyle w:val="453"/>
        <w:ind w:firstLine="643" w:firstLineChars="0"/>
        <w:rPr>
          <w:rFonts w:ascii="Times New Roman" w:cs="Times New Roman"/>
        </w:rPr>
      </w:pPr>
      <w:bookmarkStart w:id="381" w:name="_Toc106697049"/>
      <w:bookmarkStart w:id="382" w:name="_Toc21276"/>
      <w:bookmarkStart w:id="383" w:name="_Toc17456"/>
      <w:r>
        <w:rPr>
          <w:rFonts w:ascii="Times New Roman" w:cs="Times New Roman"/>
        </w:rPr>
        <w:t>总量控制</w:t>
      </w:r>
      <w:bookmarkEnd w:id="381"/>
      <w:bookmarkEnd w:id="382"/>
      <w:bookmarkEnd w:id="383"/>
    </w:p>
    <w:p>
      <w:pPr>
        <w:ind w:firstLine="496"/>
        <w:sectPr>
          <w:pgSz w:w="11907" w:h="16840"/>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26" w:charSpace="0"/>
        </w:sectPr>
      </w:pPr>
      <w:r>
        <w:rPr>
          <w:rFonts w:eastAsiaTheme="minorEastAsia"/>
          <w:spacing w:val="4"/>
        </w:rPr>
        <w:t>根据《国家环境保护标准</w:t>
      </w:r>
      <w:r>
        <w:rPr>
          <w:rFonts w:asciiTheme="minorEastAsia" w:hAnsiTheme="minorEastAsia" w:eastAsiaTheme="minorEastAsia"/>
          <w:spacing w:val="4"/>
        </w:rPr>
        <w:t>“</w:t>
      </w:r>
      <w:r>
        <w:rPr>
          <w:rFonts w:eastAsiaTheme="minorEastAsia"/>
          <w:spacing w:val="4"/>
        </w:rPr>
        <w:t>十三五</w:t>
      </w:r>
      <w:r>
        <w:rPr>
          <w:rFonts w:asciiTheme="minorEastAsia" w:hAnsiTheme="minorEastAsia" w:eastAsiaTheme="minorEastAsia"/>
          <w:spacing w:val="4"/>
        </w:rPr>
        <w:t>”</w:t>
      </w:r>
      <w:r>
        <w:rPr>
          <w:rFonts w:eastAsiaTheme="minorEastAsia"/>
          <w:spacing w:val="4"/>
        </w:rPr>
        <w:t>发展规划》和《国务院关于印发水污染防治行动计划的通知》中对主要污染物排放总量控制的要求，并结合本工程污染排放特点，本项目不设总量控制指标</w:t>
      </w:r>
      <w:r>
        <w:t>。</w:t>
      </w:r>
    </w:p>
    <w:p>
      <w:pPr>
        <w:pStyle w:val="457"/>
        <w:ind w:firstLine="0" w:firstLineChars="0"/>
        <w:rPr>
          <w:rFonts w:ascii="Times New Roman" w:hAnsi="Times New Roman" w:cs="Times New Roman"/>
        </w:rPr>
      </w:pPr>
      <w:r>
        <w:rPr>
          <w:rFonts w:ascii="Times New Roman" w:hAnsi="Times New Roman" w:cs="Times New Roman"/>
        </w:rPr>
        <w:t xml:space="preserve">  </w:t>
      </w:r>
      <w:bookmarkStart w:id="384" w:name="_Toc18710"/>
      <w:bookmarkStart w:id="385" w:name="_Toc106697050"/>
      <w:bookmarkStart w:id="386" w:name="_Toc12574"/>
      <w:bookmarkStart w:id="387" w:name="_Toc13022399"/>
      <w:bookmarkStart w:id="388" w:name="_Toc18773501"/>
      <w:bookmarkStart w:id="389" w:name="_Toc12959572"/>
      <w:bookmarkStart w:id="390" w:name="_Toc12960137"/>
      <w:bookmarkStart w:id="391" w:name="_Toc12953652"/>
      <w:bookmarkStart w:id="392" w:name="_Toc12959091"/>
      <w:bookmarkStart w:id="393" w:name="_Toc12960238"/>
      <w:r>
        <w:rPr>
          <w:rFonts w:ascii="Times New Roman" w:hAnsi="Times New Roman" w:cs="Times New Roman"/>
        </w:rPr>
        <w:t>环境影响评价结论</w:t>
      </w:r>
      <w:bookmarkEnd w:id="384"/>
      <w:bookmarkEnd w:id="385"/>
      <w:bookmarkEnd w:id="386"/>
    </w:p>
    <w:bookmarkEnd w:id="387"/>
    <w:bookmarkEnd w:id="388"/>
    <w:bookmarkEnd w:id="389"/>
    <w:bookmarkEnd w:id="390"/>
    <w:bookmarkEnd w:id="391"/>
    <w:bookmarkEnd w:id="392"/>
    <w:bookmarkEnd w:id="393"/>
    <w:p>
      <w:pPr>
        <w:pStyle w:val="453"/>
        <w:ind w:firstLine="643" w:firstLineChars="0"/>
        <w:rPr>
          <w:rFonts w:ascii="Times New Roman" w:cs="Times New Roman"/>
        </w:rPr>
      </w:pPr>
      <w:bookmarkStart w:id="394" w:name="_Toc247420597"/>
      <w:bookmarkStart w:id="395" w:name="_Toc106697051"/>
      <w:bookmarkStart w:id="396" w:name="_Toc6556"/>
      <w:bookmarkStart w:id="397" w:name="_Toc30387"/>
      <w:r>
        <w:rPr>
          <w:rFonts w:ascii="Times New Roman" w:cs="Times New Roman"/>
        </w:rPr>
        <w:t>项目基本情况概述</w:t>
      </w:r>
      <w:bookmarkEnd w:id="394"/>
      <w:bookmarkEnd w:id="395"/>
      <w:bookmarkEnd w:id="396"/>
      <w:bookmarkEnd w:id="397"/>
    </w:p>
    <w:p>
      <w:pPr>
        <w:ind w:firstLine="480"/>
      </w:pPr>
      <w:r>
        <w:rPr>
          <w:rFonts w:hint="eastAsia"/>
        </w:rPr>
        <w:t>岳阳港道仁矶码头工程</w:t>
      </w:r>
      <w:r>
        <w:t>拟建港址</w:t>
      </w:r>
      <w:r>
        <w:rPr>
          <w:szCs w:val="28"/>
        </w:rPr>
        <w:t>位于</w:t>
      </w:r>
      <w:r>
        <w:t>湖南省岳阳市云溪区道仁矶镇，荆岳长江大桥上游约1.5km的长江右岸，工程距城陵矶约12km处。本</w:t>
      </w:r>
      <w:r>
        <w:rPr>
          <w:rFonts w:hint="eastAsia"/>
        </w:rPr>
        <w:t>工程拟建6个泊位及相应的配套设施，水工建筑物包括码头平台、引桥及皮带机廊道等。占用长江岸线长度840m。其中：1#~5#泊位为10000吨级通用泊位，6#泊位为5000吨级通用泊位，水工结构均按靠泊15000吨级船舶设计。设计货物年吞吐量为1660万吨，其中散货进口1200万吨/年，散货出口450万吨/年，防汛物资 10 万吨/年，码头设计通过能力 1804.2 万吨/年。</w:t>
      </w:r>
    </w:p>
    <w:p>
      <w:pPr>
        <w:pStyle w:val="453"/>
        <w:ind w:firstLine="643" w:firstLineChars="0"/>
        <w:rPr>
          <w:rFonts w:ascii="Times New Roman" w:cs="Times New Roman"/>
        </w:rPr>
      </w:pPr>
      <w:bookmarkStart w:id="398" w:name="_Toc18076"/>
      <w:bookmarkStart w:id="399" w:name="_Toc106697052"/>
      <w:bookmarkStart w:id="400" w:name="_Toc247420598"/>
      <w:bookmarkStart w:id="401" w:name="_Toc6859"/>
      <w:r>
        <w:rPr>
          <w:rFonts w:ascii="Times New Roman" w:cs="Times New Roman"/>
        </w:rPr>
        <w:t>产业政策及规划符合情况</w:t>
      </w:r>
      <w:bookmarkEnd w:id="398"/>
      <w:bookmarkEnd w:id="399"/>
      <w:bookmarkEnd w:id="400"/>
      <w:bookmarkEnd w:id="401"/>
    </w:p>
    <w:p>
      <w:pPr>
        <w:pStyle w:val="458"/>
        <w:ind w:firstLine="480"/>
        <w:rPr>
          <w:rFonts w:cs="Times New Roman"/>
          <w:color w:val="auto"/>
        </w:rPr>
      </w:pPr>
      <w:r>
        <w:rPr>
          <w:rFonts w:cs="Times New Roman"/>
          <w:color w:val="auto"/>
        </w:rPr>
        <w:t>本项目</w:t>
      </w:r>
      <w:r>
        <w:rPr>
          <w:rFonts w:cs="Times New Roman"/>
          <w:color w:val="auto"/>
          <w:spacing w:val="-9"/>
        </w:rPr>
        <w:t>与</w:t>
      </w:r>
      <w:r>
        <w:rPr>
          <w:rFonts w:cs="Times New Roman"/>
          <w:color w:val="auto"/>
        </w:rPr>
        <w:t>《长江干线航道总体规划纲要</w:t>
      </w:r>
      <w:r>
        <w:rPr>
          <w:rFonts w:cs="Times New Roman"/>
          <w:color w:val="auto"/>
          <w:spacing w:val="-9"/>
        </w:rPr>
        <w:t>》</w:t>
      </w:r>
      <w:r>
        <w:rPr>
          <w:rFonts w:cs="Times New Roman"/>
          <w:color w:val="auto"/>
          <w:spacing w:val="-17"/>
        </w:rPr>
        <w:t>、</w:t>
      </w:r>
      <w:r>
        <w:rPr>
          <w:rFonts w:cs="Times New Roman"/>
          <w:color w:val="auto"/>
        </w:rPr>
        <w:t>《长江干线航道建设规划</w:t>
      </w:r>
      <w:r>
        <w:rPr>
          <w:rFonts w:cs="Times New Roman"/>
          <w:color w:val="auto"/>
          <w:spacing w:val="-9"/>
        </w:rPr>
        <w:t>》及</w:t>
      </w:r>
      <w:r>
        <w:rPr>
          <w:rFonts w:cs="Times New Roman"/>
          <w:color w:val="auto"/>
        </w:rPr>
        <w:t>《长江岸线保护和开发利用总体规划</w:t>
      </w:r>
      <w:r>
        <w:rPr>
          <w:rFonts w:cs="Times New Roman"/>
          <w:color w:val="auto"/>
          <w:spacing w:val="-8"/>
        </w:rPr>
        <w:t>》</w:t>
      </w:r>
      <w:r>
        <w:rPr>
          <w:rFonts w:cs="Times New Roman"/>
          <w:color w:val="auto"/>
        </w:rPr>
        <w:t>是相协调的</w:t>
      </w:r>
      <w:r>
        <w:rPr>
          <w:rFonts w:cs="Times New Roman"/>
          <w:color w:val="auto"/>
          <w:spacing w:val="-8"/>
        </w:rPr>
        <w:t>，</w:t>
      </w:r>
      <w:r>
        <w:rPr>
          <w:rFonts w:cs="Times New Roman"/>
          <w:color w:val="auto"/>
        </w:rPr>
        <w:t>其建设</w:t>
      </w:r>
      <w:r>
        <w:rPr>
          <w:rFonts w:cs="Times New Roman"/>
          <w:color w:val="auto"/>
          <w:spacing w:val="-8"/>
        </w:rPr>
        <w:t>与</w:t>
      </w:r>
      <w:r>
        <w:rPr>
          <w:rFonts w:cs="Times New Roman"/>
          <w:color w:val="auto"/>
        </w:rPr>
        <w:t>《湖南省交通运输</w:t>
      </w:r>
      <w:r>
        <w:rPr>
          <w:rFonts w:cs="Times New Roman" w:asciiTheme="minorEastAsia" w:hAnsiTheme="minorEastAsia" w:eastAsiaTheme="minorEastAsia"/>
          <w:color w:val="auto"/>
        </w:rPr>
        <w:t>“</w:t>
      </w:r>
      <w:r>
        <w:rPr>
          <w:rFonts w:cs="Times New Roman"/>
          <w:color w:val="auto"/>
        </w:rPr>
        <w:t>十四五</w:t>
      </w:r>
      <w:r>
        <w:rPr>
          <w:rFonts w:cs="Times New Roman" w:asciiTheme="minorEastAsia" w:hAnsiTheme="minorEastAsia" w:eastAsiaTheme="minorEastAsia"/>
          <w:color w:val="auto"/>
        </w:rPr>
        <w:t>”</w:t>
      </w:r>
      <w:r>
        <w:rPr>
          <w:rFonts w:cs="Times New Roman"/>
          <w:color w:val="auto"/>
        </w:rPr>
        <w:t>发展规划</w:t>
      </w:r>
      <w:r>
        <w:rPr>
          <w:rFonts w:cs="Times New Roman"/>
          <w:color w:val="auto"/>
          <w:spacing w:val="-8"/>
        </w:rPr>
        <w:t>》</w:t>
      </w:r>
      <w:r>
        <w:rPr>
          <w:rFonts w:cs="Times New Roman"/>
          <w:color w:val="auto"/>
          <w:spacing w:val="-15"/>
        </w:rPr>
        <w:t>、</w:t>
      </w:r>
      <w:r>
        <w:rPr>
          <w:rFonts w:cs="Times New Roman"/>
          <w:color w:val="auto"/>
        </w:rPr>
        <w:t>《湖南省港口布局规划</w:t>
      </w:r>
      <w:r>
        <w:rPr>
          <w:rFonts w:cs="Times New Roman"/>
          <w:color w:val="auto"/>
          <w:spacing w:val="-8"/>
        </w:rPr>
        <w:t>》</w:t>
      </w:r>
      <w:r>
        <w:rPr>
          <w:rFonts w:cs="Times New Roman"/>
          <w:color w:val="auto"/>
        </w:rPr>
        <w:t>《</w:t>
      </w:r>
      <w:r>
        <w:rPr>
          <w:rFonts w:cs="Times New Roman"/>
          <w:color w:val="auto"/>
          <w:spacing w:val="1"/>
        </w:rPr>
        <w:t>水产种质资源保护区管理暂行办法》</w:t>
      </w:r>
      <w:r>
        <w:rPr>
          <w:rFonts w:cs="Times New Roman"/>
          <w:color w:val="auto"/>
        </w:rPr>
        <w:t>及新修编</w:t>
      </w:r>
      <w:r>
        <w:rPr>
          <w:rFonts w:cs="Times New Roman"/>
          <w:color w:val="auto"/>
          <w:spacing w:val="-8"/>
        </w:rPr>
        <w:t>的</w:t>
      </w:r>
      <w:r>
        <w:rPr>
          <w:rFonts w:cs="Times New Roman"/>
          <w:color w:val="auto"/>
        </w:rPr>
        <w:t>《岳阳港总体规划</w:t>
      </w:r>
      <w:r>
        <w:rPr>
          <w:rFonts w:cs="Times New Roman"/>
          <w:color w:val="auto"/>
          <w:spacing w:val="-8"/>
        </w:rPr>
        <w:t>》</w:t>
      </w:r>
      <w:r>
        <w:rPr>
          <w:rFonts w:cs="Times New Roman"/>
          <w:color w:val="auto"/>
        </w:rPr>
        <w:t>及规划环评相符合</w:t>
      </w:r>
      <w:r>
        <w:rPr>
          <w:rFonts w:cs="Times New Roman"/>
          <w:color w:val="auto"/>
          <w:spacing w:val="-8"/>
        </w:rPr>
        <w:t>，</w:t>
      </w:r>
      <w:r>
        <w:rPr>
          <w:rFonts w:cs="Times New Roman"/>
          <w:color w:val="auto"/>
        </w:rPr>
        <w:t>项目选址可行</w:t>
      </w:r>
      <w:r>
        <w:rPr>
          <w:rFonts w:cs="Times New Roman"/>
          <w:color w:val="auto"/>
          <w:spacing w:val="-26"/>
        </w:rPr>
        <w:t>，</w:t>
      </w:r>
      <w:r>
        <w:rPr>
          <w:rFonts w:cs="Times New Roman"/>
          <w:color w:val="auto"/>
        </w:rPr>
        <w:t>工程布置合理</w:t>
      </w:r>
      <w:r>
        <w:rPr>
          <w:rFonts w:cs="Times New Roman"/>
          <w:color w:val="auto"/>
          <w:spacing w:val="-26"/>
        </w:rPr>
        <w:t>。</w:t>
      </w:r>
      <w:r>
        <w:rPr>
          <w:rFonts w:cs="Times New Roman"/>
          <w:color w:val="auto"/>
        </w:rPr>
        <w:t>拟采取的污染防治措施可将工程对环境的污染影响控制在最低程度</w:t>
      </w:r>
      <w:r>
        <w:rPr>
          <w:rFonts w:cs="Times New Roman"/>
          <w:color w:val="auto"/>
          <w:spacing w:val="-16"/>
        </w:rPr>
        <w:t>。</w:t>
      </w:r>
      <w:r>
        <w:rPr>
          <w:rFonts w:cs="Times New Roman"/>
          <w:color w:val="auto"/>
        </w:rPr>
        <w:t>此外</w:t>
      </w:r>
      <w:r>
        <w:rPr>
          <w:rFonts w:cs="Times New Roman"/>
          <w:color w:val="auto"/>
          <w:spacing w:val="-16"/>
        </w:rPr>
        <w:t>，</w:t>
      </w:r>
      <w:r>
        <w:rPr>
          <w:rFonts w:cs="Times New Roman"/>
          <w:color w:val="auto"/>
        </w:rPr>
        <w:t>项目属</w:t>
      </w:r>
      <w:r>
        <w:rPr>
          <w:rFonts w:cs="Times New Roman"/>
          <w:color w:val="auto"/>
          <w:spacing w:val="-16"/>
        </w:rPr>
        <w:t>于</w:t>
      </w:r>
      <w:r>
        <w:rPr>
          <w:rFonts w:cs="Times New Roman"/>
          <w:color w:val="auto"/>
        </w:rPr>
        <w:t>《产业结构调整指导目</w:t>
      </w:r>
      <w:r>
        <w:rPr>
          <w:rFonts w:cs="Times New Roman"/>
          <w:color w:val="auto"/>
          <w:spacing w:val="-16"/>
        </w:rPr>
        <w:t>录</w:t>
      </w:r>
      <w:r>
        <w:rPr>
          <w:rFonts w:cs="Times New Roman"/>
          <w:color w:val="auto"/>
        </w:rPr>
        <w:t>（2019 年本</w:t>
      </w:r>
      <w:r>
        <w:rPr>
          <w:rFonts w:cs="Times New Roman"/>
          <w:color w:val="auto"/>
          <w:spacing w:val="-16"/>
        </w:rPr>
        <w:t>）》</w:t>
      </w:r>
      <w:r>
        <w:rPr>
          <w:rFonts w:cs="Times New Roman"/>
          <w:color w:val="auto"/>
        </w:rPr>
        <w:t>中鼓励类项目</w:t>
      </w:r>
      <w:r>
        <w:rPr>
          <w:rFonts w:cs="Times New Roman"/>
          <w:color w:val="auto"/>
          <w:spacing w:val="-16"/>
        </w:rPr>
        <w:t>，</w:t>
      </w:r>
      <w:r>
        <w:rPr>
          <w:rFonts w:cs="Times New Roman"/>
          <w:color w:val="auto"/>
        </w:rPr>
        <w:t>符合国家有关法律、法规和政策规定</w:t>
      </w:r>
      <w:r>
        <w:rPr>
          <w:rStyle w:val="2125"/>
          <w:rFonts w:hint="default" w:ascii="Times New Roman" w:hAnsi="Times New Roman" w:cs="Times New Roman"/>
          <w:color w:val="auto"/>
        </w:rPr>
        <w:t>。</w:t>
      </w:r>
    </w:p>
    <w:p>
      <w:pPr>
        <w:pStyle w:val="453"/>
        <w:ind w:firstLine="643" w:firstLineChars="0"/>
        <w:rPr>
          <w:rFonts w:ascii="Times New Roman" w:cs="Times New Roman"/>
        </w:rPr>
      </w:pPr>
      <w:bookmarkStart w:id="402" w:name="_Toc247420601"/>
      <w:bookmarkStart w:id="403" w:name="_Toc106697053"/>
      <w:bookmarkStart w:id="404" w:name="_Toc535"/>
      <w:bookmarkStart w:id="405" w:name="_Toc16942"/>
      <w:r>
        <w:rPr>
          <w:rFonts w:ascii="Times New Roman" w:cs="Times New Roman"/>
        </w:rPr>
        <w:t>环境质量现状</w:t>
      </w:r>
      <w:bookmarkEnd w:id="402"/>
      <w:r>
        <w:rPr>
          <w:rFonts w:ascii="Times New Roman" w:cs="Times New Roman"/>
        </w:rPr>
        <w:t>评价结论</w:t>
      </w:r>
      <w:bookmarkEnd w:id="403"/>
      <w:bookmarkEnd w:id="404"/>
      <w:bookmarkEnd w:id="405"/>
    </w:p>
    <w:p>
      <w:pPr>
        <w:pStyle w:val="454"/>
        <w:ind w:firstLine="602"/>
        <w:rPr>
          <w:color w:val="auto"/>
        </w:rPr>
      </w:pPr>
      <w:r>
        <w:rPr>
          <w:color w:val="auto"/>
        </w:rPr>
        <w:t>地表水环境质量现状</w:t>
      </w:r>
    </w:p>
    <w:p>
      <w:pPr>
        <w:pStyle w:val="2133"/>
        <w:spacing w:line="360" w:lineRule="auto"/>
        <w:jc w:val="left"/>
        <w:rPr>
          <w:rFonts w:cs="Times New Roman"/>
        </w:rPr>
      </w:pPr>
      <w:r>
        <w:rPr>
          <w:rFonts w:hint="eastAsia"/>
        </w:rPr>
        <w:t>根据</w:t>
      </w:r>
      <w:r>
        <w:rPr>
          <w:rFonts w:cs="Times New Roman"/>
          <w:spacing w:val="-60"/>
        </w:rPr>
        <w:t xml:space="preserve"> </w:t>
      </w:r>
      <w:r>
        <w:rPr>
          <w:rFonts w:hint="eastAsia" w:cs="Times New Roman"/>
        </w:rPr>
        <w:t>《岳阳市二〇一九年度环境质量公报》《岳阳市2020年度生态环境质量公报》《岳阳市2021年度生态环境质量公报》，岳阳市环境保护监测站对长江干流岳阳段5个监测断面的监测结果分析，各监测断面均达到了《地表水环境质量标准》（GB3838-2002）III类标准，水质状况较好。</w:t>
      </w:r>
    </w:p>
    <w:p>
      <w:pPr>
        <w:ind w:firstLine="480"/>
      </w:pPr>
      <w:r>
        <w:t>通过</w:t>
      </w:r>
      <w:r>
        <w:rPr>
          <w:spacing w:val="-43"/>
        </w:rPr>
        <w:t xml:space="preserve"> </w:t>
      </w:r>
      <w:r>
        <w:t>2020年7月</w:t>
      </w:r>
      <w:r>
        <w:rPr>
          <w:spacing w:val="-44"/>
        </w:rPr>
        <w:t xml:space="preserve"> </w:t>
      </w:r>
      <w:r>
        <w:t>31日~8月</w:t>
      </w:r>
      <w:r>
        <w:rPr>
          <w:spacing w:val="-44"/>
        </w:rPr>
        <w:t xml:space="preserve"> </w:t>
      </w:r>
      <w:r>
        <w:t>2日</w:t>
      </w:r>
      <w:r>
        <w:rPr>
          <w:rFonts w:hint="eastAsia"/>
        </w:rPr>
        <w:t>对码头上下游的</w:t>
      </w:r>
      <w:r>
        <w:t>补充监测可知</w:t>
      </w:r>
      <w:r>
        <w:rPr>
          <w:spacing w:val="-26"/>
        </w:rPr>
        <w:t>，</w:t>
      </w:r>
      <w:r>
        <w:t>各监测断面中各监测因子指标均能满</w:t>
      </w:r>
      <w:r>
        <w:rPr>
          <w:spacing w:val="-26"/>
        </w:rPr>
        <w:t>足</w:t>
      </w:r>
      <w:r>
        <w:t>《地表水环境质量标准</w:t>
      </w:r>
      <w:r>
        <w:rPr>
          <w:spacing w:val="-29"/>
        </w:rPr>
        <w:t>》</w:t>
      </w:r>
      <w:r>
        <w:t>（G</w:t>
      </w:r>
      <w:r>
        <w:rPr>
          <w:spacing w:val="-1"/>
        </w:rPr>
        <w:t>B</w:t>
      </w:r>
      <w:r>
        <w:t>3838-2002</w:t>
      </w:r>
      <w:r>
        <w:rPr>
          <w:spacing w:val="-15"/>
        </w:rPr>
        <w:t>）</w:t>
      </w:r>
      <w:r>
        <w:t>Ⅲ类标准要求，</w:t>
      </w:r>
      <w:r>
        <w:rPr>
          <w:rFonts w:hint="eastAsia"/>
        </w:rPr>
        <w:t>水质状况较好</w:t>
      </w:r>
      <w:r>
        <w:t>。</w:t>
      </w:r>
    </w:p>
    <w:p>
      <w:pPr>
        <w:pStyle w:val="454"/>
        <w:ind w:firstLine="602"/>
        <w:rPr>
          <w:color w:val="auto"/>
        </w:rPr>
      </w:pPr>
      <w:r>
        <w:rPr>
          <w:color w:val="auto"/>
        </w:rPr>
        <w:t>河流底泥环境质量现状</w:t>
      </w:r>
    </w:p>
    <w:p>
      <w:pPr>
        <w:ind w:firstLine="480"/>
      </w:pPr>
      <w:r>
        <w:t>项目所在地水域底泥各个监测指标均可满足《土壤环境质量建设用地土壤污染风险管控标准》（GB36600-2018）中第二类用地风险筛选值要求。</w:t>
      </w:r>
    </w:p>
    <w:p>
      <w:pPr>
        <w:pStyle w:val="454"/>
        <w:ind w:firstLine="602"/>
        <w:rPr>
          <w:color w:val="auto"/>
        </w:rPr>
      </w:pPr>
      <w:r>
        <w:rPr>
          <w:color w:val="auto"/>
        </w:rPr>
        <w:t>环境空气质量现状</w:t>
      </w:r>
    </w:p>
    <w:p>
      <w:pPr>
        <w:numPr>
          <w:ilvl w:val="0"/>
          <w:numId w:val="0"/>
        </w:numPr>
        <w:autoSpaceDE/>
        <w:autoSpaceDN/>
        <w:ind w:firstLine="480"/>
        <w:rPr>
          <w:color w:val="000000" w:themeColor="text1"/>
          <w14:textFill>
            <w14:solidFill>
              <w14:schemeClr w14:val="tx1"/>
            </w14:solidFill>
          </w14:textFill>
        </w:rPr>
      </w:pPr>
      <w:r>
        <w:rPr>
          <w:rFonts w:hint="eastAsia"/>
        </w:rPr>
        <w:t>根据岳阳市生态环境局发布的</w:t>
      </w:r>
      <w:r>
        <w:rPr>
          <w:rFonts w:hint="eastAsia" w:cs="Times New Roman"/>
          <w:color w:val="000000" w:themeColor="text1"/>
          <w14:textFill>
            <w14:solidFill>
              <w14:schemeClr w14:val="tx1"/>
            </w14:solidFill>
          </w14:textFill>
        </w:rPr>
        <w:t>《岳阳市2021年度生态环境质量公报》</w:t>
      </w:r>
      <w:r>
        <w:rPr>
          <w:rFonts w:hint="eastAsia"/>
        </w:rPr>
        <w:t>中岳阳市的数据</w:t>
      </w:r>
      <w:r>
        <w:rPr>
          <w:rFonts w:hint="eastAsia" w:cs="Times New Roman"/>
          <w:color w:val="auto"/>
        </w:rPr>
        <w:t>，</w:t>
      </w:r>
      <w:r>
        <w:rPr>
          <w:rFonts w:hint="eastAsia" w:cs="Times New Roman"/>
          <w:color w:val="auto"/>
          <w:szCs w:val="24"/>
        </w:rPr>
        <w:t>项目所在区域的大气监测数据中，PM</w:t>
      </w:r>
      <w:r>
        <w:rPr>
          <w:rFonts w:hint="eastAsia" w:cs="Times New Roman"/>
          <w:color w:val="auto"/>
          <w:szCs w:val="24"/>
          <w:vertAlign w:val="subscript"/>
        </w:rPr>
        <w:t>2.5</w:t>
      </w:r>
      <w:r>
        <w:rPr>
          <w:rFonts w:hint="eastAsia" w:cs="Times New Roman"/>
          <w:color w:val="auto"/>
          <w:szCs w:val="24"/>
        </w:rPr>
        <w:t>有超标的情况存在，最大超标倍数0.286，因此</w:t>
      </w:r>
      <w:r>
        <w:rPr>
          <w:rFonts w:hint="eastAsia"/>
        </w:rPr>
        <w:t>2021年岳阳市为环境空气质量不达标区域。</w:t>
      </w:r>
      <w:r>
        <w:rPr>
          <w:rFonts w:hint="eastAsia" w:ascii="Times New Roman" w:hAnsi="Times New Roman" w:cs="Times New Roman"/>
          <w:lang w:val="en-US" w:eastAsia="zh-CN"/>
        </w:rPr>
        <w:t>根据岳阳市生态环境局保护委员会</w:t>
      </w:r>
      <w:r>
        <w:rPr>
          <w:rFonts w:hint="eastAsia" w:ascii="Times New Roman" w:hAnsi="Times New Roman" w:cs="Times New Roman"/>
          <w:b w:val="0"/>
          <w:bCs w:val="0"/>
          <w:sz w:val="24"/>
          <w:szCs w:val="24"/>
          <w:lang w:val="en-US" w:eastAsia="zh-CN"/>
        </w:rPr>
        <w:t>岳阳市生态环境保护委员会下发的关于印发《岳阳市环境空气质量限期达标规划（2020-2026）》的通知（岳生环委发[2020]10号）,通过采取削减煤炭消费需求，推进清洁电力生产；优化产业结构；</w:t>
      </w:r>
      <w:r>
        <w:rPr>
          <w:rFonts w:hint="eastAsia" w:ascii="Times New Roman" w:hAnsi="Times New Roman" w:cs="Times New Roman"/>
          <w:lang w:val="en-US" w:eastAsia="zh-CN"/>
        </w:rPr>
        <w:t>强化扬尘污染治理；巩固燃煤锅炉淘汰成果；强化重点污染行业排污许可证监管；加强对柴油车、非道路移动源污染治理；开展VOCs重点企业治理；禁止露天焚烧秸秆等措施，</w:t>
      </w:r>
      <w:r>
        <w:rPr>
          <w:rFonts w:hint="eastAsia"/>
        </w:rPr>
        <w:t>通过采取以上措施，</w:t>
      </w:r>
      <w:r>
        <w:rPr>
          <w:rFonts w:hint="eastAsia"/>
          <w:color w:val="000000" w:themeColor="text1"/>
          <w14:textFill>
            <w14:solidFill>
              <w14:schemeClr w14:val="tx1"/>
            </w14:solidFill>
          </w14:textFill>
        </w:rPr>
        <w:t>项目区域环境空气质量将得到改善。</w:t>
      </w:r>
    </w:p>
    <w:p>
      <w:pPr>
        <w:pStyle w:val="458"/>
        <w:ind w:firstLine="480"/>
        <w:rPr>
          <w:rFonts w:cs="Times New Roman"/>
          <w:color w:val="auto"/>
        </w:rPr>
      </w:pPr>
      <w:r>
        <w:rPr>
          <w:rFonts w:cs="Times New Roman"/>
          <w:color w:val="auto"/>
        </w:rPr>
        <w:t>根据补充监测可知，项目所在区域监测点位的 TSP满足《环境空气质量标准》（GB3095-2012）二级标准要求。</w:t>
      </w:r>
    </w:p>
    <w:p>
      <w:pPr>
        <w:pStyle w:val="454"/>
        <w:ind w:firstLine="602"/>
        <w:rPr>
          <w:color w:val="auto"/>
        </w:rPr>
      </w:pPr>
      <w:r>
        <w:rPr>
          <w:color w:val="auto"/>
        </w:rPr>
        <w:t>声环境质量现状</w:t>
      </w:r>
    </w:p>
    <w:p>
      <w:pPr>
        <w:pStyle w:val="458"/>
        <w:ind w:firstLine="480"/>
        <w:rPr>
          <w:rFonts w:cs="Times New Roman"/>
          <w:color w:val="auto"/>
          <w:lang w:val="zh-CN"/>
        </w:rPr>
      </w:pPr>
      <w:r>
        <w:rPr>
          <w:rFonts w:cs="Times New Roman"/>
          <w:color w:val="auto"/>
        </w:rPr>
        <w:t>现状监测结果表明，项目所在地声环境质量满足《声环境质量标准》（GB3096-2008）2类、</w:t>
      </w:r>
      <w:r>
        <w:rPr>
          <w:rFonts w:hint="eastAsia" w:cs="Times New Roman"/>
          <w:color w:val="auto"/>
          <w:lang w:val="en-US" w:eastAsia="zh-CN"/>
        </w:rPr>
        <w:t>3类、</w:t>
      </w:r>
      <w:r>
        <w:rPr>
          <w:rFonts w:hint="eastAsia" w:cs="Times New Roman"/>
          <w:color w:val="auto"/>
        </w:rPr>
        <w:t>4</w:t>
      </w:r>
      <w:r>
        <w:rPr>
          <w:rFonts w:cs="Times New Roman"/>
          <w:color w:val="auto"/>
        </w:rPr>
        <w:t>类标准</w:t>
      </w:r>
      <w:r>
        <w:rPr>
          <w:rFonts w:cs="Times New Roman"/>
          <w:color w:val="auto"/>
          <w:lang w:val="zh-CN"/>
        </w:rPr>
        <w:t>。</w:t>
      </w:r>
    </w:p>
    <w:p>
      <w:pPr>
        <w:pStyle w:val="454"/>
        <w:ind w:firstLine="602"/>
        <w:rPr>
          <w:color w:val="auto"/>
          <w:lang w:val="en-US"/>
        </w:rPr>
      </w:pPr>
      <w:r>
        <w:rPr>
          <w:rFonts w:hint="eastAsia"/>
          <w:color w:val="auto"/>
          <w:lang w:val="en-US"/>
        </w:rPr>
        <w:t>生态环境现状</w:t>
      </w:r>
    </w:p>
    <w:p>
      <w:pPr>
        <w:ind w:firstLine="482"/>
      </w:pPr>
      <w:r>
        <w:rPr>
          <w:rFonts w:hint="eastAsia"/>
          <w:b/>
          <w:bCs/>
        </w:rPr>
        <w:t>水生生态</w:t>
      </w:r>
      <w:r>
        <w:rPr>
          <w:rFonts w:hint="eastAsia"/>
          <w:b/>
          <w:bCs/>
          <w:color w:val="000000" w:themeColor="text1"/>
          <w14:textFill>
            <w14:solidFill>
              <w14:schemeClr w14:val="tx1"/>
            </w14:solidFill>
          </w14:textFill>
        </w:rPr>
        <w:t>环境现状：</w:t>
      </w:r>
      <w:r>
        <w:rPr>
          <w:rFonts w:hint="eastAsia"/>
          <w:color w:val="000000" w:themeColor="text1"/>
          <w14:textFill>
            <w14:solidFill>
              <w14:schemeClr w14:val="tx1"/>
            </w14:solidFill>
          </w14:textFill>
        </w:rPr>
        <w:t>工程评价区域江段浮游植物共鉴定出109属，主要以硅藻门、绿藻门、蓝藻们为主；水生</w:t>
      </w:r>
      <w:r>
        <w:rPr>
          <w:bCs/>
        </w:rPr>
        <w:t>水生维管束植物28种</w:t>
      </w:r>
      <w:r>
        <w:rPr>
          <w:rFonts w:hint="eastAsia"/>
          <w:bCs/>
        </w:rPr>
        <w:t>，主要有沉水植物、挺水植物、浮叶植物；</w:t>
      </w:r>
      <w:r>
        <w:rPr>
          <w:rFonts w:hint="eastAsia"/>
          <w:color w:val="000000" w:themeColor="text1"/>
          <w14:textFill>
            <w14:solidFill>
              <w14:schemeClr w14:val="tx1"/>
            </w14:solidFill>
          </w14:textFill>
        </w:rPr>
        <w:t>浮游动物86属，</w:t>
      </w:r>
      <w:r>
        <w:rPr>
          <w:color w:val="000000" w:themeColor="text1"/>
          <w14:textFill>
            <w14:solidFill>
              <w14:schemeClr w14:val="tx1"/>
            </w14:solidFill>
          </w14:textFill>
        </w:rPr>
        <w:t>主要以轮虫、原生动物、枝角类、桡足类为主</w:t>
      </w:r>
      <w:r>
        <w:rPr>
          <w:rFonts w:hint="eastAsia"/>
          <w:color w:val="000000" w:themeColor="text1"/>
          <w14:textFill>
            <w14:solidFill>
              <w14:schemeClr w14:val="tx1"/>
            </w14:solidFill>
          </w14:textFill>
        </w:rPr>
        <w:t>；共调查</w:t>
      </w:r>
      <w:r>
        <w:rPr>
          <w:lang w:val="zh-CN"/>
        </w:rPr>
        <w:t>底栖动物3门</w:t>
      </w:r>
      <w:r>
        <w:t>28</w:t>
      </w:r>
      <w:r>
        <w:rPr>
          <w:lang w:val="zh-CN"/>
        </w:rPr>
        <w:t>种（属）</w:t>
      </w:r>
      <w:r>
        <w:rPr>
          <w:rFonts w:hint="eastAsia"/>
          <w:lang w:val="zh-CN"/>
        </w:rPr>
        <w:t>，</w:t>
      </w:r>
      <w:r>
        <w:rPr>
          <w:rFonts w:hint="eastAsia"/>
        </w:rPr>
        <w:t>主要以</w:t>
      </w:r>
      <w:r>
        <w:rPr>
          <w:kern w:val="0"/>
        </w:rPr>
        <w:t>节肢动物</w:t>
      </w:r>
      <w:r>
        <w:rPr>
          <w:rFonts w:hint="eastAsia"/>
          <w:kern w:val="0"/>
        </w:rPr>
        <w:t>、</w:t>
      </w:r>
      <w:r>
        <w:rPr>
          <w:lang w:val="zh-CN"/>
        </w:rPr>
        <w:t>软体动物</w:t>
      </w:r>
      <w:r>
        <w:rPr>
          <w:rFonts w:hint="eastAsia"/>
        </w:rPr>
        <w:t>和环节动物为主；</w:t>
      </w:r>
      <w:r>
        <w:rPr>
          <w:rFonts w:hint="eastAsia"/>
          <w:color w:val="000000" w:themeColor="text1"/>
          <w14:textFill>
            <w14:solidFill>
              <w14:schemeClr w14:val="tx1"/>
            </w14:solidFill>
          </w14:textFill>
        </w:rPr>
        <w:t>工程所在江段鱼类资源丰富，</w:t>
      </w:r>
      <w:r>
        <w:rPr>
          <w:color w:val="000000" w:themeColor="text1"/>
          <w14:textFill>
            <w14:solidFill>
              <w14:schemeClr w14:val="tx1"/>
            </w14:solidFill>
          </w14:textFill>
        </w:rPr>
        <w:t>历史上工程江段分布鱼类</w:t>
      </w:r>
      <w:r>
        <w:t>分布鱼类114种，隶属于11目25科。其中鲤形目鱼类有75种，占鱼类种数的65.8%；其次为鲇形目14种，占12.3%，鲈形目鱼类12种，占10.5%。评价区水域记录国家级、湖南省级</w:t>
      </w:r>
      <w:r>
        <w:rPr>
          <w:rFonts w:hint="eastAsia"/>
        </w:rPr>
        <w:t>保护</w:t>
      </w:r>
      <w:r>
        <w:t>以及被列入《中国生物多样性红色名录》（2015）极危、濒危、易危的重要水生生物</w:t>
      </w:r>
      <w:r>
        <w:rPr>
          <w:rFonts w:hint="eastAsia"/>
        </w:rPr>
        <w:t>24种，隶属于</w:t>
      </w:r>
      <w:r>
        <w:t>8目12科属国家重点保护野生动物名录一级保护种类</w:t>
      </w:r>
      <w:r>
        <w:rPr>
          <w:rFonts w:hint="eastAsia"/>
        </w:rPr>
        <w:t>有长江江豚、白鲟、长江鲟、中华鲟、鲥5种；</w:t>
      </w:r>
      <w:r>
        <w:t>二级保护种类</w:t>
      </w:r>
      <w:r>
        <w:rPr>
          <w:rFonts w:hint="eastAsia"/>
        </w:rPr>
        <w:t>有胭脂鱼、长薄鳅、红唇薄鳅、鯮、长鳍吻鮈、多鳞白甲鱼、岩原鲤</w:t>
      </w:r>
      <w:r>
        <w:t>7种</w:t>
      </w:r>
      <w:r>
        <w:rPr>
          <w:rFonts w:hint="eastAsia"/>
        </w:rPr>
        <w:t>、圆口铜鱼8</w:t>
      </w:r>
      <w:r>
        <w:t>种；被列入《湖南省地方重点保护野生动植物名录》的有12种，其中鲥和白鲟2种近二十年内未发现；被列入《中国生物多样性红色名录》（2015）的有白鲟、长江鲟、中华鲟、鲥、短吻间银鱼、日本鳗鲡、胭脂鱼、长薄鳅、红唇薄鳅、紫薄鳅、鯮、长鳍吻鮈、圆口铜鱼、多鳞白甲鱼、岩原鲤15种。</w:t>
      </w:r>
    </w:p>
    <w:p>
      <w:pPr>
        <w:ind w:firstLine="480"/>
      </w:pPr>
      <w:r>
        <w:rPr>
          <w:szCs w:val="20"/>
        </w:rPr>
        <w:t>评价区上游城陵矶-大湾江段是</w:t>
      </w:r>
      <w:r>
        <w:rPr>
          <w:rFonts w:hint="eastAsia"/>
          <w:szCs w:val="20"/>
        </w:rPr>
        <w:t>“</w:t>
      </w:r>
      <w:r>
        <w:rPr>
          <w:szCs w:val="20"/>
        </w:rPr>
        <w:t>四大家鱼</w:t>
      </w:r>
      <w:r>
        <w:rPr>
          <w:rFonts w:hint="eastAsia"/>
          <w:szCs w:val="20"/>
        </w:rPr>
        <w:t>”</w:t>
      </w:r>
      <w:r>
        <w:rPr>
          <w:szCs w:val="20"/>
        </w:rPr>
        <w:t>、铜鱼等产漂流性卵鱼类较集中的产卵场。产卵场范围约13km，位于工程上游10km~23km江段。</w:t>
      </w:r>
      <w:r>
        <w:t>产粘草基质卵鱼类产卵场均位于拟建工程上游，距离工程最近的成规模的产粘草基质鱼类产卵为位于三江口，距离工程上游约9.5km。距离工程最近的产粘砾石基质卵鱼类产卵场位于迈江洲，距离工程上游约9km。</w:t>
      </w:r>
    </w:p>
    <w:p>
      <w:pPr>
        <w:wordWrap w:val="0"/>
        <w:ind w:firstLine="480"/>
      </w:pPr>
      <w:r>
        <w:t>工程及评价区不存在大规模鱼类索饵场，距离工程最近的成规模鱼类索饵场位于工程上游约10km的洞庭湖汇口的三江口。</w:t>
      </w:r>
    </w:p>
    <w:p>
      <w:pPr>
        <w:wordWrap w:val="0"/>
        <w:ind w:firstLine="480"/>
      </w:pPr>
      <w:r>
        <w:t>洞庭湖与长江交汇口水深在15~20m之间，洞庭湖汇口与长江干流是鱼类良好的越冬场所。</w:t>
      </w:r>
    </w:p>
    <w:p>
      <w:pPr>
        <w:ind w:firstLine="480"/>
      </w:pPr>
      <w:r>
        <w:t>长江内有中华鲟、日本鳗鲡等江海洄游鱼类，还有四大家鱼等江河洄游鱼类，工程所在的长江干流是长江鱼类重要的洄游通道。</w:t>
      </w:r>
    </w:p>
    <w:p>
      <w:pPr>
        <w:ind w:firstLine="482"/>
      </w:pPr>
      <w:r>
        <w:rPr>
          <w:rFonts w:hint="eastAsia"/>
          <w:b/>
          <w:bCs/>
        </w:rPr>
        <w:t>陆域生态环境现状：</w:t>
      </w:r>
      <w:r>
        <w:rPr>
          <w:rFonts w:hint="eastAsia"/>
        </w:rPr>
        <w:t>码头区内以草本植被为主，没有发现珍稀物种。工程评价区域存在少量农业养殖禽畜、常见鸟类，无等级保护动物。</w:t>
      </w:r>
    </w:p>
    <w:p>
      <w:pPr>
        <w:pStyle w:val="453"/>
        <w:ind w:firstLine="643" w:firstLineChars="0"/>
        <w:rPr>
          <w:rFonts w:ascii="Times New Roman" w:cs="Times New Roman"/>
        </w:rPr>
      </w:pPr>
      <w:bookmarkStart w:id="406" w:name="_Toc106697054"/>
      <w:bookmarkStart w:id="407" w:name="_Toc28069"/>
      <w:bookmarkStart w:id="408" w:name="_Toc31347"/>
      <w:r>
        <w:rPr>
          <w:rFonts w:ascii="Times New Roman" w:cs="Times New Roman"/>
        </w:rPr>
        <w:t>环境影响评价</w:t>
      </w:r>
      <w:bookmarkEnd w:id="406"/>
      <w:r>
        <w:rPr>
          <w:rFonts w:hint="eastAsia" w:ascii="Times New Roman" w:cs="Times New Roman"/>
          <w:lang w:val="en-US" w:eastAsia="zh-CN"/>
        </w:rPr>
        <w:t>及环境保护措施可行性结论</w:t>
      </w:r>
      <w:bookmarkEnd w:id="407"/>
      <w:bookmarkEnd w:id="408"/>
    </w:p>
    <w:p>
      <w:pPr>
        <w:pStyle w:val="454"/>
        <w:ind w:firstLine="602"/>
        <w:rPr>
          <w:color w:val="auto"/>
        </w:rPr>
      </w:pPr>
      <w:r>
        <w:rPr>
          <w:color w:val="auto"/>
        </w:rPr>
        <w:t>地表水</w:t>
      </w:r>
    </w:p>
    <w:p>
      <w:pPr>
        <w:pStyle w:val="456"/>
        <w:ind w:firstLine="482"/>
      </w:pPr>
      <w:r>
        <w:t>施工期</w:t>
      </w:r>
    </w:p>
    <w:p>
      <w:pPr>
        <w:ind w:firstLine="480"/>
      </w:pPr>
      <w:r>
        <w:t>码头施工对水环境的影响主要是</w:t>
      </w:r>
      <w:r>
        <w:rPr>
          <w:kern w:val="0"/>
        </w:rPr>
        <w:t>底泥疏浚、主体结构水下施工</w:t>
      </w:r>
      <w:r>
        <w:t>引起局部水体悬浮物浓度升高。</w:t>
      </w:r>
    </w:p>
    <w:p>
      <w:pPr>
        <w:ind w:firstLine="480"/>
      </w:pPr>
      <w:r>
        <w:t>打桩施工造成悬浮物浓度增加值超过1</w:t>
      </w:r>
      <w:r>
        <w:rPr>
          <w:kern w:val="0"/>
        </w:rPr>
        <w:t>0mg/L的范围为沿水流方向长约100~250m，垂直岸边宽约50~100m，打桩施工引起的悬浮物</w:t>
      </w:r>
      <w:r>
        <w:rPr>
          <w:rFonts w:hint="eastAsia"/>
          <w:kern w:val="0"/>
        </w:rPr>
        <w:t>影响范围较小且</w:t>
      </w:r>
      <w:r>
        <w:t>持续时间短，</w:t>
      </w:r>
      <w:r>
        <w:rPr>
          <w:kern w:val="0"/>
        </w:rPr>
        <w:t>不会对下游饮用水水源保护区取水口水质产生污染影响。</w:t>
      </w:r>
      <w:r>
        <w:t>随着施工结束污染影响也随之结束。</w:t>
      </w:r>
    </w:p>
    <w:p>
      <w:pPr>
        <w:ind w:firstLine="480"/>
      </w:pPr>
      <w:r>
        <w:rPr>
          <w:kern w:val="10"/>
        </w:rPr>
        <w:t>疏浚工程使水体内SS含量升高，对疏浚河段水质有较明显的影响，它随着河水运动的同时在河水中沉降，并最终淤积于河底，这一特性决定了它的影响范围和影响时间是有限的，疏浚引起的悬浮物扩散的影响将随施工结束而消失。且由于河道疏浚施工程序为局部施工而非全面铺开，清淤河道较短，因此水体浑浊度的增加仅限于局部地区的短时期内，这一不利影响将随施工结束而消失。</w:t>
      </w:r>
    </w:p>
    <w:p>
      <w:pPr>
        <w:ind w:firstLine="480"/>
      </w:pPr>
      <w:r>
        <w:rPr>
          <w:rFonts w:hint="eastAsia"/>
          <w:lang w:val="en-US" w:eastAsia="zh-CN"/>
        </w:rPr>
        <w:t>通过加强施工环境管理，</w:t>
      </w:r>
      <w:r>
        <w:t>施工船舶不得向施工水域排放舱底油污水或生活污水，项目船舶生活污水和含油废水经施工单位负责交海事部门环保船接收处理，不外排，不会对周边水环境造成影响。施工人员租用附近民宅作为办公休息地点，生活污水依托已有排水系统，可避免临时施工营地生活污水排放带来的污染影响。</w:t>
      </w:r>
    </w:p>
    <w:p>
      <w:pPr>
        <w:ind w:firstLine="480"/>
      </w:pPr>
      <w:r>
        <w:t>施工期污水可以通过加强施工管理，充分利用各种污水处理设施来减轻其不利影响，其给环境带来的影响是局部的、短期的、可逆的、一般性的，一旦施工结束，影响也将很快消除。</w:t>
      </w:r>
    </w:p>
    <w:p>
      <w:pPr>
        <w:pStyle w:val="456"/>
        <w:ind w:firstLine="482"/>
      </w:pPr>
      <w:r>
        <w:t>运营期</w:t>
      </w:r>
    </w:p>
    <w:p>
      <w:pPr>
        <w:ind w:firstLine="480"/>
        <w:rPr>
          <w:bCs/>
        </w:rPr>
      </w:pPr>
      <w:r>
        <w:rPr>
          <w:bCs/>
        </w:rPr>
        <w:t>运营期产生的废水主要为船舶废水（船舶舱底油污水、船舶生活污水）</w:t>
      </w:r>
      <w:r>
        <w:rPr>
          <w:rFonts w:hint="eastAsia"/>
          <w:bCs/>
        </w:rPr>
        <w:t>、</w:t>
      </w:r>
      <w:r>
        <w:rPr>
          <w:bCs/>
        </w:rPr>
        <w:t>冲洗废水、初期雨水和员工生活污水。</w:t>
      </w:r>
    </w:p>
    <w:p>
      <w:pPr>
        <w:ind w:firstLine="480"/>
      </w:pPr>
      <w:r>
        <w:t>到港船舶污水不得在本码头水域排放，船底油污水经船舶自配的油水分离器处理后 和船舶生活污水</w:t>
      </w:r>
      <w:r>
        <w:rPr>
          <w:rFonts w:hint="default" w:ascii="Times New Roman" w:hAnsi="Times New Roman" w:eastAsia="宋体" w:cs="Times New Roman"/>
          <w:kern w:val="2"/>
          <w:sz w:val="24"/>
          <w:szCs w:val="24"/>
          <w:lang w:val="en-US" w:eastAsia="zh-CN" w:bidi="ar"/>
        </w:rPr>
        <w:t>上岸进入港区专用</w:t>
      </w:r>
      <w:r>
        <w:rPr>
          <w:rFonts w:hint="default" w:eastAsia="宋体" w:cs="Times New Roman"/>
          <w:kern w:val="2"/>
          <w:sz w:val="24"/>
          <w:szCs w:val="24"/>
          <w:lang w:val="en-US" w:eastAsia="zh-CN" w:bidi="ar"/>
        </w:rPr>
        <w:t>接收装置</w:t>
      </w:r>
      <w:r>
        <w:rPr>
          <w:rFonts w:hint="default" w:ascii="Times New Roman" w:hAnsi="Times New Roman" w:eastAsia="宋体" w:cs="Times New Roman"/>
          <w:kern w:val="2"/>
          <w:sz w:val="24"/>
          <w:szCs w:val="24"/>
          <w:lang w:val="en-US" w:eastAsia="zh-CN" w:bidi="ar"/>
        </w:rPr>
        <w:t>，</w:t>
      </w:r>
      <w:r>
        <w:rPr>
          <w:spacing w:val="0"/>
          <w:sz w:val="24"/>
          <w:szCs w:val="24"/>
        </w:rPr>
        <w:t>申请海事部门的环保工作船进行专业收集处理</w:t>
      </w:r>
      <w:r>
        <w:t>。</w:t>
      </w:r>
    </w:p>
    <w:p>
      <w:pPr>
        <w:ind w:firstLine="468"/>
        <w:rPr>
          <w:spacing w:val="-3"/>
          <w:szCs w:val="22"/>
        </w:rPr>
      </w:pPr>
      <w:r>
        <w:rPr>
          <w:spacing w:val="-3"/>
          <w:szCs w:val="22"/>
        </w:rPr>
        <w:t>码头区域设有收集</w:t>
      </w:r>
      <w:r>
        <w:t>围坎</w:t>
      </w:r>
      <w:r>
        <w:rPr>
          <w:spacing w:val="-3"/>
          <w:szCs w:val="22"/>
        </w:rPr>
        <w:t>和污水收集池，</w:t>
      </w:r>
      <w:r>
        <w:rPr>
          <w:bCs/>
        </w:rPr>
        <w:t>码头作业平台冲洗废水和</w:t>
      </w:r>
      <w:r>
        <w:rPr>
          <w:spacing w:val="-3"/>
          <w:szCs w:val="22"/>
        </w:rPr>
        <w:t>初期雨水经收集后</w:t>
      </w:r>
      <w:r>
        <w:t>进入污水收集池</w:t>
      </w:r>
      <w:r>
        <w:rPr>
          <w:spacing w:val="-3"/>
          <w:szCs w:val="22"/>
        </w:rPr>
        <w:t>，</w:t>
      </w:r>
      <w:r>
        <w:rPr>
          <w:szCs w:val="28"/>
        </w:rPr>
        <w:t>收集池内设置排污泵，定期将污水输送至后方陆域工程区</w:t>
      </w:r>
      <w:r>
        <w:rPr>
          <w:spacing w:val="4"/>
        </w:rPr>
        <w:t>，进行处理利用</w:t>
      </w:r>
      <w:r>
        <w:rPr>
          <w:spacing w:val="-3"/>
          <w:szCs w:val="22"/>
        </w:rPr>
        <w:t>。</w:t>
      </w:r>
    </w:p>
    <w:p>
      <w:pPr>
        <w:ind w:firstLine="480"/>
        <w:rPr>
          <w:spacing w:val="-3"/>
          <w:szCs w:val="22"/>
        </w:rPr>
      </w:pPr>
      <w:r>
        <w:rPr>
          <w:rFonts w:hint="eastAsia"/>
        </w:rPr>
        <w:t>员工生活污水经化粪池处理达到《污水综合排放标准》（GB8978-1996）表4三级标准后排入市政管网</w:t>
      </w:r>
      <w:r>
        <w:rPr>
          <w:rFonts w:hint="eastAsia"/>
          <w:lang w:val="en-US" w:eastAsia="zh-CN"/>
        </w:rPr>
        <w:t>进入临港水质净化厂处理</w:t>
      </w:r>
      <w:r>
        <w:rPr>
          <w:rFonts w:hint="eastAsia"/>
        </w:rPr>
        <w:t>。</w:t>
      </w:r>
    </w:p>
    <w:p>
      <w:pPr>
        <w:ind w:firstLine="472"/>
      </w:pPr>
      <w:r>
        <w:rPr>
          <w:spacing w:val="-2"/>
        </w:rPr>
        <w:t>本项目码头平台</w:t>
      </w:r>
      <w:r>
        <w:t>采用直立式框架结构</w:t>
      </w:r>
      <w:r>
        <w:rPr>
          <w:spacing w:val="-12"/>
        </w:rPr>
        <w:t>，</w:t>
      </w:r>
      <w:r>
        <w:t>底部与长江河岸线基本在一平面线上</w:t>
      </w:r>
      <w:r>
        <w:rPr>
          <w:spacing w:val="-12"/>
        </w:rPr>
        <w:t>，</w:t>
      </w:r>
      <w:r>
        <w:t>没有束窄河道</w:t>
      </w:r>
      <w:r>
        <w:rPr>
          <w:spacing w:val="-14"/>
        </w:rPr>
        <w:t>，</w:t>
      </w:r>
      <w:r>
        <w:t>对长江的水面面积</w:t>
      </w:r>
      <w:r>
        <w:rPr>
          <w:spacing w:val="-8"/>
        </w:rPr>
        <w:t>、</w:t>
      </w:r>
      <w:r>
        <w:t>水量</w:t>
      </w:r>
      <w:r>
        <w:rPr>
          <w:spacing w:val="-8"/>
        </w:rPr>
        <w:t>、</w:t>
      </w:r>
      <w:r>
        <w:t>径流过程</w:t>
      </w:r>
      <w:r>
        <w:rPr>
          <w:spacing w:val="-8"/>
        </w:rPr>
        <w:t>、</w:t>
      </w:r>
      <w:r>
        <w:t>水位</w:t>
      </w:r>
      <w:r>
        <w:rPr>
          <w:spacing w:val="-8"/>
        </w:rPr>
        <w:t>、</w:t>
      </w:r>
      <w:r>
        <w:t>水深</w:t>
      </w:r>
      <w:r>
        <w:rPr>
          <w:spacing w:val="-8"/>
        </w:rPr>
        <w:t>、</w:t>
      </w:r>
      <w:r>
        <w:t>流速</w:t>
      </w:r>
      <w:r>
        <w:rPr>
          <w:spacing w:val="-8"/>
        </w:rPr>
        <w:t>、</w:t>
      </w:r>
      <w:r>
        <w:t>水面宽</w:t>
      </w:r>
      <w:r>
        <w:rPr>
          <w:spacing w:val="-8"/>
        </w:rPr>
        <w:t>、</w:t>
      </w:r>
      <w:r>
        <w:t>冲淤变化等基本没有影响。因此，本项目对长江水文要素影响较小。</w:t>
      </w:r>
    </w:p>
    <w:p>
      <w:pPr>
        <w:pStyle w:val="454"/>
        <w:ind w:firstLine="602"/>
        <w:rPr>
          <w:color w:val="auto"/>
        </w:rPr>
      </w:pPr>
      <w:r>
        <w:rPr>
          <w:color w:val="auto"/>
        </w:rPr>
        <w:t>环境空气</w:t>
      </w:r>
    </w:p>
    <w:p>
      <w:pPr>
        <w:pStyle w:val="456"/>
        <w:ind w:firstLine="482"/>
      </w:pPr>
      <w:r>
        <w:t>施工期</w:t>
      </w:r>
    </w:p>
    <w:p>
      <w:pPr>
        <w:pStyle w:val="458"/>
        <w:ind w:firstLine="480"/>
        <w:rPr>
          <w:rFonts w:cs="Times New Roman"/>
          <w:color w:val="auto"/>
        </w:rPr>
      </w:pPr>
      <w:r>
        <w:rPr>
          <w:rFonts w:cs="Times New Roman"/>
          <w:color w:val="auto"/>
        </w:rPr>
        <w:t>施工期大气污染物为扬尘、施工船舶、车辆和机械燃油废气以及淤泥恶臭。</w:t>
      </w:r>
    </w:p>
    <w:p>
      <w:pPr>
        <w:pStyle w:val="458"/>
        <w:ind w:firstLine="480"/>
        <w:rPr>
          <w:rFonts w:cs="Times New Roman"/>
          <w:color w:val="auto"/>
        </w:rPr>
      </w:pPr>
      <w:r>
        <w:rPr>
          <w:rFonts w:cs="Times New Roman"/>
          <w:color w:val="auto"/>
        </w:rPr>
        <w:t>通过</w:t>
      </w:r>
      <w:r>
        <w:rPr>
          <w:rFonts w:cs="Times New Roman" w:eastAsiaTheme="minorEastAsia"/>
          <w:color w:val="auto"/>
        </w:rPr>
        <w:t>加强施工区的规划管理，</w:t>
      </w:r>
      <w:r>
        <w:rPr>
          <w:rFonts w:cs="Times New Roman"/>
          <w:color w:val="auto"/>
        </w:rPr>
        <w:t>运输车辆及后方施工场地内堆场采取遮盖措施，运输车辆定期清洗，</w:t>
      </w:r>
      <w:r>
        <w:rPr>
          <w:rFonts w:hint="eastAsia" w:cs="Times New Roman"/>
          <w:color w:val="auto"/>
          <w:lang w:val="en-US" w:eastAsia="zh-CN"/>
        </w:rPr>
        <w:t>施工场地定期洒水降尘，通过采取以上降尘措施，施工</w:t>
      </w:r>
      <w:r>
        <w:rPr>
          <w:rFonts w:cs="Times New Roman"/>
          <w:color w:val="auto"/>
          <w:szCs w:val="24"/>
        </w:rPr>
        <w:t>扬尘能够满足</w:t>
      </w:r>
      <w:r>
        <w:rPr>
          <w:rFonts w:cs="Times New Roman"/>
          <w:snapToGrid w:val="0"/>
          <w:color w:val="auto"/>
          <w:kern w:val="0"/>
        </w:rPr>
        <w:t>《大气污染物综合排放标准》（GB16297-1996）无组织排放标准。</w:t>
      </w:r>
      <w:r>
        <w:rPr>
          <w:rFonts w:cs="Times New Roman"/>
          <w:color w:val="auto"/>
        </w:rPr>
        <w:t>施工期扬尘对环境空气的影响是暂时的，随着施工的结束，污染也随之消失。</w:t>
      </w:r>
    </w:p>
    <w:p>
      <w:pPr>
        <w:pStyle w:val="458"/>
        <w:ind w:firstLine="480"/>
        <w:rPr>
          <w:rFonts w:cs="Times New Roman"/>
          <w:color w:val="auto"/>
        </w:rPr>
      </w:pPr>
      <w:r>
        <w:rPr>
          <w:rFonts w:cs="Times New Roman"/>
          <w:color w:val="auto"/>
        </w:rPr>
        <w:t>本项目施工作业均在岸边或江面上进行，施工作业又具有流动性和间歇性的特点，施工燃油废气将迅速扩散，施工结束时，施工机械将撤出，影响将消除。</w:t>
      </w:r>
    </w:p>
    <w:p>
      <w:pPr>
        <w:pStyle w:val="458"/>
        <w:ind w:firstLine="480"/>
        <w:rPr>
          <w:rFonts w:cs="Times New Roman"/>
          <w:color w:val="auto"/>
        </w:rPr>
      </w:pPr>
      <w:r>
        <w:rPr>
          <w:rFonts w:cs="Times New Roman"/>
          <w:color w:val="auto"/>
        </w:rPr>
        <w:t>根据同类工程底泥堆场的类比调查结果，距离底泥堆场30-50m处有轻微臭味，距离80~100m处基本无臭味。本项目底泥疏浚区域距离居民点较远，约700 m，</w:t>
      </w:r>
      <w:r>
        <w:rPr>
          <w:rFonts w:hint="eastAsia" w:cs="Times New Roman"/>
          <w:color w:val="auto"/>
          <w:lang w:val="en-US" w:eastAsia="zh-CN"/>
        </w:rPr>
        <w:t>通过设置围挡，喷洒除臭剂，及时脱水干化，进一步减少恶臭对周边环境的影响。</w:t>
      </w:r>
      <w:r>
        <w:rPr>
          <w:rFonts w:cs="Times New Roman"/>
          <w:color w:val="auto"/>
        </w:rPr>
        <w:t>因此恶臭不会对周围居民的造成显著影响。</w:t>
      </w:r>
    </w:p>
    <w:p>
      <w:pPr>
        <w:pStyle w:val="456"/>
        <w:ind w:firstLine="482"/>
      </w:pPr>
      <w:r>
        <w:t>运营期</w:t>
      </w:r>
    </w:p>
    <w:p>
      <w:pPr>
        <w:pStyle w:val="458"/>
        <w:rPr>
          <w:rFonts w:hint="default" w:eastAsia="宋体"/>
          <w:lang w:val="en-US" w:eastAsia="zh-CN"/>
        </w:rPr>
      </w:pPr>
      <w:r>
        <w:rPr>
          <w:rFonts w:hint="eastAsia"/>
          <w:lang w:val="en-US" w:eastAsia="zh-CN"/>
        </w:rPr>
        <w:t>运营期产生废气主要是装卸粉尘、车辆</w:t>
      </w:r>
      <w:r>
        <w:rPr>
          <w:rFonts w:hint="default" w:ascii="Times New Roman" w:hAnsi="Times New Roman" w:cs="Times New Roman"/>
          <w:color w:val="auto"/>
          <w:szCs w:val="20"/>
          <w:lang w:val="en-US" w:eastAsia="zh-CN"/>
        </w:rPr>
        <w:t>运输扬尘和汽车船舶尾气等，项目采取</w:t>
      </w:r>
      <w:r>
        <w:rPr>
          <w:rFonts w:hint="default" w:ascii="Times New Roman" w:hAnsi="Times New Roman" w:eastAsia="宋体" w:cs="Times New Roman"/>
          <w:color w:val="auto"/>
          <w:sz w:val="24"/>
          <w:szCs w:val="20"/>
          <w:lang w:val="en-US" w:eastAsia="zh-CN"/>
        </w:rPr>
        <w:t>后方陆域堆场、卸料车棚和皮带廊道采取全封闭措施，</w:t>
      </w:r>
      <w:r>
        <w:rPr>
          <w:rFonts w:hint="default" w:ascii="Times New Roman" w:hAnsi="Times New Roman" w:eastAsia="宋体" w:cs="Times New Roman"/>
          <w:color w:val="auto"/>
          <w:sz w:val="24"/>
          <w:szCs w:val="20"/>
        </w:rPr>
        <w:t>散货装卸过程中控制装卸作业落差，适当降低取料高度，</w:t>
      </w:r>
      <w:r>
        <w:rPr>
          <w:rFonts w:hint="default" w:ascii="Times New Roman" w:hAnsi="Times New Roman" w:eastAsia="宋体" w:cs="Times New Roman"/>
          <w:color w:val="auto"/>
          <w:sz w:val="24"/>
          <w:szCs w:val="20"/>
          <w:lang w:val="en-US" w:eastAsia="zh-CN"/>
        </w:rPr>
        <w:t>同时在</w:t>
      </w:r>
      <w:r>
        <w:rPr>
          <w:rFonts w:hint="default" w:ascii="Times New Roman" w:hAnsi="Times New Roman" w:eastAsia="宋体" w:cs="Times New Roman"/>
          <w:color w:val="auto"/>
          <w:sz w:val="24"/>
          <w:szCs w:val="20"/>
        </w:rPr>
        <w:t>抓斗、漏斗等装卸料点采用高压自动微雾抑尘系统湿式除尘方式</w:t>
      </w:r>
      <w:r>
        <w:rPr>
          <w:rFonts w:hint="default" w:ascii="Times New Roman" w:hAnsi="Times New Roman" w:eastAsia="宋体" w:cs="Times New Roman"/>
          <w:color w:val="auto"/>
          <w:sz w:val="24"/>
          <w:szCs w:val="20"/>
          <w:lang w:eastAsia="zh-CN"/>
        </w:rPr>
        <w:t>；</w:t>
      </w:r>
      <w:r>
        <w:rPr>
          <w:rFonts w:hint="default" w:ascii="Times New Roman" w:hAnsi="Times New Roman" w:eastAsia="宋体" w:cs="Times New Roman"/>
          <w:color w:val="auto"/>
          <w:sz w:val="24"/>
          <w:szCs w:val="20"/>
          <w:lang w:val="en-US" w:eastAsia="zh-CN"/>
        </w:rPr>
        <w:t>码头设置雾炮机等除尘设备以减少粉尘对周围大气环境的影响；</w:t>
      </w:r>
      <w:r>
        <w:rPr>
          <w:rFonts w:hint="eastAsia" w:cs="Times New Roman"/>
          <w:color w:val="auto"/>
          <w:sz w:val="24"/>
          <w:szCs w:val="20"/>
          <w:lang w:val="en-US" w:eastAsia="zh-CN"/>
        </w:rPr>
        <w:t>根据前文预测结果可知：</w:t>
      </w:r>
    </w:p>
    <w:p>
      <w:pPr>
        <w:ind w:firstLine="480"/>
        <w:rPr>
          <w:rFonts w:hint="default" w:eastAsia="宋体"/>
          <w:b/>
          <w:bCs/>
          <w:lang w:val="en-US" w:eastAsia="zh-CN"/>
        </w:rPr>
      </w:pPr>
      <w:r>
        <w:rPr>
          <w:rFonts w:hint="eastAsia"/>
          <w:b/>
          <w:bCs/>
          <w:lang w:eastAsia="zh-CN"/>
        </w:rPr>
        <w:t>（</w:t>
      </w:r>
      <w:r>
        <w:rPr>
          <w:rFonts w:hint="eastAsia"/>
          <w:b/>
          <w:bCs/>
          <w:lang w:val="en-US" w:eastAsia="zh-CN"/>
        </w:rPr>
        <w:t>1</w:t>
      </w:r>
      <w:r>
        <w:rPr>
          <w:rFonts w:hint="eastAsia"/>
          <w:b/>
          <w:bCs/>
          <w:lang w:eastAsia="zh-CN"/>
        </w:rPr>
        <w:t>）</w:t>
      </w:r>
      <w:r>
        <w:rPr>
          <w:rFonts w:hint="eastAsia"/>
          <w:b/>
          <w:bCs/>
          <w:lang w:val="en-US" w:eastAsia="zh-CN"/>
        </w:rPr>
        <w:t>各污染物达标情况判定</w:t>
      </w:r>
    </w:p>
    <w:p>
      <w:pPr>
        <w:ind w:firstLine="480"/>
      </w:pPr>
      <w:r>
        <w:rPr>
          <w:rFonts w:hint="eastAsia"/>
        </w:rPr>
        <w:t>①项目所在区域为不达标区。</w:t>
      </w:r>
    </w:p>
    <w:p>
      <w:pPr>
        <w:ind w:firstLine="480"/>
      </w:pPr>
      <w:r>
        <w:rPr>
          <w:rFonts w:hint="eastAsia"/>
        </w:rPr>
        <w:t>②拟建项目</w:t>
      </w:r>
      <w:r>
        <w:t>正常排放</w:t>
      </w:r>
      <w:r>
        <w:rPr>
          <w:rFonts w:hint="eastAsia"/>
        </w:rPr>
        <w:t>TSP</w:t>
      </w:r>
      <w:r>
        <w:rPr>
          <w:rFonts w:hint="eastAsia"/>
          <w:lang w:eastAsia="zh-CN"/>
        </w:rPr>
        <w:t>、</w:t>
      </w:r>
      <w:r>
        <w:rPr>
          <w:rFonts w:hint="eastAsia"/>
          <w:lang w:val="en-US" w:eastAsia="zh-CN"/>
        </w:rPr>
        <w:t>PM</w:t>
      </w:r>
      <w:r>
        <w:rPr>
          <w:rFonts w:hint="eastAsia"/>
          <w:vertAlign w:val="subscript"/>
          <w:lang w:val="en-US" w:eastAsia="zh-CN"/>
        </w:rPr>
        <w:t>10</w:t>
      </w:r>
      <w:r>
        <w:rPr>
          <w:rFonts w:hint="eastAsia"/>
          <w:vertAlign w:val="baseline"/>
          <w:lang w:val="en-US" w:eastAsia="zh-CN"/>
        </w:rPr>
        <w:t>、</w:t>
      </w:r>
      <w:r>
        <w:rPr>
          <w:rFonts w:hint="eastAsia"/>
          <w:lang w:val="en-US" w:eastAsia="zh-CN"/>
        </w:rPr>
        <w:t>PM</w:t>
      </w:r>
      <w:r>
        <w:rPr>
          <w:rFonts w:hint="eastAsia"/>
          <w:vertAlign w:val="subscript"/>
          <w:lang w:val="en-US" w:eastAsia="zh-CN"/>
        </w:rPr>
        <w:t>2.5</w:t>
      </w:r>
      <w:r>
        <w:t>各敏感点</w:t>
      </w:r>
      <w:r>
        <w:rPr>
          <w:rFonts w:hint="eastAsia"/>
          <w:lang w:val="en-US" w:eastAsia="zh-CN"/>
        </w:rPr>
        <w:t>24小时平均浓度、</w:t>
      </w:r>
      <w:r>
        <w:t>年平均浓度贡献值均达标；</w:t>
      </w:r>
      <w:r>
        <w:rPr>
          <w:rFonts w:hint="eastAsia"/>
        </w:rPr>
        <w:t>短期浓度贡献值的最大浓度占标率≤100%，年均浓度贡献值的最大浓度占标率≤30%。</w:t>
      </w:r>
    </w:p>
    <w:p>
      <w:pPr>
        <w:ind w:firstLine="480"/>
      </w:pPr>
      <w:r>
        <w:rPr>
          <w:rFonts w:hint="eastAsia" w:ascii="仿宋" w:hAnsi="仿宋" w:eastAsia="仿宋"/>
        </w:rPr>
        <w:t>③</w:t>
      </w:r>
      <w:r>
        <w:rPr>
          <w:rFonts w:hint="eastAsia"/>
        </w:rPr>
        <w:t>拟建项目</w:t>
      </w:r>
      <w:r>
        <w:t>正常排放</w:t>
      </w:r>
      <w:r>
        <w:rPr>
          <w:rFonts w:hint="eastAsia"/>
        </w:rPr>
        <w:t>TSP</w:t>
      </w:r>
      <w:r>
        <w:rPr>
          <w:rFonts w:hint="eastAsia"/>
          <w:lang w:eastAsia="zh-CN"/>
        </w:rPr>
        <w:t>、</w:t>
      </w:r>
      <w:r>
        <w:rPr>
          <w:rFonts w:hint="eastAsia"/>
          <w:lang w:val="en-US" w:eastAsia="zh-CN"/>
        </w:rPr>
        <w:t>PM</w:t>
      </w:r>
      <w:r>
        <w:rPr>
          <w:rFonts w:hint="eastAsia"/>
          <w:vertAlign w:val="subscript"/>
          <w:lang w:val="en-US" w:eastAsia="zh-CN"/>
        </w:rPr>
        <w:t>10</w:t>
      </w:r>
      <w:r>
        <w:rPr>
          <w:rFonts w:hint="eastAsia"/>
          <w:vertAlign w:val="baseline"/>
          <w:lang w:val="en-US" w:eastAsia="zh-CN"/>
        </w:rPr>
        <w:t>叠加削减源和环境质量现状24小时平均浓度、年平均浓度均达标，</w:t>
      </w:r>
      <w:r>
        <w:rPr>
          <w:rFonts w:hint="eastAsia"/>
          <w:lang w:val="en-US" w:eastAsia="zh-CN"/>
        </w:rPr>
        <w:t>PM</w:t>
      </w:r>
      <w:r>
        <w:rPr>
          <w:rFonts w:hint="eastAsia"/>
          <w:vertAlign w:val="subscript"/>
          <w:lang w:val="en-US" w:eastAsia="zh-CN"/>
        </w:rPr>
        <w:t>2.5</w:t>
      </w:r>
      <w:r>
        <w:rPr>
          <w:rFonts w:hint="eastAsia"/>
          <w:vertAlign w:val="baseline"/>
          <w:lang w:val="en-US" w:eastAsia="zh-CN"/>
        </w:rPr>
        <w:t>叠加削减源和达标规划年达标规划浓度的24小时平均浓度、年平均浓度均达标</w:t>
      </w:r>
      <w:r>
        <w:rPr>
          <w:rFonts w:hint="eastAsia"/>
          <w:lang w:eastAsia="zh-CN"/>
        </w:rPr>
        <w:t>，</w:t>
      </w:r>
      <w:r>
        <w:rPr>
          <w:rFonts w:hint="eastAsia"/>
          <w:lang w:val="en-US" w:eastAsia="zh-CN"/>
        </w:rPr>
        <w:t>保证率</w:t>
      </w:r>
      <w:r>
        <w:rPr>
          <w:rFonts w:hint="eastAsia"/>
        </w:rPr>
        <w:t>日均浓度叠加值的最大浓度占标率≤100%，全时段叠加值的最大浓度占标率≤100%。</w:t>
      </w:r>
    </w:p>
    <w:p>
      <w:pPr>
        <w:ind w:firstLine="480"/>
        <w:rPr>
          <w:rFonts w:hint="eastAsia" w:ascii="Times New Roman" w:hAnsi="Times New Roman" w:eastAsia="宋体" w:cs="Times New Roman"/>
          <w:b/>
          <w:bCs/>
          <w:lang w:val="en-US" w:eastAsia="zh-CN"/>
        </w:rPr>
      </w:pPr>
      <w:r>
        <w:rPr>
          <w:rFonts w:hint="eastAsia" w:ascii="Times New Roman" w:hAnsi="Times New Roman" w:eastAsia="宋体" w:cs="Times New Roman"/>
          <w:b/>
          <w:bCs/>
          <w:lang w:eastAsia="zh-CN"/>
        </w:rPr>
        <w:t>（</w:t>
      </w:r>
      <w:r>
        <w:rPr>
          <w:rFonts w:hint="eastAsia" w:ascii="Times New Roman" w:hAnsi="Times New Roman" w:eastAsia="宋体" w:cs="Times New Roman"/>
          <w:b/>
          <w:bCs/>
          <w:lang w:val="en-US" w:eastAsia="zh-CN"/>
        </w:rPr>
        <w:t>2</w:t>
      </w:r>
      <w:r>
        <w:rPr>
          <w:rFonts w:hint="eastAsia" w:ascii="Times New Roman" w:hAnsi="Times New Roman" w:eastAsia="宋体" w:cs="Times New Roman"/>
          <w:b/>
          <w:bCs/>
          <w:lang w:eastAsia="zh-CN"/>
        </w:rPr>
        <w:t>）</w:t>
      </w:r>
      <w:r>
        <w:rPr>
          <w:rFonts w:hint="eastAsia" w:ascii="Times New Roman" w:hAnsi="Times New Roman" w:eastAsia="宋体" w:cs="Times New Roman"/>
          <w:b/>
          <w:bCs/>
          <w:lang w:val="en-US" w:eastAsia="zh-CN"/>
        </w:rPr>
        <w:t>大气防护距离判定</w:t>
      </w:r>
    </w:p>
    <w:p>
      <w:pPr>
        <w:ind w:firstLine="480"/>
        <w:rPr>
          <w:rFonts w:hint="eastAsia"/>
        </w:rPr>
      </w:pPr>
      <w:r>
        <w:rPr>
          <w:rFonts w:hint="eastAsia"/>
        </w:rPr>
        <w:t>根据计算，项目厂界外TSP</w:t>
      </w:r>
      <w:r>
        <w:rPr>
          <w:rFonts w:hint="eastAsia"/>
          <w:lang w:eastAsia="zh-CN"/>
        </w:rPr>
        <w:t>、</w:t>
      </w:r>
      <w:r>
        <w:rPr>
          <w:rFonts w:hint="eastAsia"/>
          <w:lang w:val="en-US" w:eastAsia="zh-CN"/>
        </w:rPr>
        <w:t>PM</w:t>
      </w:r>
      <w:r>
        <w:rPr>
          <w:rFonts w:hint="eastAsia"/>
          <w:vertAlign w:val="subscript"/>
          <w:lang w:val="en-US" w:eastAsia="zh-CN"/>
        </w:rPr>
        <w:t>10</w:t>
      </w:r>
      <w:r>
        <w:rPr>
          <w:rFonts w:hint="eastAsia"/>
          <w:vertAlign w:val="baseline"/>
          <w:lang w:val="en-US" w:eastAsia="zh-CN"/>
        </w:rPr>
        <w:t>、</w:t>
      </w:r>
      <w:r>
        <w:rPr>
          <w:rFonts w:hint="eastAsia"/>
          <w:lang w:val="en-US" w:eastAsia="zh-CN"/>
        </w:rPr>
        <w:t>PM</w:t>
      </w:r>
      <w:r>
        <w:rPr>
          <w:rFonts w:hint="eastAsia"/>
          <w:vertAlign w:val="subscript"/>
          <w:lang w:val="en-US" w:eastAsia="zh-CN"/>
        </w:rPr>
        <w:t>2.5</w:t>
      </w:r>
      <w:r>
        <w:rPr>
          <w:rFonts w:hint="eastAsia"/>
        </w:rPr>
        <w:t>日均浓度预测值均不超过环境质量短期浓度标准值，因此本项目无需设置大气防护距离。</w:t>
      </w:r>
    </w:p>
    <w:p>
      <w:pPr>
        <w:ind w:firstLine="480"/>
        <w:rPr>
          <w:rFonts w:hint="eastAsia" w:ascii="Times New Roman" w:hAnsi="Times New Roman" w:cs="Times New Roman"/>
          <w:b/>
          <w:bCs/>
          <w:lang w:val="en-US" w:eastAsia="zh-CN"/>
        </w:rPr>
      </w:pPr>
      <w:r>
        <w:rPr>
          <w:rFonts w:hint="eastAsia" w:ascii="Times New Roman" w:hAnsi="Times New Roman" w:cs="Times New Roman"/>
          <w:b/>
          <w:bCs/>
          <w:lang w:val="en-US" w:eastAsia="zh-CN"/>
        </w:rPr>
        <w:t>（3）年平均浓度变化率</w:t>
      </w:r>
    </w:p>
    <w:p>
      <w:pPr>
        <w:ind w:firstLine="48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根据区域环境质量变化计算可知，PM</w:t>
      </w:r>
      <w:r>
        <w:rPr>
          <w:rFonts w:hint="default" w:ascii="Times New Roman" w:hAnsi="Times New Roman" w:eastAsia="宋体" w:cs="Times New Roman"/>
          <w:vertAlign w:val="subscript"/>
          <w:lang w:val="en-US" w:eastAsia="zh-CN"/>
        </w:rPr>
        <w:t>2.5</w:t>
      </w:r>
      <w:r>
        <w:rPr>
          <w:rFonts w:hint="default" w:ascii="Times New Roman" w:hAnsi="Times New Roman" w:eastAsia="宋体" w:cs="Times New Roman"/>
          <w:lang w:val="en-US" w:eastAsia="zh-CN"/>
        </w:rPr>
        <w:t>的K值为-67.17</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，小于-20%，因此项目环境影响满足环境质量改善目标</w:t>
      </w:r>
      <w:r>
        <w:rPr>
          <w:rFonts w:hint="eastAsia" w:ascii="Times New Roman" w:hAnsi="Times New Roman" w:eastAsia="宋体" w:cs="Times New Roman"/>
          <w:lang w:val="en-US" w:eastAsia="zh-CN"/>
        </w:rPr>
        <w:t>。</w:t>
      </w:r>
    </w:p>
    <w:p>
      <w:pPr>
        <w:ind w:firstLine="488"/>
        <w:rPr>
          <w:spacing w:val="2"/>
        </w:rPr>
      </w:pPr>
      <w:r>
        <w:rPr>
          <w:spacing w:val="2"/>
        </w:rPr>
        <w:t>通过采取合理的废气治理措施合理，正常工况下排放的大气污染物均能得到有效治理，能够做到达标排放，对周围地区空气质量影响不明显，不会改变评价范围内的大气环境功能，不会对评价范围内的保护目标造成明显不利影响。</w:t>
      </w:r>
    </w:p>
    <w:p>
      <w:pPr>
        <w:pStyle w:val="454"/>
        <w:ind w:firstLine="602"/>
        <w:rPr>
          <w:color w:val="auto"/>
        </w:rPr>
      </w:pPr>
      <w:r>
        <w:rPr>
          <w:color w:val="auto"/>
        </w:rPr>
        <w:t>声环境</w:t>
      </w:r>
    </w:p>
    <w:p>
      <w:pPr>
        <w:pStyle w:val="456"/>
        <w:ind w:firstLine="482"/>
      </w:pPr>
      <w:r>
        <w:t>施工期</w:t>
      </w:r>
    </w:p>
    <w:p>
      <w:pPr>
        <w:pStyle w:val="458"/>
        <w:ind w:firstLine="480"/>
        <w:rPr>
          <w:rFonts w:cs="Times New Roman"/>
          <w:color w:val="auto"/>
        </w:rPr>
      </w:pPr>
      <w:r>
        <w:rPr>
          <w:rFonts w:cs="Times New Roman"/>
          <w:color w:val="auto"/>
        </w:rPr>
        <w:t>施工机械是在露天的环境中进行施工，通常的情况下无法进行有效的密闭隔声处理，施工期间作业对周围的影响不可避免。但通过设置隔声屏障、合理安排施工时间、合理布局施工现场、采用低噪声设备等治理及控制措施后，本项目的各类机械、设备的施工噪声能从影响程度、影响时间及影响强度等方面得以一定程度的削减。随着工程的结束，该污染因素将消失，声环境即可恢复至现状水平。</w:t>
      </w:r>
    </w:p>
    <w:p>
      <w:pPr>
        <w:pStyle w:val="456"/>
        <w:ind w:firstLine="482"/>
      </w:pPr>
      <w:r>
        <w:t>运营期</w:t>
      </w:r>
    </w:p>
    <w:p>
      <w:pPr>
        <w:pStyle w:val="458"/>
        <w:ind w:firstLine="480"/>
        <w:rPr>
          <w:rFonts w:cs="Times New Roman"/>
          <w:color w:val="auto"/>
        </w:rPr>
      </w:pPr>
      <w:r>
        <w:rPr>
          <w:rFonts w:cs="Times New Roman"/>
          <w:color w:val="auto"/>
        </w:rPr>
        <w:t>营运期噪声源主要来源于码头机械噪声、船舶鸣笛产生的交通噪声等。根据预测结果，项目设备生产运行时昼间、夜间各厂界噪声均可满足《工业企业厂界环境噪声排放标准》（GB12348-2008）中</w:t>
      </w:r>
      <w:r>
        <w:rPr>
          <w:rFonts w:hint="eastAsia" w:cs="Times New Roman"/>
          <w:color w:val="auto"/>
          <w:lang w:val="en-US" w:eastAsia="zh-CN"/>
        </w:rPr>
        <w:t>3类和4类</w:t>
      </w:r>
      <w:r>
        <w:t>标准要求</w:t>
      </w:r>
      <w:r>
        <w:rPr>
          <w:rFonts w:cs="Times New Roman"/>
          <w:color w:val="auto"/>
        </w:rPr>
        <w:t>；</w:t>
      </w:r>
      <w:r>
        <w:t>生产活动在敏感点处噪声值贡献值与背景值叠加后可满足《声环境质量标准》（GB3096-2008）中2类标准要求。</w:t>
      </w:r>
      <w:r>
        <w:rPr>
          <w:rFonts w:cs="Times New Roman"/>
          <w:color w:val="auto"/>
        </w:rPr>
        <w:t>项目营运期采取严格的管理措施</w:t>
      </w:r>
      <w:r>
        <w:rPr>
          <w:rFonts w:cs="Times New Roman"/>
          <w:color w:val="auto"/>
          <w:spacing w:val="-26"/>
        </w:rPr>
        <w:t>，</w:t>
      </w:r>
      <w:r>
        <w:rPr>
          <w:rFonts w:cs="Times New Roman"/>
          <w:color w:val="auto"/>
        </w:rPr>
        <w:t>进出港船舶必须按相关要求合理使用鸣笛设备</w:t>
      </w:r>
      <w:r>
        <w:rPr>
          <w:rFonts w:cs="Times New Roman"/>
          <w:color w:val="auto"/>
          <w:spacing w:val="-26"/>
        </w:rPr>
        <w:t>，</w:t>
      </w:r>
      <w:r>
        <w:rPr>
          <w:rFonts w:cs="Times New Roman"/>
          <w:color w:val="auto"/>
        </w:rPr>
        <w:t>减小偶发噪声对周围声环境的影响。</w:t>
      </w:r>
    </w:p>
    <w:p>
      <w:pPr>
        <w:pStyle w:val="454"/>
        <w:ind w:firstLine="602"/>
        <w:rPr>
          <w:color w:val="auto"/>
        </w:rPr>
      </w:pPr>
      <w:r>
        <w:rPr>
          <w:rFonts w:hint="eastAsia"/>
          <w:color w:val="auto"/>
          <w:lang w:val="en-US" w:eastAsia="zh-CN"/>
        </w:rPr>
        <w:t>固体废物</w:t>
      </w:r>
    </w:p>
    <w:p>
      <w:pPr>
        <w:pStyle w:val="456"/>
        <w:ind w:firstLine="482"/>
      </w:pPr>
      <w:r>
        <w:t>施工期</w:t>
      </w:r>
    </w:p>
    <w:p>
      <w:pPr>
        <w:pStyle w:val="458"/>
        <w:ind w:firstLine="480"/>
        <w:rPr>
          <w:rFonts w:cs="Times New Roman"/>
          <w:color w:val="auto"/>
        </w:rPr>
      </w:pPr>
      <w:r>
        <w:rPr>
          <w:rFonts w:cs="Times New Roman"/>
          <w:color w:val="auto"/>
        </w:rPr>
        <w:t>本项目产生的固体废物主要为施工建筑垃圾、疏浚污泥</w:t>
      </w:r>
      <w:r>
        <w:rPr>
          <w:rFonts w:cs="Times New Roman"/>
          <w:color w:val="auto"/>
          <w:spacing w:val="1"/>
        </w:rPr>
        <w:t>及</w:t>
      </w:r>
      <w:r>
        <w:rPr>
          <w:rFonts w:cs="Times New Roman"/>
          <w:color w:val="auto"/>
        </w:rPr>
        <w:t>施工人员生活垃圾。施工建筑垃圾应根据情况尽量回收利用，以降低成本并减少其发生量。港池疏浚污泥通过挖泥船运至</w:t>
      </w:r>
      <w:r>
        <w:rPr>
          <w:rFonts w:cs="Times New Roman" w:eastAsiaTheme="minorEastAsia"/>
          <w:color w:val="auto"/>
        </w:rPr>
        <w:t>码头用地范围内堆存，经</w:t>
      </w:r>
      <w:r>
        <w:rPr>
          <w:rFonts w:hint="eastAsia" w:cs="Times New Roman" w:eastAsiaTheme="minorEastAsia"/>
          <w:color w:val="auto"/>
        </w:rPr>
        <w:t>脱水</w:t>
      </w:r>
      <w:r>
        <w:rPr>
          <w:rFonts w:cs="Times New Roman" w:eastAsiaTheme="minorEastAsia"/>
          <w:color w:val="auto"/>
        </w:rPr>
        <w:t>后，</w:t>
      </w:r>
      <w:r>
        <w:rPr>
          <w:rFonts w:cs="Times New Roman"/>
          <w:color w:val="auto"/>
        </w:rPr>
        <w:t>用于陆域的回填土。施工人员生活垃圾拟由环卫部门收集处理，船舶生活垃圾由施工单位负责交海事部门环保船接收处理。</w:t>
      </w:r>
    </w:p>
    <w:p>
      <w:pPr>
        <w:pStyle w:val="456"/>
        <w:ind w:firstLine="482"/>
      </w:pPr>
      <w:r>
        <w:t>运营期</w:t>
      </w:r>
    </w:p>
    <w:p>
      <w:pPr>
        <w:ind w:firstLine="480"/>
      </w:pPr>
      <w:r>
        <w:t>运营期的固体废物主要为到港船舶生活垃圾、废机油、含油抹布、污水收集池污泥</w:t>
      </w:r>
      <w:r>
        <w:rPr>
          <w:rFonts w:hint="eastAsia"/>
        </w:rPr>
        <w:t>、员工</w:t>
      </w:r>
      <w:r>
        <w:t>生活垃圾。</w:t>
      </w:r>
    </w:p>
    <w:p>
      <w:pPr>
        <w:ind w:firstLine="480"/>
      </w:pPr>
      <w:r>
        <w:t>本项目码头区工作人员生活垃圾通过垃圾筒收集后</w:t>
      </w:r>
      <w:r>
        <w:rPr>
          <w:spacing w:val="-17"/>
        </w:rPr>
        <w:t>，</w:t>
      </w:r>
      <w:r>
        <w:t>交由环卫部门定期清运</w:t>
      </w:r>
      <w:r>
        <w:rPr>
          <w:spacing w:val="-17"/>
        </w:rPr>
        <w:t>，</w:t>
      </w:r>
      <w:r>
        <w:t>严禁乱丢乱弃；在船舶配备有盖、不渗漏、不外溢的垃圾储存容器或者实行袋装收集、存放，由海事部门指定的船舶接收统一处理；含油抹布和码头设备修理装卸作业中产生的废机油委托有资质单位处置；污水收集池产生的污泥，回收利用</w:t>
      </w:r>
      <w:r>
        <w:rPr>
          <w:rFonts w:hint="eastAsia"/>
        </w:rPr>
        <w:t>；工作人员生活垃圾通过垃圾筒收集后，交由环卫部门定期清运，严禁乱丢乱弃</w:t>
      </w:r>
      <w:r>
        <w:t>。</w:t>
      </w:r>
    </w:p>
    <w:p>
      <w:pPr>
        <w:widowControl/>
        <w:ind w:firstLine="480"/>
      </w:pPr>
      <w:r>
        <w:t>综上所述，本项目产生的固体废物均可通过合理途径进行处理处置，不会对环境造成二次污染。</w:t>
      </w:r>
    </w:p>
    <w:p>
      <w:pPr>
        <w:pStyle w:val="454"/>
        <w:ind w:firstLine="602"/>
        <w:rPr>
          <w:color w:val="auto"/>
        </w:rPr>
      </w:pPr>
      <w:r>
        <w:rPr>
          <w:color w:val="auto"/>
        </w:rPr>
        <w:t>生态影响结论</w:t>
      </w:r>
    </w:p>
    <w:p>
      <w:pPr>
        <w:ind w:firstLine="480"/>
      </w:pPr>
      <w:r>
        <w:t>工程营运后对生态环境的影响主要是对水域环境的影响，对陆域生态环境影响较小。码头采用直立式框架结构</w:t>
      </w:r>
      <w:r>
        <w:rPr>
          <w:spacing w:val="-27"/>
        </w:rPr>
        <w:t>，</w:t>
      </w:r>
      <w:r>
        <w:rPr>
          <w:rFonts w:hint="eastAsia"/>
          <w:spacing w:val="-27"/>
          <w:lang w:val="en-US" w:eastAsia="zh-CN"/>
        </w:rPr>
        <w:t>基本</w:t>
      </w:r>
      <w:r>
        <w:t>不阻挡鱼类的洄游通道</w:t>
      </w:r>
      <w:r>
        <w:rPr>
          <w:spacing w:val="-27"/>
        </w:rPr>
        <w:t>。</w:t>
      </w:r>
      <w:r>
        <w:t>工期影响主要是桩基施工作业对水生生物的驱赶效应</w:t>
      </w:r>
      <w:r>
        <w:rPr>
          <w:spacing w:val="-17"/>
        </w:rPr>
        <w:t>，</w:t>
      </w:r>
      <w:r>
        <w:rPr>
          <w:rFonts w:hint="default" w:ascii="Times New Roman" w:hAnsi="Times New Roman" w:eastAsia="宋体" w:cs="Times New Roman"/>
          <w:sz w:val="24"/>
          <w:szCs w:val="24"/>
          <w:lang w:val="en-US" w:eastAsia="zh-CN"/>
        </w:rPr>
        <w:t>施工期合理安排施工时序，尽量在枯水期施工，同时避开4~7月鱼类</w:t>
      </w:r>
      <w:r>
        <w:rPr>
          <w:rFonts w:hint="default" w:ascii="Times New Roman" w:hAnsi="Times New Roman" w:eastAsia="宋体" w:cs="Times New Roman"/>
          <w:sz w:val="24"/>
          <w:szCs w:val="24"/>
        </w:rPr>
        <w:t>繁殖和洄游的主汛期</w:t>
      </w:r>
      <w:r>
        <w:rPr>
          <w:rFonts w:hint="default" w:ascii="Times New Roman" w:hAnsi="Times New Roman" w:eastAsia="宋体" w:cs="Times New Roman"/>
          <w:sz w:val="24"/>
          <w:szCs w:val="24"/>
          <w:lang w:val="en-US" w:eastAsia="zh-CN"/>
        </w:rPr>
        <w:t>减少对生态环境的影响</w:t>
      </w:r>
      <w:r>
        <w:rPr>
          <w:rFonts w:ascii="Times New Roman" w:hAnsi="Times New Roman" w:cs="Times New Roman"/>
          <w:spacing w:val="0"/>
        </w:rPr>
        <w:t>，</w:t>
      </w:r>
      <w:r>
        <w:t>施工对水生生态的影响有限。</w:t>
      </w:r>
    </w:p>
    <w:p>
      <w:pPr>
        <w:ind w:firstLine="480"/>
      </w:pPr>
      <w:r>
        <w:t>工程运营后，码头水工结构对水生生物的分布区域和活动空间影响不大。在正常运营情况下，本工程不会对区域生态功能产生显著影响。</w:t>
      </w:r>
    </w:p>
    <w:p>
      <w:pPr>
        <w:pStyle w:val="454"/>
        <w:ind w:firstLine="602"/>
        <w:rPr>
          <w:color w:val="auto"/>
        </w:rPr>
      </w:pPr>
      <w:r>
        <w:rPr>
          <w:color w:val="auto"/>
        </w:rPr>
        <w:t>环境风险分析结论</w:t>
      </w:r>
    </w:p>
    <w:p>
      <w:pPr>
        <w:ind w:firstLine="480"/>
      </w:pPr>
      <w:bookmarkStart w:id="409" w:name="_Toc247420602"/>
      <w:r>
        <w:t>本项目环境风险事故主要为船舶溢油事故</w:t>
      </w:r>
      <w:r>
        <w:rPr>
          <w:spacing w:val="-27"/>
        </w:rPr>
        <w:t>，</w:t>
      </w:r>
      <w:r>
        <w:t>此类风险事故发生的概率较低</w:t>
      </w:r>
      <w:r>
        <w:rPr>
          <w:spacing w:val="-27"/>
        </w:rPr>
        <w:t>，</w:t>
      </w:r>
      <w:r>
        <w:t>但一旦</w:t>
      </w:r>
      <w:r>
        <w:rPr>
          <w:spacing w:val="2"/>
        </w:rPr>
        <w:t>发生</w:t>
      </w:r>
      <w:r>
        <w:t>将</w:t>
      </w:r>
      <w:r>
        <w:rPr>
          <w:spacing w:val="2"/>
        </w:rPr>
        <w:t>对</w:t>
      </w:r>
      <w:r>
        <w:t>长</w:t>
      </w:r>
      <w:r>
        <w:rPr>
          <w:spacing w:val="2"/>
        </w:rPr>
        <w:t>江的</w:t>
      </w:r>
      <w:r>
        <w:t>水</w:t>
      </w:r>
      <w:r>
        <w:rPr>
          <w:spacing w:val="2"/>
        </w:rPr>
        <w:t>质</w:t>
      </w:r>
      <w:r>
        <w:t>和</w:t>
      </w:r>
      <w:r>
        <w:rPr>
          <w:spacing w:val="2"/>
        </w:rPr>
        <w:t>水生</w:t>
      </w:r>
      <w:r>
        <w:t>生</w:t>
      </w:r>
      <w:r>
        <w:rPr>
          <w:spacing w:val="2"/>
        </w:rPr>
        <w:t>态</w:t>
      </w:r>
      <w:r>
        <w:t>环</w:t>
      </w:r>
      <w:r>
        <w:rPr>
          <w:spacing w:val="2"/>
        </w:rPr>
        <w:t>境产</w:t>
      </w:r>
      <w:r>
        <w:t>生</w:t>
      </w:r>
      <w:r>
        <w:rPr>
          <w:spacing w:val="2"/>
        </w:rPr>
        <w:t>影</w:t>
      </w:r>
      <w:r>
        <w:t>响</w:t>
      </w:r>
      <w:r>
        <w:rPr>
          <w:spacing w:val="2"/>
        </w:rPr>
        <w:t>。因</w:t>
      </w:r>
      <w:r>
        <w:t>此</w:t>
      </w:r>
      <w:r>
        <w:rPr>
          <w:spacing w:val="2"/>
        </w:rPr>
        <w:t>，</w:t>
      </w:r>
      <w:r>
        <w:t>必</w:t>
      </w:r>
      <w:r>
        <w:rPr>
          <w:spacing w:val="2"/>
        </w:rPr>
        <w:t>须采</w:t>
      </w:r>
      <w:r>
        <w:t>取</w:t>
      </w:r>
      <w:r>
        <w:rPr>
          <w:spacing w:val="2"/>
        </w:rPr>
        <w:t>必</w:t>
      </w:r>
      <w:r>
        <w:t>要</w:t>
      </w:r>
      <w:r>
        <w:rPr>
          <w:spacing w:val="2"/>
        </w:rPr>
        <w:t>的风</w:t>
      </w:r>
      <w:r>
        <w:t>险</w:t>
      </w:r>
      <w:r>
        <w:rPr>
          <w:spacing w:val="2"/>
        </w:rPr>
        <w:t>防</w:t>
      </w:r>
      <w:r>
        <w:t>范</w:t>
      </w:r>
      <w:r>
        <w:rPr>
          <w:spacing w:val="2"/>
        </w:rPr>
        <w:t>措施</w:t>
      </w:r>
      <w:r>
        <w:t>， 加强码头和船舶进出港的管理</w:t>
      </w:r>
      <w:r>
        <w:rPr>
          <w:spacing w:val="-26"/>
        </w:rPr>
        <w:t>，</w:t>
      </w:r>
      <w:r>
        <w:t>制定严格的码头巡护检查制度</w:t>
      </w:r>
      <w:r>
        <w:rPr>
          <w:spacing w:val="-26"/>
        </w:rPr>
        <w:t>，</w:t>
      </w:r>
      <w:r>
        <w:t>进一步降低事故发生的 概率</w:t>
      </w:r>
      <w:r>
        <w:rPr>
          <w:spacing w:val="-10"/>
        </w:rPr>
        <w:t>，</w:t>
      </w:r>
      <w:r>
        <w:t>制定应急预案</w:t>
      </w:r>
      <w:r>
        <w:rPr>
          <w:spacing w:val="-10"/>
        </w:rPr>
        <w:t>，</w:t>
      </w:r>
      <w:r>
        <w:t>并准备必要的防护物资</w:t>
      </w:r>
      <w:r>
        <w:rPr>
          <w:spacing w:val="-10"/>
        </w:rPr>
        <w:t>，</w:t>
      </w:r>
      <w:r>
        <w:t>减少事故发生时的环境危害</w:t>
      </w:r>
      <w:r>
        <w:rPr>
          <w:spacing w:val="-10"/>
        </w:rPr>
        <w:t>。</w:t>
      </w:r>
      <w:r>
        <w:t>因此</w:t>
      </w:r>
      <w:r>
        <w:rPr>
          <w:spacing w:val="-11"/>
        </w:rPr>
        <w:t>，在</w:t>
      </w:r>
      <w:r>
        <w:t>采 取必要的保护措施后，本项目船舶溢油事故的环境风险处于可接受的水平。</w:t>
      </w:r>
    </w:p>
    <w:bookmarkEnd w:id="409"/>
    <w:p>
      <w:pPr>
        <w:pStyle w:val="453"/>
        <w:ind w:firstLine="643" w:firstLineChars="0"/>
        <w:rPr>
          <w:rFonts w:ascii="Times New Roman" w:cs="Times New Roman"/>
        </w:rPr>
      </w:pPr>
      <w:bookmarkStart w:id="410" w:name="_Toc24746"/>
      <w:bookmarkStart w:id="411" w:name="_Toc106697056"/>
      <w:bookmarkStart w:id="412" w:name="_Toc18955"/>
      <w:bookmarkStart w:id="413" w:name="_Toc247420605"/>
      <w:r>
        <w:rPr>
          <w:rFonts w:ascii="Times New Roman" w:cs="Times New Roman"/>
        </w:rPr>
        <w:t>公众参与</w:t>
      </w:r>
      <w:bookmarkEnd w:id="410"/>
      <w:bookmarkEnd w:id="411"/>
      <w:bookmarkEnd w:id="412"/>
    </w:p>
    <w:p>
      <w:pPr>
        <w:ind w:firstLine="480"/>
        <w:rPr>
          <w:snapToGrid w:val="0"/>
          <w:kern w:val="0"/>
        </w:rPr>
      </w:pPr>
      <w:r>
        <w:rPr>
          <w:snapToGrid w:val="0"/>
          <w:kern w:val="0"/>
        </w:rPr>
        <w:t>建设单位根据《环境影响评价公众参与办法》生态环境部令第4号规定，环境影响评价信息采取多种途径对公众公开建设项目环境影响评价信息。</w:t>
      </w:r>
    </w:p>
    <w:p>
      <w:pPr>
        <w:ind w:firstLine="480"/>
        <w:rPr>
          <w:snapToGrid w:val="0"/>
          <w:kern w:val="0"/>
        </w:rPr>
      </w:pPr>
      <w:r>
        <w:rPr>
          <w:rFonts w:hint="eastAsia" w:ascii="宋体" w:hAnsi="宋体" w:cs="宋体"/>
          <w:snapToGrid w:val="0"/>
          <w:kern w:val="0"/>
        </w:rPr>
        <w:t>①</w:t>
      </w:r>
      <w:r>
        <w:rPr>
          <w:snapToGrid w:val="0"/>
          <w:kern w:val="0"/>
        </w:rPr>
        <w:t>一次公示</w:t>
      </w:r>
    </w:p>
    <w:p>
      <w:pPr>
        <w:ind w:firstLine="480"/>
        <w:rPr>
          <w:bCs/>
        </w:rPr>
      </w:pPr>
      <w:r>
        <w:t>湖南省港务集团有限公司</w:t>
      </w:r>
      <w:r>
        <w:rPr>
          <w:snapToGrid w:val="0"/>
          <w:kern w:val="0"/>
        </w:rPr>
        <w:t>于</w:t>
      </w:r>
      <w:r>
        <w:rPr>
          <w:bCs/>
        </w:rPr>
        <w:t>202</w:t>
      </w:r>
      <w:r>
        <w:rPr>
          <w:rFonts w:hint="eastAsia"/>
          <w:bCs/>
          <w:lang w:val="en-US" w:eastAsia="zh-CN"/>
        </w:rPr>
        <w:t>2</w:t>
      </w:r>
      <w:r>
        <w:rPr>
          <w:bCs/>
        </w:rPr>
        <w:t>年</w:t>
      </w:r>
      <w:r>
        <w:rPr>
          <w:rFonts w:hint="eastAsia"/>
          <w:bCs/>
          <w:lang w:val="en-US" w:eastAsia="zh-CN"/>
        </w:rPr>
        <w:t>6</w:t>
      </w:r>
      <w:r>
        <w:rPr>
          <w:bCs/>
        </w:rPr>
        <w:t>月28日</w:t>
      </w:r>
      <w:r>
        <w:rPr>
          <w:snapToGrid w:val="0"/>
          <w:kern w:val="0"/>
        </w:rPr>
        <w:t>在</w:t>
      </w:r>
      <w:r>
        <w:rPr>
          <w:bCs/>
        </w:rPr>
        <w:t>湖南省港务集团有限公司</w:t>
      </w:r>
      <w:r>
        <w:rPr>
          <w:snapToGrid w:val="0"/>
          <w:kern w:val="0"/>
        </w:rPr>
        <w:t>网站进行了一次公示，公示内容包括：建设项目概况、建设单位和联系方式、环境影响报告书编制单位名称和联系方式、</w:t>
      </w:r>
      <w:r>
        <w:rPr>
          <w:shd w:val="clear" w:color="auto" w:fill="FFFFFF"/>
        </w:rPr>
        <w:t>公众参与意见表的网络连接</w:t>
      </w:r>
      <w:r>
        <w:rPr>
          <w:snapToGrid w:val="0"/>
          <w:kern w:val="0"/>
        </w:rPr>
        <w:t>、提交公众意见的方式和途径。公示网址：</w:t>
      </w:r>
      <w:r>
        <w:rPr>
          <w:rStyle w:val="143"/>
          <w:color w:val="auto"/>
        </w:rPr>
        <w:t>https://www.hnsgwjt.com/show-86-796-1.html</w:t>
      </w:r>
      <w:r>
        <w:rPr>
          <w:bCs/>
        </w:rPr>
        <w:t>。在一次公示期间未收到公众对本项目建设的相关意见和建议。</w:t>
      </w:r>
    </w:p>
    <w:p>
      <w:pPr>
        <w:ind w:firstLine="480"/>
        <w:rPr>
          <w:snapToGrid w:val="0"/>
          <w:kern w:val="0"/>
        </w:rPr>
      </w:pPr>
      <w:r>
        <w:rPr>
          <w:rFonts w:hint="eastAsia" w:ascii="宋体" w:hAnsi="宋体" w:cs="宋体"/>
          <w:snapToGrid w:val="0"/>
          <w:kern w:val="0"/>
        </w:rPr>
        <w:t>②</w:t>
      </w:r>
      <w:r>
        <w:rPr>
          <w:snapToGrid w:val="0"/>
          <w:kern w:val="0"/>
        </w:rPr>
        <w:t>征求意见稿公示</w:t>
      </w:r>
    </w:p>
    <w:p>
      <w:pPr>
        <w:ind w:firstLine="480"/>
        <w:rPr>
          <w:bCs/>
        </w:rPr>
      </w:pPr>
      <w:r>
        <w:rPr>
          <w:spacing w:val="4"/>
        </w:rPr>
        <w:t>湖南省港务集团有限公司</w:t>
      </w:r>
      <w:r>
        <w:rPr>
          <w:rFonts w:hint="eastAsia"/>
        </w:rPr>
        <w:t>于2022年10月14日~2022年10月28日在</w:t>
      </w:r>
      <w:r>
        <w:t>湖南省港务集团有限公司的网站上</w:t>
      </w:r>
      <w:r>
        <w:rPr>
          <w:rFonts w:hint="eastAsia"/>
        </w:rPr>
        <w:t>进行了环境影响评价报告书征求意见稿公示，并同步通过环球时报、建设项目所在地公众易于知悉的场所张贴公告的方式公开项目信息。</w:t>
      </w:r>
      <w:r>
        <w:rPr>
          <w:bCs/>
        </w:rPr>
        <w:t>公示期间未收到公众对本项目建设的相关意见和建议。</w:t>
      </w:r>
    </w:p>
    <w:bookmarkEnd w:id="413"/>
    <w:p>
      <w:pPr>
        <w:pStyle w:val="453"/>
        <w:ind w:firstLine="643" w:firstLineChars="0"/>
        <w:rPr>
          <w:rFonts w:ascii="Times New Roman" w:cs="Times New Roman"/>
        </w:rPr>
      </w:pPr>
      <w:bookmarkStart w:id="414" w:name="_Toc247420606"/>
      <w:bookmarkStart w:id="415" w:name="_Toc454291270"/>
      <w:bookmarkStart w:id="416" w:name="_Toc30590"/>
      <w:bookmarkStart w:id="417" w:name="_Toc106697057"/>
      <w:bookmarkStart w:id="418" w:name="_Toc9979"/>
      <w:r>
        <w:rPr>
          <w:rFonts w:ascii="Times New Roman" w:cs="Times New Roman"/>
        </w:rPr>
        <w:t>评价总结论</w:t>
      </w:r>
      <w:bookmarkEnd w:id="414"/>
      <w:bookmarkEnd w:id="415"/>
      <w:bookmarkEnd w:id="416"/>
      <w:bookmarkEnd w:id="417"/>
      <w:bookmarkEnd w:id="418"/>
    </w:p>
    <w:p>
      <w:pPr>
        <w:ind w:firstLine="480"/>
      </w:pPr>
      <w:r>
        <w:t>经过分析论证，本工程的建设符合国家产业政策，建设符合区域总体发展规划、土地利用规划和港口规划，项目选址合理。该工程的实施具有良好的经济效益和社会效益；通过建设单位严格执行国家有关环境保护法规，严格执行国家</w:t>
      </w:r>
      <w:r>
        <w:rPr>
          <w:rFonts w:asciiTheme="minorEastAsia" w:hAnsiTheme="minorEastAsia" w:eastAsiaTheme="minorEastAsia"/>
        </w:rPr>
        <w:t>“</w:t>
      </w:r>
      <w:r>
        <w:t>三同时</w:t>
      </w:r>
      <w:r>
        <w:rPr>
          <w:rFonts w:asciiTheme="minorEastAsia" w:hAnsiTheme="minorEastAsia" w:eastAsiaTheme="minorEastAsia"/>
        </w:rPr>
        <w:t>”</w:t>
      </w:r>
      <w:r>
        <w:t>制度，建立和落实各项风险防范措施和事故应急预案，杜绝重大环境污染事故的发生，可使项目建成后对周围环境影响减少到最低限度。</w:t>
      </w:r>
    </w:p>
    <w:p>
      <w:pPr>
        <w:ind w:firstLine="480"/>
      </w:pPr>
      <w:r>
        <w:t>因此，从环境保护的角度分析，本工程的实施是可行的。</w:t>
      </w:r>
    </w:p>
    <w:p>
      <w:pPr>
        <w:pStyle w:val="453"/>
        <w:ind w:firstLine="643" w:firstLineChars="0"/>
        <w:rPr>
          <w:rFonts w:ascii="Times New Roman" w:cs="Times New Roman"/>
        </w:rPr>
      </w:pPr>
      <w:bookmarkStart w:id="419" w:name="_Toc106697058"/>
      <w:bookmarkStart w:id="420" w:name="_Toc28813"/>
      <w:bookmarkStart w:id="421" w:name="_Toc20023"/>
      <w:r>
        <w:rPr>
          <w:rFonts w:ascii="Times New Roman" w:cs="Times New Roman"/>
        </w:rPr>
        <w:t>建议</w:t>
      </w:r>
      <w:bookmarkEnd w:id="419"/>
      <w:bookmarkEnd w:id="420"/>
      <w:bookmarkEnd w:id="421"/>
    </w:p>
    <w:p>
      <w:pPr>
        <w:ind w:firstLine="480"/>
      </w:pPr>
      <w:r>
        <w:t>（1）</w:t>
      </w:r>
      <w:r>
        <w:rPr>
          <w:spacing w:val="2"/>
        </w:rPr>
        <w:t>本</w:t>
      </w:r>
      <w:r>
        <w:rPr>
          <w:spacing w:val="1"/>
        </w:rPr>
        <w:t>项目</w:t>
      </w:r>
      <w:r>
        <w:rPr>
          <w:spacing w:val="2"/>
        </w:rPr>
        <w:t>水工建</w:t>
      </w:r>
      <w:r>
        <w:t>筑物</w:t>
      </w:r>
      <w:r>
        <w:rPr>
          <w:spacing w:val="3"/>
        </w:rPr>
        <w:t>的</w:t>
      </w:r>
      <w:r>
        <w:rPr>
          <w:spacing w:val="2"/>
        </w:rPr>
        <w:t>施工</w:t>
      </w:r>
      <w:r>
        <w:t>应该</w:t>
      </w:r>
      <w:r>
        <w:rPr>
          <w:spacing w:val="2"/>
        </w:rPr>
        <w:t>在枯水</w:t>
      </w:r>
      <w:r>
        <w:t>期进</w:t>
      </w:r>
      <w:r>
        <w:rPr>
          <w:spacing w:val="2"/>
        </w:rPr>
        <w:t>行，做</w:t>
      </w:r>
      <w:r>
        <w:t>好施</w:t>
      </w:r>
      <w:r>
        <w:rPr>
          <w:spacing w:val="2"/>
        </w:rPr>
        <w:t>工期间</w:t>
      </w:r>
      <w:r>
        <w:t>对保护鱼类的保护措施。</w:t>
      </w:r>
    </w:p>
    <w:p>
      <w:pPr>
        <w:ind w:firstLine="480"/>
        <w:rPr>
          <w:spacing w:val="2"/>
        </w:rPr>
      </w:pPr>
      <w:r>
        <w:t>（2）</w:t>
      </w:r>
      <w:r>
        <w:rPr>
          <w:spacing w:val="2"/>
        </w:rPr>
        <w:t>加</w:t>
      </w:r>
      <w:r>
        <w:t>强施</w:t>
      </w:r>
      <w:r>
        <w:rPr>
          <w:spacing w:val="2"/>
        </w:rPr>
        <w:t>工期和</w:t>
      </w:r>
      <w:r>
        <w:t>营运</w:t>
      </w:r>
      <w:r>
        <w:rPr>
          <w:spacing w:val="2"/>
        </w:rPr>
        <w:t>期的环</w:t>
      </w:r>
      <w:r>
        <w:t>境管</w:t>
      </w:r>
      <w:r>
        <w:rPr>
          <w:spacing w:val="2"/>
        </w:rPr>
        <w:t>理和监</w:t>
      </w:r>
      <w:r>
        <w:t>理，</w:t>
      </w:r>
      <w:r>
        <w:rPr>
          <w:spacing w:val="2"/>
        </w:rPr>
        <w:t>按当地</w:t>
      </w:r>
      <w:r>
        <w:t>生态环境</w:t>
      </w:r>
      <w:r>
        <w:rPr>
          <w:spacing w:val="2"/>
        </w:rPr>
        <w:t>部门及</w:t>
      </w:r>
      <w:r>
        <w:t>本报</w:t>
      </w:r>
      <w:r>
        <w:rPr>
          <w:spacing w:val="2"/>
        </w:rPr>
        <w:t>告书要</w:t>
      </w:r>
      <w:r>
        <w:t>求</w:t>
      </w:r>
      <w:r>
        <w:rPr>
          <w:spacing w:val="2"/>
        </w:rPr>
        <w:t>，</w:t>
      </w:r>
      <w:r>
        <w:t>并完成必要的日常管理工作</w:t>
      </w:r>
      <w:r>
        <w:rPr>
          <w:spacing w:val="2"/>
        </w:rPr>
        <w:t>。</w:t>
      </w:r>
    </w:p>
    <w:p>
      <w:pPr>
        <w:ind w:firstLine="480"/>
      </w:pPr>
      <w:r>
        <w:t>（3）加强内部管理，切实做好环境事故风险防范措施和应急预案。</w:t>
      </w:r>
    </w:p>
    <w:p>
      <w:pPr>
        <w:ind w:firstLine="480"/>
      </w:pPr>
      <w:r>
        <w:t>（4）</w:t>
      </w:r>
      <w:r>
        <w:rPr>
          <w:spacing w:val="2"/>
        </w:rPr>
        <w:t>工</w:t>
      </w:r>
      <w:r>
        <w:t>程应</w:t>
      </w:r>
      <w:r>
        <w:rPr>
          <w:spacing w:val="2"/>
        </w:rPr>
        <w:t>制定</w:t>
      </w:r>
      <w:r>
        <w:t>操</w:t>
      </w:r>
      <w:r>
        <w:rPr>
          <w:spacing w:val="2"/>
        </w:rPr>
        <w:t>作规程</w:t>
      </w:r>
      <w:r>
        <w:t>和安</w:t>
      </w:r>
      <w:r>
        <w:rPr>
          <w:spacing w:val="2"/>
        </w:rPr>
        <w:t>全操作</w:t>
      </w:r>
      <w:r>
        <w:t>规程</w:t>
      </w:r>
      <w:r>
        <w:rPr>
          <w:spacing w:val="2"/>
        </w:rPr>
        <w:t>，相关</w:t>
      </w:r>
      <w:r>
        <w:t>操作</w:t>
      </w:r>
      <w:r>
        <w:rPr>
          <w:spacing w:val="2"/>
        </w:rPr>
        <w:t>人员须</w:t>
      </w:r>
      <w:r>
        <w:t>进行</w:t>
      </w:r>
      <w:r>
        <w:rPr>
          <w:spacing w:val="2"/>
        </w:rPr>
        <w:t>上岗培</w:t>
      </w:r>
      <w:r>
        <w:t>训</w:t>
      </w:r>
      <w:r>
        <w:rPr>
          <w:spacing w:val="2"/>
        </w:rPr>
        <w:t>、</w:t>
      </w:r>
      <w:r>
        <w:t>应急措施处理、岗位责任制等职业培训，防治事故的发生。</w:t>
      </w:r>
    </w:p>
    <w:p>
      <w:pPr>
        <w:ind w:left="0" w:leftChars="0" w:firstLine="0" w:firstLineChars="0"/>
      </w:pPr>
    </w:p>
    <w:sectPr>
      <w:pgSz w:w="11907" w:h="16840"/>
      <w:pgMar w:top="1418" w:right="1418" w:bottom="1418" w:left="1418" w:header="851" w:footer="992" w:gutter="0"/>
      <w:pgBorders>
        <w:top w:val="none" w:sz="0" w:space="0"/>
        <w:left w:val="none" w:sz="0" w:space="0"/>
        <w:bottom w:val="none" w:sz="0" w:space="0"/>
        <w:right w:val="none" w:sz="0" w:space="0"/>
      </w:pgBorders>
      <w:pgNumType w:fmt="decimal"/>
      <w:cols w:space="425" w:num="1"/>
      <w:docGrid w:type="lines" w:linePitch="326" w:charSpace="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00"/>
    <w:family w:val="auto"/>
    <w:pitch w:val="default"/>
    <w:sig w:usb0="00000000" w:usb1="00000000" w:usb2="00000000" w:usb3="00000000" w:csb0="00000000" w:csb1="00000000"/>
  </w:font>
  <w:font w:name="仿宋">
    <w:panose1 w:val="02010609060101010101"/>
    <w:charset w:val="86"/>
    <w:family w:val="auto"/>
    <w:pitch w:val="default"/>
    <w:sig w:usb0="800002BF" w:usb1="38CF7CFA" w:usb2="00000016" w:usb3="00000000" w:csb0="00040001" w:csb1="00000000"/>
  </w:font>
  <w:font w:name="Impact">
    <w:panose1 w:val="020B0806030902050204"/>
    <w:charset w:val="00"/>
    <w:family w:val="swiss"/>
    <w:pitch w:val="default"/>
    <w:sig w:usb0="00000287" w:usb1="00000000" w:usb2="00000000" w:usb3="00000000" w:csb0="2000009F" w:csb1="DFD7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MS Gothic">
    <w:panose1 w:val="020B0609070205080204"/>
    <w:charset w:val="80"/>
    <w:family w:val="modern"/>
    <w:pitch w:val="default"/>
    <w:sig w:usb0="E00002FF" w:usb1="6AC7FDFB" w:usb2="08000012" w:usb3="00000000" w:csb0="4002009F" w:csb1="DFD70000"/>
  </w:font>
  <w:font w:name="Arial Unicode MS">
    <w:panose1 w:val="020B0604020202020204"/>
    <w:charset w:val="86"/>
    <w:family w:val="swiss"/>
    <w:pitch w:val="default"/>
    <w:sig w:usb0="FFFFFFFF" w:usb1="E9FFFFFF" w:usb2="0000003F" w:usb3="00000000" w:csb0="603F01FF" w:csb1="FFFF0000"/>
  </w:font>
  <w:font w:name="Sim Sun+ 2">
    <w:altName w:val="方正舒体"/>
    <w:panose1 w:val="00000000000000000000"/>
    <w:charset w:val="86"/>
    <w:family w:val="auto"/>
    <w:pitch w:val="default"/>
    <w:sig w:usb0="00000000" w:usb1="00000000" w:usb2="00000010" w:usb3="00000000" w:csb0="00040000" w:csb1="00000000"/>
  </w:font>
  <w:font w:name="方正舒体">
    <w:panose1 w:val="02010601030101010101"/>
    <w:charset w:val="86"/>
    <w:family w:val="auto"/>
    <w:pitch w:val="default"/>
    <w:sig w:usb0="00000003" w:usb1="080E0000" w:usb2="00000000" w:usb3="00000000" w:csb0="00040000" w:csb1="00000000"/>
  </w:font>
  <w:font w:name="仿宋体">
    <w:altName w:val="宋体"/>
    <w:panose1 w:val="00000000000000000000"/>
    <w:charset w:val="86"/>
    <w:family w:val="roman"/>
    <w:pitch w:val="default"/>
    <w:sig w:usb0="00000000" w:usb1="00000000" w:usb2="00000010" w:usb3="00000000" w:csb0="00040000" w:csb1="00000000"/>
  </w:font>
  <w:font w:name="隶书">
    <w:panose1 w:val="02010509060101010101"/>
    <w:charset w:val="86"/>
    <w:family w:val="modern"/>
    <w:pitch w:val="default"/>
    <w:sig w:usb0="00000001" w:usb1="080E0000" w:usb2="0000000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Garamond">
    <w:panose1 w:val="02020404030301010803"/>
    <w:charset w:val="00"/>
    <w:family w:val="roman"/>
    <w:pitch w:val="default"/>
    <w:sig w:usb0="00000287" w:usb1="00000000" w:usb2="00000000" w:usb3="00000000" w:csb0="0000009F" w:csb1="DFD70000"/>
  </w:font>
  <w:font w:name="华文细黑">
    <w:panose1 w:val="02010600040101010101"/>
    <w:charset w:val="86"/>
    <w:family w:val="auto"/>
    <w:pitch w:val="default"/>
    <w:sig w:usb0="00000287" w:usb1="080F0000" w:usb2="00000000" w:usb3="00000000" w:csb0="0004009F" w:csb1="DFD70000"/>
  </w:font>
  <w:font w:name="方正宋三简体">
    <w:altName w:val="宋体"/>
    <w:panose1 w:val="00000000000000000000"/>
    <w:charset w:val="86"/>
    <w:family w:val="auto"/>
    <w:pitch w:val="default"/>
    <w:sig w:usb0="00000000" w:usb1="00000000" w:usb2="00000010" w:usb3="00000000" w:csb0="00040000" w:csb1="00000000"/>
  </w:font>
  <w:font w:name="华文中宋">
    <w:panose1 w:val="02010600040101010101"/>
    <w:charset w:val="86"/>
    <w:family w:val="auto"/>
    <w:pitch w:val="default"/>
    <w:sig w:usb0="00000287" w:usb1="080F0000" w:usb2="00000000" w:usb3="00000000" w:csb0="0004009F" w:csb1="DFD70000"/>
  </w:font>
  <w:font w:name="Verdana">
    <w:panose1 w:val="020B0604030504040204"/>
    <w:charset w:val="00"/>
    <w:family w:val="swiss"/>
    <w:pitch w:val="default"/>
    <w:sig w:usb0="A00006FF" w:usb1="4000205B" w:usb2="00000010" w:usb3="00000000" w:csb0="2000019F" w:csb1="00000000"/>
  </w:font>
  <w:font w:name="Tahoma">
    <w:panose1 w:val="020B0604030504040204"/>
    <w:charset w:val="00"/>
    <w:family w:val="swiss"/>
    <w:pitch w:val="default"/>
    <w:sig w:usb0="E1002EFF" w:usb1="C000605B" w:usb2="00000029" w:usb3="00000000" w:csb0="200101FF" w:csb1="20280000"/>
  </w:font>
  <w:font w:name="Cambria">
    <w:panose1 w:val="02040503050406030204"/>
    <w:charset w:val="00"/>
    <w:family w:val="roman"/>
    <w:pitch w:val="default"/>
    <w:sig w:usb0="E00006FF" w:usb1="420024FF" w:usb2="02000000" w:usb3="00000000" w:csb0="2000019F" w:csb1="00000000"/>
  </w:font>
  <w:font w:name="CG Times (W1)">
    <w:altName w:val="Times New Roman"/>
    <w:panose1 w:val="00000000000000000000"/>
    <w:charset w:val="00"/>
    <w:family w:val="roman"/>
    <w:pitch w:val="default"/>
    <w:sig w:usb0="00000000" w:usb1="00000000" w:usb2="00000000" w:usb3="00000000" w:csb0="00000001" w:csb1="00000000"/>
  </w:font>
  <w:font w:name="Times">
    <w:altName w:val="Times New Roman"/>
    <w:panose1 w:val="02020603050405020304"/>
    <w:charset w:val="00"/>
    <w:family w:val="roman"/>
    <w:pitch w:val="default"/>
    <w:sig w:usb0="00000000" w:usb1="00000000" w:usb2="00000009" w:usb3="00000000" w:csb0="000001FF" w:csb1="00000000"/>
  </w:font>
  <w:font w:name="文鼎大标宋简">
    <w:altName w:val="宋体"/>
    <w:panose1 w:val="00000000000000000000"/>
    <w:charset w:val="86"/>
    <w:family w:val="modern"/>
    <w:pitch w:val="default"/>
    <w:sig w:usb0="00000000" w:usb1="00000000" w:usb2="00000010" w:usb3="00000000" w:csb0="00040000" w:csb1="00000000"/>
  </w:font>
  <w:font w:name="Courier">
    <w:altName w:val="Courier New"/>
    <w:panose1 w:val="02070409020205020404"/>
    <w:charset w:val="00"/>
    <w:family w:val="modern"/>
    <w:pitch w:val="default"/>
    <w:sig w:usb0="00000000" w:usb1="00000000" w:usb2="00000000" w:usb3="00000000" w:csb0="00000001" w:csb1="00000000"/>
  </w:font>
  <w:font w:name="Helvetica">
    <w:altName w:val="Arial"/>
    <w:panose1 w:val="020B0604020202020204"/>
    <w:charset w:val="00"/>
    <w:family w:val="swiss"/>
    <w:pitch w:val="default"/>
    <w:sig w:usb0="00000000" w:usb1="00000000" w:usb2="00000000" w:usb3="00000000" w:csb0="00000001" w:csb1="00000000"/>
  </w:font>
  <w:font w:name="Univers 57 Condensed">
    <w:altName w:val="Arial"/>
    <w:panose1 w:val="00000000000000000000"/>
    <w:charset w:val="00"/>
    <w:family w:val="swiss"/>
    <w:pitch w:val="default"/>
    <w:sig w:usb0="00000000" w:usb1="00000000" w:usb2="00000000" w:usb3="00000000" w:csb0="00000001" w:csb1="00000000"/>
  </w:font>
  <w:font w:name="方正仿宋简体">
    <w:altName w:val="宋体"/>
    <w:panose1 w:val="00000000000000000000"/>
    <w:charset w:val="86"/>
    <w:family w:val="auto"/>
    <w:pitch w:val="default"/>
    <w:sig w:usb0="00000000" w:usb1="00000000" w:usb2="00000010" w:usb3="00000000" w:csb0="00040000" w:csb1="00000000"/>
  </w:font>
  <w:font w:name="p10">
    <w:altName w:val="Times New Roman"/>
    <w:panose1 w:val="00000000000000000000"/>
    <w:charset w:val="00"/>
    <w:family w:val="roman"/>
    <w:pitch w:val="default"/>
    <w:sig w:usb0="00000000" w:usb1="00000000" w:usb2="00000000" w:usb3="00000000" w:csb0="00000001" w:csb1="00000000"/>
  </w:font>
  <w:font w:name="方正隶变简体">
    <w:altName w:val="隶书"/>
    <w:panose1 w:val="00000000000000000000"/>
    <w:charset w:val="86"/>
    <w:family w:val="script"/>
    <w:pitch w:val="default"/>
    <w:sig w:usb0="00000000" w:usb1="00000000" w:usb2="00000010" w:usb3="00000000" w:csb0="00040000" w:csb1="00000000"/>
  </w:font>
  <w:font w:name="幼圆">
    <w:panose1 w:val="02010509060101010101"/>
    <w:charset w:val="86"/>
    <w:family w:val="modern"/>
    <w:pitch w:val="default"/>
    <w:sig w:usb0="00000001" w:usb1="080E0000" w:usb2="00000000" w:usb3="00000000" w:csb0="00040000" w:csb1="00000000"/>
  </w:font>
  <w:font w:name="华文楷体">
    <w:panose1 w:val="02010600040101010101"/>
    <w:charset w:val="86"/>
    <w:family w:val="auto"/>
    <w:pitch w:val="default"/>
    <w:sig w:usb0="00000287" w:usb1="080F0000" w:usb2="00000000" w:usb3="00000000" w:csb0="0004009F" w:csb1="DFD70000"/>
  </w:font>
  <w:font w:name="Plotter">
    <w:altName w:val="Times New Roman"/>
    <w:panose1 w:val="00000000000000000000"/>
    <w:charset w:val="00"/>
    <w:family w:val="roman"/>
    <w:pitch w:val="default"/>
    <w:sig w:usb0="00000000" w:usb1="00000000" w:usb2="00000000" w:usb3="00000000" w:csb0="00040001" w:csb1="00000000"/>
  </w:font>
  <w:font w:name="DFKai-SB">
    <w:altName w:val="Microsoft JhengHei Light"/>
    <w:panose1 w:val="00000000000000000000"/>
    <w:charset w:val="88"/>
    <w:family w:val="script"/>
    <w:pitch w:val="default"/>
    <w:sig w:usb0="00000000" w:usb1="00000000" w:usb2="00000016" w:usb3="00000000" w:csb0="00100001" w:csb1="00000000"/>
  </w:font>
  <w:font w:name="Microsoft JhengHei Light">
    <w:panose1 w:val="020B0304030504040204"/>
    <w:charset w:val="88"/>
    <w:family w:val="auto"/>
    <w:pitch w:val="default"/>
    <w:sig w:usb0="800002A7" w:usb1="28CF4400" w:usb2="00000016" w:usb3="00000000" w:csb0="00100009" w:csb1="00000000"/>
  </w:font>
  <w:font w:name="华文仿宋">
    <w:panose1 w:val="02010600040101010101"/>
    <w:charset w:val="86"/>
    <w:family w:val="auto"/>
    <w:pitch w:val="default"/>
    <w:sig w:usb0="00000287" w:usb1="080F0000" w:usb2="00000000" w:usb3="00000000" w:csb0="0004009F" w:csb1="DFD70000"/>
  </w:font>
  <w:font w:name="MS Mincho">
    <w:altName w:val="Yu Gothic UI"/>
    <w:panose1 w:val="02020609040205080304"/>
    <w:charset w:val="80"/>
    <w:family w:val="modern"/>
    <w:pitch w:val="default"/>
    <w:sig w:usb0="00000000" w:usb1="00000000" w:usb2="08000012" w:usb3="00000000" w:csb0="0002009F" w:csb1="00000000"/>
  </w:font>
  <w:font w:name="Yu Gothic UI">
    <w:panose1 w:val="020B0500000000000000"/>
    <w:charset w:val="80"/>
    <w:family w:val="auto"/>
    <w:pitch w:val="default"/>
    <w:sig w:usb0="E00002FF" w:usb1="2AC7FDFF" w:usb2="00000016" w:usb3="00000000" w:csb0="2002009F" w:csb1="00000000"/>
  </w:font>
  <w:font w:name="Century Gothic">
    <w:panose1 w:val="020B0502020202020204"/>
    <w:charset w:val="00"/>
    <w:family w:val="swiss"/>
    <w:pitch w:val="default"/>
    <w:sig w:usb0="00000287" w:usb1="00000000" w:usb2="00000000" w:usb3="00000000" w:csb0="2000009F" w:csb1="DFD70000"/>
  </w:font>
  <w:font w:name="方正大标宋_GBK">
    <w:altName w:val="黑体"/>
    <w:panose1 w:val="00000000000000000000"/>
    <w:charset w:val="86"/>
    <w:family w:val="script"/>
    <w:pitch w:val="default"/>
    <w:sig w:usb0="00000000" w:usb1="00000000" w:usb2="00000010" w:usb3="00000000" w:csb0="00040000" w:csb1="00000000"/>
  </w:font>
  <w:font w:name="”“Times New Roman”“">
    <w:altName w:val="宋体"/>
    <w:panose1 w:val="00000000000000000000"/>
    <w:charset w:val="86"/>
    <w:family w:val="roman"/>
    <w:pitch w:val="default"/>
    <w:sig w:usb0="00000000" w:usb1="00000000" w:usb2="00000010" w:usb3="00000000" w:csb0="00040000" w:csb1="00000000"/>
  </w:font>
  <w:font w:name="方正书宋简体">
    <w:altName w:val="宋体"/>
    <w:panose1 w:val="00000000000000000000"/>
    <w:charset w:val="86"/>
    <w:family w:val="auto"/>
    <w:pitch w:val="default"/>
    <w:sig w:usb0="00000000" w:usb1="00000000" w:usb2="00000010" w:usb3="00000000" w:csb0="00040000" w:csb1="00000000"/>
  </w:font>
  <w:font w:name="长城仿宋">
    <w:altName w:val="黑体"/>
    <w:panose1 w:val="00000000000000000000"/>
    <w:charset w:val="86"/>
    <w:family w:val="modern"/>
    <w:pitch w:val="default"/>
    <w:sig w:usb0="00000000" w:usb1="00000000" w:usb2="00000010" w:usb3="00000000" w:csb0="00040008" w:csb1="00000000"/>
  </w:font>
  <w:font w:name="Arial Rounded MT Bold">
    <w:panose1 w:val="020F0704030504030204"/>
    <w:charset w:val="00"/>
    <w:family w:val="swiss"/>
    <w:pitch w:val="default"/>
    <w:sig w:usb0="00000003" w:usb1="00000000" w:usb2="00000000" w:usb3="00000000" w:csb0="20000001" w:csb1="00000000"/>
  </w:font>
  <w:font w:name="方正大标宋简体">
    <w:altName w:val="宋体"/>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1" w:usb1="080F0000" w:usb2="00000000" w:usb3="00000000" w:csb0="00040000" w:csb1="00000000"/>
  </w:font>
  <w:font w:name="TimesNewRomanPS-BoldMT">
    <w:altName w:val="Times New Roman"/>
    <w:panose1 w:val="00000000000000000000"/>
    <w:charset w:val="00"/>
    <w:family w:val="roman"/>
    <w:pitch w:val="default"/>
    <w:sig w:usb0="00000000" w:usb1="00000000" w:usb2="00000000" w:usb3="00000000" w:csb0="00000000" w:csb1="00000000"/>
  </w:font>
  <w:font w:name="TimesNewRomanPSMT">
    <w:altName w:val="Times New Roman"/>
    <w:panose1 w:val="00000000000000000000"/>
    <w:charset w:val="00"/>
    <w:family w:val="roman"/>
    <w:pitch w:val="default"/>
    <w:sig w:usb0="00000000" w:usb1="00000000" w:usb2="00000010" w:usb3="00000000" w:csb0="00040001" w:csb1="00000000"/>
  </w:font>
  <w:font w:name="Arial Black">
    <w:panose1 w:val="020B0A04020102020204"/>
    <w:charset w:val="00"/>
    <w:family w:val="swiss"/>
    <w:pitch w:val="default"/>
    <w:sig w:usb0="A00002AF" w:usb1="400078FB" w:usb2="00000000" w:usb3="00000000" w:csb0="6000009F" w:csb1="DFD70000"/>
  </w:font>
  <w:font w:name="方正宋黑简体">
    <w:altName w:val="宋体"/>
    <w:panose1 w:val="00000000000000000000"/>
    <w:charset w:val="86"/>
    <w:family w:val="auto"/>
    <w:pitch w:val="default"/>
    <w:sig w:usb0="00000000" w:usb1="00000000" w:usb2="00000010" w:usb3="00000000" w:csb0="00040000" w:csb1="00000000"/>
  </w:font>
  <w:font w:name="Century">
    <w:panose1 w:val="02040604050505020304"/>
    <w:charset w:val="00"/>
    <w:family w:val="roman"/>
    <w:pitch w:val="default"/>
    <w:sig w:usb0="00000287" w:usb1="00000000" w:usb2="00000000" w:usb3="00000000" w:csb0="2000009F" w:csb1="DFD70000"/>
  </w:font>
  <w:font w:name="Hei">
    <w:altName w:val="Times New Roman"/>
    <w:panose1 w:val="00000000000000000000"/>
    <w:charset w:val="00"/>
    <w:family w:val="roman"/>
    <w:pitch w:val="default"/>
    <w:sig w:usb0="00000000" w:usb1="00000000" w:usb2="00000000" w:usb3="00000000" w:csb0="00040001" w:csb1="00000000"/>
  </w:font>
  <w:font w:name="Roman 10cpi">
    <w:altName w:val="Times New Roman"/>
    <w:panose1 w:val="00000000000000000000"/>
    <w:charset w:val="00"/>
    <w:family w:val="roman"/>
    <w:pitch w:val="default"/>
    <w:sig w:usb0="00000000" w:usb1="00000000" w:usb2="0000006E" w:usb3="81540000" w:csb0="00000000" w:csb1="8155A1AC"/>
  </w:font>
  <w:font w:name="Helvetica-Normal">
    <w:altName w:val="Times New Roman"/>
    <w:panose1 w:val="00000000000000000000"/>
    <w:charset w:val="00"/>
    <w:family w:val="auto"/>
    <w:pitch w:val="default"/>
    <w:sig w:usb0="00000000" w:usb1="00000000" w:usb2="00000000" w:usb3="00000000" w:csb0="0000001B" w:csb1="00000000"/>
  </w:font>
  <w:font w:name="PMingLiU">
    <w:altName w:val="Microsoft JhengHei UI"/>
    <w:panose1 w:val="02010601000101010101"/>
    <w:charset w:val="88"/>
    <w:family w:val="roman"/>
    <w:pitch w:val="default"/>
    <w:sig w:usb0="00000000" w:usb1="00000000" w:usb2="00000016" w:usb3="00000000" w:csb0="00100001" w:csb1="00000000"/>
  </w:font>
  <w:font w:name="Microsoft JhengHei UI">
    <w:panose1 w:val="020B0604030504040204"/>
    <w:charset w:val="88"/>
    <w:family w:val="auto"/>
    <w:pitch w:val="default"/>
    <w:sig w:usb0="000002A7" w:usb1="28CF4400" w:usb2="00000016" w:usb3="00000000" w:csb0="00100009" w:csb1="00000000"/>
  </w:font>
  <w:font w:name="Arial Narrow">
    <w:panose1 w:val="020B0606020202030204"/>
    <w:charset w:val="00"/>
    <w:family w:val="swiss"/>
    <w:pitch w:val="default"/>
    <w:sig w:usb0="00000287" w:usb1="00000800" w:usb2="00000000" w:usb3="00000000" w:csb0="2000009F" w:csb1="DFD70000"/>
  </w:font>
  <w:font w:name="全真楷書">
    <w:altName w:val="宋体"/>
    <w:panose1 w:val="00000000000000000000"/>
    <w:charset w:val="88"/>
    <w:family w:val="modern"/>
    <w:pitch w:val="default"/>
    <w:sig w:usb0="00000000" w:usb1="00000000" w:usb2="00000010" w:usb3="00000000" w:csb0="00100000" w:csb1="00000000"/>
  </w:font>
  <w:font w:name="Dutch801 Rm BT">
    <w:altName w:val="Times New Roman"/>
    <w:panose1 w:val="02020603060505020304"/>
    <w:charset w:val="00"/>
    <w:family w:val="roman"/>
    <w:pitch w:val="default"/>
    <w:sig w:usb0="00000000" w:usb1="00000000" w:usb2="00000000" w:usb3="00000000" w:csb0="00000000" w:csb1="00000000"/>
  </w:font>
  <w:font w:name="隶书体">
    <w:altName w:val="宋体"/>
    <w:panose1 w:val="00000000000000000000"/>
    <w:charset w:val="86"/>
    <w:family w:val="swiss"/>
    <w:pitch w:val="default"/>
    <w:sig w:usb0="00000000" w:usb1="00000000" w:usb2="00000010" w:usb3="00000000" w:csb0="00040000" w:csb1="00000000"/>
  </w:font>
  <w:font w:name="Bookman Old Style">
    <w:panose1 w:val="02050604050505020204"/>
    <w:charset w:val="00"/>
    <w:family w:val="roman"/>
    <w:pitch w:val="default"/>
    <w:sig w:usb0="00000287" w:usb1="00000000" w:usb2="00000000" w:usb3="00000000" w:csb0="2000009F" w:csb1="DFD70000"/>
  </w:font>
  <w:font w:name="五">
    <w:altName w:val="黑体"/>
    <w:panose1 w:val="00000000000000000000"/>
    <w:charset w:val="86"/>
    <w:family w:val="auto"/>
    <w:pitch w:val="default"/>
    <w:sig w:usb0="00000000" w:usb1="00000000" w:usb2="00000010" w:usb3="00000000" w:csb0="00040000" w:csb1="00000000"/>
  </w:font>
  <w:font w:name="ArialMT">
    <w:altName w:val="Times New Roman"/>
    <w:panose1 w:val="00000000000000000000"/>
    <w:charset w:val="00"/>
    <w:family w:val="roman"/>
    <w:pitch w:val="default"/>
    <w:sig w:usb0="00000000" w:usb1="00000000" w:usb2="00000000" w:usb3="00000000" w:csb0="00000000" w:csb1="00000000"/>
  </w:font>
  <w:font w:name="Alaska">
    <w:altName w:val="Lucida Sans Unicode"/>
    <w:panose1 w:val="00000000000000000000"/>
    <w:charset w:val="00"/>
    <w:family w:val="auto"/>
    <w:pitch w:val="default"/>
    <w:sig w:usb0="00000000" w:usb1="00000000" w:usb2="00000000" w:usb3="00000000" w:csb0="00000017" w:csb1="00000000"/>
  </w:font>
  <w:font w:name="Lucida Sans Unicode">
    <w:panose1 w:val="020B0602030504020204"/>
    <w:charset w:val="00"/>
    <w:family w:val="auto"/>
    <w:pitch w:val="default"/>
    <w:sig w:usb0="80001AFF" w:usb1="0000396B" w:usb2="00000000" w:usb3="00000000" w:csb0="200000BF" w:csb1="D7F70000"/>
  </w:font>
  <w:font w:name="等线">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swiss"/>
    <w:pitch w:val="default"/>
    <w:sig w:usb0="80000287" w:usb1="2ACF3C50" w:usb2="00000016" w:usb3="00000000" w:csb0="0004001F" w:csb1="00000000"/>
  </w:font>
  <w:font w:name="Wingdings 2">
    <w:panose1 w:val="05020102010507070707"/>
    <w:charset w:val="02"/>
    <w:family w:val="roman"/>
    <w:pitch w:val="default"/>
    <w:sig w:usb0="00000000" w:usb1="00000000" w:usb2="00000000" w:usb3="00000000" w:csb0="80000000" w:csb1="00000000"/>
  </w:font>
  <w:font w:name="Segoe UI Symbol">
    <w:panose1 w:val="020B0502040204020203"/>
    <w:charset w:val="00"/>
    <w:family w:val="swiss"/>
    <w:pitch w:val="default"/>
    <w:sig w:usb0="800001E3" w:usb1="1200FFEF" w:usb2="00040000" w:usb3="04000000" w:csb0="00000001" w:csb1="4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ind w:firstLine="0" w:firstLineChars="0"/>
      <w:jc w:val="center"/>
    </w:pPr>
  </w:p>
  <w:p>
    <w:pPr>
      <w:pStyle w:val="55"/>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ind w:firstLine="0" w:firstLineChars="0"/>
      <w:jc w:val="center"/>
    </w:pPr>
  </w:p>
  <w:p>
    <w:pPr>
      <w:pStyle w:val="55"/>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ind w:firstLine="0" w:firstLineChars="0"/>
      <w:jc w:val="center"/>
    </w:pPr>
  </w:p>
  <w:p>
    <w:pPr>
      <w:pStyle w:val="55"/>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ind w:firstLine="0" w:firstLineChars="0"/>
      <w:jc w:val="center"/>
    </w:pPr>
  </w:p>
  <w:p>
    <w:pPr>
      <w:pStyle w:val="55"/>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ind w:firstLine="360"/>
    </w:pPr>
  </w:p>
  <w:p>
    <w:pPr>
      <w:pStyle w:val="55"/>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ind w:firstLine="0" w:firstLineChars="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378286715"/>
                          </w:sdtPr>
                          <w:sdtContent>
                            <w:p>
                              <w:pPr>
                                <w:pStyle w:val="55"/>
                                <w:ind w:firstLine="0" w:firstLineChars="0"/>
                                <w:jc w:val="center"/>
                              </w:pPr>
                              <w:r>
                                <w:fldChar w:fldCharType="begin"/>
                              </w:r>
                              <w:r>
                                <w:instrText xml:space="preserve">PAGE   \* MERGEFORMAT</w:instrText>
                              </w:r>
                              <w:r>
                                <w:fldChar w:fldCharType="separate"/>
                              </w:r>
                              <w:r>
                                <w:rPr>
                                  <w:lang w:val="zh-CN"/>
                                </w:rPr>
                                <w:t>309</w:t>
                              </w:r>
                              <w:r>
                                <w:fldChar w:fldCharType="end"/>
                              </w:r>
                            </w:p>
                          </w:sdtContent>
                        </w:sdt>
                        <w:p>
                          <w:pPr>
                            <w:pStyle w:val="2"/>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NJGYzAgAAYw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9d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yNJGYzAgAAYwQAAA4AAAAAAAAAAQAgAAAAHwEAAGRycy9lMm9Eb2MueG1sUEsF&#10;BgAAAAAGAAYAWQEAAMQFAAAAAA==&#10;">
              <v:fill on="f" focussize="0,0"/>
              <v:stroke on="f" weight="0.5pt"/>
              <v:imagedata o:title=""/>
              <o:lock v:ext="edit" aspectratio="f"/>
              <v:textbox inset="0mm,0mm,0mm,0mm" style="mso-fit-shape-to-text:t;">
                <w:txbxContent>
                  <w:sdt>
                    <w:sdtPr>
                      <w:id w:val="378286715"/>
                    </w:sdtPr>
                    <w:sdtContent>
                      <w:p>
                        <w:pPr>
                          <w:pStyle w:val="55"/>
                          <w:ind w:firstLine="0" w:firstLineChars="0"/>
                          <w:jc w:val="center"/>
                        </w:pPr>
                        <w:r>
                          <w:fldChar w:fldCharType="begin"/>
                        </w:r>
                        <w:r>
                          <w:instrText xml:space="preserve">PAGE   \* MERGEFORMAT</w:instrText>
                        </w:r>
                        <w:r>
                          <w:fldChar w:fldCharType="separate"/>
                        </w:r>
                        <w:r>
                          <w:rPr>
                            <w:lang w:val="zh-CN"/>
                          </w:rPr>
                          <w:t>309</w:t>
                        </w:r>
                        <w:r>
                          <w:fldChar w:fldCharType="end"/>
                        </w:r>
                      </w:p>
                    </w:sdtContent>
                  </w:sdt>
                  <w:p>
                    <w:pPr>
                      <w:pStyle w:val="2"/>
                    </w:pPr>
                  </w:p>
                </w:txbxContent>
              </v:textbox>
            </v:shape>
          </w:pict>
        </mc:Fallback>
      </mc:AlternateContent>
    </w:r>
  </w:p>
  <w:p>
    <w:pPr>
      <w:pStyle w:val="55"/>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ind w:firstLine="0" w:firstLineChars="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378286715"/>
                          </w:sdtPr>
                          <w:sdtContent>
                            <w:p>
                              <w:pPr>
                                <w:pStyle w:val="55"/>
                                <w:ind w:firstLine="0" w:firstLineChars="0"/>
                                <w:jc w:val="center"/>
                              </w:pPr>
                              <w:r>
                                <w:fldChar w:fldCharType="begin"/>
                              </w:r>
                              <w:r>
                                <w:instrText xml:space="preserve">PAGE   \* MERGEFORMAT</w:instrText>
                              </w:r>
                              <w:r>
                                <w:fldChar w:fldCharType="separate"/>
                              </w:r>
                              <w:r>
                                <w:rPr>
                                  <w:lang w:val="zh-CN"/>
                                </w:rPr>
                                <w:t>309</w:t>
                              </w:r>
                              <w:r>
                                <w:fldChar w:fldCharType="end"/>
                              </w:r>
                            </w:p>
                          </w:sdtContent>
                        </w:sdt>
                        <w:p>
                          <w:pPr>
                            <w:pStyle w:val="2"/>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g6Gf4zAgAAYwQAAA4AAABkcnMvZTJvRG9jLnhtbK1UzY7TMBC+I/EO&#10;lu80aYFV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X72h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g6Gf4zAgAAYwQAAA4AAAAAAAAAAQAgAAAAHwEAAGRycy9lMm9Eb2MueG1sUEsF&#10;BgAAAAAGAAYAWQEAAMQFAAAAAA==&#10;">
              <v:fill on="f" focussize="0,0"/>
              <v:stroke on="f" weight="0.5pt"/>
              <v:imagedata o:title=""/>
              <o:lock v:ext="edit" aspectratio="f"/>
              <v:textbox inset="0mm,0mm,0mm,0mm" style="mso-fit-shape-to-text:t;">
                <w:txbxContent>
                  <w:sdt>
                    <w:sdtPr>
                      <w:id w:val="378286715"/>
                    </w:sdtPr>
                    <w:sdtContent>
                      <w:p>
                        <w:pPr>
                          <w:pStyle w:val="55"/>
                          <w:ind w:firstLine="0" w:firstLineChars="0"/>
                          <w:jc w:val="center"/>
                        </w:pPr>
                        <w:r>
                          <w:fldChar w:fldCharType="begin"/>
                        </w:r>
                        <w:r>
                          <w:instrText xml:space="preserve">PAGE   \* MERGEFORMAT</w:instrText>
                        </w:r>
                        <w:r>
                          <w:fldChar w:fldCharType="separate"/>
                        </w:r>
                        <w:r>
                          <w:rPr>
                            <w:lang w:val="zh-CN"/>
                          </w:rPr>
                          <w:t>309</w:t>
                        </w:r>
                        <w:r>
                          <w:fldChar w:fldCharType="end"/>
                        </w:r>
                      </w:p>
                    </w:sdtContent>
                  </w:sdt>
                  <w:p>
                    <w:pPr>
                      <w:pStyle w:val="2"/>
                    </w:pPr>
                  </w:p>
                </w:txbxContent>
              </v:textbox>
            </v:shape>
          </w:pict>
        </mc:Fallback>
      </mc:AlternateContent>
    </w:r>
  </w:p>
  <w:p>
    <w:pPr>
      <w:pStyle w:val="55"/>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ind w:firstLine="360"/>
    </w:pPr>
    <w:r>
      <w:rPr>
        <w:rFonts w:hint="eastAsia"/>
      </w:rPr>
      <w:t>岳阳港道仁矶码头工程环境影响报告书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937034"/>
    <w:multiLevelType w:val="multilevel"/>
    <w:tmpl w:val="92937034"/>
    <w:lvl w:ilvl="0" w:tentative="0">
      <w:start w:val="1"/>
      <w:numFmt w:val="decimal"/>
      <w:pStyle w:val="3586"/>
      <w:lvlText w:val="表5-%1  "/>
      <w:lvlJc w:val="center"/>
      <w:pPr>
        <w:ind w:left="240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C7ED6548"/>
    <w:multiLevelType w:val="singleLevel"/>
    <w:tmpl w:val="C7ED6548"/>
    <w:lvl w:ilvl="0" w:tentative="0">
      <w:start w:val="1"/>
      <w:numFmt w:val="bullet"/>
      <w:lvlText w:val=""/>
      <w:lvlJc w:val="left"/>
      <w:pPr>
        <w:ind w:left="420" w:hanging="420"/>
      </w:pPr>
      <w:rPr>
        <w:rFonts w:hint="default" w:ascii="Wingdings" w:hAnsi="Wingdings"/>
      </w:rPr>
    </w:lvl>
  </w:abstractNum>
  <w:abstractNum w:abstractNumId="2">
    <w:nsid w:val="E6123862"/>
    <w:multiLevelType w:val="singleLevel"/>
    <w:tmpl w:val="E6123862"/>
    <w:lvl w:ilvl="0" w:tentative="0">
      <w:start w:val="1"/>
      <w:numFmt w:val="chineseCounting"/>
      <w:suff w:val="nothing"/>
      <w:lvlText w:val="%1、"/>
      <w:lvlJc w:val="left"/>
      <w:pPr>
        <w:ind w:left="-2"/>
      </w:pPr>
      <w:rPr>
        <w:rFonts w:hint="eastAsia"/>
      </w:rPr>
    </w:lvl>
  </w:abstractNum>
  <w:abstractNum w:abstractNumId="3">
    <w:nsid w:val="FFFFFF7C"/>
    <w:multiLevelType w:val="singleLevel"/>
    <w:tmpl w:val="FFFFFF7C"/>
    <w:lvl w:ilvl="0" w:tentative="0">
      <w:start w:val="1"/>
      <w:numFmt w:val="decimal"/>
      <w:pStyle w:val="65"/>
      <w:lvlText w:val="%1."/>
      <w:lvlJc w:val="left"/>
      <w:pPr>
        <w:tabs>
          <w:tab w:val="left" w:pos="2040"/>
        </w:tabs>
        <w:ind w:left="2040" w:leftChars="800" w:hanging="360" w:hangingChars="200"/>
      </w:pPr>
    </w:lvl>
  </w:abstractNum>
  <w:abstractNum w:abstractNumId="4">
    <w:nsid w:val="FFFFFF7D"/>
    <w:multiLevelType w:val="singleLevel"/>
    <w:tmpl w:val="FFFFFF7D"/>
    <w:lvl w:ilvl="0" w:tentative="0">
      <w:start w:val="1"/>
      <w:numFmt w:val="decimal"/>
      <w:pStyle w:val="47"/>
      <w:lvlText w:val="%1."/>
      <w:lvlJc w:val="left"/>
      <w:pPr>
        <w:tabs>
          <w:tab w:val="left" w:pos="1620"/>
        </w:tabs>
        <w:ind w:left="1620" w:leftChars="600" w:hanging="360" w:hangingChars="200"/>
      </w:pPr>
    </w:lvl>
  </w:abstractNum>
  <w:abstractNum w:abstractNumId="5">
    <w:nsid w:val="FFFFFF7E"/>
    <w:multiLevelType w:val="singleLevel"/>
    <w:tmpl w:val="FFFFFF7E"/>
    <w:lvl w:ilvl="0" w:tentative="0">
      <w:start w:val="1"/>
      <w:numFmt w:val="decimal"/>
      <w:pStyle w:val="36"/>
      <w:lvlText w:val="%1."/>
      <w:lvlJc w:val="left"/>
      <w:pPr>
        <w:tabs>
          <w:tab w:val="left" w:pos="1200"/>
        </w:tabs>
        <w:ind w:left="1200" w:leftChars="400" w:hanging="360" w:hangingChars="200"/>
      </w:pPr>
    </w:lvl>
  </w:abstractNum>
  <w:abstractNum w:abstractNumId="6">
    <w:nsid w:val="FFFFFF80"/>
    <w:multiLevelType w:val="singleLevel"/>
    <w:tmpl w:val="FFFFFF80"/>
    <w:lvl w:ilvl="0" w:tentative="0">
      <w:start w:val="1"/>
      <w:numFmt w:val="bullet"/>
      <w:pStyle w:val="46"/>
      <w:lvlText w:val=""/>
      <w:lvlJc w:val="left"/>
      <w:pPr>
        <w:tabs>
          <w:tab w:val="left" w:pos="2040"/>
        </w:tabs>
        <w:ind w:left="2040" w:leftChars="800" w:hanging="360" w:hangingChars="200"/>
      </w:pPr>
      <w:rPr>
        <w:rFonts w:hint="default" w:ascii="Wingdings" w:hAnsi="Wingdings"/>
      </w:rPr>
    </w:lvl>
  </w:abstractNum>
  <w:abstractNum w:abstractNumId="7">
    <w:nsid w:val="FFFFFF81"/>
    <w:multiLevelType w:val="singleLevel"/>
    <w:tmpl w:val="FFFFFF81"/>
    <w:lvl w:ilvl="0" w:tentative="0">
      <w:start w:val="1"/>
      <w:numFmt w:val="bullet"/>
      <w:pStyle w:val="17"/>
      <w:lvlText w:val=""/>
      <w:lvlJc w:val="left"/>
      <w:pPr>
        <w:tabs>
          <w:tab w:val="left" w:pos="1620"/>
        </w:tabs>
        <w:ind w:left="1620" w:leftChars="600" w:hanging="360" w:hangingChars="200"/>
      </w:pPr>
      <w:rPr>
        <w:rFonts w:hint="default" w:ascii="Wingdings" w:hAnsi="Wingdings"/>
      </w:rPr>
    </w:lvl>
  </w:abstractNum>
  <w:abstractNum w:abstractNumId="8">
    <w:nsid w:val="FFFFFF82"/>
    <w:multiLevelType w:val="singleLevel"/>
    <w:tmpl w:val="FFFFFF82"/>
    <w:lvl w:ilvl="0" w:tentative="0">
      <w:start w:val="1"/>
      <w:numFmt w:val="bullet"/>
      <w:pStyle w:val="33"/>
      <w:lvlText w:val=""/>
      <w:lvlJc w:val="left"/>
      <w:pPr>
        <w:tabs>
          <w:tab w:val="left" w:pos="1200"/>
        </w:tabs>
        <w:ind w:left="1200" w:leftChars="400" w:hanging="360" w:hangingChars="200"/>
      </w:pPr>
      <w:rPr>
        <w:rFonts w:hint="default" w:ascii="Wingdings" w:hAnsi="Wingdings"/>
      </w:rPr>
    </w:lvl>
  </w:abstractNum>
  <w:abstractNum w:abstractNumId="9">
    <w:nsid w:val="FFFFFF83"/>
    <w:multiLevelType w:val="singleLevel"/>
    <w:tmpl w:val="FFFFFF83"/>
    <w:lvl w:ilvl="0" w:tentative="0">
      <w:start w:val="1"/>
      <w:numFmt w:val="bullet"/>
      <w:pStyle w:val="40"/>
      <w:lvlText w:val=""/>
      <w:lvlJc w:val="left"/>
      <w:pPr>
        <w:tabs>
          <w:tab w:val="left" w:pos="780"/>
        </w:tabs>
        <w:ind w:left="780" w:leftChars="200" w:hanging="360" w:hangingChars="200"/>
      </w:pPr>
      <w:rPr>
        <w:rFonts w:hint="default" w:ascii="Wingdings" w:hAnsi="Wingdings"/>
      </w:rPr>
    </w:lvl>
  </w:abstractNum>
  <w:abstractNum w:abstractNumId="10">
    <w:nsid w:val="FFFFFF88"/>
    <w:multiLevelType w:val="singleLevel"/>
    <w:tmpl w:val="FFFFFF88"/>
    <w:lvl w:ilvl="0" w:tentative="0">
      <w:start w:val="1"/>
      <w:numFmt w:val="decimal"/>
      <w:pStyle w:val="20"/>
      <w:lvlText w:val="%1."/>
      <w:lvlJc w:val="left"/>
      <w:pPr>
        <w:tabs>
          <w:tab w:val="left" w:pos="360"/>
        </w:tabs>
        <w:ind w:left="360" w:hanging="360" w:hangingChars="200"/>
      </w:pPr>
    </w:lvl>
  </w:abstractNum>
  <w:abstractNum w:abstractNumId="11">
    <w:nsid w:val="FFFFFF89"/>
    <w:multiLevelType w:val="singleLevel"/>
    <w:tmpl w:val="FFFFFF89"/>
    <w:lvl w:ilvl="0" w:tentative="0">
      <w:start w:val="1"/>
      <w:numFmt w:val="bullet"/>
      <w:pStyle w:val="784"/>
      <w:lvlText w:val=""/>
      <w:lvlJc w:val="left"/>
      <w:pPr>
        <w:tabs>
          <w:tab w:val="left" w:pos="360"/>
        </w:tabs>
        <w:ind w:left="360" w:hanging="360" w:hangingChars="200"/>
      </w:pPr>
      <w:rPr>
        <w:rFonts w:hint="default" w:ascii="Wingdings" w:hAnsi="Wingdings"/>
      </w:rPr>
    </w:lvl>
  </w:abstractNum>
  <w:abstractNum w:abstractNumId="12">
    <w:nsid w:val="09996B3F"/>
    <w:multiLevelType w:val="multilevel"/>
    <w:tmpl w:val="09996B3F"/>
    <w:lvl w:ilvl="0" w:tentative="0">
      <w:start w:val="1"/>
      <w:numFmt w:val="decimal"/>
      <w:lvlText w:val="（%1）"/>
      <w:lvlJc w:val="left"/>
      <w:pPr>
        <w:tabs>
          <w:tab w:val="left" w:pos="1080"/>
        </w:tabs>
        <w:ind w:left="1080" w:hanging="720"/>
      </w:pPr>
      <w:rPr>
        <w:rFonts w:hint="eastAsia"/>
        <w:b w:val="0"/>
        <w:color w:val="auto"/>
      </w:rPr>
    </w:lvl>
    <w:lvl w:ilvl="1" w:tentative="0">
      <w:start w:val="1"/>
      <w:numFmt w:val="decimal"/>
      <w:lvlText w:val="（%2）"/>
      <w:lvlJc w:val="left"/>
      <w:pPr>
        <w:tabs>
          <w:tab w:val="left" w:pos="1260"/>
        </w:tabs>
        <w:ind w:left="1260" w:hanging="720"/>
      </w:pPr>
      <w:rPr>
        <w:rFonts w:hint="eastAsia"/>
      </w:rPr>
    </w:lvl>
    <w:lvl w:ilvl="2" w:tentative="0">
      <w:start w:val="1"/>
      <w:numFmt w:val="lowerRoman"/>
      <w:lvlText w:val="%3."/>
      <w:lvlJc w:val="right"/>
      <w:pPr>
        <w:tabs>
          <w:tab w:val="left" w:pos="1620"/>
        </w:tabs>
        <w:ind w:left="1620" w:hanging="420"/>
      </w:pPr>
    </w:lvl>
    <w:lvl w:ilvl="3" w:tentative="0">
      <w:start w:val="1"/>
      <w:numFmt w:val="decimal"/>
      <w:lvlText w:val="%4."/>
      <w:lvlJc w:val="left"/>
      <w:pPr>
        <w:tabs>
          <w:tab w:val="left" w:pos="2040"/>
        </w:tabs>
        <w:ind w:left="2040" w:hanging="420"/>
      </w:pPr>
    </w:lvl>
    <w:lvl w:ilvl="4" w:tentative="0">
      <w:start w:val="1"/>
      <w:numFmt w:val="lowerLetter"/>
      <w:lvlText w:val="%5)"/>
      <w:lvlJc w:val="left"/>
      <w:pPr>
        <w:tabs>
          <w:tab w:val="left" w:pos="2460"/>
        </w:tabs>
        <w:ind w:left="2460" w:hanging="420"/>
      </w:pPr>
    </w:lvl>
    <w:lvl w:ilvl="5" w:tentative="0">
      <w:start w:val="1"/>
      <w:numFmt w:val="lowerRoman"/>
      <w:lvlText w:val="%6."/>
      <w:lvlJc w:val="right"/>
      <w:pPr>
        <w:tabs>
          <w:tab w:val="left" w:pos="2880"/>
        </w:tabs>
        <w:ind w:left="2880" w:hanging="420"/>
      </w:pPr>
    </w:lvl>
    <w:lvl w:ilvl="6" w:tentative="0">
      <w:start w:val="1"/>
      <w:numFmt w:val="decimal"/>
      <w:lvlText w:val="%7."/>
      <w:lvlJc w:val="left"/>
      <w:pPr>
        <w:tabs>
          <w:tab w:val="left" w:pos="3300"/>
        </w:tabs>
        <w:ind w:left="3300" w:hanging="420"/>
      </w:pPr>
    </w:lvl>
    <w:lvl w:ilvl="7" w:tentative="0">
      <w:start w:val="1"/>
      <w:numFmt w:val="lowerLetter"/>
      <w:lvlText w:val="%8)"/>
      <w:lvlJc w:val="left"/>
      <w:pPr>
        <w:tabs>
          <w:tab w:val="left" w:pos="3720"/>
        </w:tabs>
        <w:ind w:left="3720" w:hanging="420"/>
      </w:pPr>
    </w:lvl>
    <w:lvl w:ilvl="8" w:tentative="0">
      <w:start w:val="1"/>
      <w:numFmt w:val="lowerRoman"/>
      <w:lvlText w:val="%9."/>
      <w:lvlJc w:val="right"/>
      <w:pPr>
        <w:tabs>
          <w:tab w:val="left" w:pos="4140"/>
        </w:tabs>
        <w:ind w:left="4140" w:hanging="420"/>
      </w:pPr>
    </w:lvl>
  </w:abstractNum>
  <w:abstractNum w:abstractNumId="13">
    <w:nsid w:val="0CEA2B28"/>
    <w:multiLevelType w:val="multilevel"/>
    <w:tmpl w:val="0CEA2B28"/>
    <w:lvl w:ilvl="0" w:tentative="0">
      <w:start w:val="1"/>
      <w:numFmt w:val="decimal"/>
      <w:pStyle w:val="3584"/>
      <w:lvlText w:val="表4-%1  "/>
      <w:lvlJc w:val="center"/>
      <w:pPr>
        <w:ind w:left="900" w:hanging="420"/>
      </w:pPr>
      <w:rPr>
        <w:rFonts w:hint="eastAsia"/>
        <w:vertAlign w:val="baseline"/>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0DC55E8C"/>
    <w:multiLevelType w:val="multilevel"/>
    <w:tmpl w:val="0DC55E8C"/>
    <w:lvl w:ilvl="0" w:tentative="0">
      <w:start w:val="1"/>
      <w:numFmt w:val="decimal"/>
      <w:pStyle w:val="839"/>
      <w:isLgl/>
      <w:lvlText w:val="%1"/>
      <w:lvlJc w:val="left"/>
      <w:pPr>
        <w:tabs>
          <w:tab w:val="left" w:pos="425"/>
        </w:tabs>
        <w:ind w:left="425" w:hanging="425"/>
      </w:pPr>
      <w:rPr>
        <w:rFonts w:hint="eastAsia" w:ascii="Times New Roman" w:hAnsi="Times New Roman" w:cs="Times New Roman"/>
        <w:b/>
        <w:bCs w:val="0"/>
        <w:i w:val="0"/>
        <w:iCs w:val="0"/>
        <w:caps w:val="0"/>
        <w:smallCaps w:val="0"/>
        <w:strike w:val="0"/>
        <w:dstrike w:val="0"/>
        <w:vanish w:val="0"/>
        <w:color w:val="000000"/>
        <w:spacing w:val="0"/>
        <w:position w:val="0"/>
        <w:sz w:val="28"/>
        <w:szCs w:val="28"/>
        <w:u w:val="none"/>
        <w:vertAlign w:val="baseline"/>
        <w14:shadow w14:blurRad="0" w14:dist="0" w14:dir="0" w14:sx="0" w14:sy="0" w14:kx="0" w14:ky="0" w14:algn="none">
          <w14:srgbClr w14:val="000000"/>
        </w14:shadow>
      </w:rPr>
    </w:lvl>
    <w:lvl w:ilvl="1" w:tentative="0">
      <w:start w:val="1"/>
      <w:numFmt w:val="decimal"/>
      <w:pStyle w:val="837"/>
      <w:lvlText w:val="%1.%2"/>
      <w:lvlJc w:val="center"/>
      <w:pPr>
        <w:tabs>
          <w:tab w:val="left" w:pos="2446"/>
        </w:tabs>
        <w:ind w:left="2446" w:firstLine="0"/>
      </w:pPr>
      <w:rPr>
        <w:rFonts w:hint="eastAsia" w:ascii="宋体" w:hAnsi="宋体" w:eastAsia="宋体"/>
        <w:b/>
        <w:color w:val="auto"/>
        <w:sz w:val="24"/>
        <w:szCs w:val="24"/>
      </w:rPr>
    </w:lvl>
    <w:lvl w:ilvl="2" w:tentative="0">
      <w:start w:val="1"/>
      <w:numFmt w:val="decimal"/>
      <w:lvlText w:val="%1.%2.%3"/>
      <w:lvlJc w:val="left"/>
      <w:pPr>
        <w:tabs>
          <w:tab w:val="left" w:pos="709"/>
        </w:tabs>
        <w:ind w:left="709" w:hanging="709"/>
      </w:pPr>
      <w:rPr>
        <w:rFonts w:hint="eastAsia" w:ascii="宋体" w:hAnsi="宋体" w:eastAsia="宋体"/>
        <w:color w:val="auto"/>
      </w:rPr>
    </w:lvl>
    <w:lvl w:ilvl="3" w:tentative="0">
      <w:start w:val="1"/>
      <w:numFmt w:val="decimal"/>
      <w:lvlText w:val="%1.%2.%3.%4"/>
      <w:lvlJc w:val="left"/>
      <w:pPr>
        <w:tabs>
          <w:tab w:val="left" w:pos="425"/>
        </w:tabs>
        <w:ind w:left="360" w:hanging="360"/>
      </w:pPr>
      <w:rPr>
        <w:rFonts w:hint="eastAsia" w:ascii="宋体" w:hAnsi="宋体" w:eastAsia="宋体" w:cs="Times New Roman"/>
        <w:b w:val="0"/>
        <w:bCs w:val="0"/>
        <w:i w:val="0"/>
        <w:iCs w:val="0"/>
        <w:caps w:val="0"/>
        <w:smallCaps w:val="0"/>
        <w:strike w:val="0"/>
        <w:dstrike w:val="0"/>
        <w:vanish w:val="0"/>
        <w:color w:val="000000"/>
        <w:spacing w:val="0"/>
        <w:position w:val="0"/>
        <w:sz w:val="24"/>
        <w:szCs w:val="24"/>
        <w:u w:val="none"/>
        <w:vertAlign w:val="baseline"/>
        <w14:shadow w14:blurRad="0" w14:dist="0" w14:dir="0" w14:sx="0" w14:sy="0" w14:kx="0" w14:ky="0" w14:algn="none">
          <w14:srgbClr w14:val="000000"/>
        </w14:shadow>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5">
    <w:nsid w:val="0F210F6B"/>
    <w:multiLevelType w:val="multilevel"/>
    <w:tmpl w:val="0F210F6B"/>
    <w:lvl w:ilvl="0" w:tentative="0">
      <w:start w:val="1"/>
      <w:numFmt w:val="decimal"/>
      <w:pStyle w:val="1928"/>
      <w:lvlText w:val="(%1)"/>
      <w:lvlJc w:val="left"/>
      <w:pPr>
        <w:tabs>
          <w:tab w:val="left" w:pos="0"/>
        </w:tabs>
        <w:ind w:left="0" w:firstLine="0"/>
      </w:pPr>
      <w:rPr>
        <w:rFonts w:hint="default" w:ascii="Arial" w:hAnsi="Arial" w:eastAsia="宋体"/>
        <w:b w:val="0"/>
        <w:i w:val="0"/>
        <w:caps w:val="0"/>
        <w:strike w:val="0"/>
        <w:dstrike w:val="0"/>
        <w:vanish w:val="0"/>
        <w:color w:val="auto"/>
        <w:sz w:val="24"/>
        <w:szCs w:val="24"/>
        <w:u w:val="none"/>
        <w:vertAlign w:val="baseline"/>
        <w14:shadow w14:blurRad="0" w14:dist="0" w14:dir="0" w14:sx="0" w14:sy="0" w14:kx="0" w14:ky="0" w14:algn="none">
          <w14:srgbClr w14:val="000000"/>
        </w14:shadow>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6">
    <w:nsid w:val="0F4F09C1"/>
    <w:multiLevelType w:val="multilevel"/>
    <w:tmpl w:val="0F4F09C1"/>
    <w:lvl w:ilvl="0" w:tentative="0">
      <w:start w:val="1"/>
      <w:numFmt w:val="decimal"/>
      <w:pStyle w:val="3590"/>
      <w:lvlText w:val="表7-%1  "/>
      <w:lvlJc w:val="center"/>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112F7E9C"/>
    <w:multiLevelType w:val="multilevel"/>
    <w:tmpl w:val="112F7E9C"/>
    <w:lvl w:ilvl="0" w:tentative="0">
      <w:start w:val="1"/>
      <w:numFmt w:val="decimal"/>
      <w:pStyle w:val="3"/>
      <w:isLgl/>
      <w:suff w:val="nothing"/>
      <w:lvlText w:val="第%1章"/>
      <w:lvlJc w:val="left"/>
      <w:rPr>
        <w:rFonts w:ascii="Times New Roman" w:hAnsi="Times New Roman" w:eastAsia="Times New Roman" w:cs="Times New Roman"/>
        <w:sz w:val="36"/>
        <w:szCs w:val="36"/>
      </w:rPr>
    </w:lvl>
    <w:lvl w:ilvl="1" w:tentative="0">
      <w:start w:val="1"/>
      <w:numFmt w:val="decimal"/>
      <w:pStyle w:val="4"/>
      <w:isLgl/>
      <w:suff w:val="nothing"/>
      <w:lvlText w:val="%1.%2 "/>
      <w:lvlJc w:val="left"/>
      <w:pPr>
        <w:ind w:left="-403"/>
      </w:pPr>
      <w:rPr>
        <w:rFonts w:hint="default" w:ascii="Times New Roman" w:hAnsi="Times New Roman" w:eastAsia="宋体" w:cs="Times New Roman"/>
        <w:b/>
        <w:i w:val="0"/>
        <w:color w:val="auto"/>
        <w:sz w:val="32"/>
        <w:szCs w:val="32"/>
      </w:rPr>
    </w:lvl>
    <w:lvl w:ilvl="2" w:tentative="0">
      <w:start w:val="1"/>
      <w:numFmt w:val="decimal"/>
      <w:pStyle w:val="5"/>
      <w:isLgl/>
      <w:suff w:val="space"/>
      <w:lvlText w:val="%1.%2.%3 "/>
      <w:lvlJc w:val="left"/>
      <w:rPr>
        <w:rFonts w:hint="default" w:ascii="Times New Roman" w:hAnsi="Times New Roman" w:cs="Times New Roman"/>
        <w:b/>
        <w:sz w:val="30"/>
        <w:szCs w:val="30"/>
      </w:rPr>
    </w:lvl>
    <w:lvl w:ilvl="3" w:tentative="0">
      <w:start w:val="1"/>
      <w:numFmt w:val="decimal"/>
      <w:pStyle w:val="6"/>
      <w:isLgl/>
      <w:suff w:val="space"/>
      <w:lvlText w:val="%1.%2.%3.%4"/>
      <w:lvlJc w:val="left"/>
      <w:pPr>
        <w:ind w:firstLine="284"/>
      </w:pPr>
      <w:rPr>
        <w:rFonts w:hint="default" w:ascii="Times New Roman" w:hAnsi="Times New Roman" w:cs="Times New Roman"/>
        <w:b/>
        <w:sz w:val="24"/>
        <w:szCs w:val="28"/>
      </w:rPr>
    </w:lvl>
    <w:lvl w:ilvl="4" w:tentative="0">
      <w:start w:val="1"/>
      <w:numFmt w:val="decimal"/>
      <w:pStyle w:val="7"/>
      <w:isLgl/>
      <w:lvlText w:val="%1.%2.%3.%4.%5"/>
      <w:lvlJc w:val="left"/>
      <w:pPr>
        <w:tabs>
          <w:tab w:val="left" w:pos="1364"/>
        </w:tabs>
        <w:ind w:firstLine="284"/>
      </w:pPr>
      <w:rPr>
        <w:rFonts w:hint="eastAsia"/>
      </w:rPr>
    </w:lvl>
    <w:lvl w:ilvl="5" w:tentative="0">
      <w:start w:val="1"/>
      <w:numFmt w:val="decimal"/>
      <w:pStyle w:val="8"/>
      <w:lvlText w:val="%1.%2.%3.%4.%5.%6"/>
      <w:lvlJc w:val="left"/>
      <w:pPr>
        <w:tabs>
          <w:tab w:val="left" w:pos="432"/>
        </w:tabs>
        <w:ind w:left="432" w:hanging="1152"/>
      </w:pPr>
      <w:rPr>
        <w:rFonts w:hint="eastAsia"/>
      </w:rPr>
    </w:lvl>
    <w:lvl w:ilvl="6" w:tentative="0">
      <w:start w:val="1"/>
      <w:numFmt w:val="decimal"/>
      <w:pStyle w:val="9"/>
      <w:lvlText w:val="%1.%2.%3.%4.%5.%6.%7"/>
      <w:lvlJc w:val="left"/>
      <w:pPr>
        <w:tabs>
          <w:tab w:val="left" w:pos="576"/>
        </w:tabs>
        <w:ind w:left="576" w:hanging="1296"/>
      </w:pPr>
      <w:rPr>
        <w:rFonts w:hint="eastAsia"/>
      </w:rPr>
    </w:lvl>
    <w:lvl w:ilvl="7" w:tentative="0">
      <w:start w:val="1"/>
      <w:numFmt w:val="decimal"/>
      <w:pStyle w:val="10"/>
      <w:lvlText w:val="%1.%2.%3.%4.%5.%6.%7.%8"/>
      <w:lvlJc w:val="left"/>
      <w:pPr>
        <w:tabs>
          <w:tab w:val="left" w:pos="720"/>
        </w:tabs>
        <w:ind w:left="720" w:hanging="1440"/>
      </w:pPr>
      <w:rPr>
        <w:rFonts w:hint="eastAsia"/>
      </w:rPr>
    </w:lvl>
    <w:lvl w:ilvl="8" w:tentative="0">
      <w:start w:val="1"/>
      <w:numFmt w:val="decimal"/>
      <w:pStyle w:val="11"/>
      <w:lvlText w:val="%1.%2.%3.%4.%5.%6.%7.%8.%9"/>
      <w:lvlJc w:val="left"/>
      <w:pPr>
        <w:tabs>
          <w:tab w:val="left" w:pos="864"/>
        </w:tabs>
        <w:ind w:left="864" w:hanging="1584"/>
      </w:pPr>
      <w:rPr>
        <w:rFonts w:hint="eastAsia"/>
      </w:rPr>
    </w:lvl>
  </w:abstractNum>
  <w:abstractNum w:abstractNumId="18">
    <w:nsid w:val="131F3279"/>
    <w:multiLevelType w:val="multilevel"/>
    <w:tmpl w:val="131F3279"/>
    <w:lvl w:ilvl="0" w:tentative="0">
      <w:start w:val="1"/>
      <w:numFmt w:val="decimal"/>
      <w:lvlText w:val="%1、"/>
      <w:lvlJc w:val="left"/>
      <w:pPr>
        <w:ind w:left="902" w:hanging="420"/>
      </w:pPr>
      <w:rPr>
        <w:rFonts w:hint="default"/>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19">
    <w:nsid w:val="135C75C7"/>
    <w:multiLevelType w:val="multilevel"/>
    <w:tmpl w:val="135C75C7"/>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0">
    <w:nsid w:val="1563351F"/>
    <w:multiLevelType w:val="multilevel"/>
    <w:tmpl w:val="1563351F"/>
    <w:lvl w:ilvl="0" w:tentative="0">
      <w:start w:val="1"/>
      <w:numFmt w:val="decimal"/>
      <w:lvlText w:val="（%1）"/>
      <w:lvlJc w:val="left"/>
      <w:pPr>
        <w:ind w:left="902" w:hanging="420"/>
      </w:pPr>
      <w:rPr>
        <w:rFonts w:hint="default"/>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21">
    <w:nsid w:val="227B3630"/>
    <w:multiLevelType w:val="singleLevel"/>
    <w:tmpl w:val="227B3630"/>
    <w:lvl w:ilvl="0" w:tentative="0">
      <w:start w:val="1"/>
      <w:numFmt w:val="decimal"/>
      <w:suff w:val="nothing"/>
      <w:lvlText w:val="（%1）"/>
      <w:lvlJc w:val="left"/>
    </w:lvl>
  </w:abstractNum>
  <w:abstractNum w:abstractNumId="22">
    <w:nsid w:val="245F2A73"/>
    <w:multiLevelType w:val="multilevel"/>
    <w:tmpl w:val="245F2A73"/>
    <w:lvl w:ilvl="0" w:tentative="0">
      <w:start w:val="1"/>
      <w:numFmt w:val="decimal"/>
      <w:suff w:val="space"/>
      <w:lvlText w:val="%1"/>
      <w:lvlJc w:val="left"/>
      <w:pPr>
        <w:ind w:left="0" w:firstLine="0"/>
      </w:pPr>
      <w:rPr>
        <w:rFonts w:hint="default"/>
      </w:rPr>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23">
    <w:nsid w:val="26E8569B"/>
    <w:multiLevelType w:val="multilevel"/>
    <w:tmpl w:val="26E8569B"/>
    <w:lvl w:ilvl="0" w:tentative="0">
      <w:start w:val="1"/>
      <w:numFmt w:val="upperLetter"/>
      <w:pStyle w:val="1866"/>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27C153BC"/>
    <w:multiLevelType w:val="multilevel"/>
    <w:tmpl w:val="27C153BC"/>
    <w:lvl w:ilvl="0" w:tentative="0">
      <w:start w:val="1"/>
      <w:numFmt w:val="decimal"/>
      <w:lvlText w:val="（%1）"/>
      <w:lvlJc w:val="left"/>
      <w:pPr>
        <w:tabs>
          <w:tab w:val="left" w:pos="720"/>
        </w:tabs>
        <w:ind w:left="0" w:firstLine="0"/>
      </w:pPr>
      <w:rPr>
        <w:rFonts w:hint="default"/>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EnclosedCircle"/>
      <w:lvlText w:val="%4"/>
      <w:lvlJc w:val="left"/>
      <w:pPr>
        <w:tabs>
          <w:tab w:val="left" w:pos="1620"/>
        </w:tabs>
        <w:ind w:left="1620" w:hanging="360"/>
      </w:pPr>
      <w:rPr>
        <w:rFonts w:hint="default"/>
      </w:rPr>
    </w:lvl>
    <w:lvl w:ilvl="4" w:tentative="0">
      <w:start w:val="1"/>
      <w:numFmt w:val="decimal"/>
      <w:lvlText w:val="%5）"/>
      <w:lvlJc w:val="left"/>
      <w:pPr>
        <w:ind w:left="2040" w:hanging="360"/>
      </w:pPr>
      <w:rPr>
        <w:rFonts w:hint="default"/>
      </w:r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5">
    <w:nsid w:val="28AF7EDD"/>
    <w:multiLevelType w:val="multilevel"/>
    <w:tmpl w:val="28AF7EDD"/>
    <w:lvl w:ilvl="0" w:tentative="0">
      <w:start w:val="1"/>
      <w:numFmt w:val="decimal"/>
      <w:lvlText w:val="%1 "/>
      <w:lvlJc w:val="left"/>
      <w:pPr>
        <w:tabs>
          <w:tab w:val="left" w:pos="425"/>
        </w:tabs>
        <w:ind w:left="425" w:hanging="425"/>
      </w:pPr>
      <w:rPr>
        <w:rFonts w:hint="eastAsia" w:eastAsia="宋体"/>
        <w:b/>
        <w:bCs/>
        <w:spacing w:val="-4"/>
        <w:kern w:val="2"/>
        <w:sz w:val="28"/>
      </w:rPr>
    </w:lvl>
    <w:lvl w:ilvl="1" w:tentative="0">
      <w:start w:val="1"/>
      <w:numFmt w:val="decimal"/>
      <w:lvlText w:val="%1.%2 "/>
      <w:lvlJc w:val="left"/>
      <w:pPr>
        <w:tabs>
          <w:tab w:val="left" w:pos="567"/>
        </w:tabs>
        <w:ind w:left="567" w:hanging="567"/>
      </w:pPr>
      <w:rPr>
        <w:rFonts w:hint="eastAsia"/>
      </w:rPr>
    </w:lvl>
    <w:lvl w:ilvl="2" w:tentative="0">
      <w:start w:val="1"/>
      <w:numFmt w:val="decimal"/>
      <w:lvlText w:val="%1.%2.%3 "/>
      <w:lvlJc w:val="left"/>
      <w:pPr>
        <w:tabs>
          <w:tab w:val="left" w:pos="709"/>
        </w:tabs>
        <w:ind w:left="709" w:hanging="709"/>
      </w:pPr>
      <w:rPr>
        <w:rFonts w:hint="eastAsia"/>
      </w:rPr>
    </w:lvl>
    <w:lvl w:ilvl="3" w:tentative="0">
      <w:start w:val="1"/>
      <w:numFmt w:val="decimal"/>
      <w:lvlText w:val="%1.%2.%3.%4 "/>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6">
    <w:nsid w:val="2C8C3E05"/>
    <w:multiLevelType w:val="multilevel"/>
    <w:tmpl w:val="2C8C3E05"/>
    <w:lvl w:ilvl="0" w:tentative="0">
      <w:start w:val="1"/>
      <w:numFmt w:val="decimal"/>
      <w:pStyle w:val="1873"/>
      <w:lvlText w:val="%1"/>
      <w:lvlJc w:val="left"/>
      <w:pPr>
        <w:tabs>
          <w:tab w:val="left" w:pos="711"/>
        </w:tabs>
        <w:ind w:left="711" w:hanging="432"/>
      </w:pPr>
      <w:rPr>
        <w:rFonts w:hint="eastAsia"/>
      </w:rPr>
    </w:lvl>
    <w:lvl w:ilvl="1" w:tentative="0">
      <w:start w:val="1"/>
      <w:numFmt w:val="decimal"/>
      <w:pStyle w:val="2132"/>
      <w:lvlText w:val="%1.%2"/>
      <w:lvlJc w:val="left"/>
      <w:pPr>
        <w:tabs>
          <w:tab w:val="left" w:pos="855"/>
        </w:tabs>
        <w:ind w:left="855" w:hanging="576"/>
      </w:pPr>
      <w:rPr>
        <w:rFonts w:hint="eastAsia"/>
      </w:rPr>
    </w:lvl>
    <w:lvl w:ilvl="2" w:tentative="0">
      <w:start w:val="1"/>
      <w:numFmt w:val="decimal"/>
      <w:pStyle w:val="469"/>
      <w:lvlText w:val="%1.%2.%3"/>
      <w:lvlJc w:val="left"/>
      <w:pPr>
        <w:tabs>
          <w:tab w:val="left" w:pos="999"/>
        </w:tabs>
        <w:ind w:left="999" w:hanging="720"/>
      </w:pPr>
      <w:rPr>
        <w:rFonts w:hint="eastAsia"/>
        <w:lang w:val="en-US"/>
      </w:rPr>
    </w:lvl>
    <w:lvl w:ilvl="3" w:tentative="0">
      <w:start w:val="1"/>
      <w:numFmt w:val="decimal"/>
      <w:lvlText w:val="%1.%2.%3.%4"/>
      <w:lvlJc w:val="left"/>
      <w:pPr>
        <w:tabs>
          <w:tab w:val="left" w:pos="1143"/>
        </w:tabs>
        <w:ind w:left="1143" w:hanging="864"/>
      </w:pPr>
      <w:rPr>
        <w:rFonts w:hint="eastAsia"/>
      </w:rPr>
    </w:lvl>
    <w:lvl w:ilvl="4" w:tentative="0">
      <w:start w:val="1"/>
      <w:numFmt w:val="decimal"/>
      <w:lvlText w:val="%1.%2.%3.%4.%5"/>
      <w:lvlJc w:val="left"/>
      <w:pPr>
        <w:tabs>
          <w:tab w:val="left" w:pos="1287"/>
        </w:tabs>
        <w:ind w:left="1287" w:hanging="1008"/>
      </w:pPr>
      <w:rPr>
        <w:rFonts w:hint="eastAsia"/>
      </w:rPr>
    </w:lvl>
    <w:lvl w:ilvl="5" w:tentative="0">
      <w:start w:val="1"/>
      <w:numFmt w:val="decimal"/>
      <w:lvlText w:val="%1.%2.%3.%4.%5.%6"/>
      <w:lvlJc w:val="left"/>
      <w:pPr>
        <w:tabs>
          <w:tab w:val="left" w:pos="1431"/>
        </w:tabs>
        <w:ind w:left="1431" w:hanging="1152"/>
      </w:pPr>
      <w:rPr>
        <w:rFonts w:hint="eastAsia"/>
      </w:rPr>
    </w:lvl>
    <w:lvl w:ilvl="6" w:tentative="0">
      <w:start w:val="1"/>
      <w:numFmt w:val="decimal"/>
      <w:lvlText w:val="%1.%2.%3.%4.%5.%6.%7"/>
      <w:lvlJc w:val="left"/>
      <w:pPr>
        <w:tabs>
          <w:tab w:val="left" w:pos="1575"/>
        </w:tabs>
        <w:ind w:left="1575" w:hanging="1296"/>
      </w:pPr>
      <w:rPr>
        <w:rFonts w:hint="eastAsia"/>
      </w:rPr>
    </w:lvl>
    <w:lvl w:ilvl="7" w:tentative="0">
      <w:start w:val="1"/>
      <w:numFmt w:val="decimal"/>
      <w:lvlText w:val="%1.%2.%3.%4.%5.%6.%7.%8"/>
      <w:lvlJc w:val="left"/>
      <w:pPr>
        <w:tabs>
          <w:tab w:val="left" w:pos="1719"/>
        </w:tabs>
        <w:ind w:left="1719" w:hanging="1440"/>
      </w:pPr>
      <w:rPr>
        <w:rFonts w:hint="eastAsia"/>
      </w:rPr>
    </w:lvl>
    <w:lvl w:ilvl="8" w:tentative="0">
      <w:start w:val="1"/>
      <w:numFmt w:val="decimal"/>
      <w:lvlText w:val="%1.%2.%3.%4.%5.%6.%7.%8.%9"/>
      <w:lvlJc w:val="left"/>
      <w:pPr>
        <w:tabs>
          <w:tab w:val="left" w:pos="1863"/>
        </w:tabs>
        <w:ind w:left="1863" w:hanging="1584"/>
      </w:pPr>
      <w:rPr>
        <w:rFonts w:hint="eastAsia"/>
      </w:rPr>
    </w:lvl>
  </w:abstractNum>
  <w:abstractNum w:abstractNumId="27">
    <w:nsid w:val="330B5D76"/>
    <w:multiLevelType w:val="multilevel"/>
    <w:tmpl w:val="330B5D76"/>
    <w:lvl w:ilvl="0" w:tentative="0">
      <w:start w:val="1"/>
      <w:numFmt w:val="decimalEnclosedCircle"/>
      <w:pStyle w:val="1865"/>
      <w:lvlText w:val="%1"/>
      <w:lvlJc w:val="left"/>
      <w:pPr>
        <w:ind w:left="1352" w:hanging="360"/>
      </w:pPr>
      <w:rPr>
        <w:rFonts w:hint="default"/>
      </w:rPr>
    </w:lvl>
    <w:lvl w:ilvl="1" w:tentative="0">
      <w:start w:val="1"/>
      <w:numFmt w:val="lowerLetter"/>
      <w:lvlText w:val="%2)"/>
      <w:lvlJc w:val="left"/>
      <w:pPr>
        <w:ind w:left="1832" w:hanging="420"/>
      </w:pPr>
    </w:lvl>
    <w:lvl w:ilvl="2" w:tentative="0">
      <w:start w:val="1"/>
      <w:numFmt w:val="lowerRoman"/>
      <w:lvlText w:val="%3."/>
      <w:lvlJc w:val="right"/>
      <w:pPr>
        <w:ind w:left="2252" w:hanging="420"/>
      </w:pPr>
    </w:lvl>
    <w:lvl w:ilvl="3" w:tentative="0">
      <w:start w:val="1"/>
      <w:numFmt w:val="decimal"/>
      <w:lvlText w:val="%4."/>
      <w:lvlJc w:val="left"/>
      <w:pPr>
        <w:ind w:left="2672" w:hanging="420"/>
      </w:pPr>
    </w:lvl>
    <w:lvl w:ilvl="4" w:tentative="0">
      <w:start w:val="1"/>
      <w:numFmt w:val="lowerLetter"/>
      <w:lvlText w:val="%5)"/>
      <w:lvlJc w:val="left"/>
      <w:pPr>
        <w:ind w:left="3092" w:hanging="420"/>
      </w:pPr>
    </w:lvl>
    <w:lvl w:ilvl="5" w:tentative="0">
      <w:start w:val="1"/>
      <w:numFmt w:val="lowerRoman"/>
      <w:lvlText w:val="%6."/>
      <w:lvlJc w:val="right"/>
      <w:pPr>
        <w:ind w:left="3512" w:hanging="420"/>
      </w:pPr>
    </w:lvl>
    <w:lvl w:ilvl="6" w:tentative="0">
      <w:start w:val="1"/>
      <w:numFmt w:val="decimal"/>
      <w:lvlText w:val="%7."/>
      <w:lvlJc w:val="left"/>
      <w:pPr>
        <w:ind w:left="3932" w:hanging="420"/>
      </w:pPr>
    </w:lvl>
    <w:lvl w:ilvl="7" w:tentative="0">
      <w:start w:val="1"/>
      <w:numFmt w:val="lowerLetter"/>
      <w:lvlText w:val="%8)"/>
      <w:lvlJc w:val="left"/>
      <w:pPr>
        <w:ind w:left="4352" w:hanging="420"/>
      </w:pPr>
    </w:lvl>
    <w:lvl w:ilvl="8" w:tentative="0">
      <w:start w:val="1"/>
      <w:numFmt w:val="lowerRoman"/>
      <w:lvlText w:val="%9."/>
      <w:lvlJc w:val="right"/>
      <w:pPr>
        <w:ind w:left="4772" w:hanging="420"/>
      </w:pPr>
    </w:lvl>
  </w:abstractNum>
  <w:abstractNum w:abstractNumId="28">
    <w:nsid w:val="362722E1"/>
    <w:multiLevelType w:val="multilevel"/>
    <w:tmpl w:val="362722E1"/>
    <w:lvl w:ilvl="0" w:tentative="0">
      <w:start w:val="1"/>
      <w:numFmt w:val="lowerLetter"/>
      <w:pStyle w:val="1868"/>
      <w:lvlText w:val="%1、"/>
      <w:lvlJc w:val="left"/>
      <w:pPr>
        <w:ind w:left="845" w:hanging="420"/>
      </w:pPr>
      <w:rPr>
        <w:rFonts w:hint="eastAsia"/>
      </w:r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29">
    <w:nsid w:val="364C41CC"/>
    <w:multiLevelType w:val="multilevel"/>
    <w:tmpl w:val="364C41CC"/>
    <w:lvl w:ilvl="0" w:tentative="0">
      <w:start w:val="1"/>
      <w:numFmt w:val="decimal"/>
      <w:lvlText w:val="（%1）"/>
      <w:lvlJc w:val="left"/>
      <w:pPr>
        <w:ind w:left="1140" w:hanging="420"/>
      </w:pPr>
      <w:rPr>
        <w:rFonts w:hint="default"/>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30">
    <w:nsid w:val="39054188"/>
    <w:multiLevelType w:val="singleLevel"/>
    <w:tmpl w:val="39054188"/>
    <w:lvl w:ilvl="0" w:tentative="0">
      <w:start w:val="1"/>
      <w:numFmt w:val="decimal"/>
      <w:pStyle w:val="779"/>
      <w:lvlText w:val="[%1]"/>
      <w:lvlJc w:val="left"/>
      <w:pPr>
        <w:tabs>
          <w:tab w:val="left" w:pos="1275"/>
        </w:tabs>
        <w:ind w:left="1275" w:hanging="855"/>
      </w:pPr>
      <w:rPr>
        <w:rFonts w:hint="eastAsia"/>
      </w:rPr>
    </w:lvl>
  </w:abstractNum>
  <w:abstractNum w:abstractNumId="31">
    <w:nsid w:val="39275CC2"/>
    <w:multiLevelType w:val="multilevel"/>
    <w:tmpl w:val="39275CC2"/>
    <w:lvl w:ilvl="0" w:tentative="0">
      <w:start w:val="1"/>
      <w:numFmt w:val="decimal"/>
      <w:pStyle w:val="3313"/>
      <w:lvlText w:val="（%1）"/>
      <w:lvlJc w:val="left"/>
      <w:pPr>
        <w:tabs>
          <w:tab w:val="left" w:pos="720"/>
        </w:tabs>
        <w:ind w:left="720" w:hanging="720"/>
      </w:pPr>
      <w:rPr>
        <w:rFonts w:hint="eastAsia"/>
      </w:rPr>
    </w:lvl>
    <w:lvl w:ilvl="1" w:tentative="0">
      <w:start w:val="1"/>
      <w:numFmt w:val="decimal"/>
      <w:pStyle w:val="3275"/>
      <w:lvlText w:val="%2、"/>
      <w:lvlJc w:val="left"/>
      <w:pPr>
        <w:tabs>
          <w:tab w:val="left" w:pos="1380"/>
        </w:tabs>
        <w:ind w:left="1380" w:hanging="960"/>
      </w:pPr>
      <w:rPr>
        <w:rFonts w:hint="default"/>
      </w:rPr>
    </w:lvl>
    <w:lvl w:ilvl="2" w:tentative="0">
      <w:start w:val="1"/>
      <w:numFmt w:val="decimal"/>
      <w:pStyle w:val="3240"/>
      <w:lvlText w:val="（%3）"/>
      <w:lvlJc w:val="left"/>
      <w:pPr>
        <w:tabs>
          <w:tab w:val="left" w:pos="1560"/>
        </w:tabs>
        <w:ind w:left="1560" w:hanging="720"/>
      </w:pPr>
      <w:rPr>
        <w:rFonts w:hint="eastAsia"/>
      </w:rPr>
    </w:lvl>
    <w:lvl w:ilvl="3" w:tentative="0">
      <w:start w:val="1"/>
      <w:numFmt w:val="decimal"/>
      <w:pStyle w:val="3243"/>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2">
    <w:nsid w:val="3ACC762E"/>
    <w:multiLevelType w:val="multilevel"/>
    <w:tmpl w:val="3ACC762E"/>
    <w:lvl w:ilvl="0" w:tentative="0">
      <w:start w:val="1"/>
      <w:numFmt w:val="decimal"/>
      <w:lvlText w:val="（%1）"/>
      <w:lvlJc w:val="left"/>
      <w:pPr>
        <w:tabs>
          <w:tab w:val="left" w:pos="720"/>
        </w:tabs>
        <w:ind w:left="0" w:firstLine="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pStyle w:val="3304"/>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3">
    <w:nsid w:val="3C721E80"/>
    <w:multiLevelType w:val="multilevel"/>
    <w:tmpl w:val="3C721E80"/>
    <w:lvl w:ilvl="0" w:tentative="0">
      <w:start w:val="1"/>
      <w:numFmt w:val="decimal"/>
      <w:lvlText w:val="（%1）"/>
      <w:lvlJc w:val="left"/>
      <w:pPr>
        <w:ind w:left="902" w:hanging="420"/>
      </w:pPr>
      <w:rPr>
        <w:rFonts w:hint="default"/>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34">
    <w:nsid w:val="3DF8820A"/>
    <w:multiLevelType w:val="singleLevel"/>
    <w:tmpl w:val="3DF8820A"/>
    <w:lvl w:ilvl="0" w:tentative="0">
      <w:start w:val="3"/>
      <w:numFmt w:val="decimal"/>
      <w:suff w:val="nothing"/>
      <w:lvlText w:val="%1）"/>
      <w:lvlJc w:val="left"/>
    </w:lvl>
  </w:abstractNum>
  <w:abstractNum w:abstractNumId="35">
    <w:nsid w:val="409009D8"/>
    <w:multiLevelType w:val="multilevel"/>
    <w:tmpl w:val="409009D8"/>
    <w:lvl w:ilvl="0" w:tentative="0">
      <w:start w:val="1"/>
      <w:numFmt w:val="decimal"/>
      <w:pStyle w:val="1970"/>
      <w:lvlText w:val="(%1)"/>
      <w:lvlJc w:val="left"/>
      <w:pPr>
        <w:tabs>
          <w:tab w:val="left" w:pos="471"/>
        </w:tabs>
        <w:ind w:left="0" w:firstLine="471"/>
      </w:pPr>
      <w:rPr>
        <w:rFonts w:hint="default" w:ascii="Arial" w:hAnsi="Arial" w:eastAsia="宋体"/>
        <w:b w:val="0"/>
        <w:i w:val="0"/>
        <w:caps w:val="0"/>
        <w:strike w:val="0"/>
        <w:dstrike w:val="0"/>
        <w:vanish w:val="0"/>
        <w:color w:val="auto"/>
        <w:sz w:val="24"/>
        <w:szCs w:val="24"/>
        <w:u w:val="none"/>
        <w:vertAlign w:val="baseline"/>
        <w14:shadow w14:blurRad="0" w14:dist="0" w14:dir="0" w14:sx="0" w14:sy="0" w14:kx="0" w14:ky="0" w14:algn="none">
          <w14:srgbClr w14:val="000000"/>
        </w14:shadow>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6">
    <w:nsid w:val="44070CCF"/>
    <w:multiLevelType w:val="multilevel"/>
    <w:tmpl w:val="44070CCF"/>
    <w:lvl w:ilvl="0" w:tentative="0">
      <w:start w:val="1"/>
      <w:numFmt w:val="decimal"/>
      <w:pStyle w:val="3133"/>
      <w:lvlText w:val="(%1)"/>
      <w:lvlJc w:val="left"/>
      <w:pPr>
        <w:tabs>
          <w:tab w:val="left" w:pos="431"/>
        </w:tabs>
        <w:ind w:left="431" w:hanging="431"/>
      </w:pPr>
    </w:lvl>
    <w:lvl w:ilvl="1" w:tentative="0">
      <w:start w:val="1"/>
      <w:numFmt w:val="decimal"/>
      <w:lvlText w:val="（%2）"/>
      <w:lvlJc w:val="left"/>
      <w:pPr>
        <w:tabs>
          <w:tab w:val="left" w:pos="1140"/>
        </w:tabs>
        <w:ind w:left="1140" w:hanging="7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7">
    <w:nsid w:val="4607C470"/>
    <w:multiLevelType w:val="singleLevel"/>
    <w:tmpl w:val="4607C470"/>
    <w:lvl w:ilvl="0" w:tentative="0">
      <w:start w:val="1"/>
      <w:numFmt w:val="decimal"/>
      <w:suff w:val="nothing"/>
      <w:lvlText w:val="（%1）"/>
      <w:lvlJc w:val="left"/>
    </w:lvl>
  </w:abstractNum>
  <w:abstractNum w:abstractNumId="38">
    <w:nsid w:val="4B177BAA"/>
    <w:multiLevelType w:val="multilevel"/>
    <w:tmpl w:val="4B177BAA"/>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9">
    <w:nsid w:val="4C300254"/>
    <w:multiLevelType w:val="multilevel"/>
    <w:tmpl w:val="4C300254"/>
    <w:lvl w:ilvl="0" w:tentative="0">
      <w:start w:val="1"/>
      <w:numFmt w:val="decimal"/>
      <w:pStyle w:val="619"/>
      <w:lvlText w:val="表1-%1  "/>
      <w:lvlJc w:val="center"/>
      <w:pPr>
        <w:ind w:left="2546" w:hanging="420"/>
      </w:pPr>
      <w:rPr>
        <w:b/>
        <w:bCs w:val="0"/>
        <w:i w:val="0"/>
        <w:iCs w:val="0"/>
        <w:caps w:val="0"/>
        <w:smallCaps w:val="0"/>
        <w:strike w:val="0"/>
        <w:dstrike w:val="0"/>
        <w:outline w:val="0"/>
        <w:shadow w:val="0"/>
        <w:emboss w:val="0"/>
        <w:imprint w:val="0"/>
        <w:vanish w:val="0"/>
        <w:spacing w:val="0"/>
        <w:position w:val="0"/>
        <w:u w:val="none"/>
        <w:vertAlign w:val="baseline"/>
        <w:lang w:val="en-US"/>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1" w:tentative="0">
      <w:start w:val="1"/>
      <w:numFmt w:val="decimal"/>
      <w:lvlText w:val="%2、"/>
      <w:lvlJc w:val="left"/>
      <w:pPr>
        <w:ind w:left="795" w:hanging="375"/>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0">
    <w:nsid w:val="4CBB5D9A"/>
    <w:multiLevelType w:val="multilevel"/>
    <w:tmpl w:val="4CBB5D9A"/>
    <w:lvl w:ilvl="0" w:tentative="0">
      <w:start w:val="1"/>
      <w:numFmt w:val="decimal"/>
      <w:lvlText w:val="（%1）"/>
      <w:lvlJc w:val="left"/>
      <w:pPr>
        <w:tabs>
          <w:tab w:val="left" w:pos="1080"/>
        </w:tabs>
        <w:ind w:left="1080" w:hanging="720"/>
      </w:pPr>
      <w:rPr>
        <w:rFonts w:hint="eastAsia"/>
        <w:b w:val="0"/>
        <w:color w:val="auto"/>
      </w:rPr>
    </w:lvl>
    <w:lvl w:ilvl="1" w:tentative="0">
      <w:start w:val="1"/>
      <w:numFmt w:val="decimal"/>
      <w:lvlText w:val="（%2）"/>
      <w:lvlJc w:val="left"/>
      <w:pPr>
        <w:tabs>
          <w:tab w:val="left" w:pos="1260"/>
        </w:tabs>
        <w:ind w:left="1260" w:hanging="720"/>
      </w:pPr>
      <w:rPr>
        <w:rFonts w:hint="eastAsia"/>
      </w:rPr>
    </w:lvl>
    <w:lvl w:ilvl="2" w:tentative="0">
      <w:start w:val="1"/>
      <w:numFmt w:val="lowerRoman"/>
      <w:lvlText w:val="%3."/>
      <w:lvlJc w:val="right"/>
      <w:pPr>
        <w:tabs>
          <w:tab w:val="left" w:pos="1620"/>
        </w:tabs>
        <w:ind w:left="1620" w:hanging="420"/>
      </w:pPr>
    </w:lvl>
    <w:lvl w:ilvl="3" w:tentative="0">
      <w:start w:val="1"/>
      <w:numFmt w:val="decimal"/>
      <w:lvlText w:val="%4."/>
      <w:lvlJc w:val="left"/>
      <w:pPr>
        <w:tabs>
          <w:tab w:val="left" w:pos="2040"/>
        </w:tabs>
        <w:ind w:left="2040" w:hanging="420"/>
      </w:pPr>
    </w:lvl>
    <w:lvl w:ilvl="4" w:tentative="0">
      <w:start w:val="1"/>
      <w:numFmt w:val="lowerLetter"/>
      <w:lvlText w:val="%5)"/>
      <w:lvlJc w:val="left"/>
      <w:pPr>
        <w:tabs>
          <w:tab w:val="left" w:pos="2460"/>
        </w:tabs>
        <w:ind w:left="2460" w:hanging="420"/>
      </w:pPr>
    </w:lvl>
    <w:lvl w:ilvl="5" w:tentative="0">
      <w:start w:val="1"/>
      <w:numFmt w:val="lowerRoman"/>
      <w:lvlText w:val="%6."/>
      <w:lvlJc w:val="right"/>
      <w:pPr>
        <w:tabs>
          <w:tab w:val="left" w:pos="2880"/>
        </w:tabs>
        <w:ind w:left="2880" w:hanging="420"/>
      </w:pPr>
    </w:lvl>
    <w:lvl w:ilvl="6" w:tentative="0">
      <w:start w:val="1"/>
      <w:numFmt w:val="decimal"/>
      <w:lvlText w:val="%7."/>
      <w:lvlJc w:val="left"/>
      <w:pPr>
        <w:tabs>
          <w:tab w:val="left" w:pos="3300"/>
        </w:tabs>
        <w:ind w:left="3300" w:hanging="420"/>
      </w:pPr>
    </w:lvl>
    <w:lvl w:ilvl="7" w:tentative="0">
      <w:start w:val="1"/>
      <w:numFmt w:val="lowerLetter"/>
      <w:lvlText w:val="%8)"/>
      <w:lvlJc w:val="left"/>
      <w:pPr>
        <w:tabs>
          <w:tab w:val="left" w:pos="3720"/>
        </w:tabs>
        <w:ind w:left="3720" w:hanging="420"/>
      </w:pPr>
    </w:lvl>
    <w:lvl w:ilvl="8" w:tentative="0">
      <w:start w:val="1"/>
      <w:numFmt w:val="lowerRoman"/>
      <w:lvlText w:val="%9."/>
      <w:lvlJc w:val="right"/>
      <w:pPr>
        <w:tabs>
          <w:tab w:val="left" w:pos="4140"/>
        </w:tabs>
        <w:ind w:left="4140" w:hanging="420"/>
      </w:pPr>
    </w:lvl>
  </w:abstractNum>
  <w:abstractNum w:abstractNumId="41">
    <w:nsid w:val="51422A6E"/>
    <w:multiLevelType w:val="multilevel"/>
    <w:tmpl w:val="51422A6E"/>
    <w:lvl w:ilvl="0" w:tentative="0">
      <w:start w:val="1"/>
      <w:numFmt w:val="decimal"/>
      <w:pStyle w:val="785"/>
      <w:lvlText w:val="表 8－%1"/>
      <w:lvlJc w:val="left"/>
      <w:pPr>
        <w:tabs>
          <w:tab w:val="left" w:pos="2345"/>
        </w:tabs>
        <w:ind w:left="1330" w:hanging="425"/>
      </w:pPr>
      <w:rPr>
        <w:rFonts w:hint="eastAsia"/>
        <w:lang w:val="en-US"/>
      </w:rPr>
    </w:lvl>
    <w:lvl w:ilvl="1" w:tentative="0">
      <w:start w:val="1"/>
      <w:numFmt w:val="decimal"/>
      <w:lvlText w:val="表 %1.%2"/>
      <w:lvlJc w:val="left"/>
      <w:pPr>
        <w:tabs>
          <w:tab w:val="left" w:pos="1625"/>
        </w:tabs>
        <w:ind w:left="1472" w:hanging="567"/>
      </w:pPr>
      <w:rPr>
        <w:rFonts w:hint="eastAsia"/>
      </w:rPr>
    </w:lvl>
    <w:lvl w:ilvl="2" w:tentative="0">
      <w:start w:val="1"/>
      <w:numFmt w:val="decimal"/>
      <w:lvlText w:val="表 %1.%2.%3"/>
      <w:lvlJc w:val="left"/>
      <w:pPr>
        <w:tabs>
          <w:tab w:val="left" w:pos="1985"/>
        </w:tabs>
        <w:ind w:left="1614" w:hanging="709"/>
      </w:pPr>
      <w:rPr>
        <w:rFonts w:hint="eastAsia"/>
      </w:rPr>
    </w:lvl>
    <w:lvl w:ilvl="3" w:tentative="0">
      <w:start w:val="1"/>
      <w:numFmt w:val="decimal"/>
      <w:lvlText w:val="%1.%2.%3.%4."/>
      <w:lvlJc w:val="left"/>
      <w:pPr>
        <w:tabs>
          <w:tab w:val="left" w:pos="1756"/>
        </w:tabs>
        <w:ind w:left="1756" w:hanging="851"/>
      </w:pPr>
      <w:rPr>
        <w:rFonts w:hint="eastAsia"/>
      </w:rPr>
    </w:lvl>
    <w:lvl w:ilvl="4" w:tentative="0">
      <w:start w:val="1"/>
      <w:numFmt w:val="decimal"/>
      <w:lvlText w:val="%1.%2.%3.%4.%5."/>
      <w:lvlJc w:val="left"/>
      <w:pPr>
        <w:tabs>
          <w:tab w:val="left" w:pos="1897"/>
        </w:tabs>
        <w:ind w:left="1897" w:hanging="992"/>
      </w:pPr>
      <w:rPr>
        <w:rFonts w:hint="eastAsia"/>
      </w:rPr>
    </w:lvl>
    <w:lvl w:ilvl="5" w:tentative="0">
      <w:start w:val="1"/>
      <w:numFmt w:val="decimal"/>
      <w:lvlText w:val="%1.%2.%3.%4.%5.%6."/>
      <w:lvlJc w:val="left"/>
      <w:pPr>
        <w:tabs>
          <w:tab w:val="left" w:pos="2039"/>
        </w:tabs>
        <w:ind w:left="2039" w:hanging="1134"/>
      </w:pPr>
      <w:rPr>
        <w:rFonts w:hint="eastAsia"/>
      </w:rPr>
    </w:lvl>
    <w:lvl w:ilvl="6" w:tentative="0">
      <w:start w:val="1"/>
      <w:numFmt w:val="decimal"/>
      <w:lvlText w:val="%1.%2.%3.%4.%5.%6.%7."/>
      <w:lvlJc w:val="left"/>
      <w:pPr>
        <w:tabs>
          <w:tab w:val="left" w:pos="2181"/>
        </w:tabs>
        <w:ind w:left="2181" w:hanging="1276"/>
      </w:pPr>
      <w:rPr>
        <w:rFonts w:hint="eastAsia"/>
      </w:rPr>
    </w:lvl>
    <w:lvl w:ilvl="7" w:tentative="0">
      <w:start w:val="1"/>
      <w:numFmt w:val="decimal"/>
      <w:lvlText w:val="%1.%2.%3.%4.%5.%6.%7.%8."/>
      <w:lvlJc w:val="left"/>
      <w:pPr>
        <w:tabs>
          <w:tab w:val="left" w:pos="2323"/>
        </w:tabs>
        <w:ind w:left="2323" w:hanging="1418"/>
      </w:pPr>
      <w:rPr>
        <w:rFonts w:hint="eastAsia"/>
      </w:rPr>
    </w:lvl>
    <w:lvl w:ilvl="8" w:tentative="0">
      <w:start w:val="1"/>
      <w:numFmt w:val="decimal"/>
      <w:lvlText w:val="%1.%2.%3.%4.%5.%6.%7.%8.%9."/>
      <w:lvlJc w:val="left"/>
      <w:pPr>
        <w:tabs>
          <w:tab w:val="left" w:pos="2464"/>
        </w:tabs>
        <w:ind w:left="2464" w:hanging="1559"/>
      </w:pPr>
      <w:rPr>
        <w:rFonts w:hint="eastAsia"/>
      </w:rPr>
    </w:lvl>
  </w:abstractNum>
  <w:abstractNum w:abstractNumId="42">
    <w:nsid w:val="53E828EC"/>
    <w:multiLevelType w:val="multilevel"/>
    <w:tmpl w:val="53E828EC"/>
    <w:lvl w:ilvl="0" w:tentative="0">
      <w:start w:val="1"/>
      <w:numFmt w:val="decimal"/>
      <w:pStyle w:val="3609"/>
      <w:lvlText w:val="图5-%1  "/>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3">
    <w:nsid w:val="5C601AE7"/>
    <w:multiLevelType w:val="singleLevel"/>
    <w:tmpl w:val="5C601AE7"/>
    <w:lvl w:ilvl="0" w:tentative="0">
      <w:start w:val="1"/>
      <w:numFmt w:val="decimal"/>
      <w:pStyle w:val="3089"/>
      <w:lvlText w:val="(%1)"/>
      <w:lvlJc w:val="left"/>
      <w:pPr>
        <w:tabs>
          <w:tab w:val="left" w:pos="870"/>
        </w:tabs>
        <w:ind w:left="567" w:hanging="57"/>
      </w:pPr>
    </w:lvl>
  </w:abstractNum>
  <w:abstractNum w:abstractNumId="44">
    <w:nsid w:val="5D141AAB"/>
    <w:multiLevelType w:val="multilevel"/>
    <w:tmpl w:val="5D141AAB"/>
    <w:lvl w:ilvl="0" w:tentative="0">
      <w:start w:val="1"/>
      <w:numFmt w:val="decimal"/>
      <w:pStyle w:val="1878"/>
      <w:lvlText w:val="%1"/>
      <w:lvlJc w:val="left"/>
      <w:pPr>
        <w:tabs>
          <w:tab w:val="left" w:pos="432"/>
        </w:tabs>
        <w:ind w:left="432" w:hanging="432"/>
      </w:pPr>
      <w:rPr>
        <w:rFonts w:hint="eastAsia"/>
      </w:rPr>
    </w:lvl>
    <w:lvl w:ilvl="1" w:tentative="0">
      <w:start w:val="1"/>
      <w:numFmt w:val="decimal"/>
      <w:pStyle w:val="1872"/>
      <w:isLgl/>
      <w:lvlText w:val="%1.%2."/>
      <w:lvlJc w:val="left"/>
      <w:pPr>
        <w:tabs>
          <w:tab w:val="left" w:pos="576"/>
        </w:tabs>
        <w:ind w:left="576" w:hanging="576"/>
      </w:pPr>
      <w:rPr>
        <w:rFonts w:hint="eastAsia"/>
      </w:rPr>
    </w:lvl>
    <w:lvl w:ilvl="2" w:tentative="0">
      <w:start w:val="1"/>
      <w:numFmt w:val="decimal"/>
      <w:pStyle w:val="1875"/>
      <w:isLgl/>
      <w:lvlText w:val="%1.%2.%3."/>
      <w:lvlJc w:val="left"/>
      <w:pPr>
        <w:tabs>
          <w:tab w:val="left" w:pos="720"/>
        </w:tabs>
        <w:ind w:left="720" w:hanging="720"/>
      </w:pPr>
      <w:rPr>
        <w:rFonts w:hint="eastAsia"/>
        <w:sz w:val="24"/>
        <w:szCs w:val="24"/>
      </w:rPr>
    </w:lvl>
    <w:lvl w:ilvl="3" w:tentative="0">
      <w:start w:val="1"/>
      <w:numFmt w:val="decimal"/>
      <w:isLg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45">
    <w:nsid w:val="5E0A68D7"/>
    <w:multiLevelType w:val="multilevel"/>
    <w:tmpl w:val="5E0A68D7"/>
    <w:lvl w:ilvl="0" w:tentative="0">
      <w:start w:val="1"/>
      <w:numFmt w:val="decimal"/>
      <w:lvlText w:val="%1、"/>
      <w:lvlJc w:val="left"/>
      <w:pPr>
        <w:ind w:left="900" w:hanging="420"/>
      </w:pPr>
      <w:rPr>
        <w:rFonts w:hint="eastAsia"/>
      </w:rPr>
    </w:lvl>
    <w:lvl w:ilvl="1" w:tentative="0">
      <w:start w:val="1"/>
      <w:numFmt w:val="decimal"/>
      <w:suff w:val="space"/>
      <w:lvlText w:val="%2、"/>
      <w:lvlJc w:val="left"/>
      <w:pPr>
        <w:ind w:left="0" w:firstLine="0"/>
      </w:pPr>
      <w:rPr>
        <w:rFonts w:hint="eastAsia"/>
      </w:r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6">
    <w:nsid w:val="5EC454CB"/>
    <w:multiLevelType w:val="multilevel"/>
    <w:tmpl w:val="5EC454CB"/>
    <w:lvl w:ilvl="0" w:tentative="0">
      <w:start w:val="1"/>
      <w:numFmt w:val="decimal"/>
      <w:pStyle w:val="1968"/>
      <w:lvlText w:val="(%1)"/>
      <w:lvlJc w:val="left"/>
      <w:pPr>
        <w:tabs>
          <w:tab w:val="left" w:pos="471"/>
        </w:tabs>
        <w:ind w:left="0" w:firstLine="471"/>
      </w:pPr>
      <w:rPr>
        <w:rFonts w:hint="default" w:ascii="Arial" w:hAnsi="Arial" w:eastAsia="宋体"/>
        <w:b w:val="0"/>
        <w:i w:val="0"/>
        <w:caps w:val="0"/>
        <w:strike w:val="0"/>
        <w:dstrike w:val="0"/>
        <w:vanish w:val="0"/>
        <w:color w:val="auto"/>
        <w:sz w:val="24"/>
        <w:szCs w:val="24"/>
        <w:u w:val="none"/>
        <w:vertAlign w:val="baseline"/>
        <w14:shadow w14:blurRad="0" w14:dist="0" w14:dir="0" w14:sx="0" w14:sy="0" w14:kx="0" w14:ky="0" w14:algn="none">
          <w14:srgbClr w14:val="000000"/>
        </w14:shadow>
      </w:rPr>
    </w:lvl>
    <w:lvl w:ilvl="1" w:tentative="0">
      <w:start w:val="1"/>
      <w:numFmt w:val="lowerLetter"/>
      <w:lvlText w:val="%2)"/>
      <w:lvlJc w:val="left"/>
      <w:pPr>
        <w:tabs>
          <w:tab w:val="left" w:pos="1311"/>
        </w:tabs>
        <w:ind w:left="1311" w:hanging="420"/>
      </w:pPr>
    </w:lvl>
    <w:lvl w:ilvl="2" w:tentative="0">
      <w:start w:val="1"/>
      <w:numFmt w:val="lowerRoman"/>
      <w:lvlText w:val="%3."/>
      <w:lvlJc w:val="right"/>
      <w:pPr>
        <w:tabs>
          <w:tab w:val="left" w:pos="1731"/>
        </w:tabs>
        <w:ind w:left="1731" w:hanging="420"/>
      </w:pPr>
    </w:lvl>
    <w:lvl w:ilvl="3" w:tentative="0">
      <w:start w:val="1"/>
      <w:numFmt w:val="decimal"/>
      <w:lvlText w:val="%4."/>
      <w:lvlJc w:val="left"/>
      <w:pPr>
        <w:tabs>
          <w:tab w:val="left" w:pos="2151"/>
        </w:tabs>
        <w:ind w:left="2151" w:hanging="420"/>
      </w:pPr>
    </w:lvl>
    <w:lvl w:ilvl="4" w:tentative="0">
      <w:start w:val="1"/>
      <w:numFmt w:val="lowerLetter"/>
      <w:lvlText w:val="%5)"/>
      <w:lvlJc w:val="left"/>
      <w:pPr>
        <w:tabs>
          <w:tab w:val="left" w:pos="2571"/>
        </w:tabs>
        <w:ind w:left="2571" w:hanging="420"/>
      </w:pPr>
    </w:lvl>
    <w:lvl w:ilvl="5" w:tentative="0">
      <w:start w:val="1"/>
      <w:numFmt w:val="lowerRoman"/>
      <w:lvlText w:val="%6."/>
      <w:lvlJc w:val="right"/>
      <w:pPr>
        <w:tabs>
          <w:tab w:val="left" w:pos="2991"/>
        </w:tabs>
        <w:ind w:left="2991" w:hanging="420"/>
      </w:pPr>
    </w:lvl>
    <w:lvl w:ilvl="6" w:tentative="0">
      <w:start w:val="1"/>
      <w:numFmt w:val="decimal"/>
      <w:lvlText w:val="%7."/>
      <w:lvlJc w:val="left"/>
      <w:pPr>
        <w:tabs>
          <w:tab w:val="left" w:pos="3411"/>
        </w:tabs>
        <w:ind w:left="3411" w:hanging="420"/>
      </w:pPr>
    </w:lvl>
    <w:lvl w:ilvl="7" w:tentative="0">
      <w:start w:val="1"/>
      <w:numFmt w:val="lowerLetter"/>
      <w:lvlText w:val="%8)"/>
      <w:lvlJc w:val="left"/>
      <w:pPr>
        <w:tabs>
          <w:tab w:val="left" w:pos="3831"/>
        </w:tabs>
        <w:ind w:left="3831" w:hanging="420"/>
      </w:pPr>
    </w:lvl>
    <w:lvl w:ilvl="8" w:tentative="0">
      <w:start w:val="1"/>
      <w:numFmt w:val="lowerRoman"/>
      <w:lvlText w:val="%9."/>
      <w:lvlJc w:val="right"/>
      <w:pPr>
        <w:tabs>
          <w:tab w:val="left" w:pos="4251"/>
        </w:tabs>
        <w:ind w:left="4251" w:hanging="420"/>
      </w:pPr>
    </w:lvl>
  </w:abstractNum>
  <w:abstractNum w:abstractNumId="47">
    <w:nsid w:val="5FB32F12"/>
    <w:multiLevelType w:val="multilevel"/>
    <w:tmpl w:val="5FB32F12"/>
    <w:lvl w:ilvl="0" w:tentative="0">
      <w:start w:val="1"/>
      <w:numFmt w:val="decimal"/>
      <w:pStyle w:val="1969"/>
      <w:lvlText w:val="(%1)"/>
      <w:lvlJc w:val="left"/>
      <w:pPr>
        <w:tabs>
          <w:tab w:val="left" w:pos="471"/>
        </w:tabs>
        <w:ind w:left="0" w:firstLine="471"/>
      </w:pPr>
      <w:rPr>
        <w:rFonts w:hint="default" w:ascii="Arial" w:hAnsi="Arial" w:eastAsia="宋体"/>
        <w:b w:val="0"/>
        <w:i w:val="0"/>
        <w:caps w:val="0"/>
        <w:strike w:val="0"/>
        <w:dstrike w:val="0"/>
        <w:vanish w:val="0"/>
        <w:color w:val="auto"/>
        <w:sz w:val="24"/>
        <w:szCs w:val="24"/>
        <w:u w:val="none"/>
        <w:vertAlign w:val="baseline"/>
        <w14:shadow w14:blurRad="0" w14:dist="0" w14:dir="0" w14:sx="0" w14:sy="0" w14:kx="0" w14:ky="0" w14:algn="none">
          <w14:srgbClr w14:val="000000"/>
        </w14:shadow>
      </w:rPr>
    </w:lvl>
    <w:lvl w:ilvl="1" w:tentative="0">
      <w:start w:val="1"/>
      <w:numFmt w:val="bullet"/>
      <w:lvlText w:val=""/>
      <w:lvlJc w:val="left"/>
      <w:pPr>
        <w:tabs>
          <w:tab w:val="left" w:pos="1311"/>
        </w:tabs>
        <w:ind w:left="1311" w:hanging="420"/>
      </w:pPr>
      <w:rPr>
        <w:rFonts w:hint="default" w:ascii="Wingdings" w:hAnsi="Wingdings"/>
      </w:rPr>
    </w:lvl>
    <w:lvl w:ilvl="2" w:tentative="0">
      <w:start w:val="1"/>
      <w:numFmt w:val="bullet"/>
      <w:lvlText w:val=""/>
      <w:lvlJc w:val="left"/>
      <w:pPr>
        <w:tabs>
          <w:tab w:val="left" w:pos="1731"/>
        </w:tabs>
        <w:ind w:left="1731" w:hanging="420"/>
      </w:pPr>
      <w:rPr>
        <w:rFonts w:hint="default" w:ascii="Wingdings" w:hAnsi="Wingdings"/>
      </w:rPr>
    </w:lvl>
    <w:lvl w:ilvl="3" w:tentative="0">
      <w:start w:val="1"/>
      <w:numFmt w:val="bullet"/>
      <w:lvlText w:val=""/>
      <w:lvlJc w:val="left"/>
      <w:pPr>
        <w:tabs>
          <w:tab w:val="left" w:pos="2151"/>
        </w:tabs>
        <w:ind w:left="2151" w:hanging="420"/>
      </w:pPr>
      <w:rPr>
        <w:rFonts w:hint="default" w:ascii="Wingdings" w:hAnsi="Wingdings"/>
      </w:rPr>
    </w:lvl>
    <w:lvl w:ilvl="4" w:tentative="0">
      <w:start w:val="1"/>
      <w:numFmt w:val="bullet"/>
      <w:lvlText w:val=""/>
      <w:lvlJc w:val="left"/>
      <w:pPr>
        <w:tabs>
          <w:tab w:val="left" w:pos="2571"/>
        </w:tabs>
        <w:ind w:left="2571" w:hanging="420"/>
      </w:pPr>
      <w:rPr>
        <w:rFonts w:hint="default" w:ascii="Wingdings" w:hAnsi="Wingdings"/>
      </w:rPr>
    </w:lvl>
    <w:lvl w:ilvl="5" w:tentative="0">
      <w:start w:val="1"/>
      <w:numFmt w:val="bullet"/>
      <w:lvlText w:val=""/>
      <w:lvlJc w:val="left"/>
      <w:pPr>
        <w:tabs>
          <w:tab w:val="left" w:pos="2991"/>
        </w:tabs>
        <w:ind w:left="2991" w:hanging="420"/>
      </w:pPr>
      <w:rPr>
        <w:rFonts w:hint="default" w:ascii="Wingdings" w:hAnsi="Wingdings"/>
      </w:rPr>
    </w:lvl>
    <w:lvl w:ilvl="6" w:tentative="0">
      <w:start w:val="1"/>
      <w:numFmt w:val="bullet"/>
      <w:lvlText w:val=""/>
      <w:lvlJc w:val="left"/>
      <w:pPr>
        <w:tabs>
          <w:tab w:val="left" w:pos="3411"/>
        </w:tabs>
        <w:ind w:left="3411" w:hanging="420"/>
      </w:pPr>
      <w:rPr>
        <w:rFonts w:hint="default" w:ascii="Wingdings" w:hAnsi="Wingdings"/>
      </w:rPr>
    </w:lvl>
    <w:lvl w:ilvl="7" w:tentative="0">
      <w:start w:val="1"/>
      <w:numFmt w:val="bullet"/>
      <w:lvlText w:val=""/>
      <w:lvlJc w:val="left"/>
      <w:pPr>
        <w:tabs>
          <w:tab w:val="left" w:pos="3831"/>
        </w:tabs>
        <w:ind w:left="3831" w:hanging="420"/>
      </w:pPr>
      <w:rPr>
        <w:rFonts w:hint="default" w:ascii="Wingdings" w:hAnsi="Wingdings"/>
      </w:rPr>
    </w:lvl>
    <w:lvl w:ilvl="8" w:tentative="0">
      <w:start w:val="1"/>
      <w:numFmt w:val="bullet"/>
      <w:lvlText w:val=""/>
      <w:lvlJc w:val="left"/>
      <w:pPr>
        <w:tabs>
          <w:tab w:val="left" w:pos="4251"/>
        </w:tabs>
        <w:ind w:left="4251" w:hanging="420"/>
      </w:pPr>
      <w:rPr>
        <w:rFonts w:hint="default" w:ascii="Wingdings" w:hAnsi="Wingdings"/>
      </w:rPr>
    </w:lvl>
  </w:abstractNum>
  <w:abstractNum w:abstractNumId="48">
    <w:nsid w:val="5FF5788E"/>
    <w:multiLevelType w:val="multilevel"/>
    <w:tmpl w:val="5FF5788E"/>
    <w:lvl w:ilvl="0" w:tentative="0">
      <w:start w:val="1"/>
      <w:numFmt w:val="decimal"/>
      <w:lvlText w:val="%1、"/>
      <w:lvlJc w:val="left"/>
      <w:pPr>
        <w:ind w:left="902" w:hanging="420"/>
      </w:pPr>
      <w:rPr>
        <w:rFonts w:hint="default"/>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49">
    <w:nsid w:val="636C6CBC"/>
    <w:multiLevelType w:val="multilevel"/>
    <w:tmpl w:val="636C6CBC"/>
    <w:lvl w:ilvl="0" w:tentative="0">
      <w:start w:val="1"/>
      <w:numFmt w:val="decimal"/>
      <w:pStyle w:val="3541"/>
      <w:lvlText w:val="%1."/>
      <w:lvlJc w:val="left"/>
      <w:pPr>
        <w:ind w:left="420" w:hanging="420"/>
      </w:pPr>
      <w:rPr>
        <w:rFonts w:hint="eastAsia"/>
        <w:snapToGrid/>
      </w:rPr>
    </w:lvl>
    <w:lvl w:ilvl="1" w:tentative="0">
      <w:start w:val="1"/>
      <w:numFmt w:val="decimal"/>
      <w:lvlText w:val="%2."/>
      <w:lvlJc w:val="left"/>
      <w:pPr>
        <w:ind w:left="840" w:hanging="420"/>
      </w:pPr>
      <w:rPr>
        <w:rFonts w:hint="eastAsia"/>
        <w:snapToGrid/>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0">
    <w:nsid w:val="646260FA"/>
    <w:multiLevelType w:val="multilevel"/>
    <w:tmpl w:val="646260FA"/>
    <w:lvl w:ilvl="0" w:tentative="0">
      <w:start w:val="1"/>
      <w:numFmt w:val="decimal"/>
      <w:pStyle w:val="2807"/>
      <w:suff w:val="nothing"/>
      <w:lvlText w:val="表%1　"/>
      <w:lvlJc w:val="left"/>
      <w:pPr>
        <w:ind w:left="0" w:firstLine="0"/>
      </w:pPr>
      <w:rPr>
        <w:rFonts w:hint="eastAsia" w:ascii="黑体" w:hAnsi="Times New Roman" w:eastAsia="黑体"/>
        <w:b w:val="0"/>
        <w:i w:val="0"/>
        <w:sz w:val="21"/>
      </w:rPr>
    </w:lvl>
    <w:lvl w:ilvl="1" w:tentative="0">
      <w:start w:val="1"/>
      <w:numFmt w:val="decimal"/>
      <w:lvlText w:val="%1.%2"/>
      <w:lvlJc w:val="left"/>
      <w:pPr>
        <w:tabs>
          <w:tab w:val="left" w:pos="992"/>
        </w:tabs>
        <w:ind w:left="992" w:hanging="567"/>
      </w:pPr>
    </w:lvl>
    <w:lvl w:ilvl="2" w:tentative="0">
      <w:start w:val="1"/>
      <w:numFmt w:val="decimal"/>
      <w:lvlText w:val="%1.%2.%3"/>
      <w:lvlJc w:val="left"/>
      <w:pPr>
        <w:tabs>
          <w:tab w:val="left" w:pos="1418"/>
        </w:tabs>
        <w:ind w:left="1418" w:hanging="567"/>
      </w:pPr>
    </w:lvl>
    <w:lvl w:ilvl="3" w:tentative="0">
      <w:start w:val="1"/>
      <w:numFmt w:val="decimal"/>
      <w:lvlText w:val="%1.%2.%3.%4"/>
      <w:lvlJc w:val="left"/>
      <w:pPr>
        <w:tabs>
          <w:tab w:val="left" w:pos="1984"/>
        </w:tabs>
        <w:ind w:left="1984" w:hanging="708"/>
      </w:pPr>
    </w:lvl>
    <w:lvl w:ilvl="4" w:tentative="0">
      <w:start w:val="1"/>
      <w:numFmt w:val="decimal"/>
      <w:lvlText w:val="%1.%2.%3.%4.%5"/>
      <w:lvlJc w:val="left"/>
      <w:pPr>
        <w:tabs>
          <w:tab w:val="left" w:pos="2551"/>
        </w:tabs>
        <w:ind w:left="2551" w:hanging="850"/>
      </w:pPr>
    </w:lvl>
    <w:lvl w:ilvl="5" w:tentative="0">
      <w:start w:val="1"/>
      <w:numFmt w:val="decimal"/>
      <w:lvlText w:val="%1.%2.%3.%4.%5.%6"/>
      <w:lvlJc w:val="left"/>
      <w:pPr>
        <w:tabs>
          <w:tab w:val="left" w:pos="3260"/>
        </w:tabs>
        <w:ind w:left="3260" w:hanging="1134"/>
      </w:pPr>
    </w:lvl>
    <w:lvl w:ilvl="6" w:tentative="0">
      <w:start w:val="1"/>
      <w:numFmt w:val="decimal"/>
      <w:lvlText w:val="%1.%2.%3.%4.%5.%6.%7"/>
      <w:lvlJc w:val="left"/>
      <w:pPr>
        <w:tabs>
          <w:tab w:val="left" w:pos="3827"/>
        </w:tabs>
        <w:ind w:left="3827" w:hanging="1276"/>
      </w:pPr>
    </w:lvl>
    <w:lvl w:ilvl="7" w:tentative="0">
      <w:start w:val="1"/>
      <w:numFmt w:val="decimal"/>
      <w:lvlText w:val="%1.%2.%3.%4.%5.%6.%7.%8"/>
      <w:lvlJc w:val="left"/>
      <w:pPr>
        <w:tabs>
          <w:tab w:val="left" w:pos="4394"/>
        </w:tabs>
        <w:ind w:left="4394" w:hanging="1418"/>
      </w:pPr>
    </w:lvl>
    <w:lvl w:ilvl="8" w:tentative="0">
      <w:start w:val="1"/>
      <w:numFmt w:val="decimal"/>
      <w:lvlText w:val="%1.%2.%3.%4.%5.%6.%7.%8.%9"/>
      <w:lvlJc w:val="left"/>
      <w:pPr>
        <w:tabs>
          <w:tab w:val="left" w:pos="5102"/>
        </w:tabs>
        <w:ind w:left="5102" w:hanging="1700"/>
      </w:pPr>
    </w:lvl>
  </w:abstractNum>
  <w:abstractNum w:abstractNumId="51">
    <w:nsid w:val="664D68B7"/>
    <w:multiLevelType w:val="multilevel"/>
    <w:tmpl w:val="664D68B7"/>
    <w:lvl w:ilvl="0" w:tentative="0">
      <w:start w:val="1"/>
      <w:numFmt w:val="decimal"/>
      <w:lvlText w:val="%1."/>
      <w:lvlJc w:val="left"/>
      <w:pPr>
        <w:tabs>
          <w:tab w:val="left" w:pos="425"/>
        </w:tabs>
        <w:ind w:left="425" w:hanging="425"/>
      </w:pPr>
    </w:lvl>
    <w:lvl w:ilvl="1" w:tentative="0">
      <w:start w:val="1"/>
      <w:numFmt w:val="decimal"/>
      <w:lvlText w:val="%1.%2."/>
      <w:lvlJc w:val="left"/>
      <w:pPr>
        <w:tabs>
          <w:tab w:val="left" w:pos="567"/>
        </w:tabs>
        <w:ind w:left="567" w:hanging="567"/>
      </w:pPr>
    </w:lvl>
    <w:lvl w:ilvl="2" w:tentative="0">
      <w:start w:val="1"/>
      <w:numFmt w:val="decimal"/>
      <w:pStyle w:val="3122"/>
      <w:lvlText w:val="%1.%2.%3."/>
      <w:lvlJc w:val="left"/>
      <w:pPr>
        <w:tabs>
          <w:tab w:val="left" w:pos="709"/>
        </w:tabs>
        <w:ind w:left="709" w:hanging="709"/>
      </w:pPr>
    </w:lvl>
    <w:lvl w:ilvl="3" w:tentative="0">
      <w:start w:val="1"/>
      <w:numFmt w:val="decimal"/>
      <w:lvlText w:val="%1.%2.%3.%4."/>
      <w:lvlJc w:val="left"/>
      <w:pPr>
        <w:tabs>
          <w:tab w:val="left" w:pos="851"/>
        </w:tabs>
        <w:ind w:left="851" w:hanging="851"/>
      </w:pPr>
    </w:lvl>
    <w:lvl w:ilvl="4" w:tentative="0">
      <w:start w:val="1"/>
      <w:numFmt w:val="decimal"/>
      <w:lvlText w:val="%1.%2.%3.%4.%5."/>
      <w:lvlJc w:val="left"/>
      <w:pPr>
        <w:tabs>
          <w:tab w:val="left" w:pos="992"/>
        </w:tabs>
        <w:ind w:left="992" w:hanging="992"/>
      </w:pPr>
    </w:lvl>
    <w:lvl w:ilvl="5" w:tentative="0">
      <w:start w:val="1"/>
      <w:numFmt w:val="decimal"/>
      <w:lvlText w:val="%1.%2.%3.%4.%5.%6."/>
      <w:lvlJc w:val="left"/>
      <w:pPr>
        <w:tabs>
          <w:tab w:val="left" w:pos="1134"/>
        </w:tabs>
        <w:ind w:left="1134" w:hanging="1134"/>
      </w:pPr>
    </w:lvl>
    <w:lvl w:ilvl="6" w:tentative="0">
      <w:start w:val="1"/>
      <w:numFmt w:val="decimal"/>
      <w:lvlText w:val="%1.%2.%3.%4.%5.%6.%7."/>
      <w:lvlJc w:val="left"/>
      <w:pPr>
        <w:tabs>
          <w:tab w:val="left" w:pos="1276"/>
        </w:tabs>
        <w:ind w:left="1276" w:hanging="1276"/>
      </w:pPr>
    </w:lvl>
    <w:lvl w:ilvl="7" w:tentative="0">
      <w:start w:val="1"/>
      <w:numFmt w:val="decimal"/>
      <w:lvlText w:val="%1.%2.%3.%4.%5.%6.%7.%8."/>
      <w:lvlJc w:val="left"/>
      <w:pPr>
        <w:tabs>
          <w:tab w:val="left" w:pos="1418"/>
        </w:tabs>
        <w:ind w:left="1418" w:hanging="1418"/>
      </w:pPr>
    </w:lvl>
    <w:lvl w:ilvl="8" w:tentative="0">
      <w:start w:val="1"/>
      <w:numFmt w:val="decimal"/>
      <w:lvlText w:val="%1.%2.%3.%4.%5.%6.%7.%8.%9."/>
      <w:lvlJc w:val="left"/>
      <w:pPr>
        <w:tabs>
          <w:tab w:val="left" w:pos="1559"/>
        </w:tabs>
        <w:ind w:left="1559" w:hanging="1559"/>
      </w:pPr>
    </w:lvl>
  </w:abstractNum>
  <w:abstractNum w:abstractNumId="52">
    <w:nsid w:val="6CAA04E6"/>
    <w:multiLevelType w:val="multilevel"/>
    <w:tmpl w:val="6CAA04E6"/>
    <w:lvl w:ilvl="0" w:tentative="0">
      <w:start w:val="1"/>
      <w:numFmt w:val="decimal"/>
      <w:lvlText w:val="（%1）"/>
      <w:lvlJc w:val="left"/>
      <w:pPr>
        <w:tabs>
          <w:tab w:val="left" w:pos="1080"/>
        </w:tabs>
        <w:ind w:left="1080" w:hanging="720"/>
      </w:pPr>
      <w:rPr>
        <w:rFonts w:hint="eastAsia"/>
        <w:b w:val="0"/>
        <w:color w:val="auto"/>
      </w:rPr>
    </w:lvl>
    <w:lvl w:ilvl="1" w:tentative="0">
      <w:start w:val="1"/>
      <w:numFmt w:val="decimal"/>
      <w:lvlText w:val="（%2）"/>
      <w:lvlJc w:val="left"/>
      <w:pPr>
        <w:tabs>
          <w:tab w:val="left" w:pos="1260"/>
        </w:tabs>
        <w:ind w:left="1260" w:hanging="720"/>
      </w:pPr>
      <w:rPr>
        <w:rFonts w:hint="eastAsia"/>
      </w:rPr>
    </w:lvl>
    <w:lvl w:ilvl="2" w:tentative="0">
      <w:start w:val="1"/>
      <w:numFmt w:val="lowerRoman"/>
      <w:lvlText w:val="%3."/>
      <w:lvlJc w:val="right"/>
      <w:pPr>
        <w:tabs>
          <w:tab w:val="left" w:pos="1620"/>
        </w:tabs>
        <w:ind w:left="1620" w:hanging="420"/>
      </w:pPr>
    </w:lvl>
    <w:lvl w:ilvl="3" w:tentative="0">
      <w:start w:val="1"/>
      <w:numFmt w:val="decimal"/>
      <w:lvlText w:val="%4."/>
      <w:lvlJc w:val="left"/>
      <w:pPr>
        <w:tabs>
          <w:tab w:val="left" w:pos="2040"/>
        </w:tabs>
        <w:ind w:left="2040" w:hanging="420"/>
      </w:pPr>
    </w:lvl>
    <w:lvl w:ilvl="4" w:tentative="0">
      <w:start w:val="1"/>
      <w:numFmt w:val="lowerLetter"/>
      <w:lvlText w:val="%5)"/>
      <w:lvlJc w:val="left"/>
      <w:pPr>
        <w:tabs>
          <w:tab w:val="left" w:pos="2460"/>
        </w:tabs>
        <w:ind w:left="2460" w:hanging="420"/>
      </w:pPr>
    </w:lvl>
    <w:lvl w:ilvl="5" w:tentative="0">
      <w:start w:val="1"/>
      <w:numFmt w:val="lowerRoman"/>
      <w:lvlText w:val="%6."/>
      <w:lvlJc w:val="right"/>
      <w:pPr>
        <w:tabs>
          <w:tab w:val="left" w:pos="2880"/>
        </w:tabs>
        <w:ind w:left="2880" w:hanging="420"/>
      </w:pPr>
    </w:lvl>
    <w:lvl w:ilvl="6" w:tentative="0">
      <w:start w:val="1"/>
      <w:numFmt w:val="decimal"/>
      <w:lvlText w:val="%7."/>
      <w:lvlJc w:val="left"/>
      <w:pPr>
        <w:tabs>
          <w:tab w:val="left" w:pos="3300"/>
        </w:tabs>
        <w:ind w:left="3300" w:hanging="420"/>
      </w:pPr>
    </w:lvl>
    <w:lvl w:ilvl="7" w:tentative="0">
      <w:start w:val="1"/>
      <w:numFmt w:val="lowerLetter"/>
      <w:lvlText w:val="%8)"/>
      <w:lvlJc w:val="left"/>
      <w:pPr>
        <w:tabs>
          <w:tab w:val="left" w:pos="3720"/>
        </w:tabs>
        <w:ind w:left="3720" w:hanging="420"/>
      </w:pPr>
    </w:lvl>
    <w:lvl w:ilvl="8" w:tentative="0">
      <w:start w:val="1"/>
      <w:numFmt w:val="lowerRoman"/>
      <w:lvlText w:val="%9."/>
      <w:lvlJc w:val="right"/>
      <w:pPr>
        <w:tabs>
          <w:tab w:val="left" w:pos="4140"/>
        </w:tabs>
        <w:ind w:left="4140" w:hanging="420"/>
      </w:pPr>
    </w:lvl>
  </w:abstractNum>
  <w:abstractNum w:abstractNumId="53">
    <w:nsid w:val="6CF117F7"/>
    <w:multiLevelType w:val="multilevel"/>
    <w:tmpl w:val="6CF117F7"/>
    <w:lvl w:ilvl="0" w:tentative="0">
      <w:start w:val="1"/>
      <w:numFmt w:val="decimal"/>
      <w:lvlText w:val="%1、"/>
      <w:lvlJc w:val="left"/>
      <w:pPr>
        <w:ind w:left="902" w:hanging="420"/>
      </w:pPr>
      <w:rPr>
        <w:rFonts w:hint="default"/>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54">
    <w:nsid w:val="6D594803"/>
    <w:multiLevelType w:val="multilevel"/>
    <w:tmpl w:val="6D594803"/>
    <w:lvl w:ilvl="0" w:tentative="0">
      <w:start w:val="1"/>
      <w:numFmt w:val="decimal"/>
      <w:pStyle w:val="1429"/>
      <w:lvlText w:val="%1"/>
      <w:lvlJc w:val="left"/>
      <w:pPr>
        <w:tabs>
          <w:tab w:val="left" w:pos="720"/>
        </w:tabs>
        <w:ind w:left="425" w:hanging="425"/>
      </w:pPr>
    </w:lvl>
    <w:lvl w:ilvl="1" w:tentative="0">
      <w:start w:val="1"/>
      <w:numFmt w:val="decimal"/>
      <w:lvlText w:val="%1.%2"/>
      <w:lvlJc w:val="left"/>
      <w:pPr>
        <w:tabs>
          <w:tab w:val="left" w:pos="1865"/>
        </w:tabs>
        <w:ind w:left="992" w:hanging="567"/>
      </w:pPr>
    </w:lvl>
    <w:lvl w:ilvl="2" w:tentative="0">
      <w:start w:val="1"/>
      <w:numFmt w:val="decimal"/>
      <w:lvlText w:val="%1.%2.%3"/>
      <w:lvlJc w:val="left"/>
      <w:pPr>
        <w:tabs>
          <w:tab w:val="left" w:pos="3011"/>
        </w:tabs>
        <w:ind w:left="1418" w:hanging="567"/>
      </w:pPr>
    </w:lvl>
    <w:lvl w:ilvl="3" w:tentative="0">
      <w:start w:val="1"/>
      <w:numFmt w:val="decimal"/>
      <w:lvlText w:val="%1.%2.%3.%4"/>
      <w:lvlJc w:val="left"/>
      <w:pPr>
        <w:tabs>
          <w:tab w:val="left" w:pos="4156"/>
        </w:tabs>
        <w:ind w:left="1984" w:hanging="708"/>
      </w:pPr>
    </w:lvl>
    <w:lvl w:ilvl="4" w:tentative="0">
      <w:start w:val="1"/>
      <w:numFmt w:val="decimal"/>
      <w:lvlText w:val="%1.%2.%3.%4.%5"/>
      <w:lvlJc w:val="left"/>
      <w:pPr>
        <w:tabs>
          <w:tab w:val="left" w:pos="5301"/>
        </w:tabs>
        <w:ind w:left="2551" w:hanging="850"/>
      </w:pPr>
    </w:lvl>
    <w:lvl w:ilvl="5" w:tentative="0">
      <w:start w:val="1"/>
      <w:numFmt w:val="decimal"/>
      <w:lvlText w:val="%1.%2.%3.%4.%5.%6"/>
      <w:lvlJc w:val="left"/>
      <w:pPr>
        <w:tabs>
          <w:tab w:val="left" w:pos="6446"/>
        </w:tabs>
        <w:ind w:left="3260" w:hanging="1134"/>
      </w:pPr>
    </w:lvl>
    <w:lvl w:ilvl="6" w:tentative="0">
      <w:start w:val="1"/>
      <w:numFmt w:val="decimal"/>
      <w:lvlText w:val="%1.%2.%3.%4.%5.%6.%7"/>
      <w:lvlJc w:val="left"/>
      <w:pPr>
        <w:tabs>
          <w:tab w:val="left" w:pos="7591"/>
        </w:tabs>
        <w:ind w:left="3827" w:hanging="1276"/>
      </w:pPr>
    </w:lvl>
    <w:lvl w:ilvl="7" w:tentative="0">
      <w:start w:val="1"/>
      <w:numFmt w:val="decimal"/>
      <w:lvlText w:val="%1.%2.%3.%4.%5.%6.%7.%8"/>
      <w:lvlJc w:val="left"/>
      <w:pPr>
        <w:tabs>
          <w:tab w:val="left" w:pos="8736"/>
        </w:tabs>
        <w:ind w:left="4394" w:hanging="1418"/>
      </w:pPr>
    </w:lvl>
    <w:lvl w:ilvl="8" w:tentative="0">
      <w:start w:val="1"/>
      <w:numFmt w:val="decimal"/>
      <w:lvlText w:val="%1.%2.%3.%4.%5.%6.%7.%8.%9"/>
      <w:lvlJc w:val="left"/>
      <w:pPr>
        <w:tabs>
          <w:tab w:val="left" w:pos="9522"/>
        </w:tabs>
        <w:ind w:left="5102" w:hanging="1700"/>
      </w:pPr>
    </w:lvl>
  </w:abstractNum>
  <w:abstractNum w:abstractNumId="55">
    <w:nsid w:val="6D756DE3"/>
    <w:multiLevelType w:val="multilevel"/>
    <w:tmpl w:val="6D756DE3"/>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6">
    <w:nsid w:val="6E272AB8"/>
    <w:multiLevelType w:val="multilevel"/>
    <w:tmpl w:val="6E272AB8"/>
    <w:lvl w:ilvl="0" w:tentative="0">
      <w:start w:val="1"/>
      <w:numFmt w:val="chineseCountingThousand"/>
      <w:pStyle w:val="2271"/>
      <w:lvlText w:val="%1、"/>
      <w:lvlJc w:val="left"/>
      <w:pPr>
        <w:tabs>
          <w:tab w:val="left" w:pos="57"/>
        </w:tabs>
        <w:ind w:left="284" w:hanging="284"/>
      </w:pPr>
      <w:rPr>
        <w:rFonts w:hint="eastAsia" w:cs="Times New Roman"/>
      </w:rPr>
    </w:lvl>
    <w:lvl w:ilvl="1" w:tentative="0">
      <w:start w:val="1"/>
      <w:numFmt w:val="lowerLetter"/>
      <w:lvlText w:val="%2)"/>
      <w:lvlJc w:val="left"/>
      <w:pPr>
        <w:tabs>
          <w:tab w:val="left" w:pos="840"/>
        </w:tabs>
        <w:ind w:left="840" w:hanging="420"/>
      </w:pPr>
      <w:rPr>
        <w:rFonts w:cs="Times New Roman"/>
      </w:rPr>
    </w:lvl>
    <w:lvl w:ilvl="2" w:tentative="0">
      <w:start w:val="2"/>
      <w:numFmt w:val="japaneseCounting"/>
      <w:lvlText w:val="%3、"/>
      <w:lvlJc w:val="left"/>
      <w:pPr>
        <w:tabs>
          <w:tab w:val="left" w:pos="1230"/>
        </w:tabs>
        <w:ind w:left="1230" w:hanging="390"/>
      </w:pPr>
      <w:rPr>
        <w:rFonts w:hint="default" w:cs="Times New Roman"/>
      </w:rPr>
    </w:lvl>
    <w:lvl w:ilvl="3" w:tentative="0">
      <w:start w:val="1"/>
      <w:numFmt w:val="decimal"/>
      <w:lvlText w:val="%4."/>
      <w:lvlJc w:val="left"/>
      <w:pPr>
        <w:tabs>
          <w:tab w:val="left" w:pos="1680"/>
        </w:tabs>
        <w:ind w:left="1680" w:hanging="420"/>
      </w:pPr>
      <w:rPr>
        <w:rFonts w:cs="Times New Roman"/>
      </w:rPr>
    </w:lvl>
    <w:lvl w:ilvl="4" w:tentative="0">
      <w:start w:val="1"/>
      <w:numFmt w:val="lowerLetter"/>
      <w:lvlText w:val="%5)"/>
      <w:lvlJc w:val="left"/>
      <w:pPr>
        <w:tabs>
          <w:tab w:val="left" w:pos="2100"/>
        </w:tabs>
        <w:ind w:left="2100" w:hanging="420"/>
      </w:pPr>
      <w:rPr>
        <w:rFonts w:cs="Times New Roman"/>
      </w:rPr>
    </w:lvl>
    <w:lvl w:ilvl="5" w:tentative="0">
      <w:start w:val="1"/>
      <w:numFmt w:val="lowerRoman"/>
      <w:lvlText w:val="%6."/>
      <w:lvlJc w:val="right"/>
      <w:pPr>
        <w:tabs>
          <w:tab w:val="left" w:pos="2520"/>
        </w:tabs>
        <w:ind w:left="2520" w:hanging="420"/>
      </w:pPr>
      <w:rPr>
        <w:rFonts w:cs="Times New Roman"/>
      </w:rPr>
    </w:lvl>
    <w:lvl w:ilvl="6" w:tentative="0">
      <w:start w:val="1"/>
      <w:numFmt w:val="decimal"/>
      <w:lvlText w:val="%7."/>
      <w:lvlJc w:val="left"/>
      <w:pPr>
        <w:tabs>
          <w:tab w:val="left" w:pos="2940"/>
        </w:tabs>
        <w:ind w:left="2940" w:hanging="420"/>
      </w:pPr>
      <w:rPr>
        <w:rFonts w:cs="Times New Roman"/>
      </w:rPr>
    </w:lvl>
    <w:lvl w:ilvl="7" w:tentative="0">
      <w:start w:val="1"/>
      <w:numFmt w:val="lowerLetter"/>
      <w:lvlText w:val="%8)"/>
      <w:lvlJc w:val="left"/>
      <w:pPr>
        <w:tabs>
          <w:tab w:val="left" w:pos="3360"/>
        </w:tabs>
        <w:ind w:left="3360" w:hanging="420"/>
      </w:pPr>
      <w:rPr>
        <w:rFonts w:cs="Times New Roman"/>
      </w:rPr>
    </w:lvl>
    <w:lvl w:ilvl="8" w:tentative="0">
      <w:start w:val="1"/>
      <w:numFmt w:val="lowerRoman"/>
      <w:lvlText w:val="%9."/>
      <w:lvlJc w:val="right"/>
      <w:pPr>
        <w:tabs>
          <w:tab w:val="left" w:pos="3780"/>
        </w:tabs>
        <w:ind w:left="3780" w:hanging="420"/>
      </w:pPr>
      <w:rPr>
        <w:rFonts w:cs="Times New Roman"/>
      </w:rPr>
    </w:lvl>
  </w:abstractNum>
  <w:abstractNum w:abstractNumId="57">
    <w:nsid w:val="6EBA1586"/>
    <w:multiLevelType w:val="multilevel"/>
    <w:tmpl w:val="6EBA1586"/>
    <w:lvl w:ilvl="0" w:tentative="0">
      <w:start w:val="1"/>
      <w:numFmt w:val="decimal"/>
      <w:lvlText w:val="（%1）"/>
      <w:lvlJc w:val="left"/>
      <w:pPr>
        <w:tabs>
          <w:tab w:val="left" w:pos="1080"/>
        </w:tabs>
        <w:ind w:left="1080" w:hanging="720"/>
      </w:pPr>
      <w:rPr>
        <w:rFonts w:hint="eastAsia"/>
        <w:b w:val="0"/>
        <w:color w:val="auto"/>
        <w:lang w:val="en-US"/>
      </w:rPr>
    </w:lvl>
    <w:lvl w:ilvl="1" w:tentative="0">
      <w:start w:val="1"/>
      <w:numFmt w:val="decimal"/>
      <w:lvlText w:val="（%2）"/>
      <w:lvlJc w:val="left"/>
      <w:pPr>
        <w:tabs>
          <w:tab w:val="left" w:pos="1260"/>
        </w:tabs>
        <w:ind w:left="1260" w:hanging="720"/>
      </w:pPr>
      <w:rPr>
        <w:rFonts w:hint="eastAsia"/>
      </w:rPr>
    </w:lvl>
    <w:lvl w:ilvl="2" w:tentative="0">
      <w:start w:val="1"/>
      <w:numFmt w:val="lowerRoman"/>
      <w:lvlText w:val="%3."/>
      <w:lvlJc w:val="right"/>
      <w:pPr>
        <w:tabs>
          <w:tab w:val="left" w:pos="1620"/>
        </w:tabs>
        <w:ind w:left="1620" w:hanging="420"/>
      </w:pPr>
    </w:lvl>
    <w:lvl w:ilvl="3" w:tentative="0">
      <w:start w:val="1"/>
      <w:numFmt w:val="decimal"/>
      <w:lvlText w:val="%4."/>
      <w:lvlJc w:val="left"/>
      <w:pPr>
        <w:tabs>
          <w:tab w:val="left" w:pos="2040"/>
        </w:tabs>
        <w:ind w:left="2040" w:hanging="420"/>
      </w:pPr>
    </w:lvl>
    <w:lvl w:ilvl="4" w:tentative="0">
      <w:start w:val="1"/>
      <w:numFmt w:val="lowerLetter"/>
      <w:lvlText w:val="%5)"/>
      <w:lvlJc w:val="left"/>
      <w:pPr>
        <w:tabs>
          <w:tab w:val="left" w:pos="2460"/>
        </w:tabs>
        <w:ind w:left="2460" w:hanging="420"/>
      </w:pPr>
    </w:lvl>
    <w:lvl w:ilvl="5" w:tentative="0">
      <w:start w:val="1"/>
      <w:numFmt w:val="lowerRoman"/>
      <w:lvlText w:val="%6."/>
      <w:lvlJc w:val="right"/>
      <w:pPr>
        <w:tabs>
          <w:tab w:val="left" w:pos="2880"/>
        </w:tabs>
        <w:ind w:left="2880" w:hanging="420"/>
      </w:pPr>
    </w:lvl>
    <w:lvl w:ilvl="6" w:tentative="0">
      <w:start w:val="1"/>
      <w:numFmt w:val="decimal"/>
      <w:lvlText w:val="%7."/>
      <w:lvlJc w:val="left"/>
      <w:pPr>
        <w:tabs>
          <w:tab w:val="left" w:pos="3300"/>
        </w:tabs>
        <w:ind w:left="3300" w:hanging="420"/>
      </w:pPr>
    </w:lvl>
    <w:lvl w:ilvl="7" w:tentative="0">
      <w:start w:val="1"/>
      <w:numFmt w:val="lowerLetter"/>
      <w:lvlText w:val="%8)"/>
      <w:lvlJc w:val="left"/>
      <w:pPr>
        <w:tabs>
          <w:tab w:val="left" w:pos="3720"/>
        </w:tabs>
        <w:ind w:left="3720" w:hanging="420"/>
      </w:pPr>
    </w:lvl>
    <w:lvl w:ilvl="8" w:tentative="0">
      <w:start w:val="1"/>
      <w:numFmt w:val="lowerRoman"/>
      <w:lvlText w:val="%9."/>
      <w:lvlJc w:val="right"/>
      <w:pPr>
        <w:tabs>
          <w:tab w:val="left" w:pos="4140"/>
        </w:tabs>
        <w:ind w:left="4140" w:hanging="420"/>
      </w:pPr>
    </w:lvl>
  </w:abstractNum>
  <w:abstractNum w:abstractNumId="58">
    <w:nsid w:val="6F876624"/>
    <w:multiLevelType w:val="multilevel"/>
    <w:tmpl w:val="6F876624"/>
    <w:lvl w:ilvl="0" w:tentative="0">
      <w:start w:val="1"/>
      <w:numFmt w:val="decimal"/>
      <w:pStyle w:val="2430"/>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9">
    <w:nsid w:val="6F8B09C1"/>
    <w:multiLevelType w:val="singleLevel"/>
    <w:tmpl w:val="6F8B09C1"/>
    <w:lvl w:ilvl="0" w:tentative="0">
      <w:start w:val="1"/>
      <w:numFmt w:val="bullet"/>
      <w:pStyle w:val="782"/>
      <w:lvlText w:val=""/>
      <w:lvlJc w:val="left"/>
      <w:pPr>
        <w:tabs>
          <w:tab w:val="left" w:pos="425"/>
        </w:tabs>
        <w:ind w:left="425" w:hanging="425"/>
      </w:pPr>
      <w:rPr>
        <w:rFonts w:hint="default" w:ascii="Wingdings" w:hAnsi="Wingdings"/>
        <w:sz w:val="24"/>
      </w:rPr>
    </w:lvl>
  </w:abstractNum>
  <w:abstractNum w:abstractNumId="60">
    <w:nsid w:val="6FA42EFE"/>
    <w:multiLevelType w:val="multilevel"/>
    <w:tmpl w:val="6FA42EFE"/>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61">
    <w:nsid w:val="704E4344"/>
    <w:multiLevelType w:val="multilevel"/>
    <w:tmpl w:val="704E4344"/>
    <w:lvl w:ilvl="0" w:tentative="0">
      <w:start w:val="1"/>
      <w:numFmt w:val="decimal"/>
      <w:pStyle w:val="3588"/>
      <w:lvlText w:val="表8-%1  "/>
      <w:lvlJc w:val="center"/>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2">
    <w:nsid w:val="719A6922"/>
    <w:multiLevelType w:val="multilevel"/>
    <w:tmpl w:val="719A6922"/>
    <w:lvl w:ilvl="0" w:tentative="0">
      <w:start w:val="1"/>
      <w:numFmt w:val="decimal"/>
      <w:lvlText w:val="（%1）"/>
      <w:lvlJc w:val="left"/>
      <w:pPr>
        <w:ind w:left="900" w:hanging="420"/>
      </w:pPr>
      <w:rPr>
        <w:rFonts w:hint="eastAsia"/>
      </w:rPr>
    </w:lvl>
    <w:lvl w:ilvl="1" w:tentative="0">
      <w:start w:val="1"/>
      <w:numFmt w:val="decimal"/>
      <w:suff w:val="space"/>
      <w:lvlText w:val="（%2）"/>
      <w:lvlJc w:val="left"/>
      <w:pPr>
        <w:ind w:left="0" w:firstLine="0"/>
      </w:pPr>
      <w:rPr>
        <w:rFonts w:hint="eastAsia"/>
      </w:r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63">
    <w:nsid w:val="727E1BF3"/>
    <w:multiLevelType w:val="multilevel"/>
    <w:tmpl w:val="727E1BF3"/>
    <w:lvl w:ilvl="0" w:tentative="0">
      <w:start w:val="1"/>
      <w:numFmt w:val="chineseCounting"/>
      <w:pStyle w:val="3346"/>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4">
    <w:nsid w:val="72ED3D79"/>
    <w:multiLevelType w:val="multilevel"/>
    <w:tmpl w:val="72ED3D79"/>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5">
    <w:nsid w:val="73CD5D3F"/>
    <w:multiLevelType w:val="multilevel"/>
    <w:tmpl w:val="73CD5D3F"/>
    <w:lvl w:ilvl="0" w:tentative="0">
      <w:start w:val="1"/>
      <w:numFmt w:val="decimal"/>
      <w:pStyle w:val="3583"/>
      <w:lvlText w:val="表3-%1  "/>
      <w:lvlJc w:val="left"/>
      <w:pPr>
        <w:ind w:left="900" w:hanging="420"/>
      </w:pPr>
      <w:rPr>
        <w:rFonts w:hint="eastAsia"/>
        <w:vertAlign w:val="baseline"/>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66">
    <w:nsid w:val="74E26610"/>
    <w:multiLevelType w:val="multilevel"/>
    <w:tmpl w:val="74E26610"/>
    <w:lvl w:ilvl="0" w:tentative="0">
      <w:start w:val="1"/>
      <w:numFmt w:val="decimal"/>
      <w:pStyle w:val="1967"/>
      <w:lvlText w:val="(%1)"/>
      <w:lvlJc w:val="left"/>
      <w:pPr>
        <w:tabs>
          <w:tab w:val="left" w:pos="0"/>
        </w:tabs>
        <w:ind w:left="0" w:firstLine="0"/>
      </w:pPr>
      <w:rPr>
        <w:rFonts w:hint="default" w:ascii="Arial" w:hAnsi="Arial" w:eastAsia="宋体"/>
        <w:b w:val="0"/>
        <w:i w:val="0"/>
        <w:caps w:val="0"/>
        <w:strike w:val="0"/>
        <w:dstrike w:val="0"/>
        <w:vanish w:val="0"/>
        <w:color w:val="auto"/>
        <w:sz w:val="24"/>
        <w:szCs w:val="24"/>
        <w:u w:val="none"/>
        <w:vertAlign w:val="baseline"/>
        <w14:shadow w14:blurRad="0" w14:dist="0" w14:dir="0" w14:sx="0" w14:sy="0" w14:kx="0" w14:ky="0" w14:algn="none">
          <w14:srgbClr w14:val="000000"/>
        </w14:shadow>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7">
    <w:nsid w:val="76933334"/>
    <w:multiLevelType w:val="multilevel"/>
    <w:tmpl w:val="76933334"/>
    <w:lvl w:ilvl="0" w:tentative="0">
      <w:start w:val="1"/>
      <w:numFmt w:val="none"/>
      <w:pStyle w:val="781"/>
      <w:lvlText w:val="%1——"/>
      <w:lvlJc w:val="left"/>
      <w:pPr>
        <w:tabs>
          <w:tab w:val="left" w:pos="1140"/>
        </w:tabs>
        <w:ind w:left="840" w:hanging="4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8">
    <w:nsid w:val="78AA5B49"/>
    <w:multiLevelType w:val="multilevel"/>
    <w:tmpl w:val="78AA5B49"/>
    <w:lvl w:ilvl="0" w:tentative="0">
      <w:start w:val="1"/>
      <w:numFmt w:val="decimal"/>
      <w:lvlText w:val="%1、"/>
      <w:lvlJc w:val="left"/>
      <w:pPr>
        <w:ind w:left="902" w:hanging="420"/>
      </w:pPr>
      <w:rPr>
        <w:rFonts w:hint="default"/>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69">
    <w:nsid w:val="7BBB0A94"/>
    <w:multiLevelType w:val="multilevel"/>
    <w:tmpl w:val="7BBB0A94"/>
    <w:lvl w:ilvl="0" w:tentative="0">
      <w:start w:val="1"/>
      <w:numFmt w:val="decimal"/>
      <w:pStyle w:val="3350"/>
      <w:lvlText w:val="%1."/>
      <w:lvlJc w:val="left"/>
      <w:pPr>
        <w:ind w:left="420" w:hanging="420"/>
      </w:pPr>
      <w:rPr>
        <w:rFonts w:hint="eastAsia"/>
        <w:snapToGrid/>
      </w:rPr>
    </w:lvl>
    <w:lvl w:ilvl="1" w:tentative="0">
      <w:start w:val="1"/>
      <w:numFmt w:val="lowerLetter"/>
      <w:pStyle w:val="3351"/>
      <w:lvlText w:val="%2)"/>
      <w:lvlJc w:val="left"/>
      <w:pPr>
        <w:ind w:left="840" w:hanging="420"/>
      </w:pPr>
    </w:lvl>
    <w:lvl w:ilvl="2" w:tentative="0">
      <w:start w:val="1"/>
      <w:numFmt w:val="lowerRoman"/>
      <w:pStyle w:val="3349"/>
      <w:lvlText w:val="%3."/>
      <w:lvlJc w:val="right"/>
      <w:pPr>
        <w:ind w:left="1260" w:hanging="420"/>
      </w:pPr>
    </w:lvl>
    <w:lvl w:ilvl="3" w:tentative="0">
      <w:start w:val="1"/>
      <w:numFmt w:val="decimal"/>
      <w:pStyle w:val="3348"/>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0">
    <w:nsid w:val="7FB65012"/>
    <w:multiLevelType w:val="multilevel"/>
    <w:tmpl w:val="7FB65012"/>
    <w:lvl w:ilvl="0" w:tentative="0">
      <w:start w:val="1"/>
      <w:numFmt w:val="decimal"/>
      <w:pStyle w:val="2285"/>
      <w:lvlText w:val="表2-%1  "/>
      <w:lvlJc w:val="center"/>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7"/>
  </w:num>
  <w:num w:numId="2">
    <w:abstractNumId w:val="7"/>
  </w:num>
  <w:num w:numId="3">
    <w:abstractNumId w:val="10"/>
  </w:num>
  <w:num w:numId="4">
    <w:abstractNumId w:val="8"/>
  </w:num>
  <w:num w:numId="5">
    <w:abstractNumId w:val="5"/>
  </w:num>
  <w:num w:numId="6">
    <w:abstractNumId w:val="9"/>
  </w:num>
  <w:num w:numId="7">
    <w:abstractNumId w:val="6"/>
  </w:num>
  <w:num w:numId="8">
    <w:abstractNumId w:val="4"/>
  </w:num>
  <w:num w:numId="9">
    <w:abstractNumId w:val="3"/>
  </w:num>
  <w:num w:numId="10">
    <w:abstractNumId w:val="26"/>
  </w:num>
  <w:num w:numId="11">
    <w:abstractNumId w:val="39"/>
  </w:num>
  <w:num w:numId="12">
    <w:abstractNumId w:val="30"/>
  </w:num>
  <w:num w:numId="13">
    <w:abstractNumId w:val="67"/>
  </w:num>
  <w:num w:numId="14">
    <w:abstractNumId w:val="59"/>
  </w:num>
  <w:num w:numId="15">
    <w:abstractNumId w:val="11"/>
  </w:num>
  <w:num w:numId="16">
    <w:abstractNumId w:val="41"/>
  </w:num>
  <w:num w:numId="17">
    <w:abstractNumId w:val="14"/>
  </w:num>
  <w:num w:numId="18">
    <w:abstractNumId w:val="25"/>
    <w:lvlOverride w:ilvl="0">
      <w:lvl w:ilvl="0" w:tentative="1">
        <w:start w:val="1"/>
        <w:numFmt w:val="decimal"/>
        <w:pStyle w:val="934"/>
        <w:lvlText w:val="%1 "/>
        <w:lvlJc w:val="left"/>
        <w:pPr>
          <w:tabs>
            <w:tab w:val="left" w:pos="425"/>
          </w:tabs>
          <w:ind w:left="425" w:hanging="425"/>
        </w:pPr>
        <w:rPr>
          <w:rFonts w:hint="eastAsia" w:eastAsia="宋体"/>
          <w:b/>
          <w:bCs/>
          <w:spacing w:val="-4"/>
          <w:kern w:val="2"/>
          <w:sz w:val="28"/>
        </w:rPr>
      </w:lvl>
    </w:lvlOverride>
    <w:lvlOverride w:ilvl="1">
      <w:lvl w:ilvl="1" w:tentative="1">
        <w:start w:val="1"/>
        <w:numFmt w:val="decimal"/>
        <w:pStyle w:val="935"/>
        <w:lvlText w:val="%1.%2 "/>
        <w:lvlJc w:val="left"/>
        <w:pPr>
          <w:tabs>
            <w:tab w:val="left" w:pos="567"/>
          </w:tabs>
          <w:ind w:left="567" w:hanging="567"/>
        </w:pPr>
        <w:rPr>
          <w:rFonts w:hint="eastAsia"/>
        </w:rPr>
      </w:lvl>
    </w:lvlOverride>
    <w:lvlOverride w:ilvl="2">
      <w:lvl w:ilvl="2" w:tentative="1">
        <w:start w:val="1"/>
        <w:numFmt w:val="decimal"/>
        <w:pStyle w:val="936"/>
        <w:lvlText w:val="%1.%2.%3 "/>
        <w:lvlJc w:val="left"/>
        <w:pPr>
          <w:tabs>
            <w:tab w:val="left" w:pos="709"/>
          </w:tabs>
          <w:ind w:left="709" w:hanging="709"/>
        </w:pPr>
        <w:rPr>
          <w:rFonts w:hint="eastAsia"/>
        </w:rPr>
      </w:lvl>
    </w:lvlOverride>
    <w:lvlOverride w:ilvl="3">
      <w:lvl w:ilvl="3" w:tentative="1">
        <w:start w:val="1"/>
        <w:numFmt w:val="decimal"/>
        <w:lvlText w:val="%1.%2.%3.%4"/>
        <w:lvlJc w:val="left"/>
        <w:pPr>
          <w:tabs>
            <w:tab w:val="left" w:pos="851"/>
          </w:tabs>
          <w:ind w:left="851" w:hanging="851"/>
        </w:pPr>
        <w:rPr>
          <w:rFonts w:hint="eastAsia"/>
        </w:rPr>
      </w:lvl>
    </w:lvlOverride>
    <w:lvlOverride w:ilvl="4">
      <w:lvl w:ilvl="4" w:tentative="1">
        <w:start w:val="1"/>
        <w:numFmt w:val="decimal"/>
        <w:lvlText w:val="%1.%2.%3.%4.%5."/>
        <w:lvlJc w:val="left"/>
        <w:pPr>
          <w:tabs>
            <w:tab w:val="left" w:pos="992"/>
          </w:tabs>
          <w:ind w:left="992" w:hanging="992"/>
        </w:pPr>
        <w:rPr>
          <w:rFonts w:hint="eastAsia"/>
        </w:rPr>
      </w:lvl>
    </w:lvlOverride>
    <w:lvlOverride w:ilvl="5">
      <w:lvl w:ilvl="5" w:tentative="1">
        <w:start w:val="1"/>
        <w:numFmt w:val="decimal"/>
        <w:lvlText w:val="%1.%2.%3.%4.%5.%6."/>
        <w:lvlJc w:val="left"/>
        <w:pPr>
          <w:tabs>
            <w:tab w:val="left" w:pos="1134"/>
          </w:tabs>
          <w:ind w:left="1134" w:hanging="1134"/>
        </w:pPr>
        <w:rPr>
          <w:rFonts w:hint="eastAsia"/>
        </w:rPr>
      </w:lvl>
    </w:lvlOverride>
    <w:lvlOverride w:ilvl="6">
      <w:lvl w:ilvl="6" w:tentative="1">
        <w:start w:val="1"/>
        <w:numFmt w:val="decimal"/>
        <w:lvlText w:val="%1.%2.%3.%4.%5.%6.%7."/>
        <w:lvlJc w:val="left"/>
        <w:pPr>
          <w:tabs>
            <w:tab w:val="left" w:pos="1276"/>
          </w:tabs>
          <w:ind w:left="1276" w:hanging="1276"/>
        </w:pPr>
        <w:rPr>
          <w:rFonts w:hint="eastAsia"/>
        </w:rPr>
      </w:lvl>
    </w:lvlOverride>
    <w:lvlOverride w:ilvl="7">
      <w:lvl w:ilvl="7" w:tentative="1">
        <w:start w:val="1"/>
        <w:numFmt w:val="decimal"/>
        <w:lvlText w:val="%1.%2.%3.%4.%5.%6.%7.%8."/>
        <w:lvlJc w:val="left"/>
        <w:pPr>
          <w:tabs>
            <w:tab w:val="left" w:pos="1418"/>
          </w:tabs>
          <w:ind w:left="1418" w:hanging="1418"/>
        </w:pPr>
        <w:rPr>
          <w:rFonts w:hint="eastAsia"/>
        </w:rPr>
      </w:lvl>
    </w:lvlOverride>
    <w:lvlOverride w:ilvl="8">
      <w:lvl w:ilvl="8" w:tentative="1">
        <w:start w:val="1"/>
        <w:numFmt w:val="decimal"/>
        <w:lvlText w:val="%1.%2.%3.%4.%5.%6.%7.%8.%9."/>
        <w:lvlJc w:val="left"/>
        <w:pPr>
          <w:tabs>
            <w:tab w:val="left" w:pos="1559"/>
          </w:tabs>
          <w:ind w:left="1559" w:hanging="1559"/>
        </w:pPr>
        <w:rPr>
          <w:rFonts w:hint="eastAsia"/>
        </w:rPr>
      </w:lvl>
    </w:lvlOverride>
  </w:num>
  <w:num w:numId="19">
    <w:abstractNumId w:val="54"/>
  </w:num>
  <w:num w:numId="20">
    <w:abstractNumId w:val="27"/>
  </w:num>
  <w:num w:numId="21">
    <w:abstractNumId w:val="23"/>
  </w:num>
  <w:num w:numId="22">
    <w:abstractNumId w:val="28"/>
  </w:num>
  <w:num w:numId="23">
    <w:abstractNumId w:val="44"/>
  </w:num>
  <w:num w:numId="24">
    <w:abstractNumId w:val="15"/>
  </w:num>
  <w:num w:numId="25">
    <w:abstractNumId w:val="66"/>
  </w:num>
  <w:num w:numId="26">
    <w:abstractNumId w:val="46"/>
  </w:num>
  <w:num w:numId="27">
    <w:abstractNumId w:val="47"/>
  </w:num>
  <w:num w:numId="28">
    <w:abstractNumId w:val="35"/>
    <w:lvlOverride w:ilvl="0">
      <w:startOverride w:val="1"/>
    </w:lvlOverride>
  </w:num>
  <w:num w:numId="29">
    <w:abstractNumId w:val="56"/>
  </w:num>
  <w:num w:numId="30">
    <w:abstractNumId w:val="70"/>
  </w:num>
  <w:num w:numId="31">
    <w:abstractNumId w:val="58"/>
  </w:num>
  <w:num w:numId="32">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3"/>
    <w:lvlOverride w:ilvl="0">
      <w:startOverride w:val="1"/>
    </w:lvlOverride>
  </w:num>
  <w:num w:numId="3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1"/>
  </w:num>
  <w:num w:numId="37">
    <w:abstractNumId w:val="32"/>
  </w:num>
  <w:num w:numId="38">
    <w:abstractNumId w:val="63"/>
  </w:num>
  <w:num w:numId="39">
    <w:abstractNumId w:val="69"/>
  </w:num>
  <w:num w:numId="40">
    <w:abstractNumId w:val="49"/>
  </w:num>
  <w:num w:numId="41">
    <w:abstractNumId w:val="65"/>
  </w:num>
  <w:num w:numId="42">
    <w:abstractNumId w:val="13"/>
  </w:num>
  <w:num w:numId="43">
    <w:abstractNumId w:val="0"/>
  </w:num>
  <w:num w:numId="44">
    <w:abstractNumId w:val="61"/>
  </w:num>
  <w:num w:numId="45">
    <w:abstractNumId w:val="16"/>
  </w:num>
  <w:num w:numId="46">
    <w:abstractNumId w:val="42"/>
  </w:num>
  <w:num w:numId="47">
    <w:abstractNumId w:val="53"/>
  </w:num>
  <w:num w:numId="48">
    <w:abstractNumId w:val="60"/>
  </w:num>
  <w:num w:numId="49">
    <w:abstractNumId w:val="12"/>
  </w:num>
  <w:num w:numId="50">
    <w:abstractNumId w:val="40"/>
  </w:num>
  <w:num w:numId="51">
    <w:abstractNumId w:val="52"/>
  </w:num>
  <w:num w:numId="52">
    <w:abstractNumId w:val="57"/>
  </w:num>
  <w:num w:numId="53">
    <w:abstractNumId w:val="21"/>
  </w:num>
  <w:num w:numId="54">
    <w:abstractNumId w:val="38"/>
  </w:num>
  <w:num w:numId="55">
    <w:abstractNumId w:val="64"/>
  </w:num>
  <w:num w:numId="56">
    <w:abstractNumId w:val="2"/>
  </w:num>
  <w:num w:numId="57">
    <w:abstractNumId w:val="22"/>
  </w:num>
  <w:num w:numId="58">
    <w:abstractNumId w:val="24"/>
  </w:num>
  <w:num w:numId="59">
    <w:abstractNumId w:val="29"/>
  </w:num>
  <w:num w:numId="60">
    <w:abstractNumId w:val="55"/>
  </w:num>
  <w:num w:numId="61">
    <w:abstractNumId w:val="19"/>
  </w:num>
  <w:num w:numId="62">
    <w:abstractNumId w:val="18"/>
  </w:num>
  <w:num w:numId="63">
    <w:abstractNumId w:val="68"/>
  </w:num>
  <w:num w:numId="64">
    <w:abstractNumId w:val="34"/>
  </w:num>
  <w:num w:numId="65">
    <w:abstractNumId w:val="33"/>
  </w:num>
  <w:num w:numId="66">
    <w:abstractNumId w:val="62"/>
  </w:num>
  <w:num w:numId="67">
    <w:abstractNumId w:val="45"/>
  </w:num>
  <w:num w:numId="68">
    <w:abstractNumId w:val="37"/>
  </w:num>
  <w:num w:numId="69">
    <w:abstractNumId w:val="1"/>
  </w:num>
  <w:num w:numId="70">
    <w:abstractNumId w:val="20"/>
  </w:num>
  <w:num w:numId="71">
    <w:abstractNumId w:val="4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hideSpellingErrors/>
  <w:hideGrammaticalErrors/>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ocumentProtection w:enforcement="0"/>
  <w:defaultTabStop w:val="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GU4NjgwZjM5YzdkN2MwNmM2ZmJiNGE0YWQ3NmZlZWEifQ=="/>
  </w:docVars>
  <w:rsids>
    <w:rsidRoot w:val="00000000"/>
    <w:rsid w:val="02A84935"/>
    <w:rsid w:val="03970EF3"/>
    <w:rsid w:val="0FFF22C3"/>
    <w:rsid w:val="15AC1F3A"/>
    <w:rsid w:val="1C5D7A0C"/>
    <w:rsid w:val="1F2F5ECD"/>
    <w:rsid w:val="200C5188"/>
    <w:rsid w:val="21A659B2"/>
    <w:rsid w:val="28506677"/>
    <w:rsid w:val="3F1C4F26"/>
    <w:rsid w:val="44C34770"/>
    <w:rsid w:val="4B2D1797"/>
    <w:rsid w:val="4BC153DC"/>
    <w:rsid w:val="4C79261D"/>
    <w:rsid w:val="57822B4D"/>
    <w:rsid w:val="585B54E7"/>
    <w:rsid w:val="590944FB"/>
    <w:rsid w:val="6228257C"/>
    <w:rsid w:val="62C33D15"/>
    <w:rsid w:val="647C760A"/>
    <w:rsid w:val="69C71167"/>
    <w:rsid w:val="763C1DE5"/>
    <w:rsid w:val="773169A5"/>
    <w:rsid w:val="7A655D72"/>
    <w:rsid w:val="7B64348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qFormat="1" w:unhideWhenUsed="0" w:uiPriority="0" w:name="index 2"/>
    <w:lsdException w:qFormat="1" w:unhideWhenUsed="0" w:uiPriority="0" w:name="index 3"/>
    <w:lsdException w:qFormat="1" w:unhideWhenUsed="0" w:uiPriority="0" w:semiHidden="0" w:name="index 4"/>
    <w:lsdException w:qFormat="1" w:unhideWhenUsed="0" w:uiPriority="0" w:name="index 5"/>
    <w:lsdException w:qFormat="1" w:unhideWhenUsed="0" w:uiPriority="0" w:name="index 6"/>
    <w:lsdException w:qFormat="1" w:unhideWhenUsed="0" w:uiPriority="0" w:name="index 7"/>
    <w:lsdException w:qFormat="1" w:unhideWhenUsed="0" w:uiPriority="0" w:name="index 8"/>
    <w:lsdException w:qFormat="1" w:unhideWhenUsed="0"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name="index heading"/>
    <w:lsdException w:qFormat="1" w:unhideWhenUsed="0" w:uiPriority="99" w:semiHidden="0" w:name="caption"/>
    <w:lsdException w:qFormat="1" w:unhideWhenUsed="0" w:uiPriority="0" w:semiHidden="0" w:name="table of figures"/>
    <w:lsdException w:qFormat="1" w:unhideWhenUsed="0" w:uiPriority="0" w:name="envelope address"/>
    <w:lsdException w:qFormat="1" w:unhideWhenUsed="0" w:uiPriority="0" w:name="envelope return"/>
    <w:lsdException w:qFormat="1" w:unhideWhenUsed="0" w:uiPriority="0" w:semiHidden="0" w:name="footnote reference"/>
    <w:lsdException w:qFormat="1" w:unhideWhenUsed="0" w:uiPriority="99" w:semiHidden="0" w:name="annotation reference"/>
    <w:lsdException w:qFormat="1" w:unhideWhenUsed="0" w:uiPriority="0" w:name="line number"/>
    <w:lsdException w:qFormat="1" w:unhideWhenUsed="0" w:uiPriority="0" w:semiHidden="0" w:name="page number"/>
    <w:lsdException w:qFormat="1" w:unhideWhenUsed="0" w:uiPriority="0" w:name="endnote reference"/>
    <w:lsdException w:qFormat="1" w:unhideWhenUsed="0" w:uiPriority="0" w:name="endnote text"/>
    <w:lsdException w:qFormat="1" w:unhideWhenUsed="0" w:uiPriority="0" w:name="table of authorities"/>
    <w:lsdException w:uiPriority="0" w:name="macro"/>
    <w:lsdException w:qFormat="1" w:unhideWhenUsed="0" w:uiPriority="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name="List 3"/>
    <w:lsdException w:qFormat="1" w:unhideWhenUsed="0" w:uiPriority="0" w:name="List 4"/>
    <w:lsdException w:qFormat="1" w:unhideWhenUsed="0" w:uiPriority="0" w:name="List 5"/>
    <w:lsdException w:qFormat="1" w:unhideWhenUsed="0" w:uiPriority="0" w:name="List Bullet 2"/>
    <w:lsdException w:qFormat="1" w:unhideWhenUsed="0" w:uiPriority="0" w:name="List Bullet 3"/>
    <w:lsdException w:qFormat="1" w:unhideWhenUsed="0" w:uiPriority="0" w:name="List Bullet 4"/>
    <w:lsdException w:qFormat="1" w:unhideWhenUsed="0" w:uiPriority="0" w:name="List Bullet 5"/>
    <w:lsdException w:qFormat="1" w:unhideWhenUsed="0" w:uiPriority="0" w:name="List Number 2"/>
    <w:lsdException w:qFormat="1" w:unhideWhenUsed="0" w:uiPriority="0" w:name="List Number 3"/>
    <w:lsdException w:qFormat="1" w:unhideWhenUsed="0" w:uiPriority="0" w:name="List Number 4"/>
    <w:lsdException w:qFormat="1" w:unhideWhenUsed="0" w:uiPriority="0" w:name="List Number 5"/>
    <w:lsdException w:qFormat="1" w:unhideWhenUsed="0" w:uiPriority="0" w:semiHidden="0" w:name="Title"/>
    <w:lsdException w:qFormat="1" w:unhideWhenUsed="0" w:uiPriority="0" w:name="Closing"/>
    <w:lsdException w:qFormat="1" w:unhideWhenUsed="0" w:uiPriority="0" w:name="Signature"/>
    <w:lsdException w:qFormat="1" w:uiPriority="1" w:name="Default Paragraph Font"/>
    <w:lsdException w:qFormat="1" w:unhideWhenUsed="0" w:uiPriority="1" w:semiHidden="0" w:name="Body Text"/>
    <w:lsdException w:qFormat="1" w:unhideWhenUsed="0" w:uiPriority="0" w:semiHidden="0" w:name="Body Text Indent"/>
    <w:lsdException w:qFormat="1" w:unhideWhenUsed="0" w:uiPriority="0" w:name="List Continue"/>
    <w:lsdException w:qFormat="1" w:unhideWhenUsed="0" w:uiPriority="0" w:semiHidden="0" w:name="List Continue 2"/>
    <w:lsdException w:qFormat="1" w:unhideWhenUsed="0" w:uiPriority="0" w:name="List Continue 3"/>
    <w:lsdException w:qFormat="1" w:unhideWhenUsed="0" w:uiPriority="0" w:name="List Continue 4"/>
    <w:lsdException w:qFormat="1" w:unhideWhenUsed="0" w:uiPriority="0" w:name="List Continue 5"/>
    <w:lsdException w:qFormat="1" w:unhideWhenUsed="0" w:uiPriority="0" w:name="Message Header"/>
    <w:lsdException w:qFormat="1" w:unhideWhenUsed="0" w:uiPriority="0" w:semiHidden="0" w:name="Subtitle"/>
    <w:lsdException w:qFormat="1" w:unhideWhenUsed="0" w:uiPriority="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iPriority="99" w:semiHidden="0" w:name="FollowedHyperlink"/>
    <w:lsdException w:qFormat="1" w:unhideWhenUsed="0" w:uiPriority="22"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name="E-mail Signature"/>
    <w:lsdException w:qFormat="1" w:unhideWhenUsed="0" w:uiPriority="99" w:semiHidden="0" w:name="Normal (Web)"/>
    <w:lsdException w:qFormat="1" w:unhideWhenUsed="0" w:uiPriority="0" w:name="HTML Acronym"/>
    <w:lsdException w:qFormat="1" w:unhideWhenUsed="0" w:uiPriority="0" w:name="HTML Address"/>
    <w:lsdException w:qFormat="1" w:unhideWhenUsed="0" w:uiPriority="0" w:name="HTML Cite"/>
    <w:lsdException w:qFormat="1" w:unhideWhenUsed="0" w:uiPriority="0" w:name="HTML Code"/>
    <w:lsdException w:qFormat="1" w:unhideWhenUsed="0" w:uiPriority="0" w:name="HTML Definition"/>
    <w:lsdException w:qFormat="1" w:unhideWhenUsed="0" w:uiPriority="0" w:name="HTML Keyboard"/>
    <w:lsdException w:qFormat="1" w:unhideWhenUsed="0" w:uiPriority="0" w:semiHidden="0" w:name="HTML Preformatted"/>
    <w:lsdException w:qFormat="1" w:unhideWhenUsed="0" w:uiPriority="0" w:name="HTML Sample"/>
    <w:lsdException w:qFormat="1" w:unhideWhenUsed="0" w:uiPriority="0" w:semiHidden="0" w:name="HTML Typewriter"/>
    <w:lsdException w:qFormat="1" w:unhideWhenUsed="0" w:uiPriority="0" w:name="HTML Variable"/>
    <w:lsdException w:qFormat="1" w:uiPriority="99" w:name="Normal Table"/>
    <w:lsdException w:qFormat="1" w:unhideWhenUsed="0" w:uiPriority="0" w:semiHidden="0" w:name="annotation subject"/>
    <w:lsdException w:qFormat="1" w:unhideWhenUsed="0" w:uiPriority="0" w:name="Table Simple 1"/>
    <w:lsdException w:qFormat="1" w:unhideWhenUsed="0" w:uiPriority="0" w:name="Table Simple 2"/>
    <w:lsdException w:qFormat="1" w:unhideWhenUsed="0" w:uiPriority="0" w:name="Table Simple 3"/>
    <w:lsdException w:qFormat="1" w:unhideWhenUsed="0" w:uiPriority="0" w:name="Table Classic 1"/>
    <w:lsdException w:qFormat="1" w:unhideWhenUsed="0" w:uiPriority="0" w:name="Table Classic 2"/>
    <w:lsdException w:qFormat="1" w:unhideWhenUsed="0" w:uiPriority="0" w:name="Table Classic 3"/>
    <w:lsdException w:qFormat="1" w:unhideWhenUsed="0" w:uiPriority="0" w:name="Table Classic 4"/>
    <w:lsdException w:qFormat="1" w:unhideWhenUsed="0" w:uiPriority="0" w:name="Table Colorful 1"/>
    <w:lsdException w:qFormat="1" w:unhideWhenUsed="0" w:uiPriority="0" w:name="Table Colorful 2"/>
    <w:lsdException w:qFormat="1" w:unhideWhenUsed="0" w:uiPriority="0" w:name="Table Colorful 3"/>
    <w:lsdException w:qFormat="1" w:unhideWhenUsed="0" w:uiPriority="0" w:name="Table Columns 1"/>
    <w:lsdException w:qFormat="1" w:unhideWhenUsed="0" w:uiPriority="0" w:name="Table Columns 2"/>
    <w:lsdException w:qFormat="1" w:unhideWhenUsed="0" w:uiPriority="0" w:name="Table Columns 3"/>
    <w:lsdException w:qFormat="1" w:unhideWhenUsed="0" w:uiPriority="0" w:name="Table Columns 4"/>
    <w:lsdException w:qFormat="1" w:unhideWhenUsed="0" w:uiPriority="0" w:name="Table Columns 5"/>
    <w:lsdException w:qFormat="1" w:unhideWhenUsed="0" w:uiPriority="0" w:name="Table Grid 1"/>
    <w:lsdException w:qFormat="1" w:unhideWhenUsed="0" w:uiPriority="0" w:name="Table Grid 2"/>
    <w:lsdException w:qFormat="1" w:unhideWhenUsed="0" w:uiPriority="0" w:name="Table Grid 3"/>
    <w:lsdException w:qFormat="1" w:unhideWhenUsed="0" w:uiPriority="0" w:name="Table Grid 4"/>
    <w:lsdException w:qFormat="1" w:unhideWhenUsed="0" w:uiPriority="0" w:name="Table Grid 5"/>
    <w:lsdException w:qFormat="1" w:unhideWhenUsed="0" w:uiPriority="0" w:name="Table Grid 6"/>
    <w:lsdException w:qFormat="1" w:unhideWhenUsed="0" w:uiPriority="0" w:name="Table Grid 7"/>
    <w:lsdException w:qFormat="1" w:unhideWhenUsed="0" w:uiPriority="0" w:name="Table Grid 8"/>
    <w:lsdException w:qFormat="1" w:unhideWhenUsed="0" w:uiPriority="0" w:name="Table List 1"/>
    <w:lsdException w:qFormat="1" w:unhideWhenUsed="0" w:uiPriority="0" w:name="Table List 2"/>
    <w:lsdException w:qFormat="1" w:unhideWhenUsed="0" w:uiPriority="0" w:name="Table List 3"/>
    <w:lsdException w:qFormat="1" w:unhideWhenUsed="0" w:uiPriority="0" w:name="Table List 4"/>
    <w:lsdException w:qFormat="1" w:unhideWhenUsed="0" w:uiPriority="0" w:name="Table List 5"/>
    <w:lsdException w:qFormat="1" w:unhideWhenUsed="0" w:uiPriority="0" w:name="Table List 6"/>
    <w:lsdException w:qFormat="1" w:unhideWhenUsed="0" w:uiPriority="0" w:name="Table List 7"/>
    <w:lsdException w:qFormat="1" w:unhideWhenUsed="0" w:uiPriority="0" w:name="Table List 8"/>
    <w:lsdException w:qFormat="1" w:unhideWhenUsed="0" w:uiPriority="0" w:name="Table 3D effects 1"/>
    <w:lsdException w:qFormat="1" w:unhideWhenUsed="0" w:uiPriority="0" w:name="Table 3D effects 2"/>
    <w:lsdException w:qFormat="1" w:unhideWhenUsed="0" w:uiPriority="0" w:name="Table 3D effects 3"/>
    <w:lsdException w:qFormat="1" w:unhideWhenUsed="0" w:uiPriority="0" w:name="Table Contemporary"/>
    <w:lsdException w:qFormat="1" w:unhideWhenUsed="0" w:uiPriority="0" w:name="Table Elegant"/>
    <w:lsdException w:qFormat="1" w:unhideWhenUsed="0" w:uiPriority="0" w:name="Table Professional"/>
    <w:lsdException w:qFormat="1" w:unhideWhenUsed="0" w:uiPriority="0" w:name="Table Subtle 1"/>
    <w:lsdException w:qFormat="1" w:unhideWhenUsed="0" w:uiPriority="0" w:name="Table Subtle 2"/>
    <w:lsdException w:qFormat="1" w:unhideWhenUsed="0" w:uiPriority="0" w:name="Table Web 1"/>
    <w:lsdException w:qFormat="1" w:unhideWhenUsed="0" w:uiPriority="0" w:name="Table Web 2"/>
    <w:lsdException w:qFormat="1" w:unhideWhenUsed="0" w:uiPriority="0" w:name="Table Web 3"/>
    <w:lsdException w:qFormat="1" w:unhideWhenUsed="0" w:uiPriority="0" w:semiHidden="0" w:name="Balloon Text"/>
    <w:lsdException w:qFormat="1" w:unhideWhenUsed="0" w:uiPriority="99" w:semiHidden="0" w:name="Table Grid"/>
    <w:lsdException w:qFormat="1" w:unhideWhenUsed="0" w:uiPriority="0" w:name="Table Theme"/>
    <w:lsdException w:qFormat="1" w:unhideWhenUsed="0" w:uiPriority="0"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0" w:semiHidden="0" w:name="Quote"/>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tabs>
        <w:tab w:val="left" w:pos="480"/>
      </w:tabs>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1"/>
    <w:next w:val="1"/>
    <w:link w:val="693"/>
    <w:qFormat/>
    <w:uiPriority w:val="9"/>
    <w:pPr>
      <w:keepNext/>
      <w:keepLines/>
      <w:numPr>
        <w:ilvl w:val="0"/>
        <w:numId w:val="1"/>
      </w:numPr>
      <w:spacing w:before="340" w:after="330"/>
      <w:outlineLvl w:val="0"/>
    </w:pPr>
    <w:rPr>
      <w:rFonts w:ascii="仿宋_GB2312" w:eastAsia="仿宋_GB2312"/>
      <w:b/>
      <w:bCs/>
      <w:kern w:val="44"/>
      <w:sz w:val="36"/>
      <w:szCs w:val="44"/>
      <w:lang w:val="zh-CN"/>
    </w:rPr>
  </w:style>
  <w:style w:type="paragraph" w:styleId="4">
    <w:name w:val="heading 2"/>
    <w:basedOn w:val="1"/>
    <w:next w:val="1"/>
    <w:link w:val="1864"/>
    <w:qFormat/>
    <w:uiPriority w:val="9"/>
    <w:pPr>
      <w:keepNext/>
      <w:keepLines/>
      <w:numPr>
        <w:ilvl w:val="1"/>
        <w:numId w:val="1"/>
      </w:numPr>
      <w:tabs>
        <w:tab w:val="left" w:pos="630"/>
      </w:tabs>
      <w:spacing w:before="260" w:after="120"/>
      <w:outlineLvl w:val="1"/>
    </w:pPr>
    <w:rPr>
      <w:b/>
      <w:bCs/>
      <w:sz w:val="32"/>
      <w:szCs w:val="32"/>
      <w:lang w:val="zh-CN"/>
    </w:rPr>
  </w:style>
  <w:style w:type="paragraph" w:styleId="5">
    <w:name w:val="heading 3"/>
    <w:basedOn w:val="1"/>
    <w:next w:val="1"/>
    <w:link w:val="479"/>
    <w:qFormat/>
    <w:uiPriority w:val="9"/>
    <w:pPr>
      <w:keepNext/>
      <w:keepLines/>
      <w:numPr>
        <w:ilvl w:val="2"/>
        <w:numId w:val="1"/>
      </w:numPr>
      <w:tabs>
        <w:tab w:val="left" w:pos="840"/>
      </w:tabs>
      <w:spacing w:before="120" w:after="260" w:line="416" w:lineRule="auto"/>
      <w:outlineLvl w:val="2"/>
    </w:pPr>
    <w:rPr>
      <w:rFonts w:ascii="仿宋_GB2312" w:eastAsia="仿宋_GB2312"/>
      <w:b/>
      <w:bCs/>
      <w:sz w:val="30"/>
      <w:szCs w:val="32"/>
      <w:lang w:val="zh-CN"/>
    </w:rPr>
  </w:style>
  <w:style w:type="paragraph" w:styleId="6">
    <w:name w:val="heading 4"/>
    <w:basedOn w:val="1"/>
    <w:next w:val="1"/>
    <w:link w:val="154"/>
    <w:qFormat/>
    <w:uiPriority w:val="9"/>
    <w:pPr>
      <w:keepNext/>
      <w:keepLines/>
      <w:numPr>
        <w:ilvl w:val="3"/>
        <w:numId w:val="1"/>
      </w:numPr>
      <w:spacing w:before="240" w:after="240"/>
      <w:outlineLvl w:val="3"/>
    </w:pPr>
    <w:rPr>
      <w:rFonts w:ascii="仿宋_GB2312" w:hAnsi="宋体" w:eastAsia="仿宋_GB2312"/>
      <w:b/>
      <w:bCs/>
      <w:sz w:val="28"/>
      <w:szCs w:val="28"/>
      <w:lang w:val="zh-CN"/>
    </w:rPr>
  </w:style>
  <w:style w:type="paragraph" w:styleId="7">
    <w:name w:val="heading 5"/>
    <w:basedOn w:val="1"/>
    <w:next w:val="1"/>
    <w:link w:val="480"/>
    <w:qFormat/>
    <w:uiPriority w:val="9"/>
    <w:pPr>
      <w:keepNext/>
      <w:keepLines/>
      <w:numPr>
        <w:ilvl w:val="4"/>
        <w:numId w:val="1"/>
      </w:numPr>
      <w:spacing w:before="60" w:after="60"/>
      <w:ind w:firstLine="0" w:firstLineChars="0"/>
      <w:outlineLvl w:val="4"/>
    </w:pPr>
    <w:rPr>
      <w:rFonts w:ascii="宋体" w:hAnsi="Impact" w:eastAsia="楷体_GB2312"/>
      <w:b/>
      <w:szCs w:val="20"/>
      <w:lang w:val="zh-CN"/>
    </w:rPr>
  </w:style>
  <w:style w:type="paragraph" w:styleId="8">
    <w:name w:val="heading 6"/>
    <w:basedOn w:val="1"/>
    <w:next w:val="1"/>
    <w:link w:val="481"/>
    <w:qFormat/>
    <w:uiPriority w:val="0"/>
    <w:pPr>
      <w:keepNext/>
      <w:keepLines/>
      <w:numPr>
        <w:ilvl w:val="5"/>
        <w:numId w:val="1"/>
      </w:numPr>
      <w:autoSpaceDE w:val="0"/>
      <w:autoSpaceDN w:val="0"/>
      <w:adjustRightInd w:val="0"/>
      <w:spacing w:before="120" w:after="64" w:line="319" w:lineRule="auto"/>
      <w:textAlignment w:val="baseline"/>
      <w:outlineLvl w:val="5"/>
    </w:pPr>
    <w:rPr>
      <w:rFonts w:ascii="Arial" w:hAnsi="Arial" w:eastAsia="楷体_GB2312"/>
      <w:b/>
      <w:kern w:val="24"/>
      <w:szCs w:val="20"/>
      <w:lang w:val="zh-CN"/>
    </w:rPr>
  </w:style>
  <w:style w:type="paragraph" w:styleId="9">
    <w:name w:val="heading 7"/>
    <w:basedOn w:val="1"/>
    <w:next w:val="1"/>
    <w:link w:val="482"/>
    <w:qFormat/>
    <w:uiPriority w:val="0"/>
    <w:pPr>
      <w:keepNext/>
      <w:keepLines/>
      <w:numPr>
        <w:ilvl w:val="6"/>
        <w:numId w:val="1"/>
      </w:numPr>
      <w:autoSpaceDE w:val="0"/>
      <w:autoSpaceDN w:val="0"/>
      <w:adjustRightInd w:val="0"/>
      <w:spacing w:before="240" w:after="64" w:line="320" w:lineRule="auto"/>
      <w:textAlignment w:val="baseline"/>
      <w:outlineLvl w:val="6"/>
    </w:pPr>
    <w:rPr>
      <w:rFonts w:ascii="宋体" w:hAnsi="Impact" w:eastAsia="楷体_GB2312"/>
      <w:b/>
      <w:kern w:val="24"/>
      <w:szCs w:val="20"/>
      <w:lang w:val="zh-CN"/>
    </w:rPr>
  </w:style>
  <w:style w:type="paragraph" w:styleId="10">
    <w:name w:val="heading 8"/>
    <w:basedOn w:val="1"/>
    <w:next w:val="1"/>
    <w:link w:val="483"/>
    <w:qFormat/>
    <w:uiPriority w:val="0"/>
    <w:pPr>
      <w:keepNext/>
      <w:keepLines/>
      <w:numPr>
        <w:ilvl w:val="7"/>
        <w:numId w:val="1"/>
      </w:numPr>
      <w:autoSpaceDE w:val="0"/>
      <w:autoSpaceDN w:val="0"/>
      <w:adjustRightInd w:val="0"/>
      <w:spacing w:before="240" w:after="64" w:line="320" w:lineRule="auto"/>
      <w:textAlignment w:val="baseline"/>
      <w:outlineLvl w:val="7"/>
    </w:pPr>
    <w:rPr>
      <w:rFonts w:ascii="Arial" w:hAnsi="Arial" w:eastAsia="黑体"/>
      <w:kern w:val="24"/>
      <w:szCs w:val="20"/>
      <w:lang w:val="zh-CN"/>
    </w:rPr>
  </w:style>
  <w:style w:type="paragraph" w:styleId="11">
    <w:name w:val="heading 9"/>
    <w:basedOn w:val="1"/>
    <w:next w:val="1"/>
    <w:link w:val="484"/>
    <w:qFormat/>
    <w:uiPriority w:val="0"/>
    <w:pPr>
      <w:keepNext/>
      <w:keepLines/>
      <w:numPr>
        <w:ilvl w:val="8"/>
        <w:numId w:val="1"/>
      </w:numPr>
      <w:autoSpaceDE w:val="0"/>
      <w:autoSpaceDN w:val="0"/>
      <w:adjustRightInd w:val="0"/>
      <w:spacing w:before="240" w:after="64" w:line="320" w:lineRule="auto"/>
      <w:textAlignment w:val="baseline"/>
      <w:outlineLvl w:val="8"/>
    </w:pPr>
    <w:rPr>
      <w:rFonts w:ascii="Arial" w:hAnsi="Arial" w:eastAsia="黑体"/>
      <w:kern w:val="24"/>
      <w:sz w:val="28"/>
      <w:szCs w:val="20"/>
      <w:lang w:val="zh-CN"/>
    </w:rPr>
  </w:style>
  <w:style w:type="character" w:default="1" w:styleId="132">
    <w:name w:val="Default Paragraph Font"/>
    <w:semiHidden/>
    <w:unhideWhenUsed/>
    <w:qFormat/>
    <w:uiPriority w:val="1"/>
  </w:style>
  <w:style w:type="table" w:default="1" w:styleId="87">
    <w:name w:val="Normal Table"/>
    <w:semiHidden/>
    <w:unhideWhenUsed/>
    <w:qFormat/>
    <w:uiPriority w:val="99"/>
    <w:tblPr>
      <w:tblCellMar>
        <w:top w:w="0" w:type="dxa"/>
        <w:left w:w="108" w:type="dxa"/>
        <w:bottom w:w="0" w:type="dxa"/>
        <w:right w:w="108" w:type="dxa"/>
      </w:tblCellMar>
    </w:tblPr>
  </w:style>
  <w:style w:type="paragraph" w:styleId="2">
    <w:name w:val="Body Text 2"/>
    <w:basedOn w:val="1"/>
    <w:link w:val="499"/>
    <w:qFormat/>
    <w:uiPriority w:val="0"/>
    <w:pPr>
      <w:tabs>
        <w:tab w:val="clear" w:pos="480"/>
      </w:tabs>
      <w:spacing w:line="240" w:lineRule="auto"/>
      <w:jc w:val="center"/>
    </w:pPr>
    <w:rPr>
      <w:color w:val="000000"/>
      <w:szCs w:val="20"/>
    </w:rPr>
  </w:style>
  <w:style w:type="paragraph" w:styleId="12">
    <w:name w:val="List 3"/>
    <w:basedOn w:val="1"/>
    <w:semiHidden/>
    <w:qFormat/>
    <w:uiPriority w:val="0"/>
    <w:pPr>
      <w:ind w:left="100" w:leftChars="400" w:hanging="200" w:hangingChars="200"/>
    </w:pPr>
  </w:style>
  <w:style w:type="paragraph" w:styleId="13">
    <w:name w:val="toc 7"/>
    <w:basedOn w:val="1"/>
    <w:next w:val="1"/>
    <w:qFormat/>
    <w:uiPriority w:val="39"/>
    <w:pPr>
      <w:tabs>
        <w:tab w:val="clear" w:pos="480"/>
      </w:tabs>
      <w:ind w:left="1440"/>
      <w:jc w:val="left"/>
    </w:pPr>
    <w:rPr>
      <w:sz w:val="18"/>
      <w:szCs w:val="18"/>
    </w:rPr>
  </w:style>
  <w:style w:type="paragraph" w:styleId="14">
    <w:name w:val="List Number 2"/>
    <w:basedOn w:val="1"/>
    <w:semiHidden/>
    <w:qFormat/>
    <w:uiPriority w:val="0"/>
    <w:pPr>
      <w:tabs>
        <w:tab w:val="left" w:pos="780"/>
      </w:tabs>
      <w:ind w:left="780" w:leftChars="200" w:hanging="360" w:hangingChars="200"/>
    </w:pPr>
  </w:style>
  <w:style w:type="paragraph" w:styleId="15">
    <w:name w:val="table of authorities"/>
    <w:basedOn w:val="1"/>
    <w:next w:val="1"/>
    <w:semiHidden/>
    <w:qFormat/>
    <w:uiPriority w:val="0"/>
    <w:pPr>
      <w:tabs>
        <w:tab w:val="clear" w:pos="480"/>
      </w:tabs>
      <w:spacing w:line="240" w:lineRule="auto"/>
      <w:ind w:left="420" w:leftChars="200"/>
    </w:pPr>
    <w:rPr>
      <w:sz w:val="21"/>
    </w:rPr>
  </w:style>
  <w:style w:type="paragraph" w:styleId="16">
    <w:name w:val="Note Heading"/>
    <w:basedOn w:val="1"/>
    <w:next w:val="1"/>
    <w:link w:val="2314"/>
    <w:qFormat/>
    <w:uiPriority w:val="0"/>
    <w:pPr>
      <w:tabs>
        <w:tab w:val="clear" w:pos="480"/>
      </w:tabs>
      <w:jc w:val="center"/>
    </w:pPr>
    <w:rPr>
      <w:rFonts w:ascii="黑体" w:hAnsi="宋体" w:eastAsia="黑体"/>
      <w:sz w:val="21"/>
      <w:szCs w:val="20"/>
    </w:rPr>
  </w:style>
  <w:style w:type="paragraph" w:styleId="17">
    <w:name w:val="List Bullet 4"/>
    <w:basedOn w:val="1"/>
    <w:semiHidden/>
    <w:qFormat/>
    <w:uiPriority w:val="0"/>
    <w:pPr>
      <w:numPr>
        <w:ilvl w:val="0"/>
        <w:numId w:val="2"/>
      </w:numPr>
    </w:pPr>
  </w:style>
  <w:style w:type="paragraph" w:styleId="18">
    <w:name w:val="index 8"/>
    <w:basedOn w:val="1"/>
    <w:next w:val="1"/>
    <w:semiHidden/>
    <w:qFormat/>
    <w:uiPriority w:val="0"/>
    <w:pPr>
      <w:tabs>
        <w:tab w:val="clear" w:pos="480"/>
      </w:tabs>
      <w:spacing w:line="240" w:lineRule="auto"/>
      <w:ind w:left="1400" w:leftChars="1400"/>
    </w:pPr>
    <w:rPr>
      <w:sz w:val="21"/>
    </w:rPr>
  </w:style>
  <w:style w:type="paragraph" w:styleId="19">
    <w:name w:val="E-mail Signature"/>
    <w:basedOn w:val="1"/>
    <w:semiHidden/>
    <w:qFormat/>
    <w:uiPriority w:val="0"/>
  </w:style>
  <w:style w:type="paragraph" w:styleId="20">
    <w:name w:val="List Number"/>
    <w:basedOn w:val="1"/>
    <w:qFormat/>
    <w:uiPriority w:val="0"/>
    <w:pPr>
      <w:numPr>
        <w:ilvl w:val="0"/>
        <w:numId w:val="3"/>
      </w:numPr>
    </w:pPr>
  </w:style>
  <w:style w:type="paragraph" w:styleId="21">
    <w:name w:val="Normal Indent"/>
    <w:basedOn w:val="1"/>
    <w:link w:val="159"/>
    <w:qFormat/>
    <w:uiPriority w:val="0"/>
    <w:pPr>
      <w:ind w:firstLine="420"/>
    </w:pPr>
  </w:style>
  <w:style w:type="paragraph" w:styleId="22">
    <w:name w:val="caption"/>
    <w:basedOn w:val="1"/>
    <w:next w:val="1"/>
    <w:link w:val="165"/>
    <w:qFormat/>
    <w:uiPriority w:val="99"/>
    <w:pPr>
      <w:widowControl/>
      <w:tabs>
        <w:tab w:val="clear" w:pos="480"/>
      </w:tabs>
      <w:adjustRightInd w:val="0"/>
      <w:snapToGrid w:val="0"/>
      <w:spacing w:before="152" w:after="160"/>
      <w:ind w:firstLine="480"/>
      <w:jc w:val="center"/>
    </w:pPr>
    <w:rPr>
      <w:rFonts w:ascii="Arial" w:hAnsi="Arial" w:cs="Arial"/>
      <w:color w:val="000000"/>
      <w:szCs w:val="20"/>
    </w:rPr>
  </w:style>
  <w:style w:type="paragraph" w:styleId="23">
    <w:name w:val="index 5"/>
    <w:basedOn w:val="1"/>
    <w:next w:val="1"/>
    <w:semiHidden/>
    <w:qFormat/>
    <w:uiPriority w:val="0"/>
    <w:pPr>
      <w:tabs>
        <w:tab w:val="clear" w:pos="480"/>
      </w:tabs>
      <w:spacing w:line="240" w:lineRule="auto"/>
      <w:ind w:left="800" w:leftChars="800"/>
    </w:pPr>
    <w:rPr>
      <w:sz w:val="21"/>
    </w:rPr>
  </w:style>
  <w:style w:type="paragraph" w:styleId="24">
    <w:name w:val="List Bullet"/>
    <w:basedOn w:val="1"/>
    <w:qFormat/>
    <w:uiPriority w:val="0"/>
    <w:pPr>
      <w:tabs>
        <w:tab w:val="left" w:pos="720"/>
        <w:tab w:val="clear" w:pos="480"/>
      </w:tabs>
      <w:spacing w:line="240" w:lineRule="auto"/>
      <w:ind w:left="720" w:hanging="720"/>
    </w:pPr>
    <w:rPr>
      <w:sz w:val="21"/>
      <w:szCs w:val="20"/>
    </w:rPr>
  </w:style>
  <w:style w:type="paragraph" w:styleId="25">
    <w:name w:val="envelope address"/>
    <w:basedOn w:val="1"/>
    <w:semiHidden/>
    <w:qFormat/>
    <w:uiPriority w:val="0"/>
    <w:pPr>
      <w:framePr w:w="7920" w:h="1980" w:hRule="exact" w:hSpace="180" w:wrap="around" w:vAnchor="margin" w:hAnchor="page" w:xAlign="center" w:yAlign="bottom"/>
      <w:snapToGrid w:val="0"/>
      <w:ind w:left="100" w:leftChars="1400"/>
    </w:pPr>
    <w:rPr>
      <w:rFonts w:ascii="Arial" w:hAnsi="Arial" w:cs="Arial"/>
    </w:rPr>
  </w:style>
  <w:style w:type="paragraph" w:styleId="26">
    <w:name w:val="Document Map"/>
    <w:basedOn w:val="1"/>
    <w:link w:val="485"/>
    <w:qFormat/>
    <w:uiPriority w:val="0"/>
    <w:pPr>
      <w:shd w:val="clear" w:color="auto" w:fill="000080"/>
      <w:tabs>
        <w:tab w:val="clear" w:pos="480"/>
      </w:tabs>
      <w:spacing w:line="240" w:lineRule="auto"/>
    </w:pPr>
    <w:rPr>
      <w:sz w:val="21"/>
    </w:rPr>
  </w:style>
  <w:style w:type="paragraph" w:styleId="27">
    <w:name w:val="toa heading"/>
    <w:basedOn w:val="1"/>
    <w:next w:val="1"/>
    <w:semiHidden/>
    <w:qFormat/>
    <w:uiPriority w:val="0"/>
    <w:pPr>
      <w:tabs>
        <w:tab w:val="clear" w:pos="480"/>
      </w:tabs>
      <w:spacing w:before="120" w:line="240" w:lineRule="auto"/>
    </w:pPr>
    <w:rPr>
      <w:rFonts w:ascii="Arial" w:hAnsi="Arial" w:cs="Arial"/>
    </w:rPr>
  </w:style>
  <w:style w:type="paragraph" w:styleId="28">
    <w:name w:val="annotation text"/>
    <w:basedOn w:val="1"/>
    <w:link w:val="196"/>
    <w:qFormat/>
    <w:uiPriority w:val="99"/>
    <w:pPr>
      <w:tabs>
        <w:tab w:val="clear" w:pos="480"/>
      </w:tabs>
      <w:adjustRightInd w:val="0"/>
      <w:spacing w:line="360" w:lineRule="atLeast"/>
      <w:jc w:val="left"/>
      <w:textAlignment w:val="baseline"/>
    </w:pPr>
    <w:rPr>
      <w:kern w:val="0"/>
      <w:szCs w:val="20"/>
    </w:rPr>
  </w:style>
  <w:style w:type="paragraph" w:styleId="29">
    <w:name w:val="index 6"/>
    <w:basedOn w:val="1"/>
    <w:next w:val="1"/>
    <w:semiHidden/>
    <w:qFormat/>
    <w:uiPriority w:val="0"/>
    <w:pPr>
      <w:tabs>
        <w:tab w:val="clear" w:pos="480"/>
      </w:tabs>
      <w:spacing w:line="240" w:lineRule="auto"/>
      <w:ind w:left="1000" w:leftChars="1000"/>
    </w:pPr>
    <w:rPr>
      <w:sz w:val="21"/>
    </w:rPr>
  </w:style>
  <w:style w:type="paragraph" w:styleId="30">
    <w:name w:val="Salutation"/>
    <w:basedOn w:val="1"/>
    <w:next w:val="1"/>
    <w:link w:val="919"/>
    <w:semiHidden/>
    <w:qFormat/>
    <w:uiPriority w:val="0"/>
  </w:style>
  <w:style w:type="paragraph" w:styleId="31">
    <w:name w:val="Body Text 3"/>
    <w:basedOn w:val="1"/>
    <w:link w:val="771"/>
    <w:qFormat/>
    <w:uiPriority w:val="0"/>
    <w:pPr>
      <w:tabs>
        <w:tab w:val="clear" w:pos="480"/>
      </w:tabs>
      <w:spacing w:line="240" w:lineRule="auto"/>
      <w:jc w:val="center"/>
    </w:pPr>
    <w:rPr>
      <w:rFonts w:eastAsia="仿宋_GB2312"/>
      <w:sz w:val="21"/>
      <w:szCs w:val="20"/>
    </w:rPr>
  </w:style>
  <w:style w:type="paragraph" w:styleId="32">
    <w:name w:val="Closing"/>
    <w:basedOn w:val="1"/>
    <w:semiHidden/>
    <w:qFormat/>
    <w:uiPriority w:val="0"/>
    <w:pPr>
      <w:widowControl/>
      <w:tabs>
        <w:tab w:val="clear" w:pos="480"/>
      </w:tabs>
      <w:spacing w:line="240" w:lineRule="auto"/>
      <w:ind w:left="4252"/>
      <w:jc w:val="left"/>
    </w:pPr>
    <w:rPr>
      <w:rFonts w:ascii="Arial" w:hAnsi="Arial" w:eastAsia="MS Gothic"/>
      <w:spacing w:val="-5"/>
      <w:kern w:val="0"/>
      <w:sz w:val="21"/>
      <w:szCs w:val="20"/>
      <w:lang w:eastAsia="ja-JP" w:bidi="he-IL"/>
    </w:rPr>
  </w:style>
  <w:style w:type="paragraph" w:styleId="33">
    <w:name w:val="List Bullet 3"/>
    <w:basedOn w:val="1"/>
    <w:semiHidden/>
    <w:qFormat/>
    <w:uiPriority w:val="0"/>
    <w:pPr>
      <w:numPr>
        <w:ilvl w:val="0"/>
        <w:numId w:val="4"/>
      </w:numPr>
    </w:pPr>
  </w:style>
  <w:style w:type="paragraph" w:styleId="34">
    <w:name w:val="Body Text"/>
    <w:basedOn w:val="1"/>
    <w:link w:val="164"/>
    <w:qFormat/>
    <w:uiPriority w:val="1"/>
    <w:pPr>
      <w:tabs>
        <w:tab w:val="clear" w:pos="480"/>
      </w:tabs>
      <w:spacing w:line="240" w:lineRule="auto"/>
    </w:pPr>
    <w:rPr>
      <w:rFonts w:ascii="宋体" w:hAnsi="宋体"/>
      <w:sz w:val="21"/>
      <w:szCs w:val="20"/>
    </w:rPr>
  </w:style>
  <w:style w:type="paragraph" w:styleId="35">
    <w:name w:val="Body Text Indent"/>
    <w:basedOn w:val="1"/>
    <w:link w:val="155"/>
    <w:qFormat/>
    <w:uiPriority w:val="0"/>
    <w:pPr>
      <w:ind w:firstLine="480"/>
    </w:pPr>
  </w:style>
  <w:style w:type="paragraph" w:styleId="36">
    <w:name w:val="List Number 3"/>
    <w:basedOn w:val="1"/>
    <w:semiHidden/>
    <w:qFormat/>
    <w:uiPriority w:val="0"/>
    <w:pPr>
      <w:numPr>
        <w:ilvl w:val="0"/>
        <w:numId w:val="5"/>
      </w:numPr>
    </w:pPr>
  </w:style>
  <w:style w:type="paragraph" w:styleId="37">
    <w:name w:val="List 2"/>
    <w:basedOn w:val="1"/>
    <w:qFormat/>
    <w:uiPriority w:val="0"/>
    <w:pPr>
      <w:tabs>
        <w:tab w:val="clear" w:pos="480"/>
      </w:tabs>
      <w:ind w:left="840" w:hanging="420"/>
    </w:pPr>
    <w:rPr>
      <w:szCs w:val="20"/>
    </w:rPr>
  </w:style>
  <w:style w:type="paragraph" w:styleId="38">
    <w:name w:val="List Continue"/>
    <w:basedOn w:val="1"/>
    <w:semiHidden/>
    <w:qFormat/>
    <w:uiPriority w:val="0"/>
    <w:pPr>
      <w:spacing w:after="120"/>
      <w:ind w:left="420" w:leftChars="200"/>
    </w:pPr>
  </w:style>
  <w:style w:type="paragraph" w:styleId="39">
    <w:name w:val="Block Text"/>
    <w:basedOn w:val="1"/>
    <w:qFormat/>
    <w:uiPriority w:val="0"/>
    <w:pPr>
      <w:widowControl/>
      <w:tabs>
        <w:tab w:val="clear" w:pos="480"/>
      </w:tabs>
      <w:adjustRightInd w:val="0"/>
      <w:snapToGrid w:val="0"/>
      <w:ind w:left="-48" w:leftChars="-20" w:right="-48" w:rightChars="-20" w:firstLine="480"/>
    </w:pPr>
    <w:rPr>
      <w:rFonts w:ascii="宋体" w:hAnsi="宋体"/>
      <w:color w:val="0000FF"/>
    </w:rPr>
  </w:style>
  <w:style w:type="paragraph" w:styleId="40">
    <w:name w:val="List Bullet 2"/>
    <w:basedOn w:val="1"/>
    <w:semiHidden/>
    <w:qFormat/>
    <w:uiPriority w:val="0"/>
    <w:pPr>
      <w:numPr>
        <w:ilvl w:val="0"/>
        <w:numId w:val="6"/>
      </w:numPr>
    </w:pPr>
  </w:style>
  <w:style w:type="paragraph" w:styleId="41">
    <w:name w:val="HTML Address"/>
    <w:basedOn w:val="1"/>
    <w:semiHidden/>
    <w:qFormat/>
    <w:uiPriority w:val="0"/>
    <w:rPr>
      <w:i/>
      <w:iCs/>
    </w:rPr>
  </w:style>
  <w:style w:type="paragraph" w:styleId="42">
    <w:name w:val="index 4"/>
    <w:basedOn w:val="1"/>
    <w:next w:val="1"/>
    <w:qFormat/>
    <w:uiPriority w:val="0"/>
    <w:pPr>
      <w:tabs>
        <w:tab w:val="clear" w:pos="480"/>
      </w:tabs>
      <w:spacing w:line="240" w:lineRule="auto"/>
      <w:ind w:left="840" w:hanging="210"/>
      <w:jc w:val="left"/>
    </w:pPr>
    <w:rPr>
      <w:sz w:val="21"/>
      <w:szCs w:val="21"/>
    </w:rPr>
  </w:style>
  <w:style w:type="paragraph" w:styleId="43">
    <w:name w:val="toc 5"/>
    <w:basedOn w:val="1"/>
    <w:next w:val="1"/>
    <w:qFormat/>
    <w:uiPriority w:val="39"/>
    <w:pPr>
      <w:tabs>
        <w:tab w:val="clear" w:pos="480"/>
      </w:tabs>
      <w:ind w:left="960"/>
      <w:jc w:val="left"/>
    </w:pPr>
    <w:rPr>
      <w:sz w:val="18"/>
      <w:szCs w:val="18"/>
    </w:rPr>
  </w:style>
  <w:style w:type="paragraph" w:styleId="44">
    <w:name w:val="toc 3"/>
    <w:basedOn w:val="1"/>
    <w:next w:val="1"/>
    <w:qFormat/>
    <w:uiPriority w:val="39"/>
    <w:pPr>
      <w:tabs>
        <w:tab w:val="clear" w:pos="480"/>
      </w:tabs>
      <w:ind w:left="480"/>
      <w:jc w:val="left"/>
    </w:pPr>
    <w:rPr>
      <w:i/>
      <w:iCs/>
      <w:sz w:val="20"/>
      <w:szCs w:val="20"/>
    </w:rPr>
  </w:style>
  <w:style w:type="paragraph" w:styleId="45">
    <w:name w:val="Plain Text"/>
    <w:basedOn w:val="1"/>
    <w:link w:val="2128"/>
    <w:qFormat/>
    <w:uiPriority w:val="0"/>
    <w:pPr>
      <w:tabs>
        <w:tab w:val="clear" w:pos="480"/>
      </w:tabs>
      <w:spacing w:line="240" w:lineRule="auto"/>
    </w:pPr>
    <w:rPr>
      <w:rFonts w:ascii="宋体" w:hAnsi="Courier New"/>
      <w:sz w:val="21"/>
      <w:szCs w:val="20"/>
    </w:rPr>
  </w:style>
  <w:style w:type="paragraph" w:styleId="46">
    <w:name w:val="List Bullet 5"/>
    <w:basedOn w:val="1"/>
    <w:semiHidden/>
    <w:qFormat/>
    <w:uiPriority w:val="0"/>
    <w:pPr>
      <w:numPr>
        <w:ilvl w:val="0"/>
        <w:numId w:val="7"/>
      </w:numPr>
    </w:pPr>
  </w:style>
  <w:style w:type="paragraph" w:styleId="47">
    <w:name w:val="List Number 4"/>
    <w:basedOn w:val="1"/>
    <w:semiHidden/>
    <w:qFormat/>
    <w:uiPriority w:val="0"/>
    <w:pPr>
      <w:numPr>
        <w:ilvl w:val="0"/>
        <w:numId w:val="8"/>
      </w:numPr>
    </w:pPr>
  </w:style>
  <w:style w:type="paragraph" w:styleId="48">
    <w:name w:val="toc 8"/>
    <w:basedOn w:val="1"/>
    <w:next w:val="1"/>
    <w:qFormat/>
    <w:uiPriority w:val="39"/>
    <w:pPr>
      <w:tabs>
        <w:tab w:val="clear" w:pos="480"/>
      </w:tabs>
      <w:ind w:left="1680"/>
      <w:jc w:val="left"/>
    </w:pPr>
    <w:rPr>
      <w:sz w:val="18"/>
      <w:szCs w:val="18"/>
    </w:rPr>
  </w:style>
  <w:style w:type="paragraph" w:styleId="49">
    <w:name w:val="index 3"/>
    <w:basedOn w:val="1"/>
    <w:next w:val="1"/>
    <w:semiHidden/>
    <w:qFormat/>
    <w:uiPriority w:val="0"/>
    <w:pPr>
      <w:tabs>
        <w:tab w:val="clear" w:pos="480"/>
      </w:tabs>
      <w:spacing w:line="240" w:lineRule="auto"/>
      <w:ind w:left="400" w:leftChars="400"/>
    </w:pPr>
    <w:rPr>
      <w:sz w:val="21"/>
    </w:rPr>
  </w:style>
  <w:style w:type="paragraph" w:styleId="50">
    <w:name w:val="Date"/>
    <w:basedOn w:val="1"/>
    <w:next w:val="1"/>
    <w:link w:val="756"/>
    <w:qFormat/>
    <w:uiPriority w:val="0"/>
    <w:pPr>
      <w:tabs>
        <w:tab w:val="clear" w:pos="480"/>
      </w:tabs>
      <w:spacing w:line="240" w:lineRule="auto"/>
      <w:ind w:left="100" w:leftChars="2500"/>
    </w:pPr>
    <w:rPr>
      <w:spacing w:val="-18"/>
      <w:kern w:val="11"/>
      <w:sz w:val="36"/>
    </w:rPr>
  </w:style>
  <w:style w:type="paragraph" w:styleId="51">
    <w:name w:val="Body Text Indent 2"/>
    <w:basedOn w:val="1"/>
    <w:link w:val="495"/>
    <w:qFormat/>
    <w:uiPriority w:val="0"/>
    <w:pPr>
      <w:tabs>
        <w:tab w:val="clear" w:pos="480"/>
      </w:tabs>
      <w:spacing w:line="240" w:lineRule="auto"/>
      <w:ind w:left="103" w:firstLine="945" w:firstLineChars="358"/>
    </w:pPr>
    <w:rPr>
      <w:spacing w:val="-18"/>
      <w:kern w:val="11"/>
      <w:sz w:val="30"/>
    </w:rPr>
  </w:style>
  <w:style w:type="paragraph" w:styleId="52">
    <w:name w:val="endnote text"/>
    <w:basedOn w:val="1"/>
    <w:semiHidden/>
    <w:qFormat/>
    <w:uiPriority w:val="0"/>
    <w:pPr>
      <w:widowControl/>
      <w:tabs>
        <w:tab w:val="clear" w:pos="480"/>
      </w:tabs>
      <w:spacing w:line="240" w:lineRule="auto"/>
      <w:jc w:val="left"/>
    </w:pPr>
    <w:rPr>
      <w:rFonts w:ascii="宋体" w:hAnsi="宋体"/>
      <w:kern w:val="0"/>
      <w:sz w:val="21"/>
    </w:rPr>
  </w:style>
  <w:style w:type="paragraph" w:styleId="53">
    <w:name w:val="List Continue 5"/>
    <w:basedOn w:val="1"/>
    <w:semiHidden/>
    <w:qFormat/>
    <w:uiPriority w:val="0"/>
    <w:pPr>
      <w:spacing w:after="120"/>
      <w:ind w:left="2100" w:leftChars="1000"/>
    </w:pPr>
  </w:style>
  <w:style w:type="paragraph" w:styleId="54">
    <w:name w:val="Balloon Text"/>
    <w:basedOn w:val="1"/>
    <w:link w:val="487"/>
    <w:qFormat/>
    <w:uiPriority w:val="0"/>
    <w:rPr>
      <w:sz w:val="18"/>
      <w:szCs w:val="18"/>
    </w:rPr>
  </w:style>
  <w:style w:type="paragraph" w:styleId="55">
    <w:name w:val="footer"/>
    <w:basedOn w:val="1"/>
    <w:link w:val="3630"/>
    <w:qFormat/>
    <w:uiPriority w:val="99"/>
    <w:pPr>
      <w:tabs>
        <w:tab w:val="center" w:pos="4153"/>
        <w:tab w:val="right" w:pos="8306"/>
      </w:tabs>
      <w:snapToGrid w:val="0"/>
      <w:jc w:val="left"/>
    </w:pPr>
    <w:rPr>
      <w:sz w:val="18"/>
      <w:szCs w:val="18"/>
    </w:rPr>
  </w:style>
  <w:style w:type="paragraph" w:styleId="56">
    <w:name w:val="envelope return"/>
    <w:basedOn w:val="1"/>
    <w:semiHidden/>
    <w:qFormat/>
    <w:uiPriority w:val="0"/>
    <w:pPr>
      <w:snapToGrid w:val="0"/>
    </w:pPr>
    <w:rPr>
      <w:rFonts w:ascii="Arial" w:hAnsi="Arial" w:cs="Arial"/>
    </w:rPr>
  </w:style>
  <w:style w:type="paragraph" w:styleId="57">
    <w:name w:val="header"/>
    <w:basedOn w:val="1"/>
    <w:link w:val="3629"/>
    <w:qFormat/>
    <w:uiPriority w:val="99"/>
    <w:pPr>
      <w:pBdr>
        <w:bottom w:val="single" w:color="auto" w:sz="6" w:space="1"/>
      </w:pBdr>
      <w:tabs>
        <w:tab w:val="center" w:pos="4153"/>
        <w:tab w:val="right" w:pos="8306"/>
      </w:tabs>
      <w:snapToGrid w:val="0"/>
      <w:jc w:val="center"/>
    </w:pPr>
    <w:rPr>
      <w:sz w:val="18"/>
      <w:szCs w:val="18"/>
    </w:rPr>
  </w:style>
  <w:style w:type="paragraph" w:styleId="58">
    <w:name w:val="Signature"/>
    <w:basedOn w:val="1"/>
    <w:semiHidden/>
    <w:qFormat/>
    <w:uiPriority w:val="0"/>
    <w:pPr>
      <w:ind w:left="100" w:leftChars="2100"/>
    </w:pPr>
  </w:style>
  <w:style w:type="paragraph" w:styleId="59">
    <w:name w:val="toc 1"/>
    <w:basedOn w:val="1"/>
    <w:next w:val="1"/>
    <w:qFormat/>
    <w:uiPriority w:val="39"/>
    <w:pPr>
      <w:tabs>
        <w:tab w:val="clear" w:pos="480"/>
      </w:tabs>
      <w:spacing w:before="120" w:after="120"/>
      <w:jc w:val="left"/>
    </w:pPr>
    <w:rPr>
      <w:b/>
      <w:bCs/>
      <w:caps/>
      <w:sz w:val="20"/>
      <w:szCs w:val="20"/>
    </w:rPr>
  </w:style>
  <w:style w:type="paragraph" w:styleId="60">
    <w:name w:val="List Continue 4"/>
    <w:basedOn w:val="1"/>
    <w:semiHidden/>
    <w:qFormat/>
    <w:uiPriority w:val="0"/>
    <w:pPr>
      <w:spacing w:after="120"/>
      <w:ind w:left="1680" w:leftChars="800"/>
    </w:pPr>
  </w:style>
  <w:style w:type="paragraph" w:styleId="61">
    <w:name w:val="toc 4"/>
    <w:basedOn w:val="1"/>
    <w:next w:val="1"/>
    <w:qFormat/>
    <w:uiPriority w:val="39"/>
    <w:pPr>
      <w:tabs>
        <w:tab w:val="clear" w:pos="480"/>
      </w:tabs>
      <w:ind w:left="720"/>
      <w:jc w:val="left"/>
    </w:pPr>
    <w:rPr>
      <w:sz w:val="18"/>
      <w:szCs w:val="18"/>
    </w:rPr>
  </w:style>
  <w:style w:type="paragraph" w:styleId="62">
    <w:name w:val="index heading"/>
    <w:basedOn w:val="1"/>
    <w:next w:val="63"/>
    <w:semiHidden/>
    <w:qFormat/>
    <w:uiPriority w:val="0"/>
    <w:pPr>
      <w:tabs>
        <w:tab w:val="clear" w:pos="480"/>
      </w:tabs>
      <w:spacing w:line="240" w:lineRule="auto"/>
    </w:pPr>
    <w:rPr>
      <w:sz w:val="21"/>
    </w:rPr>
  </w:style>
  <w:style w:type="paragraph" w:styleId="63">
    <w:name w:val="index 1"/>
    <w:basedOn w:val="1"/>
    <w:next w:val="1"/>
    <w:qFormat/>
    <w:uiPriority w:val="0"/>
    <w:pPr>
      <w:tabs>
        <w:tab w:val="clear" w:pos="480"/>
      </w:tabs>
      <w:spacing w:line="240" w:lineRule="auto"/>
      <w:jc w:val="center"/>
    </w:pPr>
    <w:rPr>
      <w:rFonts w:eastAsia="仿宋_GB2312"/>
      <w:sz w:val="21"/>
      <w:szCs w:val="21"/>
    </w:rPr>
  </w:style>
  <w:style w:type="paragraph" w:styleId="64">
    <w:name w:val="Subtitle"/>
    <w:basedOn w:val="1"/>
    <w:qFormat/>
    <w:uiPriority w:val="0"/>
    <w:pPr>
      <w:tabs>
        <w:tab w:val="clear" w:pos="480"/>
      </w:tabs>
      <w:spacing w:before="240" w:after="60" w:line="312" w:lineRule="auto"/>
      <w:jc w:val="center"/>
      <w:outlineLvl w:val="1"/>
    </w:pPr>
    <w:rPr>
      <w:rFonts w:ascii="Arial" w:hAnsi="Arial" w:cs="Arial"/>
      <w:b/>
      <w:bCs/>
      <w:kern w:val="28"/>
      <w:sz w:val="32"/>
      <w:szCs w:val="32"/>
    </w:rPr>
  </w:style>
  <w:style w:type="paragraph" w:styleId="65">
    <w:name w:val="List Number 5"/>
    <w:basedOn w:val="1"/>
    <w:semiHidden/>
    <w:qFormat/>
    <w:uiPriority w:val="0"/>
    <w:pPr>
      <w:numPr>
        <w:ilvl w:val="0"/>
        <w:numId w:val="9"/>
      </w:numPr>
    </w:pPr>
  </w:style>
  <w:style w:type="paragraph" w:styleId="66">
    <w:name w:val="List"/>
    <w:basedOn w:val="1"/>
    <w:link w:val="3416"/>
    <w:qFormat/>
    <w:uiPriority w:val="0"/>
    <w:pPr>
      <w:tabs>
        <w:tab w:val="clear" w:pos="480"/>
      </w:tabs>
      <w:spacing w:line="240" w:lineRule="auto"/>
      <w:ind w:left="420" w:hanging="420" w:hangingChars="200"/>
    </w:pPr>
    <w:rPr>
      <w:sz w:val="21"/>
    </w:rPr>
  </w:style>
  <w:style w:type="paragraph" w:styleId="67">
    <w:name w:val="footnote text"/>
    <w:basedOn w:val="1"/>
    <w:link w:val="2313"/>
    <w:qFormat/>
    <w:uiPriority w:val="0"/>
    <w:pPr>
      <w:tabs>
        <w:tab w:val="clear" w:pos="480"/>
      </w:tabs>
      <w:snapToGrid w:val="0"/>
      <w:spacing w:line="240" w:lineRule="auto"/>
      <w:jc w:val="left"/>
    </w:pPr>
    <w:rPr>
      <w:sz w:val="18"/>
      <w:szCs w:val="18"/>
    </w:rPr>
  </w:style>
  <w:style w:type="paragraph" w:styleId="68">
    <w:name w:val="toc 6"/>
    <w:basedOn w:val="1"/>
    <w:next w:val="1"/>
    <w:qFormat/>
    <w:uiPriority w:val="39"/>
    <w:pPr>
      <w:tabs>
        <w:tab w:val="clear" w:pos="480"/>
      </w:tabs>
      <w:ind w:left="1200"/>
      <w:jc w:val="left"/>
    </w:pPr>
    <w:rPr>
      <w:sz w:val="18"/>
      <w:szCs w:val="18"/>
    </w:rPr>
  </w:style>
  <w:style w:type="paragraph" w:styleId="69">
    <w:name w:val="List 5"/>
    <w:basedOn w:val="1"/>
    <w:semiHidden/>
    <w:qFormat/>
    <w:uiPriority w:val="0"/>
    <w:pPr>
      <w:ind w:left="100" w:leftChars="800" w:hanging="200" w:hangingChars="200"/>
    </w:pPr>
  </w:style>
  <w:style w:type="paragraph" w:styleId="70">
    <w:name w:val="Body Text Indent 3"/>
    <w:basedOn w:val="1"/>
    <w:link w:val="489"/>
    <w:qFormat/>
    <w:uiPriority w:val="0"/>
    <w:pPr>
      <w:tabs>
        <w:tab w:val="clear" w:pos="480"/>
      </w:tabs>
      <w:ind w:firstLine="480"/>
    </w:pPr>
  </w:style>
  <w:style w:type="paragraph" w:styleId="71">
    <w:name w:val="index 7"/>
    <w:basedOn w:val="1"/>
    <w:next w:val="1"/>
    <w:semiHidden/>
    <w:qFormat/>
    <w:uiPriority w:val="0"/>
    <w:pPr>
      <w:tabs>
        <w:tab w:val="clear" w:pos="480"/>
      </w:tabs>
      <w:spacing w:line="240" w:lineRule="auto"/>
      <w:ind w:left="1200" w:leftChars="1200"/>
    </w:pPr>
    <w:rPr>
      <w:sz w:val="21"/>
    </w:rPr>
  </w:style>
  <w:style w:type="paragraph" w:styleId="72">
    <w:name w:val="index 9"/>
    <w:basedOn w:val="1"/>
    <w:next w:val="1"/>
    <w:semiHidden/>
    <w:qFormat/>
    <w:uiPriority w:val="0"/>
    <w:pPr>
      <w:tabs>
        <w:tab w:val="clear" w:pos="480"/>
      </w:tabs>
      <w:spacing w:line="240" w:lineRule="auto"/>
      <w:ind w:left="1600" w:leftChars="1600"/>
    </w:pPr>
    <w:rPr>
      <w:sz w:val="21"/>
    </w:rPr>
  </w:style>
  <w:style w:type="paragraph" w:styleId="73">
    <w:name w:val="table of figures"/>
    <w:basedOn w:val="1"/>
    <w:next w:val="1"/>
    <w:qFormat/>
    <w:uiPriority w:val="0"/>
    <w:pPr>
      <w:tabs>
        <w:tab w:val="clear" w:pos="480"/>
      </w:tabs>
      <w:spacing w:line="240" w:lineRule="auto"/>
      <w:ind w:left="840" w:leftChars="200" w:hanging="420" w:hangingChars="200"/>
    </w:pPr>
    <w:rPr>
      <w:sz w:val="21"/>
    </w:rPr>
  </w:style>
  <w:style w:type="paragraph" w:styleId="74">
    <w:name w:val="toc 2"/>
    <w:basedOn w:val="1"/>
    <w:next w:val="1"/>
    <w:qFormat/>
    <w:uiPriority w:val="39"/>
    <w:pPr>
      <w:tabs>
        <w:tab w:val="clear" w:pos="480"/>
      </w:tabs>
      <w:ind w:left="240"/>
      <w:jc w:val="left"/>
    </w:pPr>
    <w:rPr>
      <w:smallCaps/>
      <w:sz w:val="20"/>
      <w:szCs w:val="20"/>
    </w:rPr>
  </w:style>
  <w:style w:type="paragraph" w:styleId="75">
    <w:name w:val="toc 9"/>
    <w:basedOn w:val="1"/>
    <w:next w:val="1"/>
    <w:qFormat/>
    <w:uiPriority w:val="39"/>
    <w:pPr>
      <w:tabs>
        <w:tab w:val="clear" w:pos="480"/>
      </w:tabs>
      <w:ind w:left="1920"/>
      <w:jc w:val="left"/>
    </w:pPr>
    <w:rPr>
      <w:sz w:val="18"/>
      <w:szCs w:val="18"/>
    </w:rPr>
  </w:style>
  <w:style w:type="paragraph" w:styleId="76">
    <w:name w:val="List 4"/>
    <w:basedOn w:val="1"/>
    <w:semiHidden/>
    <w:qFormat/>
    <w:uiPriority w:val="0"/>
    <w:pPr>
      <w:ind w:left="100" w:leftChars="600" w:hanging="200" w:hangingChars="200"/>
    </w:pPr>
  </w:style>
  <w:style w:type="paragraph" w:styleId="77">
    <w:name w:val="List Continue 2"/>
    <w:basedOn w:val="1"/>
    <w:qFormat/>
    <w:uiPriority w:val="0"/>
    <w:pPr>
      <w:spacing w:after="120"/>
      <w:ind w:left="840" w:leftChars="400"/>
    </w:pPr>
  </w:style>
  <w:style w:type="paragraph" w:styleId="78">
    <w:name w:val="Message Header"/>
    <w:basedOn w:val="1"/>
    <w:link w:val="869"/>
    <w:semiHidden/>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rPr>
  </w:style>
  <w:style w:type="paragraph" w:styleId="79">
    <w:name w:val="HTML Preformatted"/>
    <w:basedOn w:val="1"/>
    <w:link w:val="3463"/>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clear" w:pos="480"/>
      </w:tabs>
      <w:spacing w:line="240" w:lineRule="auto"/>
      <w:jc w:val="left"/>
    </w:pPr>
    <w:rPr>
      <w:rFonts w:ascii="宋体" w:hAnsi="宋体" w:cs="宋体"/>
      <w:kern w:val="0"/>
    </w:rPr>
  </w:style>
  <w:style w:type="paragraph" w:styleId="80">
    <w:name w:val="Normal (Web)"/>
    <w:basedOn w:val="1"/>
    <w:qFormat/>
    <w:uiPriority w:val="99"/>
    <w:pPr>
      <w:widowControl/>
      <w:tabs>
        <w:tab w:val="clear" w:pos="480"/>
      </w:tabs>
      <w:spacing w:before="100" w:beforeAutospacing="1" w:after="100" w:afterAutospacing="1" w:line="240" w:lineRule="auto"/>
      <w:jc w:val="left"/>
    </w:pPr>
    <w:rPr>
      <w:rFonts w:ascii="Arial Unicode MS" w:hAnsi="Arial Unicode MS" w:eastAsia="Arial Unicode MS" w:cs="Arial Unicode MS"/>
      <w:kern w:val="0"/>
    </w:rPr>
  </w:style>
  <w:style w:type="paragraph" w:styleId="81">
    <w:name w:val="List Continue 3"/>
    <w:basedOn w:val="1"/>
    <w:semiHidden/>
    <w:qFormat/>
    <w:uiPriority w:val="0"/>
    <w:pPr>
      <w:spacing w:after="120"/>
      <w:ind w:left="1260" w:leftChars="600"/>
    </w:pPr>
  </w:style>
  <w:style w:type="paragraph" w:styleId="82">
    <w:name w:val="index 2"/>
    <w:basedOn w:val="1"/>
    <w:next w:val="1"/>
    <w:semiHidden/>
    <w:qFormat/>
    <w:uiPriority w:val="0"/>
    <w:pPr>
      <w:tabs>
        <w:tab w:val="clear" w:pos="480"/>
      </w:tabs>
      <w:ind w:left="200" w:leftChars="200"/>
    </w:pPr>
  </w:style>
  <w:style w:type="paragraph" w:styleId="83">
    <w:name w:val="Title"/>
    <w:basedOn w:val="1"/>
    <w:qFormat/>
    <w:uiPriority w:val="0"/>
    <w:pPr>
      <w:widowControl/>
      <w:tabs>
        <w:tab w:val="clear" w:pos="480"/>
      </w:tabs>
      <w:adjustRightInd w:val="0"/>
      <w:snapToGrid w:val="0"/>
      <w:spacing w:before="240" w:after="60"/>
      <w:ind w:firstLine="480"/>
      <w:jc w:val="center"/>
      <w:outlineLvl w:val="0"/>
    </w:pPr>
    <w:rPr>
      <w:rFonts w:ascii="Arial" w:hAnsi="Arial" w:cs="Arial"/>
      <w:bCs/>
      <w:color w:val="000000"/>
      <w:szCs w:val="32"/>
    </w:rPr>
  </w:style>
  <w:style w:type="paragraph" w:styleId="84">
    <w:name w:val="annotation subject"/>
    <w:basedOn w:val="28"/>
    <w:next w:val="28"/>
    <w:link w:val="508"/>
    <w:qFormat/>
    <w:uiPriority w:val="0"/>
    <w:pPr>
      <w:tabs>
        <w:tab w:val="left" w:pos="480"/>
      </w:tabs>
      <w:adjustRightInd/>
      <w:spacing w:line="360" w:lineRule="auto"/>
      <w:textAlignment w:val="auto"/>
    </w:pPr>
    <w:rPr>
      <w:b/>
      <w:bCs/>
      <w:kern w:val="2"/>
      <w:szCs w:val="24"/>
    </w:rPr>
  </w:style>
  <w:style w:type="paragraph" w:styleId="85">
    <w:name w:val="Body Text First Indent"/>
    <w:basedOn w:val="34"/>
    <w:link w:val="493"/>
    <w:qFormat/>
    <w:uiPriority w:val="0"/>
    <w:pPr>
      <w:spacing w:after="120"/>
      <w:ind w:firstLine="420" w:firstLineChars="100"/>
    </w:pPr>
    <w:rPr>
      <w:rFonts w:ascii="Times New Roman" w:hAnsi="Times New Roman"/>
      <w:szCs w:val="24"/>
    </w:rPr>
  </w:style>
  <w:style w:type="paragraph" w:styleId="86">
    <w:name w:val="Body Text First Indent 2"/>
    <w:basedOn w:val="35"/>
    <w:link w:val="529"/>
    <w:qFormat/>
    <w:uiPriority w:val="0"/>
    <w:pPr>
      <w:spacing w:after="120"/>
      <w:ind w:left="420" w:leftChars="200" w:firstLine="420"/>
    </w:pPr>
    <w:rPr>
      <w:rFonts w:ascii="宋体"/>
    </w:rPr>
  </w:style>
  <w:style w:type="table" w:styleId="88">
    <w:name w:val="Table Grid"/>
    <w:basedOn w:val="87"/>
    <w:qFormat/>
    <w:uiPriority w:val="99"/>
    <w:pPr>
      <w:widowControl w:val="0"/>
      <w:tabs>
        <w:tab w:val="left" w:pos="480"/>
      </w:tabs>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89">
    <w:name w:val="Table Theme"/>
    <w:basedOn w:val="87"/>
    <w:semiHidden/>
    <w:qFormat/>
    <w:uiPriority w:val="0"/>
    <w:pPr>
      <w:widowControl w:val="0"/>
      <w:tabs>
        <w:tab w:val="left" w:pos="480"/>
      </w:tabs>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0">
    <w:name w:val="Table Colorful 1"/>
    <w:basedOn w:val="87"/>
    <w:semiHidden/>
    <w:qFormat/>
    <w:uiPriority w:val="0"/>
    <w:pPr>
      <w:widowControl w:val="0"/>
      <w:tabs>
        <w:tab w:val="left" w:pos="480"/>
      </w:tabs>
      <w:spacing w:line="360" w:lineRule="auto"/>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91">
    <w:name w:val="Table Colorful 2"/>
    <w:basedOn w:val="87"/>
    <w:semiHidden/>
    <w:qFormat/>
    <w:uiPriority w:val="0"/>
    <w:pPr>
      <w:widowControl w:val="0"/>
      <w:tabs>
        <w:tab w:val="left" w:pos="480"/>
      </w:tabs>
      <w:spacing w:line="360" w:lineRule="auto"/>
      <w:jc w:val="both"/>
    </w:pPr>
    <w:tblPr>
      <w:tblBorders>
        <w:bottom w:val="single" w:color="000000" w:sz="12" w:space="0"/>
      </w:tblBorders>
    </w:tblPr>
    <w:tcPr>
      <w:shd w:val="pct20" w:color="FFFF00" w:fill="FFFFFF"/>
    </w:tcPr>
    <w:tblStylePr w:type="firstRow">
      <w:rPr>
        <w:b/>
        <w:bCs/>
        <w:i/>
        <w:iCs/>
        <w:color w:val="FFFFFF"/>
      </w:rPr>
      <w:tblPr/>
      <w:tcPr>
        <w:tcBorders>
          <w:bottom w:val="single" w:color="000000" w:sz="12" w:space="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92">
    <w:name w:val="Table Colorful 3"/>
    <w:basedOn w:val="87"/>
    <w:semiHidden/>
    <w:qFormat/>
    <w:uiPriority w:val="0"/>
    <w:pPr>
      <w:widowControl w:val="0"/>
      <w:tabs>
        <w:tab w:val="left" w:pos="480"/>
      </w:tabs>
      <w:spacing w:line="360" w:lineRule="auto"/>
      <w:jc w:val="both"/>
    </w:p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bottom w:val="single" w:color="000000" w:sz="6" w:space="0"/>
          <w:tl2br w:val="nil"/>
          <w:tr2bl w:val="nil"/>
        </w:tcBorders>
        <w:shd w:val="solid" w:color="008080" w:fill="FFFFFF"/>
      </w:tcPr>
    </w:tblStylePr>
    <w:tblStylePr w:type="firstCol">
      <w:tblPr/>
      <w:tcPr>
        <w:tcBorders>
          <w:left w:val="single" w:color="000000" w:sz="36" w:space="0"/>
          <w:right w:val="single" w:color="000000" w:sz="6" w:space="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93">
    <w:name w:val="Table Elegant"/>
    <w:basedOn w:val="87"/>
    <w:semiHidden/>
    <w:qFormat/>
    <w:uiPriority w:val="0"/>
    <w:pPr>
      <w:widowControl w:val="0"/>
      <w:tabs>
        <w:tab w:val="left" w:pos="480"/>
      </w:tabs>
      <w:spacing w:line="360" w:lineRule="auto"/>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il"/>
          <w:tr2bl w:val="nil"/>
        </w:tcBorders>
      </w:tcPr>
    </w:tblStylePr>
  </w:style>
  <w:style w:type="table" w:styleId="94">
    <w:name w:val="Table Classic 1"/>
    <w:basedOn w:val="87"/>
    <w:semiHidden/>
    <w:qFormat/>
    <w:uiPriority w:val="0"/>
    <w:pPr>
      <w:widowControl w:val="0"/>
      <w:tabs>
        <w:tab w:val="left" w:pos="480"/>
      </w:tabs>
      <w:spacing w:line="360" w:lineRule="auto"/>
      <w:jc w:val="both"/>
    </w:pPr>
    <w:tblPr>
      <w:tblBorders>
        <w:top w:val="single" w:color="000000" w:sz="12" w:space="0"/>
        <w:bottom w:val="single" w:color="000000" w:sz="12" w:space="0"/>
      </w:tblBorders>
    </w:tblPr>
    <w:tcPr>
      <w:shd w:val="clear" w:color="auto" w:fill="auto"/>
    </w:tcPr>
    <w:tblStylePr w:type="firstRow">
      <w:rPr>
        <w:i/>
        <w:i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tblPr/>
      <w:tcPr>
        <w:tcBorders>
          <w:right w:val="single" w:color="000000" w:sz="6" w:space="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95">
    <w:name w:val="Table Classic 2"/>
    <w:basedOn w:val="87"/>
    <w:semiHidden/>
    <w:qFormat/>
    <w:uiPriority w:val="0"/>
    <w:pPr>
      <w:widowControl w:val="0"/>
      <w:tabs>
        <w:tab w:val="left" w:pos="480"/>
      </w:tabs>
      <w:spacing w:line="360" w:lineRule="auto"/>
      <w:jc w:val="both"/>
    </w:pPr>
    <w:tblPr>
      <w:tblBorders>
        <w:top w:val="single" w:color="000000" w:sz="12" w:space="0"/>
        <w:bottom w:val="single" w:color="000000" w:sz="12" w:space="0"/>
      </w:tblBorders>
    </w:tblPr>
    <w:tcPr>
      <w:shd w:val="clear" w:color="auto" w:fill="auto"/>
    </w:tcPr>
    <w:tblStylePr w:type="firstRow">
      <w:rPr>
        <w:color w:val="FFFFFF"/>
      </w:rPr>
      <w:tblPr/>
      <w:tcPr>
        <w:tcBorders>
          <w:bottom w:val="single" w:color="000000" w:sz="6" w:space="0"/>
          <w:tl2br w:val="nil"/>
          <w:tr2bl w:val="nil"/>
        </w:tcBorders>
        <w:shd w:val="solid" w:color="800080" w:fill="FFFFFF"/>
      </w:tcPr>
    </w:tblStylePr>
    <w:tblStylePr w:type="lastRow">
      <w:tblPr/>
      <w:tcPr>
        <w:tcBorders>
          <w:top w:val="single" w:color="000000" w:sz="6" w:space="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96">
    <w:name w:val="Table Classic 3"/>
    <w:basedOn w:val="87"/>
    <w:semiHidden/>
    <w:qFormat/>
    <w:uiPriority w:val="0"/>
    <w:pPr>
      <w:widowControl w:val="0"/>
      <w:tabs>
        <w:tab w:val="left" w:pos="480"/>
      </w:tabs>
      <w:spacing w:line="360" w:lineRule="auto"/>
      <w:jc w:val="both"/>
    </w:pPr>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bottom w:val="single" w:color="000000" w:sz="6" w:space="0"/>
          <w:tl2br w:val="nil"/>
          <w:tr2bl w:val="nil"/>
        </w:tcBorders>
        <w:shd w:val="solid" w:color="000080" w:fill="FFFFFF"/>
      </w:tcPr>
    </w:tblStylePr>
    <w:tblStylePr w:type="lastRow">
      <w:rPr>
        <w:color w:val="000080"/>
      </w:rPr>
      <w:tblPr/>
      <w:tcPr>
        <w:tcBorders>
          <w:top w:val="single" w:color="000000" w:sz="12" w:space="0"/>
          <w:tl2br w:val="nil"/>
          <w:tr2bl w:val="nil"/>
        </w:tcBorders>
        <w:shd w:val="solid" w:color="FFFFFF" w:fill="FFFFFF"/>
      </w:tcPr>
    </w:tblStylePr>
    <w:tblStylePr w:type="firstCol">
      <w:rPr>
        <w:b/>
        <w:bCs/>
        <w:color w:val="000000"/>
      </w:rPr>
      <w:tblPr/>
      <w:tcPr>
        <w:tcBorders>
          <w:tl2br w:val="nil"/>
          <w:tr2bl w:val="nil"/>
        </w:tcBorders>
      </w:tcPr>
    </w:tblStylePr>
  </w:style>
  <w:style w:type="table" w:styleId="97">
    <w:name w:val="Table Classic 4"/>
    <w:basedOn w:val="87"/>
    <w:semiHidden/>
    <w:qFormat/>
    <w:uiPriority w:val="0"/>
    <w:pPr>
      <w:widowControl w:val="0"/>
      <w:tabs>
        <w:tab w:val="left" w:pos="480"/>
      </w:tabs>
      <w:spacing w:line="360" w:lineRule="auto"/>
      <w:jc w:val="both"/>
    </w:p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bottom w:val="single" w:color="000000" w:sz="6" w:space="0"/>
          <w:tl2br w:val="nil"/>
          <w:tr2bl w:val="nil"/>
        </w:tcBorders>
        <w:shd w:val="pct50" w:color="000080" w:fill="FFFFFF"/>
      </w:tcPr>
    </w:tblStylePr>
    <w:tblStylePr w:type="lastRow">
      <w:rPr>
        <w:color w:val="000080"/>
      </w:rPr>
      <w:tblPr/>
      <w:tcPr>
        <w:tcBorders>
          <w:bottom w:val="single" w:color="000000" w:sz="6" w:space="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98">
    <w:name w:val="Table Simple 1"/>
    <w:basedOn w:val="87"/>
    <w:semiHidden/>
    <w:qFormat/>
    <w:uiPriority w:val="0"/>
    <w:pPr>
      <w:widowControl w:val="0"/>
      <w:tabs>
        <w:tab w:val="left" w:pos="480"/>
      </w:tabs>
      <w:spacing w:line="360" w:lineRule="auto"/>
      <w:jc w:val="both"/>
    </w:pPr>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il"/>
          <w:tr2bl w:val="nil"/>
        </w:tcBorders>
      </w:tcPr>
    </w:tblStylePr>
    <w:tblStylePr w:type="lastRow">
      <w:tblPr/>
      <w:tcPr>
        <w:tcBorders>
          <w:top w:val="single" w:color="008000" w:sz="6" w:space="0"/>
          <w:tl2br w:val="nil"/>
          <w:tr2bl w:val="nil"/>
        </w:tcBorders>
      </w:tcPr>
    </w:tblStylePr>
  </w:style>
  <w:style w:type="table" w:styleId="99">
    <w:name w:val="Table Simple 2"/>
    <w:basedOn w:val="87"/>
    <w:semiHidden/>
    <w:qFormat/>
    <w:uiPriority w:val="0"/>
    <w:pPr>
      <w:widowControl w:val="0"/>
      <w:tabs>
        <w:tab w:val="left" w:pos="480"/>
      </w:tabs>
      <w:spacing w:line="360" w:lineRule="auto"/>
      <w:jc w:val="both"/>
    </w:pPr>
    <w:tblPr/>
    <w:tblStylePr w:type="firstRow">
      <w:rPr>
        <w:b/>
        <w:bCs/>
      </w:rPr>
      <w:tblPr/>
      <w:tcPr>
        <w:tcBorders>
          <w:bottom w:val="single" w:color="000000" w:sz="12" w:space="0"/>
          <w:tl2br w:val="nil"/>
          <w:tr2bl w:val="nil"/>
        </w:tcBorders>
      </w:tcPr>
    </w:tblStylePr>
    <w:tblStylePr w:type="lastRow">
      <w:rPr>
        <w:b/>
        <w:bCs/>
        <w:color w:val="auto"/>
      </w:rPr>
      <w:tblPr/>
      <w:tcPr>
        <w:tcBorders>
          <w:top w:val="single" w:color="000000" w:sz="6" w:space="0"/>
          <w:tl2br w:val="nil"/>
          <w:tr2bl w:val="nil"/>
        </w:tcBorders>
      </w:tcPr>
    </w:tblStylePr>
    <w:tblStylePr w:type="firstCol">
      <w:rPr>
        <w:b/>
        <w:bCs/>
      </w:rPr>
      <w:tblPr/>
      <w:tcPr>
        <w:tcBorders>
          <w:right w:val="single" w:color="000000" w:sz="12" w:space="0"/>
          <w:tl2br w:val="nil"/>
          <w:tr2bl w:val="nil"/>
        </w:tcBorders>
      </w:tcPr>
    </w:tblStylePr>
    <w:tblStylePr w:type="lastCol">
      <w:rPr>
        <w:b/>
        <w:bCs/>
      </w:rPr>
      <w:tblPr/>
      <w:tcPr>
        <w:tcBorders>
          <w:left w:val="single" w:color="000000" w:sz="6" w:space="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100">
    <w:name w:val="Table Simple 3"/>
    <w:basedOn w:val="87"/>
    <w:semiHidden/>
    <w:qFormat/>
    <w:uiPriority w:val="0"/>
    <w:pPr>
      <w:widowControl w:val="0"/>
      <w:tabs>
        <w:tab w:val="left" w:pos="480"/>
      </w:tabs>
      <w:spacing w:line="360" w:lineRule="auto"/>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styleId="101">
    <w:name w:val="Table Subtle 1"/>
    <w:basedOn w:val="87"/>
    <w:semiHidden/>
    <w:qFormat/>
    <w:uiPriority w:val="0"/>
    <w:pPr>
      <w:widowControl w:val="0"/>
      <w:tabs>
        <w:tab w:val="left" w:pos="480"/>
      </w:tabs>
      <w:spacing w:line="360" w:lineRule="auto"/>
      <w:jc w:val="both"/>
    </w:pPr>
    <w:tblPr>
      <w:tblStyleRowBandSize w:val="1"/>
    </w:tblPr>
    <w:tblStylePr w:type="firstRow">
      <w:tblPr/>
      <w:tcPr>
        <w:tcBorders>
          <w:top w:val="single" w:color="000000" w:sz="6" w:space="0"/>
          <w:bottom w:val="single" w:color="000000" w:sz="12" w:space="0"/>
          <w:tl2br w:val="nil"/>
          <w:tr2bl w:val="nil"/>
        </w:tcBorders>
      </w:tcPr>
    </w:tblStylePr>
    <w:tblStylePr w:type="lastRow">
      <w:tblPr/>
      <w:tcPr>
        <w:tcBorders>
          <w:top w:val="single" w:color="000000" w:sz="12" w:space="0"/>
          <w:tl2br w:val="nil"/>
          <w:tr2bl w:val="nil"/>
        </w:tcBorders>
        <w:shd w:val="pct25" w:color="800080" w:fill="FFFFFF"/>
      </w:tcPr>
    </w:tblStylePr>
    <w:tblStylePr w:type="firstCol">
      <w:tblPr/>
      <w:tcPr>
        <w:tcBorders>
          <w:right w:val="single" w:color="000000" w:sz="12" w:space="0"/>
          <w:tl2br w:val="nil"/>
          <w:tr2bl w:val="nil"/>
        </w:tcBorders>
      </w:tcPr>
    </w:tblStylePr>
    <w:tblStylePr w:type="lastCol">
      <w:tblPr/>
      <w:tcPr>
        <w:tcBorders>
          <w:left w:val="single" w:color="000000" w:sz="12" w:space="0"/>
          <w:tl2br w:val="nil"/>
          <w:tr2bl w:val="nil"/>
        </w:tcBorders>
      </w:tcPr>
    </w:tblStylePr>
    <w:tblStylePr w:type="band1Horz">
      <w:tblPr/>
      <w:tcPr>
        <w:tcBorders>
          <w:bottom w:val="single" w:color="000000" w:sz="6"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2">
    <w:name w:val="Table Subtle 2"/>
    <w:basedOn w:val="87"/>
    <w:semiHidden/>
    <w:qFormat/>
    <w:uiPriority w:val="0"/>
    <w:pPr>
      <w:widowControl w:val="0"/>
      <w:tabs>
        <w:tab w:val="left" w:pos="480"/>
      </w:tabs>
      <w:spacing w:line="360" w:lineRule="auto"/>
      <w:jc w:val="both"/>
    </w:pPr>
    <w:tblPr>
      <w:tblBorders>
        <w:left w:val="single" w:color="000000" w:sz="6" w:space="0"/>
        <w:right w:val="single" w:color="000000" w:sz="6" w:space="0"/>
      </w:tblBorders>
    </w:tblPr>
    <w:tblStylePr w:type="firstRow">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firstCol">
      <w:tblPr/>
      <w:tcPr>
        <w:tcBorders>
          <w:right w:val="single" w:color="000000" w:sz="12" w:space="0"/>
          <w:tl2br w:val="nil"/>
          <w:tr2bl w:val="nil"/>
        </w:tcBorders>
        <w:shd w:val="pct25" w:color="008000" w:fill="FFFFFF"/>
      </w:tcPr>
    </w:tblStylePr>
    <w:tblStylePr w:type="lastCol">
      <w:tblPr/>
      <w:tcPr>
        <w:tcBorders>
          <w:left w:val="single" w:color="000000" w:sz="12"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3">
    <w:name w:val="Table 3D effects 1"/>
    <w:basedOn w:val="87"/>
    <w:semiHidden/>
    <w:qFormat/>
    <w:uiPriority w:val="0"/>
    <w:pPr>
      <w:widowControl w:val="0"/>
      <w:tabs>
        <w:tab w:val="left" w:pos="480"/>
      </w:tabs>
      <w:spacing w:line="360" w:lineRule="auto"/>
      <w:jc w:val="both"/>
    </w:pPr>
    <w:tblPr/>
    <w:tcPr>
      <w:shd w:val="solid" w:color="C0C0C0" w:fill="FFFFFF"/>
    </w:tcPr>
    <w:tblStylePr w:type="firstRow">
      <w:rPr>
        <w:b/>
        <w:bCs/>
        <w:color w:val="800080"/>
      </w:rPr>
      <w:tblPr/>
      <w:tcPr>
        <w:tcBorders>
          <w:bottom w:val="single" w:color="808080" w:sz="6" w:space="0"/>
          <w:tl2br w:val="nil"/>
          <w:tr2bl w:val="nil"/>
        </w:tcBorders>
      </w:tcPr>
    </w:tblStylePr>
    <w:tblStylePr w:type="lastRow">
      <w:tblPr/>
      <w:tcPr>
        <w:tcBorders>
          <w:top w:val="single" w:color="FFFFFF" w:sz="6" w:space="0"/>
          <w:tl2br w:val="nil"/>
          <w:tr2bl w:val="nil"/>
        </w:tcBorders>
      </w:tcPr>
    </w:tblStylePr>
    <w:tblStylePr w:type="firstCol">
      <w:rPr>
        <w:b/>
        <w:bCs/>
      </w:rPr>
      <w:tblPr/>
      <w:tcPr>
        <w:tcBorders>
          <w:right w:val="single" w:color="808080" w:sz="6" w:space="0"/>
          <w:tl2br w:val="nil"/>
          <w:tr2bl w:val="nil"/>
        </w:tcBorders>
      </w:tcPr>
    </w:tblStylePr>
    <w:tblStylePr w:type="lastCol">
      <w:tblPr/>
      <w:tcPr>
        <w:tcBorders>
          <w:left w:val="single" w:color="FFFFFF" w:sz="6" w:space="0"/>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104">
    <w:name w:val="Table 3D effects 2"/>
    <w:basedOn w:val="87"/>
    <w:semiHidden/>
    <w:qFormat/>
    <w:uiPriority w:val="0"/>
    <w:pPr>
      <w:widowControl w:val="0"/>
      <w:tabs>
        <w:tab w:val="left" w:pos="480"/>
      </w:tabs>
      <w:spacing w:line="360" w:lineRule="auto"/>
      <w:jc w:val="both"/>
    </w:p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105">
    <w:name w:val="Table 3D effects 3"/>
    <w:basedOn w:val="87"/>
    <w:semiHidden/>
    <w:qFormat/>
    <w:uiPriority w:val="0"/>
    <w:pPr>
      <w:widowControl w:val="0"/>
      <w:tabs>
        <w:tab w:val="left" w:pos="480"/>
      </w:tabs>
      <w:spacing w:line="360" w:lineRule="auto"/>
      <w:jc w:val="both"/>
    </w:pPr>
    <w:tblPr>
      <w:tblStyleRowBandSize w:val="1"/>
      <w:tblStyleColBandSize w:val="1"/>
    </w:tbl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106">
    <w:name w:val="Table List 1"/>
    <w:basedOn w:val="87"/>
    <w:semiHidden/>
    <w:qFormat/>
    <w:uiPriority w:val="0"/>
    <w:pPr>
      <w:widowControl w:val="0"/>
      <w:tabs>
        <w:tab w:val="left" w:pos="480"/>
      </w:tabs>
      <w:spacing w:line="360" w:lineRule="auto"/>
      <w:jc w:val="both"/>
    </w:p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bottom w:val="single" w:color="000000" w:sz="6" w:space="0"/>
          <w:tl2br w:val="nil"/>
          <w:tr2bl w:val="nil"/>
        </w:tcBorders>
        <w:shd w:val="solid" w:color="C0C0C0" w:fill="FFFFFF"/>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07">
    <w:name w:val="Table List 2"/>
    <w:basedOn w:val="87"/>
    <w:semiHidden/>
    <w:qFormat/>
    <w:uiPriority w:val="0"/>
    <w:pPr>
      <w:widowControl w:val="0"/>
      <w:tabs>
        <w:tab w:val="left" w:pos="480"/>
      </w:tabs>
      <w:spacing w:line="360" w:lineRule="auto"/>
      <w:jc w:val="both"/>
    </w:pPr>
    <w:tblPr>
      <w:tblBorders>
        <w:bottom w:val="single" w:color="808080" w:sz="12" w:space="0"/>
      </w:tblBorders>
    </w:tblPr>
    <w:tblStylePr w:type="firstRow">
      <w:rPr>
        <w:b/>
        <w:bCs/>
        <w:color w:val="FFFFFF"/>
      </w:rPr>
      <w:tblPr/>
      <w:tcPr>
        <w:tcBorders>
          <w:bottom w:val="single" w:color="000000" w:sz="6" w:space="0"/>
          <w:tl2br w:val="nil"/>
          <w:tr2bl w:val="nil"/>
        </w:tcBorders>
        <w:shd w:val="pct75" w:color="008080" w:fill="008000"/>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08">
    <w:name w:val="Table List 3"/>
    <w:basedOn w:val="87"/>
    <w:semiHidden/>
    <w:qFormat/>
    <w:uiPriority w:val="0"/>
    <w:pPr>
      <w:widowControl w:val="0"/>
      <w:tabs>
        <w:tab w:val="left" w:pos="480"/>
      </w:tabs>
      <w:spacing w:line="360" w:lineRule="auto"/>
      <w:jc w:val="both"/>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swCell">
      <w:rPr>
        <w:i/>
        <w:iCs/>
        <w:color w:val="000080"/>
      </w:rPr>
      <w:tblPr/>
      <w:tcPr>
        <w:tcBorders>
          <w:tl2br w:val="nil"/>
          <w:tr2bl w:val="nil"/>
        </w:tcBorders>
      </w:tcPr>
    </w:tblStylePr>
  </w:style>
  <w:style w:type="table" w:styleId="109">
    <w:name w:val="Table List 4"/>
    <w:basedOn w:val="87"/>
    <w:semiHidden/>
    <w:qFormat/>
    <w:uiPriority w:val="0"/>
    <w:pPr>
      <w:widowControl w:val="0"/>
      <w:tabs>
        <w:tab w:val="left" w:pos="480"/>
      </w:tabs>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bottom w:val="single" w:color="000000" w:sz="12" w:space="0"/>
          <w:tl2br w:val="nil"/>
          <w:tr2bl w:val="nil"/>
        </w:tcBorders>
        <w:shd w:val="solid" w:color="808080" w:fill="FFFFFF"/>
      </w:tcPr>
    </w:tblStylePr>
  </w:style>
  <w:style w:type="table" w:styleId="110">
    <w:name w:val="Table List 5"/>
    <w:basedOn w:val="87"/>
    <w:semiHidden/>
    <w:qFormat/>
    <w:uiPriority w:val="0"/>
    <w:pPr>
      <w:widowControl w:val="0"/>
      <w:tabs>
        <w:tab w:val="left" w:pos="480"/>
      </w:tabs>
      <w:spacing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bottom w:val="single" w:color="000000" w:sz="12" w:space="0"/>
          <w:tl2br w:val="nil"/>
          <w:tr2bl w:val="nil"/>
        </w:tcBorders>
      </w:tcPr>
    </w:tblStylePr>
    <w:tblStylePr w:type="firstCol">
      <w:rPr>
        <w:b/>
        <w:bCs/>
      </w:rPr>
      <w:tblPr/>
      <w:tcPr>
        <w:tcBorders>
          <w:tl2br w:val="nil"/>
          <w:tr2bl w:val="nil"/>
        </w:tcBorders>
      </w:tcPr>
    </w:tblStylePr>
  </w:style>
  <w:style w:type="table" w:styleId="111">
    <w:name w:val="Table List 6"/>
    <w:basedOn w:val="87"/>
    <w:semiHidden/>
    <w:qFormat/>
    <w:uiPriority w:val="0"/>
    <w:pPr>
      <w:widowControl w:val="0"/>
      <w:tabs>
        <w:tab w:val="left" w:pos="480"/>
      </w:tabs>
      <w:spacing w:line="360" w:lineRule="auto"/>
      <w:jc w:val="both"/>
    </w:p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bottom w:val="single" w:color="000000" w:sz="12" w:space="0"/>
          <w:tl2br w:val="nil"/>
          <w:tr2bl w:val="nil"/>
        </w:tcBorders>
      </w:tcPr>
    </w:tblStylePr>
    <w:tblStylePr w:type="firstCol">
      <w:rPr>
        <w:b/>
        <w:bCs/>
      </w:rPr>
      <w:tblPr/>
      <w:tcPr>
        <w:tcBorders>
          <w:right w:val="single" w:color="000000" w:sz="12" w:space="0"/>
          <w:tl2br w:val="nil"/>
          <w:tr2bl w:val="nil"/>
        </w:tcBorders>
      </w:tcPr>
    </w:tblStylePr>
    <w:tblStylePr w:type="band1Horz">
      <w:tblPr/>
      <w:tcPr>
        <w:tcBorders>
          <w:tl2br w:val="nil"/>
          <w:tr2bl w:val="nil"/>
        </w:tcBorders>
        <w:shd w:val="pct25" w:color="000000" w:fill="FFFFFF"/>
      </w:tcPr>
    </w:tblStylePr>
    <w:tblStylePr w:type="nwCell">
      <w:tblPr/>
      <w:tcPr>
        <w:tcBorders>
          <w:tl2br w:val="single" w:color="000000" w:sz="6" w:space="0"/>
          <w:tr2bl w:val="nil"/>
        </w:tcBorders>
      </w:tcPr>
    </w:tblStylePr>
  </w:style>
  <w:style w:type="table" w:styleId="112">
    <w:name w:val="Table List 7"/>
    <w:basedOn w:val="87"/>
    <w:semiHidden/>
    <w:qFormat/>
    <w:uiPriority w:val="0"/>
    <w:pPr>
      <w:widowControl w:val="0"/>
      <w:tabs>
        <w:tab w:val="left" w:pos="480"/>
      </w:tabs>
      <w:spacing w:line="360" w:lineRule="auto"/>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bottom w:val="single" w:color="008000" w:sz="12" w:space="0"/>
          <w:tl2br w:val="nil"/>
          <w:tr2bl w:val="nil"/>
        </w:tcBorders>
        <w:shd w:val="solid" w:color="C0C0C0" w:fill="FFFFFF"/>
      </w:tcPr>
    </w:tblStylePr>
    <w:tblStylePr w:type="lastRow">
      <w:rPr>
        <w:b/>
        <w:bCs/>
      </w:rPr>
      <w:tblPr/>
      <w:tcPr>
        <w:tcBorders>
          <w:top w:val="single" w:color="008000" w:sz="12"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113">
    <w:name w:val="Table List 8"/>
    <w:basedOn w:val="87"/>
    <w:semiHidden/>
    <w:qFormat/>
    <w:uiPriority w:val="0"/>
    <w:pPr>
      <w:widowControl w:val="0"/>
      <w:tabs>
        <w:tab w:val="left" w:pos="480"/>
      </w:tabs>
      <w:spacing w:line="360" w:lineRule="auto"/>
      <w:jc w:val="both"/>
    </w:p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bottom w:val="single" w:color="000000" w:sz="6" w:space="0"/>
          <w:tl2br w:val="nil"/>
          <w:tr2bl w:val="nil"/>
        </w:tcBorders>
        <w:shd w:val="solid" w:color="FFFF00" w:fill="FFFFFF"/>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color="auto" w:sz="6" w:space="0"/>
          <w:tr2bl w:val="nil"/>
        </w:tcBorders>
      </w:tcPr>
    </w:tblStylePr>
  </w:style>
  <w:style w:type="table" w:styleId="114">
    <w:name w:val="Table Contemporary"/>
    <w:basedOn w:val="87"/>
    <w:semiHidden/>
    <w:qFormat/>
    <w:uiPriority w:val="0"/>
    <w:pPr>
      <w:widowControl w:val="0"/>
      <w:tabs>
        <w:tab w:val="left" w:pos="480"/>
      </w:tabs>
      <w:spacing w:line="360" w:lineRule="auto"/>
      <w:jc w:val="both"/>
    </w:pPr>
    <w:tblPr>
      <w:tblBorders>
        <w:insideH w:val="single" w:color="FFFFFF" w:sz="18" w:space="0"/>
        <w:insideV w:val="single" w:color="FFFFFF" w:sz="18" w:space="0"/>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15">
    <w:name w:val="Table Columns 1"/>
    <w:basedOn w:val="87"/>
    <w:semiHidden/>
    <w:qFormat/>
    <w:uiPriority w:val="0"/>
    <w:pPr>
      <w:widowControl w:val="0"/>
      <w:tabs>
        <w:tab w:val="left" w:pos="480"/>
      </w:tabs>
      <w:spacing w:line="360" w:lineRule="auto"/>
      <w:jc w:val="both"/>
    </w:pPr>
    <w:rPr>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bottom w:val="double" w:color="000000" w:sz="6" w:space="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16">
    <w:name w:val="Table Columns 2"/>
    <w:basedOn w:val="87"/>
    <w:semiHidden/>
    <w:qFormat/>
    <w:uiPriority w:val="0"/>
    <w:pPr>
      <w:widowControl w:val="0"/>
      <w:tabs>
        <w:tab w:val="left" w:pos="480"/>
      </w:tabs>
      <w:spacing w:line="360" w:lineRule="auto"/>
      <w:jc w:val="both"/>
    </w:pPr>
    <w:rPr>
      <w:b/>
      <w:bCs/>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17">
    <w:name w:val="Table Columns 3"/>
    <w:basedOn w:val="87"/>
    <w:semiHidden/>
    <w:qFormat/>
    <w:uiPriority w:val="0"/>
    <w:pPr>
      <w:widowControl w:val="0"/>
      <w:tabs>
        <w:tab w:val="left" w:pos="480"/>
      </w:tabs>
      <w:spacing w:line="360" w:lineRule="auto"/>
      <w:jc w:val="both"/>
    </w:pPr>
    <w:rPr>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color="00008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118">
    <w:name w:val="Table Columns 4"/>
    <w:basedOn w:val="87"/>
    <w:semiHidden/>
    <w:qFormat/>
    <w:uiPriority w:val="0"/>
    <w:pPr>
      <w:widowControl w:val="0"/>
      <w:tabs>
        <w:tab w:val="left" w:pos="480"/>
      </w:tabs>
      <w:spacing w:line="360" w:lineRule="auto"/>
      <w:jc w:val="both"/>
    </w:p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19">
    <w:name w:val="Table Columns 5"/>
    <w:basedOn w:val="87"/>
    <w:semiHidden/>
    <w:qFormat/>
    <w:uiPriority w:val="0"/>
    <w:pPr>
      <w:widowControl w:val="0"/>
      <w:tabs>
        <w:tab w:val="left" w:pos="480"/>
      </w:tabs>
      <w:spacing w:line="360" w:lineRule="auto"/>
      <w:jc w:val="both"/>
    </w:p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bottom w:val="single" w:color="808080" w:sz="6" w:space="0"/>
          <w:tl2br w:val="nil"/>
          <w:tr2bl w:val="nil"/>
        </w:tcBorders>
      </w:tcPr>
    </w:tblStylePr>
    <w:tblStylePr w:type="lastRow">
      <w:rPr>
        <w:b/>
        <w:bCs/>
      </w:rPr>
      <w:tblPr/>
      <w:tcPr>
        <w:tcBorders>
          <w:top w:val="single" w:color="80808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20">
    <w:name w:val="Table Grid 1"/>
    <w:basedOn w:val="87"/>
    <w:semiHidden/>
    <w:qFormat/>
    <w:uiPriority w:val="0"/>
    <w:pPr>
      <w:widowControl w:val="0"/>
      <w:tabs>
        <w:tab w:val="left" w:pos="480"/>
      </w:tabs>
      <w:spacing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table" w:styleId="121">
    <w:name w:val="Table Grid 2"/>
    <w:basedOn w:val="87"/>
    <w:semiHidden/>
    <w:qFormat/>
    <w:uiPriority w:val="0"/>
    <w:pPr>
      <w:widowControl w:val="0"/>
      <w:tabs>
        <w:tab w:val="left" w:pos="480"/>
      </w:tabs>
      <w:spacing w:line="360" w:lineRule="auto"/>
      <w:jc w:val="both"/>
    </w:pPr>
    <w:tblPr>
      <w:tblBorders>
        <w:insideH w:val="single" w:color="000000" w:sz="6" w:space="0"/>
        <w:insideV w:val="single" w:color="000000" w:sz="6" w:space="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122">
    <w:name w:val="Table Grid 3"/>
    <w:basedOn w:val="87"/>
    <w:semiHidden/>
    <w:qFormat/>
    <w:uiPriority w:val="0"/>
    <w:pPr>
      <w:widowControl w:val="0"/>
      <w:tabs>
        <w:tab w:val="left" w:pos="480"/>
      </w:tabs>
      <w:spacing w:line="360" w:lineRule="auto"/>
      <w:jc w:val="both"/>
    </w:p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bottom w:val="single" w:color="000000" w:sz="6" w:space="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23">
    <w:name w:val="Table Grid 4"/>
    <w:basedOn w:val="87"/>
    <w:semiHidden/>
    <w:qFormat/>
    <w:uiPriority w:val="0"/>
    <w:pPr>
      <w:widowControl w:val="0"/>
      <w:tabs>
        <w:tab w:val="left" w:pos="480"/>
      </w:tabs>
      <w:spacing w:line="360" w:lineRule="auto"/>
      <w:jc w:val="both"/>
    </w:p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bottom w:val="single" w:color="000000" w:sz="6" w:space="0"/>
          <w:tl2br w:val="nil"/>
          <w:tr2bl w:val="nil"/>
        </w:tcBorders>
        <w:shd w:val="pct30" w:color="FFFF00" w:fill="FFFFFF"/>
      </w:tcPr>
    </w:tblStylePr>
    <w:tblStylePr w:type="lastRow">
      <w:rPr>
        <w:b/>
        <w:bCs/>
        <w:color w:val="auto"/>
      </w:rPr>
      <w:tblPr/>
      <w:tcPr>
        <w:tcBorders>
          <w:top w:val="single" w:color="000000" w:sz="6" w:space="0"/>
          <w:tl2br w:val="nil"/>
          <w:tr2bl w:val="nil"/>
        </w:tcBorders>
        <w:shd w:val="pct30" w:color="FFFF00" w:fill="FFFFFF"/>
      </w:tcPr>
    </w:tblStylePr>
    <w:tblStylePr w:type="lastCol">
      <w:rPr>
        <w:b/>
        <w:bCs/>
        <w:color w:val="auto"/>
      </w:rPr>
      <w:tblPr/>
      <w:tcPr>
        <w:tcBorders>
          <w:tl2br w:val="nil"/>
          <w:tr2bl w:val="nil"/>
        </w:tcBorders>
      </w:tcPr>
    </w:tblStylePr>
  </w:style>
  <w:style w:type="table" w:styleId="124">
    <w:name w:val="Table Grid 5"/>
    <w:basedOn w:val="87"/>
    <w:semiHidden/>
    <w:qFormat/>
    <w:uiPriority w:val="0"/>
    <w:pPr>
      <w:widowControl w:val="0"/>
      <w:tabs>
        <w:tab w:val="left" w:pos="480"/>
      </w:tabs>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25">
    <w:name w:val="Table Grid 6"/>
    <w:basedOn w:val="87"/>
    <w:semiHidden/>
    <w:qFormat/>
    <w:uiPriority w:val="0"/>
    <w:pPr>
      <w:widowControl w:val="0"/>
      <w:tabs>
        <w:tab w:val="left" w:pos="480"/>
      </w:tabs>
      <w:spacing w:line="360" w:lineRule="auto"/>
      <w:jc w:val="both"/>
    </w:p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rPr>
        <w:b/>
        <w:bCs/>
      </w:rPr>
      <w:tblPr/>
      <w:tcPr>
        <w:tcBorders>
          <w:tl2br w:val="nil"/>
          <w:tr2bl w:val="nil"/>
        </w:tcBorders>
      </w:tcPr>
    </w:tblStylePr>
    <w:tblStylePr w:type="nwCell">
      <w:tblPr/>
      <w:tcPr>
        <w:tcBorders>
          <w:tl2br w:val="single" w:color="000000" w:sz="6" w:space="0"/>
          <w:tr2bl w:val="nil"/>
        </w:tcBorders>
      </w:tcPr>
    </w:tblStylePr>
  </w:style>
  <w:style w:type="table" w:styleId="126">
    <w:name w:val="Table Grid 7"/>
    <w:basedOn w:val="87"/>
    <w:semiHidden/>
    <w:qFormat/>
    <w:uiPriority w:val="0"/>
    <w:pPr>
      <w:widowControl w:val="0"/>
      <w:tabs>
        <w:tab w:val="left" w:pos="480"/>
      </w:tabs>
      <w:spacing w:line="360" w:lineRule="auto"/>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bottom w:val="single" w:color="000000" w:sz="12" w:space="0"/>
          <w:tl2br w:val="nil"/>
          <w:tr2bl w:val="nil"/>
        </w:tcBorders>
      </w:tcPr>
    </w:tblStylePr>
    <w:tblStylePr w:type="lastRow">
      <w:rPr>
        <w:b w:val="0"/>
        <w:bCs w:val="0"/>
      </w:rPr>
      <w:tblPr/>
      <w:tcPr>
        <w:tcBorders>
          <w:top w:val="single" w:color="00000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color="000000" w:sz="6" w:space="0"/>
          <w:tr2bl w:val="nil"/>
        </w:tcBorders>
      </w:tcPr>
    </w:tblStylePr>
  </w:style>
  <w:style w:type="table" w:styleId="127">
    <w:name w:val="Table Grid 8"/>
    <w:basedOn w:val="87"/>
    <w:semiHidden/>
    <w:qFormat/>
    <w:uiPriority w:val="0"/>
    <w:pPr>
      <w:widowControl w:val="0"/>
      <w:tabs>
        <w:tab w:val="left" w:pos="480"/>
      </w:tabs>
      <w:spacing w:line="360" w:lineRule="auto"/>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28">
    <w:name w:val="Table Web 1"/>
    <w:basedOn w:val="87"/>
    <w:semiHidden/>
    <w:qFormat/>
    <w:uiPriority w:val="0"/>
    <w:pPr>
      <w:widowControl w:val="0"/>
      <w:tabs>
        <w:tab w:val="left" w:pos="480"/>
      </w:tabs>
      <w:spacing w:line="360" w:lineRule="auto"/>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29">
    <w:name w:val="Table Web 2"/>
    <w:basedOn w:val="87"/>
    <w:semiHidden/>
    <w:qFormat/>
    <w:uiPriority w:val="0"/>
    <w:pPr>
      <w:widowControl w:val="0"/>
      <w:tabs>
        <w:tab w:val="left" w:pos="480"/>
      </w:tabs>
      <w:spacing w:line="360" w:lineRule="auto"/>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0">
    <w:name w:val="Table Web 3"/>
    <w:basedOn w:val="87"/>
    <w:semiHidden/>
    <w:qFormat/>
    <w:uiPriority w:val="0"/>
    <w:pPr>
      <w:widowControl w:val="0"/>
      <w:tabs>
        <w:tab w:val="left" w:pos="480"/>
      </w:tabs>
      <w:spacing w:line="360" w:lineRule="auto"/>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1">
    <w:name w:val="Table Professional"/>
    <w:basedOn w:val="87"/>
    <w:semiHidden/>
    <w:qFormat/>
    <w:uiPriority w:val="0"/>
    <w:pPr>
      <w:widowControl w:val="0"/>
      <w:tabs>
        <w:tab w:val="left" w:pos="480"/>
      </w:tabs>
      <w:spacing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il"/>
          <w:tr2bl w:val="nil"/>
        </w:tcBorders>
        <w:shd w:val="solid" w:color="000000" w:fill="FFFFFF"/>
      </w:tcPr>
    </w:tblStylePr>
  </w:style>
  <w:style w:type="character" w:styleId="133">
    <w:name w:val="Strong"/>
    <w:qFormat/>
    <w:uiPriority w:val="22"/>
    <w:rPr>
      <w:b/>
      <w:bCs/>
    </w:rPr>
  </w:style>
  <w:style w:type="character" w:styleId="134">
    <w:name w:val="endnote reference"/>
    <w:semiHidden/>
    <w:qFormat/>
    <w:uiPriority w:val="0"/>
    <w:rPr>
      <w:vertAlign w:val="superscript"/>
    </w:rPr>
  </w:style>
  <w:style w:type="character" w:styleId="135">
    <w:name w:val="page number"/>
    <w:basedOn w:val="132"/>
    <w:qFormat/>
    <w:uiPriority w:val="0"/>
  </w:style>
  <w:style w:type="character" w:styleId="136">
    <w:name w:val="FollowedHyperlink"/>
    <w:unhideWhenUsed/>
    <w:qFormat/>
    <w:uiPriority w:val="99"/>
    <w:rPr>
      <w:color w:val="800080"/>
      <w:u w:val="single"/>
    </w:rPr>
  </w:style>
  <w:style w:type="character" w:styleId="137">
    <w:name w:val="Emphasis"/>
    <w:qFormat/>
    <w:uiPriority w:val="0"/>
    <w:rPr>
      <w:i/>
      <w:iCs/>
    </w:rPr>
  </w:style>
  <w:style w:type="character" w:styleId="138">
    <w:name w:val="line number"/>
    <w:basedOn w:val="132"/>
    <w:semiHidden/>
    <w:qFormat/>
    <w:uiPriority w:val="0"/>
  </w:style>
  <w:style w:type="character" w:styleId="139">
    <w:name w:val="HTML Definition"/>
    <w:semiHidden/>
    <w:qFormat/>
    <w:uiPriority w:val="0"/>
    <w:rPr>
      <w:i/>
      <w:iCs/>
    </w:rPr>
  </w:style>
  <w:style w:type="character" w:styleId="140">
    <w:name w:val="HTML Typewriter"/>
    <w:qFormat/>
    <w:uiPriority w:val="0"/>
    <w:rPr>
      <w:rFonts w:ascii="Courier New" w:hAnsi="Courier New" w:cs="Courier New"/>
      <w:sz w:val="20"/>
      <w:szCs w:val="20"/>
    </w:rPr>
  </w:style>
  <w:style w:type="character" w:styleId="141">
    <w:name w:val="HTML Acronym"/>
    <w:basedOn w:val="132"/>
    <w:semiHidden/>
    <w:qFormat/>
    <w:uiPriority w:val="0"/>
  </w:style>
  <w:style w:type="character" w:styleId="142">
    <w:name w:val="HTML Variable"/>
    <w:semiHidden/>
    <w:qFormat/>
    <w:uiPriority w:val="0"/>
    <w:rPr>
      <w:i/>
      <w:iCs/>
    </w:rPr>
  </w:style>
  <w:style w:type="character" w:styleId="143">
    <w:name w:val="Hyperlink"/>
    <w:qFormat/>
    <w:uiPriority w:val="99"/>
    <w:rPr>
      <w:color w:val="0000FF"/>
      <w:u w:val="single"/>
    </w:rPr>
  </w:style>
  <w:style w:type="character" w:styleId="144">
    <w:name w:val="HTML Code"/>
    <w:semiHidden/>
    <w:qFormat/>
    <w:uiPriority w:val="0"/>
    <w:rPr>
      <w:rFonts w:ascii="黑体" w:hAnsi="Courier New" w:eastAsia="黑体" w:cs="Courier New"/>
      <w:sz w:val="24"/>
      <w:szCs w:val="24"/>
    </w:rPr>
  </w:style>
  <w:style w:type="character" w:styleId="145">
    <w:name w:val="annotation reference"/>
    <w:qFormat/>
    <w:uiPriority w:val="99"/>
    <w:rPr>
      <w:sz w:val="21"/>
      <w:szCs w:val="21"/>
    </w:rPr>
  </w:style>
  <w:style w:type="character" w:styleId="146">
    <w:name w:val="HTML Cite"/>
    <w:semiHidden/>
    <w:qFormat/>
    <w:uiPriority w:val="0"/>
    <w:rPr>
      <w:i/>
      <w:iCs/>
    </w:rPr>
  </w:style>
  <w:style w:type="character" w:styleId="147">
    <w:name w:val="footnote reference"/>
    <w:qFormat/>
    <w:uiPriority w:val="0"/>
    <w:rPr>
      <w:vertAlign w:val="superscript"/>
    </w:rPr>
  </w:style>
  <w:style w:type="character" w:styleId="148">
    <w:name w:val="HTML Keyboard"/>
    <w:semiHidden/>
    <w:qFormat/>
    <w:uiPriority w:val="0"/>
    <w:rPr>
      <w:rFonts w:ascii="Courier New" w:hAnsi="Courier New" w:cs="Courier New"/>
      <w:sz w:val="20"/>
      <w:szCs w:val="20"/>
    </w:rPr>
  </w:style>
  <w:style w:type="character" w:styleId="149">
    <w:name w:val="HTML Sample"/>
    <w:semiHidden/>
    <w:qFormat/>
    <w:uiPriority w:val="0"/>
    <w:rPr>
      <w:rFonts w:ascii="Courier New" w:hAnsi="Courier New" w:cs="Courier New"/>
    </w:rPr>
  </w:style>
  <w:style w:type="paragraph" w:customStyle="1" w:styleId="150">
    <w:name w:val="Default"/>
    <w:basedOn w:val="151"/>
    <w:qFormat/>
    <w:uiPriority w:val="0"/>
    <w:pPr>
      <w:widowControl w:val="0"/>
      <w:tabs>
        <w:tab w:val="left" w:pos="480"/>
      </w:tabs>
      <w:autoSpaceDE w:val="0"/>
      <w:autoSpaceDN w:val="0"/>
      <w:adjustRightInd w:val="0"/>
      <w:jc w:val="center"/>
    </w:pPr>
    <w:rPr>
      <w:rFonts w:ascii="Sim Sun+ 2" w:hAnsi="Times New Roman" w:eastAsia="Sim Sun+ 2" w:cs="Sim Sun+ 2"/>
      <w:color w:val="000000"/>
      <w:kern w:val="2"/>
      <w:sz w:val="24"/>
      <w:szCs w:val="24"/>
      <w:lang w:val="en-US" w:eastAsia="zh-CN" w:bidi="ar-SA"/>
    </w:rPr>
  </w:style>
  <w:style w:type="paragraph" w:customStyle="1" w:styleId="151">
    <w:name w:val="！正文 Alt+0"/>
    <w:basedOn w:val="1"/>
    <w:qFormat/>
    <w:uiPriority w:val="0"/>
    <w:pPr>
      <w:spacing w:line="360" w:lineRule="auto"/>
      <w:ind w:firstLine="200" w:firstLineChars="200"/>
    </w:pPr>
    <w:rPr>
      <w:rFonts w:ascii="Times New Roman" w:hAnsi="Times New Roman"/>
      <w:sz w:val="28"/>
      <w:szCs w:val="28"/>
    </w:rPr>
  </w:style>
  <w:style w:type="paragraph" w:customStyle="1" w:styleId="152">
    <w:name w:val="样式34"/>
    <w:basedOn w:val="153"/>
    <w:qFormat/>
    <w:uiPriority w:val="0"/>
    <w:pPr>
      <w:keepNext/>
      <w:keepLines/>
      <w:tabs>
        <w:tab w:val="left" w:pos="360"/>
        <w:tab w:val="left" w:pos="540"/>
        <w:tab w:val="left" w:pos="1560"/>
      </w:tabs>
      <w:adjustRightInd/>
      <w:snapToGrid/>
      <w:spacing w:beforeLines="50" w:afterLines="50"/>
      <w:ind w:left="1560" w:hanging="720"/>
      <w:jc w:val="both"/>
      <w:outlineLvl w:val="2"/>
    </w:pPr>
    <w:rPr>
      <w:rFonts w:eastAsia="黑体"/>
      <w:bCs w:val="0"/>
      <w:snapToGrid/>
      <w:color w:val="auto"/>
      <w:kern w:val="0"/>
      <w:szCs w:val="32"/>
    </w:rPr>
  </w:style>
  <w:style w:type="paragraph" w:customStyle="1" w:styleId="153">
    <w:name w:val="样式4"/>
    <w:basedOn w:val="1"/>
    <w:link w:val="1039"/>
    <w:qFormat/>
    <w:uiPriority w:val="0"/>
    <w:pPr>
      <w:tabs>
        <w:tab w:val="clear" w:pos="480"/>
      </w:tabs>
      <w:adjustRightInd w:val="0"/>
      <w:snapToGrid w:val="0"/>
      <w:jc w:val="left"/>
    </w:pPr>
    <w:rPr>
      <w:bCs/>
      <w:snapToGrid w:val="0"/>
      <w:color w:val="000000"/>
    </w:rPr>
  </w:style>
  <w:style w:type="character" w:customStyle="1" w:styleId="154">
    <w:name w:val="标题 4 字符"/>
    <w:link w:val="6"/>
    <w:qFormat/>
    <w:uiPriority w:val="9"/>
    <w:rPr>
      <w:rFonts w:ascii="仿宋_GB2312" w:hAnsi="宋体" w:eastAsia="仿宋_GB2312"/>
      <w:b/>
      <w:bCs/>
      <w:kern w:val="2"/>
      <w:sz w:val="28"/>
      <w:szCs w:val="28"/>
      <w:lang w:val="zh-CN"/>
    </w:rPr>
  </w:style>
  <w:style w:type="character" w:customStyle="1" w:styleId="155">
    <w:name w:val="正文文本缩进 字符"/>
    <w:link w:val="35"/>
    <w:qFormat/>
    <w:uiPriority w:val="0"/>
    <w:rPr>
      <w:rFonts w:eastAsia="宋体"/>
      <w:kern w:val="2"/>
      <w:sz w:val="24"/>
      <w:szCs w:val="24"/>
      <w:lang w:val="en-US" w:eastAsia="zh-CN" w:bidi="ar-SA"/>
    </w:rPr>
  </w:style>
  <w:style w:type="character" w:customStyle="1" w:styleId="156">
    <w:name w:val="访问过的超链接1"/>
    <w:qFormat/>
    <w:uiPriority w:val="99"/>
    <w:rPr>
      <w:color w:val="800080"/>
      <w:u w:val="single"/>
    </w:rPr>
  </w:style>
  <w:style w:type="paragraph" w:customStyle="1" w:styleId="157">
    <w:name w:val="表1表2"/>
    <w:basedOn w:val="1"/>
    <w:semiHidden/>
    <w:qFormat/>
    <w:uiPriority w:val="0"/>
    <w:pPr>
      <w:tabs>
        <w:tab w:val="clear" w:pos="480"/>
      </w:tabs>
      <w:autoSpaceDE w:val="0"/>
      <w:autoSpaceDN w:val="0"/>
      <w:adjustRightInd w:val="0"/>
      <w:jc w:val="center"/>
      <w:textAlignment w:val="center"/>
    </w:pPr>
    <w:rPr>
      <w:rFonts w:eastAsia="仿宋体"/>
      <w:kern w:val="0"/>
      <w:szCs w:val="20"/>
    </w:rPr>
  </w:style>
  <w:style w:type="paragraph" w:customStyle="1" w:styleId="158">
    <w:name w:val="表格"/>
    <w:basedOn w:val="21"/>
    <w:next w:val="1"/>
    <w:link w:val="463"/>
    <w:qFormat/>
    <w:uiPriority w:val="0"/>
    <w:pPr>
      <w:tabs>
        <w:tab w:val="clear" w:pos="480"/>
      </w:tabs>
      <w:adjustRightInd w:val="0"/>
      <w:ind w:firstLine="0" w:firstLineChars="0"/>
      <w:textAlignment w:val="center"/>
    </w:pPr>
    <w:rPr>
      <w:rFonts w:eastAsia="楷体_GB2312"/>
      <w:szCs w:val="20"/>
    </w:rPr>
  </w:style>
  <w:style w:type="character" w:customStyle="1" w:styleId="159">
    <w:name w:val="正文缩进 字符"/>
    <w:link w:val="21"/>
    <w:qFormat/>
    <w:uiPriority w:val="0"/>
    <w:rPr>
      <w:rFonts w:eastAsia="宋体"/>
      <w:kern w:val="2"/>
      <w:sz w:val="24"/>
      <w:szCs w:val="24"/>
      <w:lang w:val="en-US" w:eastAsia="zh-CN" w:bidi="ar-SA"/>
    </w:rPr>
  </w:style>
  <w:style w:type="paragraph" w:customStyle="1" w:styleId="160">
    <w:name w:val="样式5"/>
    <w:basedOn w:val="66"/>
    <w:link w:val="2437"/>
    <w:qFormat/>
    <w:uiPriority w:val="0"/>
    <w:pPr>
      <w:ind w:left="482" w:firstLine="0" w:firstLineChars="0"/>
    </w:pPr>
  </w:style>
  <w:style w:type="paragraph" w:customStyle="1" w:styleId="161">
    <w:name w:val="表格 32"/>
    <w:basedOn w:val="1"/>
    <w:link w:val="162"/>
    <w:semiHidden/>
    <w:qFormat/>
    <w:uiPriority w:val="0"/>
    <w:pPr>
      <w:tabs>
        <w:tab w:val="clear" w:pos="480"/>
      </w:tabs>
      <w:autoSpaceDE w:val="0"/>
      <w:autoSpaceDN w:val="0"/>
      <w:adjustRightInd w:val="0"/>
      <w:spacing w:line="0" w:lineRule="atLeast"/>
      <w:jc w:val="center"/>
      <w:textAlignment w:val="baseline"/>
    </w:pPr>
    <w:rPr>
      <w:kern w:val="0"/>
      <w:szCs w:val="20"/>
    </w:rPr>
  </w:style>
  <w:style w:type="character" w:customStyle="1" w:styleId="162">
    <w:name w:val="表格 32 Char"/>
    <w:link w:val="161"/>
    <w:qFormat/>
    <w:uiPriority w:val="0"/>
    <w:rPr>
      <w:rFonts w:eastAsia="宋体"/>
      <w:sz w:val="24"/>
      <w:lang w:val="en-US" w:eastAsia="zh-CN" w:bidi="ar-SA"/>
    </w:rPr>
  </w:style>
  <w:style w:type="paragraph" w:customStyle="1" w:styleId="163">
    <w:name w:val="表头"/>
    <w:next w:val="1"/>
    <w:link w:val="1292"/>
    <w:qFormat/>
    <w:uiPriority w:val="0"/>
    <w:pPr>
      <w:jc w:val="center"/>
    </w:pPr>
    <w:rPr>
      <w:rFonts w:ascii="Times New Roman" w:hAnsi="Times New Roman" w:eastAsia="宋体" w:cs="Times New Roman"/>
      <w:bCs/>
      <w:snapToGrid w:val="0"/>
      <w:color w:val="000000"/>
      <w:kern w:val="2"/>
      <w:sz w:val="21"/>
      <w:szCs w:val="21"/>
      <w:lang w:val="en-US" w:eastAsia="zh-CN" w:bidi="ar-SA"/>
    </w:rPr>
  </w:style>
  <w:style w:type="character" w:customStyle="1" w:styleId="164">
    <w:name w:val="正文文本 字符"/>
    <w:link w:val="34"/>
    <w:qFormat/>
    <w:uiPriority w:val="99"/>
    <w:rPr>
      <w:rFonts w:ascii="宋体" w:hAnsi="宋体" w:eastAsia="宋体"/>
      <w:kern w:val="2"/>
      <w:sz w:val="21"/>
      <w:lang w:val="en-US" w:eastAsia="zh-CN" w:bidi="ar-SA"/>
    </w:rPr>
  </w:style>
  <w:style w:type="character" w:customStyle="1" w:styleId="165">
    <w:name w:val="题注 字符"/>
    <w:link w:val="22"/>
    <w:qFormat/>
    <w:uiPriority w:val="99"/>
    <w:rPr>
      <w:rFonts w:ascii="Arial" w:hAnsi="Arial" w:eastAsia="宋体" w:cs="Arial"/>
      <w:color w:val="000000"/>
      <w:kern w:val="2"/>
      <w:sz w:val="24"/>
      <w:lang w:val="en-US" w:eastAsia="zh-CN" w:bidi="ar-SA"/>
    </w:rPr>
  </w:style>
  <w:style w:type="paragraph" w:customStyle="1" w:styleId="166">
    <w:name w:val="小点"/>
    <w:semiHidden/>
    <w:qFormat/>
    <w:uiPriority w:val="0"/>
    <w:pPr>
      <w:tabs>
        <w:tab w:val="left" w:pos="1080"/>
        <w:tab w:val="left" w:pos="1140"/>
      </w:tabs>
      <w:adjustRightInd w:val="0"/>
      <w:snapToGrid w:val="0"/>
      <w:spacing w:line="360" w:lineRule="auto"/>
      <w:ind w:left="480" w:leftChars="200" w:firstLine="240" w:firstLineChars="100"/>
      <w:jc w:val="center"/>
    </w:pPr>
    <w:rPr>
      <w:rFonts w:ascii="宋体" w:hAnsi="宋体" w:eastAsia="宋体" w:cs="Arial"/>
      <w:bCs/>
      <w:kern w:val="2"/>
      <w:sz w:val="24"/>
      <w:szCs w:val="32"/>
      <w:lang w:val="en-US" w:eastAsia="zh-CN" w:bidi="ar-SA"/>
    </w:rPr>
  </w:style>
  <w:style w:type="paragraph" w:customStyle="1" w:styleId="167">
    <w:name w:val="表格标题"/>
    <w:qFormat/>
    <w:uiPriority w:val="0"/>
    <w:pPr>
      <w:adjustRightInd w:val="0"/>
      <w:jc w:val="center"/>
    </w:pPr>
    <w:rPr>
      <w:rFonts w:ascii="仿宋_GB2312" w:hAnsi="宋体" w:eastAsia="仿宋_GB2312" w:cs="Times New Roman"/>
      <w:b/>
      <w:color w:val="000000"/>
      <w:kern w:val="2"/>
      <w:sz w:val="24"/>
      <w:szCs w:val="24"/>
      <w:lang w:val="zh-CN" w:eastAsia="zh-CN" w:bidi="ar-SA"/>
    </w:rPr>
  </w:style>
  <w:style w:type="paragraph" w:customStyle="1" w:styleId="168">
    <w:name w:val="表格内容"/>
    <w:qFormat/>
    <w:uiPriority w:val="0"/>
    <w:pPr>
      <w:snapToGrid w:val="0"/>
      <w:ind w:firstLine="482"/>
      <w:jc w:val="center"/>
    </w:pPr>
    <w:rPr>
      <w:rFonts w:ascii="Times New Roman" w:hAnsi="Times New Roman" w:eastAsia="宋体" w:cs="Times New Roman"/>
      <w:b/>
      <w:bCs/>
      <w:kern w:val="2"/>
      <w:sz w:val="24"/>
      <w:szCs w:val="24"/>
      <w:lang w:val="zh-CN" w:eastAsia="zh-CN" w:bidi="ar-SA"/>
    </w:rPr>
  </w:style>
  <w:style w:type="paragraph" w:customStyle="1" w:styleId="169">
    <w:name w:val="大表内容"/>
    <w:semiHidden/>
    <w:qFormat/>
    <w:uiPriority w:val="0"/>
    <w:pPr>
      <w:snapToGrid w:val="0"/>
      <w:jc w:val="center"/>
    </w:pPr>
    <w:rPr>
      <w:rFonts w:ascii="Times New Roman" w:hAnsi="宋体" w:eastAsia="宋体" w:cs="Times New Roman"/>
      <w:b/>
      <w:bCs/>
      <w:kern w:val="2"/>
      <w:sz w:val="24"/>
      <w:szCs w:val="24"/>
      <w:lang w:val="en-US" w:eastAsia="zh-CN" w:bidi="ar-SA"/>
    </w:rPr>
  </w:style>
  <w:style w:type="paragraph" w:customStyle="1" w:styleId="170">
    <w:name w:val="第几节"/>
    <w:basedOn w:val="1"/>
    <w:semiHidden/>
    <w:qFormat/>
    <w:uiPriority w:val="0"/>
    <w:pPr>
      <w:widowControl/>
      <w:tabs>
        <w:tab w:val="clear" w:pos="480"/>
      </w:tabs>
      <w:adjustRightInd w:val="0"/>
      <w:snapToGrid w:val="0"/>
      <w:spacing w:beforeLines="50"/>
      <w:ind w:firstLine="480"/>
      <w:jc w:val="center"/>
    </w:pPr>
    <w:rPr>
      <w:rFonts w:ascii="宋体" w:hAnsi="宋体" w:eastAsia="黑体"/>
      <w:b/>
      <w:color w:val="000000"/>
      <w:sz w:val="30"/>
    </w:rPr>
  </w:style>
  <w:style w:type="paragraph" w:customStyle="1" w:styleId="171">
    <w:name w:val="第几章"/>
    <w:basedOn w:val="170"/>
    <w:semiHidden/>
    <w:qFormat/>
    <w:uiPriority w:val="0"/>
    <w:pPr>
      <w:spacing w:beforeLines="0"/>
    </w:pPr>
    <w:rPr>
      <w:sz w:val="32"/>
    </w:rPr>
  </w:style>
  <w:style w:type="paragraph" w:customStyle="1" w:styleId="172">
    <w:name w:val="小五"/>
    <w:semiHidden/>
    <w:qFormat/>
    <w:uiPriority w:val="0"/>
    <w:pPr>
      <w:snapToGrid w:val="0"/>
      <w:jc w:val="center"/>
    </w:pPr>
    <w:rPr>
      <w:rFonts w:ascii="Times New Roman" w:hAnsi="Times New Roman" w:eastAsia="宋体" w:cs="Times New Roman"/>
      <w:b/>
      <w:kern w:val="2"/>
      <w:sz w:val="18"/>
      <w:szCs w:val="21"/>
      <w:lang w:val="en-US" w:eastAsia="zh-CN" w:bidi="ar-SA"/>
    </w:rPr>
  </w:style>
  <w:style w:type="paragraph" w:customStyle="1" w:styleId="173">
    <w:name w:val="注:"/>
    <w:semiHidden/>
    <w:qFormat/>
    <w:uiPriority w:val="0"/>
    <w:pPr>
      <w:jc w:val="center"/>
    </w:pPr>
    <w:rPr>
      <w:rFonts w:ascii="Times New Roman" w:hAnsi="Times New Roman" w:eastAsia="宋体" w:cs="Times New Roman"/>
      <w:kern w:val="2"/>
      <w:sz w:val="21"/>
      <w:szCs w:val="24"/>
      <w:lang w:val="en-US" w:eastAsia="zh-CN" w:bidi="ar-SA"/>
    </w:rPr>
  </w:style>
  <w:style w:type="paragraph" w:customStyle="1" w:styleId="174">
    <w:name w:val="正文1"/>
    <w:basedOn w:val="1"/>
    <w:link w:val="1325"/>
    <w:qFormat/>
    <w:uiPriority w:val="0"/>
    <w:pPr>
      <w:tabs>
        <w:tab w:val="clear" w:pos="480"/>
      </w:tabs>
      <w:adjustRightInd w:val="0"/>
      <w:spacing w:line="240" w:lineRule="auto"/>
    </w:pPr>
    <w:rPr>
      <w:rFonts w:eastAsia="楷体_GB2312"/>
      <w:szCs w:val="20"/>
    </w:rPr>
  </w:style>
  <w:style w:type="paragraph" w:customStyle="1" w:styleId="175">
    <w:name w:val="表格1"/>
    <w:basedOn w:val="1"/>
    <w:next w:val="1"/>
    <w:link w:val="176"/>
    <w:qFormat/>
    <w:uiPriority w:val="0"/>
    <w:pPr>
      <w:tabs>
        <w:tab w:val="clear" w:pos="480"/>
      </w:tabs>
      <w:topLinePunct/>
      <w:autoSpaceDE w:val="0"/>
      <w:autoSpaceDN w:val="0"/>
      <w:adjustRightInd w:val="0"/>
      <w:spacing w:line="240" w:lineRule="auto"/>
      <w:jc w:val="center"/>
      <w:textAlignment w:val="baseline"/>
    </w:pPr>
    <w:rPr>
      <w:rFonts w:ascii="宋体" w:hAnsi="Impact"/>
      <w:kern w:val="24"/>
      <w:sz w:val="28"/>
      <w:szCs w:val="20"/>
    </w:rPr>
  </w:style>
  <w:style w:type="character" w:customStyle="1" w:styleId="176">
    <w:name w:val="表格1 Char1"/>
    <w:link w:val="175"/>
    <w:qFormat/>
    <w:uiPriority w:val="0"/>
    <w:rPr>
      <w:rFonts w:ascii="宋体" w:hAnsi="Impact" w:eastAsia="宋体"/>
      <w:kern w:val="24"/>
      <w:sz w:val="28"/>
      <w:lang w:val="en-US" w:eastAsia="zh-CN" w:bidi="ar-SA"/>
    </w:rPr>
  </w:style>
  <w:style w:type="paragraph" w:customStyle="1" w:styleId="177">
    <w:name w:val="表格2"/>
    <w:basedOn w:val="1"/>
    <w:next w:val="1"/>
    <w:qFormat/>
    <w:uiPriority w:val="0"/>
    <w:pPr>
      <w:keepNext/>
      <w:tabs>
        <w:tab w:val="clear" w:pos="480"/>
      </w:tabs>
      <w:topLinePunct/>
      <w:autoSpaceDE w:val="0"/>
      <w:autoSpaceDN w:val="0"/>
      <w:adjustRightInd w:val="0"/>
      <w:spacing w:line="240" w:lineRule="auto"/>
      <w:jc w:val="center"/>
      <w:textAlignment w:val="baseline"/>
    </w:pPr>
    <w:rPr>
      <w:rFonts w:ascii="宋体"/>
      <w:kern w:val="0"/>
      <w:position w:val="-28"/>
      <w:sz w:val="21"/>
      <w:szCs w:val="20"/>
    </w:rPr>
  </w:style>
  <w:style w:type="paragraph" w:customStyle="1" w:styleId="178">
    <w:name w:val="标题1"/>
    <w:basedOn w:val="1"/>
    <w:qFormat/>
    <w:uiPriority w:val="0"/>
    <w:pPr>
      <w:tabs>
        <w:tab w:val="clear" w:pos="480"/>
      </w:tabs>
      <w:adjustRightInd w:val="0"/>
      <w:spacing w:line="240" w:lineRule="auto"/>
      <w:ind w:left="210" w:hanging="210"/>
      <w:jc w:val="left"/>
      <w:textAlignment w:val="baseline"/>
    </w:pPr>
    <w:rPr>
      <w:kern w:val="0"/>
      <w:szCs w:val="20"/>
    </w:rPr>
  </w:style>
  <w:style w:type="paragraph" w:customStyle="1" w:styleId="179">
    <w:name w:val="表格正文"/>
    <w:basedOn w:val="1"/>
    <w:qFormat/>
    <w:uiPriority w:val="0"/>
    <w:pPr>
      <w:tabs>
        <w:tab w:val="clear" w:pos="480"/>
      </w:tabs>
      <w:spacing w:line="240" w:lineRule="auto"/>
      <w:jc w:val="center"/>
    </w:pPr>
    <w:rPr>
      <w:rFonts w:ascii="仿宋_GB2312" w:eastAsia="仿宋_GB2312"/>
      <w:sz w:val="21"/>
    </w:rPr>
  </w:style>
  <w:style w:type="paragraph" w:customStyle="1" w:styleId="180">
    <w:name w:val="表格 23"/>
    <w:basedOn w:val="1"/>
    <w:semiHidden/>
    <w:qFormat/>
    <w:uiPriority w:val="0"/>
    <w:pPr>
      <w:tabs>
        <w:tab w:val="clear" w:pos="480"/>
      </w:tabs>
      <w:autoSpaceDE w:val="0"/>
      <w:autoSpaceDN w:val="0"/>
      <w:adjustRightInd w:val="0"/>
      <w:spacing w:line="240" w:lineRule="auto"/>
      <w:jc w:val="center"/>
    </w:pPr>
    <w:rPr>
      <w:rFonts w:eastAsia="仿宋体"/>
      <w:kern w:val="0"/>
      <w:sz w:val="21"/>
      <w:szCs w:val="20"/>
    </w:rPr>
  </w:style>
  <w:style w:type="paragraph" w:customStyle="1" w:styleId="181">
    <w:name w:val="xl24"/>
    <w:basedOn w:val="1"/>
    <w:link w:val="3430"/>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pPr>
    <w:rPr>
      <w:rFonts w:hint="eastAsia" w:ascii="仿宋_GB2312" w:hAnsi="Arial Unicode MS" w:eastAsia="仿宋_GB2312" w:cs="Arial Unicode MS"/>
      <w:kern w:val="0"/>
      <w:sz w:val="21"/>
      <w:szCs w:val="21"/>
    </w:rPr>
  </w:style>
  <w:style w:type="paragraph" w:customStyle="1" w:styleId="182">
    <w:name w:val="封面"/>
    <w:basedOn w:val="1"/>
    <w:qFormat/>
    <w:uiPriority w:val="0"/>
    <w:pPr>
      <w:tabs>
        <w:tab w:val="left" w:pos="1080"/>
        <w:tab w:val="clear" w:pos="480"/>
      </w:tabs>
      <w:jc w:val="left"/>
    </w:pPr>
    <w:rPr>
      <w:rFonts w:ascii="宋体" w:hAnsi="宋体"/>
      <w:bCs/>
    </w:rPr>
  </w:style>
  <w:style w:type="character" w:customStyle="1" w:styleId="183">
    <w:name w:val="标题 3 Char Char"/>
    <w:semiHidden/>
    <w:qFormat/>
    <w:uiPriority w:val="0"/>
    <w:rPr>
      <w:rFonts w:eastAsia="仿宋_GB2312"/>
      <w:b/>
      <w:kern w:val="2"/>
      <w:sz w:val="24"/>
      <w:lang w:val="en-US" w:eastAsia="zh-CN" w:bidi="ar-SA"/>
    </w:rPr>
  </w:style>
  <w:style w:type="paragraph" w:customStyle="1" w:styleId="184">
    <w:name w:val="表文字"/>
    <w:basedOn w:val="1"/>
    <w:link w:val="3607"/>
    <w:qFormat/>
    <w:uiPriority w:val="0"/>
    <w:pPr>
      <w:tabs>
        <w:tab w:val="clear" w:pos="480"/>
      </w:tabs>
      <w:overflowPunct w:val="0"/>
      <w:autoSpaceDE w:val="0"/>
      <w:autoSpaceDN w:val="0"/>
      <w:adjustRightInd w:val="0"/>
      <w:spacing w:line="240" w:lineRule="atLeast"/>
      <w:jc w:val="center"/>
      <w:textAlignment w:val="baseline"/>
    </w:pPr>
    <w:rPr>
      <w:kern w:val="0"/>
      <w:szCs w:val="20"/>
    </w:rPr>
  </w:style>
  <w:style w:type="paragraph" w:customStyle="1" w:styleId="185">
    <w:name w:val="纯文本1"/>
    <w:basedOn w:val="1"/>
    <w:qFormat/>
    <w:uiPriority w:val="0"/>
    <w:pPr>
      <w:tabs>
        <w:tab w:val="clear" w:pos="480"/>
      </w:tabs>
      <w:adjustRightInd w:val="0"/>
      <w:spacing w:line="240" w:lineRule="auto"/>
      <w:textAlignment w:val="baseline"/>
    </w:pPr>
    <w:rPr>
      <w:rFonts w:ascii="宋体" w:hAnsi="Courier New"/>
      <w:sz w:val="21"/>
      <w:szCs w:val="20"/>
    </w:rPr>
  </w:style>
  <w:style w:type="paragraph" w:customStyle="1" w:styleId="186">
    <w:name w:val="封面1"/>
    <w:basedOn w:val="3"/>
    <w:qFormat/>
    <w:uiPriority w:val="0"/>
    <w:pPr>
      <w:keepNext w:val="0"/>
      <w:keepLines w:val="0"/>
      <w:numPr>
        <w:numId w:val="0"/>
      </w:numPr>
      <w:tabs>
        <w:tab w:val="left" w:pos="432"/>
        <w:tab w:val="clear" w:pos="480"/>
      </w:tabs>
      <w:spacing w:before="0" w:after="0" w:line="240" w:lineRule="auto"/>
      <w:jc w:val="center"/>
      <w:outlineLvl w:val="9"/>
    </w:pPr>
    <w:rPr>
      <w:rFonts w:ascii="Impact" w:hAnsi="Impact" w:eastAsia="隶书"/>
      <w:b w:val="0"/>
      <w:bCs w:val="0"/>
      <w:szCs w:val="20"/>
      <w14:shadow w14:blurRad="50800" w14:dist="38100" w14:dir="2700000" w14:sx="100000" w14:sy="100000" w14:kx="0" w14:ky="0" w14:algn="tl">
        <w14:srgbClr w14:val="000000">
          <w14:alpha w14:val="60000"/>
        </w14:srgbClr>
      </w14:shadow>
    </w:rPr>
  </w:style>
  <w:style w:type="paragraph" w:customStyle="1" w:styleId="187">
    <w:name w:val="body"/>
    <w:basedOn w:val="1"/>
    <w:semiHidden/>
    <w:qFormat/>
    <w:uiPriority w:val="0"/>
    <w:pPr>
      <w:tabs>
        <w:tab w:val="clear" w:pos="480"/>
      </w:tabs>
    </w:pPr>
    <w:rPr>
      <w:rFonts w:ascii="宋体" w:hAnsi="宋体"/>
    </w:rPr>
  </w:style>
  <w:style w:type="paragraph" w:customStyle="1" w:styleId="188">
    <w:name w:val="样式1"/>
    <w:basedOn w:val="1"/>
    <w:link w:val="1238"/>
    <w:qFormat/>
    <w:uiPriority w:val="0"/>
    <w:pPr>
      <w:widowControl/>
      <w:tabs>
        <w:tab w:val="clear" w:pos="480"/>
      </w:tabs>
      <w:spacing w:line="498" w:lineRule="atLeast"/>
    </w:pPr>
    <w:rPr>
      <w:rFonts w:eastAsia="楷体_GB2312"/>
      <w:sz w:val="28"/>
    </w:rPr>
  </w:style>
  <w:style w:type="paragraph" w:customStyle="1" w:styleId="189">
    <w:name w:val="图文框"/>
    <w:basedOn w:val="161"/>
    <w:qFormat/>
    <w:uiPriority w:val="0"/>
    <w:pPr/>
    <w:rPr>
      <w:sz w:val="21"/>
      <w:szCs w:val="21"/>
    </w:rPr>
  </w:style>
  <w:style w:type="character" w:customStyle="1" w:styleId="190">
    <w:name w:val="p1061"/>
    <w:semiHidden/>
    <w:qFormat/>
    <w:uiPriority w:val="0"/>
    <w:rPr>
      <w:spacing w:val="300"/>
      <w:sz w:val="21"/>
      <w:szCs w:val="21"/>
    </w:rPr>
  </w:style>
  <w:style w:type="paragraph" w:customStyle="1" w:styleId="191">
    <w:name w:val="xl25"/>
    <w:basedOn w:val="1"/>
    <w:qFormat/>
    <w:uiPriority w:val="0"/>
    <w:pPr>
      <w:widowControl/>
      <w:pBdr>
        <w:bottom w:val="single" w:color="auto" w:sz="4" w:space="0"/>
        <w:right w:val="single" w:color="auto" w:sz="4" w:space="0"/>
      </w:pBdr>
      <w:tabs>
        <w:tab w:val="clear" w:pos="480"/>
      </w:tabs>
      <w:spacing w:before="100" w:beforeAutospacing="1" w:after="100" w:afterAutospacing="1" w:line="240" w:lineRule="auto"/>
      <w:jc w:val="center"/>
      <w:textAlignment w:val="top"/>
    </w:pPr>
    <w:rPr>
      <w:kern w:val="0"/>
      <w:sz w:val="21"/>
      <w:szCs w:val="21"/>
    </w:rPr>
  </w:style>
  <w:style w:type="paragraph" w:customStyle="1" w:styleId="192">
    <w:name w:val="表格 31"/>
    <w:semiHidden/>
    <w:qFormat/>
    <w:uiPriority w:val="0"/>
    <w:pPr>
      <w:widowControl w:val="0"/>
      <w:autoSpaceDE w:val="0"/>
      <w:autoSpaceDN w:val="0"/>
      <w:adjustRightInd w:val="0"/>
      <w:jc w:val="center"/>
      <w:textAlignment w:val="baseline"/>
    </w:pPr>
    <w:rPr>
      <w:rFonts w:ascii="Times New Roman" w:hAnsi="Times New Roman" w:eastAsia="楷体" w:cs="Times New Roman"/>
      <w:kern w:val="2"/>
      <w:sz w:val="28"/>
      <w:szCs w:val="24"/>
      <w:lang w:val="en-US" w:eastAsia="zh-CN" w:bidi="ar-SA"/>
    </w:rPr>
  </w:style>
  <w:style w:type="paragraph" w:customStyle="1" w:styleId="193">
    <w:name w:val="Char"/>
    <w:basedOn w:val="1"/>
    <w:qFormat/>
    <w:uiPriority w:val="0"/>
    <w:pPr>
      <w:tabs>
        <w:tab w:val="clear" w:pos="480"/>
      </w:tabs>
      <w:spacing w:line="240" w:lineRule="auto"/>
    </w:pPr>
    <w:rPr>
      <w:sz w:val="21"/>
      <w:szCs w:val="21"/>
    </w:rPr>
  </w:style>
  <w:style w:type="paragraph" w:customStyle="1" w:styleId="194">
    <w:name w:val="Char Char Char Char Char Char Char Char Char Char Char Char1 Char"/>
    <w:basedOn w:val="1"/>
    <w:semiHidden/>
    <w:qFormat/>
    <w:uiPriority w:val="0"/>
    <w:pPr>
      <w:tabs>
        <w:tab w:val="clear" w:pos="480"/>
      </w:tabs>
    </w:pPr>
    <w:rPr>
      <w:szCs w:val="20"/>
    </w:rPr>
  </w:style>
  <w:style w:type="paragraph" w:customStyle="1" w:styleId="195">
    <w:name w:val="正文首行缩进 2 + Times New Roman"/>
    <w:basedOn w:val="1"/>
    <w:semiHidden/>
    <w:qFormat/>
    <w:uiPriority w:val="0"/>
    <w:pPr>
      <w:tabs>
        <w:tab w:val="left" w:pos="0"/>
        <w:tab w:val="left" w:pos="870"/>
        <w:tab w:val="clear" w:pos="480"/>
      </w:tabs>
      <w:autoSpaceDE w:val="0"/>
      <w:autoSpaceDN w:val="0"/>
      <w:ind w:firstLine="480"/>
    </w:pPr>
    <w:rPr>
      <w:rFonts w:hAnsi="宋体"/>
      <w:kern w:val="0"/>
    </w:rPr>
  </w:style>
  <w:style w:type="character" w:customStyle="1" w:styleId="196">
    <w:name w:val="批注文字 字符"/>
    <w:link w:val="28"/>
    <w:qFormat/>
    <w:uiPriority w:val="0"/>
    <w:rPr>
      <w:rFonts w:eastAsia="宋体"/>
      <w:sz w:val="24"/>
      <w:lang w:val="en-US" w:eastAsia="zh-CN" w:bidi="ar-SA"/>
    </w:rPr>
  </w:style>
  <w:style w:type="paragraph" w:customStyle="1" w:styleId="197">
    <w:name w:val="表格文字2"/>
    <w:basedOn w:val="1"/>
    <w:semiHidden/>
    <w:qFormat/>
    <w:uiPriority w:val="0"/>
    <w:pPr>
      <w:tabs>
        <w:tab w:val="left" w:pos="277"/>
        <w:tab w:val="left" w:pos="600"/>
        <w:tab w:val="left" w:pos="780"/>
        <w:tab w:val="left" w:pos="2517"/>
        <w:tab w:val="clear" w:pos="480"/>
      </w:tabs>
      <w:adjustRightInd w:val="0"/>
      <w:spacing w:line="240" w:lineRule="auto"/>
      <w:jc w:val="center"/>
      <w:textAlignment w:val="baseline"/>
    </w:pPr>
    <w:rPr>
      <w:kern w:val="0"/>
      <w:sz w:val="21"/>
      <w:szCs w:val="21"/>
    </w:rPr>
  </w:style>
  <w:style w:type="paragraph" w:customStyle="1" w:styleId="198">
    <w:name w:val="样式 正文文本缩进正文文字( 首段缩进两字） + 宋体"/>
    <w:basedOn w:val="35"/>
    <w:link w:val="199"/>
    <w:semiHidden/>
    <w:qFormat/>
    <w:uiPriority w:val="0"/>
    <w:rPr>
      <w:rFonts w:ascii="宋体" w:hAnsi="宋体"/>
      <w:snapToGrid w:val="0"/>
    </w:rPr>
  </w:style>
  <w:style w:type="character" w:customStyle="1" w:styleId="199">
    <w:name w:val="样式 正文文本缩进正文文字( 首段缩进两字） + 宋体 Char"/>
    <w:link w:val="198"/>
    <w:qFormat/>
    <w:uiPriority w:val="0"/>
    <w:rPr>
      <w:rFonts w:ascii="宋体" w:hAnsi="宋体" w:eastAsia="宋体"/>
      <w:snapToGrid w:val="0"/>
      <w:kern w:val="2"/>
      <w:sz w:val="24"/>
      <w:szCs w:val="24"/>
      <w:lang w:val="en-US" w:eastAsia="zh-CN" w:bidi="ar-SA"/>
    </w:rPr>
  </w:style>
  <w:style w:type="character" w:customStyle="1" w:styleId="200">
    <w:name w:val="neiyetest1"/>
    <w:semiHidden/>
    <w:qFormat/>
    <w:uiPriority w:val="0"/>
    <w:rPr>
      <w:rFonts w:hint="default" w:ascii="ˎ̥" w:hAnsi="ˎ̥"/>
      <w:color w:val="000000"/>
      <w:sz w:val="20"/>
      <w:szCs w:val="20"/>
    </w:rPr>
  </w:style>
  <w:style w:type="paragraph" w:customStyle="1" w:styleId="201">
    <w:name w:val="样式 标题 4Subsection + 宋体 小四"/>
    <w:basedOn w:val="6"/>
    <w:link w:val="202"/>
    <w:semiHidden/>
    <w:qFormat/>
    <w:uiPriority w:val="0"/>
    <w:rPr>
      <w:rFonts w:ascii="宋体" w:eastAsia="宋体"/>
    </w:rPr>
  </w:style>
  <w:style w:type="character" w:customStyle="1" w:styleId="202">
    <w:name w:val="样式 标题 4Subsection + 宋体 小四 Char"/>
    <w:link w:val="201"/>
    <w:semiHidden/>
    <w:qFormat/>
    <w:uiPriority w:val="0"/>
    <w:rPr>
      <w:rFonts w:ascii="宋体" w:hAnsi="宋体"/>
      <w:b/>
      <w:bCs/>
      <w:kern w:val="2"/>
      <w:sz w:val="28"/>
      <w:szCs w:val="28"/>
      <w:lang w:val="zh-CN"/>
    </w:rPr>
  </w:style>
  <w:style w:type="table" w:customStyle="1" w:styleId="203">
    <w:name w:val="设计院"/>
    <w:basedOn w:val="87"/>
    <w:qFormat/>
    <w:uiPriority w:val="0"/>
    <w:rPr>
      <w:sz w:val="21"/>
    </w:rPr>
    <w:tblPr>
      <w:jc w:val="center"/>
      <w:tblBorders>
        <w:top w:val="single" w:color="auto" w:sz="18" w:space="0"/>
        <w:bottom w:val="single" w:color="auto" w:sz="18" w:space="0"/>
        <w:insideH w:val="single" w:color="auto" w:sz="4" w:space="0"/>
        <w:insideV w:val="single" w:color="auto" w:sz="4" w:space="0"/>
      </w:tblBorders>
    </w:tblPr>
    <w:trPr>
      <w:jc w:val="center"/>
    </w:trPr>
    <w:tcPr>
      <w:vAlign w:val="center"/>
    </w:tcPr>
  </w:style>
  <w:style w:type="paragraph" w:customStyle="1" w:styleId="204">
    <w:name w:val="缩进"/>
    <w:basedOn w:val="1"/>
    <w:link w:val="1836"/>
    <w:semiHidden/>
    <w:qFormat/>
    <w:uiPriority w:val="0"/>
    <w:pPr>
      <w:tabs>
        <w:tab w:val="clear" w:pos="480"/>
      </w:tabs>
      <w:autoSpaceDE w:val="0"/>
      <w:autoSpaceDN w:val="0"/>
      <w:adjustRightInd w:val="0"/>
      <w:spacing w:line="400" w:lineRule="atLeast"/>
      <w:ind w:firstLine="425"/>
      <w:textAlignment w:val="baseline"/>
    </w:pPr>
    <w:rPr>
      <w:kern w:val="0"/>
      <w:szCs w:val="20"/>
    </w:rPr>
  </w:style>
  <w:style w:type="paragraph" w:customStyle="1" w:styleId="205">
    <w:name w:val="样式2"/>
    <w:basedOn w:val="1"/>
    <w:qFormat/>
    <w:uiPriority w:val="0"/>
    <w:pPr>
      <w:tabs>
        <w:tab w:val="clear" w:pos="480"/>
      </w:tabs>
      <w:adjustRightInd w:val="0"/>
      <w:snapToGrid w:val="0"/>
      <w:spacing w:line="240" w:lineRule="auto"/>
      <w:jc w:val="left"/>
    </w:pPr>
    <w:rPr>
      <w:rFonts w:ascii="宋体" w:hAnsi="宋体"/>
      <w:b/>
      <w:bCs/>
      <w:color w:val="000000"/>
    </w:rPr>
  </w:style>
  <w:style w:type="paragraph" w:customStyle="1" w:styleId="206">
    <w:name w:val="样式 样式3 + 首行缩进:  2 字符"/>
    <w:basedOn w:val="1"/>
    <w:semiHidden/>
    <w:qFormat/>
    <w:uiPriority w:val="0"/>
    <w:pPr>
      <w:tabs>
        <w:tab w:val="clear" w:pos="480"/>
      </w:tabs>
      <w:adjustRightInd w:val="0"/>
      <w:snapToGrid w:val="0"/>
      <w:ind w:firstLine="480"/>
    </w:pPr>
    <w:rPr>
      <w:rFonts w:cs="宋体"/>
      <w:color w:val="000000"/>
      <w:szCs w:val="20"/>
    </w:rPr>
  </w:style>
  <w:style w:type="paragraph" w:customStyle="1" w:styleId="207">
    <w:name w:val="Char Char Char Char Char Char Char Char Char Char Char Char Char"/>
    <w:basedOn w:val="1"/>
    <w:qFormat/>
    <w:uiPriority w:val="0"/>
    <w:pPr>
      <w:tabs>
        <w:tab w:val="clear" w:pos="480"/>
      </w:tabs>
      <w:spacing w:line="240" w:lineRule="auto"/>
    </w:pPr>
    <w:rPr>
      <w:sz w:val="21"/>
      <w:szCs w:val="21"/>
    </w:rPr>
  </w:style>
  <w:style w:type="paragraph" w:customStyle="1" w:styleId="208">
    <w:name w:val="报告正文"/>
    <w:basedOn w:val="1"/>
    <w:qFormat/>
    <w:uiPriority w:val="0"/>
    <w:pPr>
      <w:tabs>
        <w:tab w:val="clear" w:pos="480"/>
      </w:tabs>
      <w:adjustRightInd w:val="0"/>
      <w:snapToGrid w:val="0"/>
    </w:pPr>
    <w:rPr>
      <w:rFonts w:ascii="宋体"/>
      <w:szCs w:val="20"/>
    </w:rPr>
  </w:style>
  <w:style w:type="paragraph" w:customStyle="1" w:styleId="209">
    <w:name w:val="font0"/>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10">
    <w:name w:val="font5"/>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11">
    <w:name w:val="font6"/>
    <w:basedOn w:val="1"/>
    <w:qFormat/>
    <w:uiPriority w:val="0"/>
    <w:pPr>
      <w:widowControl/>
      <w:tabs>
        <w:tab w:val="clear" w:pos="480"/>
      </w:tabs>
      <w:spacing w:before="100" w:beforeAutospacing="1" w:after="100" w:afterAutospacing="1" w:line="240" w:lineRule="auto"/>
      <w:jc w:val="left"/>
    </w:pPr>
    <w:rPr>
      <w:rFonts w:ascii="宋体" w:hAnsi="宋体" w:cs="宋体"/>
      <w:kern w:val="0"/>
      <w:sz w:val="18"/>
      <w:szCs w:val="18"/>
    </w:rPr>
  </w:style>
  <w:style w:type="paragraph" w:customStyle="1" w:styleId="212">
    <w:name w:val="样式 表格 32 + 首行缩进:  2 字符"/>
    <w:basedOn w:val="161"/>
    <w:semiHidden/>
    <w:qFormat/>
    <w:uiPriority w:val="0"/>
    <w:pPr>
      <w:spacing w:line="240" w:lineRule="atLeast"/>
    </w:pPr>
    <w:rPr>
      <w:sz w:val="21"/>
      <w:szCs w:val="21"/>
    </w:rPr>
  </w:style>
  <w:style w:type="paragraph" w:customStyle="1" w:styleId="213">
    <w:name w:val="正 文"/>
    <w:link w:val="214"/>
    <w:semiHidden/>
    <w:qFormat/>
    <w:uiPriority w:val="0"/>
    <w:pPr>
      <w:widowControl w:val="0"/>
      <w:spacing w:line="480" w:lineRule="exact"/>
      <w:ind w:firstLine="471"/>
      <w:jc w:val="both"/>
    </w:pPr>
    <w:rPr>
      <w:rFonts w:ascii="Times New Roman" w:hAnsi="Times New Roman" w:eastAsia="宋体" w:cs="Times New Roman"/>
      <w:kern w:val="2"/>
      <w:sz w:val="24"/>
      <w:szCs w:val="24"/>
      <w:lang w:val="en-US" w:eastAsia="zh-CN" w:bidi="ar-SA"/>
    </w:rPr>
  </w:style>
  <w:style w:type="character" w:customStyle="1" w:styleId="214">
    <w:name w:val="正 文 Char"/>
    <w:link w:val="213"/>
    <w:semiHidden/>
    <w:qFormat/>
    <w:uiPriority w:val="0"/>
    <w:rPr>
      <w:kern w:val="2"/>
      <w:sz w:val="24"/>
      <w:szCs w:val="24"/>
      <w:lang w:val="en-US" w:eastAsia="zh-CN" w:bidi="ar-SA"/>
    </w:rPr>
  </w:style>
  <w:style w:type="paragraph" w:customStyle="1" w:styleId="215">
    <w:name w:val="正文表格"/>
    <w:basedOn w:val="1"/>
    <w:semiHidden/>
    <w:qFormat/>
    <w:uiPriority w:val="0"/>
    <w:pPr>
      <w:tabs>
        <w:tab w:val="clear" w:pos="480"/>
      </w:tabs>
      <w:spacing w:line="240" w:lineRule="auto"/>
      <w:jc w:val="center"/>
    </w:pPr>
    <w:rPr>
      <w:rFonts w:ascii="宋体" w:hAnsi="宋体"/>
      <w:sz w:val="21"/>
      <w:szCs w:val="20"/>
    </w:rPr>
  </w:style>
  <w:style w:type="paragraph" w:customStyle="1" w:styleId="216">
    <w:name w:val="默认段落字体 Para Char Char Char Char Char Char Char Char Char Char Char Char Char1 Char"/>
    <w:basedOn w:val="26"/>
    <w:semiHidden/>
    <w:qFormat/>
    <w:uiPriority w:val="0"/>
    <w:pPr/>
    <w:rPr>
      <w:bCs/>
      <w:sz w:val="24"/>
    </w:rPr>
  </w:style>
  <w:style w:type="paragraph" w:customStyle="1" w:styleId="217">
    <w:name w:val="表格、图表名称"/>
    <w:basedOn w:val="1"/>
    <w:link w:val="218"/>
    <w:semiHidden/>
    <w:qFormat/>
    <w:uiPriority w:val="0"/>
    <w:pPr>
      <w:tabs>
        <w:tab w:val="clear" w:pos="480"/>
      </w:tabs>
      <w:jc w:val="center"/>
    </w:pPr>
    <w:rPr>
      <w:b/>
      <w:szCs w:val="22"/>
    </w:rPr>
  </w:style>
  <w:style w:type="character" w:customStyle="1" w:styleId="218">
    <w:name w:val="表格、图表名称 Char"/>
    <w:link w:val="217"/>
    <w:qFormat/>
    <w:uiPriority w:val="0"/>
    <w:rPr>
      <w:rFonts w:eastAsia="宋体"/>
      <w:b/>
      <w:kern w:val="2"/>
      <w:sz w:val="24"/>
      <w:szCs w:val="22"/>
      <w:lang w:val="en-US" w:eastAsia="zh-CN" w:bidi="ar-SA"/>
    </w:rPr>
  </w:style>
  <w:style w:type="paragraph" w:customStyle="1" w:styleId="219">
    <w:name w:val="表格文字"/>
    <w:basedOn w:val="1"/>
    <w:link w:val="220"/>
    <w:qFormat/>
    <w:uiPriority w:val="0"/>
    <w:pPr>
      <w:tabs>
        <w:tab w:val="clear" w:pos="480"/>
      </w:tabs>
      <w:spacing w:line="240" w:lineRule="auto"/>
      <w:jc w:val="center"/>
    </w:pPr>
    <w:rPr>
      <w:sz w:val="21"/>
      <w:szCs w:val="22"/>
    </w:rPr>
  </w:style>
  <w:style w:type="character" w:customStyle="1" w:styleId="220">
    <w:name w:val="表格文字 Char"/>
    <w:link w:val="219"/>
    <w:qFormat/>
    <w:uiPriority w:val="0"/>
    <w:rPr>
      <w:rFonts w:eastAsia="宋体"/>
      <w:kern w:val="2"/>
      <w:sz w:val="21"/>
      <w:szCs w:val="22"/>
      <w:lang w:val="en-US" w:eastAsia="zh-CN" w:bidi="ar-SA"/>
    </w:rPr>
  </w:style>
  <w:style w:type="paragraph" w:customStyle="1" w:styleId="221">
    <w:name w:val="佛表"/>
    <w:basedOn w:val="66"/>
    <w:link w:val="1817"/>
    <w:semiHidden/>
    <w:qFormat/>
    <w:uiPriority w:val="0"/>
    <w:pPr>
      <w:ind w:left="0" w:firstLine="0" w:firstLineChars="0"/>
      <w:jc w:val="center"/>
    </w:pPr>
    <w:rPr>
      <w:color w:val="000000"/>
      <w:szCs w:val="21"/>
    </w:rPr>
  </w:style>
  <w:style w:type="paragraph" w:customStyle="1" w:styleId="222">
    <w:name w:val="表题"/>
    <w:basedOn w:val="1"/>
    <w:qFormat/>
    <w:uiPriority w:val="99"/>
    <w:pPr>
      <w:keepNext/>
      <w:tabs>
        <w:tab w:val="clear" w:pos="480"/>
      </w:tabs>
      <w:adjustRightInd w:val="0"/>
      <w:snapToGrid w:val="0"/>
      <w:spacing w:beforeLines="50" w:afterLines="50" w:line="400" w:lineRule="exact"/>
      <w:ind w:firstLine="480"/>
      <w:jc w:val="left"/>
      <w:outlineLvl w:val="1"/>
    </w:pPr>
    <w:rPr>
      <w:rFonts w:ascii="黑体" w:hAnsi="Arial" w:eastAsia="黑体"/>
      <w:spacing w:val="16"/>
      <w:kern w:val="0"/>
      <w:sz w:val="28"/>
      <w:szCs w:val="28"/>
    </w:rPr>
  </w:style>
  <w:style w:type="paragraph" w:customStyle="1" w:styleId="223">
    <w:name w:val="Char Char Char Char"/>
    <w:basedOn w:val="1"/>
    <w:qFormat/>
    <w:uiPriority w:val="0"/>
    <w:pPr>
      <w:tabs>
        <w:tab w:val="clear" w:pos="480"/>
      </w:tabs>
      <w:spacing w:line="240" w:lineRule="auto"/>
    </w:pPr>
    <w:rPr>
      <w:sz w:val="21"/>
    </w:rPr>
  </w:style>
  <w:style w:type="character" w:customStyle="1" w:styleId="224">
    <w:name w:val="H2 Char"/>
    <w:qFormat/>
    <w:uiPriority w:val="0"/>
    <w:rPr>
      <w:rFonts w:ascii="宋体" w:hAnsi="宋体" w:eastAsia="宋体"/>
      <w:b/>
      <w:snapToGrid w:val="0"/>
      <w:sz w:val="28"/>
      <w:lang w:val="en-US" w:eastAsia="zh-CN" w:bidi="ar-SA"/>
    </w:rPr>
  </w:style>
  <w:style w:type="paragraph" w:customStyle="1" w:styleId="225">
    <w:name w:val="正文 + 宋体"/>
    <w:basedOn w:val="1"/>
    <w:link w:val="1089"/>
    <w:semiHidden/>
    <w:qFormat/>
    <w:uiPriority w:val="0"/>
    <w:pPr>
      <w:tabs>
        <w:tab w:val="clear" w:pos="480"/>
      </w:tabs>
      <w:snapToGrid w:val="0"/>
      <w:spacing w:line="400" w:lineRule="exact"/>
      <w:ind w:firstLine="480"/>
    </w:pPr>
    <w:rPr>
      <w:rFonts w:ascii="宋体" w:hAnsi="宋体"/>
      <w:color w:val="000000"/>
    </w:rPr>
  </w:style>
  <w:style w:type="paragraph" w:customStyle="1" w:styleId="226">
    <w:name w:val="样式 表格 32 + 首行缩进:  2 字符1"/>
    <w:basedOn w:val="161"/>
    <w:semiHidden/>
    <w:qFormat/>
    <w:uiPriority w:val="0"/>
    <w:pPr>
      <w:spacing w:line="240" w:lineRule="auto"/>
    </w:pPr>
    <w:rPr>
      <w:rFonts w:cs="宋体"/>
      <w:sz w:val="21"/>
      <w:szCs w:val="21"/>
    </w:rPr>
  </w:style>
  <w:style w:type="paragraph" w:customStyle="1" w:styleId="227">
    <w:name w:val="表内文字"/>
    <w:basedOn w:val="1"/>
    <w:next w:val="1"/>
    <w:qFormat/>
    <w:uiPriority w:val="0"/>
    <w:pPr>
      <w:tabs>
        <w:tab w:val="clear" w:pos="480"/>
      </w:tabs>
      <w:adjustRightInd w:val="0"/>
      <w:spacing w:line="360" w:lineRule="atLeast"/>
      <w:jc w:val="center"/>
      <w:textAlignment w:val="baseline"/>
    </w:pPr>
    <w:rPr>
      <w:kern w:val="0"/>
      <w:sz w:val="21"/>
      <w:szCs w:val="20"/>
    </w:rPr>
  </w:style>
  <w:style w:type="paragraph" w:customStyle="1" w:styleId="228">
    <w:name w:val="章标题"/>
    <w:next w:val="1"/>
    <w:qFormat/>
    <w:uiPriority w:val="0"/>
    <w:pPr>
      <w:tabs>
        <w:tab w:val="left" w:pos="720"/>
        <w:tab w:val="left" w:pos="903"/>
      </w:tabs>
      <w:spacing w:before="50" w:after="50"/>
      <w:ind w:left="903" w:hanging="315"/>
      <w:jc w:val="both"/>
      <w:outlineLvl w:val="1"/>
    </w:pPr>
    <w:rPr>
      <w:rFonts w:ascii="黑体" w:hAnsi="Times New Roman" w:eastAsia="黑体" w:cs="Times New Roman"/>
      <w:kern w:val="2"/>
      <w:sz w:val="21"/>
      <w:szCs w:val="21"/>
      <w:lang w:val="en-US" w:eastAsia="zh-CN" w:bidi="ar-SA"/>
    </w:rPr>
  </w:style>
  <w:style w:type="paragraph" w:customStyle="1" w:styleId="229">
    <w:name w:val="前言、引言标题"/>
    <w:next w:val="1"/>
    <w:qFormat/>
    <w:uiPriority w:val="0"/>
    <w:pPr>
      <w:shd w:val="clear" w:color="FFFFFF" w:fill="FFFFFF"/>
      <w:tabs>
        <w:tab w:val="left" w:pos="903"/>
      </w:tabs>
      <w:spacing w:before="640" w:after="560"/>
      <w:ind w:left="903" w:hanging="315"/>
      <w:jc w:val="center"/>
      <w:outlineLvl w:val="0"/>
    </w:pPr>
    <w:rPr>
      <w:rFonts w:ascii="黑体" w:hAnsi="Times New Roman" w:eastAsia="黑体" w:cs="Times New Roman"/>
      <w:kern w:val="2"/>
      <w:sz w:val="32"/>
      <w:szCs w:val="32"/>
      <w:lang w:val="en-US" w:eastAsia="zh-CN" w:bidi="ar-SA"/>
    </w:rPr>
  </w:style>
  <w:style w:type="paragraph" w:customStyle="1" w:styleId="230">
    <w:name w:val="一级条标题"/>
    <w:basedOn w:val="228"/>
    <w:next w:val="1"/>
    <w:qFormat/>
    <w:uiPriority w:val="0"/>
    <w:pPr>
      <w:tabs>
        <w:tab w:val="left" w:pos="360"/>
        <w:tab w:val="left" w:pos="1260"/>
        <w:tab w:val="left" w:pos="1287"/>
        <w:tab w:val="clear" w:pos="720"/>
      </w:tabs>
      <w:spacing w:before="0" w:after="0"/>
      <w:ind w:left="0" w:firstLine="567"/>
      <w:outlineLvl w:val="2"/>
    </w:pPr>
  </w:style>
  <w:style w:type="paragraph" w:customStyle="1" w:styleId="231">
    <w:name w:val="二级条标题"/>
    <w:basedOn w:val="230"/>
    <w:next w:val="1"/>
    <w:qFormat/>
    <w:uiPriority w:val="0"/>
    <w:pPr>
      <w:tabs>
        <w:tab w:val="left" w:pos="1680"/>
        <w:tab w:val="clear" w:pos="1260"/>
      </w:tabs>
      <w:ind w:left="1680" w:hanging="420"/>
      <w:outlineLvl w:val="3"/>
    </w:pPr>
  </w:style>
  <w:style w:type="paragraph" w:customStyle="1" w:styleId="232">
    <w:name w:val="三级条标题"/>
    <w:basedOn w:val="231"/>
    <w:next w:val="1"/>
    <w:qFormat/>
    <w:uiPriority w:val="0"/>
    <w:pPr>
      <w:tabs>
        <w:tab w:val="left" w:pos="2100"/>
        <w:tab w:val="clear" w:pos="1287"/>
      </w:tabs>
      <w:ind w:left="2100"/>
      <w:outlineLvl w:val="4"/>
    </w:pPr>
  </w:style>
  <w:style w:type="paragraph" w:customStyle="1" w:styleId="233">
    <w:name w:val="四级条标题"/>
    <w:basedOn w:val="232"/>
    <w:next w:val="1"/>
    <w:qFormat/>
    <w:uiPriority w:val="0"/>
    <w:pPr>
      <w:tabs>
        <w:tab w:val="left" w:pos="2520"/>
        <w:tab w:val="clear" w:pos="1680"/>
      </w:tabs>
      <w:ind w:left="2520"/>
      <w:outlineLvl w:val="5"/>
    </w:pPr>
  </w:style>
  <w:style w:type="paragraph" w:customStyle="1" w:styleId="234">
    <w:name w:val="五级条标题"/>
    <w:basedOn w:val="233"/>
    <w:next w:val="1"/>
    <w:qFormat/>
    <w:uiPriority w:val="0"/>
    <w:pPr>
      <w:tabs>
        <w:tab w:val="left" w:pos="2940"/>
        <w:tab w:val="clear" w:pos="2100"/>
      </w:tabs>
      <w:ind w:left="2940"/>
      <w:outlineLvl w:val="6"/>
    </w:pPr>
  </w:style>
  <w:style w:type="paragraph" w:customStyle="1" w:styleId="235">
    <w:name w:val="图标"/>
    <w:basedOn w:val="1"/>
    <w:semiHidden/>
    <w:qFormat/>
    <w:uiPriority w:val="0"/>
    <w:pPr>
      <w:tabs>
        <w:tab w:val="left" w:pos="1920"/>
        <w:tab w:val="clear" w:pos="480"/>
      </w:tabs>
      <w:spacing w:line="400" w:lineRule="atLeast"/>
      <w:jc w:val="center"/>
    </w:pPr>
    <w:rPr>
      <w:bCs/>
      <w:color w:val="000000"/>
      <w:szCs w:val="21"/>
    </w:rPr>
  </w:style>
  <w:style w:type="paragraph" w:customStyle="1" w:styleId="236">
    <w:name w:val="xl33"/>
    <w:basedOn w:val="1"/>
    <w:qFormat/>
    <w:uiPriority w:val="0"/>
    <w:pPr>
      <w:widowControl/>
      <w:pBdr>
        <w:left w:val="single" w:color="auto" w:sz="4" w:space="0"/>
        <w:right w:val="single" w:color="auto" w:sz="4" w:space="0"/>
      </w:pBdr>
      <w:tabs>
        <w:tab w:val="clear" w:pos="480"/>
      </w:tabs>
      <w:spacing w:before="100" w:beforeAutospacing="1" w:after="100" w:afterAutospacing="1" w:line="240" w:lineRule="auto"/>
      <w:jc w:val="center"/>
    </w:pPr>
    <w:rPr>
      <w:rFonts w:hint="eastAsia" w:ascii="宋体" w:hAnsi="宋体"/>
      <w:kern w:val="0"/>
      <w:szCs w:val="28"/>
    </w:rPr>
  </w:style>
  <w:style w:type="paragraph" w:customStyle="1" w:styleId="237">
    <w:name w:val="表内字"/>
    <w:basedOn w:val="45"/>
    <w:link w:val="3415"/>
    <w:qFormat/>
    <w:uiPriority w:val="0"/>
    <w:pPr>
      <w:snapToGrid w:val="0"/>
      <w:spacing w:line="360" w:lineRule="auto"/>
      <w:jc w:val="center"/>
    </w:pPr>
    <w:rPr>
      <w:rFonts w:ascii="Times New Roman" w:hAnsi="Times New Roman"/>
      <w:kern w:val="0"/>
      <w:sz w:val="24"/>
    </w:rPr>
  </w:style>
  <w:style w:type="character" w:customStyle="1" w:styleId="238">
    <w:name w:val="bt21"/>
    <w:semiHidden/>
    <w:qFormat/>
    <w:uiPriority w:val="0"/>
    <w:rPr>
      <w:rFonts w:hint="eastAsia" w:ascii="黑体" w:eastAsia="黑体"/>
      <w:spacing w:val="400"/>
      <w:sz w:val="24"/>
      <w:szCs w:val="24"/>
    </w:rPr>
  </w:style>
  <w:style w:type="character" w:customStyle="1" w:styleId="239">
    <w:name w:val="zw1"/>
    <w:semiHidden/>
    <w:qFormat/>
    <w:uiPriority w:val="0"/>
    <w:rPr>
      <w:rFonts w:hint="eastAsia" w:ascii="宋体" w:hAnsi="宋体" w:eastAsia="宋体"/>
      <w:spacing w:val="400"/>
      <w:sz w:val="22"/>
      <w:szCs w:val="22"/>
    </w:rPr>
  </w:style>
  <w:style w:type="character" w:customStyle="1" w:styleId="240">
    <w:name w:val="bt11"/>
    <w:semiHidden/>
    <w:qFormat/>
    <w:uiPriority w:val="0"/>
    <w:rPr>
      <w:rFonts w:hint="eastAsia" w:ascii="黑体" w:eastAsia="黑体"/>
      <w:color w:val="000000"/>
      <w:spacing w:val="700"/>
      <w:sz w:val="28"/>
      <w:szCs w:val="28"/>
    </w:rPr>
  </w:style>
  <w:style w:type="paragraph" w:customStyle="1" w:styleId="241">
    <w:name w:val="xl21"/>
    <w:basedOn w:val="1"/>
    <w:semiHidden/>
    <w:qFormat/>
    <w:uiPriority w:val="0"/>
    <w:pPr>
      <w:widowControl/>
      <w:tabs>
        <w:tab w:val="clear" w:pos="480"/>
      </w:tabs>
      <w:spacing w:before="100" w:beforeAutospacing="1" w:after="100" w:afterAutospacing="1" w:line="240" w:lineRule="auto"/>
      <w:jc w:val="center"/>
    </w:pPr>
    <w:rPr>
      <w:rFonts w:ascii="宋体" w:hAnsi="宋体"/>
      <w:kern w:val="0"/>
    </w:rPr>
  </w:style>
  <w:style w:type="paragraph" w:customStyle="1" w:styleId="242">
    <w:name w:val="表格32"/>
    <w:basedOn w:val="1"/>
    <w:semiHidden/>
    <w:qFormat/>
    <w:uiPriority w:val="0"/>
    <w:pPr>
      <w:tabs>
        <w:tab w:val="clear" w:pos="480"/>
      </w:tabs>
      <w:adjustRightInd w:val="0"/>
      <w:spacing w:line="240" w:lineRule="auto"/>
      <w:ind w:firstLine="480"/>
      <w:jc w:val="center"/>
      <w:textAlignment w:val="center"/>
    </w:pPr>
    <w:rPr>
      <w:rFonts w:eastAsia="仿宋_GB2312"/>
      <w:szCs w:val="20"/>
    </w:rPr>
  </w:style>
  <w:style w:type="paragraph" w:customStyle="1" w:styleId="243">
    <w:name w:val="样式"/>
    <w:basedOn w:val="1"/>
    <w:next w:val="35"/>
    <w:semiHidden/>
    <w:qFormat/>
    <w:uiPriority w:val="0"/>
    <w:pPr>
      <w:tabs>
        <w:tab w:val="clear" w:pos="480"/>
      </w:tabs>
      <w:adjustRightInd w:val="0"/>
      <w:ind w:firstLine="480"/>
      <w:textAlignment w:val="baseline"/>
    </w:pPr>
    <w:rPr>
      <w:rFonts w:ascii="宋体"/>
      <w:kern w:val="0"/>
    </w:rPr>
  </w:style>
  <w:style w:type="paragraph" w:customStyle="1" w:styleId="244">
    <w:name w:val="批注框文本1"/>
    <w:basedOn w:val="1"/>
    <w:semiHidden/>
    <w:qFormat/>
    <w:uiPriority w:val="0"/>
    <w:pPr>
      <w:tabs>
        <w:tab w:val="clear" w:pos="480"/>
      </w:tabs>
      <w:spacing w:line="240" w:lineRule="auto"/>
    </w:pPr>
    <w:rPr>
      <w:sz w:val="18"/>
      <w:szCs w:val="18"/>
    </w:rPr>
  </w:style>
  <w:style w:type="paragraph" w:customStyle="1" w:styleId="245">
    <w:name w:val="xl26"/>
    <w:basedOn w:val="1"/>
    <w:qFormat/>
    <w:uiPriority w:val="0"/>
    <w:pPr>
      <w:widowControl/>
      <w:pBdr>
        <w:bottom w:val="single" w:color="auto" w:sz="4" w:space="0"/>
        <w:right w:val="single" w:color="auto" w:sz="4" w:space="0"/>
      </w:pBdr>
      <w:tabs>
        <w:tab w:val="clear" w:pos="480"/>
      </w:tabs>
      <w:spacing w:before="100" w:beforeAutospacing="1" w:after="100" w:afterAutospacing="1" w:line="240" w:lineRule="auto"/>
      <w:jc w:val="center"/>
    </w:pPr>
    <w:rPr>
      <w:rFonts w:ascii="Arial Unicode MS" w:hAnsi="Arial Unicode MS" w:eastAsia="Arial Unicode MS" w:cs="Arial Unicode MS"/>
      <w:color w:val="000000"/>
      <w:kern w:val="0"/>
      <w:sz w:val="18"/>
      <w:szCs w:val="18"/>
    </w:rPr>
  </w:style>
  <w:style w:type="paragraph" w:customStyle="1" w:styleId="246">
    <w:name w:val="日期1"/>
    <w:basedOn w:val="1"/>
    <w:next w:val="1"/>
    <w:semiHidden/>
    <w:qFormat/>
    <w:uiPriority w:val="0"/>
    <w:pPr>
      <w:tabs>
        <w:tab w:val="clear" w:pos="480"/>
      </w:tabs>
      <w:adjustRightInd w:val="0"/>
      <w:spacing w:line="240" w:lineRule="auto"/>
      <w:textAlignment w:val="baseline"/>
    </w:pPr>
    <w:rPr>
      <w:szCs w:val="20"/>
    </w:rPr>
  </w:style>
  <w:style w:type="paragraph" w:customStyle="1" w:styleId="247">
    <w:name w:val="Body Text 22"/>
    <w:basedOn w:val="1"/>
    <w:semiHidden/>
    <w:qFormat/>
    <w:uiPriority w:val="0"/>
    <w:pPr>
      <w:tabs>
        <w:tab w:val="clear" w:pos="480"/>
      </w:tabs>
      <w:adjustRightInd w:val="0"/>
      <w:spacing w:line="440" w:lineRule="atLeast"/>
      <w:ind w:firstLine="480"/>
      <w:textAlignment w:val="baseline"/>
    </w:pPr>
    <w:rPr>
      <w:rFonts w:eastAsia="仿宋_GB2312"/>
      <w:szCs w:val="20"/>
    </w:rPr>
  </w:style>
  <w:style w:type="character" w:customStyle="1" w:styleId="248">
    <w:name w:val="lh22px1"/>
    <w:semiHidden/>
    <w:qFormat/>
    <w:uiPriority w:val="0"/>
    <w:rPr>
      <w:rFonts w:hint="eastAsia" w:ascii="宋体" w:hAnsi="宋体" w:eastAsia="宋体"/>
      <w:sz w:val="21"/>
      <w:szCs w:val="21"/>
    </w:rPr>
  </w:style>
  <w:style w:type="paragraph" w:customStyle="1" w:styleId="249">
    <w:name w:val="xl29"/>
    <w:basedOn w:val="1"/>
    <w:qFormat/>
    <w:uiPriority w:val="0"/>
    <w:pPr>
      <w:widowControl/>
      <w:pBdr>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kern w:val="0"/>
    </w:rPr>
  </w:style>
  <w:style w:type="paragraph" w:customStyle="1" w:styleId="250">
    <w:name w:val="xl79"/>
    <w:basedOn w:val="1"/>
    <w:qFormat/>
    <w:uiPriority w:val="0"/>
    <w:pPr>
      <w:widowControl/>
      <w:tabs>
        <w:tab w:val="clear" w:pos="480"/>
      </w:tabs>
      <w:spacing w:before="100" w:beforeAutospacing="1" w:after="100" w:afterAutospacing="1" w:line="240" w:lineRule="auto"/>
      <w:jc w:val="center"/>
    </w:pPr>
    <w:rPr>
      <w:rFonts w:ascii="Arial" w:hAnsi="Arial" w:cs="Arial"/>
      <w:kern w:val="0"/>
    </w:rPr>
  </w:style>
  <w:style w:type="paragraph" w:customStyle="1" w:styleId="251">
    <w:name w:val="xl83"/>
    <w:basedOn w:val="1"/>
    <w:semiHidden/>
    <w:qFormat/>
    <w:uiPriority w:val="0"/>
    <w:pPr>
      <w:widowControl/>
      <w:pBdr>
        <w:top w:val="single" w:color="auto" w:sz="8" w:space="0"/>
        <w:bottom w:val="single" w:color="auto" w:sz="4" w:space="0"/>
      </w:pBdr>
      <w:tabs>
        <w:tab w:val="clear" w:pos="480"/>
      </w:tabs>
      <w:spacing w:before="100" w:beforeAutospacing="1" w:after="100" w:afterAutospacing="1" w:line="240" w:lineRule="auto"/>
      <w:jc w:val="left"/>
      <w:textAlignment w:val="center"/>
    </w:pPr>
    <w:rPr>
      <w:rFonts w:ascii="Arial" w:hAnsi="Arial" w:cs="Arial"/>
      <w:kern w:val="0"/>
    </w:rPr>
  </w:style>
  <w:style w:type="paragraph" w:customStyle="1" w:styleId="252">
    <w:name w:val="xl31"/>
    <w:basedOn w:val="1"/>
    <w:qFormat/>
    <w:uiPriority w:val="0"/>
    <w:pPr>
      <w:widowControl/>
      <w:pBdr>
        <w:left w:val="single" w:color="auto" w:sz="4" w:space="0"/>
        <w:bottom w:val="single" w:color="auto" w:sz="4" w:space="0"/>
        <w:right w:val="single" w:color="auto" w:sz="4" w:space="0"/>
      </w:pBdr>
      <w:tabs>
        <w:tab w:val="clear" w:pos="480"/>
      </w:tabs>
      <w:spacing w:before="100" w:beforeAutospacing="1" w:after="100" w:afterAutospacing="1" w:line="240" w:lineRule="auto"/>
    </w:pPr>
    <w:rPr>
      <w:rFonts w:ascii="Arial Unicode MS" w:hAnsi="Arial Unicode MS" w:eastAsia="Arial Unicode MS" w:cs="Arial Unicode MS"/>
      <w:kern w:val="0"/>
      <w:sz w:val="21"/>
      <w:szCs w:val="21"/>
    </w:rPr>
  </w:style>
  <w:style w:type="paragraph" w:customStyle="1" w:styleId="253">
    <w:name w:val="xl45"/>
    <w:basedOn w:val="1"/>
    <w:qFormat/>
    <w:uiPriority w:val="0"/>
    <w:pPr>
      <w:widowControl/>
      <w:pBdr>
        <w:right w:val="single" w:color="auto" w:sz="4" w:space="0"/>
      </w:pBdr>
      <w:tabs>
        <w:tab w:val="clear" w:pos="480"/>
      </w:tabs>
      <w:spacing w:before="100" w:beforeAutospacing="1" w:after="100" w:afterAutospacing="1" w:line="240" w:lineRule="auto"/>
      <w:jc w:val="center"/>
      <w:textAlignment w:val="center"/>
    </w:pPr>
    <w:rPr>
      <w:rFonts w:hint="eastAsia" w:ascii="Arial Unicode MS" w:hAnsi="Arial Unicode MS" w:eastAsia="Arial Unicode MS" w:cs="Arial Unicode MS"/>
      <w:kern w:val="0"/>
      <w:sz w:val="20"/>
      <w:szCs w:val="20"/>
    </w:rPr>
  </w:style>
  <w:style w:type="paragraph" w:customStyle="1" w:styleId="254">
    <w:name w:val="样式 标题 1 + 首行缩进:  2 字符"/>
    <w:basedOn w:val="3"/>
    <w:semiHidden/>
    <w:qFormat/>
    <w:uiPriority w:val="0"/>
    <w:pPr>
      <w:numPr>
        <w:numId w:val="0"/>
      </w:numPr>
      <w:tabs>
        <w:tab w:val="clear" w:pos="480"/>
      </w:tabs>
      <w:spacing w:before="0" w:after="0" w:line="300" w:lineRule="auto"/>
      <w:ind w:firstLine="200" w:firstLineChars="200"/>
      <w:jc w:val="center"/>
    </w:pPr>
    <w:rPr>
      <w:rFonts w:ascii="Times New Roman" w:eastAsia="宋体" w:cs="宋体"/>
      <w:b w:val="0"/>
      <w:sz w:val="32"/>
      <w:szCs w:val="20"/>
    </w:rPr>
  </w:style>
  <w:style w:type="paragraph" w:customStyle="1" w:styleId="255">
    <w:name w:val="标题 2 + 首行缩进:  2 字符"/>
    <w:basedOn w:val="4"/>
    <w:semiHidden/>
    <w:qFormat/>
    <w:uiPriority w:val="0"/>
    <w:pPr>
      <w:numPr>
        <w:ilvl w:val="0"/>
        <w:numId w:val="0"/>
      </w:numPr>
      <w:tabs>
        <w:tab w:val="clear" w:pos="480"/>
        <w:tab w:val="clear" w:pos="630"/>
      </w:tabs>
      <w:spacing w:before="0" w:after="0" w:line="300" w:lineRule="auto"/>
      <w:ind w:firstLine="200" w:firstLineChars="200"/>
      <w:jc w:val="center"/>
    </w:pPr>
    <w:rPr>
      <w:rFonts w:ascii="Arial" w:hAnsi="Arial" w:eastAsia="黑体" w:cs="宋体"/>
      <w:b w:val="0"/>
      <w:sz w:val="30"/>
      <w:szCs w:val="20"/>
    </w:rPr>
  </w:style>
  <w:style w:type="paragraph" w:customStyle="1" w:styleId="256">
    <w:name w:val="样式 标题 3 + 首行缩进:  2 字符"/>
    <w:basedOn w:val="5"/>
    <w:semiHidden/>
    <w:qFormat/>
    <w:uiPriority w:val="0"/>
    <w:pPr>
      <w:numPr>
        <w:ilvl w:val="0"/>
        <w:numId w:val="0"/>
      </w:numPr>
      <w:tabs>
        <w:tab w:val="clear" w:pos="480"/>
        <w:tab w:val="clear" w:pos="840"/>
      </w:tabs>
      <w:spacing w:before="0" w:after="0" w:line="300" w:lineRule="auto"/>
    </w:pPr>
    <w:rPr>
      <w:rFonts w:ascii="Times New Roman" w:eastAsia="黑体" w:cs="宋体"/>
      <w:b w:val="0"/>
      <w:sz w:val="28"/>
      <w:szCs w:val="20"/>
    </w:rPr>
  </w:style>
  <w:style w:type="paragraph" w:customStyle="1" w:styleId="257">
    <w:name w:val="样式 表格1 + 首行缩进:  2 字符"/>
    <w:basedOn w:val="175"/>
    <w:semiHidden/>
    <w:qFormat/>
    <w:uiPriority w:val="0"/>
    <w:pPr>
      <w:topLinePunct w:val="0"/>
      <w:autoSpaceDE/>
      <w:autoSpaceDN/>
      <w:textAlignment w:val="center"/>
    </w:pPr>
    <w:rPr>
      <w:rFonts w:hAnsi="宋体" w:cs="宋体"/>
      <w:kern w:val="0"/>
      <w:sz w:val="24"/>
    </w:rPr>
  </w:style>
  <w:style w:type="paragraph" w:customStyle="1" w:styleId="258">
    <w:name w:val="样式 标题 2 + 首行缩进:  2 字符"/>
    <w:basedOn w:val="4"/>
    <w:semiHidden/>
    <w:qFormat/>
    <w:uiPriority w:val="0"/>
    <w:pPr>
      <w:numPr>
        <w:ilvl w:val="0"/>
        <w:numId w:val="0"/>
      </w:numPr>
      <w:tabs>
        <w:tab w:val="clear" w:pos="480"/>
        <w:tab w:val="clear" w:pos="630"/>
      </w:tabs>
      <w:spacing w:before="0" w:after="0" w:line="300" w:lineRule="auto"/>
    </w:pPr>
    <w:rPr>
      <w:rFonts w:ascii="Arial" w:hAnsi="Arial" w:eastAsia="黑体" w:cs="宋体"/>
      <w:b w:val="0"/>
      <w:sz w:val="30"/>
      <w:szCs w:val="20"/>
    </w:rPr>
  </w:style>
  <w:style w:type="paragraph" w:customStyle="1" w:styleId="259">
    <w:name w:val="样式 标题 1 + 首行缩进:  2 字符1"/>
    <w:basedOn w:val="3"/>
    <w:semiHidden/>
    <w:qFormat/>
    <w:uiPriority w:val="0"/>
    <w:pPr>
      <w:numPr>
        <w:numId w:val="0"/>
      </w:numPr>
      <w:tabs>
        <w:tab w:val="clear" w:pos="480"/>
      </w:tabs>
      <w:spacing w:line="578" w:lineRule="auto"/>
      <w:jc w:val="center"/>
    </w:pPr>
    <w:rPr>
      <w:rFonts w:ascii="Times New Roman" w:eastAsia="宋体" w:cs="宋体"/>
      <w:sz w:val="44"/>
      <w:szCs w:val="20"/>
    </w:rPr>
  </w:style>
  <w:style w:type="paragraph" w:customStyle="1" w:styleId="260">
    <w:name w:val="样式 标题 2 + 首行缩进:  2 字符 + 首行缩进:  2 字符"/>
    <w:basedOn w:val="255"/>
    <w:semiHidden/>
    <w:qFormat/>
    <w:uiPriority w:val="0"/>
    <w:pPr>
      <w:ind w:firstLine="0" w:firstLineChars="0"/>
    </w:pPr>
    <w:rPr>
      <w:bCs w:val="0"/>
    </w:rPr>
  </w:style>
  <w:style w:type="paragraph" w:customStyle="1" w:styleId="261">
    <w:name w:val="样式 目录 2 + 左侧:  2 字符 首行缩进:  2 字符"/>
    <w:basedOn w:val="74"/>
    <w:semiHidden/>
    <w:qFormat/>
    <w:uiPriority w:val="0"/>
    <w:pPr>
      <w:ind w:left="480" w:firstLine="480"/>
      <w:jc w:val="both"/>
    </w:pPr>
    <w:rPr>
      <w:rFonts w:cs="宋体"/>
    </w:rPr>
  </w:style>
  <w:style w:type="paragraph" w:customStyle="1" w:styleId="262">
    <w:name w:val="样式 目录 2 + 左侧:  2 字符 首行缩进:  2 字符1"/>
    <w:basedOn w:val="74"/>
    <w:semiHidden/>
    <w:qFormat/>
    <w:uiPriority w:val="0"/>
    <w:pPr>
      <w:ind w:left="480" w:firstLine="480"/>
      <w:jc w:val="both"/>
    </w:pPr>
    <w:rPr>
      <w:rFonts w:cs="宋体"/>
    </w:rPr>
  </w:style>
  <w:style w:type="paragraph" w:customStyle="1" w:styleId="263">
    <w:name w:val="样式 目录 2 + 左侧:  2 字符 首行缩进:  2 字符2"/>
    <w:basedOn w:val="74"/>
    <w:semiHidden/>
    <w:qFormat/>
    <w:uiPriority w:val="0"/>
    <w:pPr>
      <w:ind w:left="200"/>
      <w:jc w:val="both"/>
    </w:pPr>
    <w:rPr>
      <w:rFonts w:cs="宋体"/>
    </w:rPr>
  </w:style>
  <w:style w:type="paragraph" w:customStyle="1" w:styleId="264">
    <w:name w:val="样式 目录 2 + 左侧:  2 字符 首行缩进:  2 字符3"/>
    <w:basedOn w:val="74"/>
    <w:semiHidden/>
    <w:qFormat/>
    <w:uiPriority w:val="0"/>
    <w:pPr>
      <w:ind w:left="200"/>
      <w:jc w:val="both"/>
    </w:pPr>
    <w:rPr>
      <w:rFonts w:cs="宋体"/>
    </w:rPr>
  </w:style>
  <w:style w:type="paragraph" w:customStyle="1" w:styleId="265">
    <w:name w:val="样式 目录 2 + 左侧:  2 字符 首行缩进:  2 字符4"/>
    <w:basedOn w:val="74"/>
    <w:semiHidden/>
    <w:qFormat/>
    <w:uiPriority w:val="0"/>
    <w:pPr>
      <w:ind w:left="200"/>
      <w:jc w:val="both"/>
    </w:pPr>
    <w:rPr>
      <w:rFonts w:cs="宋体"/>
    </w:rPr>
  </w:style>
  <w:style w:type="paragraph" w:customStyle="1" w:styleId="266">
    <w:name w:val="样式 目录 2 + 左侧:  2 字符 首行缩进:  2 字符5"/>
    <w:basedOn w:val="74"/>
    <w:semiHidden/>
    <w:qFormat/>
    <w:uiPriority w:val="0"/>
    <w:pPr>
      <w:ind w:left="480" w:firstLine="420"/>
      <w:jc w:val="both"/>
    </w:pPr>
    <w:rPr>
      <w:rFonts w:cs="宋体"/>
      <w:szCs w:val="21"/>
    </w:rPr>
  </w:style>
  <w:style w:type="character" w:customStyle="1" w:styleId="267">
    <w:name w:val="puntext"/>
    <w:basedOn w:val="132"/>
    <w:semiHidden/>
    <w:qFormat/>
    <w:uiPriority w:val="0"/>
  </w:style>
  <w:style w:type="paragraph" w:customStyle="1" w:styleId="268">
    <w:name w:val="正文 + (西文) 宋体"/>
    <w:basedOn w:val="1"/>
    <w:semiHidden/>
    <w:qFormat/>
    <w:uiPriority w:val="0"/>
    <w:pPr>
      <w:tabs>
        <w:tab w:val="left" w:pos="1260"/>
        <w:tab w:val="clear" w:pos="480"/>
      </w:tabs>
      <w:ind w:firstLine="510"/>
    </w:pPr>
    <w:rPr>
      <w:rFonts w:ascii="宋体" w:hAnsi="宋体" w:eastAsia="仿宋_GB2312"/>
    </w:rPr>
  </w:style>
  <w:style w:type="paragraph" w:customStyle="1" w:styleId="269">
    <w:name w:val="样式 标题 2 + 非加粗"/>
    <w:basedOn w:val="4"/>
    <w:semiHidden/>
    <w:qFormat/>
    <w:uiPriority w:val="0"/>
    <w:pPr>
      <w:numPr>
        <w:ilvl w:val="0"/>
        <w:numId w:val="0"/>
      </w:numPr>
      <w:tabs>
        <w:tab w:val="clear" w:pos="480"/>
        <w:tab w:val="clear" w:pos="630"/>
      </w:tabs>
      <w:spacing w:after="260" w:line="312" w:lineRule="auto"/>
      <w:jc w:val="left"/>
    </w:pPr>
    <w:rPr>
      <w:rFonts w:eastAsia="黑体"/>
      <w:sz w:val="24"/>
    </w:rPr>
  </w:style>
  <w:style w:type="character" w:customStyle="1" w:styleId="270">
    <w:name w:val="样式 标题 2 + 非加粗 Char"/>
    <w:semiHidden/>
    <w:qFormat/>
    <w:uiPriority w:val="0"/>
    <w:rPr>
      <w:rFonts w:eastAsia="黑体"/>
      <w:b/>
      <w:bCs/>
      <w:kern w:val="2"/>
      <w:sz w:val="24"/>
      <w:szCs w:val="32"/>
      <w:lang w:val="en-US" w:eastAsia="zh-CN" w:bidi="ar-SA"/>
    </w:rPr>
  </w:style>
  <w:style w:type="paragraph" w:customStyle="1" w:styleId="271">
    <w:name w:val="表格样式"/>
    <w:basedOn w:val="1"/>
    <w:link w:val="2154"/>
    <w:semiHidden/>
    <w:qFormat/>
    <w:uiPriority w:val="0"/>
    <w:pPr>
      <w:tabs>
        <w:tab w:val="clear" w:pos="480"/>
      </w:tabs>
      <w:spacing w:line="240" w:lineRule="auto"/>
      <w:jc w:val="center"/>
    </w:pPr>
    <w:rPr>
      <w:rFonts w:ascii="宋体"/>
      <w:bCs/>
      <w:snapToGrid w:val="0"/>
      <w:sz w:val="21"/>
    </w:rPr>
  </w:style>
  <w:style w:type="paragraph" w:customStyle="1" w:styleId="272">
    <w:name w:val="样式 标题 2 + 段后: 16.3 磅"/>
    <w:basedOn w:val="4"/>
    <w:semiHidden/>
    <w:qFormat/>
    <w:uiPriority w:val="0"/>
    <w:pPr>
      <w:numPr>
        <w:ilvl w:val="0"/>
        <w:numId w:val="0"/>
      </w:numPr>
      <w:tabs>
        <w:tab w:val="clear" w:pos="480"/>
        <w:tab w:val="clear" w:pos="630"/>
      </w:tabs>
      <w:spacing w:after="326" w:line="312" w:lineRule="auto"/>
      <w:jc w:val="left"/>
    </w:pPr>
    <w:rPr>
      <w:rFonts w:eastAsia="黑体" w:cs="宋体"/>
      <w:sz w:val="24"/>
      <w:szCs w:val="20"/>
    </w:rPr>
  </w:style>
  <w:style w:type="paragraph" w:customStyle="1" w:styleId="273">
    <w:name w:val="样式 标题 3 + 首行缩进:  2 字符 段前: 8.15 磅 段后: 8.15 磅"/>
    <w:basedOn w:val="5"/>
    <w:semiHidden/>
    <w:qFormat/>
    <w:uiPriority w:val="0"/>
    <w:pPr>
      <w:numPr>
        <w:ilvl w:val="0"/>
        <w:numId w:val="0"/>
      </w:numPr>
      <w:tabs>
        <w:tab w:val="clear" w:pos="480"/>
        <w:tab w:val="clear" w:pos="840"/>
      </w:tabs>
      <w:spacing w:before="163" w:after="163" w:line="0" w:lineRule="atLeast"/>
      <w:ind w:firstLine="482" w:firstLineChars="200"/>
      <w:jc w:val="left"/>
    </w:pPr>
    <w:rPr>
      <w:rFonts w:ascii="Arial Unicode MS" w:hAnsi="Arial Unicode MS" w:eastAsia="黑体" w:cs="宋体"/>
      <w:sz w:val="24"/>
      <w:szCs w:val="20"/>
    </w:rPr>
  </w:style>
  <w:style w:type="paragraph" w:customStyle="1" w:styleId="274">
    <w:name w:val="样式 标题 3 + 首行缩进:  2 字符 段前: 8.15 磅 段后: 8.15 磅1"/>
    <w:basedOn w:val="5"/>
    <w:semiHidden/>
    <w:qFormat/>
    <w:uiPriority w:val="0"/>
    <w:pPr>
      <w:numPr>
        <w:ilvl w:val="0"/>
        <w:numId w:val="0"/>
      </w:numPr>
      <w:tabs>
        <w:tab w:val="clear" w:pos="480"/>
        <w:tab w:val="clear" w:pos="840"/>
      </w:tabs>
      <w:spacing w:before="163" w:after="163" w:line="0" w:lineRule="atLeast"/>
      <w:ind w:firstLine="482" w:firstLineChars="200"/>
      <w:jc w:val="left"/>
    </w:pPr>
    <w:rPr>
      <w:rFonts w:ascii="Arial Unicode MS" w:hAnsi="Arial Unicode MS" w:eastAsia="黑体" w:cs="宋体"/>
      <w:sz w:val="24"/>
      <w:szCs w:val="20"/>
    </w:rPr>
  </w:style>
  <w:style w:type="paragraph" w:customStyle="1" w:styleId="275">
    <w:name w:val="样式 标题 3 + 首行缩进:  2 字符 段前: 8.15 磅 段后: 8.15 磅2"/>
    <w:basedOn w:val="5"/>
    <w:semiHidden/>
    <w:qFormat/>
    <w:uiPriority w:val="0"/>
    <w:pPr>
      <w:numPr>
        <w:ilvl w:val="0"/>
        <w:numId w:val="0"/>
      </w:numPr>
      <w:tabs>
        <w:tab w:val="clear" w:pos="480"/>
        <w:tab w:val="clear" w:pos="840"/>
      </w:tabs>
      <w:spacing w:before="163" w:after="163" w:line="0" w:lineRule="atLeast"/>
      <w:ind w:firstLine="482" w:firstLineChars="200"/>
      <w:jc w:val="left"/>
    </w:pPr>
    <w:rPr>
      <w:rFonts w:ascii="Arial Unicode MS" w:hAnsi="Arial Unicode MS" w:eastAsia="黑体" w:cs="宋体"/>
      <w:sz w:val="24"/>
      <w:szCs w:val="20"/>
    </w:rPr>
  </w:style>
  <w:style w:type="paragraph" w:customStyle="1" w:styleId="276">
    <w:name w:val="样式 标题 3 + 首行缩进:  2 字符 段前: 8.15 磅 段后: 8.15 磅3"/>
    <w:basedOn w:val="5"/>
    <w:semiHidden/>
    <w:qFormat/>
    <w:uiPriority w:val="0"/>
    <w:pPr>
      <w:numPr>
        <w:ilvl w:val="0"/>
        <w:numId w:val="0"/>
      </w:numPr>
      <w:tabs>
        <w:tab w:val="clear" w:pos="480"/>
        <w:tab w:val="clear" w:pos="840"/>
      </w:tabs>
      <w:spacing w:before="163" w:after="163" w:line="0" w:lineRule="atLeast"/>
      <w:jc w:val="left"/>
    </w:pPr>
    <w:rPr>
      <w:rFonts w:ascii="Arial Unicode MS" w:hAnsi="Arial Unicode MS" w:eastAsia="黑体" w:cs="宋体"/>
      <w:sz w:val="24"/>
      <w:szCs w:val="20"/>
    </w:rPr>
  </w:style>
  <w:style w:type="character" w:customStyle="1" w:styleId="277">
    <w:name w:val="tpc_content1"/>
    <w:semiHidden/>
    <w:qFormat/>
    <w:uiPriority w:val="0"/>
    <w:rPr>
      <w:sz w:val="36"/>
      <w:szCs w:val="36"/>
    </w:rPr>
  </w:style>
  <w:style w:type="paragraph" w:customStyle="1" w:styleId="278">
    <w:name w:val="圆点"/>
    <w:semiHidden/>
    <w:qFormat/>
    <w:uiPriority w:val="0"/>
    <w:pPr>
      <w:tabs>
        <w:tab w:val="left" w:pos="1199"/>
        <w:tab w:val="left" w:pos="1242"/>
      </w:tabs>
      <w:snapToGrid w:val="0"/>
      <w:spacing w:line="360" w:lineRule="auto"/>
      <w:ind w:left="1196" w:hanging="476"/>
      <w:jc w:val="center"/>
    </w:pPr>
    <w:rPr>
      <w:rFonts w:ascii="Times New Roman" w:hAnsi="Times New Roman" w:eastAsia="宋体" w:cs="Times New Roman"/>
      <w:snapToGrid w:val="0"/>
      <w:kern w:val="2"/>
      <w:sz w:val="24"/>
      <w:szCs w:val="24"/>
      <w:lang w:val="en-US" w:eastAsia="zh-CN" w:bidi="ar-SA"/>
    </w:rPr>
  </w:style>
  <w:style w:type="character" w:customStyle="1" w:styleId="279">
    <w:name w:val="unnamed1"/>
    <w:basedOn w:val="132"/>
    <w:semiHidden/>
    <w:qFormat/>
    <w:uiPriority w:val="0"/>
  </w:style>
  <w:style w:type="paragraph" w:customStyle="1" w:styleId="280">
    <w:name w:val="样式 标题 3 + 首行缩进:  0.85 厘米"/>
    <w:basedOn w:val="5"/>
    <w:semiHidden/>
    <w:qFormat/>
    <w:uiPriority w:val="0"/>
    <w:pPr>
      <w:numPr>
        <w:ilvl w:val="0"/>
        <w:numId w:val="0"/>
      </w:numPr>
      <w:tabs>
        <w:tab w:val="clear" w:pos="480"/>
        <w:tab w:val="clear" w:pos="840"/>
      </w:tabs>
      <w:spacing w:before="260" w:line="415" w:lineRule="auto"/>
    </w:pPr>
    <w:rPr>
      <w:rFonts w:ascii="Times New Roman"/>
      <w:sz w:val="24"/>
      <w:szCs w:val="24"/>
    </w:rPr>
  </w:style>
  <w:style w:type="paragraph" w:customStyle="1" w:styleId="281">
    <w:name w:val="小五居中"/>
    <w:basedOn w:val="1"/>
    <w:semiHidden/>
    <w:qFormat/>
    <w:uiPriority w:val="0"/>
    <w:pPr>
      <w:tabs>
        <w:tab w:val="clear" w:pos="480"/>
      </w:tabs>
      <w:spacing w:line="240" w:lineRule="auto"/>
      <w:jc w:val="center"/>
    </w:pPr>
    <w:rPr>
      <w:sz w:val="18"/>
    </w:rPr>
  </w:style>
  <w:style w:type="character" w:customStyle="1" w:styleId="282">
    <w:name w:val="postbody1"/>
    <w:qFormat/>
    <w:uiPriority w:val="0"/>
    <w:rPr>
      <w:spacing w:val="270"/>
      <w:sz w:val="18"/>
      <w:szCs w:val="18"/>
    </w:rPr>
  </w:style>
  <w:style w:type="character" w:customStyle="1" w:styleId="283">
    <w:name w:val="style11"/>
    <w:semiHidden/>
    <w:qFormat/>
    <w:uiPriority w:val="0"/>
    <w:rPr>
      <w:sz w:val="23"/>
      <w:szCs w:val="23"/>
    </w:rPr>
  </w:style>
  <w:style w:type="paragraph" w:customStyle="1" w:styleId="284">
    <w:name w:val="MTDisplayEquation"/>
    <w:basedOn w:val="1"/>
    <w:next w:val="1"/>
    <w:semiHidden/>
    <w:qFormat/>
    <w:uiPriority w:val="0"/>
    <w:pPr>
      <w:tabs>
        <w:tab w:val="center" w:pos="4160"/>
        <w:tab w:val="right" w:pos="8320"/>
        <w:tab w:val="clear" w:pos="480"/>
      </w:tabs>
      <w:ind w:firstLine="480"/>
    </w:pPr>
  </w:style>
  <w:style w:type="paragraph" w:customStyle="1" w:styleId="285">
    <w:name w:val="样式 标题 3 + 左侧:  0.5 字符1"/>
    <w:basedOn w:val="5"/>
    <w:semiHidden/>
    <w:qFormat/>
    <w:uiPriority w:val="0"/>
    <w:pPr>
      <w:numPr>
        <w:ilvl w:val="0"/>
        <w:numId w:val="0"/>
      </w:numPr>
      <w:tabs>
        <w:tab w:val="clear" w:pos="480"/>
        <w:tab w:val="clear" w:pos="840"/>
      </w:tabs>
      <w:spacing w:after="120" w:line="415" w:lineRule="auto"/>
      <w:ind w:left="50" w:leftChars="50"/>
      <w:jc w:val="left"/>
    </w:pPr>
    <w:rPr>
      <w:rFonts w:ascii="Arial" w:hAnsi="Arial" w:eastAsia="黑体"/>
      <w:b w:val="0"/>
      <w:sz w:val="28"/>
      <w:szCs w:val="20"/>
    </w:rPr>
  </w:style>
  <w:style w:type="paragraph" w:customStyle="1" w:styleId="286">
    <w:name w:val="公式"/>
    <w:basedOn w:val="1"/>
    <w:link w:val="1987"/>
    <w:qFormat/>
    <w:uiPriority w:val="0"/>
    <w:pPr>
      <w:tabs>
        <w:tab w:val="clear" w:pos="480"/>
      </w:tabs>
      <w:adjustRightInd w:val="0"/>
      <w:spacing w:line="288" w:lineRule="auto"/>
      <w:jc w:val="center"/>
      <w:textAlignment w:val="baseline"/>
    </w:pPr>
    <w:rPr>
      <w:kern w:val="0"/>
    </w:rPr>
  </w:style>
  <w:style w:type="paragraph" w:customStyle="1" w:styleId="287">
    <w:name w:val="正式文本"/>
    <w:basedOn w:val="1"/>
    <w:semiHidden/>
    <w:qFormat/>
    <w:uiPriority w:val="0"/>
    <w:pPr>
      <w:tabs>
        <w:tab w:val="clear" w:pos="480"/>
      </w:tabs>
      <w:spacing w:line="240" w:lineRule="auto"/>
      <w:ind w:firstLine="199" w:firstLineChars="71"/>
    </w:pPr>
    <w:rPr>
      <w:rFonts w:ascii="仿宋_GB2312" w:eastAsia="仿宋_GB2312"/>
      <w:sz w:val="28"/>
      <w:szCs w:val="21"/>
    </w:rPr>
  </w:style>
  <w:style w:type="paragraph" w:customStyle="1" w:styleId="288">
    <w:name w:val="样式 样式 首行缩进:  2 字符 + 首行缩进:  2 字符"/>
    <w:basedOn w:val="1"/>
    <w:qFormat/>
    <w:uiPriority w:val="0"/>
    <w:pPr>
      <w:tabs>
        <w:tab w:val="clear" w:pos="480"/>
      </w:tabs>
      <w:snapToGrid w:val="0"/>
      <w:ind w:firstLine="502"/>
    </w:pPr>
  </w:style>
  <w:style w:type="paragraph" w:customStyle="1" w:styleId="289">
    <w:name w:val="样式 列表 + 居中"/>
    <w:basedOn w:val="66"/>
    <w:semiHidden/>
    <w:qFormat/>
    <w:uiPriority w:val="0"/>
    <w:pPr>
      <w:snapToGrid w:val="0"/>
      <w:ind w:left="0" w:firstLine="0" w:firstLineChars="0"/>
      <w:jc w:val="center"/>
    </w:pPr>
    <w:rPr>
      <w:szCs w:val="21"/>
    </w:rPr>
  </w:style>
  <w:style w:type="paragraph" w:customStyle="1" w:styleId="290">
    <w:name w:val="Body Text 21"/>
    <w:basedOn w:val="1"/>
    <w:qFormat/>
    <w:uiPriority w:val="0"/>
    <w:pPr>
      <w:tabs>
        <w:tab w:val="clear" w:pos="480"/>
      </w:tabs>
      <w:autoSpaceDE w:val="0"/>
      <w:autoSpaceDN w:val="0"/>
      <w:adjustRightInd w:val="0"/>
      <w:spacing w:line="480" w:lineRule="exact"/>
      <w:ind w:firstLine="540"/>
      <w:textAlignment w:val="baseline"/>
    </w:pPr>
    <w:rPr>
      <w:rFonts w:ascii="宋体" w:hAnsi="Tms Rmn"/>
      <w:kern w:val="0"/>
      <w:szCs w:val="20"/>
    </w:rPr>
  </w:style>
  <w:style w:type="paragraph" w:customStyle="1" w:styleId="291">
    <w:name w:val="AFTERTITLE"/>
    <w:basedOn w:val="1"/>
    <w:semiHidden/>
    <w:qFormat/>
    <w:uiPriority w:val="0"/>
    <w:pPr>
      <w:widowControl/>
      <w:tabs>
        <w:tab w:val="clear" w:pos="480"/>
      </w:tabs>
      <w:spacing w:line="360" w:lineRule="atLeast"/>
      <w:jc w:val="center"/>
    </w:pPr>
    <w:rPr>
      <w:b/>
      <w:caps/>
      <w:kern w:val="0"/>
      <w:szCs w:val="20"/>
      <w:lang w:eastAsia="en-US"/>
    </w:rPr>
  </w:style>
  <w:style w:type="paragraph" w:customStyle="1" w:styleId="292">
    <w:name w:val="样式1.1.1"/>
    <w:basedOn w:val="1"/>
    <w:semiHidden/>
    <w:qFormat/>
    <w:uiPriority w:val="0"/>
    <w:pPr>
      <w:tabs>
        <w:tab w:val="clear" w:pos="480"/>
      </w:tabs>
      <w:spacing w:line="460" w:lineRule="exact"/>
    </w:pPr>
    <w:rPr>
      <w:b/>
      <w:sz w:val="28"/>
      <w:szCs w:val="20"/>
    </w:rPr>
  </w:style>
  <w:style w:type="paragraph" w:customStyle="1" w:styleId="293">
    <w:name w:val="基准页眉样式"/>
    <w:basedOn w:val="34"/>
    <w:semiHidden/>
    <w:qFormat/>
    <w:uiPriority w:val="0"/>
    <w:pPr>
      <w:keepLines/>
      <w:widowControl/>
      <w:tabs>
        <w:tab w:val="center" w:pos="-18551"/>
        <w:tab w:val="right" w:pos="4320"/>
      </w:tabs>
      <w:spacing w:line="240" w:lineRule="atLeast"/>
      <w:jc w:val="center"/>
    </w:pPr>
    <w:rPr>
      <w:rFonts w:ascii="Garamond" w:hAnsi="Garamond"/>
      <w:smallCaps/>
      <w:spacing w:val="15"/>
      <w:kern w:val="0"/>
    </w:rPr>
  </w:style>
  <w:style w:type="paragraph" w:customStyle="1" w:styleId="294">
    <w:name w:val="默认段落字体 Para Char Char Char Char"/>
    <w:basedOn w:val="1"/>
    <w:qFormat/>
    <w:uiPriority w:val="0"/>
    <w:pPr>
      <w:tabs>
        <w:tab w:val="clear" w:pos="480"/>
      </w:tabs>
      <w:spacing w:line="240" w:lineRule="auto"/>
    </w:pPr>
    <w:rPr>
      <w:spacing w:val="-2"/>
      <w:kern w:val="0"/>
    </w:rPr>
  </w:style>
  <w:style w:type="paragraph" w:customStyle="1" w:styleId="295">
    <w:name w:val="正文缩"/>
    <w:basedOn w:val="1"/>
    <w:semiHidden/>
    <w:qFormat/>
    <w:uiPriority w:val="0"/>
    <w:pPr>
      <w:tabs>
        <w:tab w:val="clear" w:pos="480"/>
      </w:tabs>
      <w:adjustRightInd w:val="0"/>
      <w:snapToGrid w:val="0"/>
      <w:spacing w:line="480" w:lineRule="atLeast"/>
      <w:ind w:firstLine="671" w:firstLineChars="150"/>
    </w:pPr>
    <w:rPr>
      <w:rFonts w:ascii="宋体"/>
      <w:snapToGrid w:val="0"/>
      <w:spacing w:val="6"/>
      <w:kern w:val="0"/>
      <w:sz w:val="28"/>
      <w:szCs w:val="20"/>
    </w:rPr>
  </w:style>
  <w:style w:type="paragraph" w:customStyle="1" w:styleId="296">
    <w:name w:val="正文样式1"/>
    <w:basedOn w:val="1"/>
    <w:link w:val="668"/>
    <w:qFormat/>
    <w:uiPriority w:val="0"/>
    <w:pPr>
      <w:tabs>
        <w:tab w:val="clear" w:pos="480"/>
      </w:tabs>
      <w:adjustRightInd w:val="0"/>
      <w:snapToGrid w:val="0"/>
      <w:ind w:firstLine="510"/>
      <w:textAlignment w:val="baseline"/>
    </w:pPr>
    <w:rPr>
      <w:kern w:val="24"/>
      <w:szCs w:val="20"/>
    </w:rPr>
  </w:style>
  <w:style w:type="paragraph" w:customStyle="1" w:styleId="297">
    <w:name w:val="表格样式1"/>
    <w:basedOn w:val="1"/>
    <w:semiHidden/>
    <w:qFormat/>
    <w:uiPriority w:val="0"/>
    <w:pPr>
      <w:tabs>
        <w:tab w:val="clear" w:pos="480"/>
      </w:tabs>
      <w:adjustRightInd w:val="0"/>
      <w:spacing w:line="20" w:lineRule="atLeast"/>
      <w:jc w:val="center"/>
      <w:textAlignment w:val="baseline"/>
    </w:pPr>
    <w:rPr>
      <w:rFonts w:ascii="宋体"/>
      <w:kern w:val="0"/>
      <w:sz w:val="21"/>
      <w:szCs w:val="20"/>
    </w:rPr>
  </w:style>
  <w:style w:type="paragraph" w:customStyle="1" w:styleId="298">
    <w:name w:val="正文样式3"/>
    <w:basedOn w:val="1"/>
    <w:semiHidden/>
    <w:qFormat/>
    <w:uiPriority w:val="0"/>
    <w:pPr>
      <w:tabs>
        <w:tab w:val="clear" w:pos="480"/>
      </w:tabs>
      <w:adjustRightInd w:val="0"/>
      <w:spacing w:line="20" w:lineRule="atLeast"/>
      <w:jc w:val="center"/>
      <w:textAlignment w:val="baseline"/>
    </w:pPr>
    <w:rPr>
      <w:kern w:val="0"/>
      <w:szCs w:val="20"/>
    </w:rPr>
  </w:style>
  <w:style w:type="paragraph" w:customStyle="1" w:styleId="299">
    <w:name w:val="F正文"/>
    <w:semiHidden/>
    <w:qFormat/>
    <w:uiPriority w:val="0"/>
    <w:pPr>
      <w:widowControl w:val="0"/>
      <w:adjustRightInd w:val="0"/>
      <w:spacing w:line="360" w:lineRule="atLeast"/>
      <w:jc w:val="center"/>
      <w:textAlignment w:val="baseline"/>
    </w:pPr>
    <w:rPr>
      <w:rFonts w:ascii="Times New Roman" w:hAnsi="Times New Roman" w:eastAsia="宋体" w:cs="Times New Roman"/>
      <w:spacing w:val="12"/>
      <w:kern w:val="2"/>
      <w:sz w:val="24"/>
      <w:szCs w:val="24"/>
      <w:lang w:val="en-US" w:eastAsia="zh-CN" w:bidi="ar-SA"/>
    </w:rPr>
  </w:style>
  <w:style w:type="paragraph" w:customStyle="1" w:styleId="300">
    <w:name w:val="Char Char Char Char Char Char Char Char Char Char"/>
    <w:basedOn w:val="1"/>
    <w:semiHidden/>
    <w:qFormat/>
    <w:uiPriority w:val="0"/>
    <w:pPr>
      <w:tabs>
        <w:tab w:val="clear" w:pos="480"/>
      </w:tabs>
      <w:adjustRightInd w:val="0"/>
    </w:pPr>
    <w:rPr>
      <w:kern w:val="0"/>
      <w:szCs w:val="20"/>
    </w:rPr>
  </w:style>
  <w:style w:type="paragraph" w:customStyle="1" w:styleId="301">
    <w:name w:val="Char Char Char Char Char Char Char"/>
    <w:basedOn w:val="1"/>
    <w:qFormat/>
    <w:uiPriority w:val="0"/>
    <w:pPr>
      <w:tabs>
        <w:tab w:val="clear" w:pos="480"/>
      </w:tabs>
      <w:jc w:val="left"/>
    </w:pPr>
  </w:style>
  <w:style w:type="character" w:customStyle="1" w:styleId="302">
    <w:name w:val="hui1"/>
    <w:semiHidden/>
    <w:qFormat/>
    <w:uiPriority w:val="0"/>
    <w:rPr>
      <w:color w:val="404040"/>
      <w:sz w:val="16"/>
      <w:szCs w:val="16"/>
      <w:u w:val="none"/>
    </w:rPr>
  </w:style>
  <w:style w:type="paragraph" w:customStyle="1" w:styleId="303">
    <w:name w:val="样式 标题 4Subsection标题 14 + 段前: 1 行"/>
    <w:basedOn w:val="1"/>
    <w:semiHidden/>
    <w:qFormat/>
    <w:uiPriority w:val="0"/>
    <w:pPr>
      <w:tabs>
        <w:tab w:val="clear" w:pos="480"/>
      </w:tabs>
      <w:spacing w:before="100" w:beforeAutospacing="1"/>
      <w:outlineLvl w:val="4"/>
    </w:pPr>
    <w:rPr>
      <w:rFonts w:cs="宋体"/>
      <w:sz w:val="21"/>
    </w:rPr>
  </w:style>
  <w:style w:type="paragraph" w:customStyle="1" w:styleId="304">
    <w:name w:val="font7"/>
    <w:basedOn w:val="1"/>
    <w:qFormat/>
    <w:uiPriority w:val="0"/>
    <w:pPr>
      <w:widowControl/>
      <w:tabs>
        <w:tab w:val="clear" w:pos="480"/>
      </w:tabs>
      <w:spacing w:before="100" w:beforeAutospacing="1" w:after="100" w:afterAutospacing="1" w:line="240" w:lineRule="auto"/>
      <w:jc w:val="left"/>
    </w:pPr>
    <w:rPr>
      <w:b/>
      <w:bCs/>
      <w:kern w:val="0"/>
      <w:sz w:val="28"/>
      <w:szCs w:val="28"/>
    </w:rPr>
  </w:style>
  <w:style w:type="paragraph" w:customStyle="1" w:styleId="305">
    <w:name w:val="xl27"/>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olor w:val="000000"/>
      <w:kern w:val="0"/>
    </w:rPr>
  </w:style>
  <w:style w:type="paragraph" w:customStyle="1" w:styleId="306">
    <w:name w:val="xl28"/>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color w:val="000000"/>
      <w:kern w:val="0"/>
    </w:rPr>
  </w:style>
  <w:style w:type="paragraph" w:customStyle="1" w:styleId="307">
    <w:name w:val="xl30"/>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b/>
      <w:bCs/>
      <w:kern w:val="0"/>
      <w:sz w:val="28"/>
      <w:szCs w:val="28"/>
    </w:rPr>
  </w:style>
  <w:style w:type="paragraph" w:customStyle="1" w:styleId="308">
    <w:name w:val="xl32"/>
    <w:basedOn w:val="1"/>
    <w:qFormat/>
    <w:uiPriority w:val="0"/>
    <w:pPr>
      <w:widowControl/>
      <w:pBdr>
        <w:top w:val="single" w:color="auto" w:sz="4" w:space="0"/>
        <w:left w:val="single" w:color="auto" w:sz="8" w:space="0"/>
        <w:bottom w:val="single" w:color="auto" w:sz="4" w:space="0"/>
        <w:right w:val="single" w:color="auto" w:sz="4" w:space="0"/>
      </w:pBdr>
      <w:tabs>
        <w:tab w:val="clear" w:pos="480"/>
      </w:tabs>
      <w:spacing w:before="100" w:beforeAutospacing="1" w:after="100" w:afterAutospacing="1" w:line="240" w:lineRule="auto"/>
      <w:jc w:val="center"/>
      <w:textAlignment w:val="center"/>
    </w:pPr>
    <w:rPr>
      <w:color w:val="000000"/>
      <w:kern w:val="0"/>
    </w:rPr>
  </w:style>
  <w:style w:type="paragraph" w:customStyle="1" w:styleId="309">
    <w:name w:val="xl34"/>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kern w:val="0"/>
    </w:rPr>
  </w:style>
  <w:style w:type="paragraph" w:customStyle="1" w:styleId="310">
    <w:name w:val="xl35"/>
    <w:basedOn w:val="1"/>
    <w:qFormat/>
    <w:uiPriority w:val="0"/>
    <w:pPr>
      <w:widowControl/>
      <w:pBdr>
        <w:top w:val="single" w:color="auto" w:sz="4" w:space="0"/>
        <w:left w:val="single" w:color="auto" w:sz="8" w:space="0"/>
        <w:bottom w:val="single" w:color="auto" w:sz="8" w:space="0"/>
        <w:right w:val="single" w:color="auto" w:sz="4" w:space="0"/>
      </w:pBdr>
      <w:tabs>
        <w:tab w:val="clear" w:pos="480"/>
      </w:tabs>
      <w:spacing w:before="100" w:beforeAutospacing="1" w:after="100" w:afterAutospacing="1" w:line="240" w:lineRule="auto"/>
      <w:jc w:val="center"/>
      <w:textAlignment w:val="center"/>
    </w:pPr>
    <w:rPr>
      <w:color w:val="000000"/>
      <w:kern w:val="0"/>
    </w:rPr>
  </w:style>
  <w:style w:type="paragraph" w:customStyle="1" w:styleId="311">
    <w:name w:val="样式 标题 1标题3，标题3Head 1wsa一、h1标题2标题 1 CharPart'Document1.标...1"/>
    <w:basedOn w:val="3"/>
    <w:semiHidden/>
    <w:qFormat/>
    <w:uiPriority w:val="0"/>
    <w:pPr>
      <w:widowControl/>
      <w:numPr>
        <w:numId w:val="0"/>
      </w:numPr>
      <w:tabs>
        <w:tab w:val="left" w:pos="720"/>
        <w:tab w:val="clear" w:pos="480"/>
      </w:tabs>
      <w:spacing w:before="300" w:after="300" w:line="520" w:lineRule="exact"/>
      <w:jc w:val="center"/>
    </w:pPr>
    <w:rPr>
      <w:rFonts w:ascii="Times New Roman" w:eastAsia="黑体" w:cs="宋体"/>
      <w:szCs w:val="20"/>
    </w:rPr>
  </w:style>
  <w:style w:type="paragraph" w:customStyle="1" w:styleId="312">
    <w:name w:val="样式 标题 2Chapter Heading2nd levelh22Titre2l2H2Header 2UND...1"/>
    <w:basedOn w:val="4"/>
    <w:semiHidden/>
    <w:qFormat/>
    <w:uiPriority w:val="0"/>
    <w:pPr>
      <w:widowControl/>
      <w:numPr>
        <w:ilvl w:val="0"/>
        <w:numId w:val="0"/>
      </w:numPr>
      <w:tabs>
        <w:tab w:val="left" w:pos="840"/>
        <w:tab w:val="clear" w:pos="480"/>
        <w:tab w:val="clear" w:pos="630"/>
      </w:tabs>
      <w:spacing w:before="120"/>
      <w:ind w:left="840" w:hanging="420"/>
      <w:jc w:val="left"/>
    </w:pPr>
    <w:rPr>
      <w:rFonts w:eastAsia="黑体" w:cs="宋体"/>
      <w:kern w:val="0"/>
      <w:sz w:val="30"/>
      <w:szCs w:val="20"/>
      <w:lang w:eastAsia="en-US" w:bidi="en-US"/>
    </w:rPr>
  </w:style>
  <w:style w:type="paragraph" w:customStyle="1" w:styleId="313">
    <w:name w:val="样式 标题 3h33rd levelH33Head 3level_3PIM 3Level 3 Head二级节名...1"/>
    <w:basedOn w:val="5"/>
    <w:semiHidden/>
    <w:qFormat/>
    <w:uiPriority w:val="0"/>
    <w:pPr>
      <w:widowControl/>
      <w:numPr>
        <w:ilvl w:val="0"/>
        <w:numId w:val="0"/>
      </w:numPr>
      <w:tabs>
        <w:tab w:val="left" w:pos="1260"/>
        <w:tab w:val="clear" w:pos="480"/>
        <w:tab w:val="clear" w:pos="840"/>
      </w:tabs>
      <w:spacing w:before="0" w:after="0" w:line="360" w:lineRule="auto"/>
      <w:ind w:left="1260" w:hanging="420"/>
      <w:jc w:val="left"/>
    </w:pPr>
    <w:rPr>
      <w:rFonts w:ascii="Times New Roman" w:eastAsia="黑体"/>
      <w:kern w:val="0"/>
      <w:sz w:val="24"/>
      <w:szCs w:val="22"/>
      <w:lang w:eastAsia="en-US" w:bidi="en-US"/>
    </w:rPr>
  </w:style>
  <w:style w:type="paragraph" w:customStyle="1" w:styleId="314">
    <w:name w:val="font1"/>
    <w:basedOn w:val="1"/>
    <w:semiHidden/>
    <w:qFormat/>
    <w:uiPriority w:val="0"/>
    <w:pPr>
      <w:widowControl/>
      <w:tabs>
        <w:tab w:val="clear" w:pos="480"/>
      </w:tabs>
      <w:spacing w:before="100" w:beforeAutospacing="1" w:after="100" w:afterAutospacing="1" w:line="240" w:lineRule="auto"/>
      <w:jc w:val="left"/>
    </w:pPr>
    <w:rPr>
      <w:b/>
      <w:bCs/>
      <w:kern w:val="0"/>
    </w:rPr>
  </w:style>
  <w:style w:type="paragraph" w:customStyle="1" w:styleId="315">
    <w:name w:val="font8"/>
    <w:basedOn w:val="1"/>
    <w:qFormat/>
    <w:uiPriority w:val="0"/>
    <w:pPr>
      <w:widowControl/>
      <w:tabs>
        <w:tab w:val="clear" w:pos="480"/>
      </w:tabs>
      <w:spacing w:before="100" w:beforeAutospacing="1" w:after="100" w:afterAutospacing="1" w:line="240" w:lineRule="auto"/>
      <w:jc w:val="left"/>
    </w:pPr>
    <w:rPr>
      <w:rFonts w:ascii="宋体" w:hAnsi="宋体" w:cs="宋体"/>
      <w:b/>
      <w:bCs/>
      <w:kern w:val="0"/>
      <w:sz w:val="18"/>
      <w:szCs w:val="18"/>
    </w:rPr>
  </w:style>
  <w:style w:type="paragraph" w:customStyle="1" w:styleId="316">
    <w:name w:val="font9"/>
    <w:basedOn w:val="1"/>
    <w:qFormat/>
    <w:uiPriority w:val="0"/>
    <w:pPr>
      <w:widowControl/>
      <w:tabs>
        <w:tab w:val="clear" w:pos="480"/>
      </w:tabs>
      <w:spacing w:before="100" w:beforeAutospacing="1" w:after="100" w:afterAutospacing="1" w:line="240" w:lineRule="auto"/>
      <w:jc w:val="left"/>
    </w:pPr>
    <w:rPr>
      <w:rFonts w:ascii="宋体" w:hAnsi="宋体" w:cs="宋体"/>
      <w:color w:val="FF0000"/>
      <w:kern w:val="0"/>
      <w:sz w:val="18"/>
      <w:szCs w:val="18"/>
    </w:rPr>
  </w:style>
  <w:style w:type="paragraph" w:customStyle="1" w:styleId="317">
    <w:name w:val="font10"/>
    <w:basedOn w:val="1"/>
    <w:qFormat/>
    <w:uiPriority w:val="0"/>
    <w:pPr>
      <w:widowControl/>
      <w:tabs>
        <w:tab w:val="clear" w:pos="480"/>
      </w:tabs>
      <w:spacing w:before="100" w:beforeAutospacing="1" w:after="100" w:afterAutospacing="1" w:line="240" w:lineRule="auto"/>
      <w:jc w:val="left"/>
    </w:pPr>
    <w:rPr>
      <w:rFonts w:ascii="宋体" w:hAnsi="宋体" w:cs="宋体"/>
      <w:b/>
      <w:bCs/>
      <w:color w:val="0000FF"/>
      <w:kern w:val="0"/>
      <w:sz w:val="18"/>
      <w:szCs w:val="18"/>
    </w:rPr>
  </w:style>
  <w:style w:type="paragraph" w:customStyle="1" w:styleId="318">
    <w:name w:val="font11"/>
    <w:basedOn w:val="1"/>
    <w:qFormat/>
    <w:uiPriority w:val="0"/>
    <w:pPr>
      <w:widowControl/>
      <w:tabs>
        <w:tab w:val="clear" w:pos="480"/>
      </w:tabs>
      <w:spacing w:before="100" w:beforeAutospacing="1" w:after="100" w:afterAutospacing="1" w:line="240" w:lineRule="auto"/>
      <w:jc w:val="left"/>
    </w:pPr>
    <w:rPr>
      <w:rFonts w:ascii="宋体" w:hAnsi="宋体" w:cs="宋体"/>
      <w:b/>
      <w:bCs/>
      <w:color w:val="000000"/>
      <w:kern w:val="0"/>
      <w:sz w:val="18"/>
      <w:szCs w:val="18"/>
    </w:rPr>
  </w:style>
  <w:style w:type="paragraph" w:customStyle="1" w:styleId="319">
    <w:name w:val="font12"/>
    <w:basedOn w:val="1"/>
    <w:qFormat/>
    <w:uiPriority w:val="0"/>
    <w:pPr>
      <w:widowControl/>
      <w:tabs>
        <w:tab w:val="clear" w:pos="480"/>
      </w:tabs>
      <w:spacing w:before="100" w:beforeAutospacing="1" w:after="100" w:afterAutospacing="1" w:line="240" w:lineRule="auto"/>
      <w:jc w:val="left"/>
    </w:pPr>
    <w:rPr>
      <w:color w:val="FF0000"/>
      <w:kern w:val="0"/>
      <w:sz w:val="18"/>
      <w:szCs w:val="18"/>
    </w:rPr>
  </w:style>
  <w:style w:type="paragraph" w:customStyle="1" w:styleId="320">
    <w:name w:val="font13"/>
    <w:basedOn w:val="1"/>
    <w:qFormat/>
    <w:uiPriority w:val="0"/>
    <w:pPr>
      <w:widowControl/>
      <w:tabs>
        <w:tab w:val="clear" w:pos="480"/>
      </w:tabs>
      <w:spacing w:before="100" w:beforeAutospacing="1" w:after="100" w:afterAutospacing="1" w:line="240" w:lineRule="auto"/>
      <w:jc w:val="left"/>
    </w:pPr>
    <w:rPr>
      <w:b/>
      <w:bCs/>
      <w:color w:val="000000"/>
      <w:kern w:val="0"/>
      <w:sz w:val="18"/>
      <w:szCs w:val="18"/>
    </w:rPr>
  </w:style>
  <w:style w:type="paragraph" w:customStyle="1" w:styleId="321">
    <w:name w:val="font14"/>
    <w:basedOn w:val="1"/>
    <w:semiHidden/>
    <w:qFormat/>
    <w:uiPriority w:val="0"/>
    <w:pPr>
      <w:widowControl/>
      <w:tabs>
        <w:tab w:val="clear" w:pos="480"/>
      </w:tabs>
      <w:spacing w:before="100" w:beforeAutospacing="1" w:after="100" w:afterAutospacing="1" w:line="240" w:lineRule="auto"/>
      <w:jc w:val="left"/>
    </w:pPr>
    <w:rPr>
      <w:rFonts w:ascii="宋体" w:hAnsi="宋体" w:cs="宋体"/>
      <w:color w:val="000000"/>
      <w:kern w:val="0"/>
    </w:rPr>
  </w:style>
  <w:style w:type="paragraph" w:customStyle="1" w:styleId="322">
    <w:name w:val="font15"/>
    <w:basedOn w:val="1"/>
    <w:semiHidden/>
    <w:qFormat/>
    <w:uiPriority w:val="0"/>
    <w:pPr>
      <w:widowControl/>
      <w:tabs>
        <w:tab w:val="clear" w:pos="480"/>
      </w:tabs>
      <w:spacing w:before="100" w:beforeAutospacing="1" w:after="100" w:afterAutospacing="1" w:line="240" w:lineRule="auto"/>
      <w:jc w:val="left"/>
    </w:pPr>
    <w:rPr>
      <w:rFonts w:ascii="宋体" w:hAnsi="宋体" w:cs="宋体"/>
      <w:color w:val="000000"/>
      <w:kern w:val="0"/>
      <w:sz w:val="18"/>
      <w:szCs w:val="18"/>
    </w:rPr>
  </w:style>
  <w:style w:type="paragraph" w:customStyle="1" w:styleId="323">
    <w:name w:val="font16"/>
    <w:basedOn w:val="1"/>
    <w:semiHidden/>
    <w:qFormat/>
    <w:uiPriority w:val="0"/>
    <w:pPr>
      <w:widowControl/>
      <w:tabs>
        <w:tab w:val="clear" w:pos="480"/>
      </w:tabs>
      <w:spacing w:before="100" w:beforeAutospacing="1" w:after="100" w:afterAutospacing="1" w:line="240" w:lineRule="auto"/>
      <w:jc w:val="left"/>
    </w:pPr>
    <w:rPr>
      <w:rFonts w:ascii="宋体" w:hAnsi="宋体" w:cs="宋体"/>
      <w:b/>
      <w:bCs/>
      <w:color w:val="000000"/>
      <w:kern w:val="0"/>
      <w:sz w:val="18"/>
      <w:szCs w:val="18"/>
    </w:rPr>
  </w:style>
  <w:style w:type="paragraph" w:customStyle="1" w:styleId="324">
    <w:name w:val="font17"/>
    <w:basedOn w:val="1"/>
    <w:semiHidden/>
    <w:qFormat/>
    <w:uiPriority w:val="0"/>
    <w:pPr>
      <w:widowControl/>
      <w:tabs>
        <w:tab w:val="clear" w:pos="480"/>
      </w:tabs>
      <w:spacing w:before="100" w:beforeAutospacing="1" w:after="100" w:afterAutospacing="1" w:line="240" w:lineRule="auto"/>
      <w:jc w:val="left"/>
    </w:pPr>
    <w:rPr>
      <w:rFonts w:ascii="宋体" w:hAnsi="宋体" w:cs="宋体"/>
      <w:color w:val="000000"/>
      <w:kern w:val="0"/>
      <w:sz w:val="12"/>
      <w:szCs w:val="12"/>
    </w:rPr>
  </w:style>
  <w:style w:type="paragraph" w:customStyle="1" w:styleId="325">
    <w:name w:val="font18"/>
    <w:basedOn w:val="1"/>
    <w:semiHidden/>
    <w:qFormat/>
    <w:uiPriority w:val="0"/>
    <w:pPr>
      <w:widowControl/>
      <w:tabs>
        <w:tab w:val="clear" w:pos="480"/>
      </w:tabs>
      <w:spacing w:before="100" w:beforeAutospacing="1" w:after="100" w:afterAutospacing="1" w:line="240" w:lineRule="auto"/>
      <w:jc w:val="left"/>
    </w:pPr>
    <w:rPr>
      <w:rFonts w:ascii="宋体" w:hAnsi="宋体" w:cs="宋体"/>
      <w:color w:val="000000"/>
      <w:kern w:val="0"/>
      <w:sz w:val="18"/>
      <w:szCs w:val="18"/>
    </w:rPr>
  </w:style>
  <w:style w:type="paragraph" w:customStyle="1" w:styleId="326">
    <w:name w:val="font19"/>
    <w:basedOn w:val="1"/>
    <w:semiHidden/>
    <w:qFormat/>
    <w:uiPriority w:val="0"/>
    <w:pPr>
      <w:widowControl/>
      <w:tabs>
        <w:tab w:val="clear" w:pos="480"/>
      </w:tabs>
      <w:spacing w:before="100" w:beforeAutospacing="1" w:after="100" w:afterAutospacing="1" w:line="240" w:lineRule="auto"/>
      <w:jc w:val="left"/>
    </w:pPr>
    <w:rPr>
      <w:rFonts w:ascii="宋体" w:hAnsi="宋体" w:cs="宋体"/>
      <w:color w:val="000000"/>
      <w:kern w:val="0"/>
      <w:sz w:val="18"/>
      <w:szCs w:val="18"/>
    </w:rPr>
  </w:style>
  <w:style w:type="paragraph" w:customStyle="1" w:styleId="327">
    <w:name w:val="font20"/>
    <w:basedOn w:val="1"/>
    <w:semiHidden/>
    <w:qFormat/>
    <w:uiPriority w:val="0"/>
    <w:pPr>
      <w:widowControl/>
      <w:tabs>
        <w:tab w:val="clear" w:pos="480"/>
      </w:tabs>
      <w:spacing w:before="100" w:beforeAutospacing="1" w:after="100" w:afterAutospacing="1" w:line="240" w:lineRule="auto"/>
      <w:jc w:val="left"/>
    </w:pPr>
    <w:rPr>
      <w:b/>
      <w:bCs/>
      <w:color w:val="0000FF"/>
      <w:kern w:val="0"/>
      <w:sz w:val="18"/>
      <w:szCs w:val="18"/>
    </w:rPr>
  </w:style>
  <w:style w:type="paragraph" w:customStyle="1" w:styleId="328">
    <w:name w:val="font21"/>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sz w:val="21"/>
      <w:szCs w:val="21"/>
    </w:rPr>
  </w:style>
  <w:style w:type="paragraph" w:customStyle="1" w:styleId="329">
    <w:name w:val="font22"/>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sz w:val="21"/>
      <w:szCs w:val="21"/>
    </w:rPr>
  </w:style>
  <w:style w:type="paragraph" w:customStyle="1" w:styleId="330">
    <w:name w:val="xl36"/>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31">
    <w:name w:val="xl37"/>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32">
    <w:name w:val="xl38"/>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textAlignment w:val="center"/>
    </w:pPr>
    <w:rPr>
      <w:rFonts w:ascii="宋体" w:hAnsi="宋体" w:cs="宋体"/>
      <w:color w:val="000000"/>
      <w:kern w:val="0"/>
      <w:sz w:val="18"/>
      <w:szCs w:val="18"/>
    </w:rPr>
  </w:style>
  <w:style w:type="paragraph" w:customStyle="1" w:styleId="333">
    <w:name w:val="xl39"/>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textAlignment w:val="center"/>
    </w:pPr>
    <w:rPr>
      <w:rFonts w:ascii="宋体" w:hAnsi="宋体" w:cs="宋体"/>
      <w:color w:val="000000"/>
      <w:kern w:val="0"/>
      <w:sz w:val="18"/>
      <w:szCs w:val="18"/>
    </w:rPr>
  </w:style>
  <w:style w:type="paragraph" w:customStyle="1" w:styleId="334">
    <w:name w:val="xl40"/>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color w:val="000000"/>
      <w:kern w:val="0"/>
      <w:sz w:val="18"/>
      <w:szCs w:val="18"/>
    </w:rPr>
  </w:style>
  <w:style w:type="paragraph" w:customStyle="1" w:styleId="335">
    <w:name w:val="xl41"/>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36">
    <w:name w:val="xl42"/>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37">
    <w:name w:val="xl43"/>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38">
    <w:name w:val="xl44"/>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color w:val="000000"/>
      <w:kern w:val="0"/>
      <w:sz w:val="18"/>
      <w:szCs w:val="18"/>
    </w:rPr>
  </w:style>
  <w:style w:type="paragraph" w:customStyle="1" w:styleId="339">
    <w:name w:val="xl46"/>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40">
    <w:name w:val="xl47"/>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41">
    <w:name w:val="xl48"/>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00"/>
      <w:kern w:val="0"/>
      <w:sz w:val="18"/>
      <w:szCs w:val="18"/>
    </w:rPr>
  </w:style>
  <w:style w:type="paragraph" w:customStyle="1" w:styleId="342">
    <w:name w:val="xl49"/>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43">
    <w:name w:val="xl50"/>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color w:val="000000"/>
      <w:kern w:val="0"/>
      <w:sz w:val="20"/>
      <w:szCs w:val="20"/>
    </w:rPr>
  </w:style>
  <w:style w:type="paragraph" w:customStyle="1" w:styleId="344">
    <w:name w:val="xl51"/>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20"/>
      <w:szCs w:val="20"/>
    </w:rPr>
  </w:style>
  <w:style w:type="paragraph" w:customStyle="1" w:styleId="345">
    <w:name w:val="xl52"/>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46">
    <w:name w:val="xl53"/>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pPr>
    <w:rPr>
      <w:rFonts w:ascii="宋体" w:hAnsi="宋体" w:cs="宋体"/>
      <w:color w:val="000000"/>
      <w:kern w:val="0"/>
      <w:sz w:val="18"/>
      <w:szCs w:val="18"/>
    </w:rPr>
  </w:style>
  <w:style w:type="paragraph" w:customStyle="1" w:styleId="347">
    <w:name w:val="xl54"/>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pPr>
    <w:rPr>
      <w:rFonts w:ascii="宋体" w:hAnsi="宋体" w:cs="宋体"/>
      <w:color w:val="000000"/>
      <w:kern w:val="0"/>
      <w:sz w:val="18"/>
      <w:szCs w:val="18"/>
    </w:rPr>
  </w:style>
  <w:style w:type="paragraph" w:customStyle="1" w:styleId="348">
    <w:name w:val="xl55"/>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49">
    <w:name w:val="xl56"/>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FF0000"/>
      <w:kern w:val="0"/>
      <w:sz w:val="18"/>
      <w:szCs w:val="18"/>
    </w:rPr>
  </w:style>
  <w:style w:type="paragraph" w:customStyle="1" w:styleId="350">
    <w:name w:val="xl57"/>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FF0000"/>
      <w:kern w:val="0"/>
      <w:sz w:val="18"/>
      <w:szCs w:val="18"/>
    </w:rPr>
  </w:style>
  <w:style w:type="paragraph" w:customStyle="1" w:styleId="351">
    <w:name w:val="xl58"/>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top"/>
    </w:pPr>
    <w:rPr>
      <w:rFonts w:ascii="宋体" w:hAnsi="宋体" w:cs="宋体"/>
      <w:color w:val="000000"/>
      <w:kern w:val="0"/>
      <w:sz w:val="18"/>
      <w:szCs w:val="18"/>
    </w:rPr>
  </w:style>
  <w:style w:type="paragraph" w:customStyle="1" w:styleId="352">
    <w:name w:val="xl59"/>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textAlignment w:val="top"/>
    </w:pPr>
    <w:rPr>
      <w:rFonts w:ascii="宋体" w:hAnsi="宋体" w:cs="宋体"/>
      <w:color w:val="000000"/>
      <w:kern w:val="0"/>
      <w:sz w:val="18"/>
      <w:szCs w:val="18"/>
    </w:rPr>
  </w:style>
  <w:style w:type="paragraph" w:customStyle="1" w:styleId="353">
    <w:name w:val="xl60"/>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FF0000"/>
      <w:kern w:val="0"/>
      <w:sz w:val="18"/>
      <w:szCs w:val="18"/>
    </w:rPr>
  </w:style>
  <w:style w:type="paragraph" w:customStyle="1" w:styleId="354">
    <w:name w:val="xl61"/>
    <w:basedOn w:val="1"/>
    <w:semiHidden/>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b/>
      <w:bCs/>
      <w:color w:val="000000"/>
      <w:kern w:val="0"/>
      <w:sz w:val="20"/>
      <w:szCs w:val="20"/>
    </w:rPr>
  </w:style>
  <w:style w:type="paragraph" w:customStyle="1" w:styleId="355">
    <w:name w:val="xl62"/>
    <w:basedOn w:val="1"/>
    <w:semiHidden/>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color w:val="000000"/>
      <w:kern w:val="0"/>
      <w:sz w:val="20"/>
      <w:szCs w:val="20"/>
    </w:rPr>
  </w:style>
  <w:style w:type="paragraph" w:customStyle="1" w:styleId="356">
    <w:name w:val="xl63"/>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FF"/>
      <w:kern w:val="0"/>
      <w:sz w:val="18"/>
      <w:szCs w:val="18"/>
    </w:rPr>
  </w:style>
  <w:style w:type="paragraph" w:customStyle="1" w:styleId="357">
    <w:name w:val="xl64"/>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b/>
      <w:bCs/>
      <w:color w:val="000000"/>
      <w:kern w:val="0"/>
      <w:sz w:val="20"/>
      <w:szCs w:val="20"/>
    </w:rPr>
  </w:style>
  <w:style w:type="paragraph" w:customStyle="1" w:styleId="358">
    <w:name w:val="xl65"/>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b/>
      <w:bCs/>
      <w:color w:val="000000"/>
      <w:kern w:val="0"/>
      <w:sz w:val="20"/>
      <w:szCs w:val="20"/>
    </w:rPr>
  </w:style>
  <w:style w:type="paragraph" w:customStyle="1" w:styleId="359">
    <w:name w:val="xl66"/>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20"/>
      <w:szCs w:val="20"/>
    </w:rPr>
  </w:style>
  <w:style w:type="paragraph" w:customStyle="1" w:styleId="360">
    <w:name w:val="xl67"/>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20"/>
      <w:szCs w:val="20"/>
    </w:rPr>
  </w:style>
  <w:style w:type="paragraph" w:customStyle="1" w:styleId="361">
    <w:name w:val="xl68"/>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20"/>
      <w:szCs w:val="20"/>
    </w:rPr>
  </w:style>
  <w:style w:type="paragraph" w:customStyle="1" w:styleId="362">
    <w:name w:val="xl69"/>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pPr>
    <w:rPr>
      <w:rFonts w:ascii="宋体" w:hAnsi="宋体" w:cs="宋体"/>
      <w:color w:val="FF0000"/>
      <w:kern w:val="0"/>
      <w:sz w:val="20"/>
      <w:szCs w:val="20"/>
    </w:rPr>
  </w:style>
  <w:style w:type="paragraph" w:customStyle="1" w:styleId="363">
    <w:name w:val="xl70"/>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b/>
      <w:bCs/>
      <w:color w:val="3366FF"/>
      <w:kern w:val="0"/>
      <w:sz w:val="20"/>
      <w:szCs w:val="20"/>
    </w:rPr>
  </w:style>
  <w:style w:type="paragraph" w:customStyle="1" w:styleId="364">
    <w:name w:val="xl71"/>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b/>
      <w:bCs/>
      <w:color w:val="000000"/>
      <w:kern w:val="0"/>
      <w:sz w:val="20"/>
      <w:szCs w:val="20"/>
    </w:rPr>
  </w:style>
  <w:style w:type="paragraph" w:customStyle="1" w:styleId="365">
    <w:name w:val="xl72"/>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b/>
      <w:bCs/>
      <w:color w:val="000000"/>
      <w:kern w:val="0"/>
      <w:sz w:val="20"/>
      <w:szCs w:val="20"/>
    </w:rPr>
  </w:style>
  <w:style w:type="paragraph" w:customStyle="1" w:styleId="366">
    <w:name w:val="xl73"/>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20"/>
      <w:szCs w:val="20"/>
    </w:rPr>
  </w:style>
  <w:style w:type="paragraph" w:customStyle="1" w:styleId="367">
    <w:name w:val="xl74"/>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b/>
      <w:bCs/>
      <w:color w:val="000000"/>
      <w:kern w:val="0"/>
      <w:sz w:val="20"/>
      <w:szCs w:val="20"/>
    </w:rPr>
  </w:style>
  <w:style w:type="paragraph" w:customStyle="1" w:styleId="368">
    <w:name w:val="xl75"/>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color w:val="FF0000"/>
      <w:kern w:val="0"/>
      <w:sz w:val="20"/>
      <w:szCs w:val="20"/>
    </w:rPr>
  </w:style>
  <w:style w:type="paragraph" w:customStyle="1" w:styleId="369">
    <w:name w:val="xl76"/>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00"/>
      <w:kern w:val="0"/>
      <w:sz w:val="20"/>
      <w:szCs w:val="20"/>
    </w:rPr>
  </w:style>
  <w:style w:type="paragraph" w:customStyle="1" w:styleId="370">
    <w:name w:val="xl77"/>
    <w:basedOn w:val="1"/>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20"/>
      <w:szCs w:val="20"/>
    </w:rPr>
  </w:style>
  <w:style w:type="paragraph" w:customStyle="1" w:styleId="371">
    <w:name w:val="xl78"/>
    <w:basedOn w:val="1"/>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top"/>
    </w:pPr>
    <w:rPr>
      <w:rFonts w:ascii="宋体" w:hAnsi="宋体" w:cs="宋体"/>
      <w:kern w:val="0"/>
      <w:sz w:val="21"/>
      <w:szCs w:val="21"/>
    </w:rPr>
  </w:style>
  <w:style w:type="paragraph" w:customStyle="1" w:styleId="372">
    <w:name w:val="xl80"/>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kern w:val="0"/>
      <w:sz w:val="21"/>
      <w:szCs w:val="21"/>
    </w:rPr>
  </w:style>
  <w:style w:type="paragraph" w:customStyle="1" w:styleId="373">
    <w:name w:val="xl81"/>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textAlignment w:val="center"/>
    </w:pPr>
    <w:rPr>
      <w:rFonts w:ascii="宋体" w:hAnsi="宋体" w:cs="宋体"/>
      <w:kern w:val="0"/>
      <w:sz w:val="21"/>
      <w:szCs w:val="21"/>
    </w:rPr>
  </w:style>
  <w:style w:type="paragraph" w:customStyle="1" w:styleId="374">
    <w:name w:val="xl82"/>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kern w:val="0"/>
      <w:sz w:val="21"/>
      <w:szCs w:val="21"/>
    </w:rPr>
  </w:style>
  <w:style w:type="paragraph" w:customStyle="1" w:styleId="375">
    <w:name w:val="xl84"/>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kern w:val="0"/>
      <w:sz w:val="20"/>
      <w:szCs w:val="20"/>
    </w:rPr>
  </w:style>
  <w:style w:type="paragraph" w:customStyle="1" w:styleId="376">
    <w:name w:val="xl85"/>
    <w:basedOn w:val="1"/>
    <w:semiHidden/>
    <w:qFormat/>
    <w:uiPriority w:val="0"/>
    <w:pPr>
      <w:widowControl/>
      <w:pBdr>
        <w:top w:val="single" w:color="auto" w:sz="8"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377">
    <w:name w:val="xl86"/>
    <w:basedOn w:val="1"/>
    <w:semiHidden/>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378">
    <w:name w:val="xl87"/>
    <w:basedOn w:val="1"/>
    <w:semiHidden/>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379">
    <w:name w:val="xl88"/>
    <w:basedOn w:val="1"/>
    <w:semiHidden/>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00"/>
      <w:kern w:val="0"/>
      <w:sz w:val="18"/>
      <w:szCs w:val="18"/>
    </w:rPr>
  </w:style>
  <w:style w:type="paragraph" w:customStyle="1" w:styleId="380">
    <w:name w:val="xl89"/>
    <w:basedOn w:val="1"/>
    <w:semiHidden/>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00"/>
      <w:kern w:val="0"/>
      <w:sz w:val="18"/>
      <w:szCs w:val="18"/>
    </w:rPr>
  </w:style>
  <w:style w:type="paragraph" w:customStyle="1" w:styleId="381">
    <w:name w:val="xl90"/>
    <w:basedOn w:val="1"/>
    <w:semiHidden/>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82">
    <w:name w:val="xl91"/>
    <w:basedOn w:val="1"/>
    <w:semiHidden/>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83">
    <w:name w:val="xl92"/>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color w:val="000000"/>
      <w:kern w:val="0"/>
      <w:sz w:val="18"/>
      <w:szCs w:val="18"/>
    </w:rPr>
  </w:style>
  <w:style w:type="paragraph" w:customStyle="1" w:styleId="384">
    <w:name w:val="xl93"/>
    <w:basedOn w:val="1"/>
    <w:semiHidden/>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85">
    <w:name w:val="xl94"/>
    <w:basedOn w:val="1"/>
    <w:semiHidden/>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86">
    <w:name w:val="xl95"/>
    <w:basedOn w:val="1"/>
    <w:semiHidden/>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FF0000"/>
      <w:kern w:val="0"/>
      <w:sz w:val="18"/>
      <w:szCs w:val="18"/>
    </w:rPr>
  </w:style>
  <w:style w:type="paragraph" w:customStyle="1" w:styleId="387">
    <w:name w:val="xl96"/>
    <w:basedOn w:val="1"/>
    <w:semiHidden/>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88">
    <w:name w:val="xl97"/>
    <w:basedOn w:val="1"/>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00"/>
      <w:kern w:val="0"/>
      <w:sz w:val="18"/>
      <w:szCs w:val="18"/>
    </w:rPr>
  </w:style>
  <w:style w:type="paragraph" w:customStyle="1" w:styleId="389">
    <w:name w:val="xl98"/>
    <w:basedOn w:val="1"/>
    <w:semiHidden/>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90">
    <w:name w:val="xl99"/>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91">
    <w:name w:val="xl100"/>
    <w:basedOn w:val="1"/>
    <w:semiHidden/>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00"/>
      <w:kern w:val="0"/>
      <w:sz w:val="18"/>
      <w:szCs w:val="18"/>
    </w:rPr>
  </w:style>
  <w:style w:type="paragraph" w:customStyle="1" w:styleId="392">
    <w:name w:val="xl101"/>
    <w:basedOn w:val="1"/>
    <w:semiHidden/>
    <w:qFormat/>
    <w:uiPriority w:val="0"/>
    <w:pPr>
      <w:widowControl/>
      <w:pBdr>
        <w:top w:val="single" w:color="auto" w:sz="4" w:space="0"/>
        <w:left w:val="single" w:color="auto" w:sz="4" w:space="0"/>
        <w:bottom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93">
    <w:name w:val="xl102"/>
    <w:basedOn w:val="1"/>
    <w:semiHidden/>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394">
    <w:name w:val="xl103"/>
    <w:basedOn w:val="1"/>
    <w:semiHidden/>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kern w:val="0"/>
      <w:sz w:val="20"/>
      <w:szCs w:val="20"/>
    </w:rPr>
  </w:style>
  <w:style w:type="paragraph" w:customStyle="1" w:styleId="395">
    <w:name w:val="xl104"/>
    <w:basedOn w:val="1"/>
    <w:semiHidden/>
    <w:qFormat/>
    <w:uiPriority w:val="0"/>
    <w:pPr>
      <w:widowControl/>
      <w:pBdr>
        <w:top w:val="single" w:color="auto" w:sz="4" w:space="0"/>
        <w:left w:val="single" w:color="auto" w:sz="8"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396">
    <w:name w:val="xl105"/>
    <w:basedOn w:val="1"/>
    <w:semiHidden/>
    <w:qFormat/>
    <w:uiPriority w:val="0"/>
    <w:pPr>
      <w:widowControl/>
      <w:pBdr>
        <w:top w:val="single" w:color="auto" w:sz="4" w:space="0"/>
        <w:left w:val="single" w:color="auto" w:sz="8"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397">
    <w:name w:val="xl106"/>
    <w:basedOn w:val="1"/>
    <w:semiHidden/>
    <w:qFormat/>
    <w:uiPriority w:val="0"/>
    <w:pPr>
      <w:widowControl/>
      <w:pBdr>
        <w:top w:val="single" w:color="auto" w:sz="4" w:space="0"/>
        <w:left w:val="single" w:color="auto" w:sz="8"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b/>
      <w:bCs/>
      <w:color w:val="FF0000"/>
      <w:kern w:val="0"/>
      <w:sz w:val="18"/>
      <w:szCs w:val="18"/>
    </w:rPr>
  </w:style>
  <w:style w:type="paragraph" w:customStyle="1" w:styleId="398">
    <w:name w:val="xl107"/>
    <w:basedOn w:val="1"/>
    <w:semiHidden/>
    <w:qFormat/>
    <w:uiPriority w:val="0"/>
    <w:pPr>
      <w:widowControl/>
      <w:pBdr>
        <w:top w:val="single" w:color="auto" w:sz="4" w:space="0"/>
        <w:left w:val="single" w:color="auto" w:sz="4" w:space="0"/>
        <w:bottom w:val="single" w:color="auto" w:sz="4" w:space="0"/>
        <w:right w:val="single" w:color="auto" w:sz="8" w:space="0"/>
      </w:pBdr>
      <w:tabs>
        <w:tab w:val="clear" w:pos="480"/>
      </w:tabs>
      <w:spacing w:before="100" w:beforeAutospacing="1" w:after="100" w:afterAutospacing="1" w:line="240" w:lineRule="auto"/>
      <w:jc w:val="left"/>
    </w:pPr>
    <w:rPr>
      <w:rFonts w:ascii="宋体" w:hAnsi="宋体" w:cs="宋体"/>
      <w:color w:val="FF0000"/>
      <w:kern w:val="0"/>
      <w:sz w:val="20"/>
      <w:szCs w:val="20"/>
    </w:rPr>
  </w:style>
  <w:style w:type="paragraph" w:customStyle="1" w:styleId="399">
    <w:name w:val="xl108"/>
    <w:basedOn w:val="1"/>
    <w:semiHidden/>
    <w:qFormat/>
    <w:uiPriority w:val="0"/>
    <w:pPr>
      <w:widowControl/>
      <w:pBdr>
        <w:top w:val="single" w:color="auto" w:sz="4" w:space="0"/>
        <w:left w:val="single" w:color="auto" w:sz="4" w:space="0"/>
        <w:bottom w:val="single" w:color="auto" w:sz="4" w:space="0"/>
        <w:right w:val="single" w:color="auto" w:sz="8" w:space="0"/>
      </w:pBdr>
      <w:tabs>
        <w:tab w:val="clear" w:pos="480"/>
      </w:tabs>
      <w:spacing w:before="100" w:beforeAutospacing="1" w:after="100" w:afterAutospacing="1" w:line="240" w:lineRule="auto"/>
      <w:jc w:val="left"/>
    </w:pPr>
    <w:rPr>
      <w:rFonts w:ascii="宋体" w:hAnsi="宋体" w:cs="宋体"/>
      <w:kern w:val="0"/>
    </w:rPr>
  </w:style>
  <w:style w:type="paragraph" w:customStyle="1" w:styleId="400">
    <w:name w:val="xl109"/>
    <w:basedOn w:val="1"/>
    <w:semiHidden/>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kern w:val="0"/>
      <w:sz w:val="18"/>
      <w:szCs w:val="18"/>
    </w:rPr>
  </w:style>
  <w:style w:type="paragraph" w:customStyle="1" w:styleId="401">
    <w:name w:val="xl110"/>
    <w:basedOn w:val="1"/>
    <w:semiHidden/>
    <w:qFormat/>
    <w:uiPriority w:val="0"/>
    <w:pPr>
      <w:widowControl/>
      <w:pBdr>
        <w:top w:val="single" w:color="auto" w:sz="4" w:space="0"/>
        <w:left w:val="single" w:color="auto" w:sz="8" w:space="0"/>
        <w:bottom w:val="single" w:color="auto" w:sz="8"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kern w:val="0"/>
      <w:sz w:val="18"/>
      <w:szCs w:val="18"/>
    </w:rPr>
  </w:style>
  <w:style w:type="paragraph" w:customStyle="1" w:styleId="402">
    <w:name w:val="xl111"/>
    <w:basedOn w:val="1"/>
    <w:semiHidden/>
    <w:qFormat/>
    <w:uiPriority w:val="0"/>
    <w:pPr>
      <w:widowControl/>
      <w:pBdr>
        <w:top w:val="single" w:color="auto" w:sz="4" w:space="0"/>
        <w:left w:val="single" w:color="auto" w:sz="4" w:space="0"/>
        <w:bottom w:val="single" w:color="auto" w:sz="8" w:space="0"/>
        <w:right w:val="single" w:color="auto" w:sz="4" w:space="0"/>
      </w:pBdr>
      <w:shd w:val="clear" w:color="auto" w:fill="FFFFFF"/>
      <w:tabs>
        <w:tab w:val="clear" w:pos="480"/>
      </w:tabs>
      <w:spacing w:before="100" w:beforeAutospacing="1" w:after="100" w:afterAutospacing="1" w:line="240" w:lineRule="auto"/>
      <w:textAlignment w:val="center"/>
    </w:pPr>
    <w:rPr>
      <w:rFonts w:ascii="宋体" w:hAnsi="宋体" w:cs="宋体"/>
      <w:kern w:val="0"/>
      <w:sz w:val="21"/>
      <w:szCs w:val="21"/>
    </w:rPr>
  </w:style>
  <w:style w:type="paragraph" w:customStyle="1" w:styleId="403">
    <w:name w:val="xl112"/>
    <w:basedOn w:val="1"/>
    <w:semiHidden/>
    <w:qFormat/>
    <w:uiPriority w:val="0"/>
    <w:pPr>
      <w:widowControl/>
      <w:pBdr>
        <w:top w:val="single" w:color="auto" w:sz="4" w:space="0"/>
        <w:left w:val="single" w:color="auto" w:sz="4" w:space="0"/>
        <w:bottom w:val="single" w:color="auto" w:sz="8" w:space="0"/>
        <w:right w:val="single" w:color="auto" w:sz="4" w:space="0"/>
      </w:pBdr>
      <w:tabs>
        <w:tab w:val="clear" w:pos="480"/>
      </w:tabs>
      <w:spacing w:before="100" w:beforeAutospacing="1" w:after="100" w:afterAutospacing="1" w:line="240" w:lineRule="auto"/>
      <w:jc w:val="left"/>
      <w:textAlignment w:val="center"/>
    </w:pPr>
    <w:rPr>
      <w:rFonts w:ascii="宋体" w:hAnsi="宋体" w:cs="宋体"/>
      <w:kern w:val="0"/>
      <w:sz w:val="20"/>
      <w:szCs w:val="20"/>
    </w:rPr>
  </w:style>
  <w:style w:type="paragraph" w:customStyle="1" w:styleId="404">
    <w:name w:val="xl113"/>
    <w:basedOn w:val="1"/>
    <w:semiHidden/>
    <w:qFormat/>
    <w:uiPriority w:val="0"/>
    <w:pPr>
      <w:widowControl/>
      <w:pBdr>
        <w:top w:val="single" w:color="auto" w:sz="4" w:space="0"/>
        <w:left w:val="single" w:color="auto" w:sz="4" w:space="0"/>
        <w:bottom w:val="single" w:color="auto" w:sz="8"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color w:val="000000"/>
      <w:kern w:val="0"/>
      <w:sz w:val="20"/>
      <w:szCs w:val="20"/>
    </w:rPr>
  </w:style>
  <w:style w:type="paragraph" w:customStyle="1" w:styleId="405">
    <w:name w:val="xl114"/>
    <w:basedOn w:val="1"/>
    <w:semiHidden/>
    <w:qFormat/>
    <w:uiPriority w:val="0"/>
    <w:pPr>
      <w:widowControl/>
      <w:pBdr>
        <w:top w:val="single" w:color="auto" w:sz="4" w:space="0"/>
        <w:left w:val="single" w:color="auto" w:sz="4" w:space="0"/>
        <w:bottom w:val="single" w:color="auto" w:sz="8"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406">
    <w:name w:val="xl115"/>
    <w:basedOn w:val="1"/>
    <w:semiHidden/>
    <w:qFormat/>
    <w:uiPriority w:val="0"/>
    <w:pPr>
      <w:widowControl/>
      <w:pBdr>
        <w:top w:val="single" w:color="auto" w:sz="4" w:space="0"/>
        <w:left w:val="single" w:color="auto" w:sz="4" w:space="0"/>
        <w:bottom w:val="single" w:color="auto" w:sz="8"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407">
    <w:name w:val="xl116"/>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FF0000"/>
      <w:kern w:val="0"/>
      <w:sz w:val="18"/>
      <w:szCs w:val="18"/>
    </w:rPr>
  </w:style>
  <w:style w:type="paragraph" w:customStyle="1" w:styleId="408">
    <w:name w:val="xl117"/>
    <w:basedOn w:val="1"/>
    <w:semiHidden/>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kern w:val="0"/>
      <w:sz w:val="21"/>
      <w:szCs w:val="21"/>
    </w:rPr>
  </w:style>
  <w:style w:type="paragraph" w:customStyle="1" w:styleId="409">
    <w:name w:val="xl118"/>
    <w:basedOn w:val="1"/>
    <w:semiHidden/>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FF0000"/>
      <w:kern w:val="0"/>
      <w:sz w:val="20"/>
      <w:szCs w:val="20"/>
    </w:rPr>
  </w:style>
  <w:style w:type="paragraph" w:customStyle="1" w:styleId="410">
    <w:name w:val="xl119"/>
    <w:basedOn w:val="1"/>
    <w:semiHidden/>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color w:val="000000"/>
      <w:kern w:val="0"/>
      <w:sz w:val="22"/>
      <w:szCs w:val="22"/>
    </w:rPr>
  </w:style>
  <w:style w:type="paragraph" w:customStyle="1" w:styleId="411">
    <w:name w:val="xl120"/>
    <w:basedOn w:val="1"/>
    <w:semiHidden/>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22"/>
      <w:szCs w:val="22"/>
    </w:rPr>
  </w:style>
  <w:style w:type="paragraph" w:customStyle="1" w:styleId="412">
    <w:name w:val="xl121"/>
    <w:basedOn w:val="1"/>
    <w:semiHidden/>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宋体" w:hAnsi="宋体" w:cs="宋体"/>
      <w:color w:val="000000"/>
      <w:kern w:val="0"/>
      <w:sz w:val="22"/>
      <w:szCs w:val="22"/>
    </w:rPr>
  </w:style>
  <w:style w:type="paragraph" w:customStyle="1" w:styleId="413">
    <w:name w:val="xl122"/>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textAlignment w:val="center"/>
    </w:pPr>
    <w:rPr>
      <w:rFonts w:ascii="宋体" w:hAnsi="宋体" w:cs="宋体"/>
      <w:b/>
      <w:bCs/>
      <w:kern w:val="0"/>
      <w:sz w:val="21"/>
      <w:szCs w:val="21"/>
    </w:rPr>
  </w:style>
  <w:style w:type="paragraph" w:customStyle="1" w:styleId="414">
    <w:name w:val="xl123"/>
    <w:basedOn w:val="1"/>
    <w:semiHidden/>
    <w:qFormat/>
    <w:uiPriority w:val="0"/>
    <w:pPr>
      <w:widowControl/>
      <w:pBdr>
        <w:top w:val="single" w:color="auto" w:sz="4" w:space="0"/>
        <w:left w:val="single" w:color="auto" w:sz="8"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kern w:val="0"/>
      <w:sz w:val="18"/>
      <w:szCs w:val="18"/>
    </w:rPr>
  </w:style>
  <w:style w:type="paragraph" w:customStyle="1" w:styleId="415">
    <w:name w:val="xl124"/>
    <w:basedOn w:val="1"/>
    <w:semiHidden/>
    <w:qFormat/>
    <w:uiPriority w:val="0"/>
    <w:pPr>
      <w:widowControl/>
      <w:pBdr>
        <w:top w:val="single" w:color="auto" w:sz="4" w:space="0"/>
        <w:left w:val="single" w:color="auto" w:sz="4" w:space="0"/>
        <w:right w:val="single" w:color="auto" w:sz="4" w:space="0"/>
      </w:pBdr>
      <w:shd w:val="clear" w:color="auto" w:fill="FFFFFF"/>
      <w:tabs>
        <w:tab w:val="clear" w:pos="480"/>
      </w:tabs>
      <w:spacing w:before="100" w:beforeAutospacing="1" w:after="100" w:afterAutospacing="1" w:line="240" w:lineRule="auto"/>
      <w:textAlignment w:val="center"/>
    </w:pPr>
    <w:rPr>
      <w:rFonts w:ascii="宋体" w:hAnsi="宋体" w:cs="宋体"/>
      <w:kern w:val="0"/>
      <w:sz w:val="21"/>
      <w:szCs w:val="21"/>
    </w:rPr>
  </w:style>
  <w:style w:type="paragraph" w:customStyle="1" w:styleId="416">
    <w:name w:val="xl125"/>
    <w:basedOn w:val="1"/>
    <w:semiHidden/>
    <w:qFormat/>
    <w:uiPriority w:val="0"/>
    <w:pPr>
      <w:widowControl/>
      <w:pBdr>
        <w:top w:val="single" w:color="auto" w:sz="4" w:space="0"/>
        <w:left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kern w:val="0"/>
      <w:sz w:val="21"/>
      <w:szCs w:val="21"/>
    </w:rPr>
  </w:style>
  <w:style w:type="paragraph" w:customStyle="1" w:styleId="417">
    <w:name w:val="xl126"/>
    <w:basedOn w:val="1"/>
    <w:semiHidden/>
    <w:qFormat/>
    <w:uiPriority w:val="0"/>
    <w:pPr>
      <w:widowControl/>
      <w:pBdr>
        <w:top w:val="single" w:color="auto" w:sz="4" w:space="0"/>
        <w:left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kern w:val="0"/>
      <w:sz w:val="20"/>
      <w:szCs w:val="20"/>
    </w:rPr>
  </w:style>
  <w:style w:type="paragraph" w:customStyle="1" w:styleId="418">
    <w:name w:val="xl127"/>
    <w:basedOn w:val="1"/>
    <w:semiHidden/>
    <w:qFormat/>
    <w:uiPriority w:val="0"/>
    <w:pPr>
      <w:widowControl/>
      <w:pBdr>
        <w:top w:val="single" w:color="auto" w:sz="4" w:space="0"/>
        <w:left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419">
    <w:name w:val="xl128"/>
    <w:basedOn w:val="1"/>
    <w:semiHidden/>
    <w:qFormat/>
    <w:uiPriority w:val="0"/>
    <w:pPr>
      <w:widowControl/>
      <w:pBdr>
        <w:top w:val="single" w:color="auto" w:sz="4" w:space="0"/>
        <w:left w:val="single" w:color="auto" w:sz="4" w:space="0"/>
        <w:right w:val="single" w:color="auto" w:sz="8"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420">
    <w:name w:val="xl129"/>
    <w:basedOn w:val="1"/>
    <w:semiHidden/>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b/>
      <w:bCs/>
      <w:color w:val="000000"/>
      <w:kern w:val="0"/>
      <w:sz w:val="18"/>
      <w:szCs w:val="18"/>
    </w:rPr>
  </w:style>
  <w:style w:type="paragraph" w:customStyle="1" w:styleId="421">
    <w:name w:val="xl130"/>
    <w:basedOn w:val="1"/>
    <w:semiHidden/>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422">
    <w:name w:val="xl131"/>
    <w:basedOn w:val="1"/>
    <w:semiHidden/>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423">
    <w:name w:val="xl132"/>
    <w:basedOn w:val="1"/>
    <w:semiHidden/>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left"/>
      <w:textAlignment w:val="center"/>
    </w:pPr>
    <w:rPr>
      <w:rFonts w:ascii="宋体" w:hAnsi="宋体" w:cs="宋体"/>
      <w:color w:val="000000"/>
      <w:kern w:val="0"/>
      <w:sz w:val="18"/>
      <w:szCs w:val="18"/>
    </w:rPr>
  </w:style>
  <w:style w:type="paragraph" w:customStyle="1" w:styleId="424">
    <w:name w:val="xl133"/>
    <w:basedOn w:val="1"/>
    <w:semiHidden/>
    <w:qFormat/>
    <w:uiPriority w:val="0"/>
    <w:pPr>
      <w:widowControl/>
      <w:pBdr>
        <w:top w:val="single" w:color="auto" w:sz="4" w:space="0"/>
        <w:left w:val="single" w:color="auto" w:sz="8"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25">
    <w:name w:val="xl134"/>
    <w:basedOn w:val="1"/>
    <w:semiHidden/>
    <w:qFormat/>
    <w:uiPriority w:val="0"/>
    <w:pPr>
      <w:widowControl/>
      <w:pBdr>
        <w:top w:val="single" w:color="auto" w:sz="4" w:space="0"/>
        <w:left w:val="single" w:color="auto" w:sz="8"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26">
    <w:name w:val="xl135"/>
    <w:basedOn w:val="1"/>
    <w:semiHidden/>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27">
    <w:name w:val="xl136"/>
    <w:basedOn w:val="1"/>
    <w:semiHidden/>
    <w:qFormat/>
    <w:uiPriority w:val="0"/>
    <w:pPr>
      <w:widowControl/>
      <w:pBdr>
        <w:top w:val="single" w:color="auto" w:sz="4"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kern w:val="0"/>
      <w:sz w:val="18"/>
      <w:szCs w:val="18"/>
    </w:rPr>
  </w:style>
  <w:style w:type="paragraph" w:customStyle="1" w:styleId="428">
    <w:name w:val="xl137"/>
    <w:basedOn w:val="1"/>
    <w:semiHidden/>
    <w:qFormat/>
    <w:uiPriority w:val="0"/>
    <w:pPr>
      <w:widowControl/>
      <w:pBdr>
        <w:top w:val="single" w:color="auto" w:sz="8" w:space="0"/>
        <w:left w:val="single" w:color="auto" w:sz="8"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29">
    <w:name w:val="xl138"/>
    <w:basedOn w:val="1"/>
    <w:semiHidden/>
    <w:qFormat/>
    <w:uiPriority w:val="0"/>
    <w:pPr>
      <w:widowControl/>
      <w:pBdr>
        <w:top w:val="single" w:color="auto" w:sz="8"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30">
    <w:name w:val="xl139"/>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31">
    <w:name w:val="xl140"/>
    <w:basedOn w:val="1"/>
    <w:semiHidden/>
    <w:qFormat/>
    <w:uiPriority w:val="0"/>
    <w:pPr>
      <w:widowControl/>
      <w:pBdr>
        <w:top w:val="single" w:color="auto" w:sz="8"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32">
    <w:name w:val="xl141"/>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FF"/>
      <w:tabs>
        <w:tab w:val="clear" w:pos="480"/>
      </w:tabs>
      <w:spacing w:before="100" w:beforeAutospacing="1" w:after="100" w:afterAutospacing="1" w:line="240" w:lineRule="auto"/>
      <w:jc w:val="center"/>
      <w:textAlignment w:val="center"/>
    </w:pPr>
    <w:rPr>
      <w:rFonts w:ascii="宋体" w:hAnsi="宋体" w:cs="宋体"/>
      <w:b/>
      <w:bCs/>
      <w:color w:val="000000"/>
      <w:kern w:val="0"/>
      <w:sz w:val="18"/>
      <w:szCs w:val="18"/>
    </w:rPr>
  </w:style>
  <w:style w:type="paragraph" w:customStyle="1" w:styleId="433">
    <w:name w:val="报告书表格"/>
    <w:basedOn w:val="1"/>
    <w:semiHidden/>
    <w:qFormat/>
    <w:uiPriority w:val="0"/>
    <w:pPr>
      <w:tabs>
        <w:tab w:val="clear" w:pos="480"/>
      </w:tabs>
      <w:adjustRightInd w:val="0"/>
      <w:spacing w:before="60" w:after="60" w:line="240" w:lineRule="atLeast"/>
      <w:jc w:val="center"/>
      <w:textAlignment w:val="baseline"/>
    </w:pPr>
    <w:rPr>
      <w:kern w:val="0"/>
      <w:sz w:val="21"/>
      <w:szCs w:val="20"/>
    </w:rPr>
  </w:style>
  <w:style w:type="paragraph" w:customStyle="1" w:styleId="434">
    <w:name w:val="Char Char Char Char Char Char"/>
    <w:basedOn w:val="1"/>
    <w:qFormat/>
    <w:uiPriority w:val="0"/>
    <w:pPr>
      <w:tabs>
        <w:tab w:val="clear" w:pos="480"/>
      </w:tabs>
      <w:spacing w:line="240" w:lineRule="auto"/>
    </w:pPr>
    <w:rPr>
      <w:sz w:val="21"/>
    </w:rPr>
  </w:style>
  <w:style w:type="paragraph" w:customStyle="1" w:styleId="435">
    <w:name w:val="报告正文 Char"/>
    <w:basedOn w:val="1"/>
    <w:link w:val="465"/>
    <w:semiHidden/>
    <w:qFormat/>
    <w:uiPriority w:val="0"/>
    <w:pPr>
      <w:tabs>
        <w:tab w:val="clear" w:pos="480"/>
      </w:tabs>
      <w:adjustRightInd w:val="0"/>
      <w:snapToGrid w:val="0"/>
      <w:spacing w:line="312" w:lineRule="auto"/>
      <w:ind w:left="2600"/>
    </w:pPr>
    <w:rPr>
      <w:rFonts w:ascii="华文细黑" w:eastAsia="华文细黑" w:cs="宋体"/>
      <w:sz w:val="20"/>
      <w:szCs w:val="20"/>
    </w:rPr>
  </w:style>
  <w:style w:type="paragraph" w:customStyle="1" w:styleId="436">
    <w:name w:val="四号 1.5倍行距 宋体 Timenewrome"/>
    <w:basedOn w:val="1"/>
    <w:next w:val="1"/>
    <w:semiHidden/>
    <w:qFormat/>
    <w:uiPriority w:val="0"/>
    <w:pPr>
      <w:tabs>
        <w:tab w:val="clear" w:pos="480"/>
      </w:tabs>
      <w:spacing w:line="240" w:lineRule="auto"/>
    </w:pPr>
    <w:rPr>
      <w:sz w:val="21"/>
      <w:szCs w:val="21"/>
    </w:rPr>
  </w:style>
  <w:style w:type="paragraph" w:customStyle="1" w:styleId="437">
    <w:name w:val="此篇标题2"/>
    <w:semiHidden/>
    <w:qFormat/>
    <w:uiPriority w:val="0"/>
    <w:pPr>
      <w:jc w:val="center"/>
      <w:outlineLvl w:val="1"/>
    </w:pPr>
    <w:rPr>
      <w:rFonts w:ascii="仿宋_GB2312" w:hAnsi="Arial" w:eastAsia="宋体" w:cs="Times New Roman"/>
      <w:b/>
      <w:kern w:val="2"/>
      <w:sz w:val="30"/>
      <w:szCs w:val="24"/>
      <w:lang w:val="en-US" w:eastAsia="zh-CN" w:bidi="ar-SA"/>
    </w:rPr>
  </w:style>
  <w:style w:type="paragraph" w:customStyle="1" w:styleId="438">
    <w:name w:val="中文报告书样式"/>
    <w:basedOn w:val="1"/>
    <w:semiHidden/>
    <w:qFormat/>
    <w:uiPriority w:val="0"/>
    <w:pPr>
      <w:tabs>
        <w:tab w:val="clear" w:pos="480"/>
      </w:tabs>
      <w:adjustRightInd w:val="0"/>
      <w:spacing w:line="520" w:lineRule="exact"/>
      <w:ind w:firstLine="578"/>
      <w:textAlignment w:val="baseline"/>
    </w:pPr>
    <w:rPr>
      <w:kern w:val="24"/>
      <w:sz w:val="28"/>
      <w:szCs w:val="20"/>
    </w:rPr>
  </w:style>
  <w:style w:type="paragraph" w:customStyle="1" w:styleId="439">
    <w:name w:val="headin"/>
    <w:basedOn w:val="1"/>
    <w:next w:val="1"/>
    <w:semiHidden/>
    <w:qFormat/>
    <w:uiPriority w:val="0"/>
    <w:pPr>
      <w:keepNext/>
      <w:keepLines/>
      <w:tabs>
        <w:tab w:val="clear" w:pos="480"/>
      </w:tabs>
      <w:spacing w:before="260" w:after="260" w:line="416" w:lineRule="auto"/>
    </w:pPr>
    <w:rPr>
      <w:b/>
      <w:bCs/>
      <w:sz w:val="32"/>
      <w:szCs w:val="32"/>
    </w:rPr>
  </w:style>
  <w:style w:type="paragraph" w:customStyle="1" w:styleId="440">
    <w:name w:val="电镀正文"/>
    <w:basedOn w:val="21"/>
    <w:link w:val="1301"/>
    <w:semiHidden/>
    <w:qFormat/>
    <w:uiPriority w:val="0"/>
    <w:pPr>
      <w:tabs>
        <w:tab w:val="clear" w:pos="480"/>
      </w:tabs>
      <w:spacing w:line="400" w:lineRule="exact"/>
      <w:ind w:firstLine="200"/>
    </w:pPr>
  </w:style>
  <w:style w:type="character" w:customStyle="1" w:styleId="441">
    <w:name w:val="此篇标题3 Char"/>
    <w:link w:val="442"/>
    <w:semiHidden/>
    <w:qFormat/>
    <w:uiPriority w:val="0"/>
    <w:rPr>
      <w:rFonts w:ascii="仿宋_GB2312" w:hAnsi="Arial"/>
      <w:b/>
      <w:kern w:val="2"/>
      <w:sz w:val="24"/>
      <w:lang w:val="en-US" w:eastAsia="zh-CN" w:bidi="ar-SA"/>
    </w:rPr>
  </w:style>
  <w:style w:type="paragraph" w:customStyle="1" w:styleId="442">
    <w:name w:val="此篇标题3"/>
    <w:link w:val="441"/>
    <w:semiHidden/>
    <w:qFormat/>
    <w:uiPriority w:val="0"/>
    <w:pPr>
      <w:spacing w:before="120" w:after="120"/>
      <w:jc w:val="center"/>
    </w:pPr>
    <w:rPr>
      <w:rFonts w:ascii="仿宋_GB2312" w:hAnsi="Arial" w:eastAsia="宋体" w:cs="Times New Roman"/>
      <w:b/>
      <w:kern w:val="2"/>
      <w:sz w:val="24"/>
      <w:szCs w:val="24"/>
      <w:lang w:val="en-US" w:eastAsia="zh-CN" w:bidi="ar-SA"/>
    </w:rPr>
  </w:style>
  <w:style w:type="character" w:customStyle="1" w:styleId="443">
    <w:name w:val="标题 3 Char1"/>
    <w:semiHidden/>
    <w:qFormat/>
    <w:uiPriority w:val="0"/>
    <w:rPr>
      <w:rFonts w:eastAsia="仿宋_GB2312"/>
      <w:b/>
      <w:kern w:val="2"/>
      <w:sz w:val="24"/>
      <w:lang w:val="en-US" w:eastAsia="zh-CN" w:bidi="ar-SA"/>
    </w:rPr>
  </w:style>
  <w:style w:type="paragraph" w:customStyle="1" w:styleId="444">
    <w:name w:val="中气一级"/>
    <w:basedOn w:val="3"/>
    <w:next w:val="445"/>
    <w:semiHidden/>
    <w:qFormat/>
    <w:uiPriority w:val="0"/>
    <w:pPr>
      <w:numPr>
        <w:numId w:val="0"/>
      </w:numPr>
      <w:tabs>
        <w:tab w:val="clear" w:pos="480"/>
      </w:tabs>
      <w:spacing w:before="300" w:after="300" w:line="520" w:lineRule="exact"/>
      <w:jc w:val="left"/>
    </w:pPr>
    <w:rPr>
      <w:rFonts w:ascii="Times New Roman" w:eastAsia="黑体"/>
      <w:b w:val="0"/>
    </w:rPr>
  </w:style>
  <w:style w:type="paragraph" w:customStyle="1" w:styleId="445">
    <w:name w:val="中气二级"/>
    <w:basedOn w:val="255"/>
    <w:next w:val="1"/>
    <w:semiHidden/>
    <w:qFormat/>
    <w:uiPriority w:val="0"/>
    <w:pPr>
      <w:spacing w:beforeLines="50" w:afterLines="50" w:line="360" w:lineRule="auto"/>
      <w:ind w:left="1560" w:firstLine="0" w:firstLineChars="0"/>
      <w:jc w:val="left"/>
    </w:pPr>
  </w:style>
  <w:style w:type="paragraph" w:customStyle="1" w:styleId="446">
    <w:name w:val="中气三级"/>
    <w:basedOn w:val="5"/>
    <w:next w:val="1"/>
    <w:semiHidden/>
    <w:qFormat/>
    <w:uiPriority w:val="0"/>
    <w:pPr>
      <w:numPr>
        <w:ilvl w:val="0"/>
        <w:numId w:val="0"/>
      </w:numPr>
      <w:tabs>
        <w:tab w:val="left" w:pos="2760"/>
        <w:tab w:val="clear" w:pos="480"/>
        <w:tab w:val="clear" w:pos="840"/>
      </w:tabs>
      <w:adjustRightInd w:val="0"/>
      <w:spacing w:beforeLines="50" w:afterLines="50" w:line="360" w:lineRule="auto"/>
      <w:jc w:val="left"/>
      <w:textAlignment w:val="baseline"/>
    </w:pPr>
    <w:rPr>
      <w:rFonts w:ascii="Times New Roman" w:eastAsia="黑体"/>
      <w:b w:val="0"/>
      <w:bCs w:val="0"/>
      <w:snapToGrid w:val="0"/>
      <w:kern w:val="0"/>
      <w:sz w:val="24"/>
      <w:szCs w:val="20"/>
    </w:rPr>
  </w:style>
  <w:style w:type="paragraph" w:customStyle="1" w:styleId="447">
    <w:name w:val="中气表头"/>
    <w:basedOn w:val="1"/>
    <w:link w:val="448"/>
    <w:semiHidden/>
    <w:qFormat/>
    <w:uiPriority w:val="0"/>
    <w:pPr>
      <w:tabs>
        <w:tab w:val="clear" w:pos="480"/>
      </w:tabs>
      <w:spacing w:line="240" w:lineRule="auto"/>
      <w:jc w:val="center"/>
    </w:pPr>
    <w:rPr>
      <w:rFonts w:eastAsia="黑体"/>
      <w:b/>
      <w:sz w:val="21"/>
      <w:szCs w:val="21"/>
    </w:rPr>
  </w:style>
  <w:style w:type="character" w:customStyle="1" w:styleId="448">
    <w:name w:val="中气表头 Char"/>
    <w:link w:val="447"/>
    <w:qFormat/>
    <w:uiPriority w:val="0"/>
    <w:rPr>
      <w:rFonts w:eastAsia="黑体"/>
      <w:b/>
      <w:kern w:val="2"/>
      <w:sz w:val="21"/>
      <w:szCs w:val="21"/>
      <w:lang w:val="en-US" w:eastAsia="zh-CN" w:bidi="ar-SA"/>
    </w:rPr>
  </w:style>
  <w:style w:type="paragraph" w:customStyle="1" w:styleId="449">
    <w:name w:val="Char Char1 Char Char Char Char Char Char Char"/>
    <w:basedOn w:val="1"/>
    <w:semiHidden/>
    <w:qFormat/>
    <w:uiPriority w:val="0"/>
    <w:pPr>
      <w:tabs>
        <w:tab w:val="clear" w:pos="480"/>
      </w:tabs>
      <w:spacing w:line="240" w:lineRule="auto"/>
    </w:pPr>
    <w:rPr>
      <w:sz w:val="21"/>
    </w:rPr>
  </w:style>
  <w:style w:type="character" w:customStyle="1" w:styleId="450">
    <w:name w:val="articlebody3"/>
    <w:semiHidden/>
    <w:qFormat/>
    <w:uiPriority w:val="0"/>
    <w:rPr>
      <w:sz w:val="21"/>
      <w:szCs w:val="21"/>
    </w:rPr>
  </w:style>
  <w:style w:type="paragraph" w:customStyle="1" w:styleId="451">
    <w:name w:val="正文自己"/>
    <w:basedOn w:val="45"/>
    <w:link w:val="452"/>
    <w:semiHidden/>
    <w:qFormat/>
    <w:uiPriority w:val="0"/>
    <w:pPr>
      <w:spacing w:line="500" w:lineRule="exact"/>
      <w:ind w:firstLine="488"/>
    </w:pPr>
    <w:rPr>
      <w:rFonts w:ascii="Times New Roman" w:hAnsi="Times New Roman"/>
      <w:spacing w:val="2"/>
      <w:sz w:val="24"/>
      <w:szCs w:val="24"/>
    </w:rPr>
  </w:style>
  <w:style w:type="character" w:customStyle="1" w:styleId="452">
    <w:name w:val="正文自己 Char"/>
    <w:link w:val="451"/>
    <w:qFormat/>
    <w:uiPriority w:val="0"/>
    <w:rPr>
      <w:rFonts w:eastAsia="宋体"/>
      <w:spacing w:val="2"/>
      <w:kern w:val="2"/>
      <w:sz w:val="24"/>
      <w:szCs w:val="24"/>
      <w:lang w:val="en-US" w:eastAsia="zh-CN" w:bidi="ar-SA"/>
    </w:rPr>
  </w:style>
  <w:style w:type="paragraph" w:customStyle="1" w:styleId="453">
    <w:name w:val="ZX 2标题"/>
    <w:basedOn w:val="4"/>
    <w:link w:val="1745"/>
    <w:qFormat/>
    <w:uiPriority w:val="0"/>
    <w:pPr>
      <w:spacing w:before="0" w:after="0"/>
    </w:pPr>
    <w:rPr>
      <w:rFonts w:ascii="宋体" w:cs="宋体"/>
      <w:szCs w:val="20"/>
    </w:rPr>
  </w:style>
  <w:style w:type="paragraph" w:customStyle="1" w:styleId="454">
    <w:name w:val="ZX 3标题"/>
    <w:basedOn w:val="5"/>
    <w:link w:val="478"/>
    <w:qFormat/>
    <w:uiPriority w:val="0"/>
    <w:pPr>
      <w:keepNext w:val="0"/>
      <w:spacing w:before="0" w:after="0" w:line="360" w:lineRule="auto"/>
    </w:pPr>
    <w:rPr>
      <w:rFonts w:ascii="Times New Roman" w:eastAsia="宋体"/>
      <w:color w:val="000000"/>
      <w:kern w:val="18"/>
      <w:szCs w:val="30"/>
    </w:rPr>
  </w:style>
  <w:style w:type="paragraph" w:customStyle="1" w:styleId="455">
    <w:name w:val="样式 标题 3标题 3 CharReHead 3 WSAh3H3B Head条标题1.1.1Section头...1"/>
    <w:basedOn w:val="5"/>
    <w:semiHidden/>
    <w:qFormat/>
    <w:uiPriority w:val="0"/>
    <w:pPr>
      <w:spacing w:before="60" w:after="60" w:line="360" w:lineRule="auto"/>
    </w:pPr>
    <w:rPr>
      <w:rFonts w:ascii="宋体" w:hAnsi="宋体" w:eastAsia="宋体" w:cs="宋体"/>
      <w:szCs w:val="20"/>
    </w:rPr>
  </w:style>
  <w:style w:type="paragraph" w:customStyle="1" w:styleId="456">
    <w:name w:val="ZX 4标题"/>
    <w:basedOn w:val="6"/>
    <w:qFormat/>
    <w:uiPriority w:val="0"/>
    <w:pPr>
      <w:keepNext w:val="0"/>
      <w:widowControl/>
      <w:tabs>
        <w:tab w:val="clear" w:pos="480"/>
      </w:tabs>
      <w:spacing w:before="0" w:after="0"/>
    </w:pPr>
    <w:rPr>
      <w:rFonts w:ascii="Times New Roman" w:hAnsi="Times New Roman" w:eastAsia="宋体"/>
      <w:sz w:val="24"/>
      <w:szCs w:val="20"/>
    </w:rPr>
  </w:style>
  <w:style w:type="paragraph" w:customStyle="1" w:styleId="457">
    <w:name w:val="ZX 1 标题"/>
    <w:basedOn w:val="3"/>
    <w:qFormat/>
    <w:uiPriority w:val="0"/>
    <w:pPr>
      <w:spacing w:before="120" w:after="120"/>
      <w:jc w:val="center"/>
    </w:pPr>
    <w:rPr>
      <w:rFonts w:ascii="宋体" w:hAnsi="宋体" w:eastAsia="宋体" w:cs="宋体"/>
      <w:szCs w:val="20"/>
    </w:rPr>
  </w:style>
  <w:style w:type="paragraph" w:customStyle="1" w:styleId="458">
    <w:name w:val="TT正文"/>
    <w:basedOn w:val="1"/>
    <w:link w:val="459"/>
    <w:qFormat/>
    <w:uiPriority w:val="0"/>
    <w:pPr>
      <w:tabs>
        <w:tab w:val="clear" w:pos="480"/>
      </w:tabs>
    </w:pPr>
    <w:rPr>
      <w:rFonts w:cs="宋体"/>
      <w:color w:val="000000"/>
      <w:szCs w:val="20"/>
    </w:rPr>
  </w:style>
  <w:style w:type="character" w:customStyle="1" w:styleId="459">
    <w:name w:val="TT正文 Char"/>
    <w:link w:val="458"/>
    <w:qFormat/>
    <w:uiPriority w:val="0"/>
    <w:rPr>
      <w:rFonts w:eastAsia="宋体" w:cs="宋体"/>
      <w:color w:val="000000"/>
      <w:kern w:val="2"/>
      <w:sz w:val="24"/>
      <w:lang w:val="en-US" w:eastAsia="zh-CN" w:bidi="ar-SA"/>
    </w:rPr>
  </w:style>
  <w:style w:type="character" w:customStyle="1" w:styleId="460">
    <w:name w:val="reflink plainlinks nourlexpansion"/>
    <w:basedOn w:val="132"/>
    <w:semiHidden/>
    <w:qFormat/>
    <w:uiPriority w:val="0"/>
  </w:style>
  <w:style w:type="paragraph" w:customStyle="1" w:styleId="461">
    <w:name w:val="样式 首行缩进:  2 字符"/>
    <w:basedOn w:val="1"/>
    <w:link w:val="473"/>
    <w:semiHidden/>
    <w:qFormat/>
    <w:uiPriority w:val="0"/>
    <w:pPr>
      <w:tabs>
        <w:tab w:val="clear" w:pos="480"/>
      </w:tabs>
      <w:ind w:firstLine="480"/>
    </w:pPr>
    <w:rPr>
      <w:rFonts w:cs="宋体"/>
      <w:szCs w:val="20"/>
    </w:rPr>
  </w:style>
  <w:style w:type="paragraph" w:customStyle="1" w:styleId="462">
    <w:name w:val="样式 小四 首行缩进:  0.85 厘米 行距: 1.5 倍行距"/>
    <w:basedOn w:val="1"/>
    <w:link w:val="1746"/>
    <w:qFormat/>
    <w:uiPriority w:val="0"/>
    <w:pPr>
      <w:tabs>
        <w:tab w:val="clear" w:pos="480"/>
      </w:tabs>
      <w:adjustRightInd w:val="0"/>
      <w:ind w:firstLine="480"/>
      <w:textAlignment w:val="baseline"/>
    </w:pPr>
    <w:rPr>
      <w:rFonts w:ascii="黑体" w:hAnsi="Arial" w:cs="宋体"/>
      <w:bCs/>
    </w:rPr>
  </w:style>
  <w:style w:type="character" w:customStyle="1" w:styleId="463">
    <w:name w:val="表格 Char"/>
    <w:link w:val="158"/>
    <w:qFormat/>
    <w:uiPriority w:val="0"/>
    <w:rPr>
      <w:rFonts w:eastAsia="楷体_GB2312"/>
      <w:kern w:val="2"/>
      <w:sz w:val="24"/>
      <w:lang w:val="en-US" w:eastAsia="zh-CN" w:bidi="ar-SA"/>
    </w:rPr>
  </w:style>
  <w:style w:type="table" w:customStyle="1" w:styleId="464">
    <w:name w:val="网格型1"/>
    <w:basedOn w:val="87"/>
    <w:qFormat/>
    <w:uiPriority w:val="59"/>
    <w:pPr>
      <w:widowControl w:val="0"/>
    </w:pPr>
    <w:rPr>
      <w:snapToGrid w:val="0"/>
    </w:rPr>
    <w:tblPr>
      <w:jc w:val="center"/>
      <w:tblBorders>
        <w:top w:val="single" w:color="auto" w:sz="18" w:space="0"/>
        <w:bottom w:val="single" w:color="auto" w:sz="18" w:space="0"/>
        <w:insideH w:val="single" w:color="auto" w:sz="4" w:space="0"/>
        <w:insideV w:val="single" w:color="auto" w:sz="4" w:space="0"/>
      </w:tblBorders>
    </w:tblPr>
    <w:trPr>
      <w:jc w:val="center"/>
    </w:trPr>
    <w:tcPr>
      <w:vAlign w:val="center"/>
    </w:tcPr>
  </w:style>
  <w:style w:type="character" w:customStyle="1" w:styleId="465">
    <w:name w:val="报告正文 Char Char"/>
    <w:link w:val="435"/>
    <w:qFormat/>
    <w:uiPriority w:val="0"/>
    <w:rPr>
      <w:rFonts w:ascii="华文细黑" w:eastAsia="华文细黑" w:cs="宋体"/>
      <w:kern w:val="2"/>
      <w:lang w:val="en-US" w:eastAsia="zh-CN" w:bidi="ar-SA"/>
    </w:rPr>
  </w:style>
  <w:style w:type="paragraph" w:customStyle="1" w:styleId="466">
    <w:name w:val="正文4"/>
    <w:basedOn w:val="1"/>
    <w:link w:val="472"/>
    <w:semiHidden/>
    <w:qFormat/>
    <w:uiPriority w:val="0"/>
    <w:rPr>
      <w:rFonts w:cs="宋体"/>
      <w:szCs w:val="20"/>
    </w:rPr>
  </w:style>
  <w:style w:type="character" w:customStyle="1" w:styleId="467">
    <w:name w:val="表格文字01 Char"/>
    <w:link w:val="468"/>
    <w:qFormat/>
    <w:uiPriority w:val="0"/>
    <w:rPr>
      <w:rFonts w:eastAsia="宋体"/>
      <w:snapToGrid w:val="0"/>
      <w:color w:val="000000"/>
      <w:kern w:val="2"/>
      <w:sz w:val="21"/>
      <w:lang w:val="en-US" w:eastAsia="zh-CN" w:bidi="ar-SA"/>
    </w:rPr>
  </w:style>
  <w:style w:type="paragraph" w:customStyle="1" w:styleId="468">
    <w:name w:val="表格文字01"/>
    <w:basedOn w:val="1"/>
    <w:link w:val="467"/>
    <w:qFormat/>
    <w:uiPriority w:val="0"/>
    <w:pPr>
      <w:tabs>
        <w:tab w:val="clear" w:pos="480"/>
      </w:tabs>
      <w:wordWrap w:val="0"/>
      <w:overflowPunct w:val="0"/>
      <w:topLinePunct/>
      <w:spacing w:line="240" w:lineRule="auto"/>
      <w:jc w:val="center"/>
    </w:pPr>
    <w:rPr>
      <w:snapToGrid w:val="0"/>
      <w:color w:val="000000"/>
      <w:sz w:val="21"/>
      <w:szCs w:val="20"/>
    </w:rPr>
  </w:style>
  <w:style w:type="paragraph" w:customStyle="1" w:styleId="469">
    <w:name w:val="样式 标题 3 + 左侧:  0.49 厘米 首行缩进:  0 厘米"/>
    <w:basedOn w:val="5"/>
    <w:qFormat/>
    <w:uiPriority w:val="0"/>
    <w:pPr>
      <w:numPr>
        <w:numId w:val="10"/>
      </w:numPr>
      <w:tabs>
        <w:tab w:val="left" w:pos="711"/>
        <w:tab w:val="left" w:pos="999"/>
        <w:tab w:val="clear" w:pos="480"/>
        <w:tab w:val="clear" w:pos="840"/>
      </w:tabs>
      <w:spacing w:before="260"/>
    </w:pPr>
    <w:rPr>
      <w:rFonts w:ascii="Times New Roman" w:eastAsia="宋体" w:cs="宋体"/>
      <w:sz w:val="32"/>
      <w:szCs w:val="20"/>
    </w:rPr>
  </w:style>
  <w:style w:type="character" w:customStyle="1" w:styleId="470">
    <w:name w:val="表格文字 Char1"/>
    <w:qFormat/>
    <w:uiPriority w:val="0"/>
    <w:rPr>
      <w:rFonts w:hAnsi="宋体" w:eastAsia="宋体" w:cs="Arial"/>
      <w:bCs/>
      <w:snapToGrid w:val="0"/>
      <w:color w:val="000000"/>
      <w:sz w:val="21"/>
      <w:szCs w:val="21"/>
      <w:lang w:val="eu-ES" w:eastAsia="zh-CN" w:bidi="ar-SA"/>
    </w:rPr>
  </w:style>
  <w:style w:type="paragraph" w:customStyle="1" w:styleId="471">
    <w:name w:val="样式 (西文) 宋体 (中文) 宋体 左 段前: 5 磅 段后: 5 磅 行距: 单倍行距"/>
    <w:basedOn w:val="1"/>
    <w:semiHidden/>
    <w:qFormat/>
    <w:uiPriority w:val="0"/>
    <w:pPr>
      <w:tabs>
        <w:tab w:val="clear" w:pos="480"/>
      </w:tabs>
      <w:spacing w:line="240" w:lineRule="auto"/>
      <w:jc w:val="left"/>
    </w:pPr>
    <w:rPr>
      <w:rFonts w:cs="宋体"/>
      <w:kern w:val="0"/>
      <w:sz w:val="21"/>
      <w:szCs w:val="20"/>
    </w:rPr>
  </w:style>
  <w:style w:type="character" w:customStyle="1" w:styleId="472">
    <w:name w:val="正文4 Char"/>
    <w:link w:val="466"/>
    <w:qFormat/>
    <w:uiPriority w:val="0"/>
    <w:rPr>
      <w:rFonts w:eastAsia="宋体" w:cs="宋体"/>
      <w:kern w:val="2"/>
      <w:sz w:val="24"/>
      <w:lang w:val="en-US" w:eastAsia="zh-CN" w:bidi="ar-SA"/>
    </w:rPr>
  </w:style>
  <w:style w:type="character" w:customStyle="1" w:styleId="473">
    <w:name w:val="样式 首行缩进:  2 字符 Char"/>
    <w:link w:val="461"/>
    <w:qFormat/>
    <w:uiPriority w:val="0"/>
    <w:rPr>
      <w:rFonts w:eastAsia="宋体" w:cs="宋体"/>
      <w:kern w:val="2"/>
      <w:sz w:val="24"/>
      <w:lang w:val="en-US" w:eastAsia="zh-CN" w:bidi="ar-SA"/>
    </w:rPr>
  </w:style>
  <w:style w:type="character" w:customStyle="1" w:styleId="474">
    <w:name w:val="hangju"/>
    <w:basedOn w:val="132"/>
    <w:semiHidden/>
    <w:qFormat/>
    <w:uiPriority w:val="0"/>
  </w:style>
  <w:style w:type="paragraph" w:customStyle="1" w:styleId="475">
    <w:name w:val="大号TT"/>
    <w:basedOn w:val="1"/>
    <w:qFormat/>
    <w:uiPriority w:val="0"/>
    <w:pPr>
      <w:ind w:firstLine="562"/>
      <w:jc w:val="center"/>
    </w:pPr>
    <w:rPr>
      <w:rFonts w:cs="宋体"/>
      <w:b/>
      <w:bCs/>
      <w:sz w:val="28"/>
      <w:szCs w:val="20"/>
    </w:rPr>
  </w:style>
  <w:style w:type="character" w:customStyle="1" w:styleId="476">
    <w:name w:val="content"/>
    <w:basedOn w:val="132"/>
    <w:semiHidden/>
    <w:qFormat/>
    <w:uiPriority w:val="0"/>
  </w:style>
  <w:style w:type="paragraph" w:customStyle="1" w:styleId="477">
    <w:name w:val="中气正文"/>
    <w:basedOn w:val="1"/>
    <w:link w:val="2455"/>
    <w:semiHidden/>
    <w:qFormat/>
    <w:uiPriority w:val="0"/>
    <w:pPr>
      <w:tabs>
        <w:tab w:val="clear" w:pos="480"/>
      </w:tabs>
      <w:ind w:firstLine="480"/>
    </w:pPr>
  </w:style>
  <w:style w:type="character" w:customStyle="1" w:styleId="478">
    <w:name w:val="ZX 3标题 Char"/>
    <w:link w:val="454"/>
    <w:qFormat/>
    <w:uiPriority w:val="0"/>
    <w:rPr>
      <w:b/>
      <w:bCs/>
      <w:color w:val="000000"/>
      <w:kern w:val="18"/>
      <w:sz w:val="30"/>
      <w:szCs w:val="30"/>
      <w:lang w:val="zh-CN"/>
    </w:rPr>
  </w:style>
  <w:style w:type="character" w:customStyle="1" w:styleId="479">
    <w:name w:val="标题 3 字符"/>
    <w:link w:val="5"/>
    <w:qFormat/>
    <w:uiPriority w:val="9"/>
    <w:rPr>
      <w:rFonts w:ascii="仿宋_GB2312" w:eastAsia="仿宋_GB2312"/>
      <w:b/>
      <w:bCs/>
      <w:kern w:val="2"/>
      <w:sz w:val="30"/>
      <w:szCs w:val="32"/>
      <w:lang w:val="zh-CN"/>
    </w:rPr>
  </w:style>
  <w:style w:type="character" w:customStyle="1" w:styleId="480">
    <w:name w:val="标题 5 字符"/>
    <w:link w:val="7"/>
    <w:qFormat/>
    <w:uiPriority w:val="9"/>
    <w:rPr>
      <w:rFonts w:ascii="宋体" w:hAnsi="Impact" w:eastAsia="楷体_GB2312"/>
      <w:b/>
      <w:kern w:val="2"/>
      <w:sz w:val="24"/>
      <w:lang w:val="zh-CN"/>
    </w:rPr>
  </w:style>
  <w:style w:type="character" w:customStyle="1" w:styleId="481">
    <w:name w:val="标题 6 字符"/>
    <w:link w:val="8"/>
    <w:qFormat/>
    <w:uiPriority w:val="0"/>
    <w:rPr>
      <w:rFonts w:ascii="Arial" w:hAnsi="Arial" w:eastAsia="楷体_GB2312"/>
      <w:b/>
      <w:kern w:val="24"/>
      <w:sz w:val="24"/>
      <w:lang w:val="zh-CN"/>
    </w:rPr>
  </w:style>
  <w:style w:type="character" w:customStyle="1" w:styleId="482">
    <w:name w:val="标题 7 字符"/>
    <w:link w:val="9"/>
    <w:qFormat/>
    <w:uiPriority w:val="0"/>
    <w:rPr>
      <w:rFonts w:ascii="宋体" w:hAnsi="Impact" w:eastAsia="楷体_GB2312"/>
      <w:b/>
      <w:kern w:val="24"/>
      <w:sz w:val="24"/>
      <w:lang w:val="zh-CN"/>
    </w:rPr>
  </w:style>
  <w:style w:type="character" w:customStyle="1" w:styleId="483">
    <w:name w:val="标题 8 字符"/>
    <w:link w:val="10"/>
    <w:qFormat/>
    <w:uiPriority w:val="0"/>
    <w:rPr>
      <w:rFonts w:ascii="Arial" w:hAnsi="Arial" w:eastAsia="黑体"/>
      <w:kern w:val="24"/>
      <w:sz w:val="24"/>
      <w:lang w:val="zh-CN"/>
    </w:rPr>
  </w:style>
  <w:style w:type="character" w:customStyle="1" w:styleId="484">
    <w:name w:val="标题 9 字符"/>
    <w:link w:val="11"/>
    <w:qFormat/>
    <w:uiPriority w:val="0"/>
    <w:rPr>
      <w:rFonts w:ascii="Arial" w:hAnsi="Arial" w:eastAsia="黑体"/>
      <w:kern w:val="24"/>
      <w:sz w:val="28"/>
      <w:lang w:val="zh-CN"/>
    </w:rPr>
  </w:style>
  <w:style w:type="character" w:customStyle="1" w:styleId="485">
    <w:name w:val="文档结构图 字符"/>
    <w:link w:val="26"/>
    <w:qFormat/>
    <w:uiPriority w:val="0"/>
    <w:rPr>
      <w:rFonts w:eastAsia="宋体"/>
      <w:kern w:val="2"/>
      <w:sz w:val="21"/>
      <w:szCs w:val="24"/>
      <w:lang w:val="en-US" w:eastAsia="zh-CN" w:bidi="ar-SA"/>
    </w:rPr>
  </w:style>
  <w:style w:type="paragraph" w:customStyle="1" w:styleId="486">
    <w:name w:val="字元 字元 Char Char 字元 字元1"/>
    <w:basedOn w:val="1"/>
    <w:semiHidden/>
    <w:qFormat/>
    <w:uiPriority w:val="0"/>
    <w:pPr>
      <w:tabs>
        <w:tab w:val="clear" w:pos="480"/>
      </w:tabs>
      <w:spacing w:line="240" w:lineRule="auto"/>
    </w:pPr>
  </w:style>
  <w:style w:type="character" w:customStyle="1" w:styleId="487">
    <w:name w:val="批注框文本 字符1"/>
    <w:link w:val="54"/>
    <w:qFormat/>
    <w:uiPriority w:val="0"/>
    <w:rPr>
      <w:rFonts w:eastAsia="宋体"/>
      <w:kern w:val="2"/>
      <w:sz w:val="18"/>
      <w:szCs w:val="18"/>
      <w:lang w:val="en-US" w:eastAsia="zh-CN" w:bidi="ar-SA"/>
    </w:rPr>
  </w:style>
  <w:style w:type="character" w:customStyle="1" w:styleId="488">
    <w:name w:val="页脚 Char"/>
    <w:qFormat/>
    <w:uiPriority w:val="99"/>
    <w:rPr>
      <w:rFonts w:eastAsia="宋体"/>
      <w:kern w:val="2"/>
      <w:sz w:val="18"/>
      <w:szCs w:val="18"/>
      <w:lang w:val="en-US" w:eastAsia="zh-CN" w:bidi="ar-SA"/>
    </w:rPr>
  </w:style>
  <w:style w:type="character" w:customStyle="1" w:styleId="489">
    <w:name w:val="正文文本缩进 3 字符"/>
    <w:link w:val="70"/>
    <w:qFormat/>
    <w:uiPriority w:val="0"/>
    <w:rPr>
      <w:rFonts w:eastAsia="宋体"/>
      <w:kern w:val="2"/>
      <w:sz w:val="24"/>
      <w:szCs w:val="24"/>
      <w:lang w:val="en-US" w:eastAsia="zh-CN" w:bidi="ar-SA"/>
    </w:rPr>
  </w:style>
  <w:style w:type="paragraph" w:customStyle="1" w:styleId="490">
    <w:name w:val="样式3"/>
    <w:basedOn w:val="1"/>
    <w:qFormat/>
    <w:uiPriority w:val="0"/>
    <w:pPr>
      <w:tabs>
        <w:tab w:val="clear" w:pos="480"/>
      </w:tabs>
      <w:autoSpaceDE w:val="0"/>
      <w:autoSpaceDN w:val="0"/>
      <w:adjustRightInd w:val="0"/>
      <w:snapToGrid w:val="0"/>
      <w:spacing w:line="500" w:lineRule="atLeast"/>
      <w:jc w:val="left"/>
      <w:outlineLvl w:val="1"/>
    </w:pPr>
    <w:rPr>
      <w:rFonts w:eastAsia="楷体_GB2312"/>
      <w:b/>
      <w:kern w:val="0"/>
      <w:sz w:val="28"/>
      <w:szCs w:val="20"/>
    </w:rPr>
  </w:style>
  <w:style w:type="paragraph" w:customStyle="1" w:styleId="491">
    <w:name w:val="居中正文"/>
    <w:basedOn w:val="85"/>
    <w:qFormat/>
    <w:uiPriority w:val="0"/>
    <w:pPr>
      <w:adjustRightInd w:val="0"/>
      <w:spacing w:before="120" w:after="0" w:line="360" w:lineRule="auto"/>
      <w:ind w:firstLine="0" w:firstLineChars="0"/>
      <w:jc w:val="center"/>
      <w:textAlignment w:val="baseline"/>
    </w:pPr>
    <w:rPr>
      <w:rFonts w:ascii="宋体"/>
      <w:kern w:val="28"/>
      <w:sz w:val="24"/>
      <w:szCs w:val="20"/>
    </w:rPr>
  </w:style>
  <w:style w:type="character" w:customStyle="1" w:styleId="492">
    <w:name w:val="正文文字 Char Char Char Char Char Char Char Char"/>
    <w:qFormat/>
    <w:uiPriority w:val="0"/>
    <w:rPr>
      <w:rFonts w:eastAsia="宋体"/>
      <w:kern w:val="2"/>
      <w:sz w:val="21"/>
      <w:szCs w:val="24"/>
      <w:lang w:val="en-US" w:eastAsia="zh-CN" w:bidi="ar-SA"/>
    </w:rPr>
  </w:style>
  <w:style w:type="character" w:customStyle="1" w:styleId="493">
    <w:name w:val="正文文本首行缩进 字符"/>
    <w:link w:val="85"/>
    <w:qFormat/>
    <w:uiPriority w:val="0"/>
    <w:rPr>
      <w:rFonts w:eastAsia="宋体"/>
      <w:kern w:val="2"/>
      <w:sz w:val="21"/>
      <w:szCs w:val="24"/>
      <w:lang w:val="en-US" w:eastAsia="zh-CN" w:bidi="ar-SA"/>
    </w:rPr>
  </w:style>
  <w:style w:type="character" w:customStyle="1" w:styleId="494">
    <w:name w:val="zw_9_b2"/>
    <w:basedOn w:val="132"/>
    <w:semiHidden/>
    <w:qFormat/>
    <w:uiPriority w:val="0"/>
  </w:style>
  <w:style w:type="character" w:customStyle="1" w:styleId="495">
    <w:name w:val="正文文本缩进 2 字符"/>
    <w:link w:val="51"/>
    <w:qFormat/>
    <w:uiPriority w:val="0"/>
    <w:rPr>
      <w:rFonts w:eastAsia="宋体"/>
      <w:spacing w:val="-18"/>
      <w:kern w:val="11"/>
      <w:sz w:val="30"/>
      <w:szCs w:val="24"/>
      <w:lang w:val="en-US" w:eastAsia="zh-CN" w:bidi="ar-SA"/>
    </w:rPr>
  </w:style>
  <w:style w:type="character" w:customStyle="1" w:styleId="496">
    <w:name w:val="页眉 Char"/>
    <w:qFormat/>
    <w:uiPriority w:val="99"/>
    <w:rPr>
      <w:rFonts w:eastAsia="宋体"/>
      <w:kern w:val="2"/>
      <w:sz w:val="18"/>
      <w:szCs w:val="18"/>
      <w:lang w:val="en-US" w:eastAsia="zh-CN" w:bidi="ar-SA"/>
    </w:rPr>
  </w:style>
  <w:style w:type="character" w:customStyle="1" w:styleId="497">
    <w:name w:val="特点标题 Char"/>
    <w:semiHidden/>
    <w:qFormat/>
    <w:uiPriority w:val="0"/>
    <w:rPr>
      <w:rFonts w:ascii="宋体" w:eastAsia="宋体"/>
      <w:sz w:val="24"/>
      <w:lang w:val="en-US" w:eastAsia="zh-CN" w:bidi="ar-SA"/>
    </w:rPr>
  </w:style>
  <w:style w:type="character" w:customStyle="1" w:styleId="498">
    <w:name w:val="Char Char6"/>
    <w:qFormat/>
    <w:uiPriority w:val="0"/>
    <w:rPr>
      <w:rFonts w:eastAsia="宋体"/>
      <w:sz w:val="24"/>
      <w:lang w:val="en-US" w:eastAsia="zh-CN" w:bidi="ar-SA"/>
    </w:rPr>
  </w:style>
  <w:style w:type="character" w:customStyle="1" w:styleId="499">
    <w:name w:val="正文文本 2 字符"/>
    <w:link w:val="2"/>
    <w:qFormat/>
    <w:uiPriority w:val="0"/>
    <w:rPr>
      <w:rFonts w:eastAsia="宋体"/>
      <w:color w:val="000000"/>
      <w:kern w:val="2"/>
      <w:sz w:val="24"/>
      <w:lang w:val="en-US" w:eastAsia="zh-CN" w:bidi="ar-SA"/>
    </w:rPr>
  </w:style>
  <w:style w:type="paragraph" w:customStyle="1" w:styleId="500">
    <w:name w:val="myformat_content Char"/>
    <w:basedOn w:val="1"/>
    <w:semiHidden/>
    <w:qFormat/>
    <w:uiPriority w:val="0"/>
    <w:pPr>
      <w:tabs>
        <w:tab w:val="clear" w:pos="480"/>
      </w:tabs>
      <w:spacing w:beforeLines="50" w:afterLines="50" w:line="360" w:lineRule="exact"/>
      <w:ind w:firstLine="480"/>
    </w:pPr>
    <w:rPr>
      <w:szCs w:val="20"/>
    </w:rPr>
  </w:style>
  <w:style w:type="paragraph" w:customStyle="1" w:styleId="501">
    <w:name w:val="表内5S"/>
    <w:basedOn w:val="1"/>
    <w:semiHidden/>
    <w:qFormat/>
    <w:uiPriority w:val="0"/>
    <w:pPr>
      <w:tabs>
        <w:tab w:val="clear" w:pos="480"/>
      </w:tabs>
      <w:spacing w:line="300" w:lineRule="atLeast"/>
      <w:jc w:val="center"/>
    </w:pPr>
    <w:rPr>
      <w:rFonts w:eastAsia="方正宋三简体"/>
      <w:sz w:val="21"/>
      <w:szCs w:val="20"/>
    </w:rPr>
  </w:style>
  <w:style w:type="paragraph" w:customStyle="1" w:styleId="502">
    <w:name w:val="样式 标题 3 + 华文中宋 小三 段前: 6 磅 段后: 6 磅 行距: 多倍行距 1.4 字行"/>
    <w:basedOn w:val="5"/>
    <w:link w:val="503"/>
    <w:semiHidden/>
    <w:qFormat/>
    <w:uiPriority w:val="0"/>
    <w:pPr>
      <w:keepLines w:val="0"/>
      <w:tabs>
        <w:tab w:val="left" w:pos="42"/>
        <w:tab w:val="left" w:pos="861"/>
        <w:tab w:val="clear" w:pos="480"/>
        <w:tab w:val="clear" w:pos="840"/>
      </w:tabs>
      <w:spacing w:beforeLines="50" w:afterLines="50" w:line="360" w:lineRule="auto"/>
      <w:ind w:left="693" w:hanging="720"/>
      <w:jc w:val="left"/>
    </w:pPr>
    <w:rPr>
      <w:rFonts w:ascii="华文中宋" w:hAnsi="华文中宋" w:eastAsia="华文中宋"/>
      <w:bCs w:val="0"/>
      <w:color w:val="000000"/>
      <w:szCs w:val="30"/>
    </w:rPr>
  </w:style>
  <w:style w:type="character" w:customStyle="1" w:styleId="503">
    <w:name w:val="样式 标题 3 + 华文中宋 小三 段前: 6 磅 段后: 6 磅 行距: 多倍行距 1.4 字行 Char1"/>
    <w:link w:val="502"/>
    <w:semiHidden/>
    <w:qFormat/>
    <w:uiPriority w:val="0"/>
    <w:rPr>
      <w:rFonts w:ascii="华文中宋" w:hAnsi="华文中宋" w:eastAsia="华文中宋"/>
      <w:b/>
      <w:color w:val="000000"/>
      <w:kern w:val="2"/>
      <w:sz w:val="30"/>
      <w:szCs w:val="30"/>
      <w:lang w:val="zh-CN"/>
    </w:rPr>
  </w:style>
  <w:style w:type="paragraph" w:customStyle="1" w:styleId="504">
    <w:name w:val="自制表格1"/>
    <w:basedOn w:val="1"/>
    <w:next w:val="1"/>
    <w:semiHidden/>
    <w:qFormat/>
    <w:uiPriority w:val="0"/>
    <w:pPr>
      <w:tabs>
        <w:tab w:val="clear" w:pos="480"/>
      </w:tabs>
      <w:adjustRightInd w:val="0"/>
      <w:snapToGrid w:val="0"/>
      <w:spacing w:line="240" w:lineRule="auto"/>
      <w:jc w:val="center"/>
    </w:pPr>
    <w:rPr>
      <w:sz w:val="21"/>
    </w:rPr>
  </w:style>
  <w:style w:type="paragraph" w:customStyle="1" w:styleId="505">
    <w:name w:val="样式1."/>
    <w:basedOn w:val="1"/>
    <w:semiHidden/>
    <w:qFormat/>
    <w:uiPriority w:val="0"/>
    <w:pPr>
      <w:tabs>
        <w:tab w:val="clear" w:pos="480"/>
      </w:tabs>
      <w:adjustRightInd w:val="0"/>
      <w:snapToGrid w:val="0"/>
      <w:spacing w:line="460" w:lineRule="exact"/>
    </w:pPr>
    <w:rPr>
      <w:rFonts w:eastAsia="黑体"/>
      <w:b/>
      <w:sz w:val="32"/>
      <w:szCs w:val="20"/>
    </w:rPr>
  </w:style>
  <w:style w:type="paragraph" w:customStyle="1" w:styleId="506">
    <w:name w:val="自制正文1"/>
    <w:basedOn w:val="1"/>
    <w:next w:val="1"/>
    <w:semiHidden/>
    <w:qFormat/>
    <w:uiPriority w:val="0"/>
    <w:pPr>
      <w:tabs>
        <w:tab w:val="clear" w:pos="480"/>
      </w:tabs>
      <w:adjustRightInd w:val="0"/>
      <w:snapToGrid w:val="0"/>
      <w:ind w:firstLine="480"/>
    </w:pPr>
  </w:style>
  <w:style w:type="paragraph" w:customStyle="1" w:styleId="507">
    <w:name w:val="表格 3"/>
    <w:basedOn w:val="158"/>
    <w:semiHidden/>
    <w:qFormat/>
    <w:uiPriority w:val="0"/>
    <w:pPr>
      <w:autoSpaceDE w:val="0"/>
      <w:autoSpaceDN w:val="0"/>
      <w:spacing w:line="240" w:lineRule="auto"/>
      <w:jc w:val="center"/>
      <w:textAlignment w:val="auto"/>
    </w:pPr>
    <w:rPr>
      <w:rFonts w:eastAsia="宋体"/>
      <w:kern w:val="0"/>
      <w:sz w:val="21"/>
    </w:rPr>
  </w:style>
  <w:style w:type="character" w:customStyle="1" w:styleId="508">
    <w:name w:val="批注主题 字符"/>
    <w:link w:val="84"/>
    <w:qFormat/>
    <w:uiPriority w:val="0"/>
    <w:rPr>
      <w:rFonts w:eastAsia="宋体"/>
      <w:b/>
      <w:bCs/>
      <w:kern w:val="2"/>
      <w:sz w:val="24"/>
      <w:szCs w:val="24"/>
      <w:lang w:val="en-US" w:eastAsia="zh-CN" w:bidi="ar-SA"/>
    </w:rPr>
  </w:style>
  <w:style w:type="paragraph" w:customStyle="1" w:styleId="509">
    <w:name w:val="zi1"/>
    <w:basedOn w:val="1"/>
    <w:semiHidden/>
    <w:qFormat/>
    <w:uiPriority w:val="0"/>
    <w:pPr>
      <w:widowControl/>
      <w:tabs>
        <w:tab w:val="clear" w:pos="480"/>
      </w:tabs>
      <w:spacing w:before="100" w:beforeAutospacing="1" w:after="100" w:afterAutospacing="1" w:line="240" w:lineRule="auto"/>
      <w:jc w:val="left"/>
    </w:pPr>
    <w:rPr>
      <w:rFonts w:ascii="宋体" w:hAnsi="宋体"/>
      <w:kern w:val="0"/>
    </w:rPr>
  </w:style>
  <w:style w:type="paragraph" w:customStyle="1" w:styleId="510">
    <w:name w:val="附录标题"/>
    <w:basedOn w:val="1"/>
    <w:semiHidden/>
    <w:qFormat/>
    <w:uiPriority w:val="0"/>
    <w:pPr>
      <w:tabs>
        <w:tab w:val="clear" w:pos="480"/>
      </w:tabs>
      <w:autoSpaceDE w:val="0"/>
      <w:autoSpaceDN w:val="0"/>
      <w:adjustRightInd w:val="0"/>
      <w:spacing w:beforeLines="50" w:afterLines="50" w:line="400" w:lineRule="exact"/>
      <w:ind w:firstLine="643"/>
      <w:jc w:val="center"/>
    </w:pPr>
    <w:rPr>
      <w:rFonts w:ascii="仿宋_GB2312" w:eastAsia="仿宋_GB2312"/>
      <w:b/>
      <w:sz w:val="32"/>
    </w:rPr>
  </w:style>
  <w:style w:type="paragraph" w:customStyle="1" w:styleId="511">
    <w:name w:val="附录1级"/>
    <w:basedOn w:val="1"/>
    <w:semiHidden/>
    <w:qFormat/>
    <w:uiPriority w:val="0"/>
    <w:pPr>
      <w:tabs>
        <w:tab w:val="clear" w:pos="480"/>
      </w:tabs>
      <w:spacing w:beforeLines="50" w:line="400" w:lineRule="exact"/>
    </w:pPr>
    <w:rPr>
      <w:rFonts w:eastAsia="仿宋_GB2312"/>
      <w:b/>
      <w:sz w:val="30"/>
    </w:rPr>
  </w:style>
  <w:style w:type="paragraph" w:customStyle="1" w:styleId="512">
    <w:name w:val="附录标题2级"/>
    <w:basedOn w:val="1"/>
    <w:semiHidden/>
    <w:qFormat/>
    <w:uiPriority w:val="0"/>
    <w:pPr>
      <w:tabs>
        <w:tab w:val="clear" w:pos="480"/>
      </w:tabs>
      <w:spacing w:beforeLines="50" w:line="400" w:lineRule="exact"/>
    </w:pPr>
    <w:rPr>
      <w:rFonts w:eastAsia="仿宋_GB2312"/>
      <w:b/>
      <w:sz w:val="28"/>
    </w:rPr>
  </w:style>
  <w:style w:type="paragraph" w:customStyle="1" w:styleId="513">
    <w:name w:val="表题 2"/>
    <w:basedOn w:val="1"/>
    <w:semiHidden/>
    <w:qFormat/>
    <w:uiPriority w:val="0"/>
    <w:pPr>
      <w:tabs>
        <w:tab w:val="clear" w:pos="480"/>
      </w:tabs>
      <w:adjustRightInd w:val="0"/>
      <w:spacing w:before="120" w:after="120" w:line="240" w:lineRule="auto"/>
      <w:jc w:val="center"/>
      <w:textAlignment w:val="baseline"/>
    </w:pPr>
    <w:rPr>
      <w:kern w:val="0"/>
      <w:sz w:val="28"/>
      <w:szCs w:val="20"/>
    </w:rPr>
  </w:style>
  <w:style w:type="paragraph" w:customStyle="1" w:styleId="514">
    <w:name w:val="表格 2"/>
    <w:basedOn w:val="158"/>
    <w:semiHidden/>
    <w:qFormat/>
    <w:uiPriority w:val="0"/>
    <w:pPr>
      <w:autoSpaceDE w:val="0"/>
      <w:autoSpaceDN w:val="0"/>
      <w:spacing w:line="240" w:lineRule="auto"/>
      <w:jc w:val="center"/>
      <w:textAlignment w:val="baseline"/>
    </w:pPr>
    <w:rPr>
      <w:rFonts w:eastAsia="宋体"/>
      <w:kern w:val="0"/>
    </w:rPr>
  </w:style>
  <w:style w:type="paragraph" w:customStyle="1" w:styleId="515">
    <w:name w:val="8"/>
    <w:basedOn w:val="1"/>
    <w:next w:val="70"/>
    <w:link w:val="2435"/>
    <w:semiHidden/>
    <w:qFormat/>
    <w:uiPriority w:val="0"/>
    <w:pPr>
      <w:tabs>
        <w:tab w:val="clear" w:pos="480"/>
      </w:tabs>
      <w:ind w:firstLine="425"/>
    </w:pPr>
    <w:rPr>
      <w:szCs w:val="20"/>
    </w:rPr>
  </w:style>
  <w:style w:type="paragraph" w:customStyle="1" w:styleId="516">
    <w:name w:val="7"/>
    <w:basedOn w:val="1"/>
    <w:next w:val="70"/>
    <w:qFormat/>
    <w:uiPriority w:val="0"/>
    <w:pPr>
      <w:tabs>
        <w:tab w:val="clear" w:pos="480"/>
      </w:tabs>
      <w:ind w:firstLine="540"/>
    </w:pPr>
    <w:rPr>
      <w:szCs w:val="20"/>
    </w:rPr>
  </w:style>
  <w:style w:type="character" w:customStyle="1" w:styleId="517">
    <w:name w:val="zi"/>
    <w:basedOn w:val="132"/>
    <w:semiHidden/>
    <w:qFormat/>
    <w:uiPriority w:val="0"/>
  </w:style>
  <w:style w:type="paragraph" w:customStyle="1" w:styleId="518">
    <w:name w:val="xl23"/>
    <w:basedOn w:val="1"/>
    <w:qFormat/>
    <w:uiPriority w:val="0"/>
    <w:pPr>
      <w:widowControl/>
      <w:tabs>
        <w:tab w:val="clear" w:pos="480"/>
      </w:tabs>
      <w:spacing w:before="100" w:beforeAutospacing="1" w:after="100" w:afterAutospacing="1" w:line="240" w:lineRule="auto"/>
      <w:jc w:val="center"/>
    </w:pPr>
    <w:rPr>
      <w:rFonts w:eastAsia="Arial Unicode MS"/>
      <w:kern w:val="0"/>
    </w:rPr>
  </w:style>
  <w:style w:type="character" w:customStyle="1" w:styleId="519">
    <w:name w:val="标题3"/>
    <w:basedOn w:val="132"/>
    <w:qFormat/>
    <w:uiPriority w:val="0"/>
  </w:style>
  <w:style w:type="character" w:customStyle="1" w:styleId="520">
    <w:name w:val="javascript"/>
    <w:basedOn w:val="132"/>
    <w:semiHidden/>
    <w:qFormat/>
    <w:uiPriority w:val="0"/>
  </w:style>
  <w:style w:type="paragraph" w:customStyle="1" w:styleId="521">
    <w:name w:val="9"/>
    <w:basedOn w:val="1"/>
    <w:next w:val="2"/>
    <w:semiHidden/>
    <w:qFormat/>
    <w:uiPriority w:val="0"/>
    <w:pPr>
      <w:tabs>
        <w:tab w:val="clear" w:pos="480"/>
      </w:tabs>
      <w:adjustRightInd w:val="0"/>
      <w:snapToGrid w:val="0"/>
      <w:spacing w:line="240" w:lineRule="auto"/>
      <w:jc w:val="center"/>
    </w:pPr>
    <w:rPr>
      <w:color w:val="000000"/>
      <w:sz w:val="21"/>
    </w:rPr>
  </w:style>
  <w:style w:type="paragraph" w:customStyle="1" w:styleId="522">
    <w:name w:val="t_text"/>
    <w:basedOn w:val="1"/>
    <w:semiHidden/>
    <w:qFormat/>
    <w:uiPriority w:val="0"/>
    <w:pPr>
      <w:widowControl/>
      <w:tabs>
        <w:tab w:val="clear" w:pos="480"/>
      </w:tabs>
      <w:spacing w:before="100" w:after="100" w:line="300" w:lineRule="atLeast"/>
      <w:jc w:val="left"/>
    </w:pPr>
    <w:rPr>
      <w:rFonts w:ascii="宋体" w:hAnsi="宋体"/>
      <w:kern w:val="0"/>
      <w:szCs w:val="20"/>
    </w:rPr>
  </w:style>
  <w:style w:type="paragraph" w:customStyle="1" w:styleId="523">
    <w:name w:val="样式 标题 2SeHead wsa2ChapterChapter Title + 黑体 段前: 6 磅"/>
    <w:basedOn w:val="4"/>
    <w:semiHidden/>
    <w:qFormat/>
    <w:uiPriority w:val="0"/>
    <w:pPr>
      <w:widowControl/>
      <w:numPr>
        <w:ilvl w:val="0"/>
        <w:numId w:val="0"/>
      </w:numPr>
      <w:tabs>
        <w:tab w:val="clear" w:pos="480"/>
        <w:tab w:val="clear" w:pos="630"/>
      </w:tabs>
      <w:snapToGrid w:val="0"/>
      <w:spacing w:before="156" w:after="156"/>
      <w:jc w:val="left"/>
    </w:pPr>
    <w:rPr>
      <w:rFonts w:hAnsi="Arial"/>
      <w:b w:val="0"/>
      <w:bCs w:val="0"/>
      <w:sz w:val="30"/>
      <w:szCs w:val="30"/>
    </w:rPr>
  </w:style>
  <w:style w:type="paragraph" w:customStyle="1" w:styleId="524">
    <w:name w:val="样式 标题 2SeHead wsa2ChapterChapter Title + 宋体"/>
    <w:basedOn w:val="4"/>
    <w:semiHidden/>
    <w:qFormat/>
    <w:uiPriority w:val="0"/>
    <w:pPr>
      <w:widowControl/>
      <w:numPr>
        <w:ilvl w:val="0"/>
        <w:numId w:val="0"/>
      </w:numPr>
      <w:tabs>
        <w:tab w:val="clear" w:pos="480"/>
        <w:tab w:val="clear" w:pos="630"/>
      </w:tabs>
      <w:snapToGrid w:val="0"/>
      <w:spacing w:before="0" w:after="156"/>
      <w:jc w:val="left"/>
    </w:pPr>
    <w:rPr>
      <w:rFonts w:hAnsi="宋体"/>
      <w:b w:val="0"/>
      <w:bCs w:val="0"/>
      <w:sz w:val="30"/>
      <w:szCs w:val="30"/>
    </w:rPr>
  </w:style>
  <w:style w:type="paragraph" w:customStyle="1" w:styleId="525">
    <w:name w:val="样式 表格1 + 行距: 单倍行距1"/>
    <w:basedOn w:val="1"/>
    <w:semiHidden/>
    <w:qFormat/>
    <w:uiPriority w:val="0"/>
    <w:pPr>
      <w:tabs>
        <w:tab w:val="clear" w:pos="480"/>
      </w:tabs>
      <w:adjustRightInd w:val="0"/>
      <w:snapToGrid w:val="0"/>
      <w:spacing w:line="240" w:lineRule="auto"/>
      <w:jc w:val="center"/>
      <w:textAlignment w:val="baseline"/>
    </w:pPr>
    <w:rPr>
      <w:rFonts w:ascii="宋体" w:hAnsi="宋体"/>
      <w:kern w:val="0"/>
      <w:sz w:val="21"/>
      <w:szCs w:val="20"/>
    </w:rPr>
  </w:style>
  <w:style w:type="paragraph" w:customStyle="1" w:styleId="526">
    <w:name w:val="样式 标题 3h3H3sect1.2.3 + 仿宋_GB2312 四号"/>
    <w:basedOn w:val="5"/>
    <w:next w:val="1"/>
    <w:semiHidden/>
    <w:qFormat/>
    <w:uiPriority w:val="0"/>
    <w:pPr>
      <w:keepNext w:val="0"/>
      <w:numPr>
        <w:ilvl w:val="0"/>
        <w:numId w:val="0"/>
      </w:numPr>
      <w:tabs>
        <w:tab w:val="left" w:pos="0"/>
        <w:tab w:val="clear" w:pos="480"/>
        <w:tab w:val="clear" w:pos="840"/>
      </w:tabs>
      <w:spacing w:beforeLines="50" w:afterLines="50" w:line="360" w:lineRule="auto"/>
    </w:pPr>
    <w:rPr>
      <w:rFonts w:hAnsi="仿宋_GB2312"/>
      <w:spacing w:val="20"/>
      <w:kern w:val="11"/>
      <w:sz w:val="28"/>
      <w:szCs w:val="28"/>
    </w:rPr>
  </w:style>
  <w:style w:type="paragraph" w:customStyle="1" w:styleId="527">
    <w:name w:val="样式 标题 2 + 仿宋_GB2312 小三 行距: 1.5 倍行距"/>
    <w:basedOn w:val="4"/>
    <w:semiHidden/>
    <w:qFormat/>
    <w:uiPriority w:val="0"/>
    <w:pPr>
      <w:numPr>
        <w:ilvl w:val="0"/>
        <w:numId w:val="0"/>
      </w:numPr>
      <w:tabs>
        <w:tab w:val="left" w:pos="720"/>
        <w:tab w:val="clear" w:pos="480"/>
        <w:tab w:val="clear" w:pos="630"/>
      </w:tabs>
      <w:snapToGrid w:val="0"/>
      <w:spacing w:after="260" w:line="416" w:lineRule="auto"/>
    </w:pPr>
    <w:rPr>
      <w:rFonts w:ascii="仿宋_GB2312" w:hAnsi="宋体" w:eastAsia="仿宋_GB2312"/>
      <w:sz w:val="30"/>
      <w:szCs w:val="24"/>
    </w:rPr>
  </w:style>
  <w:style w:type="paragraph" w:customStyle="1" w:styleId="528">
    <w:name w:val="样式 正文首行缩进 2 + 首行缩进:  2 字符1"/>
    <w:basedOn w:val="86"/>
    <w:semiHidden/>
    <w:qFormat/>
    <w:uiPriority w:val="0"/>
    <w:pPr>
      <w:tabs>
        <w:tab w:val="clear" w:pos="480"/>
      </w:tabs>
      <w:ind w:left="0" w:leftChars="0" w:firstLine="480"/>
    </w:pPr>
    <w:rPr>
      <w:szCs w:val="20"/>
    </w:rPr>
  </w:style>
  <w:style w:type="character" w:customStyle="1" w:styleId="529">
    <w:name w:val="正文文本首行缩进 2 字符"/>
    <w:link w:val="86"/>
    <w:qFormat/>
    <w:uiPriority w:val="0"/>
    <w:rPr>
      <w:rFonts w:ascii="宋体" w:eastAsia="宋体"/>
      <w:kern w:val="2"/>
      <w:sz w:val="24"/>
      <w:szCs w:val="24"/>
      <w:lang w:val="en-US" w:eastAsia="zh-CN" w:bidi="ar-SA"/>
    </w:rPr>
  </w:style>
  <w:style w:type="character" w:customStyle="1" w:styleId="530">
    <w:name w:val="样式 题注 Char + 黑体 小四"/>
    <w:semiHidden/>
    <w:qFormat/>
    <w:uiPriority w:val="0"/>
    <w:rPr>
      <w:rFonts w:ascii="黑体" w:hAnsi="黑体" w:eastAsia="黑体" w:cs="Arial"/>
      <w:kern w:val="2"/>
      <w:sz w:val="24"/>
      <w:lang w:val="en-US" w:eastAsia="zh-CN" w:bidi="ar-SA"/>
    </w:rPr>
  </w:style>
  <w:style w:type="paragraph" w:customStyle="1" w:styleId="531">
    <w:name w:val="样式 正文首行缩进 + 宋体 小四 行距: 1.5 倍行距"/>
    <w:basedOn w:val="85"/>
    <w:semiHidden/>
    <w:qFormat/>
    <w:uiPriority w:val="0"/>
    <w:pPr>
      <w:spacing w:line="360" w:lineRule="auto"/>
      <w:ind w:firstLine="480" w:firstLineChars="200"/>
    </w:pPr>
    <w:rPr>
      <w:rFonts w:ascii="宋体" w:hAnsi="宋体"/>
      <w:sz w:val="24"/>
    </w:rPr>
  </w:style>
  <w:style w:type="paragraph" w:customStyle="1" w:styleId="532">
    <w:name w:val="文本框"/>
    <w:basedOn w:val="1"/>
    <w:qFormat/>
    <w:uiPriority w:val="0"/>
    <w:pPr>
      <w:tabs>
        <w:tab w:val="clear" w:pos="480"/>
      </w:tabs>
      <w:spacing w:line="360" w:lineRule="atLeast"/>
      <w:jc w:val="center"/>
    </w:pPr>
    <w:rPr>
      <w:sz w:val="21"/>
      <w:szCs w:val="20"/>
    </w:rPr>
  </w:style>
  <w:style w:type="character" w:customStyle="1" w:styleId="533">
    <w:name w:val="zi11"/>
    <w:semiHidden/>
    <w:qFormat/>
    <w:uiPriority w:val="0"/>
    <w:rPr>
      <w:color w:val="FFFFFF"/>
      <w:sz w:val="21"/>
      <w:szCs w:val="21"/>
      <w:u w:val="none"/>
    </w:rPr>
  </w:style>
  <w:style w:type="character" w:customStyle="1" w:styleId="534">
    <w:name w:val="yellow1"/>
    <w:semiHidden/>
    <w:qFormat/>
    <w:uiPriority w:val="0"/>
    <w:rPr>
      <w:color w:val="FFFF00"/>
      <w:u w:val="none"/>
    </w:rPr>
  </w:style>
  <w:style w:type="paragraph" w:customStyle="1" w:styleId="535">
    <w:name w:val="tt1"/>
    <w:basedOn w:val="1"/>
    <w:semiHidden/>
    <w:qFormat/>
    <w:uiPriority w:val="0"/>
    <w:pPr>
      <w:widowControl/>
      <w:tabs>
        <w:tab w:val="clear" w:pos="480"/>
      </w:tabs>
      <w:spacing w:before="100" w:beforeAutospacing="1" w:after="100" w:afterAutospacing="1" w:line="240" w:lineRule="auto"/>
      <w:jc w:val="left"/>
    </w:pPr>
    <w:rPr>
      <w:rFonts w:ascii="Arial Unicode MS" w:hAnsi="Arial Unicode MS"/>
      <w:kern w:val="0"/>
    </w:rPr>
  </w:style>
  <w:style w:type="paragraph" w:customStyle="1" w:styleId="536">
    <w:name w:val="biao1"/>
    <w:basedOn w:val="1"/>
    <w:semiHidden/>
    <w:qFormat/>
    <w:uiPriority w:val="0"/>
    <w:pPr>
      <w:widowControl/>
      <w:tabs>
        <w:tab w:val="clear" w:pos="480"/>
      </w:tabs>
      <w:spacing w:before="100" w:beforeAutospacing="1" w:after="100" w:afterAutospacing="1" w:line="240" w:lineRule="auto"/>
      <w:jc w:val="left"/>
    </w:pPr>
    <w:rPr>
      <w:rFonts w:ascii="Arial Unicode MS" w:hAnsi="Arial Unicode MS"/>
      <w:kern w:val="0"/>
    </w:rPr>
  </w:style>
  <w:style w:type="paragraph" w:customStyle="1" w:styleId="537">
    <w:name w:val="biao2"/>
    <w:basedOn w:val="1"/>
    <w:semiHidden/>
    <w:qFormat/>
    <w:uiPriority w:val="0"/>
    <w:pPr>
      <w:widowControl/>
      <w:tabs>
        <w:tab w:val="clear" w:pos="480"/>
      </w:tabs>
      <w:spacing w:before="100" w:beforeAutospacing="1" w:after="100" w:afterAutospacing="1" w:line="240" w:lineRule="auto"/>
      <w:jc w:val="left"/>
    </w:pPr>
    <w:rPr>
      <w:rFonts w:ascii="Arial Unicode MS" w:hAnsi="Arial Unicode MS"/>
      <w:kern w:val="0"/>
    </w:rPr>
  </w:style>
  <w:style w:type="paragraph" w:customStyle="1" w:styleId="538">
    <w:name w:val="z-窗体顶端1"/>
    <w:basedOn w:val="1"/>
    <w:next w:val="1"/>
    <w:link w:val="539"/>
    <w:qFormat/>
    <w:uiPriority w:val="0"/>
    <w:pPr>
      <w:widowControl/>
      <w:pBdr>
        <w:bottom w:val="single" w:color="auto" w:sz="6" w:space="1"/>
      </w:pBdr>
      <w:tabs>
        <w:tab w:val="clear" w:pos="480"/>
      </w:tabs>
      <w:spacing w:line="240" w:lineRule="auto"/>
      <w:jc w:val="center"/>
    </w:pPr>
    <w:rPr>
      <w:rFonts w:ascii="Arial" w:hAnsi="Arial" w:cs="Arial"/>
      <w:vanish/>
      <w:kern w:val="0"/>
      <w:sz w:val="16"/>
      <w:szCs w:val="16"/>
    </w:rPr>
  </w:style>
  <w:style w:type="character" w:customStyle="1" w:styleId="539">
    <w:name w:val="z-窗体顶端 Char"/>
    <w:link w:val="538"/>
    <w:qFormat/>
    <w:uiPriority w:val="0"/>
    <w:rPr>
      <w:rFonts w:ascii="Arial" w:hAnsi="Arial" w:eastAsia="宋体" w:cs="Arial"/>
      <w:vanish/>
      <w:sz w:val="16"/>
      <w:szCs w:val="16"/>
      <w:lang w:val="en-US" w:eastAsia="zh-CN" w:bidi="ar-SA"/>
    </w:rPr>
  </w:style>
  <w:style w:type="paragraph" w:customStyle="1" w:styleId="540">
    <w:name w:val="z-窗体底端1"/>
    <w:basedOn w:val="1"/>
    <w:next w:val="1"/>
    <w:link w:val="3411"/>
    <w:qFormat/>
    <w:uiPriority w:val="0"/>
    <w:pPr>
      <w:widowControl/>
      <w:pBdr>
        <w:top w:val="single" w:color="auto" w:sz="6" w:space="1"/>
      </w:pBdr>
      <w:tabs>
        <w:tab w:val="clear" w:pos="480"/>
      </w:tabs>
      <w:spacing w:line="240" w:lineRule="auto"/>
      <w:jc w:val="center"/>
    </w:pPr>
    <w:rPr>
      <w:rFonts w:ascii="Arial" w:hAnsi="Arial" w:cs="Arial"/>
      <w:vanish/>
      <w:kern w:val="0"/>
      <w:sz w:val="16"/>
      <w:szCs w:val="16"/>
    </w:rPr>
  </w:style>
  <w:style w:type="paragraph" w:customStyle="1" w:styleId="541">
    <w:name w:val="表"/>
    <w:basedOn w:val="1"/>
    <w:qFormat/>
    <w:uiPriority w:val="0"/>
    <w:pPr>
      <w:tabs>
        <w:tab w:val="clear" w:pos="480"/>
      </w:tabs>
      <w:snapToGrid w:val="0"/>
      <w:spacing w:line="240" w:lineRule="auto"/>
      <w:jc w:val="center"/>
    </w:pPr>
    <w:rPr>
      <w:spacing w:val="2"/>
      <w:sz w:val="21"/>
      <w:szCs w:val="20"/>
    </w:rPr>
  </w:style>
  <w:style w:type="paragraph" w:customStyle="1" w:styleId="542">
    <w:name w:val="正文01"/>
    <w:basedOn w:val="1"/>
    <w:link w:val="2270"/>
    <w:qFormat/>
    <w:uiPriority w:val="0"/>
    <w:pPr>
      <w:tabs>
        <w:tab w:val="clear" w:pos="480"/>
      </w:tabs>
      <w:spacing w:before="60" w:line="480" w:lineRule="exact"/>
      <w:ind w:firstLine="539"/>
    </w:pPr>
    <w:rPr>
      <w:sz w:val="27"/>
      <w:szCs w:val="20"/>
    </w:rPr>
  </w:style>
  <w:style w:type="paragraph" w:customStyle="1" w:styleId="543">
    <w:name w:val="正文首行缩进2字符"/>
    <w:basedOn w:val="1"/>
    <w:semiHidden/>
    <w:qFormat/>
    <w:uiPriority w:val="0"/>
    <w:pPr>
      <w:tabs>
        <w:tab w:val="clear" w:pos="480"/>
      </w:tabs>
      <w:ind w:firstLine="420"/>
    </w:pPr>
    <w:rPr>
      <w:rFonts w:cs="宋体"/>
      <w:sz w:val="21"/>
      <w:szCs w:val="20"/>
    </w:rPr>
  </w:style>
  <w:style w:type="paragraph" w:customStyle="1" w:styleId="544">
    <w:name w:val="标题3首行缩进2字符"/>
    <w:basedOn w:val="5"/>
    <w:next w:val="543"/>
    <w:semiHidden/>
    <w:qFormat/>
    <w:uiPriority w:val="0"/>
    <w:pPr>
      <w:numPr>
        <w:ilvl w:val="0"/>
        <w:numId w:val="0"/>
      </w:numPr>
      <w:tabs>
        <w:tab w:val="clear" w:pos="480"/>
        <w:tab w:val="clear" w:pos="840"/>
      </w:tabs>
      <w:spacing w:beforeLines="50" w:afterLines="50" w:line="360" w:lineRule="auto"/>
      <w:ind w:firstLine="422" w:firstLineChars="200"/>
    </w:pPr>
    <w:rPr>
      <w:rFonts w:ascii="宋体" w:hAnsi="宋体" w:eastAsia="宋体" w:cs="宋体"/>
      <w:bCs w:val="0"/>
      <w:sz w:val="21"/>
      <w:szCs w:val="24"/>
    </w:rPr>
  </w:style>
  <w:style w:type="paragraph" w:customStyle="1" w:styleId="545">
    <w:name w:val="标题 1实例1"/>
    <w:basedOn w:val="3"/>
    <w:next w:val="543"/>
    <w:semiHidden/>
    <w:qFormat/>
    <w:uiPriority w:val="0"/>
    <w:pPr>
      <w:numPr>
        <w:numId w:val="0"/>
      </w:numPr>
      <w:tabs>
        <w:tab w:val="clear" w:pos="480"/>
      </w:tabs>
      <w:snapToGrid w:val="0"/>
      <w:spacing w:beforeLines="50" w:afterLines="50"/>
      <w:jc w:val="center"/>
    </w:pPr>
    <w:rPr>
      <w:rFonts w:ascii="Arial" w:hAnsi="Arial" w:eastAsia="宋体" w:cs="宋体"/>
      <w:kern w:val="0"/>
      <w:sz w:val="28"/>
      <w:szCs w:val="20"/>
    </w:rPr>
  </w:style>
  <w:style w:type="paragraph" w:customStyle="1" w:styleId="546">
    <w:name w:val="标题 2实例1"/>
    <w:basedOn w:val="4"/>
    <w:next w:val="543"/>
    <w:semiHidden/>
    <w:qFormat/>
    <w:uiPriority w:val="0"/>
    <w:pPr>
      <w:numPr>
        <w:ilvl w:val="0"/>
        <w:numId w:val="0"/>
      </w:numPr>
      <w:tabs>
        <w:tab w:val="clear" w:pos="480"/>
        <w:tab w:val="clear" w:pos="630"/>
      </w:tabs>
      <w:snapToGrid w:val="0"/>
      <w:spacing w:beforeLines="50" w:afterLines="50"/>
      <w:ind w:firstLine="482" w:firstLineChars="200"/>
    </w:pPr>
    <w:rPr>
      <w:rFonts w:hAnsi="宋体" w:cs="宋体"/>
      <w:sz w:val="24"/>
      <w:szCs w:val="24"/>
    </w:rPr>
  </w:style>
  <w:style w:type="character" w:customStyle="1" w:styleId="547">
    <w:name w:val="font3"/>
    <w:basedOn w:val="132"/>
    <w:semiHidden/>
    <w:qFormat/>
    <w:uiPriority w:val="0"/>
  </w:style>
  <w:style w:type="paragraph" w:customStyle="1" w:styleId="548">
    <w:name w:val="T正文"/>
    <w:basedOn w:val="150"/>
    <w:next w:val="150"/>
    <w:qFormat/>
    <w:uiPriority w:val="0"/>
    <w:rPr>
      <w:rFonts w:ascii="宋体" w:eastAsia="宋体" w:cs="Times New Roman"/>
      <w:color w:val="auto"/>
    </w:rPr>
  </w:style>
  <w:style w:type="paragraph" w:customStyle="1" w:styleId="549">
    <w:name w:val="Char Char Char"/>
    <w:basedOn w:val="1"/>
    <w:qFormat/>
    <w:uiPriority w:val="0"/>
    <w:pPr>
      <w:tabs>
        <w:tab w:val="clear" w:pos="480"/>
      </w:tabs>
      <w:spacing w:line="240" w:lineRule="auto"/>
    </w:pPr>
    <w:rPr>
      <w:sz w:val="21"/>
    </w:rPr>
  </w:style>
  <w:style w:type="paragraph" w:customStyle="1" w:styleId="550">
    <w:name w:val="Char Char Char Char Char Char1 Char Char Char1 Char Char Char1 Char Char Char Char Char Char Char Char Char Char"/>
    <w:basedOn w:val="1"/>
    <w:next w:val="1"/>
    <w:semiHidden/>
    <w:qFormat/>
    <w:uiPriority w:val="0"/>
    <w:pPr>
      <w:tabs>
        <w:tab w:val="clear" w:pos="480"/>
      </w:tabs>
    </w:pPr>
    <w:rPr>
      <w:rFonts w:ascii="宋体" w:hAnsi="宋体" w:cs="宋体"/>
    </w:rPr>
  </w:style>
  <w:style w:type="paragraph" w:customStyle="1" w:styleId="551">
    <w:name w:val="样式 标题 2Chapter Heading2nd levelh22Titre2l2H2Header 2UND...2"/>
    <w:basedOn w:val="4"/>
    <w:semiHidden/>
    <w:qFormat/>
    <w:uiPriority w:val="0"/>
    <w:pPr>
      <w:numPr>
        <w:ilvl w:val="0"/>
        <w:numId w:val="0"/>
      </w:numPr>
      <w:tabs>
        <w:tab w:val="clear" w:pos="480"/>
        <w:tab w:val="clear" w:pos="630"/>
      </w:tabs>
      <w:snapToGrid w:val="0"/>
      <w:spacing w:before="156" w:after="156"/>
    </w:pPr>
    <w:rPr>
      <w:rFonts w:hAnsi="宋体"/>
      <w:b w:val="0"/>
      <w:sz w:val="24"/>
    </w:rPr>
  </w:style>
  <w:style w:type="character" w:customStyle="1" w:styleId="552">
    <w:name w:val="样式 标题 2Chapter Heading2nd levelh22Titre2l2H2Header 2UND...2 Char"/>
    <w:semiHidden/>
    <w:qFormat/>
    <w:uiPriority w:val="0"/>
    <w:rPr>
      <w:rFonts w:eastAsia="黑体"/>
      <w:bCs/>
      <w:kern w:val="2"/>
      <w:sz w:val="24"/>
      <w:szCs w:val="32"/>
      <w:lang w:val="en-US" w:eastAsia="zh-CN" w:bidi="ar-SA"/>
    </w:rPr>
  </w:style>
  <w:style w:type="character" w:customStyle="1" w:styleId="553">
    <w:name w:val="孙普文字 Char Char"/>
    <w:semiHidden/>
    <w:qFormat/>
    <w:uiPriority w:val="0"/>
    <w:rPr>
      <w:rFonts w:ascii="宋体" w:hAnsi="Courier New" w:eastAsia="宋体"/>
      <w:kern w:val="2"/>
      <w:sz w:val="24"/>
      <w:szCs w:val="24"/>
      <w:lang w:val="en-US" w:eastAsia="zh-CN" w:bidi="ar-SA"/>
    </w:rPr>
  </w:style>
  <w:style w:type="paragraph" w:customStyle="1" w:styleId="554">
    <w:name w:val="样式 标题 2Chapter Heading2nd levelh22Titre2l2H2Header 2UND..."/>
    <w:basedOn w:val="4"/>
    <w:semiHidden/>
    <w:qFormat/>
    <w:uiPriority w:val="0"/>
    <w:pPr>
      <w:numPr>
        <w:ilvl w:val="0"/>
        <w:numId w:val="0"/>
      </w:numPr>
      <w:tabs>
        <w:tab w:val="clear" w:pos="480"/>
        <w:tab w:val="clear" w:pos="630"/>
      </w:tabs>
      <w:snapToGrid w:val="0"/>
      <w:spacing w:before="156" w:after="156"/>
    </w:pPr>
    <w:rPr>
      <w:rFonts w:hAnsi="宋体" w:cs="宋体"/>
      <w:b w:val="0"/>
      <w:sz w:val="24"/>
      <w:szCs w:val="24"/>
    </w:rPr>
  </w:style>
  <w:style w:type="paragraph" w:customStyle="1" w:styleId="555">
    <w:name w:val="段落"/>
    <w:basedOn w:val="1"/>
    <w:link w:val="670"/>
    <w:qFormat/>
    <w:uiPriority w:val="0"/>
    <w:pPr>
      <w:tabs>
        <w:tab w:val="left" w:pos="949"/>
        <w:tab w:val="clear" w:pos="480"/>
      </w:tabs>
      <w:spacing w:line="440" w:lineRule="exact"/>
      <w:ind w:firstLine="601"/>
    </w:pPr>
    <w:rPr>
      <w:rFonts w:ascii="宋体" w:hAnsi="宋体"/>
      <w:color w:val="000000"/>
      <w:kern w:val="0"/>
      <w:szCs w:val="18"/>
    </w:rPr>
  </w:style>
  <w:style w:type="paragraph" w:customStyle="1" w:styleId="556">
    <w:name w:val="样式 标题4 + 首行缩进:  2 字符"/>
    <w:basedOn w:val="21"/>
    <w:semiHidden/>
    <w:qFormat/>
    <w:uiPriority w:val="0"/>
    <w:pPr>
      <w:keepNext/>
      <w:keepLines/>
      <w:tabs>
        <w:tab w:val="clear" w:pos="480"/>
      </w:tabs>
      <w:ind w:firstLine="0" w:firstLineChars="0"/>
      <w:outlineLvl w:val="2"/>
    </w:pPr>
    <w:rPr>
      <w:rFonts w:ascii="楷体_GB2312" w:hAnsi="宋体" w:cs="宋体"/>
      <w:szCs w:val="20"/>
    </w:rPr>
  </w:style>
  <w:style w:type="paragraph" w:customStyle="1" w:styleId="557">
    <w:name w:val="样式 标题 1章节标题章标题 1-*+h11st levelSection Headl1b1本标题不使用篇标...1"/>
    <w:basedOn w:val="3"/>
    <w:semiHidden/>
    <w:qFormat/>
    <w:uiPriority w:val="0"/>
    <w:pPr>
      <w:numPr>
        <w:numId w:val="0"/>
      </w:numPr>
      <w:tabs>
        <w:tab w:val="clear" w:pos="480"/>
      </w:tabs>
      <w:snapToGrid w:val="0"/>
      <w:spacing w:before="240" w:after="120"/>
      <w:jc w:val="left"/>
    </w:pPr>
    <w:rPr>
      <w:rFonts w:ascii="Times New Roman" w:hAnsi="宋体" w:eastAsia="宋体"/>
      <w:sz w:val="28"/>
      <w:szCs w:val="20"/>
    </w:rPr>
  </w:style>
  <w:style w:type="paragraph" w:customStyle="1" w:styleId="558">
    <w:name w:val="Char Char Char Char Char Char1 Char"/>
    <w:basedOn w:val="1"/>
    <w:semiHidden/>
    <w:qFormat/>
    <w:uiPriority w:val="0"/>
    <w:pPr>
      <w:tabs>
        <w:tab w:val="clear" w:pos="480"/>
      </w:tabs>
    </w:pPr>
  </w:style>
  <w:style w:type="paragraph" w:customStyle="1" w:styleId="559">
    <w:name w:val="Char Char Char Char Char Char Char3"/>
    <w:basedOn w:val="1"/>
    <w:qFormat/>
    <w:uiPriority w:val="0"/>
    <w:pPr>
      <w:widowControl/>
      <w:tabs>
        <w:tab w:val="clear" w:pos="480"/>
      </w:tabs>
      <w:spacing w:after="160" w:line="240" w:lineRule="exact"/>
      <w:jc w:val="left"/>
    </w:pPr>
    <w:rPr>
      <w:rFonts w:ascii="Verdana" w:hAnsi="Verdana"/>
      <w:kern w:val="0"/>
      <w:sz w:val="20"/>
      <w:szCs w:val="32"/>
      <w:lang w:eastAsia="en-US"/>
    </w:rPr>
  </w:style>
  <w:style w:type="paragraph" w:customStyle="1" w:styleId="560">
    <w:name w:val="样式 标题 1章节标题章标题 1-*+h11st levelSection Headl1b1本标题不使用篇标..."/>
    <w:basedOn w:val="3"/>
    <w:semiHidden/>
    <w:qFormat/>
    <w:uiPriority w:val="0"/>
    <w:pPr>
      <w:numPr>
        <w:numId w:val="0"/>
      </w:numPr>
      <w:tabs>
        <w:tab w:val="clear" w:pos="480"/>
      </w:tabs>
      <w:snapToGrid w:val="0"/>
      <w:spacing w:before="240" w:after="120"/>
      <w:jc w:val="left"/>
    </w:pPr>
    <w:rPr>
      <w:rFonts w:ascii="Times New Roman" w:hAnsi="宋体" w:eastAsia="宋体"/>
      <w:bCs w:val="0"/>
      <w:sz w:val="28"/>
      <w:szCs w:val="20"/>
    </w:rPr>
  </w:style>
  <w:style w:type="character" w:customStyle="1" w:styleId="561">
    <w:name w:val="text21"/>
    <w:semiHidden/>
    <w:qFormat/>
    <w:uiPriority w:val="0"/>
    <w:rPr>
      <w:color w:val="000000"/>
      <w:sz w:val="21"/>
      <w:u w:val="none"/>
    </w:rPr>
  </w:style>
  <w:style w:type="paragraph" w:customStyle="1" w:styleId="562">
    <w:name w:val="CM46"/>
    <w:basedOn w:val="150"/>
    <w:next w:val="150"/>
    <w:semiHidden/>
    <w:qFormat/>
    <w:uiPriority w:val="0"/>
    <w:pPr>
      <w:spacing w:line="500" w:lineRule="atLeast"/>
    </w:pPr>
    <w:rPr>
      <w:rFonts w:ascii="仿宋_GB2312" w:eastAsia="仿宋_GB2312" w:cs="Times New Roman"/>
      <w:color w:val="auto"/>
      <w:szCs w:val="20"/>
    </w:rPr>
  </w:style>
  <w:style w:type="paragraph" w:customStyle="1" w:styleId="563">
    <w:name w:val="CM126"/>
    <w:basedOn w:val="1"/>
    <w:next w:val="1"/>
    <w:semiHidden/>
    <w:qFormat/>
    <w:uiPriority w:val="0"/>
    <w:pPr>
      <w:tabs>
        <w:tab w:val="clear" w:pos="480"/>
      </w:tabs>
      <w:autoSpaceDE w:val="0"/>
      <w:autoSpaceDN w:val="0"/>
      <w:adjustRightInd w:val="0"/>
      <w:spacing w:after="285" w:line="240" w:lineRule="auto"/>
      <w:jc w:val="left"/>
    </w:pPr>
    <w:rPr>
      <w:rFonts w:ascii="仿宋_GB2312" w:eastAsia="仿宋_GB2312"/>
      <w:kern w:val="0"/>
      <w:szCs w:val="20"/>
    </w:rPr>
  </w:style>
  <w:style w:type="paragraph" w:customStyle="1" w:styleId="564">
    <w:name w:val="CM45"/>
    <w:basedOn w:val="150"/>
    <w:next w:val="150"/>
    <w:qFormat/>
    <w:uiPriority w:val="0"/>
    <w:pPr>
      <w:spacing w:line="500" w:lineRule="atLeast"/>
    </w:pPr>
    <w:rPr>
      <w:rFonts w:ascii="仿宋_GB2312" w:eastAsia="仿宋_GB2312" w:cs="Times New Roman"/>
      <w:color w:val="auto"/>
      <w:szCs w:val="20"/>
    </w:rPr>
  </w:style>
  <w:style w:type="paragraph" w:customStyle="1" w:styleId="565">
    <w:name w:val="Char Char Char1 Char"/>
    <w:basedOn w:val="1"/>
    <w:qFormat/>
    <w:uiPriority w:val="0"/>
    <w:pPr>
      <w:tabs>
        <w:tab w:val="clear" w:pos="480"/>
      </w:tabs>
      <w:snapToGrid w:val="0"/>
    </w:pPr>
    <w:rPr>
      <w:rFonts w:eastAsia="仿宋_GB2312"/>
    </w:rPr>
  </w:style>
  <w:style w:type="paragraph" w:customStyle="1" w:styleId="566">
    <w:name w:val="Char Char Char1 Char Char Char"/>
    <w:basedOn w:val="1"/>
    <w:qFormat/>
    <w:uiPriority w:val="0"/>
    <w:pPr>
      <w:tabs>
        <w:tab w:val="clear" w:pos="480"/>
      </w:tabs>
    </w:pPr>
    <w:rPr>
      <w:rFonts w:ascii="宋体" w:hAnsi="宋体" w:cs="宋体"/>
    </w:rPr>
  </w:style>
  <w:style w:type="paragraph" w:customStyle="1" w:styleId="567">
    <w:name w:val="正文001"/>
    <w:basedOn w:val="1"/>
    <w:semiHidden/>
    <w:qFormat/>
    <w:uiPriority w:val="0"/>
    <w:pPr>
      <w:tabs>
        <w:tab w:val="clear" w:pos="480"/>
      </w:tabs>
      <w:spacing w:before="60" w:line="460" w:lineRule="exact"/>
    </w:pPr>
    <w:rPr>
      <w:rFonts w:ascii="Arial" w:hAnsi="Arial"/>
      <w:szCs w:val="20"/>
    </w:rPr>
  </w:style>
  <w:style w:type="paragraph" w:customStyle="1" w:styleId="568">
    <w:name w:val="Char Char Char1 Char Char Char Char Char Char Char"/>
    <w:basedOn w:val="1"/>
    <w:semiHidden/>
    <w:qFormat/>
    <w:uiPriority w:val="0"/>
    <w:pPr>
      <w:tabs>
        <w:tab w:val="clear" w:pos="480"/>
      </w:tabs>
    </w:pPr>
    <w:rPr>
      <w:rFonts w:ascii="宋体" w:hAnsi="宋体" w:cs="宋体"/>
    </w:rPr>
  </w:style>
  <w:style w:type="paragraph" w:customStyle="1" w:styleId="569">
    <w:name w:val="册除格式 Char Char"/>
    <w:semiHidden/>
    <w:qFormat/>
    <w:uiPriority w:val="0"/>
    <w:pPr>
      <w:spacing w:line="360" w:lineRule="auto"/>
      <w:ind w:firstLine="482"/>
      <w:jc w:val="center"/>
    </w:pPr>
    <w:rPr>
      <w:rFonts w:ascii="黑体" w:hAnsi="Arial" w:eastAsia="宋体" w:cs="Arial"/>
      <w:snapToGrid w:val="0"/>
      <w:spacing w:val="4"/>
      <w:kern w:val="18"/>
      <w:sz w:val="24"/>
      <w:szCs w:val="28"/>
      <w:lang w:val="en-US" w:eastAsia="zh-CN" w:bidi="ar-SA"/>
    </w:rPr>
  </w:style>
  <w:style w:type="paragraph" w:customStyle="1" w:styleId="570">
    <w:name w:val="标题三"/>
    <w:basedOn w:val="5"/>
    <w:next w:val="1"/>
    <w:semiHidden/>
    <w:qFormat/>
    <w:uiPriority w:val="0"/>
    <w:pPr>
      <w:keepLines w:val="0"/>
      <w:numPr>
        <w:ilvl w:val="0"/>
        <w:numId w:val="0"/>
      </w:numPr>
      <w:tabs>
        <w:tab w:val="clear" w:pos="480"/>
        <w:tab w:val="clear" w:pos="840"/>
      </w:tabs>
      <w:autoSpaceDE w:val="0"/>
      <w:autoSpaceDN w:val="0"/>
      <w:adjustRightInd w:val="0"/>
      <w:spacing w:beforeLines="50" w:afterLines="50" w:line="360" w:lineRule="auto"/>
      <w:ind w:firstLine="482"/>
      <w:jc w:val="left"/>
      <w:textAlignment w:val="baseline"/>
    </w:pPr>
    <w:rPr>
      <w:rFonts w:ascii="黑体" w:hAnsi="宋体" w:eastAsia="宋体"/>
      <w:sz w:val="24"/>
      <w:szCs w:val="24"/>
    </w:rPr>
  </w:style>
  <w:style w:type="paragraph" w:customStyle="1" w:styleId="571">
    <w:name w:val="表文"/>
    <w:basedOn w:val="1"/>
    <w:link w:val="1754"/>
    <w:qFormat/>
    <w:uiPriority w:val="0"/>
    <w:pPr>
      <w:tabs>
        <w:tab w:val="left" w:pos="1021"/>
        <w:tab w:val="clear" w:pos="480"/>
      </w:tabs>
      <w:adjustRightInd w:val="0"/>
      <w:snapToGrid w:val="0"/>
      <w:spacing w:line="440" w:lineRule="exact"/>
      <w:jc w:val="center"/>
    </w:pPr>
    <w:rPr>
      <w:spacing w:val="-2"/>
    </w:rPr>
  </w:style>
  <w:style w:type="character" w:customStyle="1" w:styleId="572">
    <w:name w:val="defaultfont1"/>
    <w:basedOn w:val="132"/>
    <w:semiHidden/>
    <w:qFormat/>
    <w:uiPriority w:val="0"/>
  </w:style>
  <w:style w:type="paragraph" w:customStyle="1" w:styleId="573">
    <w:name w:val="Char2"/>
    <w:basedOn w:val="1"/>
    <w:qFormat/>
    <w:uiPriority w:val="0"/>
    <w:pPr>
      <w:tabs>
        <w:tab w:val="clear" w:pos="480"/>
      </w:tabs>
      <w:snapToGrid w:val="0"/>
    </w:pPr>
    <w:rPr>
      <w:rFonts w:eastAsia="仿宋_GB2312"/>
    </w:rPr>
  </w:style>
  <w:style w:type="character" w:customStyle="1" w:styleId="574">
    <w:name w:val="newsbody1"/>
    <w:semiHidden/>
    <w:qFormat/>
    <w:uiPriority w:val="0"/>
    <w:rPr>
      <w:color w:val="363636"/>
      <w:spacing w:val="345"/>
      <w:sz w:val="21"/>
      <w:szCs w:val="21"/>
    </w:rPr>
  </w:style>
  <w:style w:type="paragraph" w:customStyle="1" w:styleId="575">
    <w:name w:val="表格文字（韶关规划）"/>
    <w:basedOn w:val="1"/>
    <w:semiHidden/>
    <w:qFormat/>
    <w:uiPriority w:val="0"/>
    <w:pPr>
      <w:tabs>
        <w:tab w:val="left" w:pos="7996"/>
        <w:tab w:val="clear" w:pos="480"/>
      </w:tabs>
      <w:autoSpaceDE w:val="0"/>
      <w:autoSpaceDN w:val="0"/>
      <w:adjustRightInd w:val="0"/>
      <w:snapToGrid w:val="0"/>
      <w:spacing w:line="264" w:lineRule="auto"/>
      <w:jc w:val="center"/>
    </w:pPr>
    <w:rPr>
      <w:kern w:val="0"/>
      <w:sz w:val="21"/>
      <w:szCs w:val="21"/>
      <w:lang w:val="zh-CN"/>
    </w:rPr>
  </w:style>
  <w:style w:type="paragraph" w:customStyle="1" w:styleId="576">
    <w:name w:val="Char Char Char Char Char Char Char Char Char Char Char Char Char2"/>
    <w:basedOn w:val="1"/>
    <w:semiHidden/>
    <w:qFormat/>
    <w:uiPriority w:val="0"/>
    <w:pPr>
      <w:tabs>
        <w:tab w:val="clear" w:pos="480"/>
      </w:tabs>
      <w:adjustRightInd w:val="0"/>
      <w:ind w:firstLine="540" w:firstLineChars="225"/>
      <w:jc w:val="left"/>
    </w:pPr>
    <w:rPr>
      <w:rFonts w:ascii="宋体" w:hAnsi="宋体" w:cs="Arial"/>
      <w:snapToGrid w:val="0"/>
      <w:kern w:val="0"/>
      <w:sz w:val="21"/>
      <w:szCs w:val="21"/>
      <w:lang w:val="eu-ES"/>
    </w:rPr>
  </w:style>
  <w:style w:type="paragraph" w:customStyle="1" w:styleId="577">
    <w:name w:val="Plain Text1"/>
    <w:basedOn w:val="1"/>
    <w:qFormat/>
    <w:uiPriority w:val="0"/>
    <w:pPr>
      <w:tabs>
        <w:tab w:val="clear" w:pos="480"/>
      </w:tabs>
      <w:adjustRightInd w:val="0"/>
      <w:spacing w:line="240" w:lineRule="auto"/>
      <w:textAlignment w:val="baseline"/>
    </w:pPr>
    <w:rPr>
      <w:rFonts w:ascii="宋体" w:hAnsi="Courier New"/>
      <w:sz w:val="21"/>
      <w:szCs w:val="20"/>
    </w:rPr>
  </w:style>
  <w:style w:type="paragraph" w:customStyle="1" w:styleId="578">
    <w:name w:val="HTML 预先格式化"/>
    <w:basedOn w:val="1"/>
    <w:semiHidden/>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clear" w:pos="480"/>
      </w:tabs>
      <w:spacing w:line="240" w:lineRule="auto"/>
      <w:jc w:val="left"/>
    </w:pPr>
    <w:rPr>
      <w:rFonts w:ascii="Arial Unicode MS" w:hAnsi="Arial Unicode MS" w:eastAsia="Arial Unicode MS"/>
      <w:kern w:val="0"/>
      <w:sz w:val="20"/>
      <w:szCs w:val="20"/>
    </w:rPr>
  </w:style>
  <w:style w:type="paragraph" w:customStyle="1" w:styleId="579">
    <w:name w:val="标准"/>
    <w:basedOn w:val="1"/>
    <w:qFormat/>
    <w:uiPriority w:val="0"/>
    <w:pPr>
      <w:tabs>
        <w:tab w:val="clear" w:pos="480"/>
      </w:tabs>
      <w:adjustRightInd w:val="0"/>
      <w:spacing w:line="480" w:lineRule="exact"/>
      <w:textAlignment w:val="baseline"/>
    </w:pPr>
    <w:rPr>
      <w:kern w:val="0"/>
      <w:sz w:val="28"/>
      <w:szCs w:val="20"/>
      <w:lang w:val="en-GB"/>
    </w:rPr>
  </w:style>
  <w:style w:type="paragraph" w:customStyle="1" w:styleId="580">
    <w:name w:val="Normal1"/>
    <w:basedOn w:val="1"/>
    <w:semiHidden/>
    <w:qFormat/>
    <w:uiPriority w:val="0"/>
    <w:pPr>
      <w:tabs>
        <w:tab w:val="clear" w:pos="480"/>
      </w:tabs>
      <w:adjustRightInd w:val="0"/>
      <w:spacing w:line="480" w:lineRule="exact"/>
      <w:textAlignment w:val="baseline"/>
    </w:pPr>
    <w:rPr>
      <w:spacing w:val="-2"/>
      <w:kern w:val="0"/>
      <w:sz w:val="28"/>
      <w:szCs w:val="20"/>
    </w:rPr>
  </w:style>
  <w:style w:type="paragraph" w:customStyle="1" w:styleId="581">
    <w:name w:val="CM13"/>
    <w:basedOn w:val="150"/>
    <w:next w:val="150"/>
    <w:semiHidden/>
    <w:qFormat/>
    <w:uiPriority w:val="0"/>
    <w:pPr>
      <w:spacing w:line="468" w:lineRule="atLeast"/>
    </w:pPr>
    <w:rPr>
      <w:rFonts w:ascii="仿宋_GB2312" w:eastAsia="仿宋_GB2312" w:cs="仿宋_GB2312"/>
      <w:color w:val="auto"/>
    </w:rPr>
  </w:style>
  <w:style w:type="paragraph" w:customStyle="1" w:styleId="582">
    <w:name w:val="CM6"/>
    <w:basedOn w:val="150"/>
    <w:next w:val="150"/>
    <w:semiHidden/>
    <w:qFormat/>
    <w:uiPriority w:val="0"/>
    <w:pPr>
      <w:spacing w:line="471" w:lineRule="atLeast"/>
    </w:pPr>
    <w:rPr>
      <w:rFonts w:ascii="仿宋_GB2312" w:eastAsia="仿宋_GB2312" w:cs="仿宋_GB2312"/>
      <w:color w:val="auto"/>
    </w:rPr>
  </w:style>
  <w:style w:type="paragraph" w:customStyle="1" w:styleId="583">
    <w:name w:val="CM7"/>
    <w:basedOn w:val="150"/>
    <w:next w:val="150"/>
    <w:semiHidden/>
    <w:qFormat/>
    <w:uiPriority w:val="0"/>
    <w:pPr>
      <w:spacing w:line="468" w:lineRule="atLeast"/>
    </w:pPr>
    <w:rPr>
      <w:rFonts w:ascii="仿宋_GB2312" w:eastAsia="仿宋_GB2312" w:cs="仿宋_GB2312"/>
      <w:color w:val="auto"/>
    </w:rPr>
  </w:style>
  <w:style w:type="paragraph" w:customStyle="1" w:styleId="584">
    <w:name w:val="CM8"/>
    <w:basedOn w:val="150"/>
    <w:next w:val="150"/>
    <w:semiHidden/>
    <w:qFormat/>
    <w:uiPriority w:val="0"/>
    <w:pPr>
      <w:spacing w:line="468" w:lineRule="atLeast"/>
    </w:pPr>
    <w:rPr>
      <w:rFonts w:ascii="仿宋_GB2312" w:eastAsia="仿宋_GB2312" w:cs="仿宋_GB2312"/>
      <w:color w:val="auto"/>
    </w:rPr>
  </w:style>
  <w:style w:type="paragraph" w:customStyle="1" w:styleId="585">
    <w:name w:val="CM9"/>
    <w:basedOn w:val="150"/>
    <w:next w:val="150"/>
    <w:semiHidden/>
    <w:qFormat/>
    <w:uiPriority w:val="0"/>
    <w:pPr>
      <w:spacing w:line="468" w:lineRule="atLeast"/>
    </w:pPr>
    <w:rPr>
      <w:rFonts w:ascii="仿宋_GB2312" w:eastAsia="仿宋_GB2312" w:cs="仿宋_GB2312"/>
      <w:color w:val="auto"/>
    </w:rPr>
  </w:style>
  <w:style w:type="paragraph" w:customStyle="1" w:styleId="586">
    <w:name w:val="CM129"/>
    <w:basedOn w:val="150"/>
    <w:next w:val="150"/>
    <w:semiHidden/>
    <w:qFormat/>
    <w:uiPriority w:val="0"/>
    <w:pPr>
      <w:spacing w:after="365"/>
    </w:pPr>
    <w:rPr>
      <w:rFonts w:ascii="仿宋_GB2312" w:eastAsia="仿宋_GB2312" w:cs="仿宋_GB2312"/>
      <w:color w:val="auto"/>
    </w:rPr>
  </w:style>
  <w:style w:type="paragraph" w:customStyle="1" w:styleId="587">
    <w:name w:val="CM22"/>
    <w:basedOn w:val="150"/>
    <w:next w:val="150"/>
    <w:semiHidden/>
    <w:qFormat/>
    <w:uiPriority w:val="0"/>
    <w:pPr>
      <w:spacing w:line="468" w:lineRule="atLeast"/>
    </w:pPr>
    <w:rPr>
      <w:rFonts w:ascii="仿宋_GB2312" w:eastAsia="仿宋_GB2312" w:cs="仿宋_GB2312"/>
      <w:color w:val="auto"/>
    </w:rPr>
  </w:style>
  <w:style w:type="paragraph" w:customStyle="1" w:styleId="588">
    <w:name w:val="CM87"/>
    <w:basedOn w:val="150"/>
    <w:next w:val="150"/>
    <w:semiHidden/>
    <w:qFormat/>
    <w:uiPriority w:val="0"/>
    <w:pPr>
      <w:spacing w:line="468" w:lineRule="atLeast"/>
    </w:pPr>
    <w:rPr>
      <w:rFonts w:ascii="仿宋_GB2312" w:eastAsia="仿宋_GB2312" w:cs="仿宋_GB2312"/>
      <w:color w:val="auto"/>
    </w:rPr>
  </w:style>
  <w:style w:type="paragraph" w:customStyle="1" w:styleId="589">
    <w:name w:val="CM25"/>
    <w:basedOn w:val="150"/>
    <w:next w:val="150"/>
    <w:semiHidden/>
    <w:qFormat/>
    <w:uiPriority w:val="0"/>
    <w:pPr>
      <w:spacing w:line="468" w:lineRule="atLeast"/>
    </w:pPr>
    <w:rPr>
      <w:rFonts w:ascii="仿宋_GB2312" w:eastAsia="仿宋_GB2312" w:cs="仿宋_GB2312"/>
      <w:color w:val="auto"/>
    </w:rPr>
  </w:style>
  <w:style w:type="paragraph" w:customStyle="1" w:styleId="590">
    <w:name w:val="CM26"/>
    <w:basedOn w:val="150"/>
    <w:next w:val="150"/>
    <w:semiHidden/>
    <w:qFormat/>
    <w:uiPriority w:val="0"/>
    <w:pPr>
      <w:spacing w:line="468" w:lineRule="atLeast"/>
    </w:pPr>
    <w:rPr>
      <w:rFonts w:ascii="仿宋_GB2312" w:eastAsia="仿宋_GB2312" w:cs="仿宋_GB2312"/>
      <w:color w:val="auto"/>
    </w:rPr>
  </w:style>
  <w:style w:type="paragraph" w:customStyle="1" w:styleId="591">
    <w:name w:val="CM21"/>
    <w:basedOn w:val="150"/>
    <w:next w:val="150"/>
    <w:semiHidden/>
    <w:qFormat/>
    <w:uiPriority w:val="0"/>
    <w:pPr>
      <w:spacing w:line="468" w:lineRule="atLeast"/>
    </w:pPr>
    <w:rPr>
      <w:rFonts w:ascii="仿宋_GB2312" w:eastAsia="仿宋_GB2312" w:cs="仿宋_GB2312"/>
      <w:color w:val="auto"/>
    </w:rPr>
  </w:style>
  <w:style w:type="paragraph" w:customStyle="1" w:styleId="592">
    <w:name w:val="Char Char Char Char Char Char Char Char Char Char Char Char"/>
    <w:basedOn w:val="1"/>
    <w:qFormat/>
    <w:uiPriority w:val="0"/>
    <w:pPr>
      <w:tabs>
        <w:tab w:val="clear" w:pos="480"/>
      </w:tabs>
      <w:adjustRightInd w:val="0"/>
      <w:ind w:firstLine="540" w:firstLineChars="225"/>
      <w:jc w:val="left"/>
    </w:pPr>
    <w:rPr>
      <w:rFonts w:ascii="宋体" w:hAnsi="宋体" w:cs="Arial"/>
      <w:snapToGrid w:val="0"/>
      <w:kern w:val="0"/>
      <w:sz w:val="21"/>
      <w:szCs w:val="21"/>
      <w:lang w:val="eu-ES"/>
    </w:rPr>
  </w:style>
  <w:style w:type="paragraph" w:customStyle="1" w:styleId="593">
    <w:name w:val="Char Char Char1"/>
    <w:basedOn w:val="1"/>
    <w:semiHidden/>
    <w:qFormat/>
    <w:uiPriority w:val="0"/>
    <w:pPr>
      <w:tabs>
        <w:tab w:val="clear" w:pos="480"/>
      </w:tabs>
    </w:pPr>
    <w:rPr>
      <w:rFonts w:ascii="宋体" w:hAnsi="宋体" w:cs="宋体"/>
    </w:rPr>
  </w:style>
  <w:style w:type="paragraph" w:customStyle="1" w:styleId="594">
    <w:name w:val="样式 样式 标题 1章节标题章标题 1-*+h11st levelSection Headl1b1本标题不使用篇标...1 + ..."/>
    <w:basedOn w:val="1"/>
    <w:semiHidden/>
    <w:qFormat/>
    <w:uiPriority w:val="0"/>
    <w:pPr>
      <w:keepNext/>
      <w:keepLines/>
      <w:tabs>
        <w:tab w:val="clear" w:pos="480"/>
      </w:tabs>
      <w:spacing w:before="240" w:after="120"/>
      <w:jc w:val="left"/>
      <w:outlineLvl w:val="0"/>
    </w:pPr>
    <w:rPr>
      <w:rFonts w:eastAsia="黑体" w:cs="宋体"/>
      <w:b/>
      <w:bCs/>
      <w:kern w:val="44"/>
      <w:sz w:val="28"/>
      <w:szCs w:val="28"/>
    </w:rPr>
  </w:style>
  <w:style w:type="paragraph" w:customStyle="1" w:styleId="595">
    <w:name w:val="Char Char Char Char Char Char1 Char1"/>
    <w:basedOn w:val="1"/>
    <w:semiHidden/>
    <w:qFormat/>
    <w:uiPriority w:val="0"/>
    <w:pPr>
      <w:tabs>
        <w:tab w:val="clear" w:pos="480"/>
      </w:tabs>
    </w:pPr>
    <w:rPr>
      <w:rFonts w:ascii="宋体" w:hAnsi="宋体" w:cs="宋体"/>
    </w:rPr>
  </w:style>
  <w:style w:type="character" w:customStyle="1" w:styleId="596">
    <w:name w:val="tit2"/>
    <w:semiHidden/>
    <w:qFormat/>
    <w:uiPriority w:val="0"/>
    <w:rPr>
      <w:b/>
      <w:bCs/>
      <w:sz w:val="48"/>
      <w:szCs w:val="48"/>
    </w:rPr>
  </w:style>
  <w:style w:type="paragraph" w:customStyle="1" w:styleId="597">
    <w:name w:val="标题四"/>
    <w:basedOn w:val="1"/>
    <w:semiHidden/>
    <w:qFormat/>
    <w:uiPriority w:val="0"/>
    <w:pPr>
      <w:tabs>
        <w:tab w:val="clear" w:pos="480"/>
      </w:tabs>
      <w:ind w:firstLine="480"/>
    </w:pPr>
    <w:rPr>
      <w:bCs/>
      <w:szCs w:val="20"/>
    </w:rPr>
  </w:style>
  <w:style w:type="paragraph" w:customStyle="1" w:styleId="598">
    <w:name w:val="表头样式"/>
    <w:basedOn w:val="1"/>
    <w:semiHidden/>
    <w:qFormat/>
    <w:uiPriority w:val="0"/>
    <w:pPr>
      <w:tabs>
        <w:tab w:val="left" w:pos="3060"/>
        <w:tab w:val="clear" w:pos="480"/>
      </w:tabs>
      <w:spacing w:beforeLines="50"/>
      <w:jc w:val="center"/>
    </w:pPr>
    <w:rPr>
      <w:rFonts w:hAnsi="宋体"/>
      <w:b/>
      <w:bCs/>
    </w:rPr>
  </w:style>
  <w:style w:type="paragraph" w:customStyle="1" w:styleId="599">
    <w:name w:val="样式 (符号) 宋体 小四 黑色 首行缩进:  2 字符"/>
    <w:basedOn w:val="1"/>
    <w:semiHidden/>
    <w:qFormat/>
    <w:uiPriority w:val="0"/>
    <w:pPr>
      <w:tabs>
        <w:tab w:val="clear" w:pos="480"/>
      </w:tabs>
      <w:spacing w:line="440" w:lineRule="exact"/>
      <w:ind w:firstLine="480"/>
    </w:pPr>
    <w:rPr>
      <w:rFonts w:hAnsi="宋体" w:cs="宋体"/>
      <w:color w:val="000000"/>
      <w:szCs w:val="20"/>
    </w:rPr>
  </w:style>
  <w:style w:type="paragraph" w:styleId="600">
    <w:name w:val="List Paragraph"/>
    <w:basedOn w:val="1"/>
    <w:qFormat/>
    <w:uiPriority w:val="34"/>
    <w:pPr>
      <w:tabs>
        <w:tab w:val="clear" w:pos="480"/>
      </w:tabs>
      <w:spacing w:line="240" w:lineRule="auto"/>
      <w:ind w:firstLine="420"/>
    </w:pPr>
    <w:rPr>
      <w:rFonts w:ascii="Calibri" w:hAnsi="Calibri"/>
      <w:sz w:val="21"/>
      <w:szCs w:val="22"/>
    </w:rPr>
  </w:style>
  <w:style w:type="paragraph" w:customStyle="1" w:styleId="601">
    <w:name w:val="Char Char1 Char Char Char Char Char Char Char Char Char Char Char Char Char Char Char Char Char Char Char Char Char Char Char Char Char Char Char Char Char Char1 Char Char Char Char"/>
    <w:basedOn w:val="1"/>
    <w:semiHidden/>
    <w:qFormat/>
    <w:uiPriority w:val="0"/>
    <w:pPr>
      <w:tabs>
        <w:tab w:val="clear" w:pos="480"/>
      </w:tabs>
      <w:spacing w:line="240" w:lineRule="auto"/>
    </w:pPr>
    <w:rPr>
      <w:sz w:val="21"/>
    </w:rPr>
  </w:style>
  <w:style w:type="paragraph" w:customStyle="1" w:styleId="602">
    <w:name w:val="Char Char Char1 Char Char Char Char Char Char Char Char Char Char Char Char Char Char Char Char Char Char Char Char Char Char Char Char Char Char Char Char"/>
    <w:basedOn w:val="1"/>
    <w:semiHidden/>
    <w:qFormat/>
    <w:uiPriority w:val="0"/>
    <w:pPr>
      <w:tabs>
        <w:tab w:val="clear" w:pos="480"/>
      </w:tabs>
      <w:spacing w:line="240" w:lineRule="auto"/>
    </w:pPr>
    <w:rPr>
      <w:sz w:val="21"/>
    </w:rPr>
  </w:style>
  <w:style w:type="paragraph" w:customStyle="1" w:styleId="603">
    <w:name w:val="ST20_1"/>
    <w:basedOn w:val="1"/>
    <w:semiHidden/>
    <w:qFormat/>
    <w:uiPriority w:val="0"/>
    <w:pPr>
      <w:tabs>
        <w:tab w:val="clear" w:pos="480"/>
      </w:tabs>
      <w:autoSpaceDE w:val="0"/>
      <w:autoSpaceDN w:val="0"/>
      <w:adjustRightInd w:val="0"/>
      <w:spacing w:line="312" w:lineRule="atLeast"/>
      <w:jc w:val="center"/>
      <w:textAlignment w:val="baseline"/>
    </w:pPr>
    <w:rPr>
      <w:rFonts w:ascii="宋体" w:hAnsi="Tms Rmn"/>
      <w:kern w:val="0"/>
      <w:szCs w:val="20"/>
    </w:rPr>
  </w:style>
  <w:style w:type="paragraph" w:customStyle="1" w:styleId="604">
    <w:name w:val="样式 题注 + 首行缩进:  2 字符"/>
    <w:basedOn w:val="22"/>
    <w:semiHidden/>
    <w:qFormat/>
    <w:uiPriority w:val="0"/>
    <w:pPr>
      <w:widowControl w:val="0"/>
      <w:adjustRightInd/>
      <w:snapToGrid/>
      <w:spacing w:before="0" w:after="0"/>
      <w:ind w:firstLine="400"/>
    </w:pPr>
    <w:rPr>
      <w:rFonts w:cs="宋体"/>
      <w:b/>
      <w:color w:val="auto"/>
      <w:sz w:val="20"/>
    </w:rPr>
  </w:style>
  <w:style w:type="paragraph" w:customStyle="1" w:styleId="605">
    <w:name w:val="样式 题注 + 宋体 小四 非加粗"/>
    <w:basedOn w:val="22"/>
    <w:link w:val="607"/>
    <w:semiHidden/>
    <w:qFormat/>
    <w:uiPriority w:val="0"/>
    <w:pPr>
      <w:keepNext/>
      <w:widowControl w:val="0"/>
      <w:adjustRightInd/>
      <w:snapToGrid/>
      <w:spacing w:line="240" w:lineRule="auto"/>
      <w:ind w:firstLine="0" w:firstLineChars="0"/>
    </w:pPr>
    <w:rPr>
      <w:rFonts w:ascii="宋体" w:hAnsi="宋体" w:cs="仿宋_GB2312"/>
      <w:b/>
      <w:bCs/>
      <w:color w:val="auto"/>
      <w:spacing w:val="4"/>
      <w:szCs w:val="21"/>
    </w:rPr>
  </w:style>
  <w:style w:type="character" w:customStyle="1" w:styleId="606">
    <w:name w:val="Char Char4"/>
    <w:qFormat/>
    <w:uiPriority w:val="0"/>
    <w:rPr>
      <w:rFonts w:ascii="宋体" w:hAnsi="宋体" w:cs="仿宋_GB2312"/>
      <w:b/>
      <w:bCs/>
      <w:kern w:val="2"/>
      <w:sz w:val="24"/>
      <w:szCs w:val="21"/>
    </w:rPr>
  </w:style>
  <w:style w:type="character" w:customStyle="1" w:styleId="607">
    <w:name w:val="样式 题注 + 宋体 小四 非加粗 Char"/>
    <w:link w:val="605"/>
    <w:qFormat/>
    <w:uiPriority w:val="0"/>
    <w:rPr>
      <w:rFonts w:ascii="宋体" w:hAnsi="宋体" w:eastAsia="宋体" w:cs="仿宋_GB2312"/>
      <w:b/>
      <w:bCs/>
      <w:spacing w:val="4"/>
      <w:kern w:val="2"/>
      <w:sz w:val="24"/>
      <w:szCs w:val="21"/>
      <w:lang w:val="en-US" w:eastAsia="zh-CN" w:bidi="ar-SA"/>
    </w:rPr>
  </w:style>
  <w:style w:type="paragraph" w:customStyle="1" w:styleId="608">
    <w:name w:val="样式 行距: 1.5 倍行距"/>
    <w:basedOn w:val="1"/>
    <w:qFormat/>
    <w:uiPriority w:val="0"/>
    <w:pPr>
      <w:tabs>
        <w:tab w:val="clear" w:pos="480"/>
      </w:tabs>
      <w:ind w:firstLine="480"/>
    </w:pPr>
    <w:rPr>
      <w:rFonts w:cs="宋体"/>
      <w:szCs w:val="20"/>
    </w:rPr>
  </w:style>
  <w:style w:type="paragraph" w:customStyle="1" w:styleId="609">
    <w:name w:val="样式 题注 + 非加粗 黑色"/>
    <w:basedOn w:val="22"/>
    <w:link w:val="610"/>
    <w:semiHidden/>
    <w:qFormat/>
    <w:uiPriority w:val="0"/>
    <w:pPr>
      <w:keepNext/>
      <w:widowControl w:val="0"/>
      <w:adjustRightInd/>
      <w:snapToGrid/>
      <w:spacing w:line="240" w:lineRule="auto"/>
      <w:ind w:firstLine="0" w:firstLineChars="0"/>
    </w:pPr>
    <w:rPr>
      <w:rFonts w:ascii="宋体" w:hAnsi="宋体" w:cs="仿宋_GB2312"/>
      <w:b/>
      <w:bCs/>
      <w:szCs w:val="21"/>
    </w:rPr>
  </w:style>
  <w:style w:type="character" w:customStyle="1" w:styleId="610">
    <w:name w:val="样式 题注 + 非加粗 黑色 Char"/>
    <w:link w:val="609"/>
    <w:qFormat/>
    <w:uiPriority w:val="0"/>
    <w:rPr>
      <w:rFonts w:ascii="宋体" w:hAnsi="宋体" w:eastAsia="宋体" w:cs="仿宋_GB2312"/>
      <w:b/>
      <w:bCs/>
      <w:color w:val="000000"/>
      <w:kern w:val="2"/>
      <w:sz w:val="24"/>
      <w:szCs w:val="21"/>
      <w:lang w:val="en-US" w:eastAsia="zh-CN" w:bidi="ar-SA"/>
    </w:rPr>
  </w:style>
  <w:style w:type="paragraph" w:customStyle="1" w:styleId="611">
    <w:name w:val="样式 行距: 1.5 倍行距1"/>
    <w:basedOn w:val="1"/>
    <w:semiHidden/>
    <w:qFormat/>
    <w:uiPriority w:val="0"/>
    <w:pPr>
      <w:tabs>
        <w:tab w:val="clear" w:pos="480"/>
      </w:tabs>
      <w:ind w:firstLine="496"/>
    </w:pPr>
    <w:rPr>
      <w:rFonts w:cs="宋体"/>
      <w:szCs w:val="20"/>
    </w:rPr>
  </w:style>
  <w:style w:type="paragraph" w:customStyle="1" w:styleId="612">
    <w:name w:val="样式 标题 2节SeHead wsa2H21标题 1.1Chapter TitleChapter节标题 1.1..."/>
    <w:basedOn w:val="4"/>
    <w:semiHidden/>
    <w:qFormat/>
    <w:uiPriority w:val="0"/>
    <w:pPr>
      <w:tabs>
        <w:tab w:val="clear" w:pos="480"/>
        <w:tab w:val="clear" w:pos="630"/>
      </w:tabs>
      <w:adjustRightInd w:val="0"/>
      <w:snapToGrid w:val="0"/>
      <w:spacing w:beforeLines="50" w:afterLines="50"/>
      <w:ind w:left="576" w:hanging="576"/>
      <w:jc w:val="left"/>
      <w:textAlignment w:val="baseline"/>
    </w:pPr>
    <w:rPr>
      <w:rFonts w:ascii="宋体" w:hAnsi="宋体" w:cs="宋体"/>
      <w:sz w:val="30"/>
      <w:szCs w:val="20"/>
    </w:rPr>
  </w:style>
  <w:style w:type="paragraph" w:customStyle="1" w:styleId="613">
    <w:name w:val="样式8"/>
    <w:basedOn w:val="1"/>
    <w:link w:val="617"/>
    <w:qFormat/>
    <w:uiPriority w:val="0"/>
    <w:pPr>
      <w:tabs>
        <w:tab w:val="clear" w:pos="480"/>
      </w:tabs>
      <w:adjustRightInd w:val="0"/>
      <w:snapToGrid w:val="0"/>
      <w:ind w:firstLine="420"/>
    </w:pPr>
    <w:rPr>
      <w:rFonts w:hAnsi="宋体"/>
    </w:rPr>
  </w:style>
  <w:style w:type="character" w:customStyle="1" w:styleId="614">
    <w:name w:val="样式 正文 +"/>
    <w:semiHidden/>
    <w:qFormat/>
    <w:uiPriority w:val="0"/>
    <w:rPr>
      <w:rFonts w:ascii="Times New Roman" w:hAnsi="Times New Roman" w:eastAsia="宋体"/>
      <w:snapToGrid/>
      <w:spacing w:val="0"/>
      <w:w w:val="100"/>
      <w:kern w:val="2"/>
      <w:position w:val="0"/>
      <w:sz w:val="24"/>
    </w:rPr>
  </w:style>
  <w:style w:type="paragraph" w:customStyle="1" w:styleId="615">
    <w:name w:val="Char Char"/>
    <w:basedOn w:val="1"/>
    <w:semiHidden/>
    <w:qFormat/>
    <w:uiPriority w:val="0"/>
    <w:pPr>
      <w:tabs>
        <w:tab w:val="left" w:pos="0"/>
        <w:tab w:val="clear" w:pos="480"/>
      </w:tabs>
      <w:spacing w:line="240" w:lineRule="auto"/>
    </w:pPr>
    <w:rPr>
      <w:sz w:val="21"/>
      <w:szCs w:val="21"/>
    </w:rPr>
  </w:style>
  <w:style w:type="paragraph" w:customStyle="1" w:styleId="616">
    <w:name w:val="Char Char Char1 Char1"/>
    <w:basedOn w:val="1"/>
    <w:semiHidden/>
    <w:qFormat/>
    <w:uiPriority w:val="0"/>
    <w:pPr>
      <w:tabs>
        <w:tab w:val="clear" w:pos="480"/>
      </w:tabs>
      <w:spacing w:line="240" w:lineRule="auto"/>
    </w:pPr>
    <w:rPr>
      <w:sz w:val="21"/>
      <w:szCs w:val="20"/>
    </w:rPr>
  </w:style>
  <w:style w:type="character" w:customStyle="1" w:styleId="617">
    <w:name w:val="样式8 Char"/>
    <w:link w:val="613"/>
    <w:qFormat/>
    <w:uiPriority w:val="0"/>
    <w:rPr>
      <w:rFonts w:hAnsi="宋体" w:eastAsia="宋体"/>
      <w:kern w:val="2"/>
      <w:sz w:val="24"/>
      <w:szCs w:val="24"/>
      <w:lang w:val="en-US" w:eastAsia="zh-CN" w:bidi="ar-SA"/>
    </w:rPr>
  </w:style>
  <w:style w:type="character" w:customStyle="1" w:styleId="618">
    <w:name w:val="ZX 1 表标题 Char"/>
    <w:link w:val="619"/>
    <w:qFormat/>
    <w:uiPriority w:val="0"/>
    <w:rPr>
      <w:rFonts w:cs="宋体"/>
      <w:b/>
      <w:kern w:val="2"/>
      <w:sz w:val="21"/>
    </w:rPr>
  </w:style>
  <w:style w:type="paragraph" w:customStyle="1" w:styleId="619">
    <w:name w:val="ZX 1 表标题"/>
    <w:basedOn w:val="1"/>
    <w:link w:val="618"/>
    <w:qFormat/>
    <w:uiPriority w:val="0"/>
    <w:pPr>
      <w:numPr>
        <w:ilvl w:val="0"/>
        <w:numId w:val="11"/>
      </w:numPr>
      <w:tabs>
        <w:tab w:val="clear" w:pos="480"/>
      </w:tabs>
      <w:ind w:left="0" w:firstLine="0" w:firstLineChars="0"/>
      <w:jc w:val="center"/>
    </w:pPr>
    <w:rPr>
      <w:rFonts w:cs="宋体"/>
      <w:b/>
      <w:sz w:val="21"/>
      <w:szCs w:val="20"/>
    </w:rPr>
  </w:style>
  <w:style w:type="paragraph" w:customStyle="1" w:styleId="620">
    <w:name w:val="默认段落字体 Para Char Char Char Char Char Char Char Char Char Char"/>
    <w:basedOn w:val="5"/>
    <w:qFormat/>
    <w:uiPriority w:val="0"/>
    <w:pPr>
      <w:numPr>
        <w:ilvl w:val="0"/>
        <w:numId w:val="0"/>
      </w:numPr>
      <w:tabs>
        <w:tab w:val="left" w:pos="360"/>
        <w:tab w:val="left" w:pos="900"/>
        <w:tab w:val="clear" w:pos="480"/>
        <w:tab w:val="clear" w:pos="840"/>
      </w:tabs>
      <w:snapToGrid w:val="0"/>
      <w:spacing w:after="120" w:line="360" w:lineRule="auto"/>
      <w:ind w:left="542" w:leftChars="-12" w:firstLine="200" w:firstLineChars="200"/>
      <w:jc w:val="left"/>
    </w:pPr>
    <w:rPr>
      <w:rFonts w:ascii="Times New Roman" w:eastAsia="黑体"/>
      <w:b w:val="0"/>
      <w:bCs w:val="0"/>
      <w:snapToGrid w:val="0"/>
      <w:sz w:val="24"/>
      <w:szCs w:val="24"/>
    </w:rPr>
  </w:style>
  <w:style w:type="paragraph" w:customStyle="1" w:styleId="621">
    <w:name w:val="Char Char Char1 Char Char Char Char Char Char"/>
    <w:basedOn w:val="1"/>
    <w:semiHidden/>
    <w:qFormat/>
    <w:uiPriority w:val="0"/>
    <w:pPr>
      <w:tabs>
        <w:tab w:val="clear" w:pos="480"/>
      </w:tabs>
    </w:pPr>
    <w:rPr>
      <w:rFonts w:ascii="宋体" w:hAnsi="宋体" w:cs="宋体"/>
    </w:rPr>
  </w:style>
  <w:style w:type="character" w:customStyle="1" w:styleId="622">
    <w:name w:val="myfont11"/>
    <w:semiHidden/>
    <w:qFormat/>
    <w:uiPriority w:val="0"/>
    <w:rPr>
      <w:rFonts w:hint="default"/>
      <w:color w:val="000000"/>
      <w:spacing w:val="360"/>
      <w:sz w:val="18"/>
      <w:szCs w:val="18"/>
    </w:rPr>
  </w:style>
  <w:style w:type="character" w:customStyle="1" w:styleId="623">
    <w:name w:val="样式 (西文) Arial (中文) 楷体_GB2312"/>
    <w:semiHidden/>
    <w:qFormat/>
    <w:uiPriority w:val="0"/>
    <w:rPr>
      <w:rFonts w:ascii="宋体" w:hAnsi="Arial" w:eastAsia="宋体"/>
      <w:color w:val="auto"/>
      <w:spacing w:val="8"/>
      <w:w w:val="100"/>
      <w:kern w:val="0"/>
      <w:position w:val="0"/>
      <w:sz w:val="24"/>
      <w:szCs w:val="24"/>
      <w:u w:val="none"/>
      <w:vertAlign w:val="baseline"/>
    </w:rPr>
  </w:style>
  <w:style w:type="paragraph" w:customStyle="1" w:styleId="624">
    <w:name w:val="样式9"/>
    <w:basedOn w:val="21"/>
    <w:link w:val="2123"/>
    <w:qFormat/>
    <w:uiPriority w:val="0"/>
    <w:pPr>
      <w:tabs>
        <w:tab w:val="clear" w:pos="480"/>
      </w:tabs>
      <w:ind w:firstLine="480"/>
    </w:pPr>
    <w:rPr>
      <w:rFonts w:ascii="宋体"/>
      <w:snapToGrid w:val="0"/>
    </w:rPr>
  </w:style>
  <w:style w:type="character" w:customStyle="1" w:styleId="625">
    <w:name w:val="正文缩进 Char Char"/>
    <w:qFormat/>
    <w:uiPriority w:val="0"/>
    <w:rPr>
      <w:rFonts w:eastAsia="仿宋_GB2312"/>
      <w:kern w:val="2"/>
      <w:sz w:val="24"/>
      <w:szCs w:val="24"/>
      <w:lang w:val="en-US" w:eastAsia="zh-CN" w:bidi="ar-SA"/>
    </w:rPr>
  </w:style>
  <w:style w:type="paragraph" w:customStyle="1" w:styleId="626">
    <w:name w:val="样式10"/>
    <w:basedOn w:val="163"/>
    <w:link w:val="1472"/>
    <w:qFormat/>
    <w:uiPriority w:val="0"/>
    <w:pPr>
      <w:widowControl w:val="0"/>
      <w:autoSpaceDE w:val="0"/>
      <w:autoSpaceDN w:val="0"/>
      <w:adjustRightInd w:val="0"/>
      <w:spacing w:line="360" w:lineRule="auto"/>
      <w:textAlignment w:val="baseline"/>
    </w:pPr>
    <w:rPr>
      <w:rFonts w:ascii="宋体" w:hAnsi="宋体"/>
      <w:b/>
      <w:snapToGrid/>
      <w:color w:val="auto"/>
      <w:kern w:val="0"/>
      <w:sz w:val="24"/>
      <w:szCs w:val="20"/>
    </w:rPr>
  </w:style>
  <w:style w:type="paragraph" w:customStyle="1" w:styleId="627">
    <w:name w:val="样式11"/>
    <w:basedOn w:val="168"/>
    <w:link w:val="2157"/>
    <w:qFormat/>
    <w:uiPriority w:val="0"/>
    <w:pPr>
      <w:widowControl w:val="0"/>
      <w:snapToGrid/>
      <w:spacing w:line="300" w:lineRule="auto"/>
      <w:ind w:firstLine="0"/>
    </w:pPr>
    <w:rPr>
      <w:rFonts w:ascii="宋体"/>
      <w:b w:val="0"/>
      <w:snapToGrid w:val="0"/>
      <w:sz w:val="21"/>
      <w:lang w:val="en-US"/>
    </w:rPr>
  </w:style>
  <w:style w:type="character" w:customStyle="1" w:styleId="628">
    <w:name w:val="p15"/>
    <w:basedOn w:val="132"/>
    <w:qFormat/>
    <w:uiPriority w:val="0"/>
  </w:style>
  <w:style w:type="paragraph" w:customStyle="1" w:styleId="629">
    <w:name w:val="封面3"/>
    <w:basedOn w:val="630"/>
    <w:qFormat/>
    <w:uiPriority w:val="0"/>
    <w:pPr/>
    <w:rPr>
      <w:rFonts w:ascii="宋体" w:hAnsi="宋体"/>
      <w:sz w:val="72"/>
      <w:szCs w:val="72"/>
    </w:rPr>
  </w:style>
  <w:style w:type="paragraph" w:customStyle="1" w:styleId="630">
    <w:name w:val="封面2"/>
    <w:basedOn w:val="1"/>
    <w:qFormat/>
    <w:uiPriority w:val="0"/>
    <w:pPr>
      <w:tabs>
        <w:tab w:val="clear" w:pos="480"/>
      </w:tabs>
      <w:spacing w:line="240" w:lineRule="auto"/>
      <w:jc w:val="center"/>
    </w:pPr>
    <w:rPr>
      <w:b/>
      <w:sz w:val="44"/>
    </w:rPr>
  </w:style>
  <w:style w:type="paragraph" w:customStyle="1" w:styleId="631">
    <w:name w:val="封面4"/>
    <w:basedOn w:val="186"/>
    <w:qFormat/>
    <w:uiPriority w:val="0"/>
    <w:pPr>
      <w:tabs>
        <w:tab w:val="clear" w:pos="432"/>
      </w:tabs>
      <w:snapToGrid w:val="0"/>
    </w:pPr>
    <w:rPr>
      <w:rFonts w:ascii="Times New Roman" w:hAnsi="Times New Roman" w:eastAsia="宋体"/>
      <w:b/>
      <w:bCs/>
      <w:color w:val="000000"/>
      <w:kern w:val="2"/>
      <w:szCs w:val="24"/>
      <w:bdr w:val="single" w:color="auto" w:sz="4" w:space="0"/>
      <w14:shadow w14:blurRad="0" w14:dist="0" w14:dir="0" w14:sx="0" w14:sy="0" w14:kx="0" w14:ky="0" w14:algn="none">
        <w14:srgbClr w14:val="000000"/>
      </w14:shadow>
    </w:rPr>
  </w:style>
  <w:style w:type="character" w:customStyle="1" w:styleId="632">
    <w:name w:val="样式 表格 + 宋体 五号 Char"/>
    <w:semiHidden/>
    <w:qFormat/>
    <w:uiPriority w:val="0"/>
    <w:rPr>
      <w:rFonts w:ascii="宋体" w:hAnsi="宋体" w:eastAsia="宋体"/>
      <w:sz w:val="21"/>
      <w:lang w:val="en-US" w:eastAsia="zh-CN" w:bidi="ar-SA"/>
    </w:rPr>
  </w:style>
  <w:style w:type="paragraph" w:customStyle="1" w:styleId="633">
    <w:name w:val="责任页"/>
    <w:basedOn w:val="1"/>
    <w:semiHidden/>
    <w:qFormat/>
    <w:uiPriority w:val="0"/>
    <w:pPr>
      <w:tabs>
        <w:tab w:val="clear" w:pos="480"/>
      </w:tabs>
      <w:spacing w:line="300" w:lineRule="auto"/>
    </w:pPr>
    <w:rPr>
      <w:sz w:val="28"/>
    </w:rPr>
  </w:style>
  <w:style w:type="paragraph" w:customStyle="1" w:styleId="634">
    <w:name w:val="正文(首行缩进)"/>
    <w:basedOn w:val="1"/>
    <w:link w:val="1350"/>
    <w:qFormat/>
    <w:uiPriority w:val="0"/>
    <w:pPr>
      <w:tabs>
        <w:tab w:val="clear" w:pos="480"/>
      </w:tabs>
      <w:ind w:firstLine="510"/>
    </w:pPr>
    <w:rPr>
      <w:rFonts w:ascii="宋体" w:hAnsi="宋体"/>
      <w:snapToGrid w:val="0"/>
      <w:kern w:val="0"/>
    </w:rPr>
  </w:style>
  <w:style w:type="paragraph" w:customStyle="1" w:styleId="635">
    <w:name w:val="表格名和图名"/>
    <w:basedOn w:val="1"/>
    <w:semiHidden/>
    <w:qFormat/>
    <w:uiPriority w:val="0"/>
    <w:pPr>
      <w:tabs>
        <w:tab w:val="clear" w:pos="480"/>
      </w:tabs>
      <w:jc w:val="center"/>
    </w:pPr>
    <w:rPr>
      <w:b/>
      <w:color w:val="000000"/>
    </w:rPr>
  </w:style>
  <w:style w:type="paragraph" w:customStyle="1" w:styleId="636">
    <w:name w:val="文本框1"/>
    <w:basedOn w:val="1"/>
    <w:semiHidden/>
    <w:qFormat/>
    <w:uiPriority w:val="0"/>
    <w:pPr>
      <w:tabs>
        <w:tab w:val="clear" w:pos="480"/>
      </w:tabs>
      <w:spacing w:line="240" w:lineRule="auto"/>
    </w:pPr>
    <w:rPr>
      <w:rFonts w:ascii="宋体" w:hAnsi="宋体"/>
      <w:szCs w:val="20"/>
    </w:rPr>
  </w:style>
  <w:style w:type="character" w:customStyle="1" w:styleId="637">
    <w:name w:val="copyright1"/>
    <w:semiHidden/>
    <w:qFormat/>
    <w:uiPriority w:val="0"/>
    <w:rPr>
      <w:rFonts w:hint="default"/>
      <w:color w:val="000000"/>
      <w:spacing w:val="360"/>
    </w:rPr>
  </w:style>
  <w:style w:type="character" w:customStyle="1" w:styleId="638">
    <w:name w:val="desctext1"/>
    <w:semiHidden/>
    <w:qFormat/>
    <w:uiPriority w:val="0"/>
    <w:rPr>
      <w:spacing w:val="15"/>
      <w:sz w:val="18"/>
      <w:szCs w:val="18"/>
    </w:rPr>
  </w:style>
  <w:style w:type="paragraph" w:customStyle="1" w:styleId="639">
    <w:name w:val="封面5"/>
    <w:basedOn w:val="1"/>
    <w:qFormat/>
    <w:uiPriority w:val="0"/>
    <w:pPr>
      <w:tabs>
        <w:tab w:val="clear" w:pos="480"/>
      </w:tabs>
      <w:snapToGrid w:val="0"/>
      <w:spacing w:line="240" w:lineRule="auto"/>
    </w:pPr>
    <w:rPr>
      <w:sz w:val="21"/>
    </w:rPr>
  </w:style>
  <w:style w:type="paragraph" w:customStyle="1" w:styleId="640">
    <w:name w:val="自制表格"/>
    <w:basedOn w:val="1"/>
    <w:next w:val="1"/>
    <w:semiHidden/>
    <w:qFormat/>
    <w:uiPriority w:val="0"/>
    <w:pPr>
      <w:tabs>
        <w:tab w:val="clear" w:pos="480"/>
      </w:tabs>
      <w:spacing w:after="120" w:line="240" w:lineRule="auto"/>
    </w:pPr>
    <w:rPr>
      <w:rFonts w:ascii="宋体"/>
      <w:kern w:val="10"/>
      <w:sz w:val="28"/>
      <w:szCs w:val="20"/>
    </w:rPr>
  </w:style>
  <w:style w:type="paragraph" w:customStyle="1" w:styleId="641">
    <w:name w:val="正文样式"/>
    <w:basedOn w:val="1"/>
    <w:semiHidden/>
    <w:qFormat/>
    <w:uiPriority w:val="0"/>
    <w:pPr>
      <w:tabs>
        <w:tab w:val="clear" w:pos="480"/>
      </w:tabs>
      <w:spacing w:line="240" w:lineRule="auto"/>
    </w:pPr>
    <w:rPr>
      <w:spacing w:val="4"/>
    </w:rPr>
  </w:style>
  <w:style w:type="paragraph" w:customStyle="1" w:styleId="642">
    <w:name w:val="环评正文"/>
    <w:basedOn w:val="1"/>
    <w:semiHidden/>
    <w:qFormat/>
    <w:uiPriority w:val="0"/>
    <w:pPr>
      <w:tabs>
        <w:tab w:val="clear" w:pos="480"/>
      </w:tabs>
    </w:pPr>
  </w:style>
  <w:style w:type="character" w:customStyle="1" w:styleId="643">
    <w:name w:val="aspmaker1"/>
    <w:semiHidden/>
    <w:qFormat/>
    <w:uiPriority w:val="0"/>
    <w:rPr>
      <w:rFonts w:hint="default" w:ascii="Verdana" w:hAnsi="Verdana"/>
      <w:sz w:val="20"/>
      <w:szCs w:val="20"/>
    </w:rPr>
  </w:style>
  <w:style w:type="character" w:customStyle="1" w:styleId="644">
    <w:name w:val="slink1"/>
    <w:semiHidden/>
    <w:qFormat/>
    <w:uiPriority w:val="0"/>
    <w:rPr>
      <w:rFonts w:hint="default" w:ascii="ˎ̥" w:hAnsi="ˎ̥"/>
      <w:sz w:val="18"/>
      <w:szCs w:val="18"/>
      <w:u w:val="none"/>
    </w:rPr>
  </w:style>
  <w:style w:type="paragraph" w:customStyle="1" w:styleId="645">
    <w:name w:val="TAB"/>
    <w:basedOn w:val="34"/>
    <w:semiHidden/>
    <w:qFormat/>
    <w:uiPriority w:val="0"/>
    <w:pPr>
      <w:widowControl/>
      <w:spacing w:before="60" w:after="60"/>
      <w:jc w:val="left"/>
    </w:pPr>
    <w:rPr>
      <w:rFonts w:ascii="Arial" w:hAnsi="Arial"/>
      <w:kern w:val="0"/>
      <w:sz w:val="18"/>
      <w:lang w:eastAsia="fr-FR"/>
    </w:rPr>
  </w:style>
  <w:style w:type="character" w:customStyle="1" w:styleId="646">
    <w:name w:val="about-left1"/>
    <w:semiHidden/>
    <w:qFormat/>
    <w:uiPriority w:val="0"/>
    <w:rPr>
      <w:color w:val="3A3A3A"/>
      <w:spacing w:val="15"/>
      <w:sz w:val="18"/>
      <w:szCs w:val="18"/>
      <w:u w:val="none"/>
    </w:rPr>
  </w:style>
  <w:style w:type="paragraph" w:customStyle="1" w:styleId="647">
    <w:name w:val="我的正文"/>
    <w:basedOn w:val="1"/>
    <w:semiHidden/>
    <w:qFormat/>
    <w:uiPriority w:val="0"/>
    <w:pPr>
      <w:tabs>
        <w:tab w:val="clear" w:pos="480"/>
      </w:tabs>
      <w:spacing w:line="440" w:lineRule="exact"/>
    </w:pPr>
  </w:style>
  <w:style w:type="paragraph" w:customStyle="1" w:styleId="648">
    <w:name w:val="二级无标题条"/>
    <w:basedOn w:val="1"/>
    <w:qFormat/>
    <w:uiPriority w:val="0"/>
    <w:pPr>
      <w:tabs>
        <w:tab w:val="clear" w:pos="480"/>
      </w:tabs>
      <w:spacing w:line="240" w:lineRule="auto"/>
    </w:pPr>
    <w:rPr>
      <w:sz w:val="21"/>
    </w:rPr>
  </w:style>
  <w:style w:type="paragraph" w:customStyle="1" w:styleId="649">
    <w:name w:val="comm3"/>
    <w:basedOn w:val="1"/>
    <w:semiHidden/>
    <w:qFormat/>
    <w:uiPriority w:val="0"/>
    <w:pPr>
      <w:widowControl/>
      <w:tabs>
        <w:tab w:val="clear" w:pos="480"/>
      </w:tabs>
      <w:spacing w:after="60" w:line="240" w:lineRule="auto"/>
      <w:jc w:val="center"/>
    </w:pPr>
    <w:rPr>
      <w:rFonts w:ascii="Arial" w:hAnsi="Arial"/>
      <w:kern w:val="0"/>
      <w:szCs w:val="20"/>
      <w:lang w:val="en-CA" w:eastAsia="en-US"/>
    </w:rPr>
  </w:style>
  <w:style w:type="paragraph" w:customStyle="1" w:styleId="650">
    <w:name w:val="样式 宋体 小四 首行缩进:  0.85 厘米 行距: 多倍行距 1.75 字行"/>
    <w:basedOn w:val="1"/>
    <w:semiHidden/>
    <w:qFormat/>
    <w:uiPriority w:val="0"/>
    <w:pPr>
      <w:tabs>
        <w:tab w:val="clear" w:pos="480"/>
      </w:tabs>
      <w:adjustRightInd w:val="0"/>
      <w:ind w:firstLine="340"/>
    </w:pPr>
    <w:rPr>
      <w:rFonts w:ascii="宋体" w:hAnsi="宋体"/>
      <w:szCs w:val="20"/>
    </w:rPr>
  </w:style>
  <w:style w:type="paragraph" w:customStyle="1" w:styleId="651">
    <w:name w:val="基准页脚样式"/>
    <w:basedOn w:val="34"/>
    <w:semiHidden/>
    <w:qFormat/>
    <w:uiPriority w:val="0"/>
    <w:pPr>
      <w:adjustRightInd w:val="0"/>
      <w:snapToGrid w:val="0"/>
      <w:jc w:val="center"/>
    </w:pPr>
    <w:rPr>
      <w:rFonts w:hAnsi="Times New Roman"/>
    </w:rPr>
  </w:style>
  <w:style w:type="paragraph" w:customStyle="1" w:styleId="652">
    <w:name w:val="小房1"/>
    <w:basedOn w:val="1"/>
    <w:semiHidden/>
    <w:qFormat/>
    <w:uiPriority w:val="0"/>
    <w:pPr>
      <w:tabs>
        <w:tab w:val="clear" w:pos="480"/>
      </w:tabs>
      <w:adjustRightInd w:val="0"/>
      <w:spacing w:before="60" w:line="276" w:lineRule="auto"/>
      <w:ind w:firstLine="482"/>
      <w:textAlignment w:val="baseline"/>
    </w:pPr>
    <w:rPr>
      <w:rFonts w:eastAsia="仿宋_GB2312"/>
      <w:kern w:val="0"/>
      <w:sz w:val="28"/>
      <w:szCs w:val="20"/>
    </w:rPr>
  </w:style>
  <w:style w:type="paragraph" w:customStyle="1" w:styleId="653">
    <w:name w:val="图表题"/>
    <w:next w:val="1"/>
    <w:semiHidden/>
    <w:qFormat/>
    <w:uiPriority w:val="0"/>
    <w:pPr>
      <w:spacing w:before="156" w:after="156" w:line="360" w:lineRule="exact"/>
      <w:jc w:val="center"/>
      <w:textAlignment w:val="center"/>
    </w:pPr>
    <w:rPr>
      <w:rFonts w:ascii="宋体" w:hAnsi="宋体" w:eastAsia="宋体" w:cs="Times New Roman"/>
      <w:b/>
      <w:kern w:val="2"/>
      <w:sz w:val="24"/>
      <w:szCs w:val="24"/>
      <w:lang w:val="en-US" w:eastAsia="zh-CN" w:bidi="ar-SA"/>
    </w:rPr>
  </w:style>
  <w:style w:type="character" w:customStyle="1" w:styleId="654">
    <w:name w:val="contenttext11"/>
    <w:semiHidden/>
    <w:qFormat/>
    <w:uiPriority w:val="0"/>
    <w:rPr>
      <w:rFonts w:hint="eastAsia" w:ascii="宋体" w:hAnsi="宋体" w:eastAsia="宋体"/>
      <w:color w:val="000000"/>
      <w:spacing w:val="240"/>
      <w:sz w:val="24"/>
      <w:szCs w:val="24"/>
    </w:rPr>
  </w:style>
  <w:style w:type="paragraph" w:customStyle="1" w:styleId="655">
    <w:name w:val="样式 标题 3"/>
    <w:basedOn w:val="5"/>
    <w:semiHidden/>
    <w:qFormat/>
    <w:uiPriority w:val="0"/>
    <w:pPr>
      <w:tabs>
        <w:tab w:val="clear" w:pos="480"/>
        <w:tab w:val="clear" w:pos="840"/>
      </w:tabs>
      <w:adjustRightInd w:val="0"/>
      <w:spacing w:before="260" w:line="360" w:lineRule="auto"/>
      <w:ind w:firstLine="113"/>
    </w:pPr>
    <w:rPr>
      <w:rFonts w:ascii="宋体" w:hAnsi="宋体" w:eastAsia="宋体"/>
      <w:spacing w:val="20"/>
      <w:kern w:val="11"/>
      <w:sz w:val="28"/>
      <w:szCs w:val="20"/>
    </w:rPr>
  </w:style>
  <w:style w:type="paragraph" w:customStyle="1" w:styleId="656">
    <w:name w:val="样式 标题 2"/>
    <w:basedOn w:val="4"/>
    <w:link w:val="2736"/>
    <w:semiHidden/>
    <w:qFormat/>
    <w:uiPriority w:val="0"/>
    <w:pPr>
      <w:numPr>
        <w:ilvl w:val="0"/>
        <w:numId w:val="0"/>
      </w:numPr>
      <w:tabs>
        <w:tab w:val="clear" w:pos="480"/>
        <w:tab w:val="clear" w:pos="630"/>
      </w:tabs>
      <w:adjustRightInd w:val="0"/>
      <w:spacing w:before="163" w:beforeAutospacing="1" w:after="0" w:afterAutospacing="1"/>
    </w:pPr>
    <w:rPr>
      <w:rFonts w:ascii="仿宋_GB2312" w:hAnsi="宋体" w:eastAsia="仿宋_GB2312"/>
      <w:sz w:val="30"/>
      <w:szCs w:val="20"/>
      <w:lang w:val="en-US"/>
    </w:rPr>
  </w:style>
  <w:style w:type="character" w:customStyle="1" w:styleId="657">
    <w:name w:val="unnamed31"/>
    <w:semiHidden/>
    <w:qFormat/>
    <w:uiPriority w:val="0"/>
    <w:rPr>
      <w:color w:val="000000"/>
      <w:spacing w:val="345"/>
      <w:sz w:val="20"/>
      <w:szCs w:val="20"/>
      <w:u w:val="none"/>
    </w:rPr>
  </w:style>
  <w:style w:type="paragraph" w:customStyle="1" w:styleId="658">
    <w:name w:val="封面标准文稿编辑信息"/>
    <w:semiHidden/>
    <w:qFormat/>
    <w:uiPriority w:val="0"/>
    <w:pPr>
      <w:spacing w:before="180" w:line="180" w:lineRule="exact"/>
      <w:jc w:val="center"/>
    </w:pPr>
    <w:rPr>
      <w:rFonts w:ascii="宋体" w:hAnsi="Times New Roman" w:eastAsia="宋体" w:cs="Times New Roman"/>
      <w:kern w:val="2"/>
      <w:sz w:val="21"/>
      <w:szCs w:val="24"/>
      <w:lang w:val="en-US" w:eastAsia="zh-CN" w:bidi="ar-SA"/>
    </w:rPr>
  </w:style>
  <w:style w:type="paragraph" w:customStyle="1" w:styleId="659">
    <w:name w:val="样式 正文缩进 + 首行缩进:  2 字符"/>
    <w:basedOn w:val="21"/>
    <w:link w:val="3354"/>
    <w:qFormat/>
    <w:uiPriority w:val="0"/>
    <w:pPr>
      <w:tabs>
        <w:tab w:val="clear" w:pos="480"/>
      </w:tabs>
      <w:ind w:firstLine="480"/>
    </w:pPr>
    <w:rPr>
      <w:rFonts w:ascii="宋体" w:hAnsi="宋体"/>
      <w:kern w:val="0"/>
      <w:szCs w:val="20"/>
    </w:rPr>
  </w:style>
  <w:style w:type="paragraph" w:customStyle="1" w:styleId="660">
    <w:name w:val="样式 标题 2 + 段前: 0 磅 段后: 0 磅 行距: 单倍行距"/>
    <w:basedOn w:val="4"/>
    <w:semiHidden/>
    <w:qFormat/>
    <w:uiPriority w:val="0"/>
    <w:pPr>
      <w:keepNext w:val="0"/>
      <w:keepLines w:val="0"/>
      <w:numPr>
        <w:ilvl w:val="0"/>
        <w:numId w:val="0"/>
      </w:numPr>
      <w:tabs>
        <w:tab w:val="clear" w:pos="480"/>
        <w:tab w:val="clear" w:pos="630"/>
      </w:tabs>
      <w:adjustRightInd w:val="0"/>
      <w:spacing w:before="0" w:beforeAutospacing="1" w:after="0" w:afterAutospacing="1" w:line="500" w:lineRule="exact"/>
    </w:pPr>
    <w:rPr>
      <w:rFonts w:ascii="宋体" w:hAnsi="宋体" w:eastAsia="黑体"/>
      <w:sz w:val="28"/>
      <w:szCs w:val="24"/>
    </w:rPr>
  </w:style>
  <w:style w:type="paragraph" w:customStyle="1" w:styleId="661">
    <w:name w:val="Char Char Char Char Char Char Char Char"/>
    <w:basedOn w:val="1"/>
    <w:semiHidden/>
    <w:qFormat/>
    <w:uiPriority w:val="0"/>
    <w:pPr>
      <w:tabs>
        <w:tab w:val="clear" w:pos="480"/>
      </w:tabs>
      <w:spacing w:line="240" w:lineRule="auto"/>
    </w:pPr>
  </w:style>
  <w:style w:type="paragraph" w:customStyle="1" w:styleId="662">
    <w:name w:val="Char Char Char Char Char Char Char Char Char"/>
    <w:basedOn w:val="1"/>
    <w:semiHidden/>
    <w:qFormat/>
    <w:uiPriority w:val="0"/>
    <w:pPr>
      <w:tabs>
        <w:tab w:val="clear" w:pos="480"/>
      </w:tabs>
      <w:spacing w:line="240" w:lineRule="auto"/>
    </w:pPr>
  </w:style>
  <w:style w:type="paragraph" w:customStyle="1" w:styleId="663">
    <w:name w:val="Char Char Char Char Char Char Char Char Char Char Char1 Char"/>
    <w:basedOn w:val="1"/>
    <w:semiHidden/>
    <w:qFormat/>
    <w:uiPriority w:val="0"/>
    <w:pPr>
      <w:tabs>
        <w:tab w:val="clear" w:pos="480"/>
      </w:tabs>
      <w:spacing w:line="240" w:lineRule="auto"/>
    </w:pPr>
  </w:style>
  <w:style w:type="character" w:customStyle="1" w:styleId="664">
    <w:name w:val="列表编号 5 Char"/>
    <w:semiHidden/>
    <w:qFormat/>
    <w:uiPriority w:val="0"/>
    <w:rPr>
      <w:rFonts w:eastAsia="宋体"/>
      <w:kern w:val="2"/>
      <w:sz w:val="24"/>
      <w:szCs w:val="24"/>
      <w:lang w:val="en-US" w:eastAsia="zh-CN" w:bidi="ar-SA"/>
    </w:rPr>
  </w:style>
  <w:style w:type="paragraph" w:customStyle="1" w:styleId="665">
    <w:name w:val="Char Char1 Char"/>
    <w:basedOn w:val="1"/>
    <w:qFormat/>
    <w:uiPriority w:val="0"/>
    <w:pPr>
      <w:tabs>
        <w:tab w:val="clear" w:pos="480"/>
      </w:tabs>
      <w:spacing w:line="240" w:lineRule="auto"/>
    </w:pPr>
    <w:rPr>
      <w:sz w:val="21"/>
    </w:rPr>
  </w:style>
  <w:style w:type="character" w:customStyle="1" w:styleId="666">
    <w:name w:val="正文首行缩进 Char"/>
    <w:link w:val="667"/>
    <w:qFormat/>
    <w:uiPriority w:val="0"/>
    <w:rPr>
      <w:rFonts w:eastAsia="宋体"/>
      <w:kern w:val="2"/>
      <w:sz w:val="24"/>
      <w:szCs w:val="24"/>
      <w:lang w:val="en-US" w:eastAsia="zh-CN" w:bidi="ar-SA"/>
    </w:rPr>
  </w:style>
  <w:style w:type="paragraph" w:customStyle="1" w:styleId="667">
    <w:name w:val="正文首行缩进1"/>
    <w:basedOn w:val="34"/>
    <w:link w:val="666"/>
    <w:qFormat/>
    <w:uiPriority w:val="0"/>
    <w:pPr>
      <w:spacing w:after="120"/>
      <w:ind w:firstLine="420" w:firstLineChars="100"/>
    </w:pPr>
    <w:rPr>
      <w:rFonts w:ascii="Times New Roman" w:hAnsi="Times New Roman"/>
      <w:sz w:val="24"/>
      <w:szCs w:val="24"/>
    </w:rPr>
  </w:style>
  <w:style w:type="character" w:customStyle="1" w:styleId="668">
    <w:name w:val="正文样式1 Char"/>
    <w:link w:val="296"/>
    <w:qFormat/>
    <w:uiPriority w:val="0"/>
    <w:rPr>
      <w:rFonts w:eastAsia="宋体"/>
      <w:kern w:val="24"/>
      <w:sz w:val="24"/>
      <w:lang w:val="en-US" w:eastAsia="zh-CN" w:bidi="ar-SA"/>
    </w:rPr>
  </w:style>
  <w:style w:type="paragraph" w:customStyle="1" w:styleId="669">
    <w:name w:val="表尾"/>
    <w:basedOn w:val="1"/>
    <w:qFormat/>
    <w:uiPriority w:val="0"/>
    <w:pPr>
      <w:tabs>
        <w:tab w:val="left" w:pos="1021"/>
        <w:tab w:val="clear" w:pos="480"/>
      </w:tabs>
      <w:spacing w:line="160" w:lineRule="atLeast"/>
    </w:pPr>
    <w:rPr>
      <w:sz w:val="10"/>
    </w:rPr>
  </w:style>
  <w:style w:type="character" w:customStyle="1" w:styleId="670">
    <w:name w:val="段落 Char"/>
    <w:link w:val="555"/>
    <w:qFormat/>
    <w:uiPriority w:val="0"/>
    <w:rPr>
      <w:rFonts w:ascii="宋体" w:hAnsi="宋体" w:eastAsia="宋体"/>
      <w:color w:val="000000"/>
      <w:sz w:val="24"/>
      <w:szCs w:val="18"/>
      <w:lang w:val="en-US" w:eastAsia="zh-CN" w:bidi="ar-SA"/>
    </w:rPr>
  </w:style>
  <w:style w:type="paragraph" w:customStyle="1" w:styleId="671">
    <w:name w:val="Char Char1 Char Char Char Char Char Char Char2"/>
    <w:basedOn w:val="1"/>
    <w:semiHidden/>
    <w:qFormat/>
    <w:uiPriority w:val="0"/>
    <w:pPr>
      <w:tabs>
        <w:tab w:val="clear" w:pos="480"/>
      </w:tabs>
      <w:spacing w:line="240" w:lineRule="auto"/>
    </w:pPr>
    <w:rPr>
      <w:sz w:val="21"/>
    </w:rPr>
  </w:style>
  <w:style w:type="paragraph" w:customStyle="1" w:styleId="672">
    <w:name w:val="表格正文 Char"/>
    <w:basedOn w:val="1"/>
    <w:next w:val="1"/>
    <w:semiHidden/>
    <w:qFormat/>
    <w:uiPriority w:val="0"/>
    <w:pPr>
      <w:tabs>
        <w:tab w:val="clear" w:pos="480"/>
      </w:tabs>
      <w:adjustRightInd w:val="0"/>
      <w:snapToGrid w:val="0"/>
      <w:spacing w:line="240" w:lineRule="auto"/>
      <w:ind w:firstLine="476"/>
      <w:jc w:val="center"/>
      <w:textAlignment w:val="baseline"/>
    </w:pPr>
    <w:rPr>
      <w:rFonts w:ascii="宋体"/>
      <w:snapToGrid w:val="0"/>
      <w:spacing w:val="4"/>
      <w:w w:val="90"/>
      <w:kern w:val="0"/>
    </w:rPr>
  </w:style>
  <w:style w:type="paragraph" w:customStyle="1" w:styleId="673">
    <w:name w:val="xl22"/>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674">
    <w:name w:val="项目名称"/>
    <w:basedOn w:val="1"/>
    <w:semiHidden/>
    <w:qFormat/>
    <w:uiPriority w:val="0"/>
    <w:pPr>
      <w:tabs>
        <w:tab w:val="clear" w:pos="480"/>
      </w:tabs>
      <w:adjustRightInd w:val="0"/>
      <w:jc w:val="center"/>
      <w:textAlignment w:val="baseline"/>
    </w:pPr>
    <w:rPr>
      <w:rFonts w:ascii="黑体" w:hAnsi="宋体" w:eastAsia="黑体"/>
      <w:b/>
      <w:bCs/>
      <w:color w:val="000000"/>
      <w:sz w:val="32"/>
      <w:szCs w:val="32"/>
    </w:rPr>
  </w:style>
  <w:style w:type="paragraph" w:customStyle="1" w:styleId="675">
    <w:name w:val="【表格文字】"/>
    <w:basedOn w:val="1"/>
    <w:next w:val="1"/>
    <w:semiHidden/>
    <w:qFormat/>
    <w:uiPriority w:val="0"/>
    <w:pPr>
      <w:tabs>
        <w:tab w:val="clear" w:pos="480"/>
      </w:tabs>
      <w:spacing w:line="320" w:lineRule="atLeast"/>
      <w:jc w:val="center"/>
    </w:pPr>
    <w:rPr>
      <w:sz w:val="21"/>
    </w:rPr>
  </w:style>
  <w:style w:type="character" w:customStyle="1" w:styleId="676">
    <w:name w:val="titlel2black_bold1"/>
    <w:semiHidden/>
    <w:qFormat/>
    <w:uiPriority w:val="0"/>
    <w:rPr>
      <w:b/>
      <w:bCs/>
      <w:color w:val="000000"/>
      <w:sz w:val="21"/>
      <w:szCs w:val="21"/>
    </w:rPr>
  </w:style>
  <w:style w:type="character" w:customStyle="1" w:styleId="677">
    <w:name w:val="hottext1"/>
    <w:basedOn w:val="132"/>
    <w:semiHidden/>
    <w:qFormat/>
    <w:uiPriority w:val="0"/>
  </w:style>
  <w:style w:type="paragraph" w:customStyle="1" w:styleId="678">
    <w:name w:val="Char6"/>
    <w:basedOn w:val="1"/>
    <w:semiHidden/>
    <w:qFormat/>
    <w:uiPriority w:val="0"/>
    <w:pPr>
      <w:tabs>
        <w:tab w:val="clear" w:pos="480"/>
      </w:tabs>
      <w:spacing w:line="240" w:lineRule="auto"/>
    </w:pPr>
    <w:rPr>
      <w:sz w:val="21"/>
    </w:rPr>
  </w:style>
  <w:style w:type="paragraph" w:customStyle="1" w:styleId="679">
    <w:name w:val="样式 标题 4Subsection标题 14 + Times New Roman 黑色1"/>
    <w:basedOn w:val="6"/>
    <w:semiHidden/>
    <w:qFormat/>
    <w:uiPriority w:val="0"/>
    <w:pPr>
      <w:numPr>
        <w:ilvl w:val="0"/>
        <w:numId w:val="0"/>
      </w:numPr>
      <w:tabs>
        <w:tab w:val="clear" w:pos="480"/>
      </w:tabs>
      <w:spacing w:before="0" w:after="0"/>
    </w:pPr>
    <w:rPr>
      <w:rFonts w:ascii="Times New Roman" w:hAnsi="Times New Roman" w:eastAsia="宋体"/>
      <w:b w:val="0"/>
      <w:bCs w:val="0"/>
      <w:color w:val="000000"/>
      <w:sz w:val="24"/>
      <w:szCs w:val="20"/>
    </w:rPr>
  </w:style>
  <w:style w:type="paragraph" w:customStyle="1" w:styleId="680">
    <w:name w:val="8 Char"/>
    <w:basedOn w:val="1"/>
    <w:link w:val="2431"/>
    <w:semiHidden/>
    <w:qFormat/>
    <w:uiPriority w:val="0"/>
    <w:pPr>
      <w:tabs>
        <w:tab w:val="clear" w:pos="480"/>
      </w:tabs>
      <w:spacing w:line="240" w:lineRule="auto"/>
    </w:pPr>
    <w:rPr>
      <w:rFonts w:ascii="Tahoma" w:hAnsi="Tahoma"/>
      <w:szCs w:val="20"/>
    </w:rPr>
  </w:style>
  <w:style w:type="paragraph" w:customStyle="1" w:styleId="681">
    <w:name w:val="Char Char Char Char Char Char1 Char Char Char Char Char Char Char"/>
    <w:basedOn w:val="1"/>
    <w:semiHidden/>
    <w:qFormat/>
    <w:uiPriority w:val="0"/>
    <w:pPr>
      <w:tabs>
        <w:tab w:val="clear" w:pos="480"/>
      </w:tabs>
    </w:pPr>
    <w:rPr>
      <w:rFonts w:ascii="宋体" w:hAnsi="宋体" w:cs="宋体"/>
    </w:rPr>
  </w:style>
  <w:style w:type="character" w:customStyle="1" w:styleId="682">
    <w:name w:val="题注 Char Char"/>
    <w:semiHidden/>
    <w:qFormat/>
    <w:uiPriority w:val="0"/>
    <w:rPr>
      <w:rFonts w:ascii="仿宋_GB2312" w:hAnsi="宋体" w:eastAsia="仿宋_GB2312" w:cs="仿宋_GB2312"/>
      <w:b/>
      <w:bCs/>
      <w:kern w:val="2"/>
      <w:sz w:val="21"/>
      <w:szCs w:val="21"/>
      <w:lang w:val="en-US" w:eastAsia="zh-CN" w:bidi="ar-SA"/>
    </w:rPr>
  </w:style>
  <w:style w:type="character" w:customStyle="1" w:styleId="683">
    <w:name w:val="m_61"/>
    <w:semiHidden/>
    <w:qFormat/>
    <w:uiPriority w:val="0"/>
    <w:rPr>
      <w:rFonts w:hint="default" w:ascii="Arial" w:hAnsi="Arial" w:cs="Arial"/>
      <w:color w:val="000000"/>
      <w:sz w:val="21"/>
      <w:szCs w:val="21"/>
    </w:rPr>
  </w:style>
  <w:style w:type="character" w:customStyle="1" w:styleId="684">
    <w:name w:val="ca-61"/>
    <w:semiHidden/>
    <w:qFormat/>
    <w:uiPriority w:val="0"/>
    <w:rPr>
      <w:rFonts w:hint="eastAsia" w:ascii="宋体" w:hAnsi="宋体" w:eastAsia="宋体"/>
      <w:sz w:val="18"/>
    </w:rPr>
  </w:style>
  <w:style w:type="character" w:customStyle="1" w:styleId="685">
    <w:name w:val="样式 正文2 + Char"/>
    <w:link w:val="686"/>
    <w:qFormat/>
    <w:uiPriority w:val="0"/>
    <w:rPr>
      <w:rFonts w:hAnsi="宋体" w:eastAsia="宋体"/>
      <w:sz w:val="28"/>
      <w:szCs w:val="28"/>
      <w:lang w:val="en-US" w:eastAsia="zh-CN" w:bidi="ar-SA"/>
    </w:rPr>
  </w:style>
  <w:style w:type="paragraph" w:customStyle="1" w:styleId="686">
    <w:name w:val="样式 正文2 +"/>
    <w:basedOn w:val="21"/>
    <w:link w:val="685"/>
    <w:semiHidden/>
    <w:qFormat/>
    <w:uiPriority w:val="0"/>
    <w:pPr>
      <w:tabs>
        <w:tab w:val="left" w:pos="5366"/>
        <w:tab w:val="clear" w:pos="480"/>
      </w:tabs>
      <w:spacing w:line="240" w:lineRule="auto"/>
      <w:ind w:firstLine="0"/>
    </w:pPr>
    <w:rPr>
      <w:rFonts w:hAnsi="宋体"/>
      <w:kern w:val="0"/>
      <w:sz w:val="28"/>
      <w:szCs w:val="28"/>
    </w:rPr>
  </w:style>
  <w:style w:type="character" w:customStyle="1" w:styleId="687">
    <w:name w:val="m_01"/>
    <w:semiHidden/>
    <w:qFormat/>
    <w:uiPriority w:val="0"/>
    <w:rPr>
      <w:rFonts w:hint="default" w:ascii="Arial" w:hAnsi="Arial" w:cs="Arial"/>
      <w:color w:val="000000"/>
      <w:sz w:val="21"/>
      <w:szCs w:val="21"/>
    </w:rPr>
  </w:style>
  <w:style w:type="character" w:customStyle="1" w:styleId="688">
    <w:name w:val="red1"/>
    <w:semiHidden/>
    <w:qFormat/>
    <w:uiPriority w:val="0"/>
    <w:rPr>
      <w:color w:val="FF3300"/>
    </w:rPr>
  </w:style>
  <w:style w:type="character" w:customStyle="1" w:styleId="689">
    <w:name w:val="large"/>
    <w:basedOn w:val="132"/>
    <w:semiHidden/>
    <w:qFormat/>
    <w:uiPriority w:val="0"/>
  </w:style>
  <w:style w:type="character" w:customStyle="1" w:styleId="690">
    <w:name w:val="m_151"/>
    <w:semiHidden/>
    <w:qFormat/>
    <w:uiPriority w:val="0"/>
    <w:rPr>
      <w:rFonts w:hint="default" w:ascii="Arial" w:hAnsi="Arial" w:cs="Arial"/>
      <w:color w:val="000000"/>
      <w:sz w:val="21"/>
      <w:szCs w:val="21"/>
    </w:rPr>
  </w:style>
  <w:style w:type="character" w:customStyle="1" w:styleId="691">
    <w:name w:val="m_81"/>
    <w:semiHidden/>
    <w:qFormat/>
    <w:uiPriority w:val="0"/>
    <w:rPr>
      <w:rFonts w:hint="default" w:ascii="Arial" w:hAnsi="Arial" w:cs="Arial"/>
      <w:color w:val="000000"/>
      <w:sz w:val="21"/>
      <w:szCs w:val="21"/>
    </w:rPr>
  </w:style>
  <w:style w:type="character" w:customStyle="1" w:styleId="692">
    <w:name w:val="title1"/>
    <w:semiHidden/>
    <w:qFormat/>
    <w:uiPriority w:val="0"/>
    <w:rPr>
      <w:b/>
      <w:bCs/>
      <w:color w:val="333333"/>
      <w:sz w:val="18"/>
      <w:szCs w:val="18"/>
      <w:u w:val="none"/>
    </w:rPr>
  </w:style>
  <w:style w:type="character" w:customStyle="1" w:styleId="693">
    <w:name w:val="标题 1 字符"/>
    <w:link w:val="3"/>
    <w:qFormat/>
    <w:uiPriority w:val="9"/>
    <w:rPr>
      <w:rFonts w:ascii="仿宋_GB2312" w:eastAsia="仿宋_GB2312"/>
      <w:b/>
      <w:bCs/>
      <w:kern w:val="44"/>
      <w:sz w:val="36"/>
      <w:szCs w:val="44"/>
      <w:lang w:val="zh-CN"/>
    </w:rPr>
  </w:style>
  <w:style w:type="character" w:customStyle="1" w:styleId="694">
    <w:name w:val="样式 四号 黑色 Char"/>
    <w:link w:val="695"/>
    <w:qFormat/>
    <w:uiPriority w:val="0"/>
    <w:rPr>
      <w:rFonts w:eastAsia="宋体" w:cs="宋体"/>
      <w:color w:val="000000"/>
      <w:sz w:val="28"/>
      <w:lang w:val="en-US" w:eastAsia="zh-CN" w:bidi="ar-SA"/>
    </w:rPr>
  </w:style>
  <w:style w:type="paragraph" w:customStyle="1" w:styleId="695">
    <w:name w:val="样式 四号 黑色"/>
    <w:basedOn w:val="1"/>
    <w:link w:val="694"/>
    <w:semiHidden/>
    <w:qFormat/>
    <w:uiPriority w:val="0"/>
    <w:pPr>
      <w:tabs>
        <w:tab w:val="clear" w:pos="480"/>
      </w:tabs>
      <w:spacing w:line="240" w:lineRule="auto"/>
    </w:pPr>
    <w:rPr>
      <w:rFonts w:cs="宋体"/>
      <w:color w:val="000000"/>
      <w:kern w:val="0"/>
      <w:sz w:val="28"/>
      <w:szCs w:val="20"/>
    </w:rPr>
  </w:style>
  <w:style w:type="character" w:customStyle="1" w:styleId="696">
    <w:name w:val="m_331"/>
    <w:semiHidden/>
    <w:qFormat/>
    <w:uiPriority w:val="0"/>
    <w:rPr>
      <w:rFonts w:hint="default" w:ascii="Arial" w:hAnsi="Arial" w:cs="Arial"/>
      <w:color w:val="000000"/>
      <w:sz w:val="21"/>
      <w:szCs w:val="21"/>
    </w:rPr>
  </w:style>
  <w:style w:type="paragraph" w:customStyle="1" w:styleId="697">
    <w:name w:val="哈哈正文"/>
    <w:basedOn w:val="1"/>
    <w:link w:val="758"/>
    <w:semiHidden/>
    <w:qFormat/>
    <w:uiPriority w:val="0"/>
    <w:rPr>
      <w:rFonts w:ascii="宋体" w:hAnsi="宋体"/>
    </w:rPr>
  </w:style>
  <w:style w:type="character" w:customStyle="1" w:styleId="698">
    <w:name w:val="f12 gray"/>
    <w:basedOn w:val="132"/>
    <w:semiHidden/>
    <w:qFormat/>
    <w:uiPriority w:val="0"/>
  </w:style>
  <w:style w:type="character" w:customStyle="1" w:styleId="699">
    <w:name w:val="样式 首行缩进:  2 字符 Char Char Char Char Char"/>
    <w:link w:val="700"/>
    <w:qFormat/>
    <w:uiPriority w:val="0"/>
    <w:rPr>
      <w:rFonts w:eastAsia="仿宋_GB2312" w:cs="宋体"/>
      <w:kern w:val="2"/>
      <w:sz w:val="24"/>
      <w:lang w:val="en-US" w:eastAsia="zh-CN" w:bidi="ar-SA"/>
    </w:rPr>
  </w:style>
  <w:style w:type="paragraph" w:customStyle="1" w:styleId="700">
    <w:name w:val="样式 首行缩进:  2 字符 Char Char Char Char"/>
    <w:basedOn w:val="1"/>
    <w:link w:val="699"/>
    <w:semiHidden/>
    <w:qFormat/>
    <w:uiPriority w:val="0"/>
    <w:pPr>
      <w:tabs>
        <w:tab w:val="clear" w:pos="480"/>
      </w:tabs>
      <w:ind w:firstLine="420"/>
    </w:pPr>
    <w:rPr>
      <w:rFonts w:eastAsia="仿宋_GB2312" w:cs="宋体"/>
      <w:szCs w:val="20"/>
    </w:rPr>
  </w:style>
  <w:style w:type="character" w:customStyle="1" w:styleId="701">
    <w:name w:val="样式 生物质发电正文 + Times New Roman 加粗 首行缩进:  2 字符 Char"/>
    <w:link w:val="702"/>
    <w:qFormat/>
    <w:uiPriority w:val="0"/>
    <w:rPr>
      <w:rFonts w:eastAsia="宋体" w:cs="宋体"/>
      <w:bCs/>
      <w:sz w:val="24"/>
      <w:lang w:val="en-US" w:eastAsia="zh-CN" w:bidi="ar-SA"/>
    </w:rPr>
  </w:style>
  <w:style w:type="paragraph" w:customStyle="1" w:styleId="702">
    <w:name w:val="样式 生物质发电正文 + Times New Roman 加粗 首行缩进:  2 字符"/>
    <w:basedOn w:val="1"/>
    <w:link w:val="701"/>
    <w:semiHidden/>
    <w:qFormat/>
    <w:uiPriority w:val="0"/>
    <w:pPr>
      <w:widowControl/>
      <w:tabs>
        <w:tab w:val="clear" w:pos="480"/>
      </w:tabs>
      <w:suppressAutoHyphens/>
      <w:adjustRightInd w:val="0"/>
      <w:snapToGrid w:val="0"/>
      <w:spacing w:line="324" w:lineRule="auto"/>
      <w:ind w:firstLine="482"/>
      <w:textAlignment w:val="baseline"/>
    </w:pPr>
    <w:rPr>
      <w:rFonts w:cs="宋体"/>
      <w:bCs/>
      <w:kern w:val="0"/>
      <w:szCs w:val="20"/>
    </w:rPr>
  </w:style>
  <w:style w:type="character" w:customStyle="1" w:styleId="703">
    <w:name w:val="apple-style-span"/>
    <w:basedOn w:val="132"/>
    <w:qFormat/>
    <w:uiPriority w:val="0"/>
  </w:style>
  <w:style w:type="character" w:customStyle="1" w:styleId="704">
    <w:name w:val="text11"/>
    <w:basedOn w:val="132"/>
    <w:semiHidden/>
    <w:qFormat/>
    <w:uiPriority w:val="0"/>
  </w:style>
  <w:style w:type="character" w:customStyle="1" w:styleId="705">
    <w:name w:val="正文样式 Char"/>
    <w:semiHidden/>
    <w:qFormat/>
    <w:uiPriority w:val="0"/>
    <w:rPr>
      <w:rFonts w:eastAsia="宋体"/>
      <w:snapToGrid w:val="0"/>
      <w:sz w:val="24"/>
      <w:szCs w:val="24"/>
      <w:lang w:val="en-US" w:eastAsia="zh-CN" w:bidi="ar-SA"/>
    </w:rPr>
  </w:style>
  <w:style w:type="character" w:customStyle="1" w:styleId="706">
    <w:name w:val="生物质发电正文 Char"/>
    <w:link w:val="707"/>
    <w:qFormat/>
    <w:uiPriority w:val="0"/>
    <w:rPr>
      <w:rFonts w:ascii="宋体" w:hAnsi="宋体" w:eastAsia="宋体"/>
      <w:sz w:val="24"/>
      <w:lang w:val="en-US" w:eastAsia="zh-CN" w:bidi="ar-SA"/>
    </w:rPr>
  </w:style>
  <w:style w:type="paragraph" w:customStyle="1" w:styleId="707">
    <w:name w:val="生物质发电正文"/>
    <w:basedOn w:val="1"/>
    <w:link w:val="706"/>
    <w:qFormat/>
    <w:uiPriority w:val="0"/>
    <w:pPr>
      <w:widowControl/>
      <w:tabs>
        <w:tab w:val="clear" w:pos="480"/>
      </w:tabs>
      <w:suppressAutoHyphens/>
      <w:adjustRightInd w:val="0"/>
      <w:snapToGrid w:val="0"/>
      <w:spacing w:line="324" w:lineRule="auto"/>
      <w:textAlignment w:val="baseline"/>
    </w:pPr>
    <w:rPr>
      <w:rFonts w:ascii="宋体" w:hAnsi="宋体"/>
      <w:kern w:val="0"/>
      <w:szCs w:val="20"/>
    </w:rPr>
  </w:style>
  <w:style w:type="character" w:customStyle="1" w:styleId="708">
    <w:name w:val="m_341"/>
    <w:semiHidden/>
    <w:qFormat/>
    <w:uiPriority w:val="0"/>
    <w:rPr>
      <w:rFonts w:hint="default" w:ascii="Arial" w:hAnsi="Arial" w:cs="Arial"/>
      <w:color w:val="000000"/>
      <w:sz w:val="21"/>
      <w:szCs w:val="21"/>
    </w:rPr>
  </w:style>
  <w:style w:type="character" w:customStyle="1" w:styleId="709">
    <w:name w:val="gray1"/>
    <w:semiHidden/>
    <w:qFormat/>
    <w:uiPriority w:val="0"/>
    <w:rPr>
      <w:color w:val="666666"/>
    </w:rPr>
  </w:style>
  <w:style w:type="character" w:customStyle="1" w:styleId="710">
    <w:name w:val="表名 Char"/>
    <w:semiHidden/>
    <w:qFormat/>
    <w:uiPriority w:val="0"/>
    <w:rPr>
      <w:rFonts w:eastAsia="黑体"/>
      <w:sz w:val="24"/>
      <w:lang w:val="en-US" w:eastAsia="zh-CN"/>
    </w:rPr>
  </w:style>
  <w:style w:type="paragraph" w:customStyle="1" w:styleId="711">
    <w:name w:val="样式 正文首行缩进 2 + 小四 首行缩进:  2 字符"/>
    <w:basedOn w:val="1"/>
    <w:semiHidden/>
    <w:qFormat/>
    <w:uiPriority w:val="0"/>
    <w:pPr>
      <w:tabs>
        <w:tab w:val="left" w:pos="0"/>
        <w:tab w:val="left" w:pos="1800"/>
        <w:tab w:val="clear" w:pos="480"/>
      </w:tabs>
      <w:jc w:val="center"/>
    </w:pPr>
    <w:rPr>
      <w:b/>
      <w:color w:val="000000"/>
    </w:rPr>
  </w:style>
  <w:style w:type="paragraph" w:customStyle="1" w:styleId="712">
    <w:name w:val="bg"/>
    <w:basedOn w:val="1"/>
    <w:semiHidden/>
    <w:qFormat/>
    <w:uiPriority w:val="0"/>
    <w:pPr>
      <w:widowControl/>
      <w:tabs>
        <w:tab w:val="clear" w:pos="480"/>
      </w:tabs>
      <w:spacing w:line="240" w:lineRule="auto"/>
    </w:pPr>
    <w:rPr>
      <w:kern w:val="0"/>
    </w:rPr>
  </w:style>
  <w:style w:type="paragraph" w:customStyle="1" w:styleId="713">
    <w:name w:val="表标题（自定义）"/>
    <w:semiHidden/>
    <w:qFormat/>
    <w:uiPriority w:val="0"/>
    <w:pPr>
      <w:spacing w:line="360" w:lineRule="auto"/>
      <w:ind w:firstLine="482"/>
      <w:jc w:val="center"/>
    </w:pPr>
    <w:rPr>
      <w:rFonts w:ascii="Times New Roman" w:hAnsi="Times New Roman" w:eastAsia="宋体" w:cs="Times New Roman"/>
      <w:b/>
      <w:color w:val="000000"/>
      <w:kern w:val="2"/>
      <w:sz w:val="24"/>
      <w:szCs w:val="24"/>
      <w:lang w:val="en-US" w:eastAsia="zh-CN" w:bidi="ar-SA"/>
    </w:rPr>
  </w:style>
  <w:style w:type="paragraph" w:customStyle="1" w:styleId="714">
    <w:name w:val="Char Char Char Char Char Char3"/>
    <w:basedOn w:val="1"/>
    <w:semiHidden/>
    <w:qFormat/>
    <w:uiPriority w:val="0"/>
    <w:pPr>
      <w:tabs>
        <w:tab w:val="clear" w:pos="480"/>
      </w:tabs>
      <w:spacing w:line="240" w:lineRule="auto"/>
    </w:pPr>
    <w:rPr>
      <w:sz w:val="21"/>
    </w:rPr>
  </w:style>
  <w:style w:type="paragraph" w:customStyle="1" w:styleId="715">
    <w:name w:val="Char Char Char Char Char Char Char Char Char Char Char Char1 Char Char Char Char"/>
    <w:basedOn w:val="1"/>
    <w:semiHidden/>
    <w:qFormat/>
    <w:uiPriority w:val="0"/>
    <w:pPr>
      <w:tabs>
        <w:tab w:val="clear" w:pos="480"/>
      </w:tabs>
    </w:pPr>
    <w:rPr>
      <w:rFonts w:ascii="宋体" w:hAnsi="宋体" w:cs="宋体"/>
    </w:rPr>
  </w:style>
  <w:style w:type="paragraph" w:customStyle="1" w:styleId="716">
    <w:name w:val="表体"/>
    <w:basedOn w:val="1"/>
    <w:semiHidden/>
    <w:qFormat/>
    <w:uiPriority w:val="0"/>
    <w:pPr>
      <w:tabs>
        <w:tab w:val="clear" w:pos="480"/>
      </w:tabs>
      <w:spacing w:line="240" w:lineRule="auto"/>
      <w:jc w:val="center"/>
    </w:pPr>
    <w:rPr>
      <w:sz w:val="21"/>
      <w:szCs w:val="21"/>
    </w:rPr>
  </w:style>
  <w:style w:type="paragraph" w:customStyle="1" w:styleId="717">
    <w:name w:val="样式 正文文本 + 首行缩进:  2 字符"/>
    <w:basedOn w:val="34"/>
    <w:semiHidden/>
    <w:qFormat/>
    <w:uiPriority w:val="0"/>
    <w:pPr>
      <w:spacing w:line="360" w:lineRule="auto"/>
    </w:pPr>
    <w:rPr>
      <w:rFonts w:ascii="Times New Roman" w:hAnsi="Times New Roman"/>
      <w:color w:val="000000"/>
      <w:kern w:val="0"/>
      <w:sz w:val="28"/>
      <w:szCs w:val="28"/>
    </w:rPr>
  </w:style>
  <w:style w:type="paragraph" w:customStyle="1" w:styleId="718">
    <w:name w:val="填表内容"/>
    <w:basedOn w:val="1"/>
    <w:semiHidden/>
    <w:qFormat/>
    <w:uiPriority w:val="0"/>
    <w:pPr>
      <w:tabs>
        <w:tab w:val="clear" w:pos="480"/>
      </w:tabs>
      <w:adjustRightInd w:val="0"/>
      <w:spacing w:line="480" w:lineRule="exact"/>
      <w:ind w:firstLine="560"/>
      <w:jc w:val="left"/>
      <w:textAlignment w:val="baseline"/>
    </w:pPr>
    <w:rPr>
      <w:rFonts w:ascii="楷体_GB2312" w:eastAsia="楷体_GB2312"/>
      <w:sz w:val="28"/>
      <w:szCs w:val="20"/>
    </w:rPr>
  </w:style>
  <w:style w:type="paragraph" w:customStyle="1" w:styleId="719">
    <w:name w:val="报告 Char"/>
    <w:basedOn w:val="1"/>
    <w:semiHidden/>
    <w:qFormat/>
    <w:uiPriority w:val="0"/>
    <w:pPr>
      <w:tabs>
        <w:tab w:val="clear" w:pos="480"/>
      </w:tabs>
      <w:adjustRightInd w:val="0"/>
      <w:ind w:firstLine="505"/>
      <w:textAlignment w:val="baseline"/>
    </w:pPr>
  </w:style>
  <w:style w:type="paragraph" w:customStyle="1" w:styleId="720">
    <w:name w:val="中文报告书"/>
    <w:basedOn w:val="1"/>
    <w:semiHidden/>
    <w:qFormat/>
    <w:uiPriority w:val="0"/>
    <w:pPr>
      <w:tabs>
        <w:tab w:val="clear" w:pos="480"/>
      </w:tabs>
      <w:adjustRightInd w:val="0"/>
      <w:spacing w:after="80" w:line="420" w:lineRule="atLeast"/>
      <w:jc w:val="left"/>
      <w:textAlignment w:val="baseline"/>
    </w:pPr>
    <w:rPr>
      <w:kern w:val="0"/>
      <w:szCs w:val="20"/>
    </w:rPr>
  </w:style>
  <w:style w:type="paragraph" w:customStyle="1" w:styleId="721">
    <w:name w:val="报告"/>
    <w:basedOn w:val="1"/>
    <w:link w:val="2728"/>
    <w:qFormat/>
    <w:uiPriority w:val="0"/>
    <w:pPr>
      <w:tabs>
        <w:tab w:val="clear" w:pos="480"/>
      </w:tabs>
      <w:overflowPunct w:val="0"/>
      <w:autoSpaceDE w:val="0"/>
      <w:autoSpaceDN w:val="0"/>
      <w:adjustRightInd w:val="0"/>
      <w:spacing w:beforeLines="30" w:afterLines="30" w:line="400" w:lineRule="atLeast"/>
      <w:ind w:left="200" w:leftChars="200"/>
      <w:textAlignment w:val="baseline"/>
    </w:pPr>
    <w:rPr>
      <w:kern w:val="0"/>
      <w:szCs w:val="20"/>
    </w:rPr>
  </w:style>
  <w:style w:type="paragraph" w:customStyle="1" w:styleId="722">
    <w:name w:val="sw_one"/>
    <w:basedOn w:val="1"/>
    <w:semiHidden/>
    <w:qFormat/>
    <w:uiPriority w:val="0"/>
    <w:pPr>
      <w:widowControl/>
      <w:tabs>
        <w:tab w:val="clear" w:pos="480"/>
      </w:tabs>
      <w:spacing w:before="100" w:beforeAutospacing="1" w:after="100" w:afterAutospacing="1" w:line="240" w:lineRule="auto"/>
      <w:ind w:firstLine="573"/>
      <w:jc w:val="left"/>
    </w:pPr>
    <w:rPr>
      <w:rFonts w:ascii="Arial Unicode MS" w:hAnsi="Arial Unicode MS" w:cs="Arial Unicode MS"/>
      <w:kern w:val="0"/>
    </w:rPr>
  </w:style>
  <w:style w:type="paragraph" w:customStyle="1" w:styleId="723">
    <w:name w:val="电镀表"/>
    <w:basedOn w:val="157"/>
    <w:link w:val="1302"/>
    <w:semiHidden/>
    <w:qFormat/>
    <w:uiPriority w:val="0"/>
    <w:pPr>
      <w:spacing w:line="0" w:lineRule="atLeast"/>
      <w:jc w:val="right"/>
    </w:pPr>
    <w:rPr>
      <w:rFonts w:eastAsia="宋体"/>
      <w:sz w:val="21"/>
      <w:szCs w:val="21"/>
    </w:rPr>
  </w:style>
  <w:style w:type="paragraph" w:customStyle="1" w:styleId="724">
    <w:name w:val="样式 宋体 行距: 1.5 倍行距"/>
    <w:basedOn w:val="1"/>
    <w:semiHidden/>
    <w:qFormat/>
    <w:uiPriority w:val="0"/>
    <w:pPr>
      <w:tabs>
        <w:tab w:val="clear" w:pos="480"/>
      </w:tabs>
      <w:snapToGrid w:val="0"/>
      <w:spacing w:line="240" w:lineRule="auto"/>
    </w:pPr>
    <w:rPr>
      <w:rFonts w:ascii="宋体" w:hAnsi="宋体"/>
      <w:sz w:val="21"/>
      <w:szCs w:val="20"/>
    </w:rPr>
  </w:style>
  <w:style w:type="paragraph" w:customStyle="1" w:styleId="725">
    <w:name w:val="Char Char Char1 Char Char Char Char Char Char Char Char Char Char Char Char Char Char Char Char"/>
    <w:basedOn w:val="1"/>
    <w:semiHidden/>
    <w:qFormat/>
    <w:uiPriority w:val="0"/>
    <w:pPr>
      <w:tabs>
        <w:tab w:val="clear" w:pos="480"/>
      </w:tabs>
      <w:spacing w:line="240" w:lineRule="auto"/>
    </w:pPr>
    <w:rPr>
      <w:sz w:val="21"/>
    </w:rPr>
  </w:style>
  <w:style w:type="paragraph" w:customStyle="1" w:styleId="726">
    <w:name w:val="cactus"/>
    <w:semiHidden/>
    <w:qFormat/>
    <w:uiPriority w:val="0"/>
    <w:pPr>
      <w:tabs>
        <w:tab w:val="left" w:pos="870"/>
        <w:tab w:val="left" w:pos="900"/>
      </w:tabs>
      <w:snapToGrid w:val="0"/>
      <w:spacing w:line="360" w:lineRule="auto"/>
      <w:ind w:left="900" w:hanging="180"/>
      <w:jc w:val="center"/>
    </w:pPr>
    <w:rPr>
      <w:rFonts w:ascii="Times New Roman" w:hAnsi="Times New Roman" w:eastAsia="宋体" w:cs="Times New Roman"/>
      <w:kern w:val="2"/>
      <w:sz w:val="24"/>
      <w:szCs w:val="24"/>
      <w:lang w:val="en-US" w:eastAsia="zh-CN" w:bidi="ar-SA"/>
    </w:rPr>
  </w:style>
  <w:style w:type="paragraph" w:customStyle="1" w:styleId="727">
    <w:name w:val="湛江沥青表"/>
    <w:basedOn w:val="1"/>
    <w:semiHidden/>
    <w:qFormat/>
    <w:uiPriority w:val="0"/>
    <w:pPr>
      <w:tabs>
        <w:tab w:val="clear" w:pos="480"/>
      </w:tabs>
      <w:spacing w:line="240" w:lineRule="auto"/>
      <w:jc w:val="center"/>
    </w:pPr>
    <w:rPr>
      <w:color w:val="000000"/>
      <w:sz w:val="21"/>
      <w:szCs w:val="20"/>
    </w:rPr>
  </w:style>
  <w:style w:type="paragraph" w:customStyle="1" w:styleId="728">
    <w:name w:val="Char1"/>
    <w:basedOn w:val="1"/>
    <w:qFormat/>
    <w:uiPriority w:val="0"/>
    <w:pPr>
      <w:tabs>
        <w:tab w:val="clear" w:pos="480"/>
      </w:tabs>
      <w:snapToGrid w:val="0"/>
      <w:ind w:firstLine="529"/>
    </w:pPr>
    <w:rPr>
      <w:sz w:val="21"/>
      <w:szCs w:val="20"/>
    </w:rPr>
  </w:style>
  <w:style w:type="paragraph" w:customStyle="1" w:styleId="729">
    <w:name w:val="表格内容居中"/>
    <w:semiHidden/>
    <w:qFormat/>
    <w:uiPriority w:val="0"/>
    <w:pPr>
      <w:adjustRightInd w:val="0"/>
      <w:snapToGrid w:val="0"/>
      <w:jc w:val="center"/>
    </w:pPr>
    <w:rPr>
      <w:rFonts w:ascii="Times New Roman" w:hAnsi="Times New Roman" w:eastAsia="宋体" w:cs="Times New Roman"/>
      <w:snapToGrid w:val="0"/>
      <w:kern w:val="2"/>
      <w:sz w:val="21"/>
      <w:szCs w:val="21"/>
      <w:lang w:val="en-US" w:eastAsia="zh-CN" w:bidi="ar-SA"/>
    </w:rPr>
  </w:style>
  <w:style w:type="paragraph" w:customStyle="1" w:styleId="730">
    <w:name w:val="默认段落字体 Para Char"/>
    <w:basedOn w:val="1"/>
    <w:next w:val="1"/>
    <w:qFormat/>
    <w:uiPriority w:val="0"/>
    <w:pPr>
      <w:tabs>
        <w:tab w:val="clear" w:pos="480"/>
      </w:tabs>
    </w:pPr>
    <w:rPr>
      <w:rFonts w:ascii="宋体" w:hAnsi="宋体" w:cs="宋体"/>
    </w:rPr>
  </w:style>
  <w:style w:type="paragraph" w:customStyle="1" w:styleId="731">
    <w:name w:val="样式-方格突出"/>
    <w:basedOn w:val="1"/>
    <w:semiHidden/>
    <w:qFormat/>
    <w:uiPriority w:val="0"/>
    <w:pPr>
      <w:widowControl/>
      <w:tabs>
        <w:tab w:val="left" w:pos="851"/>
        <w:tab w:val="clear" w:pos="480"/>
      </w:tabs>
      <w:ind w:left="805" w:hanging="323"/>
      <w:jc w:val="left"/>
    </w:pPr>
  </w:style>
  <w:style w:type="paragraph" w:customStyle="1" w:styleId="732">
    <w:name w:val="Char Char Char Char Char Char1 Char Char Char1 Char Char Char1 Char Char Char Char Char Char Char Char Char Char3"/>
    <w:basedOn w:val="1"/>
    <w:next w:val="1"/>
    <w:semiHidden/>
    <w:qFormat/>
    <w:uiPriority w:val="0"/>
    <w:pPr>
      <w:tabs>
        <w:tab w:val="clear" w:pos="480"/>
      </w:tabs>
    </w:pPr>
    <w:rPr>
      <w:rFonts w:ascii="楷体_GB2312" w:hAnsi="宋体" w:eastAsia="楷体_GB2312" w:cs="宋体"/>
    </w:rPr>
  </w:style>
  <w:style w:type="paragraph" w:customStyle="1" w:styleId="733">
    <w:name w:val="Char13"/>
    <w:basedOn w:val="1"/>
    <w:qFormat/>
    <w:uiPriority w:val="0"/>
    <w:pPr>
      <w:tabs>
        <w:tab w:val="clear" w:pos="480"/>
      </w:tabs>
      <w:spacing w:line="240" w:lineRule="auto"/>
    </w:pPr>
    <w:rPr>
      <w:sz w:val="21"/>
      <w:szCs w:val="20"/>
    </w:rPr>
  </w:style>
  <w:style w:type="paragraph" w:customStyle="1" w:styleId="734">
    <w:name w:val="xl20"/>
    <w:basedOn w:val="1"/>
    <w:semiHidden/>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pPr>
    <w:rPr>
      <w:rFonts w:ascii="宋体" w:hAnsi="宋体" w:cs="宋体"/>
      <w:kern w:val="0"/>
    </w:rPr>
  </w:style>
  <w:style w:type="paragraph" w:customStyle="1" w:styleId="735">
    <w:name w:val="表标头"/>
    <w:basedOn w:val="1"/>
    <w:semiHidden/>
    <w:qFormat/>
    <w:uiPriority w:val="0"/>
    <w:pPr>
      <w:tabs>
        <w:tab w:val="clear" w:pos="480"/>
      </w:tabs>
      <w:spacing w:before="60" w:after="60" w:line="240" w:lineRule="atLeast"/>
      <w:jc w:val="center"/>
    </w:pPr>
    <w:rPr>
      <w:b/>
      <w:bCs/>
    </w:rPr>
  </w:style>
  <w:style w:type="paragraph" w:customStyle="1" w:styleId="736">
    <w:name w:val="maintext"/>
    <w:basedOn w:val="1"/>
    <w:semiHidden/>
    <w:qFormat/>
    <w:uiPriority w:val="0"/>
    <w:pPr>
      <w:widowControl/>
      <w:tabs>
        <w:tab w:val="clear" w:pos="480"/>
      </w:tabs>
      <w:spacing w:before="100" w:beforeAutospacing="1" w:after="100" w:afterAutospacing="1" w:line="240" w:lineRule="auto"/>
      <w:jc w:val="left"/>
    </w:pPr>
    <w:rPr>
      <w:rFonts w:ascii="宋体" w:hAnsi="宋体" w:cs="宋体"/>
      <w:color w:val="000000"/>
      <w:kern w:val="0"/>
    </w:rPr>
  </w:style>
  <w:style w:type="paragraph" w:customStyle="1" w:styleId="737">
    <w:name w:val="xl19"/>
    <w:basedOn w:val="1"/>
    <w:semiHidden/>
    <w:qFormat/>
    <w:uiPriority w:val="0"/>
    <w:pPr>
      <w:widowControl/>
      <w:pBdr>
        <w:top w:val="single" w:color="auto" w:sz="4" w:space="0"/>
        <w:left w:val="single" w:color="auto" w:sz="4" w:space="0"/>
        <w:bottom w:val="single" w:color="auto" w:sz="4" w:space="0"/>
        <w:right w:val="single" w:color="auto" w:sz="4" w:space="0"/>
      </w:pBdr>
      <w:tabs>
        <w:tab w:val="clear" w:pos="480"/>
      </w:tabs>
      <w:spacing w:before="100" w:beforeAutospacing="1" w:after="100" w:afterAutospacing="1" w:line="240" w:lineRule="auto"/>
      <w:jc w:val="center"/>
    </w:pPr>
    <w:rPr>
      <w:rFonts w:ascii="宋体" w:hAnsi="宋体" w:cs="宋体"/>
      <w:kern w:val="0"/>
    </w:rPr>
  </w:style>
  <w:style w:type="paragraph" w:customStyle="1" w:styleId="738">
    <w:name w:val="样式 样式 样式 正文文本 + 首行缩进:  2 字符 + 宋体 首行缩进:  2 字符 + 首行缩进:  2 字符"/>
    <w:basedOn w:val="1"/>
    <w:semiHidden/>
    <w:qFormat/>
    <w:uiPriority w:val="0"/>
    <w:pPr>
      <w:tabs>
        <w:tab w:val="clear" w:pos="480"/>
      </w:tabs>
    </w:pPr>
    <w:rPr>
      <w:rFonts w:ascii="宋体" w:hAnsi="宋体"/>
      <w:color w:val="000000"/>
      <w:sz w:val="28"/>
      <w:szCs w:val="20"/>
    </w:rPr>
  </w:style>
  <w:style w:type="paragraph" w:customStyle="1" w:styleId="739">
    <w:name w:val="我的正文 Char"/>
    <w:basedOn w:val="1"/>
    <w:next w:val="1"/>
    <w:semiHidden/>
    <w:qFormat/>
    <w:uiPriority w:val="0"/>
    <w:pPr>
      <w:tabs>
        <w:tab w:val="clear" w:pos="480"/>
      </w:tabs>
      <w:spacing w:line="520" w:lineRule="exact"/>
      <w:ind w:firstLine="540" w:firstLineChars="225"/>
    </w:pPr>
  </w:style>
  <w:style w:type="paragraph" w:customStyle="1" w:styleId="740">
    <w:name w:val="字元 字元 Char Char 字元 字元12"/>
    <w:basedOn w:val="1"/>
    <w:semiHidden/>
    <w:qFormat/>
    <w:uiPriority w:val="0"/>
    <w:pPr>
      <w:tabs>
        <w:tab w:val="clear" w:pos="480"/>
      </w:tabs>
      <w:spacing w:line="240" w:lineRule="auto"/>
    </w:pPr>
  </w:style>
  <w:style w:type="paragraph" w:customStyle="1" w:styleId="741">
    <w:name w:val="表标题5"/>
    <w:basedOn w:val="1"/>
    <w:link w:val="1300"/>
    <w:semiHidden/>
    <w:qFormat/>
    <w:uiPriority w:val="0"/>
    <w:pPr>
      <w:keepNext/>
      <w:widowControl/>
      <w:tabs>
        <w:tab w:val="clear" w:pos="480"/>
      </w:tabs>
      <w:autoSpaceDE w:val="0"/>
      <w:autoSpaceDN w:val="0"/>
      <w:adjustRightInd w:val="0"/>
      <w:spacing w:before="180" w:after="120" w:line="408" w:lineRule="atLeast"/>
      <w:jc w:val="center"/>
      <w:textAlignment w:val="baseline"/>
    </w:pPr>
    <w:rPr>
      <w:b/>
      <w:spacing w:val="2"/>
      <w:kern w:val="0"/>
      <w:sz w:val="28"/>
      <w:szCs w:val="20"/>
    </w:rPr>
  </w:style>
  <w:style w:type="paragraph" w:customStyle="1" w:styleId="742">
    <w:name w:val="大标题"/>
    <w:basedOn w:val="1"/>
    <w:semiHidden/>
    <w:qFormat/>
    <w:uiPriority w:val="0"/>
    <w:pPr>
      <w:tabs>
        <w:tab w:val="clear" w:pos="480"/>
      </w:tabs>
      <w:spacing w:beforeLines="100" w:afterLines="50" w:line="480" w:lineRule="auto"/>
      <w:jc w:val="center"/>
    </w:pPr>
    <w:rPr>
      <w:rFonts w:ascii="仿宋_GB2312" w:hAnsi="仿宋体" w:eastAsia="仿宋_GB2312"/>
      <w:b/>
      <w:kern w:val="0"/>
      <w:sz w:val="44"/>
      <w:szCs w:val="44"/>
    </w:rPr>
  </w:style>
  <w:style w:type="paragraph" w:customStyle="1" w:styleId="743">
    <w:name w:val="表内容"/>
    <w:basedOn w:val="1"/>
    <w:semiHidden/>
    <w:qFormat/>
    <w:uiPriority w:val="0"/>
    <w:pPr>
      <w:widowControl/>
      <w:tabs>
        <w:tab w:val="clear" w:pos="480"/>
      </w:tabs>
      <w:adjustRightInd w:val="0"/>
      <w:snapToGrid w:val="0"/>
      <w:spacing w:line="240" w:lineRule="auto"/>
      <w:jc w:val="center"/>
    </w:pPr>
    <w:rPr>
      <w:snapToGrid w:val="0"/>
      <w:kern w:val="0"/>
      <w:sz w:val="21"/>
    </w:rPr>
  </w:style>
  <w:style w:type="paragraph" w:customStyle="1" w:styleId="744">
    <w:name w:val="样式 正正文 Char + 首行缩进:  2 字符"/>
    <w:basedOn w:val="1"/>
    <w:semiHidden/>
    <w:qFormat/>
    <w:uiPriority w:val="0"/>
    <w:pPr>
      <w:widowControl/>
      <w:tabs>
        <w:tab w:val="clear" w:pos="480"/>
      </w:tabs>
      <w:ind w:firstLine="560"/>
      <w:jc w:val="left"/>
    </w:pPr>
    <w:rPr>
      <w:rFonts w:cs="宋体"/>
      <w:sz w:val="28"/>
    </w:rPr>
  </w:style>
  <w:style w:type="paragraph" w:customStyle="1" w:styleId="745">
    <w:name w:val="表名"/>
    <w:basedOn w:val="1"/>
    <w:link w:val="2729"/>
    <w:qFormat/>
    <w:uiPriority w:val="0"/>
    <w:pPr>
      <w:tabs>
        <w:tab w:val="clear" w:pos="480"/>
      </w:tabs>
      <w:adjustRightInd w:val="0"/>
      <w:spacing w:beforeLines="50" w:afterLines="50" w:line="400" w:lineRule="atLeast"/>
      <w:ind w:firstLine="425"/>
      <w:jc w:val="center"/>
      <w:textAlignment w:val="baseline"/>
    </w:pPr>
    <w:rPr>
      <w:rFonts w:eastAsia="黑体"/>
      <w:kern w:val="0"/>
      <w:szCs w:val="20"/>
    </w:rPr>
  </w:style>
  <w:style w:type="paragraph" w:customStyle="1" w:styleId="746">
    <w:name w:val="码头表"/>
    <w:basedOn w:val="221"/>
    <w:semiHidden/>
    <w:qFormat/>
    <w:uiPriority w:val="0"/>
    <w:pPr>
      <w:spacing w:line="0" w:lineRule="atLeast"/>
    </w:pPr>
    <w:rPr>
      <w:color w:val="auto"/>
    </w:rPr>
  </w:style>
  <w:style w:type="paragraph" w:customStyle="1" w:styleId="747">
    <w:name w:val="正文5"/>
    <w:basedOn w:val="1"/>
    <w:semiHidden/>
    <w:qFormat/>
    <w:uiPriority w:val="0"/>
    <w:pPr>
      <w:tabs>
        <w:tab w:val="clear" w:pos="480"/>
      </w:tabs>
      <w:adjustRightInd w:val="0"/>
      <w:spacing w:afterLines="50" w:line="315" w:lineRule="atLeast"/>
      <w:jc w:val="left"/>
      <w:textAlignment w:val="baseline"/>
    </w:pPr>
    <w:rPr>
      <w:rFonts w:ascii="宋体"/>
      <w:kern w:val="0"/>
      <w:sz w:val="21"/>
      <w:szCs w:val="20"/>
    </w:rPr>
  </w:style>
  <w:style w:type="paragraph" w:customStyle="1" w:styleId="748">
    <w:name w:val="Char1 Char Char1 Char"/>
    <w:basedOn w:val="1"/>
    <w:semiHidden/>
    <w:qFormat/>
    <w:uiPriority w:val="0"/>
    <w:pPr>
      <w:tabs>
        <w:tab w:val="clear" w:pos="480"/>
      </w:tabs>
      <w:spacing w:line="240" w:lineRule="auto"/>
    </w:pPr>
    <w:rPr>
      <w:sz w:val="21"/>
      <w:szCs w:val="21"/>
    </w:rPr>
  </w:style>
  <w:style w:type="paragraph" w:customStyle="1" w:styleId="749">
    <w:name w:val="定表"/>
    <w:basedOn w:val="1"/>
    <w:semiHidden/>
    <w:qFormat/>
    <w:uiPriority w:val="0"/>
    <w:pPr>
      <w:tabs>
        <w:tab w:val="clear" w:pos="480"/>
      </w:tabs>
      <w:snapToGrid w:val="0"/>
      <w:spacing w:line="240" w:lineRule="auto"/>
    </w:pPr>
    <w:rPr>
      <w:rFonts w:ascii="仿宋_GB2312" w:eastAsia="仿宋_GB2312"/>
      <w:sz w:val="21"/>
    </w:rPr>
  </w:style>
  <w:style w:type="paragraph" w:customStyle="1" w:styleId="750">
    <w:name w:val="段"/>
    <w:link w:val="3344"/>
    <w:qFormat/>
    <w:uiPriority w:val="0"/>
    <w:pPr>
      <w:autoSpaceDE w:val="0"/>
      <w:autoSpaceDN w:val="0"/>
      <w:ind w:firstLine="200" w:firstLineChars="200"/>
      <w:jc w:val="both"/>
    </w:pPr>
    <w:rPr>
      <w:rFonts w:ascii="宋体" w:hAnsi="Times New Roman" w:eastAsia="宋体" w:cs="Times New Roman"/>
      <w:kern w:val="2"/>
      <w:sz w:val="21"/>
      <w:szCs w:val="24"/>
      <w:lang w:val="en-US" w:eastAsia="zh-CN" w:bidi="ar-SA"/>
    </w:rPr>
  </w:style>
  <w:style w:type="paragraph" w:customStyle="1" w:styleId="751">
    <w:name w:val="海南化工城正文 Char Char"/>
    <w:basedOn w:val="1"/>
    <w:link w:val="1498"/>
    <w:semiHidden/>
    <w:qFormat/>
    <w:uiPriority w:val="0"/>
    <w:pPr>
      <w:tabs>
        <w:tab w:val="clear" w:pos="480"/>
      </w:tabs>
      <w:spacing w:line="324" w:lineRule="auto"/>
      <w:ind w:firstLine="480"/>
    </w:pPr>
    <w:rPr>
      <w:rFonts w:ascii="宋体" w:hAnsi="宋体" w:cs="宋体"/>
    </w:rPr>
  </w:style>
  <w:style w:type="paragraph" w:customStyle="1" w:styleId="752">
    <w:name w:val="样式 样式1 + 加粗"/>
    <w:basedOn w:val="188"/>
    <w:semiHidden/>
    <w:qFormat/>
    <w:uiPriority w:val="0"/>
    <w:pPr>
      <w:widowControl w:val="0"/>
      <w:spacing w:line="360" w:lineRule="auto"/>
      <w:ind w:firstLine="544"/>
    </w:pPr>
    <w:rPr>
      <w:rFonts w:eastAsia="宋体" w:cs="宋体"/>
      <w:bCs/>
      <w:spacing w:val="-4"/>
      <w:szCs w:val="28"/>
    </w:rPr>
  </w:style>
  <w:style w:type="paragraph" w:customStyle="1" w:styleId="753">
    <w:name w:val="注解"/>
    <w:basedOn w:val="1"/>
    <w:semiHidden/>
    <w:qFormat/>
    <w:uiPriority w:val="0"/>
    <w:pPr>
      <w:tabs>
        <w:tab w:val="clear" w:pos="480"/>
      </w:tabs>
      <w:adjustRightInd w:val="0"/>
      <w:snapToGrid w:val="0"/>
      <w:spacing w:line="240" w:lineRule="auto"/>
      <w:ind w:left="624" w:right="170" w:hanging="454"/>
    </w:pPr>
    <w:rPr>
      <w:rFonts w:ascii="宋体" w:hAnsi="宋体"/>
      <w:color w:val="000000"/>
      <w:sz w:val="15"/>
      <w:szCs w:val="20"/>
    </w:rPr>
  </w:style>
  <w:style w:type="table" w:customStyle="1" w:styleId="754">
    <w:name w:val="表格式1"/>
    <w:basedOn w:val="87"/>
    <w:semiHidden/>
    <w:qFormat/>
    <w:uiPriority w:val="0"/>
    <w:pPr>
      <w:widowControl w:val="0"/>
      <w:spacing w:line="360" w:lineRule="auto"/>
      <w:ind w:left="-2" w:leftChars="-1" w:firstLine="456" w:firstLineChars="19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55">
    <w:name w:val="scxhdfoewps1"/>
    <w:semiHidden/>
    <w:qFormat/>
    <w:uiPriority w:val="0"/>
  </w:style>
  <w:style w:type="character" w:customStyle="1" w:styleId="756">
    <w:name w:val="日期 字符"/>
    <w:link w:val="50"/>
    <w:qFormat/>
    <w:uiPriority w:val="0"/>
    <w:rPr>
      <w:rFonts w:eastAsia="宋体"/>
      <w:spacing w:val="-18"/>
      <w:kern w:val="11"/>
      <w:sz w:val="36"/>
      <w:szCs w:val="24"/>
      <w:lang w:val="en-US" w:eastAsia="zh-CN" w:bidi="ar-SA"/>
    </w:rPr>
  </w:style>
  <w:style w:type="character" w:customStyle="1" w:styleId="757">
    <w:name w:val="style191"/>
    <w:semiHidden/>
    <w:qFormat/>
    <w:uiPriority w:val="0"/>
    <w:rPr>
      <w:sz w:val="21"/>
      <w:szCs w:val="21"/>
    </w:rPr>
  </w:style>
  <w:style w:type="character" w:customStyle="1" w:styleId="758">
    <w:name w:val="哈哈正文 Char"/>
    <w:link w:val="697"/>
    <w:qFormat/>
    <w:uiPriority w:val="0"/>
    <w:rPr>
      <w:rFonts w:ascii="宋体" w:hAnsi="宋体" w:eastAsia="宋体"/>
      <w:kern w:val="2"/>
      <w:sz w:val="24"/>
      <w:szCs w:val="24"/>
      <w:lang w:val="en-US" w:eastAsia="zh-CN" w:bidi="ar-SA"/>
    </w:rPr>
  </w:style>
  <w:style w:type="character" w:customStyle="1" w:styleId="759">
    <w:name w:val="款标题1.1.1.1 Char"/>
    <w:qFormat/>
    <w:uiPriority w:val="0"/>
    <w:rPr>
      <w:rFonts w:ascii="Arial" w:hAnsi="Arial" w:eastAsia="黑体" w:cs="Times New Roman"/>
      <w:b/>
      <w:bCs/>
      <w:kern w:val="0"/>
      <w:sz w:val="28"/>
      <w:szCs w:val="28"/>
    </w:rPr>
  </w:style>
  <w:style w:type="character" w:customStyle="1" w:styleId="760">
    <w:name w:val="标题1.1.1.1.1.1 Char"/>
    <w:semiHidden/>
    <w:qFormat/>
    <w:uiPriority w:val="0"/>
    <w:rPr>
      <w:rFonts w:ascii="Arial" w:hAnsi="Arial" w:eastAsia="黑体" w:cs="Times New Roman"/>
      <w:b/>
      <w:spacing w:val="6"/>
      <w:kern w:val="0"/>
      <w:sz w:val="24"/>
      <w:szCs w:val="20"/>
    </w:rPr>
  </w:style>
  <w:style w:type="character" w:customStyle="1" w:styleId="761">
    <w:name w:val="postbody"/>
    <w:basedOn w:val="132"/>
    <w:semiHidden/>
    <w:qFormat/>
    <w:uiPriority w:val="0"/>
  </w:style>
  <w:style w:type="character" w:customStyle="1" w:styleId="762">
    <w:name w:val="项标题(1) Char"/>
    <w:qFormat/>
    <w:uiPriority w:val="0"/>
    <w:rPr>
      <w:rFonts w:ascii="Times New Roman" w:hAnsi="Times New Roman" w:eastAsia="宋体" w:cs="Times New Roman"/>
      <w:b/>
      <w:spacing w:val="6"/>
      <w:kern w:val="0"/>
      <w:sz w:val="24"/>
      <w:szCs w:val="20"/>
    </w:rPr>
  </w:style>
  <w:style w:type="character" w:customStyle="1" w:styleId="763">
    <w:name w:val="标题 8 Char"/>
    <w:qFormat/>
    <w:uiPriority w:val="0"/>
    <w:rPr>
      <w:rFonts w:ascii="Cambria" w:hAnsi="Cambria" w:eastAsia="宋体" w:cs="Times New Roman"/>
      <w:sz w:val="24"/>
      <w:szCs w:val="24"/>
    </w:rPr>
  </w:style>
  <w:style w:type="character" w:customStyle="1" w:styleId="764">
    <w:name w:val="App Heading Char"/>
    <w:semiHidden/>
    <w:qFormat/>
    <w:uiPriority w:val="0"/>
    <w:rPr>
      <w:rFonts w:ascii="Arial" w:hAnsi="Arial" w:eastAsia="黑体" w:cs="Times New Roman"/>
      <w:spacing w:val="10"/>
      <w:kern w:val="0"/>
      <w:szCs w:val="20"/>
    </w:rPr>
  </w:style>
  <w:style w:type="character" w:customStyle="1" w:styleId="765">
    <w:name w:val="表内文字 Char2"/>
    <w:qFormat/>
    <w:uiPriority w:val="0"/>
    <w:rPr>
      <w:rFonts w:ascii="Times New Roman" w:hAnsi="Times New Roman" w:eastAsia="宋体" w:cs="Times New Roman"/>
      <w:kern w:val="0"/>
      <w:sz w:val="24"/>
      <w:szCs w:val="20"/>
    </w:rPr>
  </w:style>
  <w:style w:type="character" w:customStyle="1" w:styleId="766">
    <w:name w:val="Char Char15"/>
    <w:qFormat/>
    <w:uiPriority w:val="0"/>
    <w:rPr>
      <w:rFonts w:ascii="Times New Roman" w:hAnsi="Times New Roman" w:eastAsia="宋体" w:cs="Times New Roman"/>
      <w:kern w:val="0"/>
      <w:sz w:val="24"/>
      <w:szCs w:val="20"/>
    </w:rPr>
  </w:style>
  <w:style w:type="character" w:customStyle="1" w:styleId="767">
    <w:name w:val="正文文字缩进 3 Char2"/>
    <w:qFormat/>
    <w:uiPriority w:val="0"/>
    <w:rPr>
      <w:rFonts w:ascii="Times New Roman" w:hAnsi="Times New Roman" w:eastAsia="宋体" w:cs="Times New Roman"/>
      <w:kern w:val="0"/>
      <w:sz w:val="16"/>
      <w:szCs w:val="16"/>
    </w:rPr>
  </w:style>
  <w:style w:type="character" w:customStyle="1" w:styleId="768">
    <w:name w:val="正文不缩进 Char1"/>
    <w:qFormat/>
    <w:uiPriority w:val="0"/>
    <w:rPr>
      <w:rFonts w:ascii="Times New Roman" w:hAnsi="Times New Roman" w:eastAsia="宋体" w:cs="Times New Roman"/>
      <w:kern w:val="0"/>
      <w:sz w:val="24"/>
      <w:szCs w:val="20"/>
    </w:rPr>
  </w:style>
  <w:style w:type="paragraph" w:customStyle="1" w:styleId="769">
    <w:name w:val="Char Char Char3"/>
    <w:basedOn w:val="1"/>
    <w:qFormat/>
    <w:uiPriority w:val="0"/>
    <w:pPr>
      <w:tabs>
        <w:tab w:val="clear" w:pos="480"/>
      </w:tabs>
      <w:adjustRightInd w:val="0"/>
      <w:snapToGrid w:val="0"/>
      <w:spacing w:line="400" w:lineRule="exact"/>
    </w:pPr>
    <w:rPr>
      <w:szCs w:val="20"/>
    </w:rPr>
  </w:style>
  <w:style w:type="character" w:customStyle="1" w:styleId="770">
    <w:name w:val="正文文字 2 Char3"/>
    <w:qFormat/>
    <w:uiPriority w:val="0"/>
    <w:rPr>
      <w:rFonts w:ascii="Times New Roman" w:hAnsi="Times New Roman" w:eastAsia="宋体" w:cs="Times New Roman"/>
      <w:spacing w:val="6"/>
      <w:kern w:val="0"/>
      <w:sz w:val="24"/>
      <w:szCs w:val="20"/>
    </w:rPr>
  </w:style>
  <w:style w:type="character" w:customStyle="1" w:styleId="771">
    <w:name w:val="正文文本 3 字符"/>
    <w:link w:val="31"/>
    <w:qFormat/>
    <w:uiPriority w:val="0"/>
    <w:rPr>
      <w:rFonts w:eastAsia="仿宋_GB2312"/>
      <w:kern w:val="2"/>
      <w:sz w:val="21"/>
      <w:lang w:val="en-US" w:eastAsia="zh-CN" w:bidi="ar-SA"/>
    </w:rPr>
  </w:style>
  <w:style w:type="character" w:customStyle="1" w:styleId="772">
    <w:name w:val="bt Char4"/>
    <w:semiHidden/>
    <w:qFormat/>
    <w:uiPriority w:val="0"/>
    <w:rPr>
      <w:rFonts w:ascii="Times New Roman" w:hAnsi="Times New Roman" w:eastAsia="宋体" w:cs="Times New Roman"/>
      <w:color w:val="000000"/>
      <w:spacing w:val="6"/>
      <w:kern w:val="0"/>
      <w:sz w:val="24"/>
      <w:szCs w:val="18"/>
    </w:rPr>
  </w:style>
  <w:style w:type="paragraph" w:customStyle="1" w:styleId="773">
    <w:name w:val="正文并列"/>
    <w:basedOn w:val="1"/>
    <w:next w:val="1"/>
    <w:qFormat/>
    <w:uiPriority w:val="0"/>
    <w:pPr>
      <w:tabs>
        <w:tab w:val="clear" w:pos="480"/>
      </w:tabs>
      <w:adjustRightInd w:val="0"/>
      <w:snapToGrid w:val="0"/>
      <w:spacing w:line="400" w:lineRule="exact"/>
    </w:pPr>
    <w:rPr>
      <w:szCs w:val="20"/>
    </w:rPr>
  </w:style>
  <w:style w:type="character" w:customStyle="1" w:styleId="774">
    <w:name w:val="正文首行缩进 Char Char Char"/>
    <w:qFormat/>
    <w:uiPriority w:val="0"/>
    <w:rPr>
      <w:rFonts w:ascii="宋体" w:hAnsi="宋体" w:eastAsia="宋体"/>
      <w:kern w:val="2"/>
      <w:sz w:val="24"/>
      <w:szCs w:val="24"/>
      <w:lang w:val="en-US" w:eastAsia="zh-CN" w:bidi="ar-SA"/>
    </w:rPr>
  </w:style>
  <w:style w:type="character" w:customStyle="1" w:styleId="775">
    <w:name w:val="落款 Char"/>
    <w:qFormat/>
    <w:uiPriority w:val="0"/>
    <w:rPr>
      <w:rFonts w:ascii="Times New Roman" w:hAnsi="Times New Roman" w:eastAsia="宋体" w:cs="Times New Roman"/>
      <w:kern w:val="0"/>
      <w:sz w:val="24"/>
      <w:szCs w:val="20"/>
    </w:rPr>
  </w:style>
  <w:style w:type="paragraph" w:customStyle="1" w:styleId="776">
    <w:name w:val="点项目"/>
    <w:qFormat/>
    <w:uiPriority w:val="0"/>
    <w:pPr>
      <w:tabs>
        <w:tab w:val="left" w:pos="550"/>
      </w:tabs>
      <w:spacing w:before="40" w:after="40" w:line="360" w:lineRule="auto"/>
      <w:ind w:left="550" w:hanging="329" w:firstLineChars="200"/>
      <w:jc w:val="both"/>
    </w:pPr>
    <w:rPr>
      <w:rFonts w:ascii="Times New Roman" w:hAnsi="Times New Roman" w:eastAsia="宋体" w:cs="Times New Roman"/>
      <w:b/>
      <w:spacing w:val="12"/>
      <w:kern w:val="2"/>
      <w:sz w:val="24"/>
      <w:szCs w:val="24"/>
      <w:lang w:val="en-US" w:eastAsia="zh-CN" w:bidi="ar-SA"/>
    </w:rPr>
  </w:style>
  <w:style w:type="paragraph" w:customStyle="1" w:styleId="777">
    <w:name w:val="块项目"/>
    <w:next w:val="1"/>
    <w:qFormat/>
    <w:uiPriority w:val="0"/>
    <w:pPr>
      <w:tabs>
        <w:tab w:val="left" w:pos="550"/>
      </w:tabs>
      <w:spacing w:before="40" w:after="40" w:line="360" w:lineRule="auto"/>
      <w:ind w:left="425" w:hanging="205" w:firstLineChars="200"/>
      <w:jc w:val="both"/>
    </w:pPr>
    <w:rPr>
      <w:rFonts w:ascii="Times New Roman" w:hAnsi="Times New Roman" w:eastAsia="宋体" w:cs="Times New Roman"/>
      <w:b/>
      <w:spacing w:val="20"/>
      <w:kern w:val="2"/>
      <w:sz w:val="24"/>
      <w:szCs w:val="24"/>
      <w:lang w:val="en-US" w:eastAsia="zh-CN" w:bidi="ar-SA"/>
    </w:rPr>
  </w:style>
  <w:style w:type="paragraph" w:customStyle="1" w:styleId="778">
    <w:name w:val="dot"/>
    <w:semiHidden/>
    <w:qFormat/>
    <w:uiPriority w:val="0"/>
    <w:pPr>
      <w:tabs>
        <w:tab w:val="left" w:pos="420"/>
      </w:tabs>
      <w:spacing w:before="40" w:after="40" w:line="360" w:lineRule="auto"/>
      <w:ind w:left="420" w:hanging="420" w:firstLineChars="200"/>
      <w:jc w:val="both"/>
    </w:pPr>
    <w:rPr>
      <w:rFonts w:ascii="Times New Roman" w:hAnsi="Times New Roman" w:eastAsia="宋体" w:cs="Times New Roman"/>
      <w:b/>
      <w:kern w:val="2"/>
      <w:sz w:val="24"/>
      <w:szCs w:val="24"/>
      <w:lang w:val="en-US" w:eastAsia="zh-CN" w:bidi="ar-SA"/>
    </w:rPr>
  </w:style>
  <w:style w:type="paragraph" w:customStyle="1" w:styleId="779">
    <w:name w:val="参考书"/>
    <w:basedOn w:val="1"/>
    <w:qFormat/>
    <w:uiPriority w:val="0"/>
    <w:pPr>
      <w:numPr>
        <w:ilvl w:val="0"/>
        <w:numId w:val="12"/>
      </w:numPr>
      <w:tabs>
        <w:tab w:val="left" w:pos="980"/>
        <w:tab w:val="clear" w:pos="480"/>
      </w:tabs>
      <w:adjustRightInd w:val="0"/>
      <w:spacing w:before="60" w:after="60" w:line="264" w:lineRule="auto"/>
      <w:ind w:firstLine="0"/>
      <w:jc w:val="left"/>
      <w:textAlignment w:val="baseline"/>
    </w:pPr>
    <w:rPr>
      <w:rFonts w:cs="Arial Unicode MS"/>
      <w:spacing w:val="8"/>
      <w:kern w:val="0"/>
      <w:szCs w:val="20"/>
    </w:rPr>
  </w:style>
  <w:style w:type="paragraph" w:customStyle="1" w:styleId="780">
    <w:name w:val="表头8"/>
    <w:basedOn w:val="1"/>
    <w:qFormat/>
    <w:uiPriority w:val="0"/>
    <w:pPr>
      <w:tabs>
        <w:tab w:val="left" w:pos="360"/>
        <w:tab w:val="left" w:pos="1728"/>
        <w:tab w:val="left" w:pos="2866"/>
        <w:tab w:val="clear" w:pos="480"/>
      </w:tabs>
      <w:adjustRightInd w:val="0"/>
      <w:snapToGrid w:val="0"/>
      <w:spacing w:beforeLines="100" w:afterLines="50" w:line="240" w:lineRule="atLeast"/>
      <w:ind w:left="845"/>
    </w:pPr>
    <w:rPr>
      <w:b/>
      <w:color w:val="000000"/>
    </w:rPr>
  </w:style>
  <w:style w:type="paragraph" w:customStyle="1" w:styleId="781">
    <w:name w:val="列项——"/>
    <w:qFormat/>
    <w:uiPriority w:val="0"/>
    <w:pPr>
      <w:widowControl w:val="0"/>
      <w:numPr>
        <w:ilvl w:val="0"/>
        <w:numId w:val="13"/>
      </w:numPr>
      <w:tabs>
        <w:tab w:val="left" w:pos="854"/>
        <w:tab w:val="clear" w:pos="1140"/>
      </w:tabs>
      <w:spacing w:line="360" w:lineRule="auto"/>
      <w:ind w:left="200" w:leftChars="200" w:hanging="200" w:hangingChars="200"/>
      <w:jc w:val="both"/>
    </w:pPr>
    <w:rPr>
      <w:rFonts w:ascii="宋体" w:hAnsi="Times New Roman" w:eastAsia="宋体" w:cs="Times New Roman"/>
      <w:kern w:val="2"/>
      <w:sz w:val="21"/>
      <w:szCs w:val="24"/>
      <w:lang w:val="en-US" w:eastAsia="zh-CN" w:bidi="ar-SA"/>
    </w:rPr>
  </w:style>
  <w:style w:type="paragraph" w:customStyle="1" w:styleId="782">
    <w:name w:val="生物中文类名"/>
    <w:basedOn w:val="1"/>
    <w:qFormat/>
    <w:uiPriority w:val="0"/>
    <w:pPr>
      <w:numPr>
        <w:ilvl w:val="0"/>
        <w:numId w:val="14"/>
      </w:numPr>
      <w:tabs>
        <w:tab w:val="left" w:pos="-120"/>
        <w:tab w:val="clear" w:pos="425"/>
        <w:tab w:val="clear" w:pos="480"/>
      </w:tabs>
      <w:spacing w:before="60" w:line="310" w:lineRule="atLeast"/>
      <w:ind w:left="0" w:firstLine="2714" w:firstLineChars="1082"/>
      <w:jc w:val="center"/>
    </w:pPr>
    <w:rPr>
      <w:b/>
      <w:bCs/>
      <w:spacing w:val="20"/>
      <w:sz w:val="21"/>
      <w:szCs w:val="21"/>
    </w:rPr>
  </w:style>
  <w:style w:type="character" w:customStyle="1" w:styleId="783">
    <w:name w:val="样式2 Char"/>
    <w:qFormat/>
    <w:uiPriority w:val="0"/>
    <w:rPr>
      <w:rFonts w:eastAsia="楷体_GB2312"/>
      <w:kern w:val="2"/>
      <w:sz w:val="28"/>
      <w:szCs w:val="24"/>
      <w:lang w:val="en-US" w:eastAsia="zh-CN" w:bidi="ar-SA"/>
    </w:rPr>
  </w:style>
  <w:style w:type="paragraph" w:customStyle="1" w:styleId="784">
    <w:name w:val="海南化工城正文"/>
    <w:basedOn w:val="1"/>
    <w:link w:val="1308"/>
    <w:qFormat/>
    <w:uiPriority w:val="0"/>
    <w:pPr>
      <w:numPr>
        <w:ilvl w:val="0"/>
        <w:numId w:val="15"/>
      </w:numPr>
      <w:tabs>
        <w:tab w:val="clear" w:pos="360"/>
        <w:tab w:val="clear" w:pos="480"/>
      </w:tabs>
      <w:adjustRightInd w:val="0"/>
      <w:snapToGrid w:val="0"/>
      <w:spacing w:line="324" w:lineRule="auto"/>
      <w:ind w:left="0" w:firstLine="480" w:firstLineChars="200"/>
    </w:pPr>
    <w:rPr>
      <w:rFonts w:ascii="宋体" w:hAnsi="宋体"/>
      <w:kern w:val="0"/>
      <w:szCs w:val="20"/>
      <w:lang w:val="zh-CN"/>
    </w:rPr>
  </w:style>
  <w:style w:type="paragraph" w:customStyle="1" w:styleId="785">
    <w:name w:val="码头正文"/>
    <w:basedOn w:val="21"/>
    <w:qFormat/>
    <w:uiPriority w:val="0"/>
    <w:pPr>
      <w:numPr>
        <w:ilvl w:val="0"/>
        <w:numId w:val="16"/>
      </w:numPr>
      <w:tabs>
        <w:tab w:val="clear" w:pos="2345"/>
      </w:tabs>
      <w:adjustRightInd w:val="0"/>
      <w:snapToGrid w:val="0"/>
      <w:spacing w:line="400" w:lineRule="exact"/>
      <w:ind w:left="0" w:firstLine="480"/>
    </w:pPr>
    <w:rPr>
      <w:bCs/>
      <w:color w:val="0000FF"/>
      <w:kern w:val="0"/>
      <w:szCs w:val="20"/>
      <w:u w:color="000000"/>
    </w:rPr>
  </w:style>
  <w:style w:type="paragraph" w:customStyle="1" w:styleId="786">
    <w:name w:val="样式 表格2 + Times New Roman"/>
    <w:basedOn w:val="1"/>
    <w:qFormat/>
    <w:uiPriority w:val="0"/>
    <w:pPr>
      <w:tabs>
        <w:tab w:val="clear" w:pos="480"/>
      </w:tabs>
      <w:spacing w:beforeLines="5" w:line="240" w:lineRule="auto"/>
      <w:jc w:val="center"/>
    </w:pPr>
    <w:rPr>
      <w:rFonts w:eastAsia="Times New Roman"/>
      <w:sz w:val="21"/>
      <w:szCs w:val="20"/>
      <w:lang w:val="zh-CN"/>
    </w:rPr>
  </w:style>
  <w:style w:type="character" w:customStyle="1" w:styleId="787">
    <w:name w:val="标题 2 Char Char Char"/>
    <w:semiHidden/>
    <w:qFormat/>
    <w:uiPriority w:val="0"/>
    <w:rPr>
      <w:rFonts w:ascii="宋体" w:hAnsi="Arial" w:eastAsia="宋体"/>
      <w:b/>
      <w:sz w:val="30"/>
      <w:lang w:val="en-US" w:eastAsia="zh-CN" w:bidi="ar-SA"/>
    </w:rPr>
  </w:style>
  <w:style w:type="paragraph" w:customStyle="1" w:styleId="788">
    <w:name w:val="Char Char Char Char3"/>
    <w:basedOn w:val="1"/>
    <w:qFormat/>
    <w:uiPriority w:val="0"/>
    <w:pPr>
      <w:tabs>
        <w:tab w:val="clear" w:pos="480"/>
      </w:tabs>
      <w:spacing w:line="240" w:lineRule="auto"/>
    </w:pPr>
    <w:rPr>
      <w:sz w:val="21"/>
    </w:rPr>
  </w:style>
  <w:style w:type="paragraph" w:customStyle="1" w:styleId="789">
    <w:name w:val="Char Char Char2 Char Char Char"/>
    <w:basedOn w:val="1"/>
    <w:semiHidden/>
    <w:qFormat/>
    <w:uiPriority w:val="0"/>
    <w:pPr>
      <w:tabs>
        <w:tab w:val="clear" w:pos="480"/>
      </w:tabs>
      <w:spacing w:line="240" w:lineRule="auto"/>
    </w:pPr>
  </w:style>
  <w:style w:type="paragraph" w:customStyle="1" w:styleId="790">
    <w:name w:val="Char1 Char Char"/>
    <w:basedOn w:val="1"/>
    <w:semiHidden/>
    <w:qFormat/>
    <w:uiPriority w:val="0"/>
    <w:pPr>
      <w:tabs>
        <w:tab w:val="clear" w:pos="480"/>
      </w:tabs>
    </w:pPr>
    <w:rPr>
      <w:rFonts w:ascii="宋体" w:hAnsi="宋体" w:cs="宋体"/>
    </w:rPr>
  </w:style>
  <w:style w:type="paragraph" w:customStyle="1" w:styleId="791">
    <w:name w:val="湛江码头表"/>
    <w:basedOn w:val="221"/>
    <w:qFormat/>
    <w:uiPriority w:val="0"/>
    <w:pPr>
      <w:spacing w:line="0" w:lineRule="atLeast"/>
      <w:ind w:left="480"/>
      <w:outlineLvl w:val="0"/>
    </w:pPr>
    <w:rPr>
      <w:rFonts w:ascii="Calibri" w:hAnsi="Calibri" w:eastAsia="仿宋_GB2312"/>
      <w:color w:val="auto"/>
      <w:kern w:val="0"/>
      <w:position w:val="2"/>
      <w:sz w:val="20"/>
      <w:szCs w:val="24"/>
      <w:lang w:eastAsia="zh-TW"/>
    </w:rPr>
  </w:style>
  <w:style w:type="paragraph" w:customStyle="1" w:styleId="792">
    <w:name w:val="样式 表格1 + 行距: 单倍行距"/>
    <w:basedOn w:val="175"/>
    <w:qFormat/>
    <w:uiPriority w:val="0"/>
    <w:pPr>
      <w:topLinePunct w:val="0"/>
      <w:autoSpaceDE/>
      <w:autoSpaceDN/>
      <w:snapToGrid w:val="0"/>
      <w:textAlignment w:val="auto"/>
    </w:pPr>
    <w:rPr>
      <w:rFonts w:ascii="Calibri" w:hAnsi="Calibri"/>
      <w:kern w:val="0"/>
      <w:sz w:val="20"/>
      <w:szCs w:val="24"/>
    </w:rPr>
  </w:style>
  <w:style w:type="paragraph" w:customStyle="1" w:styleId="793">
    <w:name w:val="湛宝标题"/>
    <w:basedOn w:val="22"/>
    <w:qFormat/>
    <w:uiPriority w:val="0"/>
    <w:pPr>
      <w:widowControl w:val="0"/>
      <w:adjustRightInd/>
      <w:snapToGrid/>
      <w:spacing w:before="0" w:after="0"/>
      <w:ind w:firstLine="0" w:firstLineChars="0"/>
    </w:pPr>
    <w:rPr>
      <w:rFonts w:cs="Times New Roman"/>
      <w:color w:val="auto"/>
      <w:kern w:val="0"/>
    </w:rPr>
  </w:style>
  <w:style w:type="paragraph" w:customStyle="1" w:styleId="794">
    <w:name w:val="表格内文字"/>
    <w:next w:val="1"/>
    <w:link w:val="1838"/>
    <w:qFormat/>
    <w:uiPriority w:val="0"/>
    <w:pPr>
      <w:jc w:val="center"/>
    </w:pPr>
    <w:rPr>
      <w:rFonts w:ascii="Times New Roman" w:hAnsi="Times New Roman" w:eastAsia="宋体" w:cs="Times New Roman"/>
      <w:kern w:val="2"/>
      <w:sz w:val="21"/>
      <w:szCs w:val="21"/>
      <w:lang w:val="zh-CN" w:eastAsia="zh-CN" w:bidi="ar-SA"/>
    </w:rPr>
  </w:style>
  <w:style w:type="paragraph" w:customStyle="1" w:styleId="795">
    <w:name w:val="惠州3"/>
    <w:basedOn w:val="1"/>
    <w:qFormat/>
    <w:uiPriority w:val="0"/>
    <w:pPr>
      <w:tabs>
        <w:tab w:val="clear" w:pos="480"/>
      </w:tabs>
      <w:spacing w:line="580" w:lineRule="exact"/>
      <w:ind w:firstLine="600"/>
    </w:pPr>
    <w:rPr>
      <w:rFonts w:eastAsia="仿宋_GB2312"/>
      <w:sz w:val="30"/>
      <w:szCs w:val="30"/>
    </w:rPr>
  </w:style>
  <w:style w:type="character" w:customStyle="1" w:styleId="796">
    <w:name w:val="纯文本 Char Char Char Char"/>
    <w:qFormat/>
    <w:uiPriority w:val="0"/>
    <w:rPr>
      <w:rFonts w:ascii="宋体" w:hAnsi="Courier New" w:eastAsia="宋体" w:cs="Courier New"/>
      <w:sz w:val="21"/>
      <w:szCs w:val="21"/>
      <w:lang w:val="en-US" w:eastAsia="zh-CN" w:bidi="ar-SA"/>
    </w:rPr>
  </w:style>
  <w:style w:type="paragraph" w:customStyle="1" w:styleId="797">
    <w:name w:val="表格new"/>
    <w:basedOn w:val="1"/>
    <w:next w:val="1"/>
    <w:link w:val="1821"/>
    <w:semiHidden/>
    <w:qFormat/>
    <w:uiPriority w:val="0"/>
    <w:pPr>
      <w:tabs>
        <w:tab w:val="clear" w:pos="480"/>
      </w:tabs>
      <w:spacing w:line="240" w:lineRule="auto"/>
      <w:jc w:val="center"/>
      <w:textAlignment w:val="center"/>
    </w:pPr>
    <w:rPr>
      <w:kern w:val="0"/>
      <w:sz w:val="20"/>
      <w:szCs w:val="21"/>
      <w:lang w:val="zh-CN"/>
    </w:rPr>
  </w:style>
  <w:style w:type="character" w:customStyle="1" w:styleId="798">
    <w:name w:val="正文文本 2 Char1"/>
    <w:qFormat/>
    <w:uiPriority w:val="99"/>
    <w:rPr>
      <w:rFonts w:ascii="Times New Roman" w:hAnsi="Times New Roman" w:eastAsia="宋体" w:cs="Times New Roman"/>
      <w:spacing w:val="6"/>
      <w:kern w:val="0"/>
      <w:sz w:val="24"/>
      <w:szCs w:val="20"/>
    </w:rPr>
  </w:style>
  <w:style w:type="character" w:customStyle="1" w:styleId="799">
    <w:name w:val="正文文本缩进 2 Char1"/>
    <w:qFormat/>
    <w:uiPriority w:val="0"/>
    <w:rPr>
      <w:rFonts w:ascii="Times New Roman" w:hAnsi="Times New Roman" w:eastAsia="宋体" w:cs="Times New Roman"/>
      <w:color w:val="000000"/>
      <w:spacing w:val="6"/>
      <w:kern w:val="0"/>
      <w:sz w:val="24"/>
      <w:szCs w:val="18"/>
    </w:rPr>
  </w:style>
  <w:style w:type="character" w:customStyle="1" w:styleId="800">
    <w:name w:val="样式 小四"/>
    <w:qFormat/>
    <w:uiPriority w:val="0"/>
    <w:rPr>
      <w:sz w:val="24"/>
    </w:rPr>
  </w:style>
  <w:style w:type="paragraph" w:customStyle="1" w:styleId="801">
    <w:name w:val="佛风险表"/>
    <w:basedOn w:val="221"/>
    <w:qFormat/>
    <w:uiPriority w:val="0"/>
    <w:pPr>
      <w:spacing w:line="240" w:lineRule="atLeast"/>
      <w:jc w:val="both"/>
    </w:pPr>
    <w:rPr>
      <w:rFonts w:ascii="宋体" w:hAnsi="宋体"/>
      <w:kern w:val="0"/>
      <w:sz w:val="18"/>
      <w:szCs w:val="18"/>
      <w:lang w:val="sq-AL"/>
    </w:rPr>
  </w:style>
  <w:style w:type="character" w:customStyle="1" w:styleId="802">
    <w:name w:val="下标"/>
    <w:qFormat/>
    <w:uiPriority w:val="0"/>
    <w:rPr>
      <w:rFonts w:ascii="Times New Roman" w:hAnsi="Times New Roman" w:eastAsia="宋体"/>
      <w:spacing w:val="0"/>
      <w:position w:val="-7"/>
      <w:sz w:val="18"/>
    </w:rPr>
  </w:style>
  <w:style w:type="character" w:customStyle="1" w:styleId="803">
    <w:name w:val="上标"/>
    <w:qFormat/>
    <w:uiPriority w:val="0"/>
    <w:rPr>
      <w:spacing w:val="0"/>
      <w:position w:val="7"/>
      <w:sz w:val="21"/>
    </w:rPr>
  </w:style>
  <w:style w:type="paragraph" w:customStyle="1" w:styleId="804">
    <w:name w:val="表格c"/>
    <w:basedOn w:val="1"/>
    <w:next w:val="1"/>
    <w:semiHidden/>
    <w:qFormat/>
    <w:uiPriority w:val="0"/>
    <w:pPr>
      <w:tabs>
        <w:tab w:val="clear" w:pos="480"/>
      </w:tabs>
      <w:spacing w:line="280" w:lineRule="exact"/>
    </w:pPr>
    <w:rPr>
      <w:spacing w:val="-6"/>
      <w:sz w:val="21"/>
    </w:rPr>
  </w:style>
  <w:style w:type="paragraph" w:customStyle="1" w:styleId="805">
    <w:name w:val="表格3"/>
    <w:basedOn w:val="1"/>
    <w:next w:val="1"/>
    <w:semiHidden/>
    <w:qFormat/>
    <w:uiPriority w:val="0"/>
    <w:pPr>
      <w:tabs>
        <w:tab w:val="clear" w:pos="480"/>
      </w:tabs>
      <w:adjustRightInd w:val="0"/>
      <w:spacing w:line="240" w:lineRule="auto"/>
      <w:jc w:val="center"/>
      <w:textAlignment w:val="baseline"/>
    </w:pPr>
    <w:rPr>
      <w:kern w:val="0"/>
      <w:szCs w:val="20"/>
    </w:rPr>
  </w:style>
  <w:style w:type="paragraph" w:customStyle="1" w:styleId="806">
    <w:name w:val="程序"/>
    <w:basedOn w:val="1"/>
    <w:qFormat/>
    <w:uiPriority w:val="0"/>
    <w:pPr>
      <w:tabs>
        <w:tab w:val="clear" w:pos="480"/>
      </w:tabs>
      <w:adjustRightInd w:val="0"/>
      <w:spacing w:line="240" w:lineRule="atLeast"/>
      <w:ind w:firstLine="601"/>
      <w:textAlignment w:val="baseline"/>
    </w:pPr>
    <w:rPr>
      <w:rFonts w:ascii="Courier New" w:hAnsi="Courier New"/>
      <w:spacing w:val="10"/>
      <w:kern w:val="0"/>
      <w:szCs w:val="20"/>
    </w:rPr>
  </w:style>
  <w:style w:type="paragraph" w:customStyle="1" w:styleId="807">
    <w:name w:val="普通2"/>
    <w:basedOn w:val="45"/>
    <w:qFormat/>
    <w:uiPriority w:val="0"/>
    <w:pPr>
      <w:jc w:val="center"/>
    </w:pPr>
    <w:rPr>
      <w:rFonts w:ascii="Times New Roman" w:hAnsi="Times New Roman"/>
      <w:snapToGrid w:val="0"/>
      <w:color w:val="000000"/>
      <w:kern w:val="0"/>
      <w:szCs w:val="24"/>
    </w:rPr>
  </w:style>
  <w:style w:type="character" w:customStyle="1" w:styleId="808">
    <w:name w:val="沥青正文 Char"/>
    <w:qFormat/>
    <w:uiPriority w:val="0"/>
    <w:rPr>
      <w:rFonts w:eastAsia="宋体"/>
      <w:kern w:val="2"/>
      <w:sz w:val="24"/>
      <w:szCs w:val="24"/>
      <w:lang w:val="en-US" w:eastAsia="zh-CN" w:bidi="ar-SA"/>
    </w:rPr>
  </w:style>
  <w:style w:type="paragraph" w:customStyle="1" w:styleId="809">
    <w:name w:val="沥青表"/>
    <w:basedOn w:val="1"/>
    <w:qFormat/>
    <w:uiPriority w:val="0"/>
    <w:pPr>
      <w:tabs>
        <w:tab w:val="clear" w:pos="480"/>
      </w:tabs>
      <w:adjustRightInd w:val="0"/>
      <w:spacing w:line="0" w:lineRule="atLeast"/>
      <w:jc w:val="center"/>
      <w:textAlignment w:val="baseline"/>
    </w:pPr>
    <w:rPr>
      <w:bCs/>
      <w:spacing w:val="10"/>
      <w:kern w:val="0"/>
      <w:sz w:val="21"/>
      <w:szCs w:val="21"/>
    </w:rPr>
  </w:style>
  <w:style w:type="paragraph" w:customStyle="1" w:styleId="810">
    <w:name w:val="表题注"/>
    <w:basedOn w:val="809"/>
    <w:qFormat/>
    <w:uiPriority w:val="0"/>
    <w:pPr>
      <w:spacing w:beforeLines="30"/>
    </w:pPr>
    <w:rPr>
      <w:bCs w:val="0"/>
    </w:rPr>
  </w:style>
  <w:style w:type="paragraph" w:customStyle="1" w:styleId="811">
    <w:name w:val="题注2"/>
    <w:basedOn w:val="22"/>
    <w:next w:val="810"/>
    <w:qFormat/>
    <w:uiPriority w:val="0"/>
    <w:pPr>
      <w:widowControl w:val="0"/>
      <w:adjustRightInd/>
      <w:snapToGrid/>
      <w:spacing w:before="0" w:after="0" w:line="324" w:lineRule="auto"/>
      <w:ind w:firstLine="400"/>
      <w:jc w:val="both"/>
    </w:pPr>
    <w:rPr>
      <w:rFonts w:cs="Times New Roman"/>
      <w:color w:val="auto"/>
      <w:kern w:val="0"/>
      <w:sz w:val="21"/>
    </w:rPr>
  </w:style>
  <w:style w:type="paragraph" w:customStyle="1" w:styleId="812">
    <w:name w:val="表中文字"/>
    <w:basedOn w:val="1"/>
    <w:link w:val="3457"/>
    <w:qFormat/>
    <w:uiPriority w:val="0"/>
    <w:pPr>
      <w:tabs>
        <w:tab w:val="clear" w:pos="480"/>
      </w:tabs>
      <w:spacing w:line="240" w:lineRule="auto"/>
      <w:jc w:val="center"/>
    </w:pPr>
    <w:rPr>
      <w:sz w:val="21"/>
    </w:rPr>
  </w:style>
  <w:style w:type="character" w:customStyle="1" w:styleId="813">
    <w:name w:val="沥青表 Char"/>
    <w:qFormat/>
    <w:uiPriority w:val="0"/>
    <w:rPr>
      <w:rFonts w:eastAsia="宋体"/>
      <w:bCs/>
      <w:spacing w:val="10"/>
      <w:sz w:val="21"/>
      <w:szCs w:val="21"/>
      <w:lang w:val="en-US" w:eastAsia="zh-CN" w:bidi="ar-SA"/>
    </w:rPr>
  </w:style>
  <w:style w:type="paragraph" w:customStyle="1" w:styleId="814">
    <w:name w:val="钢铁表"/>
    <w:basedOn w:val="1"/>
    <w:qFormat/>
    <w:uiPriority w:val="0"/>
    <w:pPr>
      <w:tabs>
        <w:tab w:val="clear" w:pos="480"/>
      </w:tabs>
      <w:adjustRightInd w:val="0"/>
      <w:snapToGrid w:val="0"/>
      <w:spacing w:line="240" w:lineRule="auto"/>
    </w:pPr>
    <w:rPr>
      <w:snapToGrid w:val="0"/>
      <w:sz w:val="21"/>
    </w:rPr>
  </w:style>
  <w:style w:type="paragraph" w:customStyle="1" w:styleId="815">
    <w:name w:val="湛宝表格"/>
    <w:basedOn w:val="1"/>
    <w:qFormat/>
    <w:uiPriority w:val="0"/>
    <w:pPr>
      <w:tabs>
        <w:tab w:val="clear" w:pos="480"/>
      </w:tabs>
      <w:adjustRightInd w:val="0"/>
      <w:spacing w:line="240" w:lineRule="auto"/>
      <w:jc w:val="center"/>
      <w:textAlignment w:val="baseline"/>
    </w:pPr>
    <w:rPr>
      <w:rFonts w:eastAsia="Times New Roman"/>
      <w:spacing w:val="10"/>
      <w:kern w:val="0"/>
      <w:sz w:val="21"/>
      <w:szCs w:val="20"/>
    </w:rPr>
  </w:style>
  <w:style w:type="paragraph" w:customStyle="1" w:styleId="816">
    <w:name w:val="表格文字居中"/>
    <w:basedOn w:val="1"/>
    <w:semiHidden/>
    <w:qFormat/>
    <w:uiPriority w:val="0"/>
    <w:pPr>
      <w:tabs>
        <w:tab w:val="clear" w:pos="480"/>
      </w:tabs>
      <w:adjustRightInd w:val="0"/>
      <w:snapToGrid w:val="0"/>
      <w:spacing w:line="240" w:lineRule="auto"/>
      <w:jc w:val="center"/>
    </w:pPr>
    <w:rPr>
      <w:rFonts w:ascii="宋体" w:hAnsi="宋体"/>
      <w:color w:val="000000"/>
      <w:sz w:val="21"/>
      <w:szCs w:val="21"/>
    </w:rPr>
  </w:style>
  <w:style w:type="paragraph" w:customStyle="1" w:styleId="817">
    <w:name w:val="扉页表"/>
    <w:basedOn w:val="1"/>
    <w:qFormat/>
    <w:uiPriority w:val="0"/>
    <w:pPr>
      <w:tabs>
        <w:tab w:val="clear" w:pos="480"/>
      </w:tabs>
      <w:autoSpaceDE w:val="0"/>
      <w:autoSpaceDN w:val="0"/>
      <w:adjustRightInd w:val="0"/>
      <w:jc w:val="center"/>
      <w:textAlignment w:val="baseline"/>
    </w:pPr>
    <w:rPr>
      <w:rFonts w:ascii="宋体" w:hAnsi="宋体"/>
      <w:kern w:val="24"/>
      <w:position w:val="-28"/>
      <w:sz w:val="28"/>
      <w:szCs w:val="20"/>
    </w:rPr>
  </w:style>
  <w:style w:type="paragraph" w:customStyle="1" w:styleId="818">
    <w:name w:val="标题5"/>
    <w:basedOn w:val="1"/>
    <w:next w:val="1"/>
    <w:qFormat/>
    <w:uiPriority w:val="0"/>
    <w:pPr>
      <w:tabs>
        <w:tab w:val="clear" w:pos="480"/>
      </w:tabs>
      <w:ind w:firstLine="567"/>
      <w:outlineLvl w:val="4"/>
    </w:pPr>
    <w:rPr>
      <w:rFonts w:ascii="宋体"/>
      <w:sz w:val="28"/>
      <w:szCs w:val="28"/>
    </w:rPr>
  </w:style>
  <w:style w:type="paragraph" w:customStyle="1" w:styleId="819">
    <w:name w:val="表中居中文字"/>
    <w:basedOn w:val="1"/>
    <w:qFormat/>
    <w:uiPriority w:val="0"/>
    <w:pPr>
      <w:keepNext/>
      <w:widowControl/>
      <w:tabs>
        <w:tab w:val="clear" w:pos="480"/>
      </w:tabs>
      <w:jc w:val="center"/>
    </w:pPr>
    <w:rPr>
      <w:rFonts w:ascii="宋体" w:hAnsi="宋体" w:cs="Arial"/>
      <w:szCs w:val="18"/>
    </w:rPr>
  </w:style>
  <w:style w:type="paragraph" w:customStyle="1" w:styleId="820">
    <w:name w:val="表格文字左"/>
    <w:basedOn w:val="819"/>
    <w:semiHidden/>
    <w:qFormat/>
    <w:uiPriority w:val="0"/>
    <w:pPr>
      <w:ind w:firstLine="180" w:firstLineChars="75"/>
      <w:jc w:val="left"/>
    </w:pPr>
  </w:style>
  <w:style w:type="paragraph" w:customStyle="1" w:styleId="821">
    <w:name w:val="佛山正文"/>
    <w:basedOn w:val="1"/>
    <w:qFormat/>
    <w:uiPriority w:val="0"/>
    <w:pPr>
      <w:tabs>
        <w:tab w:val="clear" w:pos="480"/>
      </w:tabs>
      <w:spacing w:line="400" w:lineRule="exact"/>
    </w:pPr>
  </w:style>
  <w:style w:type="paragraph" w:customStyle="1" w:styleId="822">
    <w:name w:val="样式qqq"/>
    <w:basedOn w:val="1"/>
    <w:qFormat/>
    <w:uiPriority w:val="0"/>
    <w:pPr>
      <w:tabs>
        <w:tab w:val="clear" w:pos="480"/>
      </w:tabs>
    </w:pPr>
    <w:rPr>
      <w:sz w:val="21"/>
    </w:rPr>
  </w:style>
  <w:style w:type="paragraph" w:customStyle="1" w:styleId="823">
    <w:name w:val="样式 表格1 + 段前: 4.65 磅"/>
    <w:basedOn w:val="175"/>
    <w:qFormat/>
    <w:uiPriority w:val="0"/>
    <w:pPr>
      <w:topLinePunct w:val="0"/>
      <w:autoSpaceDE/>
      <w:autoSpaceDN/>
      <w:spacing w:line="360" w:lineRule="exact"/>
    </w:pPr>
    <w:rPr>
      <w:rFonts w:ascii="CG Times (W1)" w:hAnsi="CG Times (W1)" w:cs="宋体"/>
      <w:kern w:val="0"/>
      <w:sz w:val="24"/>
    </w:rPr>
  </w:style>
  <w:style w:type="paragraph" w:customStyle="1" w:styleId="824">
    <w:name w:val="风险评价正文"/>
    <w:basedOn w:val="1"/>
    <w:qFormat/>
    <w:uiPriority w:val="0"/>
    <w:pPr>
      <w:tabs>
        <w:tab w:val="clear" w:pos="480"/>
      </w:tabs>
      <w:spacing w:line="324" w:lineRule="auto"/>
      <w:ind w:firstLine="512"/>
    </w:pPr>
    <w:rPr>
      <w:color w:val="0000FF"/>
      <w:spacing w:val="8"/>
    </w:rPr>
  </w:style>
  <w:style w:type="paragraph" w:customStyle="1" w:styleId="825">
    <w:name w:val="正文6"/>
    <w:semiHidden/>
    <w:qFormat/>
    <w:uiPriority w:val="0"/>
    <w:pPr>
      <w:widowControl w:val="0"/>
      <w:adjustRightInd w:val="0"/>
      <w:spacing w:line="360" w:lineRule="atLeast"/>
      <w:ind w:firstLine="200" w:firstLineChars="200"/>
      <w:jc w:val="both"/>
      <w:textAlignment w:val="baseline"/>
    </w:pPr>
    <w:rPr>
      <w:rFonts w:ascii="宋体" w:hAnsi="Times New Roman" w:eastAsia="宋体" w:cs="Times New Roman"/>
      <w:kern w:val="2"/>
      <w:sz w:val="34"/>
      <w:szCs w:val="24"/>
      <w:lang w:val="en-US" w:eastAsia="zh-CN" w:bidi="ar-SA"/>
    </w:rPr>
  </w:style>
  <w:style w:type="paragraph" w:customStyle="1" w:styleId="826">
    <w:name w:val="Char2 Char Char Char Char Char Char"/>
    <w:basedOn w:val="1"/>
    <w:semiHidden/>
    <w:qFormat/>
    <w:uiPriority w:val="0"/>
    <w:pPr>
      <w:tabs>
        <w:tab w:val="clear" w:pos="480"/>
      </w:tabs>
      <w:spacing w:line="240" w:lineRule="auto"/>
    </w:pPr>
    <w:rPr>
      <w:sz w:val="21"/>
    </w:rPr>
  </w:style>
  <w:style w:type="character" w:customStyle="1" w:styleId="827">
    <w:name w:val="表标题 Char"/>
    <w:semiHidden/>
    <w:qFormat/>
    <w:uiPriority w:val="0"/>
    <w:rPr>
      <w:rFonts w:ascii="Times New Roman" w:hAnsi="Times New Roman" w:eastAsia="宋体" w:cs="Times New Roman"/>
      <w:b/>
      <w:snapToGrid w:val="0"/>
      <w:kern w:val="0"/>
      <w:sz w:val="24"/>
      <w:szCs w:val="20"/>
    </w:rPr>
  </w:style>
  <w:style w:type="paragraph" w:customStyle="1" w:styleId="828">
    <w:name w:val="南洋码头正文"/>
    <w:basedOn w:val="1"/>
    <w:qFormat/>
    <w:uiPriority w:val="0"/>
    <w:pPr>
      <w:tabs>
        <w:tab w:val="clear" w:pos="480"/>
      </w:tabs>
      <w:spacing w:line="324" w:lineRule="auto"/>
      <w:ind w:right="-50" w:rightChars="-50" w:firstLine="225" w:firstLineChars="225"/>
    </w:pPr>
    <w:rPr>
      <w:rFonts w:ascii="Times" w:hAnsi="Times"/>
      <w:color w:val="000000"/>
      <w:kern w:val="0"/>
      <w:szCs w:val="20"/>
    </w:rPr>
  </w:style>
  <w:style w:type="paragraph" w:customStyle="1" w:styleId="829">
    <w:name w:val="内容"/>
    <w:basedOn w:val="1"/>
    <w:link w:val="1322"/>
    <w:semiHidden/>
    <w:qFormat/>
    <w:uiPriority w:val="0"/>
    <w:pPr>
      <w:tabs>
        <w:tab w:val="clear" w:pos="480"/>
      </w:tabs>
      <w:adjustRightInd w:val="0"/>
      <w:snapToGrid w:val="0"/>
      <w:ind w:right="-2" w:firstLine="480"/>
    </w:pPr>
    <w:rPr>
      <w:rFonts w:ascii="Arial" w:hAnsi="Arial"/>
      <w:bCs/>
      <w:color w:val="000000"/>
      <w:kern w:val="0"/>
      <w:lang w:val="zh-CN"/>
    </w:rPr>
  </w:style>
  <w:style w:type="paragraph" w:customStyle="1" w:styleId="830">
    <w:name w:val="缩进正文"/>
    <w:basedOn w:val="35"/>
    <w:qFormat/>
    <w:uiPriority w:val="0"/>
    <w:pPr>
      <w:tabs>
        <w:tab w:val="clear" w:pos="480"/>
      </w:tabs>
      <w:adjustRightInd w:val="0"/>
      <w:snapToGrid w:val="0"/>
      <w:spacing w:line="300" w:lineRule="auto"/>
      <w:ind w:firstLine="200" w:firstLineChars="0"/>
    </w:pPr>
    <w:rPr>
      <w:rFonts w:ascii="宋体"/>
      <w:kern w:val="0"/>
      <w:sz w:val="28"/>
      <w:szCs w:val="20"/>
    </w:rPr>
  </w:style>
  <w:style w:type="paragraph" w:customStyle="1" w:styleId="831">
    <w:name w:val="正文文字（首行缩进2字）"/>
    <w:basedOn w:val="1"/>
    <w:semiHidden/>
    <w:qFormat/>
    <w:uiPriority w:val="0"/>
    <w:pPr>
      <w:tabs>
        <w:tab w:val="clear" w:pos="480"/>
      </w:tabs>
      <w:ind w:left="140" w:leftChars="50" w:right="140" w:rightChars="50" w:firstLine="560"/>
    </w:pPr>
    <w:rPr>
      <w:rFonts w:ascii="Arial" w:hAnsi="Arial" w:eastAsia="仿宋_GB2312"/>
      <w:position w:val="-30"/>
      <w:sz w:val="28"/>
    </w:rPr>
  </w:style>
  <w:style w:type="paragraph" w:customStyle="1" w:styleId="832">
    <w:name w:val="表格内部"/>
    <w:basedOn w:val="1"/>
    <w:semiHidden/>
    <w:qFormat/>
    <w:uiPriority w:val="0"/>
    <w:pPr>
      <w:tabs>
        <w:tab w:val="clear" w:pos="480"/>
      </w:tabs>
      <w:adjustRightInd w:val="0"/>
      <w:snapToGrid w:val="0"/>
      <w:spacing w:line="300" w:lineRule="auto"/>
      <w:jc w:val="center"/>
    </w:pPr>
    <w:rPr>
      <w:rFonts w:ascii="Arial" w:hAnsi="Arial" w:eastAsia="仿宋_GB2312"/>
      <w:sz w:val="21"/>
    </w:rPr>
  </w:style>
  <w:style w:type="paragraph" w:customStyle="1" w:styleId="833">
    <w:name w:val="shsj"/>
    <w:basedOn w:val="1"/>
    <w:semiHidden/>
    <w:qFormat/>
    <w:uiPriority w:val="0"/>
    <w:pPr>
      <w:tabs>
        <w:tab w:val="clear" w:pos="480"/>
      </w:tabs>
      <w:spacing w:line="480" w:lineRule="exact"/>
      <w:ind w:firstLine="567"/>
    </w:pPr>
    <w:rPr>
      <w:sz w:val="28"/>
      <w:szCs w:val="20"/>
    </w:rPr>
  </w:style>
  <w:style w:type="paragraph" w:customStyle="1" w:styleId="834">
    <w:name w:val="xxq"/>
    <w:basedOn w:val="21"/>
    <w:semiHidden/>
    <w:qFormat/>
    <w:uiPriority w:val="0"/>
    <w:pPr>
      <w:tabs>
        <w:tab w:val="clear" w:pos="480"/>
      </w:tabs>
      <w:adjustRightInd w:val="0"/>
      <w:snapToGrid w:val="0"/>
      <w:spacing w:beforeLines="50"/>
      <w:ind w:firstLine="424"/>
    </w:pPr>
    <w:rPr>
      <w:rFonts w:hAnsi="宋体"/>
      <w:snapToGrid w:val="0"/>
      <w:kern w:val="0"/>
    </w:rPr>
  </w:style>
  <w:style w:type="paragraph" w:customStyle="1" w:styleId="835">
    <w:name w:val="È±Ê¡ÎÄ±¾"/>
    <w:basedOn w:val="1"/>
    <w:semiHidden/>
    <w:qFormat/>
    <w:uiPriority w:val="0"/>
    <w:pPr>
      <w:widowControl/>
      <w:tabs>
        <w:tab w:val="clear" w:pos="480"/>
      </w:tabs>
      <w:overflowPunct w:val="0"/>
      <w:autoSpaceDE w:val="0"/>
      <w:autoSpaceDN w:val="0"/>
      <w:adjustRightInd w:val="0"/>
      <w:jc w:val="left"/>
      <w:textAlignment w:val="baseline"/>
    </w:pPr>
    <w:rPr>
      <w:rFonts w:ascii="宋体" w:hAnsi="宋体" w:cs="宋体"/>
      <w:kern w:val="0"/>
    </w:rPr>
  </w:style>
  <w:style w:type="paragraph" w:customStyle="1" w:styleId="836">
    <w:name w:val="Char Char Char1 Char Char Char Char Char Char Char Char Char Char Char Char Char"/>
    <w:basedOn w:val="6"/>
    <w:semiHidden/>
    <w:qFormat/>
    <w:uiPriority w:val="0"/>
    <w:pPr>
      <w:widowControl/>
      <w:numPr>
        <w:ilvl w:val="0"/>
        <w:numId w:val="0"/>
      </w:numPr>
      <w:tabs>
        <w:tab w:val="clear" w:pos="480"/>
      </w:tabs>
      <w:spacing w:before="120" w:after="120"/>
      <w:jc w:val="left"/>
    </w:pPr>
    <w:rPr>
      <w:rFonts w:ascii="Times New Roman" w:hAnsi="Times New Roman"/>
      <w:b w:val="0"/>
      <w:bCs w:val="0"/>
      <w:kern w:val="0"/>
    </w:rPr>
  </w:style>
  <w:style w:type="paragraph" w:customStyle="1" w:styleId="837">
    <w:name w:val="样式 标题 2 + 宋体 居中"/>
    <w:basedOn w:val="1"/>
    <w:qFormat/>
    <w:uiPriority w:val="0"/>
    <w:pPr>
      <w:numPr>
        <w:ilvl w:val="1"/>
        <w:numId w:val="17"/>
      </w:numPr>
      <w:tabs>
        <w:tab w:val="clear" w:pos="480"/>
      </w:tabs>
      <w:spacing w:line="240" w:lineRule="auto"/>
    </w:pPr>
    <w:rPr>
      <w:sz w:val="21"/>
      <w:szCs w:val="21"/>
    </w:rPr>
  </w:style>
  <w:style w:type="paragraph" w:customStyle="1" w:styleId="838">
    <w:name w:val="样式 标题 3 + 段后: 0 磅 行距: 1.5 倍行距1"/>
    <w:basedOn w:val="1"/>
    <w:qFormat/>
    <w:uiPriority w:val="0"/>
    <w:pPr>
      <w:tabs>
        <w:tab w:val="left" w:pos="709"/>
        <w:tab w:val="clear" w:pos="480"/>
      </w:tabs>
      <w:spacing w:line="240" w:lineRule="auto"/>
      <w:ind w:left="709" w:hanging="709"/>
    </w:pPr>
    <w:rPr>
      <w:szCs w:val="21"/>
    </w:rPr>
  </w:style>
  <w:style w:type="paragraph" w:customStyle="1" w:styleId="839">
    <w:name w:val="标题 1 宋体 三号 Char Char"/>
    <w:basedOn w:val="3"/>
    <w:semiHidden/>
    <w:qFormat/>
    <w:uiPriority w:val="0"/>
    <w:pPr>
      <w:numPr>
        <w:numId w:val="17"/>
      </w:numPr>
      <w:tabs>
        <w:tab w:val="left" w:pos="425"/>
        <w:tab w:val="clear" w:pos="480"/>
      </w:tabs>
      <w:spacing w:beforeLines="50" w:afterLines="50"/>
      <w:jc w:val="center"/>
    </w:pPr>
    <w:rPr>
      <w:rFonts w:ascii="宋体" w:hAnsi="宋体" w:eastAsia="宋体"/>
      <w:sz w:val="32"/>
    </w:rPr>
  </w:style>
  <w:style w:type="paragraph" w:customStyle="1" w:styleId="840">
    <w:name w:val="样式 标题 4 + (符号) 宋体 小四 非加粗 两端对齐 Char Char Char"/>
    <w:basedOn w:val="1"/>
    <w:qFormat/>
    <w:uiPriority w:val="0"/>
    <w:pPr>
      <w:tabs>
        <w:tab w:val="left" w:pos="425"/>
        <w:tab w:val="clear" w:pos="480"/>
      </w:tabs>
      <w:spacing w:line="240" w:lineRule="auto"/>
      <w:ind w:left="360" w:hanging="360"/>
    </w:pPr>
    <w:rPr>
      <w:sz w:val="21"/>
      <w:szCs w:val="21"/>
    </w:rPr>
  </w:style>
  <w:style w:type="paragraph" w:customStyle="1" w:styleId="841">
    <w:name w:val="样式 标题 4 + (符号) 宋体 小四 非加粗 两端对齐"/>
    <w:basedOn w:val="1"/>
    <w:qFormat/>
    <w:uiPriority w:val="0"/>
    <w:pPr>
      <w:tabs>
        <w:tab w:val="left" w:pos="425"/>
        <w:tab w:val="clear" w:pos="480"/>
      </w:tabs>
      <w:spacing w:line="240" w:lineRule="auto"/>
      <w:ind w:left="360" w:hanging="360"/>
    </w:pPr>
    <w:rPr>
      <w:sz w:val="21"/>
      <w:szCs w:val="21"/>
    </w:rPr>
  </w:style>
  <w:style w:type="paragraph" w:customStyle="1" w:styleId="842">
    <w:name w:val="标题 1 宋体 三号"/>
    <w:basedOn w:val="3"/>
    <w:semiHidden/>
    <w:qFormat/>
    <w:uiPriority w:val="0"/>
    <w:pPr>
      <w:numPr>
        <w:numId w:val="0"/>
      </w:numPr>
      <w:tabs>
        <w:tab w:val="left" w:pos="425"/>
        <w:tab w:val="clear" w:pos="480"/>
      </w:tabs>
      <w:spacing w:beforeLines="50" w:afterLines="50"/>
      <w:ind w:left="425" w:hanging="425"/>
      <w:jc w:val="center"/>
    </w:pPr>
    <w:rPr>
      <w:rFonts w:ascii="宋体" w:hAnsi="宋体" w:eastAsia="宋体"/>
      <w:sz w:val="32"/>
    </w:rPr>
  </w:style>
  <w:style w:type="paragraph" w:customStyle="1" w:styleId="843">
    <w:name w:val="样式 标题 4 + (符号) 宋体 小四 非加粗 两端对齐 Char"/>
    <w:basedOn w:val="1"/>
    <w:qFormat/>
    <w:uiPriority w:val="0"/>
    <w:pPr>
      <w:tabs>
        <w:tab w:val="left" w:pos="425"/>
        <w:tab w:val="clear" w:pos="480"/>
      </w:tabs>
      <w:spacing w:line="240" w:lineRule="auto"/>
      <w:ind w:left="360" w:hanging="360"/>
    </w:pPr>
    <w:rPr>
      <w:sz w:val="21"/>
      <w:szCs w:val="21"/>
    </w:rPr>
  </w:style>
  <w:style w:type="paragraph" w:customStyle="1" w:styleId="844">
    <w:name w:val="标题 1 宋体 三号 Char"/>
    <w:basedOn w:val="3"/>
    <w:semiHidden/>
    <w:qFormat/>
    <w:uiPriority w:val="0"/>
    <w:pPr>
      <w:numPr>
        <w:numId w:val="0"/>
      </w:numPr>
      <w:tabs>
        <w:tab w:val="left" w:pos="425"/>
        <w:tab w:val="clear" w:pos="480"/>
      </w:tabs>
      <w:spacing w:beforeLines="50" w:afterLines="50"/>
      <w:ind w:left="425" w:hanging="425"/>
      <w:jc w:val="center"/>
    </w:pPr>
    <w:rPr>
      <w:rFonts w:ascii="宋体" w:hAnsi="宋体" w:eastAsia="宋体"/>
      <w:sz w:val="32"/>
    </w:rPr>
  </w:style>
  <w:style w:type="paragraph" w:customStyle="1" w:styleId="845">
    <w:name w:val="Achievement"/>
    <w:basedOn w:val="34"/>
    <w:semiHidden/>
    <w:qFormat/>
    <w:uiPriority w:val="0"/>
    <w:pPr>
      <w:widowControl/>
      <w:spacing w:after="60" w:line="220" w:lineRule="atLeast"/>
      <w:ind w:left="245" w:right="-360" w:hanging="245"/>
      <w:jc w:val="left"/>
    </w:pPr>
    <w:rPr>
      <w:rFonts w:ascii="Times New Roman" w:hAnsi="Times New Roman"/>
      <w:kern w:val="0"/>
      <w:sz w:val="20"/>
    </w:rPr>
  </w:style>
  <w:style w:type="paragraph" w:customStyle="1" w:styleId="846">
    <w:name w:val="正文－ST4"/>
    <w:basedOn w:val="1"/>
    <w:qFormat/>
    <w:uiPriority w:val="0"/>
    <w:pPr>
      <w:tabs>
        <w:tab w:val="clear" w:pos="480"/>
      </w:tabs>
      <w:adjustRightInd w:val="0"/>
      <w:snapToGrid w:val="0"/>
      <w:ind w:left="240" w:leftChars="100" w:right="-57" w:firstLine="480"/>
    </w:pPr>
    <w:rPr>
      <w:kern w:val="0"/>
    </w:rPr>
  </w:style>
  <w:style w:type="paragraph" w:customStyle="1" w:styleId="847">
    <w:name w:val="一级列表"/>
    <w:basedOn w:val="1"/>
    <w:qFormat/>
    <w:uiPriority w:val="0"/>
    <w:pPr>
      <w:tabs>
        <w:tab w:val="left" w:pos="420"/>
        <w:tab w:val="clear" w:pos="480"/>
      </w:tabs>
      <w:ind w:left="420" w:hanging="420"/>
    </w:pPr>
    <w:rPr>
      <w:szCs w:val="20"/>
    </w:rPr>
  </w:style>
  <w:style w:type="paragraph" w:customStyle="1" w:styleId="848">
    <w:name w:val="Char Char2 Char Char Char Char Char Char Char Char Char Char Char Char Char Char Char Char Char Char Char Char Char Char Char"/>
    <w:basedOn w:val="1"/>
    <w:semiHidden/>
    <w:qFormat/>
    <w:uiPriority w:val="0"/>
    <w:pPr>
      <w:tabs>
        <w:tab w:val="clear" w:pos="480"/>
      </w:tabs>
      <w:spacing w:line="240" w:lineRule="auto"/>
    </w:pPr>
    <w:rPr>
      <w:sz w:val="21"/>
      <w:szCs w:val="21"/>
    </w:rPr>
  </w:style>
  <w:style w:type="paragraph" w:customStyle="1" w:styleId="849">
    <w:name w:val="缺省文本"/>
    <w:basedOn w:val="1"/>
    <w:qFormat/>
    <w:uiPriority w:val="0"/>
    <w:pPr>
      <w:tabs>
        <w:tab w:val="clear" w:pos="480"/>
      </w:tabs>
      <w:autoSpaceDE w:val="0"/>
      <w:autoSpaceDN w:val="0"/>
      <w:adjustRightInd w:val="0"/>
      <w:spacing w:line="240" w:lineRule="auto"/>
      <w:jc w:val="left"/>
    </w:pPr>
    <w:rPr>
      <w:kern w:val="0"/>
    </w:rPr>
  </w:style>
  <w:style w:type="paragraph" w:customStyle="1" w:styleId="850">
    <w:name w:val="样式12"/>
    <w:basedOn w:val="3"/>
    <w:qFormat/>
    <w:uiPriority w:val="0"/>
    <w:pPr>
      <w:keepLines w:val="0"/>
      <w:numPr>
        <w:numId w:val="0"/>
      </w:numPr>
      <w:tabs>
        <w:tab w:val="left" w:pos="495"/>
        <w:tab w:val="clear" w:pos="480"/>
      </w:tabs>
      <w:spacing w:beforeLines="50" w:afterLines="50" w:line="240" w:lineRule="auto"/>
      <w:ind w:left="495" w:hanging="375"/>
    </w:pPr>
    <w:rPr>
      <w:rFonts w:ascii="黑体" w:eastAsia="黑体"/>
      <w:bCs w:val="0"/>
      <w:kern w:val="2"/>
      <w:sz w:val="28"/>
      <w:szCs w:val="28"/>
    </w:rPr>
  </w:style>
  <w:style w:type="paragraph" w:customStyle="1" w:styleId="851">
    <w:name w:val="样式 样式 样式12 + 行距: 多倍行距 1.25 字行 + 行距: 1.5 倍行距"/>
    <w:basedOn w:val="1"/>
    <w:qFormat/>
    <w:uiPriority w:val="0"/>
    <w:pPr>
      <w:widowControl/>
      <w:tabs>
        <w:tab w:val="left" w:pos="864"/>
        <w:tab w:val="clear" w:pos="480"/>
      </w:tabs>
      <w:snapToGrid w:val="0"/>
      <w:spacing w:line="480" w:lineRule="auto"/>
      <w:ind w:firstLine="504"/>
      <w:outlineLvl w:val="0"/>
    </w:pPr>
    <w:rPr>
      <w:rFonts w:ascii="黑体" w:eastAsia="黑体"/>
      <w:b/>
      <w:bCs/>
      <w:sz w:val="28"/>
      <w:szCs w:val="28"/>
    </w:rPr>
  </w:style>
  <w:style w:type="character" w:customStyle="1" w:styleId="852">
    <w:name w:val="样式 正文文字缩进 2 + 四号 Char"/>
    <w:qFormat/>
    <w:uiPriority w:val="0"/>
    <w:rPr>
      <w:rFonts w:eastAsia="宋体"/>
      <w:kern w:val="2"/>
      <w:sz w:val="28"/>
      <w:lang w:val="en-US" w:eastAsia="zh-CN" w:bidi="ar-SA"/>
    </w:rPr>
  </w:style>
  <w:style w:type="paragraph" w:customStyle="1" w:styleId="853">
    <w:name w:val="样式6"/>
    <w:basedOn w:val="7"/>
    <w:qFormat/>
    <w:uiPriority w:val="0"/>
    <w:pPr>
      <w:numPr>
        <w:ilvl w:val="0"/>
        <w:numId w:val="0"/>
      </w:numPr>
      <w:tabs>
        <w:tab w:val="clear" w:pos="480"/>
      </w:tabs>
      <w:spacing w:before="280" w:after="290" w:line="300" w:lineRule="auto"/>
    </w:pPr>
    <w:rPr>
      <w:rFonts w:ascii="Times New Roman" w:hAnsi="Times New Roman" w:eastAsia="宋体"/>
      <w:bCs/>
      <w:sz w:val="28"/>
      <w:szCs w:val="28"/>
    </w:rPr>
  </w:style>
  <w:style w:type="character" w:customStyle="1" w:styleId="854">
    <w:name w:val="headline-content"/>
    <w:basedOn w:val="132"/>
    <w:qFormat/>
    <w:uiPriority w:val="0"/>
  </w:style>
  <w:style w:type="paragraph" w:customStyle="1" w:styleId="855">
    <w:name w:val="样式 样式12 + 行距: 多倍行距 1.25 字行"/>
    <w:basedOn w:val="1"/>
    <w:qFormat/>
    <w:uiPriority w:val="0"/>
    <w:pPr>
      <w:keepNext/>
      <w:tabs>
        <w:tab w:val="left" w:pos="425"/>
        <w:tab w:val="clear" w:pos="480"/>
      </w:tabs>
      <w:snapToGrid w:val="0"/>
      <w:spacing w:line="336" w:lineRule="auto"/>
      <w:ind w:left="425" w:hanging="425"/>
      <w:outlineLvl w:val="0"/>
    </w:pPr>
    <w:rPr>
      <w:rFonts w:hint="eastAsia" w:ascii="黑体" w:eastAsia="黑体"/>
      <w:b/>
      <w:bCs/>
      <w:sz w:val="28"/>
      <w:szCs w:val="20"/>
    </w:rPr>
  </w:style>
  <w:style w:type="paragraph" w:customStyle="1" w:styleId="856">
    <w:name w:val="样式 正文文字缩进 2 + 四号"/>
    <w:basedOn w:val="51"/>
    <w:qFormat/>
    <w:uiPriority w:val="0"/>
    <w:pPr>
      <w:spacing w:line="300" w:lineRule="auto"/>
      <w:ind w:left="0" w:firstLine="539" w:firstLineChars="0"/>
    </w:pPr>
    <w:rPr>
      <w:spacing w:val="0"/>
      <w:kern w:val="2"/>
      <w:sz w:val="28"/>
      <w:szCs w:val="20"/>
    </w:rPr>
  </w:style>
  <w:style w:type="paragraph" w:customStyle="1" w:styleId="857">
    <w:name w:val="样式 样式 样式 样式12 + 行距: 多倍行距 1.25 字行 + 行距: 1.5 倍行距 + Times New Roman"/>
    <w:basedOn w:val="851"/>
    <w:qFormat/>
    <w:uiPriority w:val="0"/>
    <w:pPr>
      <w:tabs>
        <w:tab w:val="left" w:pos="425"/>
        <w:tab w:val="clear" w:pos="864"/>
      </w:tabs>
      <w:ind w:left="425" w:hanging="425"/>
    </w:pPr>
    <w:rPr>
      <w:rFonts w:ascii="Times New Roman"/>
    </w:rPr>
  </w:style>
  <w:style w:type="paragraph" w:customStyle="1" w:styleId="858">
    <w:name w:val="样式 样式 样式 样式12 + 行距: 多倍行距 1.25 字行 + 行距: 1.5 倍行距 + 左侧:  0 厘米 首行缩进..."/>
    <w:basedOn w:val="851"/>
    <w:qFormat/>
    <w:uiPriority w:val="0"/>
    <w:pPr>
      <w:tabs>
        <w:tab w:val="left" w:pos="425"/>
        <w:tab w:val="clear" w:pos="864"/>
      </w:tabs>
      <w:spacing w:line="360" w:lineRule="auto"/>
      <w:ind w:firstLine="0"/>
    </w:pPr>
    <w:rPr>
      <w:rFonts w:hint="eastAsia"/>
      <w:szCs w:val="20"/>
    </w:rPr>
  </w:style>
  <w:style w:type="character" w:customStyle="1" w:styleId="859">
    <w:name w:val="样式 三号 加粗"/>
    <w:qFormat/>
    <w:uiPriority w:val="0"/>
    <w:rPr>
      <w:b/>
      <w:bCs/>
      <w:sz w:val="32"/>
    </w:rPr>
  </w:style>
  <w:style w:type="character" w:customStyle="1" w:styleId="860">
    <w:name w:val="正文文字缩进 2 Char"/>
    <w:qFormat/>
    <w:uiPriority w:val="0"/>
    <w:rPr>
      <w:rFonts w:eastAsia="宋体"/>
      <w:kern w:val="2"/>
      <w:sz w:val="21"/>
      <w:lang w:val="en-US" w:eastAsia="zh-CN" w:bidi="ar-SA"/>
    </w:rPr>
  </w:style>
  <w:style w:type="character" w:customStyle="1" w:styleId="861">
    <w:name w:val="样式12 Char"/>
    <w:qFormat/>
    <w:uiPriority w:val="0"/>
    <w:rPr>
      <w:rFonts w:ascii="黑体" w:eastAsia="黑体"/>
      <w:b/>
      <w:bCs/>
      <w:kern w:val="2"/>
      <w:sz w:val="28"/>
      <w:szCs w:val="28"/>
      <w:lang w:val="en-US" w:eastAsia="zh-CN" w:bidi="ar-SA"/>
    </w:rPr>
  </w:style>
  <w:style w:type="character" w:customStyle="1" w:styleId="862">
    <w:name w:val="样式 样式12 + 行距: 多倍行距 1.25 字行 Char"/>
    <w:qFormat/>
    <w:uiPriority w:val="0"/>
    <w:rPr>
      <w:rFonts w:ascii="黑体" w:eastAsia="黑体" w:cs="宋体"/>
      <w:b/>
      <w:bCs/>
      <w:kern w:val="2"/>
      <w:sz w:val="28"/>
      <w:szCs w:val="28"/>
      <w:lang w:val="en-US" w:eastAsia="zh-CN" w:bidi="ar-SA"/>
    </w:rPr>
  </w:style>
  <w:style w:type="character" w:customStyle="1" w:styleId="863">
    <w:name w:val="样式 样式 样式12 + 行距: 多倍行距 1.25 字行 + 行距: 1.5 倍行距 Char"/>
    <w:qFormat/>
    <w:uiPriority w:val="0"/>
    <w:rPr>
      <w:rFonts w:ascii="黑体" w:eastAsia="黑体" w:cs="宋体"/>
      <w:kern w:val="2"/>
      <w:sz w:val="28"/>
      <w:szCs w:val="28"/>
      <w:lang w:val="en-US" w:eastAsia="zh-CN" w:bidi="ar-SA"/>
    </w:rPr>
  </w:style>
  <w:style w:type="character" w:customStyle="1" w:styleId="864">
    <w:name w:val="样式 样式 样式 样式12 + 行距: 多倍行距 1.25 字行 + 行距: 1.5 倍行距 + Times New Roman Char"/>
    <w:qFormat/>
    <w:uiPriority w:val="0"/>
    <w:rPr>
      <w:rFonts w:ascii="黑体" w:eastAsia="黑体" w:cs="宋体"/>
      <w:b/>
      <w:bCs/>
      <w:kern w:val="2"/>
      <w:sz w:val="28"/>
      <w:szCs w:val="28"/>
      <w:lang w:val="en-US" w:eastAsia="zh-CN" w:bidi="ar-SA"/>
    </w:rPr>
  </w:style>
  <w:style w:type="paragraph" w:customStyle="1" w:styleId="865">
    <w:name w:val="样式 标题 2 + 行距: 多倍行距 1.4 字行"/>
    <w:basedOn w:val="4"/>
    <w:qFormat/>
    <w:uiPriority w:val="0"/>
    <w:pPr>
      <w:keepNext w:val="0"/>
      <w:numPr>
        <w:ilvl w:val="0"/>
        <w:numId w:val="0"/>
      </w:numPr>
      <w:tabs>
        <w:tab w:val="clear" w:pos="480"/>
        <w:tab w:val="clear" w:pos="630"/>
      </w:tabs>
      <w:adjustRightInd w:val="0"/>
      <w:snapToGrid w:val="0"/>
      <w:spacing w:before="0" w:beforeAutospacing="1" w:after="100" w:afterAutospacing="1"/>
      <w:ind w:left="100" w:leftChars="85" w:right="100" w:rightChars="104" w:firstLine="113"/>
      <w:jc w:val="center"/>
      <w:textAlignment w:val="baseline"/>
    </w:pPr>
    <w:rPr>
      <w:rFonts w:ascii="宋体" w:hAnsi="宋体"/>
      <w:b w:val="0"/>
      <w:bCs w:val="0"/>
      <w:kern w:val="0"/>
      <w:sz w:val="28"/>
      <w:szCs w:val="20"/>
    </w:rPr>
  </w:style>
  <w:style w:type="paragraph" w:customStyle="1" w:styleId="866">
    <w:name w:val="Table"/>
    <w:basedOn w:val="1"/>
    <w:next w:val="1"/>
    <w:semiHidden/>
    <w:qFormat/>
    <w:uiPriority w:val="0"/>
    <w:pPr>
      <w:widowControl/>
      <w:tabs>
        <w:tab w:val="clear" w:pos="480"/>
      </w:tabs>
      <w:spacing w:line="240" w:lineRule="auto"/>
      <w:jc w:val="center"/>
    </w:pPr>
    <w:rPr>
      <w:kern w:val="0"/>
      <w:sz w:val="20"/>
      <w:szCs w:val="20"/>
      <w:lang w:val="en-GB"/>
    </w:rPr>
  </w:style>
  <w:style w:type="paragraph" w:customStyle="1" w:styleId="867">
    <w:name w:val="条款"/>
    <w:basedOn w:val="1"/>
    <w:next w:val="45"/>
    <w:qFormat/>
    <w:uiPriority w:val="0"/>
    <w:pPr>
      <w:tabs>
        <w:tab w:val="clear" w:pos="480"/>
      </w:tabs>
      <w:spacing w:line="240" w:lineRule="auto"/>
    </w:pPr>
    <w:rPr>
      <w:rFonts w:ascii="宋体" w:hAnsi="Courier New"/>
      <w:sz w:val="28"/>
      <w:szCs w:val="20"/>
    </w:rPr>
  </w:style>
  <w:style w:type="paragraph" w:customStyle="1" w:styleId="868">
    <w:name w:val="正缩进"/>
    <w:basedOn w:val="1"/>
    <w:qFormat/>
    <w:uiPriority w:val="0"/>
    <w:pPr>
      <w:tabs>
        <w:tab w:val="clear" w:pos="480"/>
      </w:tabs>
      <w:ind w:firstLine="454"/>
    </w:pPr>
    <w:rPr>
      <w:szCs w:val="20"/>
    </w:rPr>
  </w:style>
  <w:style w:type="character" w:customStyle="1" w:styleId="869">
    <w:name w:val="信息标题 字符"/>
    <w:link w:val="78"/>
    <w:qFormat/>
    <w:uiPriority w:val="0"/>
    <w:rPr>
      <w:rFonts w:ascii="Arial" w:hAnsi="Arial" w:eastAsia="宋体" w:cs="Arial"/>
      <w:kern w:val="2"/>
      <w:sz w:val="24"/>
      <w:szCs w:val="24"/>
      <w:lang w:val="en-US" w:eastAsia="zh-CN" w:bidi="ar-SA"/>
    </w:rPr>
  </w:style>
  <w:style w:type="paragraph" w:customStyle="1" w:styleId="870">
    <w:name w:val="referenze"/>
    <w:basedOn w:val="21"/>
    <w:semiHidden/>
    <w:qFormat/>
    <w:uiPriority w:val="0"/>
    <w:pPr>
      <w:widowControl/>
      <w:tabs>
        <w:tab w:val="clear" w:pos="480"/>
      </w:tabs>
      <w:spacing w:line="240" w:lineRule="atLeast"/>
      <w:ind w:left="1701" w:right="851" w:hanging="708" w:firstLineChars="0"/>
    </w:pPr>
    <w:rPr>
      <w:rFonts w:ascii="Arial" w:hAnsi="Arial"/>
      <w:kern w:val="0"/>
      <w:sz w:val="22"/>
      <w:szCs w:val="20"/>
      <w:lang w:val="en-GB" w:eastAsia="it-IT"/>
    </w:rPr>
  </w:style>
  <w:style w:type="paragraph" w:customStyle="1" w:styleId="871">
    <w:name w:val="puce"/>
    <w:basedOn w:val="1"/>
    <w:semiHidden/>
    <w:qFormat/>
    <w:uiPriority w:val="0"/>
    <w:pPr>
      <w:widowControl/>
      <w:tabs>
        <w:tab w:val="left" w:pos="840"/>
        <w:tab w:val="left" w:pos="8647"/>
        <w:tab w:val="clear" w:pos="480"/>
      </w:tabs>
      <w:adjustRightInd w:val="0"/>
      <w:snapToGrid w:val="0"/>
      <w:spacing w:after="120" w:line="320" w:lineRule="exact"/>
      <w:ind w:left="851" w:hanging="284"/>
    </w:pPr>
    <w:rPr>
      <w:rFonts w:ascii="宋体" w:hAnsi="宋体"/>
      <w:color w:val="000000"/>
      <w:kern w:val="0"/>
      <w:szCs w:val="20"/>
      <w:lang w:val="fr-FR"/>
    </w:rPr>
  </w:style>
  <w:style w:type="paragraph" w:customStyle="1" w:styleId="872">
    <w:name w:val="样式 首行缩进:  2 字符 段前: 0.5 行"/>
    <w:basedOn w:val="1"/>
    <w:qFormat/>
    <w:uiPriority w:val="0"/>
    <w:pPr>
      <w:keepNext/>
      <w:tabs>
        <w:tab w:val="clear" w:pos="480"/>
      </w:tabs>
      <w:snapToGrid w:val="0"/>
      <w:spacing w:line="300" w:lineRule="auto"/>
    </w:pPr>
    <w:rPr>
      <w:rFonts w:ascii="宋体"/>
      <w:sz w:val="28"/>
      <w:szCs w:val="20"/>
    </w:rPr>
  </w:style>
  <w:style w:type="paragraph" w:customStyle="1" w:styleId="873">
    <w:name w:val="样式 标题 7 + 段前: 0.5 行"/>
    <w:basedOn w:val="9"/>
    <w:qFormat/>
    <w:uiPriority w:val="0"/>
    <w:pPr>
      <w:keepLines w:val="0"/>
      <w:numPr>
        <w:ilvl w:val="0"/>
        <w:numId w:val="0"/>
      </w:numPr>
      <w:tabs>
        <w:tab w:val="left" w:pos="360"/>
        <w:tab w:val="left" w:pos="432"/>
        <w:tab w:val="clear" w:pos="480"/>
      </w:tabs>
      <w:autoSpaceDE/>
      <w:autoSpaceDN/>
      <w:adjustRightInd/>
      <w:snapToGrid w:val="0"/>
      <w:spacing w:before="0" w:after="0" w:line="300" w:lineRule="auto"/>
      <w:jc w:val="center"/>
      <w:textAlignment w:val="auto"/>
    </w:pPr>
    <w:rPr>
      <w:rFonts w:ascii="黑体" w:hAnsi="Times New Roman" w:eastAsia="黑体"/>
      <w:b w:val="0"/>
      <w:kern w:val="2"/>
    </w:rPr>
  </w:style>
  <w:style w:type="paragraph" w:customStyle="1" w:styleId="874">
    <w:name w:val="报告名"/>
    <w:basedOn w:val="1"/>
    <w:semiHidden/>
    <w:qFormat/>
    <w:uiPriority w:val="0"/>
    <w:pPr>
      <w:keepNext/>
      <w:tabs>
        <w:tab w:val="clear" w:pos="480"/>
      </w:tabs>
      <w:adjustRightInd w:val="0"/>
      <w:snapToGrid w:val="0"/>
      <w:spacing w:beforeLines="50" w:line="300" w:lineRule="auto"/>
      <w:ind w:firstLine="5" w:firstLineChars="2"/>
      <w:jc w:val="center"/>
    </w:pPr>
    <w:rPr>
      <w:rFonts w:ascii="文鼎大标宋简" w:eastAsia="文鼎大标宋简"/>
      <w:sz w:val="56"/>
      <w:szCs w:val="20"/>
    </w:rPr>
  </w:style>
  <w:style w:type="paragraph" w:customStyle="1" w:styleId="875">
    <w:name w:val="编制单位"/>
    <w:basedOn w:val="1"/>
    <w:semiHidden/>
    <w:qFormat/>
    <w:uiPriority w:val="0"/>
    <w:pPr>
      <w:keepNext/>
      <w:tabs>
        <w:tab w:val="clear" w:pos="480"/>
      </w:tabs>
      <w:snapToGrid w:val="0"/>
      <w:spacing w:beforeLines="50" w:line="300" w:lineRule="auto"/>
      <w:jc w:val="center"/>
    </w:pPr>
    <w:rPr>
      <w:rFonts w:ascii="黑体" w:eastAsia="黑体"/>
      <w:sz w:val="32"/>
      <w:szCs w:val="20"/>
    </w:rPr>
  </w:style>
  <w:style w:type="paragraph" w:customStyle="1" w:styleId="876">
    <w:name w:val="编制人员"/>
    <w:basedOn w:val="1"/>
    <w:semiHidden/>
    <w:qFormat/>
    <w:uiPriority w:val="0"/>
    <w:pPr>
      <w:keepNext/>
      <w:tabs>
        <w:tab w:val="clear" w:pos="480"/>
      </w:tabs>
      <w:snapToGrid w:val="0"/>
      <w:spacing w:line="300" w:lineRule="auto"/>
      <w:jc w:val="center"/>
    </w:pPr>
    <w:rPr>
      <w:rFonts w:ascii="黑体" w:eastAsia="黑体"/>
      <w:sz w:val="32"/>
      <w:szCs w:val="20"/>
    </w:rPr>
  </w:style>
  <w:style w:type="paragraph" w:customStyle="1" w:styleId="877">
    <w:name w:val="编制日期"/>
    <w:basedOn w:val="1"/>
    <w:qFormat/>
    <w:uiPriority w:val="0"/>
    <w:pPr>
      <w:keepNext/>
      <w:tabs>
        <w:tab w:val="clear" w:pos="480"/>
      </w:tabs>
      <w:snapToGrid w:val="0"/>
      <w:spacing w:line="300" w:lineRule="auto"/>
      <w:jc w:val="center"/>
    </w:pPr>
    <w:rPr>
      <w:rFonts w:ascii="宋体"/>
      <w:sz w:val="32"/>
      <w:szCs w:val="20"/>
    </w:rPr>
  </w:style>
  <w:style w:type="paragraph" w:customStyle="1" w:styleId="878">
    <w:name w:val="专业签署"/>
    <w:basedOn w:val="1"/>
    <w:qFormat/>
    <w:uiPriority w:val="0"/>
    <w:pPr>
      <w:keepNext/>
      <w:tabs>
        <w:tab w:val="clear" w:pos="480"/>
      </w:tabs>
      <w:snapToGrid w:val="0"/>
      <w:spacing w:beforeLines="50" w:after="120" w:line="300" w:lineRule="auto"/>
      <w:jc w:val="center"/>
    </w:pPr>
    <w:rPr>
      <w:rFonts w:ascii="宋体"/>
      <w:sz w:val="32"/>
      <w:szCs w:val="20"/>
    </w:rPr>
  </w:style>
  <w:style w:type="paragraph" w:customStyle="1" w:styleId="879">
    <w:name w:val="表右"/>
    <w:basedOn w:val="1"/>
    <w:qFormat/>
    <w:uiPriority w:val="0"/>
    <w:pPr>
      <w:keepNext/>
      <w:tabs>
        <w:tab w:val="clear" w:pos="480"/>
      </w:tabs>
      <w:spacing w:line="240" w:lineRule="atLeast"/>
      <w:ind w:right="84" w:rightChars="30"/>
      <w:jc w:val="right"/>
    </w:pPr>
    <w:rPr>
      <w:rFonts w:ascii="宋体" w:hAnsi="宋体"/>
      <w:szCs w:val="20"/>
    </w:rPr>
  </w:style>
  <w:style w:type="paragraph" w:customStyle="1" w:styleId="880">
    <w:name w:val="表中"/>
    <w:basedOn w:val="1"/>
    <w:qFormat/>
    <w:uiPriority w:val="0"/>
    <w:pPr>
      <w:keepNext/>
      <w:tabs>
        <w:tab w:val="clear" w:pos="480"/>
      </w:tabs>
      <w:snapToGrid w:val="0"/>
      <w:spacing w:line="200" w:lineRule="atLeast"/>
      <w:jc w:val="center"/>
    </w:pPr>
    <w:rPr>
      <w:rFonts w:ascii="宋体" w:hAnsi="宋体"/>
      <w:szCs w:val="22"/>
    </w:rPr>
  </w:style>
  <w:style w:type="paragraph" w:customStyle="1" w:styleId="881">
    <w:name w:val="建设（委托）单位"/>
    <w:basedOn w:val="1"/>
    <w:qFormat/>
    <w:uiPriority w:val="0"/>
    <w:pPr>
      <w:keepNext/>
      <w:tabs>
        <w:tab w:val="clear" w:pos="480"/>
      </w:tabs>
      <w:snapToGrid w:val="0"/>
      <w:spacing w:line="300" w:lineRule="auto"/>
      <w:jc w:val="center"/>
    </w:pPr>
    <w:rPr>
      <w:rFonts w:ascii="宋体"/>
      <w:sz w:val="32"/>
      <w:szCs w:val="20"/>
    </w:rPr>
  </w:style>
  <w:style w:type="paragraph" w:customStyle="1" w:styleId="882">
    <w:name w:val="密级"/>
    <w:basedOn w:val="1"/>
    <w:qFormat/>
    <w:uiPriority w:val="0"/>
    <w:pPr>
      <w:keepNext/>
      <w:tabs>
        <w:tab w:val="clear" w:pos="480"/>
      </w:tabs>
      <w:snapToGrid w:val="0"/>
      <w:spacing w:line="300" w:lineRule="auto"/>
      <w:jc w:val="left"/>
    </w:pPr>
    <w:rPr>
      <w:rFonts w:ascii="宋体"/>
      <w:sz w:val="28"/>
      <w:szCs w:val="20"/>
    </w:rPr>
  </w:style>
  <w:style w:type="paragraph" w:customStyle="1" w:styleId="883">
    <w:name w:val="目次"/>
    <w:basedOn w:val="1"/>
    <w:qFormat/>
    <w:uiPriority w:val="0"/>
    <w:pPr>
      <w:keepNext/>
      <w:tabs>
        <w:tab w:val="clear" w:pos="480"/>
      </w:tabs>
      <w:snapToGrid w:val="0"/>
      <w:spacing w:beforeLines="50" w:line="300" w:lineRule="auto"/>
      <w:ind w:firstLine="1304"/>
      <w:jc w:val="center"/>
    </w:pPr>
    <w:rPr>
      <w:rFonts w:ascii="宋体" w:eastAsia="黑体"/>
      <w:spacing w:val="480"/>
      <w:sz w:val="32"/>
      <w:szCs w:val="20"/>
    </w:rPr>
  </w:style>
  <w:style w:type="paragraph" w:customStyle="1" w:styleId="884">
    <w:name w:val="设计证书编号"/>
    <w:basedOn w:val="1"/>
    <w:qFormat/>
    <w:uiPriority w:val="0"/>
    <w:pPr>
      <w:keepNext/>
      <w:tabs>
        <w:tab w:val="clear" w:pos="480"/>
      </w:tabs>
      <w:snapToGrid w:val="0"/>
      <w:spacing w:line="300" w:lineRule="auto"/>
      <w:jc w:val="center"/>
    </w:pPr>
    <w:rPr>
      <w:rFonts w:ascii="宋体"/>
      <w:sz w:val="32"/>
      <w:szCs w:val="20"/>
    </w:rPr>
  </w:style>
  <w:style w:type="paragraph" w:customStyle="1" w:styleId="885">
    <w:name w:val="项目负责人"/>
    <w:basedOn w:val="1"/>
    <w:qFormat/>
    <w:uiPriority w:val="0"/>
    <w:pPr>
      <w:keepNext/>
      <w:tabs>
        <w:tab w:val="clear" w:pos="480"/>
      </w:tabs>
      <w:snapToGrid w:val="0"/>
      <w:spacing w:beforeLines="50" w:line="300" w:lineRule="auto"/>
      <w:jc w:val="left"/>
    </w:pPr>
    <w:rPr>
      <w:rFonts w:ascii="宋体"/>
      <w:spacing w:val="66"/>
      <w:kern w:val="0"/>
      <w:sz w:val="32"/>
      <w:szCs w:val="20"/>
    </w:rPr>
  </w:style>
  <w:style w:type="paragraph" w:customStyle="1" w:styleId="886">
    <w:name w:val="项目号"/>
    <w:basedOn w:val="1"/>
    <w:qFormat/>
    <w:uiPriority w:val="0"/>
    <w:pPr>
      <w:keepNext/>
      <w:tabs>
        <w:tab w:val="clear" w:pos="480"/>
      </w:tabs>
      <w:snapToGrid w:val="0"/>
      <w:spacing w:beforeLines="50" w:line="300" w:lineRule="auto"/>
      <w:jc w:val="center"/>
    </w:pPr>
    <w:rPr>
      <w:rFonts w:ascii="宋体"/>
      <w:sz w:val="32"/>
      <w:szCs w:val="20"/>
    </w:rPr>
  </w:style>
  <w:style w:type="paragraph" w:customStyle="1" w:styleId="887">
    <w:name w:val="专业名称"/>
    <w:basedOn w:val="1"/>
    <w:qFormat/>
    <w:uiPriority w:val="0"/>
    <w:pPr>
      <w:keepNext/>
      <w:tabs>
        <w:tab w:val="clear" w:pos="480"/>
      </w:tabs>
      <w:snapToGrid w:val="0"/>
      <w:spacing w:beforeLines="50" w:line="300" w:lineRule="auto"/>
      <w:jc w:val="center"/>
    </w:pPr>
    <w:rPr>
      <w:rFonts w:ascii="黑体" w:eastAsia="黑体"/>
      <w:sz w:val="32"/>
      <w:szCs w:val="20"/>
    </w:rPr>
  </w:style>
  <w:style w:type="paragraph" w:customStyle="1" w:styleId="888">
    <w:name w:val="备注"/>
    <w:basedOn w:val="1"/>
    <w:semiHidden/>
    <w:qFormat/>
    <w:uiPriority w:val="0"/>
    <w:pPr>
      <w:keepNext/>
      <w:tabs>
        <w:tab w:val="clear" w:pos="480"/>
      </w:tabs>
      <w:snapToGrid w:val="0"/>
      <w:spacing w:line="240" w:lineRule="atLeast"/>
      <w:ind w:firstLine="480"/>
    </w:pPr>
    <w:rPr>
      <w:rFonts w:ascii="宋体"/>
    </w:rPr>
  </w:style>
  <w:style w:type="paragraph" w:customStyle="1" w:styleId="889">
    <w:name w:val="小表左"/>
    <w:basedOn w:val="1"/>
    <w:qFormat/>
    <w:uiPriority w:val="0"/>
    <w:pPr>
      <w:keepNext/>
      <w:tabs>
        <w:tab w:val="clear" w:pos="480"/>
      </w:tabs>
      <w:adjustRightInd w:val="0"/>
      <w:snapToGrid w:val="0"/>
      <w:spacing w:line="240" w:lineRule="atLeast"/>
      <w:jc w:val="center"/>
    </w:pPr>
    <w:rPr>
      <w:rFonts w:ascii="宋体" w:hAnsi="宋体"/>
      <w:color w:val="000000"/>
      <w:kern w:val="0"/>
    </w:rPr>
  </w:style>
  <w:style w:type="paragraph" w:customStyle="1" w:styleId="890">
    <w:name w:val="小表中"/>
    <w:basedOn w:val="1"/>
    <w:qFormat/>
    <w:uiPriority w:val="0"/>
    <w:pPr>
      <w:tabs>
        <w:tab w:val="clear" w:pos="480"/>
      </w:tabs>
      <w:adjustRightInd w:val="0"/>
      <w:snapToGrid w:val="0"/>
      <w:spacing w:line="240" w:lineRule="auto"/>
      <w:jc w:val="center"/>
    </w:pPr>
    <w:rPr>
      <w:rFonts w:ascii="宋体" w:hAnsi="宋体"/>
      <w:sz w:val="21"/>
    </w:rPr>
  </w:style>
  <w:style w:type="paragraph" w:customStyle="1" w:styleId="891">
    <w:name w:val="小表右"/>
    <w:basedOn w:val="1"/>
    <w:qFormat/>
    <w:uiPriority w:val="0"/>
    <w:pPr>
      <w:keepNext/>
      <w:tabs>
        <w:tab w:val="clear" w:pos="480"/>
      </w:tabs>
      <w:snapToGrid w:val="0"/>
      <w:spacing w:line="240" w:lineRule="atLeast"/>
      <w:ind w:right="84" w:rightChars="30"/>
      <w:jc w:val="right"/>
    </w:pPr>
    <w:rPr>
      <w:rFonts w:ascii="宋体" w:hAnsi="宋体"/>
      <w:sz w:val="21"/>
      <w:szCs w:val="22"/>
    </w:rPr>
  </w:style>
  <w:style w:type="paragraph" w:customStyle="1" w:styleId="892">
    <w:name w:val="续表"/>
    <w:basedOn w:val="9"/>
    <w:qFormat/>
    <w:uiPriority w:val="0"/>
    <w:pPr>
      <w:keepLines w:val="0"/>
      <w:numPr>
        <w:ilvl w:val="0"/>
        <w:numId w:val="0"/>
      </w:numPr>
      <w:tabs>
        <w:tab w:val="left" w:pos="432"/>
        <w:tab w:val="clear" w:pos="480"/>
      </w:tabs>
      <w:autoSpaceDE/>
      <w:autoSpaceDN/>
      <w:adjustRightInd/>
      <w:snapToGrid w:val="0"/>
      <w:spacing w:before="0" w:after="0" w:line="300" w:lineRule="auto"/>
      <w:jc w:val="center"/>
      <w:textAlignment w:val="auto"/>
    </w:pPr>
    <w:rPr>
      <w:rFonts w:ascii="黑体" w:hAnsi="Times New Roman" w:eastAsia="黑体"/>
      <w:b w:val="0"/>
      <w:kern w:val="2"/>
    </w:rPr>
  </w:style>
  <w:style w:type="paragraph" w:customStyle="1" w:styleId="893">
    <w:name w:val="表左"/>
    <w:basedOn w:val="1"/>
    <w:qFormat/>
    <w:uiPriority w:val="0"/>
    <w:pPr>
      <w:keepNext/>
      <w:tabs>
        <w:tab w:val="clear" w:pos="480"/>
      </w:tabs>
      <w:adjustRightInd w:val="0"/>
      <w:snapToGrid w:val="0"/>
      <w:spacing w:line="320" w:lineRule="atLeast"/>
      <w:ind w:right="63" w:rightChars="30"/>
      <w:jc w:val="center"/>
    </w:pPr>
    <w:rPr>
      <w:rFonts w:ascii="宋体" w:hAnsi="宋体"/>
      <w:szCs w:val="20"/>
    </w:rPr>
  </w:style>
  <w:style w:type="paragraph" w:customStyle="1" w:styleId="894">
    <w:name w:val="规定原文"/>
    <w:basedOn w:val="1"/>
    <w:qFormat/>
    <w:uiPriority w:val="0"/>
    <w:pPr>
      <w:keepNext/>
      <w:tabs>
        <w:tab w:val="clear" w:pos="480"/>
      </w:tabs>
      <w:snapToGrid w:val="0"/>
      <w:spacing w:beforeLines="50" w:line="300" w:lineRule="auto"/>
      <w:ind w:firstLine="560"/>
    </w:pPr>
    <w:rPr>
      <w:rFonts w:ascii="楷体_GB2312" w:eastAsia="楷体_GB2312"/>
      <w:color w:val="FF0000"/>
      <w:sz w:val="28"/>
      <w:szCs w:val="20"/>
    </w:rPr>
  </w:style>
  <w:style w:type="paragraph" w:customStyle="1" w:styleId="895">
    <w:name w:val="签署栏"/>
    <w:basedOn w:val="1"/>
    <w:qFormat/>
    <w:uiPriority w:val="0"/>
    <w:pPr>
      <w:keepNext/>
      <w:tabs>
        <w:tab w:val="clear" w:pos="480"/>
      </w:tabs>
      <w:spacing w:line="300" w:lineRule="auto"/>
      <w:jc w:val="center"/>
    </w:pPr>
    <w:rPr>
      <w:rFonts w:ascii="黑体" w:eastAsia="黑体"/>
      <w:spacing w:val="80"/>
      <w:sz w:val="32"/>
      <w:szCs w:val="20"/>
    </w:rPr>
  </w:style>
  <w:style w:type="paragraph" w:customStyle="1" w:styleId="896">
    <w:name w:val="签署内容"/>
    <w:basedOn w:val="1"/>
    <w:qFormat/>
    <w:uiPriority w:val="0"/>
    <w:pPr>
      <w:keepNext/>
      <w:tabs>
        <w:tab w:val="clear" w:pos="480"/>
      </w:tabs>
      <w:spacing w:line="300" w:lineRule="auto"/>
      <w:ind w:firstLine="800" w:firstLineChars="250"/>
    </w:pPr>
    <w:rPr>
      <w:sz w:val="32"/>
      <w:szCs w:val="20"/>
    </w:rPr>
  </w:style>
  <w:style w:type="paragraph" w:customStyle="1" w:styleId="897">
    <w:name w:val="附件"/>
    <w:basedOn w:val="3"/>
    <w:link w:val="3358"/>
    <w:qFormat/>
    <w:uiPriority w:val="0"/>
    <w:pPr>
      <w:numPr>
        <w:numId w:val="0"/>
      </w:numPr>
      <w:tabs>
        <w:tab w:val="clear" w:pos="480"/>
      </w:tabs>
      <w:snapToGrid w:val="0"/>
      <w:spacing w:beforeLines="50" w:afterLines="50" w:line="420" w:lineRule="auto"/>
    </w:pPr>
    <w:rPr>
      <w:rFonts w:ascii="Times New Roman" w:eastAsia="黑体"/>
      <w:b w:val="0"/>
      <w:bCs w:val="0"/>
      <w:sz w:val="30"/>
      <w:szCs w:val="20"/>
    </w:rPr>
  </w:style>
  <w:style w:type="paragraph" w:customStyle="1" w:styleId="898">
    <w:name w:val="假标题"/>
    <w:basedOn w:val="1"/>
    <w:qFormat/>
    <w:uiPriority w:val="0"/>
    <w:pPr>
      <w:keepNext/>
      <w:tabs>
        <w:tab w:val="clear" w:pos="480"/>
      </w:tabs>
      <w:snapToGrid w:val="0"/>
      <w:spacing w:beforeLines="50" w:line="300" w:lineRule="auto"/>
      <w:outlineLvl w:val="2"/>
    </w:pPr>
    <w:rPr>
      <w:rFonts w:ascii="宋体"/>
      <w:b/>
      <w:sz w:val="28"/>
      <w:szCs w:val="20"/>
    </w:rPr>
  </w:style>
  <w:style w:type="paragraph" w:customStyle="1" w:styleId="899">
    <w:name w:val="假标题1"/>
    <w:basedOn w:val="898"/>
    <w:qFormat/>
    <w:uiPriority w:val="0"/>
    <w:pPr>
      <w:keepNext w:val="0"/>
      <w:autoSpaceDE w:val="0"/>
      <w:autoSpaceDN w:val="0"/>
      <w:adjustRightInd w:val="0"/>
      <w:spacing w:beforeLines="0" w:line="336" w:lineRule="auto"/>
      <w:outlineLvl w:val="9"/>
    </w:pPr>
    <w:rPr>
      <w:rFonts w:hAnsi="宋体" w:cs="黑体"/>
      <w:b w:val="0"/>
      <w:kern w:val="0"/>
      <w:sz w:val="15"/>
      <w:szCs w:val="15"/>
      <w:lang w:val="zh-CN"/>
    </w:rPr>
  </w:style>
  <w:style w:type="paragraph" w:customStyle="1" w:styleId="900">
    <w:name w:val="小表右A"/>
    <w:basedOn w:val="891"/>
    <w:qFormat/>
    <w:uiPriority w:val="0"/>
    <w:pPr>
      <w:ind w:right="28" w:rightChars="10"/>
    </w:pPr>
  </w:style>
  <w:style w:type="character" w:customStyle="1" w:styleId="901">
    <w:name w:val="篇号"/>
    <w:qFormat/>
    <w:uiPriority w:val="0"/>
    <w:rPr>
      <w:rFonts w:eastAsia="宋体"/>
    </w:rPr>
  </w:style>
  <w:style w:type="paragraph" w:customStyle="1" w:styleId="902">
    <w:name w:val="列表1"/>
    <w:basedOn w:val="66"/>
    <w:qFormat/>
    <w:uiPriority w:val="0"/>
    <w:pPr>
      <w:tabs>
        <w:tab w:val="left" w:pos="1727"/>
        <w:tab w:val="left" w:pos="1884"/>
      </w:tabs>
      <w:spacing w:line="300" w:lineRule="auto"/>
      <w:ind w:left="0" w:firstLine="0" w:firstLineChars="0"/>
      <w:jc w:val="center"/>
      <w:outlineLvl w:val="0"/>
    </w:pPr>
    <w:rPr>
      <w:rFonts w:ascii="宋体"/>
      <w:sz w:val="32"/>
      <w:szCs w:val="20"/>
    </w:rPr>
  </w:style>
  <w:style w:type="paragraph" w:customStyle="1" w:styleId="903">
    <w:name w:val="页眉1"/>
    <w:basedOn w:val="57"/>
    <w:qFormat/>
    <w:uiPriority w:val="0"/>
    <w:pPr>
      <w:pBdr>
        <w:bottom w:val="none" w:color="auto" w:sz="0" w:space="0"/>
      </w:pBdr>
      <w:tabs>
        <w:tab w:val="left" w:pos="1727"/>
        <w:tab w:val="left" w:pos="1884"/>
        <w:tab w:val="clear" w:pos="480"/>
      </w:tabs>
      <w:spacing w:line="240" w:lineRule="auto"/>
      <w:outlineLvl w:val="0"/>
    </w:pPr>
    <w:rPr>
      <w:rFonts w:ascii="隶书" w:hAnsi="Calibri" w:eastAsia="隶书"/>
      <w:w w:val="90"/>
      <w:kern w:val="0"/>
      <w:sz w:val="21"/>
      <w:szCs w:val="20"/>
    </w:rPr>
  </w:style>
  <w:style w:type="paragraph" w:customStyle="1" w:styleId="904">
    <w:name w:val="图章"/>
    <w:basedOn w:val="1"/>
    <w:qFormat/>
    <w:uiPriority w:val="0"/>
    <w:pPr>
      <w:tabs>
        <w:tab w:val="left" w:pos="1727"/>
        <w:tab w:val="left" w:pos="1884"/>
        <w:tab w:val="clear" w:pos="480"/>
      </w:tabs>
      <w:adjustRightInd w:val="0"/>
      <w:snapToGrid w:val="0"/>
      <w:spacing w:line="240" w:lineRule="auto"/>
      <w:jc w:val="left"/>
      <w:outlineLvl w:val="0"/>
    </w:pPr>
    <w:rPr>
      <w:rFonts w:ascii="宋体"/>
      <w:snapToGrid w:val="0"/>
      <w:kern w:val="0"/>
      <w:sz w:val="18"/>
      <w:szCs w:val="20"/>
    </w:rPr>
  </w:style>
  <w:style w:type="paragraph" w:customStyle="1" w:styleId="905">
    <w:name w:val="样式 首行缩进:  2 字符 段前: 0.5 行1"/>
    <w:basedOn w:val="1"/>
    <w:qFormat/>
    <w:uiPriority w:val="0"/>
    <w:pPr>
      <w:keepNext/>
      <w:tabs>
        <w:tab w:val="clear" w:pos="480"/>
      </w:tabs>
      <w:snapToGrid w:val="0"/>
      <w:spacing w:line="300" w:lineRule="auto"/>
    </w:pPr>
    <w:rPr>
      <w:rFonts w:ascii="宋体"/>
      <w:sz w:val="28"/>
      <w:szCs w:val="20"/>
    </w:rPr>
  </w:style>
  <w:style w:type="paragraph" w:customStyle="1" w:styleId="906">
    <w:name w:val="样式 首行缩进:  2 字符 段前: 0.5 行2"/>
    <w:basedOn w:val="1"/>
    <w:qFormat/>
    <w:uiPriority w:val="0"/>
    <w:pPr>
      <w:keepNext/>
      <w:tabs>
        <w:tab w:val="clear" w:pos="480"/>
      </w:tabs>
      <w:snapToGrid w:val="0"/>
      <w:spacing w:line="300" w:lineRule="auto"/>
    </w:pPr>
    <w:rPr>
      <w:rFonts w:ascii="宋体"/>
      <w:sz w:val="28"/>
      <w:szCs w:val="20"/>
    </w:rPr>
  </w:style>
  <w:style w:type="paragraph" w:customStyle="1" w:styleId="907">
    <w:name w:val="样式 首行缩进:  2 字符 段前: 0.5 行3"/>
    <w:basedOn w:val="1"/>
    <w:qFormat/>
    <w:uiPriority w:val="0"/>
    <w:pPr>
      <w:keepNext/>
      <w:tabs>
        <w:tab w:val="clear" w:pos="480"/>
      </w:tabs>
      <w:snapToGrid w:val="0"/>
      <w:spacing w:line="300" w:lineRule="auto"/>
    </w:pPr>
    <w:rPr>
      <w:rFonts w:ascii="宋体"/>
      <w:sz w:val="28"/>
      <w:szCs w:val="20"/>
    </w:rPr>
  </w:style>
  <w:style w:type="paragraph" w:customStyle="1" w:styleId="908">
    <w:name w:val="样式 标题 1 + 段前: 0.5 行"/>
    <w:basedOn w:val="3"/>
    <w:qFormat/>
    <w:uiPriority w:val="0"/>
    <w:pPr>
      <w:numPr>
        <w:numId w:val="0"/>
      </w:numPr>
      <w:tabs>
        <w:tab w:val="left" w:pos="360"/>
        <w:tab w:val="clear" w:pos="480"/>
      </w:tabs>
      <w:snapToGrid w:val="0"/>
      <w:spacing w:beforeLines="50" w:afterLines="50" w:line="480" w:lineRule="auto"/>
    </w:pPr>
    <w:rPr>
      <w:rFonts w:ascii="Times New Roman" w:eastAsia="黑体"/>
      <w:b w:val="0"/>
      <w:bCs w:val="0"/>
      <w:sz w:val="28"/>
      <w:szCs w:val="20"/>
    </w:rPr>
  </w:style>
  <w:style w:type="paragraph" w:customStyle="1" w:styleId="909">
    <w:name w:val="节内编号2"/>
    <w:qFormat/>
    <w:uiPriority w:val="0"/>
    <w:pPr>
      <w:adjustRightInd w:val="0"/>
      <w:snapToGrid w:val="0"/>
      <w:spacing w:line="300" w:lineRule="auto"/>
      <w:ind w:right="210" w:rightChars="100" w:firstLine="200" w:firstLineChars="200"/>
      <w:jc w:val="both"/>
    </w:pPr>
    <w:rPr>
      <w:rFonts w:ascii="宋体" w:hAnsi="宋体" w:eastAsia="宋体" w:cs="Times New Roman"/>
      <w:color w:val="000000"/>
      <w:kern w:val="2"/>
      <w:sz w:val="28"/>
      <w:szCs w:val="28"/>
      <w:lang w:val="en-US" w:eastAsia="zh-CN" w:bidi="ar-SA"/>
    </w:rPr>
  </w:style>
  <w:style w:type="paragraph" w:customStyle="1" w:styleId="910">
    <w:name w:val="表头2"/>
    <w:basedOn w:val="911"/>
    <w:qFormat/>
    <w:uiPriority w:val="0"/>
    <w:pPr>
      <w:tabs>
        <w:tab w:val="left" w:pos="284"/>
        <w:tab w:val="center" w:pos="4253"/>
        <w:tab w:val="center" w:pos="6237"/>
        <w:tab w:val="left" w:pos="7938"/>
      </w:tabs>
    </w:pPr>
  </w:style>
  <w:style w:type="paragraph" w:customStyle="1" w:styleId="911">
    <w:name w:val="表头1"/>
    <w:link w:val="2189"/>
    <w:qFormat/>
    <w:uiPriority w:val="0"/>
    <w:pPr>
      <w:tabs>
        <w:tab w:val="left" w:pos="284"/>
        <w:tab w:val="center" w:pos="4253"/>
        <w:tab w:val="left" w:pos="7938"/>
      </w:tabs>
      <w:spacing w:before="240" w:after="240" w:line="360" w:lineRule="auto"/>
      <w:ind w:firstLine="200" w:firstLineChars="200"/>
      <w:jc w:val="both"/>
    </w:pPr>
    <w:rPr>
      <w:rFonts w:ascii="黑体" w:hAnsi="Times New Roman" w:eastAsia="黑体" w:cs="Times New Roman"/>
      <w:kern w:val="2"/>
      <w:sz w:val="24"/>
      <w:szCs w:val="24"/>
      <w:lang w:val="en-US" w:eastAsia="zh-CN" w:bidi="ar-SA"/>
    </w:rPr>
  </w:style>
  <w:style w:type="paragraph" w:customStyle="1" w:styleId="912">
    <w:name w:val="正文-ST-4"/>
    <w:basedOn w:val="1"/>
    <w:qFormat/>
    <w:uiPriority w:val="0"/>
    <w:pPr>
      <w:widowControl/>
      <w:tabs>
        <w:tab w:val="clear" w:pos="480"/>
      </w:tabs>
      <w:ind w:firstLine="567"/>
    </w:pPr>
    <w:rPr>
      <w:kern w:val="0"/>
      <w:sz w:val="28"/>
      <w:szCs w:val="20"/>
    </w:rPr>
  </w:style>
  <w:style w:type="paragraph" w:customStyle="1" w:styleId="913">
    <w:name w:val="报告标1"/>
    <w:basedOn w:val="1"/>
    <w:next w:val="208"/>
    <w:semiHidden/>
    <w:qFormat/>
    <w:uiPriority w:val="0"/>
    <w:pPr>
      <w:tabs>
        <w:tab w:val="clear" w:pos="480"/>
      </w:tabs>
      <w:adjustRightInd w:val="0"/>
      <w:snapToGrid w:val="0"/>
      <w:spacing w:line="300" w:lineRule="auto"/>
    </w:pPr>
    <w:rPr>
      <w:rFonts w:ascii="黑体" w:eastAsia="黑体"/>
      <w:sz w:val="28"/>
      <w:szCs w:val="20"/>
    </w:rPr>
  </w:style>
  <w:style w:type="paragraph" w:customStyle="1" w:styleId="914">
    <w:name w:val="报告标2"/>
    <w:basedOn w:val="1"/>
    <w:next w:val="1"/>
    <w:semiHidden/>
    <w:qFormat/>
    <w:uiPriority w:val="0"/>
    <w:pPr>
      <w:tabs>
        <w:tab w:val="clear" w:pos="480"/>
      </w:tabs>
      <w:adjustRightInd w:val="0"/>
      <w:snapToGrid w:val="0"/>
      <w:spacing w:line="300" w:lineRule="auto"/>
    </w:pPr>
    <w:rPr>
      <w:rFonts w:ascii="黑体" w:eastAsia="黑体"/>
      <w:sz w:val="28"/>
      <w:szCs w:val="20"/>
    </w:rPr>
  </w:style>
  <w:style w:type="paragraph" w:customStyle="1" w:styleId="915">
    <w:name w:val="报告标3"/>
    <w:basedOn w:val="1"/>
    <w:semiHidden/>
    <w:qFormat/>
    <w:uiPriority w:val="0"/>
    <w:pPr>
      <w:tabs>
        <w:tab w:val="clear" w:pos="480"/>
      </w:tabs>
      <w:adjustRightInd w:val="0"/>
      <w:snapToGrid w:val="0"/>
      <w:spacing w:line="300" w:lineRule="auto"/>
    </w:pPr>
    <w:rPr>
      <w:rFonts w:ascii="宋体"/>
      <w:sz w:val="28"/>
      <w:szCs w:val="20"/>
    </w:rPr>
  </w:style>
  <w:style w:type="paragraph" w:customStyle="1" w:styleId="916">
    <w:name w:val="节内编号1"/>
    <w:basedOn w:val="1"/>
    <w:qFormat/>
    <w:uiPriority w:val="0"/>
    <w:pPr>
      <w:tabs>
        <w:tab w:val="clear" w:pos="480"/>
      </w:tabs>
      <w:adjustRightInd w:val="0"/>
      <w:snapToGrid w:val="0"/>
      <w:spacing w:line="336" w:lineRule="auto"/>
      <w:ind w:right="210" w:rightChars="100" w:firstLine="528"/>
      <w:jc w:val="left"/>
    </w:pPr>
    <w:rPr>
      <w:rFonts w:ascii="宋体" w:hAnsi="宋体"/>
      <w:color w:val="000000"/>
      <w:spacing w:val="-8"/>
      <w:sz w:val="28"/>
      <w:szCs w:val="20"/>
    </w:rPr>
  </w:style>
  <w:style w:type="paragraph" w:customStyle="1" w:styleId="917">
    <w:name w:val="标题31"/>
    <w:semiHidden/>
    <w:qFormat/>
    <w:uiPriority w:val="0"/>
    <w:pPr>
      <w:tabs>
        <w:tab w:val="left" w:pos="420"/>
      </w:tabs>
      <w:adjustRightInd w:val="0"/>
      <w:snapToGrid w:val="0"/>
      <w:spacing w:line="360" w:lineRule="auto"/>
      <w:ind w:left="420" w:hanging="420" w:firstLineChars="200"/>
      <w:jc w:val="both"/>
    </w:pPr>
    <w:rPr>
      <w:rFonts w:ascii="Times New Roman" w:hAnsi="Times New Roman" w:eastAsia="宋体" w:cs="Times New Roman"/>
      <w:color w:val="000000"/>
      <w:kern w:val="2"/>
      <w:sz w:val="28"/>
      <w:szCs w:val="28"/>
      <w:lang w:val="en-US" w:eastAsia="zh-CN" w:bidi="ar-SA"/>
    </w:rPr>
  </w:style>
  <w:style w:type="paragraph" w:customStyle="1" w:styleId="918">
    <w:name w:val="正文-FS-L"/>
    <w:qFormat/>
    <w:uiPriority w:val="0"/>
    <w:pPr>
      <w:spacing w:line="360" w:lineRule="auto"/>
      <w:ind w:firstLine="567" w:firstLineChars="200"/>
      <w:jc w:val="both"/>
    </w:pPr>
    <w:rPr>
      <w:rFonts w:ascii="Times New Roman" w:hAnsi="Times New Roman" w:eastAsia="仿宋_GB2312" w:cs="Times New Roman"/>
      <w:kern w:val="2"/>
      <w:sz w:val="28"/>
      <w:szCs w:val="24"/>
      <w:lang w:val="en-US" w:eastAsia="zh-CN" w:bidi="ar-SA"/>
    </w:rPr>
  </w:style>
  <w:style w:type="character" w:customStyle="1" w:styleId="919">
    <w:name w:val="称呼 字符"/>
    <w:link w:val="30"/>
    <w:qFormat/>
    <w:uiPriority w:val="0"/>
    <w:rPr>
      <w:rFonts w:eastAsia="宋体"/>
      <w:kern w:val="2"/>
      <w:sz w:val="24"/>
      <w:szCs w:val="24"/>
      <w:lang w:val="en-US" w:eastAsia="zh-CN" w:bidi="ar-SA"/>
    </w:rPr>
  </w:style>
  <w:style w:type="paragraph" w:customStyle="1" w:styleId="920">
    <w:name w:val="Normal-Ariel"/>
    <w:basedOn w:val="1"/>
    <w:semiHidden/>
    <w:qFormat/>
    <w:uiPriority w:val="0"/>
    <w:pPr>
      <w:widowControl/>
      <w:tabs>
        <w:tab w:val="clear" w:pos="480"/>
      </w:tabs>
      <w:spacing w:after="160" w:line="320" w:lineRule="atLeast"/>
      <w:ind w:left="900"/>
    </w:pPr>
    <w:rPr>
      <w:rFonts w:ascii="Arial" w:hAnsi="Arial"/>
      <w:kern w:val="0"/>
      <w:sz w:val="22"/>
      <w:szCs w:val="20"/>
      <w:lang w:val="de-DE" w:eastAsia="de-DE"/>
    </w:rPr>
  </w:style>
  <w:style w:type="paragraph" w:customStyle="1" w:styleId="921">
    <w:name w:val="节1"/>
    <w:basedOn w:val="45"/>
    <w:qFormat/>
    <w:uiPriority w:val="0"/>
    <w:pPr>
      <w:snapToGrid w:val="0"/>
      <w:spacing w:before="120" w:after="120" w:line="312" w:lineRule="auto"/>
      <w:ind w:firstLine="567"/>
      <w:outlineLvl w:val="1"/>
    </w:pPr>
    <w:rPr>
      <w:rFonts w:hAnsi="Times New Roman"/>
      <w:b/>
      <w:spacing w:val="6"/>
      <w:kern w:val="0"/>
      <w:sz w:val="32"/>
    </w:rPr>
  </w:style>
  <w:style w:type="character" w:customStyle="1" w:styleId="922">
    <w:name w:val="style41"/>
    <w:semiHidden/>
    <w:qFormat/>
    <w:uiPriority w:val="0"/>
    <w:rPr>
      <w:color w:val="666666"/>
    </w:rPr>
  </w:style>
  <w:style w:type="character" w:customStyle="1" w:styleId="923">
    <w:name w:val="yuzhifeng"/>
    <w:semiHidden/>
    <w:qFormat/>
    <w:uiPriority w:val="0"/>
    <w:rPr>
      <w:rFonts w:ascii="Arial" w:hAnsi="Arial" w:eastAsia="宋体" w:cs="Arial"/>
      <w:color w:val="auto"/>
      <w:sz w:val="18"/>
      <w:szCs w:val="20"/>
    </w:rPr>
  </w:style>
  <w:style w:type="paragraph" w:customStyle="1" w:styleId="924">
    <w:name w:val="Text"/>
    <w:basedOn w:val="1"/>
    <w:semiHidden/>
    <w:qFormat/>
    <w:uiPriority w:val="0"/>
    <w:pPr>
      <w:widowControl/>
      <w:tabs>
        <w:tab w:val="clear" w:pos="480"/>
      </w:tabs>
      <w:spacing w:line="240" w:lineRule="auto"/>
    </w:pPr>
    <w:rPr>
      <w:kern w:val="0"/>
      <w:szCs w:val="20"/>
      <w:lang w:eastAsia="en-US"/>
    </w:rPr>
  </w:style>
  <w:style w:type="paragraph" w:customStyle="1" w:styleId="925">
    <w:name w:val="新表"/>
    <w:basedOn w:val="1"/>
    <w:qFormat/>
    <w:uiPriority w:val="0"/>
    <w:pPr>
      <w:tabs>
        <w:tab w:val="clear" w:pos="480"/>
      </w:tabs>
      <w:adjustRightInd w:val="0"/>
      <w:snapToGrid w:val="0"/>
      <w:spacing w:before="60" w:after="60" w:line="240" w:lineRule="auto"/>
      <w:jc w:val="center"/>
    </w:pPr>
    <w:rPr>
      <w:rFonts w:ascii="宋体" w:hAnsi="宋体"/>
      <w:spacing w:val="6"/>
    </w:rPr>
  </w:style>
  <w:style w:type="paragraph" w:customStyle="1" w:styleId="926">
    <w:name w:val="样式表头1"/>
    <w:basedOn w:val="1"/>
    <w:qFormat/>
    <w:uiPriority w:val="0"/>
    <w:pPr>
      <w:tabs>
        <w:tab w:val="clear" w:pos="480"/>
      </w:tabs>
      <w:adjustRightInd w:val="0"/>
      <w:snapToGrid w:val="0"/>
      <w:spacing w:line="312" w:lineRule="auto"/>
      <w:jc w:val="center"/>
      <w:textAlignment w:val="baseline"/>
    </w:pPr>
    <w:rPr>
      <w:rFonts w:ascii="黑体" w:eastAsia="黑体"/>
      <w:b/>
      <w:kern w:val="0"/>
      <w:sz w:val="32"/>
      <w:szCs w:val="20"/>
    </w:rPr>
  </w:style>
  <w:style w:type="paragraph" w:customStyle="1" w:styleId="927">
    <w:name w:val="Right Par 3"/>
    <w:semiHidden/>
    <w:qFormat/>
    <w:uiPriority w:val="0"/>
    <w:pPr>
      <w:tabs>
        <w:tab w:val="left" w:pos="-720"/>
        <w:tab w:val="left" w:pos="0"/>
        <w:tab w:val="left" w:pos="720"/>
        <w:tab w:val="left" w:pos="1440"/>
        <w:tab w:val="decimal" w:pos="2160"/>
      </w:tabs>
      <w:suppressAutoHyphens/>
      <w:overflowPunct w:val="0"/>
      <w:autoSpaceDE w:val="0"/>
      <w:autoSpaceDN w:val="0"/>
      <w:adjustRightInd w:val="0"/>
      <w:spacing w:line="360" w:lineRule="auto"/>
      <w:ind w:left="2160" w:firstLine="200" w:firstLineChars="200"/>
      <w:jc w:val="both"/>
      <w:textAlignment w:val="baseline"/>
    </w:pPr>
    <w:rPr>
      <w:rFonts w:ascii="Courier" w:hAnsi="Courier" w:eastAsia="宋体" w:cs="Times New Roman"/>
      <w:kern w:val="2"/>
      <w:sz w:val="24"/>
      <w:szCs w:val="24"/>
      <w:lang w:val="en-US" w:eastAsia="en-US" w:bidi="ar-SA"/>
    </w:rPr>
  </w:style>
  <w:style w:type="paragraph" w:customStyle="1" w:styleId="928">
    <w:name w:val="短简表28"/>
    <w:basedOn w:val="1"/>
    <w:qFormat/>
    <w:uiPriority w:val="0"/>
    <w:pPr>
      <w:tabs>
        <w:tab w:val="clear" w:pos="480"/>
      </w:tabs>
      <w:adjustRightInd w:val="0"/>
      <w:snapToGrid w:val="0"/>
      <w:spacing w:before="120" w:after="120" w:line="240" w:lineRule="auto"/>
      <w:ind w:left="445" w:leftChars="245" w:hanging="200" w:hangingChars="200"/>
    </w:pPr>
    <w:rPr>
      <w:sz w:val="28"/>
    </w:rPr>
  </w:style>
  <w:style w:type="paragraph" w:customStyle="1" w:styleId="929">
    <w:name w:val="样式 正文文字 + 首行缩进:  2 字符"/>
    <w:basedOn w:val="34"/>
    <w:qFormat/>
    <w:uiPriority w:val="0"/>
    <w:pPr>
      <w:spacing w:line="500" w:lineRule="exact"/>
      <w:ind w:firstLine="560"/>
    </w:pPr>
    <w:rPr>
      <w:rFonts w:ascii="Times New Roman" w:hAnsi="Times New Roman"/>
      <w:kern w:val="0"/>
      <w:sz w:val="28"/>
    </w:rPr>
  </w:style>
  <w:style w:type="character" w:customStyle="1" w:styleId="930">
    <w:name w:val="even Char Char Char"/>
    <w:semiHidden/>
    <w:qFormat/>
    <w:uiPriority w:val="0"/>
    <w:rPr>
      <w:rFonts w:eastAsia="宋体"/>
      <w:kern w:val="2"/>
      <w:sz w:val="18"/>
      <w:szCs w:val="18"/>
      <w:lang w:val="en-US" w:eastAsia="zh-CN" w:bidi="ar-SA"/>
    </w:rPr>
  </w:style>
  <w:style w:type="character" w:customStyle="1" w:styleId="931">
    <w:name w:val="标题 3 Char Char Char1"/>
    <w:qFormat/>
    <w:uiPriority w:val="0"/>
    <w:rPr>
      <w:rFonts w:eastAsia="宋体"/>
      <w:b/>
      <w:bCs/>
      <w:kern w:val="2"/>
      <w:sz w:val="32"/>
      <w:szCs w:val="32"/>
      <w:lang w:val="en-US" w:eastAsia="zh-CN" w:bidi="ar-SA"/>
    </w:rPr>
  </w:style>
  <w:style w:type="paragraph" w:customStyle="1" w:styleId="932">
    <w:name w:val="表格内"/>
    <w:basedOn w:val="1"/>
    <w:semiHidden/>
    <w:qFormat/>
    <w:uiPriority w:val="0"/>
    <w:pPr>
      <w:widowControl/>
      <w:tabs>
        <w:tab w:val="clear" w:pos="480"/>
      </w:tabs>
      <w:adjustRightInd w:val="0"/>
      <w:spacing w:line="360" w:lineRule="exact"/>
      <w:jc w:val="center"/>
    </w:pPr>
    <w:rPr>
      <w:rFonts w:ascii="宋体" w:hAnsi="宋体" w:cs="宋体"/>
      <w:snapToGrid w:val="0"/>
      <w:kern w:val="0"/>
      <w:sz w:val="21"/>
      <w:szCs w:val="21"/>
    </w:rPr>
  </w:style>
  <w:style w:type="paragraph" w:customStyle="1" w:styleId="933">
    <w:name w:val="样式 表名称"/>
    <w:basedOn w:val="1"/>
    <w:qFormat/>
    <w:uiPriority w:val="0"/>
    <w:pPr>
      <w:widowControl/>
      <w:tabs>
        <w:tab w:val="clear" w:pos="480"/>
      </w:tabs>
      <w:autoSpaceDE w:val="0"/>
      <w:autoSpaceDN w:val="0"/>
      <w:adjustRightInd w:val="0"/>
      <w:spacing w:line="460" w:lineRule="atLeast"/>
      <w:ind w:right="25" w:rightChars="12"/>
      <w:jc w:val="center"/>
      <w:textAlignment w:val="baseline"/>
    </w:pPr>
    <w:rPr>
      <w:rFonts w:ascii="仿宋_GB2312" w:hAnsi="宋体" w:eastAsia="仿宋_GB2312" w:cs="宋体"/>
      <w:snapToGrid w:val="0"/>
      <w:kern w:val="0"/>
      <w:szCs w:val="28"/>
    </w:rPr>
  </w:style>
  <w:style w:type="paragraph" w:customStyle="1" w:styleId="934">
    <w:name w:val="lei07-标题1"/>
    <w:basedOn w:val="3"/>
    <w:semiHidden/>
    <w:qFormat/>
    <w:uiPriority w:val="0"/>
    <w:pPr>
      <w:keepLines w:val="0"/>
      <w:numPr>
        <w:numId w:val="18"/>
      </w:numPr>
      <w:tabs>
        <w:tab w:val="left" w:pos="425"/>
        <w:tab w:val="clear" w:pos="480"/>
      </w:tabs>
      <w:spacing w:beforeLines="50" w:afterLines="50"/>
      <w:jc w:val="center"/>
    </w:pPr>
    <w:rPr>
      <w:rFonts w:ascii="Times New Roman" w:eastAsia="宋体"/>
      <w:spacing w:val="-4"/>
      <w:kern w:val="2"/>
      <w:sz w:val="28"/>
      <w:szCs w:val="24"/>
    </w:rPr>
  </w:style>
  <w:style w:type="paragraph" w:customStyle="1" w:styleId="935">
    <w:name w:val="lei07-标题2"/>
    <w:basedOn w:val="4"/>
    <w:semiHidden/>
    <w:qFormat/>
    <w:uiPriority w:val="0"/>
    <w:pPr>
      <w:numPr>
        <w:numId w:val="18"/>
      </w:numPr>
      <w:tabs>
        <w:tab w:val="left" w:pos="425"/>
        <w:tab w:val="left" w:pos="567"/>
        <w:tab w:val="clear" w:pos="480"/>
        <w:tab w:val="clear" w:pos="630"/>
      </w:tabs>
      <w:snapToGrid w:val="0"/>
      <w:spacing w:before="0" w:after="0"/>
      <w:jc w:val="center"/>
    </w:pPr>
    <w:rPr>
      <w:b w:val="0"/>
      <w:sz w:val="24"/>
      <w:szCs w:val="28"/>
    </w:rPr>
  </w:style>
  <w:style w:type="paragraph" w:customStyle="1" w:styleId="936">
    <w:name w:val="lei-标题3"/>
    <w:basedOn w:val="5"/>
    <w:semiHidden/>
    <w:qFormat/>
    <w:uiPriority w:val="0"/>
    <w:pPr>
      <w:numPr>
        <w:numId w:val="18"/>
      </w:numPr>
      <w:tabs>
        <w:tab w:val="left" w:pos="425"/>
        <w:tab w:val="left" w:pos="709"/>
        <w:tab w:val="left" w:pos="1764"/>
        <w:tab w:val="clear" w:pos="480"/>
        <w:tab w:val="clear" w:pos="840"/>
      </w:tabs>
      <w:spacing w:before="0" w:after="0" w:line="360" w:lineRule="auto"/>
      <w:ind w:left="1764" w:hanging="420"/>
    </w:pPr>
    <w:rPr>
      <w:rFonts w:ascii="Times New Roman" w:eastAsia="宋体"/>
      <w:b w:val="0"/>
      <w:sz w:val="24"/>
    </w:rPr>
  </w:style>
  <w:style w:type="paragraph" w:customStyle="1" w:styleId="937">
    <w:name w:val="总院"/>
    <w:basedOn w:val="1"/>
    <w:qFormat/>
    <w:uiPriority w:val="0"/>
    <w:pPr>
      <w:tabs>
        <w:tab w:val="clear" w:pos="480"/>
      </w:tabs>
      <w:snapToGrid w:val="0"/>
      <w:spacing w:line="300" w:lineRule="auto"/>
      <w:ind w:firstLine="560"/>
    </w:pPr>
    <w:rPr>
      <w:rFonts w:ascii="宋体" w:hAnsi="宋体" w:cs="Arial"/>
      <w:bCs/>
      <w:sz w:val="28"/>
      <w:szCs w:val="28"/>
      <w:lang w:val="ru-RU"/>
    </w:rPr>
  </w:style>
  <w:style w:type="paragraph" w:customStyle="1" w:styleId="938">
    <w:name w:val="lei07-正文"/>
    <w:basedOn w:val="1"/>
    <w:semiHidden/>
    <w:qFormat/>
    <w:uiPriority w:val="0"/>
    <w:pPr>
      <w:tabs>
        <w:tab w:val="clear" w:pos="480"/>
      </w:tabs>
    </w:pPr>
  </w:style>
  <w:style w:type="paragraph" w:customStyle="1" w:styleId="939">
    <w:name w:val="Char Char Char1 Char Char Char Char Char Char Char Char Char Char"/>
    <w:basedOn w:val="1"/>
    <w:qFormat/>
    <w:uiPriority w:val="0"/>
    <w:pPr>
      <w:widowControl/>
      <w:tabs>
        <w:tab w:val="clear" w:pos="480"/>
      </w:tabs>
      <w:spacing w:line="240" w:lineRule="auto"/>
      <w:jc w:val="left"/>
    </w:pPr>
    <w:rPr>
      <w:rFonts w:ascii="宋体" w:hAnsi="宋体" w:cs="宋体"/>
      <w:kern w:val="0"/>
    </w:rPr>
  </w:style>
  <w:style w:type="paragraph" w:customStyle="1" w:styleId="940">
    <w:name w:val="样式13"/>
    <w:basedOn w:val="1"/>
    <w:next w:val="1"/>
    <w:link w:val="2871"/>
    <w:qFormat/>
    <w:uiPriority w:val="0"/>
    <w:pPr>
      <w:keepNext/>
      <w:keepLines/>
      <w:pageBreakBefore/>
      <w:tabs>
        <w:tab w:val="clear" w:pos="480"/>
      </w:tabs>
      <w:adjustRightInd w:val="0"/>
      <w:snapToGrid w:val="0"/>
      <w:ind w:left="40" w:leftChars="-85" w:hanging="278" w:hangingChars="99"/>
      <w:jc w:val="center"/>
      <w:textAlignment w:val="baseline"/>
      <w:outlineLvl w:val="0"/>
    </w:pPr>
    <w:rPr>
      <w:rFonts w:ascii="Arial" w:hAnsi="Arial" w:cs="Arial"/>
      <w:b/>
      <w:kern w:val="44"/>
      <w:sz w:val="28"/>
      <w:szCs w:val="28"/>
    </w:rPr>
  </w:style>
  <w:style w:type="paragraph" w:customStyle="1" w:styleId="941">
    <w:name w:val="Char Char Char1 Char Char Char Char Char Char Char Char Char Char1"/>
    <w:basedOn w:val="1"/>
    <w:semiHidden/>
    <w:qFormat/>
    <w:uiPriority w:val="0"/>
    <w:pPr>
      <w:widowControl/>
      <w:tabs>
        <w:tab w:val="clear" w:pos="480"/>
      </w:tabs>
      <w:spacing w:line="240" w:lineRule="auto"/>
      <w:jc w:val="left"/>
    </w:pPr>
    <w:rPr>
      <w:rFonts w:ascii="宋体" w:hAnsi="宋体" w:cs="宋体"/>
      <w:kern w:val="0"/>
    </w:rPr>
  </w:style>
  <w:style w:type="paragraph" w:customStyle="1" w:styleId="942">
    <w:name w:val="样式 正文-z Char Char"/>
    <w:basedOn w:val="1"/>
    <w:link w:val="943"/>
    <w:qFormat/>
    <w:uiPriority w:val="0"/>
    <w:pPr>
      <w:widowControl/>
      <w:tabs>
        <w:tab w:val="clear" w:pos="480"/>
      </w:tabs>
      <w:spacing w:line="240" w:lineRule="auto"/>
      <w:ind w:firstLine="560"/>
      <w:jc w:val="left"/>
    </w:pPr>
    <w:rPr>
      <w:rFonts w:ascii="宋体" w:hAnsi="宋体"/>
      <w:snapToGrid w:val="0"/>
      <w:kern w:val="0"/>
      <w:szCs w:val="28"/>
      <w:lang w:val="zh-CN"/>
    </w:rPr>
  </w:style>
  <w:style w:type="character" w:customStyle="1" w:styleId="943">
    <w:name w:val="样式 正文-z Char Char Char"/>
    <w:link w:val="942"/>
    <w:qFormat/>
    <w:uiPriority w:val="0"/>
    <w:rPr>
      <w:rFonts w:ascii="宋体" w:hAnsi="宋体" w:eastAsia="宋体"/>
      <w:snapToGrid w:val="0"/>
      <w:sz w:val="24"/>
      <w:szCs w:val="28"/>
      <w:lang w:bidi="ar-SA"/>
    </w:rPr>
  </w:style>
  <w:style w:type="paragraph" w:customStyle="1" w:styleId="944">
    <w:name w:val="样式 样式 正文-z + (符号) Arial 小五 黑色 首行缩进:  2 字符"/>
    <w:basedOn w:val="942"/>
    <w:qFormat/>
    <w:uiPriority w:val="0"/>
    <w:pPr>
      <w:snapToGrid w:val="0"/>
      <w:ind w:firstLine="0" w:firstLineChars="0"/>
      <w:jc w:val="center"/>
    </w:pPr>
    <w:rPr>
      <w:rFonts w:hAnsi="Arial"/>
      <w:sz w:val="21"/>
      <w:szCs w:val="21"/>
    </w:rPr>
  </w:style>
  <w:style w:type="paragraph" w:customStyle="1" w:styleId="945">
    <w:name w:val="样式 正文-z"/>
    <w:basedOn w:val="1"/>
    <w:qFormat/>
    <w:uiPriority w:val="0"/>
    <w:pPr>
      <w:widowControl/>
      <w:tabs>
        <w:tab w:val="clear" w:pos="480"/>
      </w:tabs>
      <w:spacing w:line="240" w:lineRule="auto"/>
      <w:ind w:firstLine="560"/>
      <w:jc w:val="left"/>
    </w:pPr>
    <w:rPr>
      <w:rFonts w:ascii="宋体" w:hAnsi="宋体" w:eastAsia="仿宋_GB2312" w:cs="宋体"/>
      <w:bCs/>
      <w:kern w:val="0"/>
      <w:szCs w:val="28"/>
    </w:rPr>
  </w:style>
  <w:style w:type="paragraph" w:customStyle="1" w:styleId="946">
    <w:name w:val="样式 (中文) 楷体_GB2312 四号 行距: 1.5 倍行距"/>
    <w:basedOn w:val="1"/>
    <w:qFormat/>
    <w:uiPriority w:val="0"/>
    <w:pPr>
      <w:widowControl/>
      <w:tabs>
        <w:tab w:val="clear" w:pos="480"/>
      </w:tabs>
      <w:ind w:firstLine="560"/>
      <w:jc w:val="left"/>
    </w:pPr>
    <w:rPr>
      <w:rFonts w:ascii="宋体" w:hAnsi="宋体" w:eastAsia="仿宋_GB2312" w:cs="宋体"/>
      <w:kern w:val="28"/>
      <w:szCs w:val="28"/>
    </w:rPr>
  </w:style>
  <w:style w:type="paragraph" w:customStyle="1" w:styleId="947">
    <w:name w:val="样式 表头 + 五号 (西文)粗体"/>
    <w:basedOn w:val="1"/>
    <w:link w:val="948"/>
    <w:qFormat/>
    <w:uiPriority w:val="0"/>
    <w:pPr>
      <w:widowControl/>
      <w:tabs>
        <w:tab w:val="clear" w:pos="480"/>
      </w:tabs>
      <w:spacing w:line="240" w:lineRule="auto"/>
      <w:jc w:val="center"/>
    </w:pPr>
    <w:rPr>
      <w:rFonts w:ascii="黑体" w:hAnsi="宋体" w:eastAsia="黑体"/>
      <w:kern w:val="28"/>
      <w:lang w:val="zh-CN"/>
    </w:rPr>
  </w:style>
  <w:style w:type="character" w:customStyle="1" w:styleId="948">
    <w:name w:val="样式 表头 + 五号 (西文)粗体 Char"/>
    <w:link w:val="947"/>
    <w:qFormat/>
    <w:uiPriority w:val="0"/>
    <w:rPr>
      <w:rFonts w:ascii="黑体" w:hAnsi="宋体" w:eastAsia="黑体"/>
      <w:kern w:val="28"/>
      <w:sz w:val="24"/>
      <w:szCs w:val="24"/>
      <w:lang w:bidi="ar-SA"/>
    </w:rPr>
  </w:style>
  <w:style w:type="paragraph" w:customStyle="1" w:styleId="949">
    <w:name w:val="样式 AA正文首行缩进 2 + 首行缩进:  2 字符 Char Char Char Char Char Char Char Char Char"/>
    <w:basedOn w:val="1"/>
    <w:qFormat/>
    <w:uiPriority w:val="0"/>
    <w:pPr>
      <w:widowControl/>
      <w:tabs>
        <w:tab w:val="clear" w:pos="480"/>
      </w:tabs>
      <w:spacing w:after="120" w:line="240" w:lineRule="auto"/>
      <w:ind w:firstLine="560"/>
      <w:jc w:val="left"/>
    </w:pPr>
    <w:rPr>
      <w:rFonts w:ascii="宋体" w:hAnsi="宋体" w:eastAsia="仿宋_GB2312" w:cs="宋体"/>
      <w:kern w:val="28"/>
      <w:szCs w:val="28"/>
    </w:rPr>
  </w:style>
  <w:style w:type="paragraph" w:customStyle="1" w:styleId="950">
    <w:name w:val="Char Char Char1 Char Char Char Char Char Char Char Char Char Char Char Char Char Char Char Char1"/>
    <w:basedOn w:val="6"/>
    <w:semiHidden/>
    <w:qFormat/>
    <w:uiPriority w:val="0"/>
    <w:pPr>
      <w:widowControl/>
      <w:numPr>
        <w:ilvl w:val="0"/>
        <w:numId w:val="0"/>
      </w:numPr>
      <w:tabs>
        <w:tab w:val="clear" w:pos="480"/>
      </w:tabs>
      <w:spacing w:before="120" w:after="120"/>
      <w:jc w:val="left"/>
    </w:pPr>
    <w:rPr>
      <w:rFonts w:ascii="宋体" w:cs="宋体"/>
      <w:b w:val="0"/>
      <w:kern w:val="0"/>
      <w:sz w:val="24"/>
    </w:rPr>
  </w:style>
  <w:style w:type="paragraph" w:customStyle="1" w:styleId="951">
    <w:name w:val="Char Char Char1 Char Char Char Char Char Char Char Char Char Char Char Char Char Char Char Char Char Char Char Char Char Char"/>
    <w:basedOn w:val="6"/>
    <w:semiHidden/>
    <w:qFormat/>
    <w:uiPriority w:val="0"/>
    <w:pPr>
      <w:widowControl/>
      <w:numPr>
        <w:ilvl w:val="0"/>
        <w:numId w:val="0"/>
      </w:numPr>
      <w:tabs>
        <w:tab w:val="clear" w:pos="480"/>
      </w:tabs>
      <w:spacing w:before="120" w:after="120"/>
      <w:jc w:val="left"/>
    </w:pPr>
    <w:rPr>
      <w:rFonts w:ascii="宋体" w:cs="宋体"/>
      <w:b w:val="0"/>
      <w:kern w:val="0"/>
      <w:sz w:val="24"/>
    </w:rPr>
  </w:style>
  <w:style w:type="paragraph" w:customStyle="1" w:styleId="952">
    <w:name w:val="样式 正文-z Char"/>
    <w:basedOn w:val="1"/>
    <w:qFormat/>
    <w:uiPriority w:val="0"/>
    <w:pPr>
      <w:widowControl/>
      <w:tabs>
        <w:tab w:val="clear" w:pos="480"/>
      </w:tabs>
      <w:adjustRightInd w:val="0"/>
      <w:ind w:firstLine="560"/>
      <w:jc w:val="left"/>
    </w:pPr>
    <w:rPr>
      <w:rFonts w:ascii="宋体" w:hAnsi="宋体" w:cs="宋体"/>
      <w:snapToGrid w:val="0"/>
      <w:kern w:val="0"/>
      <w:szCs w:val="28"/>
    </w:rPr>
  </w:style>
  <w:style w:type="character" w:customStyle="1" w:styleId="953">
    <w:name w:val="样式 页码 + (中文) 仿宋_GB2312"/>
    <w:qFormat/>
    <w:uiPriority w:val="0"/>
    <w:rPr>
      <w:rFonts w:ascii="Times New Roman" w:hAnsi="Times New Roman" w:eastAsia="仿宋_GB2312" w:cs="宋体"/>
      <w:bCs/>
      <w:spacing w:val="0"/>
      <w:sz w:val="28"/>
      <w:szCs w:val="28"/>
      <w:lang w:val="en-US" w:eastAsia="zh-CN" w:bidi="ar-SA"/>
    </w:rPr>
  </w:style>
  <w:style w:type="paragraph" w:customStyle="1" w:styleId="954">
    <w:name w:val="文本一"/>
    <w:basedOn w:val="34"/>
    <w:qFormat/>
    <w:uiPriority w:val="0"/>
    <w:pPr>
      <w:widowControl/>
      <w:tabs>
        <w:tab w:val="left" w:pos="525"/>
      </w:tabs>
      <w:spacing w:line="360" w:lineRule="auto"/>
      <w:ind w:firstLine="560"/>
      <w:jc w:val="left"/>
    </w:pPr>
    <w:rPr>
      <w:rFonts w:cs="宋体"/>
      <w:kern w:val="0"/>
      <w:sz w:val="28"/>
      <w:szCs w:val="24"/>
    </w:rPr>
  </w:style>
  <w:style w:type="paragraph" w:customStyle="1" w:styleId="955">
    <w:name w:val="样式 正文缩进 + (西文) 宋体 四号"/>
    <w:basedOn w:val="21"/>
    <w:link w:val="956"/>
    <w:qFormat/>
    <w:uiPriority w:val="0"/>
    <w:pPr>
      <w:widowControl/>
      <w:tabs>
        <w:tab w:val="clear" w:pos="480"/>
      </w:tabs>
      <w:adjustRightInd w:val="0"/>
      <w:spacing w:line="336" w:lineRule="auto"/>
      <w:ind w:firstLine="480"/>
      <w:jc w:val="center"/>
      <w:textAlignment w:val="baseline"/>
    </w:pPr>
    <w:rPr>
      <w:rFonts w:ascii="黑体" w:hAnsi="宋体" w:eastAsia="黑体"/>
      <w:color w:val="000000"/>
      <w:kern w:val="0"/>
      <w:lang w:val="zh-CN"/>
    </w:rPr>
  </w:style>
  <w:style w:type="character" w:customStyle="1" w:styleId="956">
    <w:name w:val="样式 正文缩进 + (西文) 宋体 四号 Char"/>
    <w:link w:val="955"/>
    <w:qFormat/>
    <w:uiPriority w:val="0"/>
    <w:rPr>
      <w:rFonts w:ascii="黑体" w:hAnsi="宋体" w:eastAsia="黑体"/>
      <w:color w:val="000000"/>
      <w:sz w:val="24"/>
      <w:szCs w:val="24"/>
      <w:lang w:bidi="ar-SA"/>
    </w:rPr>
  </w:style>
  <w:style w:type="paragraph" w:customStyle="1" w:styleId="957">
    <w:name w:val="八角图表名"/>
    <w:basedOn w:val="1"/>
    <w:semiHidden/>
    <w:qFormat/>
    <w:uiPriority w:val="0"/>
    <w:pPr>
      <w:widowControl/>
      <w:tabs>
        <w:tab w:val="clear" w:pos="480"/>
      </w:tabs>
      <w:spacing w:line="300" w:lineRule="auto"/>
      <w:jc w:val="center"/>
    </w:pPr>
    <w:rPr>
      <w:rFonts w:ascii="宋体" w:hAnsi="宋体" w:cs="宋体"/>
      <w:color w:val="FF0000"/>
      <w:kern w:val="0"/>
      <w:szCs w:val="30"/>
    </w:rPr>
  </w:style>
  <w:style w:type="character" w:customStyle="1" w:styleId="958">
    <w:name w:val="样式 AA正文首行缩进 2 + 首行缩进:  2 字符 Char Char Char Char Char Char Char Char Char Char Char Char"/>
    <w:qFormat/>
    <w:uiPriority w:val="0"/>
    <w:rPr>
      <w:rFonts w:eastAsia="宋体" w:cs="宋体"/>
      <w:kern w:val="2"/>
      <w:sz w:val="28"/>
      <w:szCs w:val="24"/>
      <w:lang w:val="en-US" w:eastAsia="zh-CN" w:bidi="ar-SA"/>
    </w:rPr>
  </w:style>
  <w:style w:type="paragraph" w:customStyle="1" w:styleId="959">
    <w:name w:val="样式 楷体_GB2312 四号 行距: 1.5 倍行距"/>
    <w:basedOn w:val="5"/>
    <w:qFormat/>
    <w:uiPriority w:val="0"/>
    <w:pPr>
      <w:widowControl/>
      <w:numPr>
        <w:ilvl w:val="0"/>
        <w:numId w:val="0"/>
      </w:numPr>
      <w:tabs>
        <w:tab w:val="clear" w:pos="480"/>
        <w:tab w:val="clear" w:pos="840"/>
      </w:tabs>
      <w:spacing w:beforeLines="50" w:afterLines="50" w:line="360" w:lineRule="auto"/>
      <w:ind w:left="560" w:leftChars="200"/>
      <w:jc w:val="left"/>
    </w:pPr>
    <w:rPr>
      <w:rFonts w:ascii="楷体_GB2312" w:hAnsi="宋体" w:eastAsia="楷体_GB2312" w:cs="宋体"/>
      <w:color w:val="FF0000"/>
      <w:kern w:val="28"/>
      <w:sz w:val="24"/>
      <w:szCs w:val="28"/>
    </w:rPr>
  </w:style>
  <w:style w:type="paragraph" w:customStyle="1" w:styleId="960">
    <w:name w:val="样式 标题 1 + 段前: 0.5 行 段后: 0.5 行"/>
    <w:basedOn w:val="3"/>
    <w:qFormat/>
    <w:uiPriority w:val="0"/>
    <w:pPr>
      <w:widowControl/>
      <w:numPr>
        <w:numId w:val="0"/>
      </w:numPr>
      <w:tabs>
        <w:tab w:val="clear" w:pos="480"/>
      </w:tabs>
      <w:spacing w:beforeLines="50" w:beforeAutospacing="1" w:afterLines="50" w:afterAutospacing="1" w:line="240" w:lineRule="auto"/>
      <w:jc w:val="center"/>
    </w:pPr>
    <w:rPr>
      <w:rFonts w:ascii="黑体" w:hAnsi="宋体" w:eastAsia="黑体" w:cs="宋体"/>
      <w:b w:val="0"/>
      <w:color w:val="000000"/>
      <w:kern w:val="28"/>
      <w:sz w:val="32"/>
      <w:szCs w:val="32"/>
    </w:rPr>
  </w:style>
  <w:style w:type="character" w:customStyle="1" w:styleId="961">
    <w:name w:val="样式 (中文) 楷体_GB2312 四号"/>
    <w:qFormat/>
    <w:uiPriority w:val="0"/>
    <w:rPr>
      <w:rFonts w:eastAsia="仿宋_GB2312"/>
      <w:kern w:val="28"/>
      <w:sz w:val="28"/>
      <w:szCs w:val="28"/>
    </w:rPr>
  </w:style>
  <w:style w:type="paragraph" w:customStyle="1" w:styleId="962">
    <w:name w:val="样式 标题 2 + 字距调整四号"/>
    <w:basedOn w:val="4"/>
    <w:qFormat/>
    <w:uiPriority w:val="0"/>
    <w:pPr>
      <w:widowControl/>
      <w:numPr>
        <w:ilvl w:val="0"/>
        <w:numId w:val="0"/>
      </w:numPr>
      <w:tabs>
        <w:tab w:val="clear" w:pos="480"/>
        <w:tab w:val="clear" w:pos="630"/>
      </w:tabs>
      <w:spacing w:before="20" w:after="20" w:line="240" w:lineRule="auto"/>
      <w:ind w:left="560" w:leftChars="200"/>
      <w:jc w:val="center"/>
    </w:pPr>
    <w:rPr>
      <w:rFonts w:hAnsi="宋体" w:eastAsia="华文中宋" w:cs="宋体"/>
      <w:iCs/>
      <w:color w:val="000000"/>
      <w:kern w:val="28"/>
      <w:sz w:val="24"/>
      <w:szCs w:val="28"/>
    </w:rPr>
  </w:style>
  <w:style w:type="paragraph" w:customStyle="1" w:styleId="963">
    <w:name w:val="样式 标题 3 + 字距调整四号"/>
    <w:basedOn w:val="5"/>
    <w:qFormat/>
    <w:uiPriority w:val="0"/>
    <w:pPr>
      <w:widowControl/>
      <w:numPr>
        <w:ilvl w:val="0"/>
        <w:numId w:val="0"/>
      </w:numPr>
      <w:tabs>
        <w:tab w:val="clear" w:pos="480"/>
        <w:tab w:val="clear" w:pos="840"/>
      </w:tabs>
      <w:spacing w:before="0" w:after="0" w:line="560" w:lineRule="exact"/>
      <w:ind w:left="980" w:hanging="980" w:hangingChars="350"/>
      <w:jc w:val="left"/>
    </w:pPr>
    <w:rPr>
      <w:rFonts w:ascii="宋体" w:hAnsi="宋体" w:cs="宋体"/>
      <w:color w:val="FF0000"/>
      <w:kern w:val="28"/>
      <w:sz w:val="24"/>
      <w:szCs w:val="30"/>
    </w:rPr>
  </w:style>
  <w:style w:type="paragraph" w:customStyle="1" w:styleId="964">
    <w:name w:val="样式 AA正文首行缩进 2 + 首行缩进:  2 字符 Char Char Char Char Char Char Char Char Char Char"/>
    <w:basedOn w:val="1"/>
    <w:qFormat/>
    <w:uiPriority w:val="0"/>
    <w:pPr>
      <w:widowControl/>
      <w:tabs>
        <w:tab w:val="clear" w:pos="480"/>
      </w:tabs>
      <w:spacing w:after="120" w:line="240" w:lineRule="auto"/>
      <w:ind w:firstLine="560"/>
      <w:jc w:val="left"/>
    </w:pPr>
    <w:rPr>
      <w:rFonts w:ascii="Arial" w:hAnsi="Arial" w:cs="宋体"/>
      <w:spacing w:val="2"/>
      <w:kern w:val="0"/>
      <w:szCs w:val="28"/>
    </w:rPr>
  </w:style>
  <w:style w:type="character" w:customStyle="1" w:styleId="965">
    <w:name w:val="正文1234"/>
    <w:qFormat/>
    <w:uiPriority w:val="0"/>
    <w:rPr>
      <w:sz w:val="28"/>
    </w:rPr>
  </w:style>
  <w:style w:type="paragraph" w:customStyle="1" w:styleId="966">
    <w:name w:val="图表名"/>
    <w:basedOn w:val="1"/>
    <w:next w:val="1"/>
    <w:qFormat/>
    <w:uiPriority w:val="0"/>
    <w:pPr>
      <w:widowControl/>
      <w:tabs>
        <w:tab w:val="clear" w:pos="480"/>
      </w:tabs>
      <w:spacing w:beforeLines="50" w:line="300" w:lineRule="auto"/>
      <w:jc w:val="center"/>
    </w:pPr>
    <w:rPr>
      <w:rFonts w:ascii="黑体" w:hAnsi="宋体" w:eastAsia="黑体" w:cs="宋体"/>
      <w:color w:val="000000"/>
      <w:kern w:val="0"/>
    </w:rPr>
  </w:style>
  <w:style w:type="paragraph" w:customStyle="1" w:styleId="967">
    <w:name w:val="制表时的表文样式"/>
    <w:basedOn w:val="4"/>
    <w:qFormat/>
    <w:uiPriority w:val="0"/>
    <w:pPr>
      <w:keepNext w:val="0"/>
      <w:keepLines w:val="0"/>
      <w:widowControl/>
      <w:numPr>
        <w:ilvl w:val="0"/>
        <w:numId w:val="0"/>
      </w:numPr>
      <w:tabs>
        <w:tab w:val="clear" w:pos="480"/>
        <w:tab w:val="clear" w:pos="630"/>
      </w:tabs>
      <w:autoSpaceDE w:val="0"/>
      <w:autoSpaceDN w:val="0"/>
      <w:spacing w:before="0" w:after="0" w:line="240" w:lineRule="atLeast"/>
      <w:jc w:val="center"/>
      <w:outlineLvl w:val="9"/>
    </w:pPr>
    <w:rPr>
      <w:rFonts w:ascii="宋体" w:hAnsi="宋体" w:cs="宋体"/>
      <w:b w:val="0"/>
      <w:iCs/>
      <w:kern w:val="0"/>
      <w:sz w:val="21"/>
      <w:szCs w:val="21"/>
    </w:rPr>
  </w:style>
  <w:style w:type="paragraph" w:customStyle="1" w:styleId="968">
    <w:name w:val="样式2图名"/>
    <w:basedOn w:val="1"/>
    <w:qFormat/>
    <w:uiPriority w:val="0"/>
    <w:pPr>
      <w:widowControl/>
      <w:tabs>
        <w:tab w:val="clear" w:pos="480"/>
      </w:tabs>
      <w:jc w:val="center"/>
    </w:pPr>
    <w:rPr>
      <w:rFonts w:ascii="黑体" w:hAnsi="宋体" w:eastAsia="黑体" w:cs="宋体"/>
      <w:kern w:val="0"/>
      <w:sz w:val="21"/>
    </w:rPr>
  </w:style>
  <w:style w:type="paragraph" w:customStyle="1" w:styleId="969">
    <w:name w:val="标题   4"/>
    <w:basedOn w:val="5"/>
    <w:semiHidden/>
    <w:qFormat/>
    <w:uiPriority w:val="0"/>
    <w:pPr>
      <w:widowControl/>
      <w:numPr>
        <w:ilvl w:val="0"/>
        <w:numId w:val="0"/>
      </w:numPr>
      <w:tabs>
        <w:tab w:val="clear" w:pos="480"/>
        <w:tab w:val="clear" w:pos="840"/>
      </w:tabs>
      <w:spacing w:beforeLines="20" w:afterLines="20" w:line="360" w:lineRule="auto"/>
      <w:ind w:firstLine="614" w:firstLineChars="255"/>
      <w:jc w:val="left"/>
    </w:pPr>
    <w:rPr>
      <w:rFonts w:ascii="宋体" w:hAnsi="宋体" w:eastAsia="宋体" w:cs="宋体"/>
      <w:color w:val="000000"/>
      <w:kern w:val="24"/>
      <w:sz w:val="24"/>
      <w:szCs w:val="24"/>
    </w:rPr>
  </w:style>
  <w:style w:type="paragraph" w:customStyle="1" w:styleId="970">
    <w:name w:val="标题  4"/>
    <w:basedOn w:val="1"/>
    <w:semiHidden/>
    <w:qFormat/>
    <w:uiPriority w:val="0"/>
    <w:pPr>
      <w:widowControl/>
      <w:tabs>
        <w:tab w:val="clear" w:pos="480"/>
      </w:tabs>
      <w:jc w:val="center"/>
    </w:pPr>
    <w:rPr>
      <w:rFonts w:ascii="黑体" w:hAnsi="黑体" w:eastAsia="黑体" w:cs="宋体"/>
      <w:b/>
      <w:kern w:val="0"/>
    </w:rPr>
  </w:style>
  <w:style w:type="paragraph" w:customStyle="1" w:styleId="971">
    <w:name w:val="表名样式"/>
    <w:basedOn w:val="1"/>
    <w:semiHidden/>
    <w:qFormat/>
    <w:uiPriority w:val="0"/>
    <w:pPr>
      <w:widowControl/>
      <w:tabs>
        <w:tab w:val="clear" w:pos="480"/>
      </w:tabs>
      <w:autoSpaceDE w:val="0"/>
      <w:autoSpaceDN w:val="0"/>
      <w:spacing w:before="100" w:line="312" w:lineRule="auto"/>
      <w:jc w:val="center"/>
    </w:pPr>
    <w:rPr>
      <w:rFonts w:ascii="黑体" w:hAnsi="宋体" w:eastAsia="黑体" w:cs="宋体"/>
      <w:kern w:val="0"/>
      <w:sz w:val="21"/>
    </w:rPr>
  </w:style>
  <w:style w:type="paragraph" w:customStyle="1" w:styleId="972">
    <w:name w:val="图名样式"/>
    <w:basedOn w:val="1"/>
    <w:qFormat/>
    <w:uiPriority w:val="0"/>
    <w:pPr>
      <w:widowControl/>
      <w:tabs>
        <w:tab w:val="clear" w:pos="480"/>
      </w:tabs>
      <w:jc w:val="center"/>
    </w:pPr>
    <w:rPr>
      <w:rFonts w:ascii="黑体" w:hAnsi="宋体" w:eastAsia="黑体" w:cs="宋体"/>
      <w:kern w:val="0"/>
      <w:sz w:val="21"/>
    </w:rPr>
  </w:style>
  <w:style w:type="paragraph" w:customStyle="1" w:styleId="973">
    <w:name w:val="样式2表名"/>
    <w:basedOn w:val="971"/>
    <w:qFormat/>
    <w:uiPriority w:val="0"/>
    <w:pPr/>
    <w:rPr>
      <w:lang w:val="zh-CN"/>
    </w:rPr>
  </w:style>
  <w:style w:type="paragraph" w:customStyle="1" w:styleId="974">
    <w:name w:val="正文8"/>
    <w:basedOn w:val="1"/>
    <w:qFormat/>
    <w:uiPriority w:val="0"/>
    <w:pPr>
      <w:widowControl/>
      <w:tabs>
        <w:tab w:val="clear" w:pos="480"/>
      </w:tabs>
      <w:spacing w:line="240" w:lineRule="auto"/>
      <w:ind w:firstLine="420"/>
      <w:jc w:val="left"/>
    </w:pPr>
    <w:rPr>
      <w:rFonts w:ascii="楷体_GB2312" w:hAnsi="宋体" w:eastAsia="楷体_GB2312" w:cs="宋体"/>
      <w:kern w:val="0"/>
      <w:sz w:val="21"/>
    </w:rPr>
  </w:style>
  <w:style w:type="paragraph" w:customStyle="1" w:styleId="975">
    <w:name w:val="样式1表名"/>
    <w:basedOn w:val="1"/>
    <w:qFormat/>
    <w:uiPriority w:val="0"/>
    <w:pPr>
      <w:widowControl/>
      <w:tabs>
        <w:tab w:val="clear" w:pos="480"/>
      </w:tabs>
      <w:spacing w:before="120" w:after="120"/>
      <w:jc w:val="center"/>
    </w:pPr>
    <w:rPr>
      <w:rFonts w:ascii="黑体" w:hAnsi="宋体" w:eastAsia="黑体" w:cs="宋体"/>
      <w:kern w:val="0"/>
      <w:sz w:val="21"/>
    </w:rPr>
  </w:style>
  <w:style w:type="paragraph" w:customStyle="1" w:styleId="976">
    <w:name w:val="样式1图名"/>
    <w:basedOn w:val="1"/>
    <w:qFormat/>
    <w:uiPriority w:val="0"/>
    <w:pPr>
      <w:widowControl/>
      <w:tabs>
        <w:tab w:val="clear" w:pos="480"/>
      </w:tabs>
      <w:spacing w:before="120" w:after="120" w:line="240" w:lineRule="auto"/>
      <w:jc w:val="center"/>
    </w:pPr>
    <w:rPr>
      <w:rFonts w:ascii="黑体" w:hAnsi="宋体" w:eastAsia="黑体" w:cs="宋体"/>
      <w:kern w:val="0"/>
      <w:sz w:val="21"/>
    </w:rPr>
  </w:style>
  <w:style w:type="paragraph" w:customStyle="1" w:styleId="977">
    <w:name w:val="样式表名"/>
    <w:basedOn w:val="1"/>
    <w:qFormat/>
    <w:uiPriority w:val="0"/>
    <w:pPr>
      <w:widowControl/>
      <w:tabs>
        <w:tab w:val="clear" w:pos="480"/>
      </w:tabs>
      <w:jc w:val="center"/>
    </w:pPr>
    <w:rPr>
      <w:rFonts w:ascii="黑体" w:hAnsi="宋体" w:eastAsia="黑体" w:cs="宋体"/>
      <w:kern w:val="0"/>
      <w:sz w:val="21"/>
    </w:rPr>
  </w:style>
  <w:style w:type="paragraph" w:customStyle="1" w:styleId="978">
    <w:name w:val="Table text"/>
    <w:basedOn w:val="1"/>
    <w:semiHidden/>
    <w:qFormat/>
    <w:uiPriority w:val="0"/>
    <w:pPr>
      <w:widowControl/>
      <w:tabs>
        <w:tab w:val="clear" w:pos="480"/>
      </w:tabs>
      <w:spacing w:line="240" w:lineRule="auto"/>
      <w:jc w:val="left"/>
    </w:pPr>
    <w:rPr>
      <w:rFonts w:ascii="宋体" w:hAnsi="宋体" w:cs="宋体"/>
      <w:kern w:val="0"/>
      <w:sz w:val="20"/>
      <w:lang w:val="en-GB" w:eastAsia="en-US"/>
    </w:rPr>
  </w:style>
  <w:style w:type="paragraph" w:customStyle="1" w:styleId="979">
    <w:name w:val="Table header"/>
    <w:basedOn w:val="1"/>
    <w:semiHidden/>
    <w:qFormat/>
    <w:uiPriority w:val="0"/>
    <w:pPr>
      <w:keepNext/>
      <w:widowControl/>
      <w:tabs>
        <w:tab w:val="clear" w:pos="480"/>
      </w:tabs>
      <w:spacing w:line="240" w:lineRule="auto"/>
      <w:jc w:val="left"/>
    </w:pPr>
    <w:rPr>
      <w:rFonts w:ascii="宋体" w:hAnsi="宋体" w:cs="宋体"/>
      <w:b/>
      <w:bCs/>
      <w:kern w:val="0"/>
      <w:sz w:val="20"/>
      <w:lang w:val="en-GB" w:eastAsia="en-US"/>
    </w:rPr>
  </w:style>
  <w:style w:type="paragraph" w:customStyle="1" w:styleId="980">
    <w:name w:val="十五（表）"/>
    <w:basedOn w:val="1"/>
    <w:qFormat/>
    <w:uiPriority w:val="0"/>
    <w:pPr>
      <w:widowControl/>
      <w:tabs>
        <w:tab w:val="clear" w:pos="480"/>
      </w:tabs>
      <w:jc w:val="center"/>
    </w:pPr>
    <w:rPr>
      <w:rFonts w:ascii="黑体" w:hAnsi="宋体" w:eastAsia="黑体" w:cs="黑体"/>
      <w:kern w:val="0"/>
      <w:sz w:val="21"/>
      <w:szCs w:val="21"/>
      <w:lang w:val="zh-CN"/>
    </w:rPr>
  </w:style>
  <w:style w:type="paragraph" w:customStyle="1" w:styleId="981">
    <w:name w:val="Body"/>
    <w:semiHidden/>
    <w:qFormat/>
    <w:uiPriority w:val="0"/>
    <w:pPr>
      <w:tabs>
        <w:tab w:val="left" w:pos="-720"/>
      </w:tabs>
      <w:suppressAutoHyphens/>
      <w:spacing w:line="360" w:lineRule="auto"/>
      <w:ind w:firstLine="200" w:firstLineChars="200"/>
      <w:jc w:val="both"/>
    </w:pPr>
    <w:rPr>
      <w:rFonts w:ascii="Helvetica" w:hAnsi="Helvetica" w:eastAsia="宋体" w:cs="Times New Roman"/>
      <w:spacing w:val="-3"/>
      <w:kern w:val="2"/>
      <w:sz w:val="24"/>
      <w:szCs w:val="24"/>
      <w:lang w:val="en-US" w:eastAsia="en-US" w:bidi="ar-SA"/>
    </w:rPr>
  </w:style>
  <w:style w:type="character" w:customStyle="1" w:styleId="982">
    <w:name w:val="标题 1 Char Char Char Char Char Char Char Char Char Char Char"/>
    <w:semiHidden/>
    <w:qFormat/>
    <w:uiPriority w:val="0"/>
    <w:rPr>
      <w:rFonts w:eastAsia="宋体"/>
      <w:kern w:val="2"/>
      <w:sz w:val="28"/>
      <w:szCs w:val="24"/>
      <w:lang w:val="en-US" w:eastAsia="zh-CN" w:bidi="ar-SA"/>
    </w:rPr>
  </w:style>
  <w:style w:type="paragraph" w:customStyle="1" w:styleId="983">
    <w:name w:val="标题  2"/>
    <w:basedOn w:val="4"/>
    <w:semiHidden/>
    <w:qFormat/>
    <w:uiPriority w:val="0"/>
    <w:pPr>
      <w:keepNext w:val="0"/>
      <w:keepLines w:val="0"/>
      <w:widowControl/>
      <w:numPr>
        <w:ilvl w:val="0"/>
        <w:numId w:val="0"/>
      </w:numPr>
      <w:tabs>
        <w:tab w:val="clear" w:pos="480"/>
        <w:tab w:val="clear" w:pos="630"/>
      </w:tabs>
      <w:spacing w:before="0" w:after="0"/>
      <w:jc w:val="left"/>
    </w:pPr>
    <w:rPr>
      <w:rFonts w:ascii="宋体" w:hAnsi="Arial" w:cs="宋体"/>
      <w:bCs w:val="0"/>
      <w:iCs/>
      <w:color w:val="000000"/>
      <w:kern w:val="0"/>
    </w:rPr>
  </w:style>
  <w:style w:type="paragraph" w:customStyle="1" w:styleId="984">
    <w:name w:val="内容1"/>
    <w:basedOn w:val="1"/>
    <w:qFormat/>
    <w:uiPriority w:val="0"/>
    <w:pPr>
      <w:widowControl/>
      <w:tabs>
        <w:tab w:val="clear" w:pos="480"/>
      </w:tabs>
      <w:spacing w:line="240" w:lineRule="auto"/>
      <w:ind w:left="100" w:leftChars="100" w:right="100" w:rightChars="100"/>
      <w:jc w:val="left"/>
    </w:pPr>
    <w:rPr>
      <w:rFonts w:ascii="宋体" w:hAnsi="宋体" w:eastAsia="仿宋_GB2312" w:cs="宋体"/>
      <w:kern w:val="0"/>
    </w:rPr>
  </w:style>
  <w:style w:type="paragraph" w:customStyle="1" w:styleId="985">
    <w:name w:val="标题 2（用）"/>
    <w:basedOn w:val="4"/>
    <w:semiHidden/>
    <w:qFormat/>
    <w:uiPriority w:val="0"/>
    <w:pPr>
      <w:widowControl/>
      <w:numPr>
        <w:ilvl w:val="0"/>
        <w:numId w:val="0"/>
      </w:numPr>
      <w:tabs>
        <w:tab w:val="clear" w:pos="480"/>
        <w:tab w:val="clear" w:pos="630"/>
      </w:tabs>
      <w:adjustRightInd w:val="0"/>
      <w:spacing w:before="50" w:afterLines="25" w:line="240" w:lineRule="auto"/>
      <w:ind w:left="278" w:right="40"/>
      <w:jc w:val="center"/>
    </w:pPr>
    <w:rPr>
      <w:rFonts w:ascii="宋体" w:hAnsi="宋体" w:cs="宋体"/>
      <w:iCs/>
      <w:color w:val="000000"/>
      <w:kern w:val="0"/>
      <w:sz w:val="44"/>
      <w:szCs w:val="44"/>
    </w:rPr>
  </w:style>
  <w:style w:type="character" w:customStyle="1" w:styleId="986">
    <w:name w:val="textlargeheadingspecial1"/>
    <w:semiHidden/>
    <w:qFormat/>
    <w:uiPriority w:val="0"/>
    <w:rPr>
      <w:rFonts w:hint="default" w:ascii="Tahoma" w:hAnsi="Tahoma" w:cs="Tahoma"/>
      <w:b/>
      <w:bCs/>
      <w:color w:val="666666"/>
      <w:sz w:val="24"/>
      <w:szCs w:val="24"/>
      <w:shd w:val="clear" w:color="auto" w:fill="auto"/>
    </w:rPr>
  </w:style>
  <w:style w:type="paragraph" w:customStyle="1" w:styleId="987">
    <w:name w:val="样式 标题 3 + (西文) Times New Roman (中文) 宋体 小四 加粗 两端对齐 段前: 0 磅 ..."/>
    <w:basedOn w:val="5"/>
    <w:qFormat/>
    <w:uiPriority w:val="0"/>
    <w:pPr>
      <w:widowControl/>
      <w:numPr>
        <w:ilvl w:val="0"/>
        <w:numId w:val="0"/>
      </w:numPr>
      <w:tabs>
        <w:tab w:val="clear" w:pos="480"/>
        <w:tab w:val="clear" w:pos="840"/>
      </w:tabs>
      <w:spacing w:before="0" w:after="0" w:line="312" w:lineRule="auto"/>
      <w:ind w:firstLine="472" w:firstLineChars="196"/>
      <w:jc w:val="center"/>
    </w:pPr>
    <w:rPr>
      <w:rFonts w:ascii="宋体" w:hAnsi="宋体" w:eastAsia="黑体" w:cs="宋体"/>
      <w:b w:val="0"/>
      <w:kern w:val="0"/>
      <w:sz w:val="21"/>
      <w:szCs w:val="24"/>
    </w:rPr>
  </w:style>
  <w:style w:type="paragraph" w:customStyle="1" w:styleId="988">
    <w:name w:val="标题 3H3 + 四号"/>
    <w:basedOn w:val="5"/>
    <w:semiHidden/>
    <w:qFormat/>
    <w:uiPriority w:val="0"/>
    <w:pPr>
      <w:widowControl/>
      <w:numPr>
        <w:ilvl w:val="0"/>
        <w:numId w:val="0"/>
      </w:numPr>
      <w:tabs>
        <w:tab w:val="clear" w:pos="480"/>
        <w:tab w:val="clear" w:pos="840"/>
      </w:tabs>
      <w:spacing w:before="260" w:line="415" w:lineRule="auto"/>
      <w:ind w:firstLine="200"/>
      <w:jc w:val="center"/>
    </w:pPr>
    <w:rPr>
      <w:rFonts w:ascii="宋体" w:hAnsi="宋体" w:cs="宋体"/>
      <w:kern w:val="0"/>
      <w:sz w:val="24"/>
      <w:szCs w:val="24"/>
    </w:rPr>
  </w:style>
  <w:style w:type="paragraph" w:customStyle="1" w:styleId="989">
    <w:name w:val="7级(表)"/>
    <w:basedOn w:val="1"/>
    <w:semiHidden/>
    <w:qFormat/>
    <w:uiPriority w:val="0"/>
    <w:pPr>
      <w:widowControl/>
      <w:tabs>
        <w:tab w:val="clear" w:pos="480"/>
      </w:tabs>
      <w:jc w:val="center"/>
    </w:pPr>
    <w:rPr>
      <w:rFonts w:ascii="黑体" w:hAnsi="宋体" w:eastAsia="黑体" w:cs="宋体"/>
      <w:kern w:val="0"/>
      <w:sz w:val="21"/>
    </w:rPr>
  </w:style>
  <w:style w:type="paragraph" w:customStyle="1" w:styleId="990">
    <w:name w:val="6级(图)"/>
    <w:basedOn w:val="1"/>
    <w:semiHidden/>
    <w:qFormat/>
    <w:uiPriority w:val="0"/>
    <w:pPr>
      <w:widowControl/>
      <w:tabs>
        <w:tab w:val="clear" w:pos="480"/>
      </w:tabs>
      <w:jc w:val="center"/>
    </w:pPr>
    <w:rPr>
      <w:rFonts w:ascii="宋体" w:hAnsi="宋体" w:cs="宋体"/>
      <w:kern w:val="0"/>
      <w:sz w:val="21"/>
    </w:rPr>
  </w:style>
  <w:style w:type="paragraph" w:customStyle="1" w:styleId="991">
    <w:name w:val="6级new(图）"/>
    <w:basedOn w:val="1"/>
    <w:semiHidden/>
    <w:qFormat/>
    <w:uiPriority w:val="0"/>
    <w:pPr>
      <w:widowControl/>
      <w:tabs>
        <w:tab w:val="clear" w:pos="480"/>
      </w:tabs>
      <w:ind w:firstLine="420"/>
      <w:jc w:val="center"/>
    </w:pPr>
    <w:rPr>
      <w:rFonts w:ascii="宋体" w:hAnsi="宋体" w:cs="宋体"/>
      <w:kern w:val="0"/>
      <w:sz w:val="21"/>
    </w:rPr>
  </w:style>
  <w:style w:type="paragraph" w:customStyle="1" w:styleId="992">
    <w:name w:val="7new（表）"/>
    <w:basedOn w:val="1"/>
    <w:semiHidden/>
    <w:qFormat/>
    <w:uiPriority w:val="0"/>
    <w:pPr>
      <w:widowControl/>
      <w:tabs>
        <w:tab w:val="clear" w:pos="480"/>
      </w:tabs>
      <w:spacing w:line="240" w:lineRule="auto"/>
      <w:jc w:val="center"/>
    </w:pPr>
    <w:rPr>
      <w:rFonts w:ascii="黑体" w:hAnsi="宋体" w:eastAsia="黑体" w:cs="宋体"/>
      <w:kern w:val="0"/>
      <w:sz w:val="21"/>
    </w:rPr>
  </w:style>
  <w:style w:type="paragraph" w:customStyle="1" w:styleId="993">
    <w:name w:val="汇总1"/>
    <w:basedOn w:val="3"/>
    <w:qFormat/>
    <w:uiPriority w:val="0"/>
    <w:pPr>
      <w:widowControl/>
      <w:numPr>
        <w:numId w:val="0"/>
      </w:numPr>
      <w:tabs>
        <w:tab w:val="clear" w:pos="480"/>
      </w:tabs>
      <w:spacing w:beforeLines="50" w:afterLines="50" w:line="578" w:lineRule="auto"/>
      <w:jc w:val="center"/>
    </w:pPr>
    <w:rPr>
      <w:rFonts w:ascii="宋体" w:hAnsi="宋体" w:eastAsia="宋体" w:cs="宋体"/>
      <w:b w:val="0"/>
      <w:bCs w:val="0"/>
      <w:szCs w:val="36"/>
    </w:rPr>
  </w:style>
  <w:style w:type="paragraph" w:customStyle="1" w:styleId="994">
    <w:name w:val="汇总2"/>
    <w:basedOn w:val="4"/>
    <w:qFormat/>
    <w:uiPriority w:val="0"/>
    <w:pPr>
      <w:keepLines w:val="0"/>
      <w:widowControl/>
      <w:numPr>
        <w:ilvl w:val="0"/>
        <w:numId w:val="0"/>
      </w:numPr>
      <w:tabs>
        <w:tab w:val="clear" w:pos="480"/>
        <w:tab w:val="clear" w:pos="630"/>
      </w:tabs>
      <w:spacing w:before="340" w:after="330" w:line="480" w:lineRule="auto"/>
      <w:jc w:val="center"/>
    </w:pPr>
    <w:rPr>
      <w:rFonts w:ascii="宋体" w:hAnsi="宋体" w:cs="宋体"/>
      <w:iCs/>
      <w:color w:val="000000"/>
      <w:kern w:val="0"/>
      <w:lang w:val="en-GB"/>
    </w:rPr>
  </w:style>
  <w:style w:type="paragraph" w:customStyle="1" w:styleId="995">
    <w:name w:val="汇总2x"/>
    <w:basedOn w:val="1"/>
    <w:qFormat/>
    <w:uiPriority w:val="0"/>
    <w:pPr>
      <w:widowControl/>
      <w:tabs>
        <w:tab w:val="clear" w:pos="480"/>
      </w:tabs>
      <w:spacing w:before="260" w:after="260" w:line="415" w:lineRule="auto"/>
      <w:jc w:val="center"/>
    </w:pPr>
    <w:rPr>
      <w:rFonts w:ascii="宋体" w:hAnsi="宋体" w:cs="宋体"/>
      <w:b/>
      <w:kern w:val="0"/>
      <w:sz w:val="32"/>
      <w:szCs w:val="32"/>
    </w:rPr>
  </w:style>
  <w:style w:type="paragraph" w:customStyle="1" w:styleId="996">
    <w:name w:val="汇总3"/>
    <w:basedOn w:val="1"/>
    <w:qFormat/>
    <w:uiPriority w:val="0"/>
    <w:pPr>
      <w:widowControl/>
      <w:tabs>
        <w:tab w:val="clear" w:pos="480"/>
      </w:tabs>
      <w:spacing w:before="260" w:after="260"/>
      <w:ind w:firstLine="560"/>
      <w:jc w:val="left"/>
    </w:pPr>
    <w:rPr>
      <w:rFonts w:ascii="仿宋_GB2312" w:hAnsi="宋体" w:eastAsia="仿宋_GB2312" w:cs="宋体"/>
      <w:kern w:val="0"/>
      <w:szCs w:val="28"/>
    </w:rPr>
  </w:style>
  <w:style w:type="paragraph" w:customStyle="1" w:styleId="997">
    <w:name w:val="汇总4"/>
    <w:basedOn w:val="1"/>
    <w:qFormat/>
    <w:uiPriority w:val="0"/>
    <w:pPr>
      <w:widowControl/>
      <w:tabs>
        <w:tab w:val="clear" w:pos="480"/>
      </w:tabs>
      <w:ind w:firstLine="480"/>
      <w:jc w:val="left"/>
    </w:pPr>
    <w:rPr>
      <w:rFonts w:ascii="黑体" w:hAnsi="宋体" w:eastAsia="黑体" w:cs="宋体"/>
      <w:kern w:val="0"/>
    </w:rPr>
  </w:style>
  <w:style w:type="paragraph" w:customStyle="1" w:styleId="998">
    <w:name w:val="汇总5"/>
    <w:basedOn w:val="1"/>
    <w:qFormat/>
    <w:uiPriority w:val="0"/>
    <w:pPr>
      <w:widowControl/>
      <w:tabs>
        <w:tab w:val="clear" w:pos="480"/>
      </w:tabs>
      <w:ind w:firstLine="480"/>
      <w:jc w:val="left"/>
    </w:pPr>
    <w:rPr>
      <w:rFonts w:ascii="楷体_GB2312" w:hAnsi="宋体" w:eastAsia="楷体_GB2312" w:cs="宋体"/>
      <w:kern w:val="0"/>
    </w:rPr>
  </w:style>
  <w:style w:type="paragraph" w:customStyle="1" w:styleId="999">
    <w:name w:val="汇总表"/>
    <w:basedOn w:val="1"/>
    <w:qFormat/>
    <w:uiPriority w:val="0"/>
    <w:pPr>
      <w:widowControl/>
      <w:tabs>
        <w:tab w:val="clear" w:pos="480"/>
      </w:tabs>
      <w:spacing w:line="240" w:lineRule="auto"/>
      <w:jc w:val="center"/>
    </w:pPr>
    <w:rPr>
      <w:rFonts w:ascii="黑体" w:hAnsi="宋体" w:eastAsia="黑体" w:cs="宋体"/>
      <w:kern w:val="0"/>
      <w:sz w:val="21"/>
    </w:rPr>
  </w:style>
  <w:style w:type="paragraph" w:customStyle="1" w:styleId="1000">
    <w:name w:val="汇总图"/>
    <w:basedOn w:val="22"/>
    <w:qFormat/>
    <w:uiPriority w:val="0"/>
    <w:pPr>
      <w:keepNext/>
      <w:adjustRightInd/>
      <w:snapToGrid/>
      <w:spacing w:before="0" w:after="0" w:line="240" w:lineRule="auto"/>
      <w:ind w:firstLine="0" w:firstLineChars="0"/>
    </w:pPr>
    <w:rPr>
      <w:rFonts w:ascii="宋体" w:hAnsi="宋体" w:cs="宋体"/>
      <w:bCs/>
      <w:color w:val="auto"/>
      <w:kern w:val="0"/>
      <w:sz w:val="21"/>
      <w:szCs w:val="21"/>
      <w:lang w:val="en-GB"/>
    </w:rPr>
  </w:style>
  <w:style w:type="paragraph" w:customStyle="1" w:styleId="1001">
    <w:name w:val="汇总1x"/>
    <w:basedOn w:val="993"/>
    <w:qFormat/>
    <w:uiPriority w:val="0"/>
    <w:pPr/>
    <w:rPr>
      <w:rFonts w:ascii="黑体" w:eastAsia="黑体"/>
    </w:rPr>
  </w:style>
  <w:style w:type="paragraph" w:customStyle="1" w:styleId="1002">
    <w:name w:val="JLKC3标题1"/>
    <w:basedOn w:val="1"/>
    <w:semiHidden/>
    <w:qFormat/>
    <w:uiPriority w:val="0"/>
    <w:pPr>
      <w:widowControl/>
      <w:tabs>
        <w:tab w:val="clear" w:pos="480"/>
      </w:tabs>
      <w:ind w:firstLine="601"/>
      <w:jc w:val="left"/>
    </w:pPr>
    <w:rPr>
      <w:rFonts w:ascii="宋体" w:hAnsi="宋体" w:cs="宋体"/>
      <w:b/>
      <w:kern w:val="0"/>
      <w:szCs w:val="28"/>
    </w:rPr>
  </w:style>
  <w:style w:type="paragraph" w:customStyle="1" w:styleId="1003">
    <w:name w:val="JLKC3标题2"/>
    <w:basedOn w:val="1"/>
    <w:semiHidden/>
    <w:qFormat/>
    <w:uiPriority w:val="0"/>
    <w:pPr>
      <w:widowControl/>
      <w:tabs>
        <w:tab w:val="clear" w:pos="480"/>
      </w:tabs>
      <w:spacing w:line="348" w:lineRule="auto"/>
      <w:ind w:firstLine="500"/>
      <w:jc w:val="left"/>
    </w:pPr>
    <w:rPr>
      <w:rFonts w:ascii="宋体" w:hAnsi="宋体" w:cs="宋体"/>
      <w:b/>
      <w:kern w:val="0"/>
    </w:rPr>
  </w:style>
  <w:style w:type="paragraph" w:customStyle="1" w:styleId="1004">
    <w:name w:val="样式 标题 1 + 行距: 1.5 倍行距"/>
    <w:basedOn w:val="3"/>
    <w:qFormat/>
    <w:uiPriority w:val="0"/>
    <w:pPr>
      <w:widowControl/>
      <w:numPr>
        <w:numId w:val="0"/>
      </w:numPr>
      <w:tabs>
        <w:tab w:val="clear" w:pos="480"/>
      </w:tabs>
      <w:spacing w:beforeLines="50" w:afterLines="50" w:line="480" w:lineRule="auto"/>
      <w:jc w:val="left"/>
    </w:pPr>
    <w:rPr>
      <w:rFonts w:ascii="Times New Roman" w:hAnsi="宋体" w:eastAsia="宋体" w:cs="宋体"/>
      <w:b w:val="0"/>
      <w:sz w:val="24"/>
      <w:szCs w:val="24"/>
    </w:rPr>
  </w:style>
  <w:style w:type="paragraph" w:customStyle="1" w:styleId="1005">
    <w:name w:val="YTK标题1"/>
    <w:basedOn w:val="1"/>
    <w:semiHidden/>
    <w:qFormat/>
    <w:uiPriority w:val="0"/>
    <w:pPr>
      <w:widowControl/>
      <w:tabs>
        <w:tab w:val="clear" w:pos="480"/>
      </w:tabs>
      <w:spacing w:line="240" w:lineRule="auto"/>
      <w:jc w:val="left"/>
    </w:pPr>
    <w:rPr>
      <w:rFonts w:ascii="宋体" w:hAnsi="宋体" w:cs="宋体"/>
      <w:b/>
      <w:color w:val="000000"/>
      <w:kern w:val="0"/>
    </w:rPr>
  </w:style>
  <w:style w:type="paragraph" w:customStyle="1" w:styleId="1006">
    <w:name w:val="YTK标题2"/>
    <w:basedOn w:val="1"/>
    <w:semiHidden/>
    <w:qFormat/>
    <w:uiPriority w:val="0"/>
    <w:pPr>
      <w:widowControl/>
      <w:tabs>
        <w:tab w:val="clear" w:pos="480"/>
      </w:tabs>
      <w:jc w:val="left"/>
    </w:pPr>
    <w:rPr>
      <w:rFonts w:ascii="宋体" w:hAnsi="宋体" w:cs="宋体"/>
      <w:b/>
      <w:color w:val="000000"/>
      <w:kern w:val="0"/>
    </w:rPr>
  </w:style>
  <w:style w:type="paragraph" w:customStyle="1" w:styleId="1007">
    <w:name w:val="YTK标题3"/>
    <w:basedOn w:val="1"/>
    <w:semiHidden/>
    <w:qFormat/>
    <w:uiPriority w:val="0"/>
    <w:pPr>
      <w:widowControl/>
      <w:tabs>
        <w:tab w:val="clear" w:pos="480"/>
      </w:tabs>
      <w:jc w:val="left"/>
    </w:pPr>
    <w:rPr>
      <w:rFonts w:ascii="宋体" w:hAnsi="宋体" w:cs="宋体"/>
      <w:b/>
      <w:color w:val="000000"/>
      <w:kern w:val="0"/>
    </w:rPr>
  </w:style>
  <w:style w:type="paragraph" w:customStyle="1" w:styleId="1008">
    <w:name w:val="YTK标题4"/>
    <w:basedOn w:val="1"/>
    <w:semiHidden/>
    <w:qFormat/>
    <w:uiPriority w:val="0"/>
    <w:pPr>
      <w:widowControl/>
      <w:tabs>
        <w:tab w:val="clear" w:pos="480"/>
      </w:tabs>
      <w:jc w:val="left"/>
    </w:pPr>
    <w:rPr>
      <w:rFonts w:ascii="宋体" w:hAnsi="宋体" w:cs="宋体"/>
      <w:b/>
      <w:bCs/>
      <w:color w:val="000000"/>
      <w:kern w:val="0"/>
    </w:rPr>
  </w:style>
  <w:style w:type="paragraph" w:customStyle="1" w:styleId="1009">
    <w:name w:val="YTK标题5"/>
    <w:basedOn w:val="1"/>
    <w:semiHidden/>
    <w:qFormat/>
    <w:uiPriority w:val="0"/>
    <w:pPr>
      <w:widowControl/>
      <w:tabs>
        <w:tab w:val="clear" w:pos="480"/>
      </w:tabs>
      <w:jc w:val="left"/>
    </w:pPr>
    <w:rPr>
      <w:rFonts w:ascii="宋体" w:hAnsi="宋体" w:cs="宋体"/>
      <w:b/>
      <w:color w:val="000000"/>
      <w:kern w:val="0"/>
      <w:szCs w:val="28"/>
      <w:lang w:val="zh-CN"/>
    </w:rPr>
  </w:style>
  <w:style w:type="paragraph" w:customStyle="1" w:styleId="1010">
    <w:name w:val="样式 (西文) 宋体 小四 黑色 段前: 7.8 磅 行距: 1.5 倍行距"/>
    <w:basedOn w:val="1"/>
    <w:qFormat/>
    <w:uiPriority w:val="0"/>
    <w:pPr>
      <w:widowControl/>
      <w:tabs>
        <w:tab w:val="clear" w:pos="480"/>
      </w:tabs>
      <w:spacing w:before="156"/>
      <w:ind w:firstLine="540" w:firstLineChars="225"/>
      <w:jc w:val="left"/>
    </w:pPr>
    <w:rPr>
      <w:rFonts w:ascii="宋体" w:hAnsi="宋体" w:cs="宋体"/>
      <w:color w:val="000000"/>
      <w:kern w:val="0"/>
    </w:rPr>
  </w:style>
  <w:style w:type="paragraph" w:customStyle="1" w:styleId="1011">
    <w:name w:val="样式 标题 2 + 小四"/>
    <w:basedOn w:val="4"/>
    <w:qFormat/>
    <w:uiPriority w:val="0"/>
    <w:pPr>
      <w:widowControl/>
      <w:numPr>
        <w:ilvl w:val="0"/>
        <w:numId w:val="0"/>
      </w:numPr>
      <w:tabs>
        <w:tab w:val="clear" w:pos="480"/>
        <w:tab w:val="clear" w:pos="630"/>
      </w:tabs>
      <w:spacing w:before="0" w:after="0"/>
      <w:jc w:val="left"/>
    </w:pPr>
    <w:rPr>
      <w:rFonts w:hAnsi="宋体" w:cs="宋体"/>
      <w:b w:val="0"/>
      <w:bCs w:val="0"/>
      <w:iCs/>
      <w:kern w:val="0"/>
      <w:sz w:val="30"/>
      <w:szCs w:val="30"/>
    </w:rPr>
  </w:style>
  <w:style w:type="paragraph" w:customStyle="1" w:styleId="1012">
    <w:name w:val="样式 标题 2 + 首行缩进:  0 字符"/>
    <w:basedOn w:val="4"/>
    <w:qFormat/>
    <w:uiPriority w:val="0"/>
    <w:pPr>
      <w:widowControl/>
      <w:numPr>
        <w:ilvl w:val="0"/>
        <w:numId w:val="0"/>
      </w:numPr>
      <w:tabs>
        <w:tab w:val="clear" w:pos="480"/>
        <w:tab w:val="clear" w:pos="630"/>
      </w:tabs>
      <w:spacing w:before="50" w:after="0"/>
      <w:jc w:val="left"/>
    </w:pPr>
    <w:rPr>
      <w:rFonts w:hAnsi="宋体" w:cs="宋体"/>
      <w:bCs w:val="0"/>
      <w:iCs/>
      <w:kern w:val="0"/>
      <w:sz w:val="30"/>
      <w:szCs w:val="24"/>
    </w:rPr>
  </w:style>
  <w:style w:type="paragraph" w:customStyle="1" w:styleId="1013">
    <w:name w:val="样式 样式 标题 2 + 首行缩进:  0 字符 + 段前: 0.5 行"/>
    <w:basedOn w:val="1012"/>
    <w:qFormat/>
    <w:uiPriority w:val="0"/>
    <w:pPr/>
  </w:style>
  <w:style w:type="paragraph" w:customStyle="1" w:styleId="1014">
    <w:name w:val="样式 样式 标题 2 + 首行缩进:  0 字符 + 段前: 0.5 行1"/>
    <w:basedOn w:val="1012"/>
    <w:qFormat/>
    <w:uiPriority w:val="0"/>
    <w:pPr/>
  </w:style>
  <w:style w:type="character" w:customStyle="1" w:styleId="1015">
    <w:name w:val="Char3"/>
    <w:semiHidden/>
    <w:qFormat/>
    <w:uiPriority w:val="0"/>
    <w:rPr>
      <w:rFonts w:eastAsia="宋体"/>
      <w:b/>
      <w:bCs/>
      <w:kern w:val="44"/>
      <w:sz w:val="30"/>
      <w:szCs w:val="44"/>
      <w:lang w:val="en-US" w:eastAsia="zh-CN" w:bidi="ar-SA"/>
    </w:rPr>
  </w:style>
  <w:style w:type="paragraph" w:customStyle="1" w:styleId="1016">
    <w:name w:val="表 名"/>
    <w:basedOn w:val="1"/>
    <w:semiHidden/>
    <w:qFormat/>
    <w:uiPriority w:val="0"/>
    <w:pPr>
      <w:widowControl/>
      <w:tabs>
        <w:tab w:val="clear" w:pos="480"/>
      </w:tabs>
      <w:spacing w:line="240" w:lineRule="auto"/>
      <w:jc w:val="center"/>
    </w:pPr>
    <w:rPr>
      <w:rFonts w:ascii="宋体" w:hAnsi="宋体" w:cs="宋体"/>
      <w:kern w:val="0"/>
    </w:rPr>
  </w:style>
  <w:style w:type="character" w:customStyle="1" w:styleId="1017">
    <w:name w:val="表 名 Char"/>
    <w:semiHidden/>
    <w:qFormat/>
    <w:uiPriority w:val="0"/>
    <w:rPr>
      <w:rFonts w:eastAsia="宋体"/>
      <w:kern w:val="2"/>
      <w:sz w:val="24"/>
      <w:szCs w:val="24"/>
      <w:lang w:val="en-US" w:eastAsia="zh-CN" w:bidi="ar-SA"/>
    </w:rPr>
  </w:style>
  <w:style w:type="character" w:customStyle="1" w:styleId="1018">
    <w:name w:val="图 名 Char"/>
    <w:qFormat/>
    <w:uiPriority w:val="0"/>
    <w:rPr>
      <w:rFonts w:ascii="宋体" w:hAnsi="宋体" w:eastAsia="宋体" w:cs="宋体"/>
      <w:kern w:val="2"/>
      <w:sz w:val="24"/>
      <w:lang w:val="en-US" w:eastAsia="zh-CN" w:bidi="ar-SA"/>
    </w:rPr>
  </w:style>
  <w:style w:type="paragraph" w:customStyle="1" w:styleId="1019">
    <w:name w:val="图 名"/>
    <w:basedOn w:val="1"/>
    <w:qFormat/>
    <w:uiPriority w:val="0"/>
    <w:pPr>
      <w:widowControl/>
      <w:tabs>
        <w:tab w:val="clear" w:pos="480"/>
      </w:tabs>
      <w:ind w:firstLine="640"/>
      <w:jc w:val="center"/>
    </w:pPr>
    <w:rPr>
      <w:rFonts w:ascii="宋体" w:hAnsi="宋体" w:cs="宋体"/>
      <w:kern w:val="0"/>
    </w:rPr>
  </w:style>
  <w:style w:type="paragraph" w:customStyle="1" w:styleId="1020">
    <w:name w:val="样式 标题 2 + 首行缩进:  1.13 厘米"/>
    <w:basedOn w:val="4"/>
    <w:qFormat/>
    <w:uiPriority w:val="0"/>
    <w:pPr>
      <w:widowControl/>
      <w:numPr>
        <w:ilvl w:val="0"/>
        <w:numId w:val="0"/>
      </w:numPr>
      <w:tabs>
        <w:tab w:val="clear" w:pos="480"/>
        <w:tab w:val="clear" w:pos="630"/>
      </w:tabs>
      <w:spacing w:after="260" w:line="415" w:lineRule="auto"/>
      <w:jc w:val="left"/>
    </w:pPr>
    <w:rPr>
      <w:rFonts w:ascii="Arial" w:hAnsi="Arial" w:cs="宋体"/>
      <w:bCs w:val="0"/>
      <w:iCs/>
      <w:kern w:val="0"/>
      <w:szCs w:val="24"/>
    </w:rPr>
  </w:style>
  <w:style w:type="paragraph" w:customStyle="1" w:styleId="1021">
    <w:name w:val="正文-1"/>
    <w:basedOn w:val="1"/>
    <w:qFormat/>
    <w:uiPriority w:val="0"/>
    <w:pPr>
      <w:widowControl/>
      <w:tabs>
        <w:tab w:val="clear" w:pos="480"/>
      </w:tabs>
      <w:ind w:left="1" w:firstLine="539"/>
      <w:jc w:val="left"/>
    </w:pPr>
    <w:rPr>
      <w:rFonts w:ascii="宋体" w:hAnsi="宋体" w:cs="宋体"/>
      <w:color w:val="000000"/>
      <w:kern w:val="0"/>
    </w:rPr>
  </w:style>
  <w:style w:type="paragraph" w:customStyle="1" w:styleId="1022">
    <w:name w:val="样式 标题 1 + 四号 加粗 行距: 1.5 倍行距"/>
    <w:basedOn w:val="3"/>
    <w:qFormat/>
    <w:uiPriority w:val="0"/>
    <w:pPr>
      <w:keepLines w:val="0"/>
      <w:widowControl/>
      <w:numPr>
        <w:numId w:val="0"/>
      </w:numPr>
      <w:tabs>
        <w:tab w:val="left" w:pos="0"/>
        <w:tab w:val="clear" w:pos="480"/>
      </w:tabs>
      <w:spacing w:beforeLines="50" w:afterLines="50" w:line="480" w:lineRule="auto"/>
      <w:jc w:val="left"/>
    </w:pPr>
    <w:rPr>
      <w:rFonts w:ascii="Times New Roman" w:hAnsi="宋体" w:eastAsia="黑体" w:cs="宋体"/>
      <w:b w:val="0"/>
      <w:kern w:val="0"/>
      <w:sz w:val="24"/>
      <w:szCs w:val="28"/>
    </w:rPr>
  </w:style>
  <w:style w:type="paragraph" w:customStyle="1" w:styleId="1023">
    <w:name w:val="样式 标题 1 + 宋体 四号 加粗 黑色 行距: 1.5 倍行距"/>
    <w:basedOn w:val="3"/>
    <w:qFormat/>
    <w:uiPriority w:val="0"/>
    <w:pPr>
      <w:keepLines w:val="0"/>
      <w:widowControl/>
      <w:numPr>
        <w:numId w:val="0"/>
      </w:numPr>
      <w:tabs>
        <w:tab w:val="left" w:pos="0"/>
        <w:tab w:val="clear" w:pos="480"/>
      </w:tabs>
      <w:spacing w:beforeLines="50" w:afterLines="50" w:line="480" w:lineRule="auto"/>
      <w:jc w:val="left"/>
    </w:pPr>
    <w:rPr>
      <w:rFonts w:ascii="Times New Roman" w:hAnsi="宋体" w:eastAsia="黑体" w:cs="宋体"/>
      <w:b w:val="0"/>
      <w:color w:val="000000"/>
      <w:kern w:val="0"/>
      <w:sz w:val="32"/>
      <w:szCs w:val="28"/>
    </w:rPr>
  </w:style>
  <w:style w:type="paragraph" w:customStyle="1" w:styleId="1024">
    <w:name w:val="样式 标题 2 + (符号) 宋体"/>
    <w:basedOn w:val="4"/>
    <w:qFormat/>
    <w:uiPriority w:val="0"/>
    <w:pPr>
      <w:widowControl/>
      <w:numPr>
        <w:ilvl w:val="0"/>
        <w:numId w:val="0"/>
      </w:numPr>
      <w:tabs>
        <w:tab w:val="clear" w:pos="480"/>
        <w:tab w:val="clear" w:pos="630"/>
      </w:tabs>
      <w:spacing w:before="0" w:after="0"/>
      <w:jc w:val="left"/>
    </w:pPr>
    <w:rPr>
      <w:rFonts w:hAnsi="Arial" w:cs="宋体"/>
      <w:iCs/>
      <w:kern w:val="0"/>
      <w:sz w:val="30"/>
      <w:szCs w:val="24"/>
    </w:rPr>
  </w:style>
  <w:style w:type="paragraph" w:customStyle="1" w:styleId="1025">
    <w:name w:val="样式 样式 标题 1 + 四号 加粗 行距: 1.5 倍行距 + 行距: 固定值 20 磅"/>
    <w:basedOn w:val="1022"/>
    <w:qFormat/>
    <w:uiPriority w:val="0"/>
    <w:pPr>
      <w:spacing w:line="400" w:lineRule="exact"/>
    </w:pPr>
    <w:rPr>
      <w:sz w:val="30"/>
      <w:szCs w:val="20"/>
    </w:rPr>
  </w:style>
  <w:style w:type="paragraph" w:customStyle="1" w:styleId="1026">
    <w:name w:val="样式 样式 标题 1 + 四号 加粗 行距: 1.5 倍行距 + 行距: 固定值 21 磅"/>
    <w:basedOn w:val="1022"/>
    <w:qFormat/>
    <w:uiPriority w:val="0"/>
    <w:pPr>
      <w:spacing w:line="420" w:lineRule="exact"/>
    </w:pPr>
    <w:rPr>
      <w:sz w:val="30"/>
      <w:szCs w:val="20"/>
    </w:rPr>
  </w:style>
  <w:style w:type="paragraph" w:customStyle="1" w:styleId="1027">
    <w:name w:val="样式 正文文本缩进 + 首行缩进:  2 字符"/>
    <w:basedOn w:val="35"/>
    <w:qFormat/>
    <w:uiPriority w:val="0"/>
    <w:pPr>
      <w:widowControl/>
      <w:tabs>
        <w:tab w:val="left" w:pos="2448"/>
        <w:tab w:val="clear" w:pos="480"/>
      </w:tabs>
      <w:spacing w:line="240" w:lineRule="auto"/>
      <w:ind w:firstLine="200"/>
      <w:jc w:val="left"/>
    </w:pPr>
    <w:rPr>
      <w:rFonts w:ascii="宋体" w:hAnsi="宋体" w:cs="宋体"/>
      <w:kern w:val="0"/>
      <w:szCs w:val="28"/>
    </w:rPr>
  </w:style>
  <w:style w:type="paragraph" w:customStyle="1" w:styleId="1028">
    <w:name w:val="tz6样式"/>
    <w:basedOn w:val="5"/>
    <w:next w:val="5"/>
    <w:semiHidden/>
    <w:qFormat/>
    <w:uiPriority w:val="0"/>
    <w:pPr>
      <w:widowControl/>
      <w:numPr>
        <w:ilvl w:val="0"/>
        <w:numId w:val="0"/>
      </w:numPr>
      <w:tabs>
        <w:tab w:val="left" w:pos="0"/>
        <w:tab w:val="clear" w:pos="480"/>
        <w:tab w:val="clear" w:pos="840"/>
      </w:tabs>
      <w:spacing w:before="0" w:after="0" w:line="360" w:lineRule="auto"/>
      <w:ind w:firstLine="549" w:firstLineChars="196"/>
      <w:jc w:val="left"/>
    </w:pPr>
    <w:rPr>
      <w:rFonts w:ascii="黑体" w:hAnsi="宋体" w:eastAsia="黑体" w:cs="宋体"/>
      <w:bCs w:val="0"/>
      <w:color w:val="000000"/>
      <w:kern w:val="0"/>
      <w:sz w:val="24"/>
      <w:szCs w:val="28"/>
    </w:rPr>
  </w:style>
  <w:style w:type="paragraph" w:customStyle="1" w:styleId="1029">
    <w:name w:val="A标题2"/>
    <w:basedOn w:val="5"/>
    <w:next w:val="1"/>
    <w:semiHidden/>
    <w:qFormat/>
    <w:uiPriority w:val="0"/>
    <w:pPr>
      <w:widowControl/>
      <w:numPr>
        <w:ilvl w:val="0"/>
        <w:numId w:val="0"/>
      </w:numPr>
      <w:tabs>
        <w:tab w:val="clear" w:pos="480"/>
        <w:tab w:val="clear" w:pos="840"/>
      </w:tabs>
      <w:spacing w:before="0" w:after="0" w:line="360" w:lineRule="auto"/>
      <w:ind w:left="-17" w:leftChars="-8" w:firstLine="1" w:firstLineChars="196"/>
      <w:jc w:val="left"/>
    </w:pPr>
    <w:rPr>
      <w:rFonts w:ascii="黑体" w:hAnsi="宋体" w:eastAsia="黑体" w:cs="宋体"/>
      <w:b w:val="0"/>
      <w:bCs w:val="0"/>
      <w:color w:val="000000"/>
      <w:kern w:val="44"/>
      <w:sz w:val="24"/>
      <w:szCs w:val="28"/>
    </w:rPr>
  </w:style>
  <w:style w:type="paragraph" w:customStyle="1" w:styleId="1030">
    <w:name w:val="A标题1"/>
    <w:basedOn w:val="3"/>
    <w:semiHidden/>
    <w:qFormat/>
    <w:uiPriority w:val="0"/>
    <w:pPr>
      <w:widowControl/>
      <w:numPr>
        <w:numId w:val="0"/>
      </w:numPr>
      <w:tabs>
        <w:tab w:val="clear" w:pos="480"/>
      </w:tabs>
      <w:spacing w:beforeLines="50" w:afterLines="50" w:line="480" w:lineRule="auto"/>
      <w:jc w:val="left"/>
    </w:pPr>
    <w:rPr>
      <w:rFonts w:ascii="黑体" w:hAnsi="宋体" w:eastAsia="黑体" w:cs="宋体"/>
      <w:bCs w:val="0"/>
      <w:color w:val="000000"/>
      <w:sz w:val="32"/>
      <w:szCs w:val="32"/>
    </w:rPr>
  </w:style>
  <w:style w:type="paragraph" w:customStyle="1" w:styleId="1031">
    <w:name w:val="A1"/>
    <w:basedOn w:val="45"/>
    <w:semiHidden/>
    <w:qFormat/>
    <w:uiPriority w:val="0"/>
    <w:pPr>
      <w:widowControl/>
      <w:spacing w:line="360" w:lineRule="auto"/>
      <w:jc w:val="left"/>
    </w:pPr>
    <w:rPr>
      <w:rFonts w:hAnsi="宋体" w:eastAsia="黑体" w:cs="宋体"/>
      <w:kern w:val="0"/>
      <w:sz w:val="30"/>
      <w:szCs w:val="24"/>
    </w:rPr>
  </w:style>
  <w:style w:type="paragraph" w:customStyle="1" w:styleId="1032">
    <w:name w:val="A标题二级"/>
    <w:basedOn w:val="1"/>
    <w:semiHidden/>
    <w:qFormat/>
    <w:uiPriority w:val="0"/>
    <w:pPr>
      <w:widowControl/>
      <w:tabs>
        <w:tab w:val="clear" w:pos="480"/>
      </w:tabs>
      <w:ind w:left="11" w:hanging="11" w:hangingChars="4"/>
      <w:jc w:val="left"/>
    </w:pPr>
    <w:rPr>
      <w:rFonts w:ascii="宋体" w:hAnsi="宋体" w:cs="宋体"/>
      <w:b/>
      <w:bCs/>
      <w:color w:val="000000"/>
      <w:kern w:val="0"/>
      <w:szCs w:val="28"/>
    </w:rPr>
  </w:style>
  <w:style w:type="paragraph" w:customStyle="1" w:styleId="1033">
    <w:name w:val="A标题三级"/>
    <w:basedOn w:val="1"/>
    <w:semiHidden/>
    <w:qFormat/>
    <w:uiPriority w:val="0"/>
    <w:pPr>
      <w:widowControl/>
      <w:tabs>
        <w:tab w:val="center" w:pos="1300"/>
        <w:tab w:val="clear" w:pos="480"/>
      </w:tabs>
      <w:jc w:val="left"/>
    </w:pPr>
    <w:rPr>
      <w:rFonts w:ascii="宋体" w:hAnsi="宋体" w:cs="宋体"/>
      <w:b/>
      <w:bCs/>
      <w:kern w:val="0"/>
    </w:rPr>
  </w:style>
  <w:style w:type="paragraph" w:customStyle="1" w:styleId="1034">
    <w:name w:val="标题1 + 宋体"/>
    <w:basedOn w:val="178"/>
    <w:semiHidden/>
    <w:qFormat/>
    <w:uiPriority w:val="0"/>
    <w:pPr>
      <w:keepNext/>
      <w:keepLines/>
      <w:widowControl/>
      <w:adjustRightInd/>
      <w:spacing w:before="240" w:line="480" w:lineRule="auto"/>
      <w:ind w:left="0" w:firstLine="0"/>
      <w:textAlignment w:val="auto"/>
      <w:outlineLvl w:val="0"/>
    </w:pPr>
    <w:rPr>
      <w:rFonts w:ascii="宋体" w:hAnsi="宋体" w:cs="宋体"/>
      <w:color w:val="000000"/>
      <w:kern w:val="44"/>
      <w:sz w:val="30"/>
      <w:szCs w:val="30"/>
    </w:rPr>
  </w:style>
  <w:style w:type="paragraph" w:customStyle="1" w:styleId="1035">
    <w:name w:val="标题3-3"/>
    <w:basedOn w:val="5"/>
    <w:semiHidden/>
    <w:qFormat/>
    <w:uiPriority w:val="0"/>
    <w:pPr>
      <w:widowControl/>
      <w:numPr>
        <w:ilvl w:val="0"/>
        <w:numId w:val="0"/>
      </w:numPr>
      <w:tabs>
        <w:tab w:val="clear" w:pos="480"/>
        <w:tab w:val="clear" w:pos="840"/>
      </w:tabs>
      <w:spacing w:after="120" w:line="400" w:lineRule="exact"/>
      <w:ind w:firstLine="549" w:firstLineChars="196"/>
      <w:jc w:val="left"/>
    </w:pPr>
    <w:rPr>
      <w:rFonts w:hAnsi="仿宋_GB2312" w:cs="宋体"/>
      <w:color w:val="000000"/>
      <w:kern w:val="0"/>
      <w:sz w:val="24"/>
      <w:szCs w:val="24"/>
    </w:rPr>
  </w:style>
  <w:style w:type="paragraph" w:customStyle="1" w:styleId="1036">
    <w:name w:val="Style Heading 3H3 + Univers 57 Condensed Before:  6 pt After:  6..."/>
    <w:basedOn w:val="5"/>
    <w:semiHidden/>
    <w:qFormat/>
    <w:uiPriority w:val="0"/>
    <w:pPr>
      <w:keepLines w:val="0"/>
      <w:widowControl/>
      <w:numPr>
        <w:numId w:val="0"/>
      </w:numPr>
      <w:tabs>
        <w:tab w:val="left" w:pos="900"/>
        <w:tab w:val="left" w:pos="1080"/>
        <w:tab w:val="clear" w:pos="480"/>
        <w:tab w:val="clear" w:pos="840"/>
      </w:tabs>
      <w:spacing w:after="120" w:line="240" w:lineRule="auto"/>
      <w:ind w:left="851" w:hanging="851"/>
      <w:jc w:val="left"/>
    </w:pPr>
    <w:rPr>
      <w:rFonts w:ascii="Univers 57 Condensed" w:hAnsi="Univers 57 Condensed" w:eastAsia="黑体" w:cs="宋体"/>
      <w:color w:val="000000"/>
      <w:kern w:val="0"/>
      <w:sz w:val="26"/>
      <w:szCs w:val="24"/>
    </w:rPr>
  </w:style>
  <w:style w:type="paragraph" w:customStyle="1" w:styleId="1037">
    <w:name w:val="zhao normal"/>
    <w:basedOn w:val="1"/>
    <w:link w:val="1038"/>
    <w:semiHidden/>
    <w:qFormat/>
    <w:uiPriority w:val="0"/>
    <w:pPr>
      <w:widowControl/>
      <w:tabs>
        <w:tab w:val="clear" w:pos="480"/>
      </w:tabs>
      <w:spacing w:line="240" w:lineRule="auto"/>
      <w:ind w:firstLine="646"/>
      <w:jc w:val="left"/>
    </w:pPr>
    <w:rPr>
      <w:rFonts w:ascii="Univers 57 Condensed" w:hAnsi="Univers 57 Condensed"/>
      <w:kern w:val="0"/>
      <w:lang w:val="zh-CN" w:eastAsia="en-US"/>
    </w:rPr>
  </w:style>
  <w:style w:type="character" w:customStyle="1" w:styleId="1038">
    <w:name w:val="zhao normal Char"/>
    <w:link w:val="1037"/>
    <w:qFormat/>
    <w:uiPriority w:val="0"/>
    <w:rPr>
      <w:rFonts w:ascii="Univers 57 Condensed" w:hAnsi="Univers 57 Condensed" w:eastAsia="宋体"/>
      <w:sz w:val="24"/>
      <w:szCs w:val="24"/>
      <w:lang w:eastAsia="en-US" w:bidi="ar-SA"/>
    </w:rPr>
  </w:style>
  <w:style w:type="character" w:customStyle="1" w:styleId="1039">
    <w:name w:val="样式4 Char"/>
    <w:link w:val="153"/>
    <w:qFormat/>
    <w:uiPriority w:val="0"/>
    <w:rPr>
      <w:rFonts w:eastAsia="宋体"/>
      <w:bCs/>
      <w:snapToGrid w:val="0"/>
      <w:color w:val="000000"/>
      <w:kern w:val="2"/>
      <w:sz w:val="24"/>
      <w:szCs w:val="24"/>
      <w:lang w:val="en-US" w:eastAsia="zh-CN" w:bidi="ar-SA"/>
    </w:rPr>
  </w:style>
  <w:style w:type="paragraph" w:customStyle="1" w:styleId="1040">
    <w:name w:val="表名、图名"/>
    <w:basedOn w:val="1"/>
    <w:link w:val="1041"/>
    <w:semiHidden/>
    <w:qFormat/>
    <w:uiPriority w:val="0"/>
    <w:pPr>
      <w:widowControl/>
      <w:tabs>
        <w:tab w:val="clear" w:pos="480"/>
      </w:tabs>
      <w:jc w:val="center"/>
    </w:pPr>
    <w:rPr>
      <w:rFonts w:ascii="Arial" w:hAnsi="Arial"/>
      <w:color w:val="000000"/>
      <w:spacing w:val="4"/>
      <w:kern w:val="0"/>
      <w:sz w:val="20"/>
      <w:szCs w:val="21"/>
      <w:lang w:val="zh-CN"/>
    </w:rPr>
  </w:style>
  <w:style w:type="character" w:customStyle="1" w:styleId="1041">
    <w:name w:val="表名、图名 Char"/>
    <w:link w:val="1040"/>
    <w:qFormat/>
    <w:uiPriority w:val="0"/>
    <w:rPr>
      <w:rFonts w:ascii="Arial" w:hAnsi="Arial" w:eastAsia="宋体"/>
      <w:color w:val="000000"/>
      <w:spacing w:val="4"/>
      <w:szCs w:val="21"/>
      <w:lang w:bidi="ar-SA"/>
    </w:rPr>
  </w:style>
  <w:style w:type="paragraph" w:customStyle="1" w:styleId="1042">
    <w:name w:val="样式 标题 3三级标题标题 3ll标题 3 Char Char三级标题 3 + 首行缩进:  2 字符"/>
    <w:basedOn w:val="5"/>
    <w:qFormat/>
    <w:uiPriority w:val="0"/>
    <w:pPr>
      <w:widowControl/>
      <w:numPr>
        <w:ilvl w:val="0"/>
        <w:numId w:val="0"/>
      </w:numPr>
      <w:tabs>
        <w:tab w:val="clear" w:pos="480"/>
        <w:tab w:val="clear" w:pos="840"/>
      </w:tabs>
      <w:spacing w:before="260" w:line="360" w:lineRule="auto"/>
      <w:jc w:val="center"/>
    </w:pPr>
    <w:rPr>
      <w:rFonts w:ascii="黑体" w:hAnsi="宋体" w:eastAsia="黑体" w:cs="宋体"/>
      <w:b w:val="0"/>
      <w:kern w:val="0"/>
      <w:sz w:val="24"/>
      <w:szCs w:val="28"/>
    </w:rPr>
  </w:style>
  <w:style w:type="paragraph" w:customStyle="1" w:styleId="1043">
    <w:name w:val="油藏描述正文 宋体 小四"/>
    <w:basedOn w:val="1"/>
    <w:qFormat/>
    <w:uiPriority w:val="0"/>
    <w:pPr>
      <w:widowControl/>
      <w:tabs>
        <w:tab w:val="clear" w:pos="480"/>
      </w:tabs>
      <w:ind w:firstLine="482"/>
      <w:jc w:val="left"/>
    </w:pPr>
    <w:rPr>
      <w:rFonts w:ascii="宋体" w:hAnsi="宋体" w:cs="宋体"/>
      <w:color w:val="000000"/>
      <w:kern w:val="0"/>
    </w:rPr>
  </w:style>
  <w:style w:type="paragraph" w:customStyle="1" w:styleId="1044">
    <w:name w:val="论文正文（首行缩进）"/>
    <w:basedOn w:val="35"/>
    <w:qFormat/>
    <w:uiPriority w:val="0"/>
    <w:pPr>
      <w:widowControl/>
      <w:tabs>
        <w:tab w:val="clear" w:pos="480"/>
      </w:tabs>
      <w:adjustRightInd w:val="0"/>
      <w:spacing w:line="300" w:lineRule="auto"/>
      <w:jc w:val="left"/>
    </w:pPr>
    <w:rPr>
      <w:rFonts w:ascii="宋体" w:hAnsi="宋体" w:cs="宋体"/>
      <w:kern w:val="0"/>
      <w:szCs w:val="18"/>
    </w:rPr>
  </w:style>
  <w:style w:type="paragraph" w:customStyle="1" w:styleId="1045">
    <w:name w:val="论文－表五"/>
    <w:basedOn w:val="1"/>
    <w:qFormat/>
    <w:uiPriority w:val="0"/>
    <w:pPr>
      <w:widowControl/>
      <w:tabs>
        <w:tab w:val="clear" w:pos="480"/>
      </w:tabs>
      <w:spacing w:line="240" w:lineRule="auto"/>
      <w:jc w:val="center"/>
    </w:pPr>
    <w:rPr>
      <w:rFonts w:ascii="宋体" w:hAnsi="宋体" w:cs="宋体"/>
      <w:kern w:val="0"/>
      <w:sz w:val="21"/>
    </w:rPr>
  </w:style>
  <w:style w:type="paragraph" w:customStyle="1" w:styleId="1046">
    <w:name w:val="AA三级"/>
    <w:basedOn w:val="21"/>
    <w:semiHidden/>
    <w:qFormat/>
    <w:uiPriority w:val="0"/>
    <w:pPr>
      <w:widowControl/>
      <w:tabs>
        <w:tab w:val="clear" w:pos="480"/>
      </w:tabs>
      <w:ind w:firstLine="0" w:firstLineChars="0"/>
      <w:jc w:val="left"/>
    </w:pPr>
    <w:rPr>
      <w:rFonts w:ascii="宋体" w:hAnsi="宋体" w:cs="宋体"/>
      <w:b/>
      <w:kern w:val="0"/>
      <w:sz w:val="28"/>
      <w:szCs w:val="28"/>
    </w:rPr>
  </w:style>
  <w:style w:type="paragraph" w:customStyle="1" w:styleId="1047">
    <w:name w:val="样式 小四 首行缩进:  0.89 厘米 行距: 1.5 倍行距"/>
    <w:basedOn w:val="1"/>
    <w:qFormat/>
    <w:uiPriority w:val="0"/>
    <w:pPr>
      <w:widowControl/>
      <w:tabs>
        <w:tab w:val="clear" w:pos="480"/>
      </w:tabs>
      <w:ind w:firstLine="482"/>
      <w:jc w:val="left"/>
    </w:pPr>
    <w:rPr>
      <w:rFonts w:ascii="宋体" w:hAnsi="宋体" w:cs="宋体"/>
      <w:kern w:val="0"/>
    </w:rPr>
  </w:style>
  <w:style w:type="character" w:customStyle="1" w:styleId="1048">
    <w:name w:val="标题 2 Char Char Char Char Char Char1"/>
    <w:semiHidden/>
    <w:qFormat/>
    <w:uiPriority w:val="0"/>
    <w:rPr>
      <w:rFonts w:ascii="Arial" w:hAnsi="Arial" w:eastAsia="黑体"/>
      <w:b/>
      <w:bCs/>
      <w:kern w:val="2"/>
      <w:sz w:val="32"/>
      <w:szCs w:val="32"/>
      <w:lang w:val="en-US" w:eastAsia="zh-CN" w:bidi="ar-SA"/>
    </w:rPr>
  </w:style>
  <w:style w:type="character" w:customStyle="1" w:styleId="1049">
    <w:name w:val="正文文字 2 Char1"/>
    <w:qFormat/>
    <w:uiPriority w:val="0"/>
    <w:rPr>
      <w:rFonts w:eastAsia="宋体"/>
      <w:kern w:val="2"/>
      <w:sz w:val="24"/>
      <w:szCs w:val="24"/>
      <w:lang w:val="en-US" w:eastAsia="zh-CN" w:bidi="ar-SA"/>
    </w:rPr>
  </w:style>
  <w:style w:type="character" w:customStyle="1" w:styleId="1050">
    <w:name w:val="正文文字缩进 3 Char1"/>
    <w:qFormat/>
    <w:uiPriority w:val="0"/>
    <w:rPr>
      <w:rFonts w:ascii="宋体" w:eastAsia="宋体"/>
      <w:kern w:val="2"/>
      <w:sz w:val="24"/>
      <w:lang w:val="en-US" w:eastAsia="zh-CN" w:bidi="ar-SA"/>
    </w:rPr>
  </w:style>
  <w:style w:type="character" w:customStyle="1" w:styleId="1051">
    <w:name w:val="bt Char"/>
    <w:semiHidden/>
    <w:qFormat/>
    <w:uiPriority w:val="0"/>
    <w:rPr>
      <w:rFonts w:eastAsia="宋体"/>
      <w:kern w:val="2"/>
      <w:sz w:val="21"/>
      <w:szCs w:val="24"/>
      <w:lang w:val="en-US" w:eastAsia="zh-CN" w:bidi="ar-SA"/>
    </w:rPr>
  </w:style>
  <w:style w:type="paragraph" w:customStyle="1" w:styleId="1052">
    <w:name w:val="样式 样式 标题 4 + 首行缩进:  2 字符 + 首行缩进:  2 字符"/>
    <w:basedOn w:val="1"/>
    <w:qFormat/>
    <w:uiPriority w:val="0"/>
    <w:pPr>
      <w:keepNext/>
      <w:keepLines/>
      <w:widowControl/>
      <w:tabs>
        <w:tab w:val="clear" w:pos="480"/>
      </w:tabs>
      <w:spacing w:before="280" w:after="290" w:line="377" w:lineRule="auto"/>
      <w:jc w:val="left"/>
      <w:outlineLvl w:val="3"/>
    </w:pPr>
    <w:rPr>
      <w:rFonts w:ascii="Arial" w:hAnsi="Arial" w:eastAsia="楷体_GB2312" w:cs="宋体"/>
      <w:kern w:val="0"/>
    </w:rPr>
  </w:style>
  <w:style w:type="character" w:customStyle="1" w:styleId="1053">
    <w:name w:val="p29"/>
    <w:basedOn w:val="132"/>
    <w:semiHidden/>
    <w:qFormat/>
    <w:uiPriority w:val="0"/>
  </w:style>
  <w:style w:type="paragraph" w:customStyle="1" w:styleId="1054">
    <w:name w:val="样式 标题 1 + 字距调整小二"/>
    <w:basedOn w:val="3"/>
    <w:next w:val="1"/>
    <w:qFormat/>
    <w:uiPriority w:val="0"/>
    <w:pPr>
      <w:widowControl/>
      <w:numPr>
        <w:numId w:val="0"/>
      </w:numPr>
      <w:tabs>
        <w:tab w:val="clear" w:pos="480"/>
      </w:tabs>
      <w:spacing w:beforeLines="50" w:afterLines="50" w:line="578" w:lineRule="auto"/>
      <w:jc w:val="left"/>
    </w:pPr>
    <w:rPr>
      <w:rFonts w:ascii="Times New Roman" w:hAnsi="宋体" w:eastAsia="宋体" w:cs="宋体"/>
      <w:kern w:val="36"/>
      <w:sz w:val="32"/>
    </w:rPr>
  </w:style>
  <w:style w:type="paragraph" w:customStyle="1" w:styleId="1055">
    <w:name w:val="样式 标题 2 + 段前: 0.5 行 段后: 0.5 行"/>
    <w:basedOn w:val="4"/>
    <w:qFormat/>
    <w:uiPriority w:val="0"/>
    <w:pPr>
      <w:keepLines w:val="0"/>
      <w:widowControl/>
      <w:numPr>
        <w:ilvl w:val="0"/>
        <w:numId w:val="0"/>
      </w:numPr>
      <w:tabs>
        <w:tab w:val="clear" w:pos="480"/>
        <w:tab w:val="clear" w:pos="630"/>
      </w:tabs>
      <w:spacing w:before="0" w:after="0"/>
      <w:jc w:val="center"/>
    </w:pPr>
    <w:rPr>
      <w:rFonts w:ascii="仿宋体" w:hAnsi="宋体" w:eastAsia="仿宋体" w:cs="宋体"/>
      <w:bCs w:val="0"/>
      <w:iCs/>
      <w:kern w:val="0"/>
      <w:sz w:val="30"/>
      <w:szCs w:val="24"/>
    </w:rPr>
  </w:style>
  <w:style w:type="paragraph" w:customStyle="1" w:styleId="1056">
    <w:name w:val="标题 2 + 段前: 0.5 行 段后: 0.5 行1"/>
    <w:basedOn w:val="4"/>
    <w:semiHidden/>
    <w:qFormat/>
    <w:uiPriority w:val="0"/>
    <w:pPr>
      <w:keepLines w:val="0"/>
      <w:framePr w:wrap="around" w:vAnchor="text" w:hAnchor="text" w:y="1"/>
      <w:widowControl/>
      <w:numPr>
        <w:ilvl w:val="0"/>
        <w:numId w:val="0"/>
      </w:numPr>
      <w:tabs>
        <w:tab w:val="clear" w:pos="480"/>
        <w:tab w:val="clear" w:pos="630"/>
      </w:tabs>
      <w:spacing w:before="0" w:after="0" w:line="240" w:lineRule="auto"/>
      <w:jc w:val="left"/>
    </w:pPr>
    <w:rPr>
      <w:rFonts w:ascii="仿宋体" w:hAnsi="宋体" w:eastAsia="仿宋体" w:cs="宋体"/>
      <w:bCs w:val="0"/>
      <w:iCs/>
      <w:kern w:val="0"/>
      <w:sz w:val="30"/>
      <w:szCs w:val="24"/>
    </w:rPr>
  </w:style>
  <w:style w:type="paragraph" w:customStyle="1" w:styleId="1057">
    <w:name w:val="样式 标题 2 + 段前: 0.5 行 段后: 0.5 行1"/>
    <w:basedOn w:val="4"/>
    <w:qFormat/>
    <w:uiPriority w:val="0"/>
    <w:pPr>
      <w:keepLines w:val="0"/>
      <w:widowControl/>
      <w:numPr>
        <w:ilvl w:val="0"/>
        <w:numId w:val="0"/>
      </w:numPr>
      <w:tabs>
        <w:tab w:val="clear" w:pos="480"/>
        <w:tab w:val="clear" w:pos="630"/>
      </w:tabs>
      <w:spacing w:before="0" w:after="0" w:line="240" w:lineRule="auto"/>
      <w:jc w:val="left"/>
    </w:pPr>
    <w:rPr>
      <w:rFonts w:ascii="仿宋体" w:hAnsi="宋体" w:eastAsia="仿宋体" w:cs="宋体"/>
      <w:bCs w:val="0"/>
      <w:iCs/>
      <w:kern w:val="0"/>
      <w:sz w:val="30"/>
      <w:szCs w:val="24"/>
    </w:rPr>
  </w:style>
  <w:style w:type="paragraph" w:customStyle="1" w:styleId="1058">
    <w:name w:val="样式 标题 3 + 首行缩进:  2 字符 Char Char Char"/>
    <w:basedOn w:val="5"/>
    <w:qFormat/>
    <w:uiPriority w:val="0"/>
    <w:pPr>
      <w:widowControl/>
      <w:numPr>
        <w:ilvl w:val="0"/>
        <w:numId w:val="0"/>
      </w:numPr>
      <w:tabs>
        <w:tab w:val="clear" w:pos="480"/>
        <w:tab w:val="clear" w:pos="840"/>
      </w:tabs>
      <w:spacing w:before="0" w:after="0" w:line="480" w:lineRule="auto"/>
      <w:jc w:val="left"/>
    </w:pPr>
    <w:rPr>
      <w:rFonts w:ascii="宋体" w:hAnsi="宋体" w:eastAsia="宋体" w:cs="宋体"/>
      <w:b w:val="0"/>
      <w:bCs w:val="0"/>
      <w:kern w:val="0"/>
      <w:sz w:val="24"/>
      <w:szCs w:val="24"/>
    </w:rPr>
  </w:style>
  <w:style w:type="character" w:customStyle="1" w:styleId="1059">
    <w:name w:val="样式 标题 3 + 首行缩进:  2 字符 Char Char Char Char"/>
    <w:qFormat/>
    <w:uiPriority w:val="0"/>
    <w:rPr>
      <w:rFonts w:ascii="宋体" w:hAnsi="Arial" w:eastAsia="宋体" w:cs="宋体"/>
      <w:b/>
      <w:i/>
      <w:iCs/>
      <w:kern w:val="2"/>
      <w:sz w:val="28"/>
      <w:szCs w:val="24"/>
      <w:u w:val="dotted"/>
      <w:lang w:val="en-US" w:eastAsia="zh-CN" w:bidi="ar-SA"/>
    </w:rPr>
  </w:style>
  <w:style w:type="paragraph" w:customStyle="1" w:styleId="1060">
    <w:name w:val="样式 标题 2 + 段前: 0.5 行 段后: 0.5 行2"/>
    <w:basedOn w:val="4"/>
    <w:next w:val="1"/>
    <w:qFormat/>
    <w:uiPriority w:val="0"/>
    <w:pPr>
      <w:keepLines w:val="0"/>
      <w:widowControl/>
      <w:numPr>
        <w:ilvl w:val="0"/>
        <w:numId w:val="0"/>
      </w:numPr>
      <w:tabs>
        <w:tab w:val="clear" w:pos="480"/>
        <w:tab w:val="clear" w:pos="630"/>
      </w:tabs>
      <w:spacing w:before="0" w:after="0" w:line="480" w:lineRule="auto"/>
      <w:jc w:val="left"/>
    </w:pPr>
    <w:rPr>
      <w:rFonts w:ascii="仿宋体" w:hAnsi="宋体" w:eastAsia="仿宋体" w:cs="宋体"/>
      <w:bCs w:val="0"/>
      <w:iCs/>
      <w:kern w:val="0"/>
      <w:sz w:val="30"/>
      <w:szCs w:val="24"/>
    </w:rPr>
  </w:style>
  <w:style w:type="paragraph" w:customStyle="1" w:styleId="1061">
    <w:name w:val="样式 标题 1 + 字距调整小二1"/>
    <w:basedOn w:val="3"/>
    <w:next w:val="1"/>
    <w:qFormat/>
    <w:uiPriority w:val="0"/>
    <w:pPr>
      <w:widowControl/>
      <w:numPr>
        <w:numId w:val="0"/>
      </w:numPr>
      <w:tabs>
        <w:tab w:val="clear" w:pos="480"/>
      </w:tabs>
      <w:spacing w:beforeLines="50" w:afterLines="50"/>
      <w:jc w:val="left"/>
    </w:pPr>
    <w:rPr>
      <w:rFonts w:ascii="Times New Roman" w:hAnsi="宋体" w:eastAsia="宋体" w:cs="宋体"/>
      <w:kern w:val="36"/>
      <w:sz w:val="32"/>
    </w:rPr>
  </w:style>
  <w:style w:type="paragraph" w:customStyle="1" w:styleId="1062">
    <w:name w:val="样式 标题 2 + 段前: 0.5 行 段后: 0.5 行3"/>
    <w:basedOn w:val="4"/>
    <w:qFormat/>
    <w:uiPriority w:val="0"/>
    <w:pPr>
      <w:keepLines w:val="0"/>
      <w:widowControl/>
      <w:numPr>
        <w:ilvl w:val="0"/>
        <w:numId w:val="0"/>
      </w:numPr>
      <w:tabs>
        <w:tab w:val="clear" w:pos="480"/>
        <w:tab w:val="clear" w:pos="630"/>
      </w:tabs>
      <w:spacing w:before="0" w:after="0" w:line="240" w:lineRule="auto"/>
      <w:jc w:val="left"/>
    </w:pPr>
    <w:rPr>
      <w:rFonts w:ascii="仿宋体" w:hAnsi="宋体" w:eastAsia="仿宋体" w:cs="宋体"/>
      <w:bCs w:val="0"/>
      <w:iCs/>
      <w:kern w:val="0"/>
      <w:sz w:val="30"/>
      <w:szCs w:val="24"/>
    </w:rPr>
  </w:style>
  <w:style w:type="paragraph" w:customStyle="1" w:styleId="1063">
    <w:name w:val="样式 标题 3 + 首行缩进:  2 字符1"/>
    <w:basedOn w:val="5"/>
    <w:qFormat/>
    <w:uiPriority w:val="0"/>
    <w:pPr>
      <w:widowControl/>
      <w:numPr>
        <w:ilvl w:val="0"/>
        <w:numId w:val="0"/>
      </w:numPr>
      <w:tabs>
        <w:tab w:val="clear" w:pos="480"/>
        <w:tab w:val="clear" w:pos="840"/>
      </w:tabs>
      <w:spacing w:before="0" w:after="0" w:line="300" w:lineRule="auto"/>
      <w:ind w:left="360" w:leftChars="1" w:hanging="358" w:hangingChars="128"/>
      <w:jc w:val="left"/>
    </w:pPr>
    <w:rPr>
      <w:rFonts w:ascii="宋体" w:hAnsi="宋体" w:eastAsia="宋体" w:cs="宋体"/>
      <w:b w:val="0"/>
      <w:bCs w:val="0"/>
      <w:color w:val="FF00FF"/>
      <w:kern w:val="0"/>
      <w:sz w:val="24"/>
      <w:szCs w:val="28"/>
    </w:rPr>
  </w:style>
  <w:style w:type="paragraph" w:customStyle="1" w:styleId="1064">
    <w:name w:val="样式 标题 2 + 段前: 0.5 行 段后: 0.5 行4"/>
    <w:basedOn w:val="4"/>
    <w:qFormat/>
    <w:uiPriority w:val="0"/>
    <w:pPr>
      <w:keepLines w:val="0"/>
      <w:widowControl/>
      <w:numPr>
        <w:ilvl w:val="0"/>
        <w:numId w:val="0"/>
      </w:numPr>
      <w:tabs>
        <w:tab w:val="clear" w:pos="480"/>
        <w:tab w:val="clear" w:pos="630"/>
      </w:tabs>
      <w:spacing w:before="0" w:after="0" w:line="240" w:lineRule="auto"/>
      <w:jc w:val="left"/>
    </w:pPr>
    <w:rPr>
      <w:rFonts w:ascii="仿宋体" w:hAnsi="宋体" w:eastAsia="仿宋体" w:cs="宋体"/>
      <w:bCs w:val="0"/>
      <w:iCs/>
      <w:kern w:val="0"/>
      <w:sz w:val="30"/>
      <w:szCs w:val="24"/>
    </w:rPr>
  </w:style>
  <w:style w:type="paragraph" w:customStyle="1" w:styleId="1065">
    <w:name w:val="样式 标题 2 + 段前: 0.5 行 段后: 0.5 行5"/>
    <w:basedOn w:val="4"/>
    <w:qFormat/>
    <w:uiPriority w:val="0"/>
    <w:pPr>
      <w:keepLines w:val="0"/>
      <w:widowControl/>
      <w:numPr>
        <w:ilvl w:val="0"/>
        <w:numId w:val="0"/>
      </w:numPr>
      <w:tabs>
        <w:tab w:val="clear" w:pos="480"/>
        <w:tab w:val="clear" w:pos="630"/>
      </w:tabs>
      <w:spacing w:before="0" w:after="0" w:line="240" w:lineRule="auto"/>
      <w:jc w:val="left"/>
    </w:pPr>
    <w:rPr>
      <w:rFonts w:ascii="仿宋体" w:hAnsi="宋体" w:eastAsia="仿宋体" w:cs="宋体"/>
      <w:bCs w:val="0"/>
      <w:iCs/>
      <w:kern w:val="0"/>
      <w:sz w:val="30"/>
      <w:szCs w:val="24"/>
    </w:rPr>
  </w:style>
  <w:style w:type="paragraph" w:customStyle="1" w:styleId="1066">
    <w:name w:val="样式 标题 3 + 首行缩进:  2 字符2"/>
    <w:basedOn w:val="5"/>
    <w:qFormat/>
    <w:uiPriority w:val="0"/>
    <w:pPr>
      <w:widowControl/>
      <w:numPr>
        <w:ilvl w:val="0"/>
        <w:numId w:val="0"/>
      </w:numPr>
      <w:tabs>
        <w:tab w:val="clear" w:pos="480"/>
        <w:tab w:val="clear" w:pos="840"/>
      </w:tabs>
      <w:spacing w:before="0" w:after="0" w:line="300" w:lineRule="auto"/>
      <w:ind w:firstLine="200" w:firstLineChars="200"/>
      <w:jc w:val="left"/>
    </w:pPr>
    <w:rPr>
      <w:rFonts w:ascii="宋体" w:hAnsi="宋体" w:eastAsia="宋体" w:cs="宋体"/>
      <w:b w:val="0"/>
      <w:bCs w:val="0"/>
      <w:kern w:val="0"/>
      <w:sz w:val="24"/>
      <w:szCs w:val="24"/>
    </w:rPr>
  </w:style>
  <w:style w:type="character" w:customStyle="1" w:styleId="1067">
    <w:name w:val="样式 宋体 小四 加粗"/>
    <w:qFormat/>
    <w:uiPriority w:val="0"/>
    <w:rPr>
      <w:rFonts w:ascii="宋体" w:hAnsi="宋体"/>
      <w:b/>
      <w:bCs/>
      <w:sz w:val="24"/>
    </w:rPr>
  </w:style>
  <w:style w:type="paragraph" w:customStyle="1" w:styleId="1068">
    <w:name w:val="样式 样式 标题 3 + 首行缩进:  2 字符 + 加粗 Char"/>
    <w:basedOn w:val="1058"/>
    <w:qFormat/>
    <w:uiPriority w:val="0"/>
    <w:pPr/>
    <w:rPr>
      <w:b/>
      <w:bCs/>
    </w:rPr>
  </w:style>
  <w:style w:type="character" w:customStyle="1" w:styleId="1069">
    <w:name w:val="样式 样式 标题 3 + 首行缩进:  2 字符 + 加粗 Char Char"/>
    <w:qFormat/>
    <w:uiPriority w:val="0"/>
    <w:rPr>
      <w:rFonts w:ascii="宋体" w:hAnsi="Arial" w:eastAsia="宋体" w:cs="宋体"/>
      <w:kern w:val="2"/>
      <w:sz w:val="28"/>
      <w:szCs w:val="24"/>
      <w:u w:val="dotted"/>
      <w:lang w:val="en-US" w:eastAsia="zh-CN" w:bidi="ar-SA"/>
    </w:rPr>
  </w:style>
  <w:style w:type="paragraph" w:customStyle="1" w:styleId="1070">
    <w:name w:val="座谈会正文 Char Char Char"/>
    <w:basedOn w:val="1"/>
    <w:qFormat/>
    <w:uiPriority w:val="0"/>
    <w:pPr>
      <w:widowControl/>
      <w:tabs>
        <w:tab w:val="clear" w:pos="480"/>
      </w:tabs>
      <w:ind w:firstLine="538" w:firstLineChars="192"/>
      <w:jc w:val="left"/>
    </w:pPr>
    <w:rPr>
      <w:rFonts w:ascii="楷体_GB2312" w:hAnsi="宋体" w:eastAsia="楷体_GB2312" w:cs="宋体"/>
      <w:kern w:val="0"/>
      <w:szCs w:val="28"/>
    </w:rPr>
  </w:style>
  <w:style w:type="character" w:customStyle="1" w:styleId="1071">
    <w:name w:val="座谈会正文 Char Char Char Char"/>
    <w:qFormat/>
    <w:uiPriority w:val="0"/>
    <w:rPr>
      <w:rFonts w:ascii="楷体_GB2312" w:hAnsi="宋体" w:eastAsia="楷体_GB2312"/>
      <w:kern w:val="2"/>
      <w:sz w:val="28"/>
      <w:szCs w:val="28"/>
      <w:lang w:val="en-US" w:eastAsia="zh-CN" w:bidi="ar-SA"/>
    </w:rPr>
  </w:style>
  <w:style w:type="paragraph" w:customStyle="1" w:styleId="1072">
    <w:name w:val="样式 标题 3 + 首行缩进:  2 字符 Char"/>
    <w:basedOn w:val="5"/>
    <w:qFormat/>
    <w:uiPriority w:val="0"/>
    <w:pPr>
      <w:widowControl/>
      <w:numPr>
        <w:ilvl w:val="0"/>
        <w:numId w:val="0"/>
      </w:numPr>
      <w:tabs>
        <w:tab w:val="clear" w:pos="480"/>
        <w:tab w:val="clear" w:pos="840"/>
      </w:tabs>
      <w:spacing w:before="0" w:after="0" w:line="480" w:lineRule="auto"/>
      <w:jc w:val="left"/>
    </w:pPr>
    <w:rPr>
      <w:rFonts w:ascii="宋体" w:hAnsi="宋体" w:eastAsia="宋体" w:cs="宋体"/>
      <w:b w:val="0"/>
      <w:bCs w:val="0"/>
      <w:kern w:val="0"/>
      <w:sz w:val="24"/>
      <w:szCs w:val="24"/>
    </w:rPr>
  </w:style>
  <w:style w:type="paragraph" w:customStyle="1" w:styleId="1073">
    <w:name w:val="标  题"/>
    <w:basedOn w:val="1"/>
    <w:semiHidden/>
    <w:qFormat/>
    <w:uiPriority w:val="0"/>
    <w:pPr>
      <w:widowControl/>
      <w:tabs>
        <w:tab w:val="clear" w:pos="480"/>
      </w:tabs>
      <w:jc w:val="left"/>
    </w:pPr>
    <w:rPr>
      <w:rFonts w:ascii="黑体" w:hAnsi="宋体" w:eastAsia="黑体" w:cs="宋体"/>
      <w:b/>
      <w:bCs/>
      <w:kern w:val="0"/>
      <w:szCs w:val="28"/>
    </w:rPr>
  </w:style>
  <w:style w:type="paragraph" w:customStyle="1" w:styleId="1074">
    <w:name w:val="Char1 Char Char Char"/>
    <w:basedOn w:val="1"/>
    <w:semiHidden/>
    <w:qFormat/>
    <w:uiPriority w:val="0"/>
    <w:pPr>
      <w:widowControl/>
      <w:tabs>
        <w:tab w:val="clear" w:pos="480"/>
      </w:tabs>
      <w:spacing w:line="240" w:lineRule="auto"/>
      <w:jc w:val="left"/>
    </w:pPr>
    <w:rPr>
      <w:rFonts w:ascii="宋体" w:hAnsi="宋体" w:cs="宋体"/>
      <w:kern w:val="0"/>
      <w:sz w:val="21"/>
    </w:rPr>
  </w:style>
  <w:style w:type="paragraph" w:customStyle="1" w:styleId="1075">
    <w:name w:val="Char1 Char Char Char3"/>
    <w:basedOn w:val="1"/>
    <w:qFormat/>
    <w:uiPriority w:val="0"/>
    <w:pPr>
      <w:widowControl/>
      <w:tabs>
        <w:tab w:val="clear" w:pos="480"/>
      </w:tabs>
      <w:spacing w:after="160" w:line="240" w:lineRule="exact"/>
      <w:jc w:val="left"/>
    </w:pPr>
    <w:rPr>
      <w:rFonts w:ascii="宋体" w:hAnsi="宋体" w:cs="宋体"/>
      <w:b/>
      <w:kern w:val="0"/>
      <w:lang w:eastAsia="en-US"/>
    </w:rPr>
  </w:style>
  <w:style w:type="paragraph" w:customStyle="1" w:styleId="1076">
    <w:name w:val="Style1"/>
    <w:basedOn w:val="4"/>
    <w:semiHidden/>
    <w:qFormat/>
    <w:uiPriority w:val="0"/>
    <w:pPr>
      <w:keepLines w:val="0"/>
      <w:widowControl/>
      <w:numPr>
        <w:ilvl w:val="0"/>
        <w:numId w:val="0"/>
      </w:numPr>
      <w:tabs>
        <w:tab w:val="clear" w:pos="480"/>
        <w:tab w:val="clear" w:pos="630"/>
      </w:tabs>
      <w:spacing w:before="0" w:after="0" w:line="240" w:lineRule="auto"/>
      <w:ind w:firstLine="720"/>
      <w:jc w:val="center"/>
    </w:pPr>
    <w:rPr>
      <w:rFonts w:hAnsi="宋体" w:eastAsia="Times New Roman" w:cs="宋体"/>
      <w:iCs/>
      <w:kern w:val="0"/>
      <w:sz w:val="24"/>
      <w:szCs w:val="24"/>
      <w:lang w:val="ru-RU" w:eastAsia="en-US"/>
    </w:rPr>
  </w:style>
  <w:style w:type="paragraph" w:customStyle="1" w:styleId="1077">
    <w:name w:val="Rev./Mese/ANNO"/>
    <w:basedOn w:val="1"/>
    <w:semiHidden/>
    <w:qFormat/>
    <w:uiPriority w:val="0"/>
    <w:pPr>
      <w:widowControl/>
      <w:tabs>
        <w:tab w:val="clear" w:pos="480"/>
      </w:tabs>
      <w:spacing w:after="200" w:line="240" w:lineRule="auto"/>
      <w:jc w:val="center"/>
    </w:pPr>
    <w:rPr>
      <w:rFonts w:ascii="Arial" w:hAnsi="Arial" w:eastAsia="Times New Roman" w:cs="Arial"/>
      <w:kern w:val="0"/>
      <w:sz w:val="20"/>
      <w:lang w:val="it-IT" w:eastAsia="en-US"/>
    </w:rPr>
  </w:style>
  <w:style w:type="paragraph" w:customStyle="1" w:styleId="1078">
    <w:name w:val="样式 正文缩进 + 宋体"/>
    <w:basedOn w:val="21"/>
    <w:link w:val="1195"/>
    <w:qFormat/>
    <w:uiPriority w:val="0"/>
    <w:pPr>
      <w:widowControl/>
      <w:tabs>
        <w:tab w:val="clear" w:pos="480"/>
      </w:tabs>
      <w:snapToGrid w:val="0"/>
      <w:spacing w:line="300" w:lineRule="auto"/>
      <w:ind w:firstLine="560"/>
      <w:jc w:val="left"/>
    </w:pPr>
    <w:rPr>
      <w:rFonts w:ascii="宋体" w:hAnsi="宋体"/>
      <w:kern w:val="0"/>
      <w:sz w:val="28"/>
      <w:szCs w:val="28"/>
      <w:lang w:val="zh-CN"/>
    </w:rPr>
  </w:style>
  <w:style w:type="character" w:customStyle="1" w:styleId="1079">
    <w:name w:val="Название объекта1"/>
    <w:semiHidden/>
    <w:qFormat/>
    <w:uiPriority w:val="0"/>
    <w:rPr>
      <w:b/>
      <w:bCs/>
      <w:lang w:val="ru-RU" w:eastAsia="ru-RU" w:bidi="ar-SA"/>
    </w:rPr>
  </w:style>
  <w:style w:type="paragraph" w:customStyle="1" w:styleId="1080">
    <w:name w:val="Стиль20-1"/>
    <w:basedOn w:val="1"/>
    <w:semiHidden/>
    <w:qFormat/>
    <w:uiPriority w:val="0"/>
    <w:pPr>
      <w:widowControl/>
      <w:tabs>
        <w:tab w:val="clear" w:pos="480"/>
      </w:tabs>
      <w:ind w:right="-185" w:firstLine="709"/>
      <w:jc w:val="left"/>
    </w:pPr>
    <w:rPr>
      <w:rFonts w:ascii="Arial" w:hAnsi="Arial" w:eastAsia="Times New Roman" w:cs="Arial"/>
      <w:b/>
      <w:i/>
      <w:kern w:val="0"/>
      <w:sz w:val="20"/>
      <w:lang w:val="ru-RU" w:eastAsia="ru-RU"/>
    </w:rPr>
  </w:style>
  <w:style w:type="paragraph" w:customStyle="1" w:styleId="1081">
    <w:name w:val="中文正文"/>
    <w:basedOn w:val="35"/>
    <w:qFormat/>
    <w:uiPriority w:val="0"/>
    <w:pPr>
      <w:widowControl/>
      <w:tabs>
        <w:tab w:val="clear" w:pos="480"/>
      </w:tabs>
      <w:spacing w:line="240" w:lineRule="auto"/>
      <w:ind w:firstLine="420"/>
      <w:jc w:val="left"/>
    </w:pPr>
    <w:rPr>
      <w:rFonts w:ascii="宋体" w:hAnsi="宋体" w:cs="宋体"/>
      <w:kern w:val="0"/>
      <w:sz w:val="21"/>
      <w:lang w:val="ru-RU"/>
    </w:rPr>
  </w:style>
  <w:style w:type="paragraph" w:customStyle="1" w:styleId="1082">
    <w:name w:val="报告文字"/>
    <w:basedOn w:val="1"/>
    <w:semiHidden/>
    <w:qFormat/>
    <w:uiPriority w:val="0"/>
    <w:pPr>
      <w:widowControl/>
      <w:tabs>
        <w:tab w:val="clear" w:pos="480"/>
      </w:tabs>
      <w:spacing w:line="240" w:lineRule="auto"/>
      <w:ind w:firstLine="425"/>
      <w:jc w:val="left"/>
    </w:pPr>
    <w:rPr>
      <w:rFonts w:ascii="宋体" w:hAnsi="宋体" w:cs="宋体"/>
      <w:kern w:val="0"/>
    </w:rPr>
  </w:style>
  <w:style w:type="paragraph" w:customStyle="1" w:styleId="1083">
    <w:name w:val="表格格式"/>
    <w:next w:val="1"/>
    <w:semiHidden/>
    <w:qFormat/>
    <w:uiPriority w:val="0"/>
    <w:pPr>
      <w:adjustRightInd w:val="0"/>
      <w:snapToGrid w:val="0"/>
      <w:spacing w:line="360" w:lineRule="auto"/>
      <w:ind w:firstLine="200" w:firstLineChars="200"/>
      <w:jc w:val="center"/>
    </w:pPr>
    <w:rPr>
      <w:rFonts w:ascii="Times New Roman" w:hAnsi="Times New Roman" w:eastAsia="宋体" w:cs="Times New Roman"/>
      <w:color w:val="000000"/>
      <w:kern w:val="2"/>
      <w:sz w:val="21"/>
      <w:szCs w:val="24"/>
      <w:lang w:val="en-US" w:eastAsia="zh-CN" w:bidi="ar-SA"/>
    </w:rPr>
  </w:style>
  <w:style w:type="paragraph" w:customStyle="1" w:styleId="1084">
    <w:name w:val="标题7"/>
    <w:basedOn w:val="1"/>
    <w:semiHidden/>
    <w:qFormat/>
    <w:uiPriority w:val="0"/>
    <w:pPr>
      <w:widowControl/>
      <w:tabs>
        <w:tab w:val="clear" w:pos="480"/>
      </w:tabs>
      <w:spacing w:line="440" w:lineRule="exact"/>
      <w:ind w:firstLine="473" w:firstLineChars="225"/>
      <w:jc w:val="center"/>
      <w:outlineLvl w:val="6"/>
    </w:pPr>
    <w:rPr>
      <w:rFonts w:ascii="黑体" w:hAnsi="宋体" w:eastAsia="黑体" w:cs="宋体"/>
      <w:kern w:val="0"/>
      <w:sz w:val="21"/>
      <w:szCs w:val="21"/>
      <w:lang w:val="ru-RU"/>
    </w:rPr>
  </w:style>
  <w:style w:type="paragraph" w:customStyle="1" w:styleId="1085">
    <w:name w:val="Char Char Char Char Char Char Char Char Char1 Char Char Char Char Char Char Char"/>
    <w:basedOn w:val="26"/>
    <w:qFormat/>
    <w:uiPriority w:val="0"/>
    <w:pPr>
      <w:widowControl/>
      <w:jc w:val="left"/>
    </w:pPr>
    <w:rPr>
      <w:rFonts w:ascii="Tahoma" w:hAnsi="Tahoma" w:cs="Tahoma"/>
      <w:kern w:val="0"/>
      <w:sz w:val="24"/>
    </w:rPr>
  </w:style>
  <w:style w:type="character" w:customStyle="1" w:styleId="1086">
    <w:name w:val="content1"/>
    <w:semiHidden/>
    <w:qFormat/>
    <w:uiPriority w:val="0"/>
    <w:rPr>
      <w:color w:val="000000"/>
      <w:sz w:val="21"/>
      <w:szCs w:val="21"/>
      <w:u w:val="none"/>
    </w:rPr>
  </w:style>
  <w:style w:type="paragraph" w:customStyle="1" w:styleId="1087">
    <w:name w:val="Char23"/>
    <w:basedOn w:val="1"/>
    <w:next w:val="1"/>
    <w:semiHidden/>
    <w:qFormat/>
    <w:uiPriority w:val="0"/>
    <w:pPr>
      <w:widowControl/>
      <w:tabs>
        <w:tab w:val="left" w:pos="560"/>
        <w:tab w:val="clear" w:pos="480"/>
      </w:tabs>
      <w:autoSpaceDE w:val="0"/>
      <w:autoSpaceDN w:val="0"/>
      <w:adjustRightInd w:val="0"/>
      <w:spacing w:line="240" w:lineRule="auto"/>
      <w:ind w:firstLine="1137" w:firstLineChars="406"/>
      <w:jc w:val="left"/>
    </w:pPr>
    <w:rPr>
      <w:rFonts w:ascii="宋体" w:hAnsi="宋体" w:cs="宋体"/>
      <w:color w:val="000000"/>
      <w:kern w:val="0"/>
      <w:szCs w:val="28"/>
    </w:rPr>
  </w:style>
  <w:style w:type="paragraph" w:customStyle="1" w:styleId="1088">
    <w:name w:val="样式 (西文) Arial 五号 段前: 12 磅 段后: 12 磅"/>
    <w:basedOn w:val="1"/>
    <w:qFormat/>
    <w:uiPriority w:val="0"/>
    <w:pPr>
      <w:widowControl/>
      <w:tabs>
        <w:tab w:val="clear" w:pos="480"/>
      </w:tabs>
      <w:spacing w:before="240" w:after="240" w:line="0" w:lineRule="atLeast"/>
      <w:jc w:val="left"/>
    </w:pPr>
    <w:rPr>
      <w:rFonts w:ascii="Arial" w:hAnsi="Arial" w:eastAsia="楷体_GB2312" w:cs="宋体"/>
      <w:kern w:val="0"/>
      <w:sz w:val="21"/>
      <w:lang w:eastAsia="en-US"/>
    </w:rPr>
  </w:style>
  <w:style w:type="character" w:customStyle="1" w:styleId="1089">
    <w:name w:val="正文 + 四号 Char"/>
    <w:link w:val="225"/>
    <w:qFormat/>
    <w:uiPriority w:val="0"/>
    <w:rPr>
      <w:rFonts w:ascii="宋体" w:hAnsi="宋体" w:eastAsia="宋体"/>
      <w:color w:val="000000"/>
      <w:kern w:val="2"/>
      <w:sz w:val="24"/>
      <w:szCs w:val="24"/>
      <w:lang w:val="en-US" w:eastAsia="zh-CN" w:bidi="ar-SA"/>
    </w:rPr>
  </w:style>
  <w:style w:type="paragraph" w:customStyle="1" w:styleId="1090">
    <w:name w:val="正文he"/>
    <w:basedOn w:val="1"/>
    <w:link w:val="1091"/>
    <w:qFormat/>
    <w:uiPriority w:val="0"/>
    <w:pPr>
      <w:widowControl/>
      <w:tabs>
        <w:tab w:val="clear" w:pos="480"/>
      </w:tabs>
      <w:ind w:firstLine="480"/>
      <w:jc w:val="left"/>
    </w:pPr>
    <w:rPr>
      <w:rFonts w:ascii="宋体" w:hAnsi="宋体"/>
      <w:kern w:val="0"/>
      <w:lang w:val="zh-CN"/>
    </w:rPr>
  </w:style>
  <w:style w:type="character" w:customStyle="1" w:styleId="1091">
    <w:name w:val="正文he Char"/>
    <w:link w:val="1090"/>
    <w:qFormat/>
    <w:uiPriority w:val="0"/>
    <w:rPr>
      <w:rFonts w:ascii="宋体" w:hAnsi="宋体" w:eastAsia="宋体"/>
      <w:sz w:val="24"/>
      <w:szCs w:val="24"/>
      <w:lang w:bidi="ar-SA"/>
    </w:rPr>
  </w:style>
  <w:style w:type="paragraph" w:customStyle="1" w:styleId="1092">
    <w:name w:val="正文51"/>
    <w:basedOn w:val="1"/>
    <w:next w:val="1"/>
    <w:qFormat/>
    <w:uiPriority w:val="0"/>
    <w:pPr>
      <w:widowControl/>
      <w:tabs>
        <w:tab w:val="clear" w:pos="480"/>
      </w:tabs>
      <w:spacing w:before="60" w:after="60" w:line="300" w:lineRule="auto"/>
      <w:ind w:firstLine="482"/>
      <w:jc w:val="left"/>
    </w:pPr>
    <w:rPr>
      <w:rFonts w:ascii="Verdana" w:hAnsi="Verdana" w:cs="宋体"/>
      <w:kern w:val="0"/>
      <w:lang w:val="en-GB" w:eastAsia="en-US"/>
    </w:rPr>
  </w:style>
  <w:style w:type="character" w:customStyle="1" w:styleId="1093">
    <w:name w:val="text-jj"/>
    <w:basedOn w:val="132"/>
    <w:semiHidden/>
    <w:qFormat/>
    <w:uiPriority w:val="0"/>
  </w:style>
  <w:style w:type="character" w:customStyle="1" w:styleId="1094">
    <w:name w:val="msonormal"/>
    <w:basedOn w:val="132"/>
    <w:semiHidden/>
    <w:qFormat/>
    <w:uiPriority w:val="0"/>
  </w:style>
  <w:style w:type="paragraph" w:customStyle="1" w:styleId="1095">
    <w:name w:val="表格题头"/>
    <w:semiHidden/>
    <w:qFormat/>
    <w:uiPriority w:val="0"/>
    <w:pPr>
      <w:widowControl w:val="0"/>
      <w:spacing w:beforeLines="25" w:afterLines="25" w:line="300" w:lineRule="auto"/>
      <w:ind w:firstLine="200" w:firstLineChars="200"/>
      <w:jc w:val="both"/>
    </w:pPr>
    <w:rPr>
      <w:rFonts w:ascii="Times New Roman" w:hAnsi="Times New Roman" w:eastAsia="宋体" w:cs="Times New Roman"/>
      <w:b/>
      <w:kern w:val="2"/>
      <w:sz w:val="24"/>
      <w:szCs w:val="24"/>
      <w:lang w:val="en-US" w:eastAsia="zh-CN" w:bidi="ar-SA"/>
    </w:rPr>
  </w:style>
  <w:style w:type="character" w:customStyle="1" w:styleId="1096">
    <w:name w:val="报告正文 Char1"/>
    <w:semiHidden/>
    <w:qFormat/>
    <w:uiPriority w:val="0"/>
    <w:rPr>
      <w:rFonts w:ascii="宋体" w:hAnsi="宋体" w:eastAsia="宋体" w:cs="宋体"/>
      <w:sz w:val="24"/>
      <w:szCs w:val="24"/>
      <w:lang w:val="en-US" w:eastAsia="zh-CN" w:bidi="ar-SA"/>
    </w:rPr>
  </w:style>
  <w:style w:type="paragraph" w:customStyle="1" w:styleId="1097">
    <w:name w:val="样式 首行缩进:  2 字符2"/>
    <w:basedOn w:val="1"/>
    <w:link w:val="3451"/>
    <w:qFormat/>
    <w:uiPriority w:val="0"/>
    <w:pPr>
      <w:widowControl/>
      <w:tabs>
        <w:tab w:val="clear" w:pos="480"/>
      </w:tabs>
      <w:spacing w:line="300" w:lineRule="auto"/>
      <w:jc w:val="left"/>
    </w:pPr>
    <w:rPr>
      <w:rFonts w:ascii="宋体" w:hAnsi="宋体" w:cs="宋体"/>
      <w:kern w:val="0"/>
      <w:szCs w:val="28"/>
    </w:rPr>
  </w:style>
  <w:style w:type="paragraph" w:customStyle="1" w:styleId="1098">
    <w:name w:val="表后空行"/>
    <w:basedOn w:val="1"/>
    <w:semiHidden/>
    <w:qFormat/>
    <w:uiPriority w:val="0"/>
    <w:pPr>
      <w:widowControl/>
      <w:tabs>
        <w:tab w:val="clear" w:pos="480"/>
      </w:tabs>
      <w:spacing w:line="300" w:lineRule="auto"/>
      <w:jc w:val="left"/>
    </w:pPr>
    <w:rPr>
      <w:rFonts w:ascii="宋体" w:hAnsi="宋体" w:cs="宋体"/>
      <w:kern w:val="0"/>
      <w:sz w:val="15"/>
    </w:rPr>
  </w:style>
  <w:style w:type="paragraph" w:customStyle="1" w:styleId="1099">
    <w:name w:val="章号标题1"/>
    <w:basedOn w:val="1"/>
    <w:qFormat/>
    <w:uiPriority w:val="0"/>
    <w:pPr>
      <w:keepNext/>
      <w:keepLines/>
      <w:widowControl/>
      <w:tabs>
        <w:tab w:val="left" w:pos="0"/>
        <w:tab w:val="left" w:pos="525"/>
        <w:tab w:val="clear" w:pos="480"/>
      </w:tabs>
      <w:adjustRightInd w:val="0"/>
      <w:spacing w:line="240" w:lineRule="auto"/>
      <w:jc w:val="left"/>
      <w:outlineLvl w:val="0"/>
    </w:pPr>
    <w:rPr>
      <w:rFonts w:ascii="黑体" w:hAnsi="宋体" w:eastAsia="黑体" w:cs="宋体"/>
      <w:kern w:val="44"/>
      <w:szCs w:val="28"/>
    </w:rPr>
  </w:style>
  <w:style w:type="paragraph" w:customStyle="1" w:styleId="1100">
    <w:name w:val="节号标题2"/>
    <w:basedOn w:val="4"/>
    <w:qFormat/>
    <w:uiPriority w:val="0"/>
    <w:pPr>
      <w:widowControl/>
      <w:numPr>
        <w:ilvl w:val="0"/>
        <w:numId w:val="0"/>
      </w:numPr>
      <w:tabs>
        <w:tab w:val="left" w:pos="0"/>
        <w:tab w:val="left" w:pos="525"/>
        <w:tab w:val="clear" w:pos="480"/>
        <w:tab w:val="clear" w:pos="630"/>
      </w:tabs>
      <w:adjustRightInd w:val="0"/>
      <w:spacing w:before="0" w:after="0" w:line="240" w:lineRule="auto"/>
      <w:jc w:val="left"/>
    </w:pPr>
    <w:rPr>
      <w:rFonts w:ascii="黑体" w:hAnsi="宋体" w:eastAsia="黑体" w:cs="宋体"/>
      <w:b w:val="0"/>
      <w:bCs w:val="0"/>
      <w:kern w:val="0"/>
      <w:sz w:val="24"/>
      <w:szCs w:val="28"/>
    </w:rPr>
  </w:style>
  <w:style w:type="character" w:customStyle="1" w:styleId="1101">
    <w:name w:val="a3"/>
    <w:basedOn w:val="132"/>
    <w:semiHidden/>
    <w:qFormat/>
    <w:uiPriority w:val="0"/>
  </w:style>
  <w:style w:type="paragraph" w:customStyle="1" w:styleId="1102">
    <w:name w:val="普通文本"/>
    <w:basedOn w:val="1"/>
    <w:qFormat/>
    <w:uiPriority w:val="0"/>
    <w:pPr>
      <w:widowControl/>
      <w:tabs>
        <w:tab w:val="clear" w:pos="480"/>
      </w:tabs>
      <w:overflowPunct w:val="0"/>
      <w:autoSpaceDE w:val="0"/>
      <w:autoSpaceDN w:val="0"/>
      <w:adjustRightInd w:val="0"/>
      <w:spacing w:line="300" w:lineRule="auto"/>
      <w:ind w:left="120" w:leftChars="50" w:right="240" w:rightChars="100" w:firstLine="560"/>
      <w:jc w:val="left"/>
    </w:pPr>
    <w:rPr>
      <w:rFonts w:ascii="仿宋_GB2312" w:hAnsi="宋体" w:eastAsia="仿宋_GB2312" w:cs="宋体"/>
      <w:kern w:val="0"/>
      <w:lang w:val="zh-CN"/>
    </w:rPr>
  </w:style>
  <w:style w:type="paragraph" w:customStyle="1" w:styleId="1103">
    <w:name w:val="Char Char1 Char Char Char Char"/>
    <w:basedOn w:val="1"/>
    <w:semiHidden/>
    <w:qFormat/>
    <w:uiPriority w:val="0"/>
    <w:pPr>
      <w:widowControl/>
      <w:tabs>
        <w:tab w:val="clear" w:pos="480"/>
      </w:tabs>
      <w:spacing w:line="240" w:lineRule="auto"/>
      <w:jc w:val="left"/>
    </w:pPr>
    <w:rPr>
      <w:rFonts w:ascii="宋体" w:hAnsi="宋体" w:cs="宋体"/>
      <w:kern w:val="0"/>
      <w:sz w:val="21"/>
      <w:szCs w:val="21"/>
    </w:rPr>
  </w:style>
  <w:style w:type="paragraph" w:customStyle="1" w:styleId="1104">
    <w:name w:val="表字"/>
    <w:basedOn w:val="1"/>
    <w:qFormat/>
    <w:uiPriority w:val="0"/>
    <w:pPr>
      <w:keepNext/>
      <w:widowControl/>
      <w:tabs>
        <w:tab w:val="clear" w:pos="480"/>
      </w:tabs>
      <w:spacing w:line="360" w:lineRule="exact"/>
      <w:jc w:val="left"/>
    </w:pPr>
    <w:rPr>
      <w:rFonts w:ascii="宋体" w:hAnsi="宋体" w:cs="宋体"/>
      <w:kern w:val="0"/>
      <w:sz w:val="21"/>
    </w:rPr>
  </w:style>
  <w:style w:type="paragraph" w:customStyle="1" w:styleId="1105">
    <w:name w:val="样式 表字 + 居中"/>
    <w:basedOn w:val="1104"/>
    <w:qFormat/>
    <w:uiPriority w:val="0"/>
    <w:pPr>
      <w:jc w:val="center"/>
    </w:pPr>
  </w:style>
  <w:style w:type="paragraph" w:customStyle="1" w:styleId="1106">
    <w:name w:val="Char2 Char Char Char Char Char Char Char Char Char Char Char Char"/>
    <w:basedOn w:val="1"/>
    <w:semiHidden/>
    <w:qFormat/>
    <w:uiPriority w:val="0"/>
    <w:pPr>
      <w:widowControl/>
      <w:tabs>
        <w:tab w:val="clear" w:pos="480"/>
      </w:tabs>
      <w:spacing w:line="240" w:lineRule="auto"/>
      <w:ind w:left="-48"/>
      <w:jc w:val="left"/>
    </w:pPr>
    <w:rPr>
      <w:rFonts w:ascii="宋体" w:hAnsi="宋体" w:cs="宋体"/>
      <w:kern w:val="0"/>
      <w:sz w:val="21"/>
    </w:rPr>
  </w:style>
  <w:style w:type="paragraph" w:customStyle="1" w:styleId="1107">
    <w:name w:val="Char Char Знак Знак"/>
    <w:basedOn w:val="1"/>
    <w:semiHidden/>
    <w:qFormat/>
    <w:uiPriority w:val="0"/>
    <w:pPr>
      <w:widowControl/>
      <w:tabs>
        <w:tab w:val="clear" w:pos="480"/>
      </w:tabs>
      <w:spacing w:after="160" w:line="240" w:lineRule="exact"/>
      <w:jc w:val="left"/>
    </w:pPr>
    <w:rPr>
      <w:rFonts w:ascii="宋体" w:hAnsi="宋体" w:cs="宋体"/>
      <w:b/>
      <w:kern w:val="0"/>
      <w:lang w:eastAsia="en-US"/>
    </w:rPr>
  </w:style>
  <w:style w:type="paragraph" w:customStyle="1" w:styleId="1108">
    <w:name w:val="Char Char Char Char Char Char Char Char Char Char4"/>
    <w:basedOn w:val="1"/>
    <w:semiHidden/>
    <w:qFormat/>
    <w:uiPriority w:val="0"/>
    <w:pPr>
      <w:widowControl/>
      <w:tabs>
        <w:tab w:val="clear" w:pos="480"/>
      </w:tabs>
      <w:spacing w:line="240" w:lineRule="auto"/>
      <w:jc w:val="left"/>
    </w:pPr>
    <w:rPr>
      <w:rFonts w:ascii="宋体" w:hAnsi="宋体" w:cs="宋体"/>
      <w:kern w:val="0"/>
      <w:sz w:val="21"/>
      <w:szCs w:val="21"/>
    </w:rPr>
  </w:style>
  <w:style w:type="character" w:customStyle="1" w:styleId="1109">
    <w:name w:val="tcname"/>
    <w:basedOn w:val="132"/>
    <w:semiHidden/>
    <w:qFormat/>
    <w:uiPriority w:val="0"/>
  </w:style>
  <w:style w:type="character" w:customStyle="1" w:styleId="1110">
    <w:name w:val="mid1"/>
    <w:semiHidden/>
    <w:qFormat/>
    <w:uiPriority w:val="0"/>
    <w:rPr>
      <w:color w:val="415870"/>
      <w:sz w:val="21"/>
      <w:szCs w:val="21"/>
      <w:u w:val="none"/>
    </w:rPr>
  </w:style>
  <w:style w:type="paragraph" w:customStyle="1" w:styleId="1111">
    <w:name w:val="样式 样式 宋体 四号 首行缩进:  0.99 厘米 行距: 多倍行距 1.25 字行 + Times New Roman"/>
    <w:basedOn w:val="1"/>
    <w:qFormat/>
    <w:uiPriority w:val="0"/>
    <w:pPr>
      <w:widowControl/>
      <w:tabs>
        <w:tab w:val="clear" w:pos="480"/>
      </w:tabs>
      <w:adjustRightInd w:val="0"/>
      <w:spacing w:line="300" w:lineRule="auto"/>
      <w:ind w:firstLine="561"/>
      <w:jc w:val="left"/>
    </w:pPr>
    <w:rPr>
      <w:rFonts w:ascii="宋体" w:hAnsi="宋体" w:cs="宋体"/>
      <w:kern w:val="0"/>
      <w:szCs w:val="28"/>
    </w:rPr>
  </w:style>
  <w:style w:type="paragraph" w:customStyle="1" w:styleId="1112">
    <w:name w:val="表格索引"/>
    <w:basedOn w:val="1"/>
    <w:semiHidden/>
    <w:qFormat/>
    <w:uiPriority w:val="0"/>
    <w:pPr>
      <w:widowControl/>
      <w:tabs>
        <w:tab w:val="clear" w:pos="480"/>
      </w:tabs>
      <w:adjustRightInd w:val="0"/>
      <w:spacing w:line="300" w:lineRule="auto"/>
      <w:jc w:val="center"/>
    </w:pPr>
    <w:rPr>
      <w:rFonts w:ascii="黑体" w:hAnsi="宋体" w:eastAsia="黑体" w:cs="宋体"/>
      <w:kern w:val="0"/>
    </w:rPr>
  </w:style>
  <w:style w:type="character" w:customStyle="1" w:styleId="1113">
    <w:name w:val="pg1"/>
    <w:semiHidden/>
    <w:qFormat/>
    <w:uiPriority w:val="0"/>
    <w:rPr>
      <w:color w:val="000000"/>
      <w:sz w:val="18"/>
      <w:szCs w:val="18"/>
    </w:rPr>
  </w:style>
  <w:style w:type="paragraph" w:customStyle="1" w:styleId="1114">
    <w:name w:val="样式 小四 居中 首行缩进:  2 字符"/>
    <w:basedOn w:val="1"/>
    <w:qFormat/>
    <w:uiPriority w:val="0"/>
    <w:pPr>
      <w:widowControl/>
      <w:tabs>
        <w:tab w:val="clear" w:pos="480"/>
      </w:tabs>
      <w:spacing w:line="240" w:lineRule="auto"/>
      <w:ind w:left="560" w:leftChars="200" w:firstLine="480"/>
      <w:jc w:val="center"/>
    </w:pPr>
    <w:rPr>
      <w:rFonts w:ascii="宋体" w:hAnsi="宋体" w:cs="宋体"/>
      <w:kern w:val="0"/>
      <w:sz w:val="21"/>
    </w:rPr>
  </w:style>
  <w:style w:type="paragraph" w:customStyle="1" w:styleId="1115">
    <w:name w:val="样式 样式 标题 2 + 首行缩进:  2 字符 + 首行缩进:  2 字符"/>
    <w:basedOn w:val="258"/>
    <w:qFormat/>
    <w:uiPriority w:val="0"/>
    <w:pPr>
      <w:widowControl/>
      <w:jc w:val="left"/>
    </w:pPr>
    <w:rPr>
      <w:rFonts w:ascii="Times New Roman" w:hAnsi="宋体"/>
      <w:bCs w:val="0"/>
      <w:sz w:val="28"/>
      <w:szCs w:val="28"/>
    </w:rPr>
  </w:style>
  <w:style w:type="paragraph" w:customStyle="1" w:styleId="1116">
    <w:name w:val="样式 样式 标题 3 + 首行缩进:  2 字符 + 首行缩进:  2 字符"/>
    <w:basedOn w:val="258"/>
    <w:qFormat/>
    <w:uiPriority w:val="0"/>
    <w:pPr>
      <w:widowControl/>
      <w:jc w:val="left"/>
    </w:pPr>
    <w:rPr>
      <w:rFonts w:ascii="Times New Roman" w:hAnsi="宋体" w:eastAsia="宋体"/>
      <w:bCs w:val="0"/>
      <w:sz w:val="28"/>
      <w:szCs w:val="28"/>
    </w:rPr>
  </w:style>
  <w:style w:type="paragraph" w:customStyle="1" w:styleId="1117">
    <w:name w:val="样式 样式 标题 2+ 首行缩进:  2 字符 + 首行缩进:  2 字符"/>
    <w:basedOn w:val="4"/>
    <w:qFormat/>
    <w:uiPriority w:val="0"/>
    <w:pPr>
      <w:widowControl/>
      <w:numPr>
        <w:ilvl w:val="0"/>
        <w:numId w:val="0"/>
      </w:numPr>
      <w:tabs>
        <w:tab w:val="clear" w:pos="480"/>
        <w:tab w:val="clear" w:pos="630"/>
      </w:tabs>
      <w:spacing w:before="0" w:after="200" w:line="300" w:lineRule="auto"/>
      <w:jc w:val="left"/>
    </w:pPr>
    <w:rPr>
      <w:rFonts w:hAnsi="宋体" w:cs="宋体"/>
      <w:bCs w:val="0"/>
      <w:kern w:val="0"/>
    </w:rPr>
  </w:style>
  <w:style w:type="paragraph" w:customStyle="1" w:styleId="1118">
    <w:name w:val="样式 样式 标题 3+ 首行缩进:  2 字符 + 首行缩进:  2 字符"/>
    <w:basedOn w:val="5"/>
    <w:next w:val="5"/>
    <w:qFormat/>
    <w:uiPriority w:val="0"/>
    <w:pPr>
      <w:widowControl/>
      <w:numPr>
        <w:ilvl w:val="0"/>
        <w:numId w:val="0"/>
      </w:numPr>
      <w:tabs>
        <w:tab w:val="clear" w:pos="480"/>
        <w:tab w:val="clear" w:pos="840"/>
      </w:tabs>
      <w:adjustRightInd w:val="0"/>
      <w:spacing w:before="0" w:after="0" w:line="300" w:lineRule="auto"/>
      <w:jc w:val="left"/>
    </w:pPr>
    <w:rPr>
      <w:rFonts w:ascii="宋体" w:hAnsi="宋体" w:eastAsia="黑体" w:cs="宋体"/>
      <w:bCs w:val="0"/>
      <w:kern w:val="0"/>
      <w:sz w:val="24"/>
    </w:rPr>
  </w:style>
  <w:style w:type="paragraph" w:customStyle="1" w:styleId="1119">
    <w:name w:val="新标题3"/>
    <w:basedOn w:val="1118"/>
    <w:qFormat/>
    <w:uiPriority w:val="0"/>
    <w:pPr/>
  </w:style>
  <w:style w:type="paragraph" w:customStyle="1" w:styleId="1120">
    <w:name w:val="样式 标题 2 + 首行缩进:  2 字符1"/>
    <w:basedOn w:val="4"/>
    <w:qFormat/>
    <w:uiPriority w:val="0"/>
    <w:pPr>
      <w:widowControl/>
      <w:numPr>
        <w:ilvl w:val="0"/>
        <w:numId w:val="0"/>
      </w:numPr>
      <w:tabs>
        <w:tab w:val="clear" w:pos="480"/>
        <w:tab w:val="clear" w:pos="630"/>
      </w:tabs>
      <w:spacing w:before="120" w:line="300" w:lineRule="auto"/>
      <w:jc w:val="left"/>
    </w:pPr>
    <w:rPr>
      <w:rFonts w:ascii="Arial" w:hAnsi="Arial" w:eastAsia="黑体" w:cs="宋体"/>
      <w:b w:val="0"/>
      <w:kern w:val="0"/>
      <w:sz w:val="24"/>
      <w:szCs w:val="24"/>
    </w:rPr>
  </w:style>
  <w:style w:type="paragraph" w:customStyle="1" w:styleId="1121">
    <w:name w:val="样式 标题 3 + 非加粗 首行缩进:  2 字符"/>
    <w:basedOn w:val="5"/>
    <w:qFormat/>
    <w:uiPriority w:val="0"/>
    <w:pPr>
      <w:widowControl/>
      <w:numPr>
        <w:ilvl w:val="0"/>
        <w:numId w:val="0"/>
      </w:numPr>
      <w:tabs>
        <w:tab w:val="clear" w:pos="480"/>
        <w:tab w:val="clear" w:pos="840"/>
      </w:tabs>
      <w:adjustRightInd w:val="0"/>
      <w:spacing w:before="0" w:after="0" w:line="300" w:lineRule="auto"/>
      <w:jc w:val="left"/>
    </w:pPr>
    <w:rPr>
      <w:rFonts w:ascii="宋体" w:hAnsi="宋体" w:eastAsia="黑体" w:cs="宋体"/>
      <w:bCs w:val="0"/>
      <w:kern w:val="0"/>
      <w:sz w:val="24"/>
      <w:szCs w:val="24"/>
    </w:rPr>
  </w:style>
  <w:style w:type="paragraph" w:customStyle="1" w:styleId="1122">
    <w:name w:val="样式 样式 标题 2 + 首行缩进:  2 字符1 + (西文) Times New Roman (中文) 仿宋_GB2312..."/>
    <w:basedOn w:val="1120"/>
    <w:qFormat/>
    <w:uiPriority w:val="0"/>
    <w:pPr>
      <w:spacing w:line="340" w:lineRule="exact"/>
    </w:pPr>
    <w:rPr>
      <w:rFonts w:ascii="Times New Roman" w:hAnsi="Times New Roman" w:eastAsia="仿宋_GB2312"/>
      <w:bCs w:val="0"/>
      <w:sz w:val="30"/>
    </w:rPr>
  </w:style>
  <w:style w:type="paragraph" w:customStyle="1" w:styleId="1123">
    <w:name w:val="样式 样式 标题 2 + 首行缩进:  2 字符1 + 方正仿宋简体 小三"/>
    <w:basedOn w:val="1120"/>
    <w:qFormat/>
    <w:uiPriority w:val="0"/>
    <w:pPr>
      <w:spacing w:line="340" w:lineRule="exact"/>
    </w:pPr>
    <w:rPr>
      <w:rFonts w:ascii="方正仿宋简体" w:hAnsi="方正仿宋简体" w:eastAsia="方正仿宋简体"/>
      <w:bCs w:val="0"/>
      <w:sz w:val="30"/>
    </w:rPr>
  </w:style>
  <w:style w:type="paragraph" w:customStyle="1" w:styleId="1124">
    <w:name w:val="样式 标题 3标题 3 Char1标题 3 Char Char标题 3 Char + 加粗"/>
    <w:basedOn w:val="5"/>
    <w:qFormat/>
    <w:uiPriority w:val="0"/>
    <w:pPr>
      <w:widowControl/>
      <w:numPr>
        <w:ilvl w:val="0"/>
        <w:numId w:val="0"/>
      </w:numPr>
      <w:tabs>
        <w:tab w:val="clear" w:pos="480"/>
        <w:tab w:val="clear" w:pos="840"/>
      </w:tabs>
      <w:adjustRightInd w:val="0"/>
      <w:spacing w:before="0" w:after="0" w:line="300" w:lineRule="auto"/>
      <w:jc w:val="left"/>
    </w:pPr>
    <w:rPr>
      <w:rFonts w:ascii="宋体" w:hAnsi="宋体" w:eastAsia="黑体" w:cs="宋体"/>
      <w:b w:val="0"/>
      <w:kern w:val="0"/>
      <w:sz w:val="24"/>
    </w:rPr>
  </w:style>
  <w:style w:type="paragraph" w:customStyle="1" w:styleId="1125">
    <w:name w:val="设计正文"/>
    <w:basedOn w:val="1"/>
    <w:qFormat/>
    <w:uiPriority w:val="0"/>
    <w:pPr>
      <w:widowControl/>
      <w:tabs>
        <w:tab w:val="clear" w:pos="480"/>
      </w:tabs>
      <w:spacing w:line="420" w:lineRule="exact"/>
      <w:jc w:val="left"/>
    </w:pPr>
    <w:rPr>
      <w:rFonts w:ascii="宋体" w:hAnsi="宋体" w:cs="宋体"/>
      <w:kern w:val="0"/>
    </w:rPr>
  </w:style>
  <w:style w:type="character" w:customStyle="1" w:styleId="1126">
    <w:name w:val="p2"/>
    <w:basedOn w:val="132"/>
    <w:semiHidden/>
    <w:qFormat/>
    <w:uiPriority w:val="0"/>
  </w:style>
  <w:style w:type="character" w:customStyle="1" w:styleId="1127">
    <w:name w:val="p101"/>
    <w:semiHidden/>
    <w:qFormat/>
    <w:uiPriority w:val="0"/>
    <w:rPr>
      <w:rFonts w:hint="default" w:ascii="p10" w:hAnsi="p10"/>
      <w:color w:val="006633"/>
      <w:spacing w:val="400"/>
      <w:sz w:val="20"/>
      <w:szCs w:val="20"/>
    </w:rPr>
  </w:style>
  <w:style w:type="character" w:customStyle="1" w:styleId="1128">
    <w:name w:val="yangshi-fsb-4"/>
    <w:basedOn w:val="132"/>
    <w:semiHidden/>
    <w:qFormat/>
    <w:uiPriority w:val="0"/>
  </w:style>
  <w:style w:type="paragraph" w:customStyle="1" w:styleId="1129">
    <w:name w:val="作者姓名"/>
    <w:next w:val="1"/>
    <w:qFormat/>
    <w:uiPriority w:val="0"/>
    <w:pPr>
      <w:widowControl w:val="0"/>
      <w:adjustRightInd w:val="0"/>
      <w:snapToGrid w:val="0"/>
      <w:spacing w:line="360" w:lineRule="auto"/>
      <w:ind w:firstLine="200" w:firstLineChars="200"/>
      <w:jc w:val="center"/>
    </w:pPr>
    <w:rPr>
      <w:rFonts w:ascii="方正隶变简体" w:hAnsi="Times New Roman" w:eastAsia="方正隶变简体" w:cs="Times New Roman"/>
      <w:kern w:val="2"/>
      <w:sz w:val="28"/>
      <w:szCs w:val="24"/>
      <w:lang w:val="en-US" w:eastAsia="zh-CN" w:bidi="ar-SA"/>
    </w:rPr>
  </w:style>
  <w:style w:type="character" w:customStyle="1" w:styleId="1130">
    <w:name w:val="标题 3 Char Char Char Char Char"/>
    <w:basedOn w:val="132"/>
    <w:semiHidden/>
    <w:qFormat/>
    <w:uiPriority w:val="0"/>
  </w:style>
  <w:style w:type="paragraph" w:customStyle="1" w:styleId="1131">
    <w:name w:val="文章 + 首行缩进:  2 字符"/>
    <w:basedOn w:val="1"/>
    <w:qFormat/>
    <w:uiPriority w:val="0"/>
    <w:pPr>
      <w:widowControl/>
      <w:tabs>
        <w:tab w:val="clear" w:pos="480"/>
      </w:tabs>
      <w:spacing w:line="300" w:lineRule="auto"/>
      <w:jc w:val="left"/>
    </w:pPr>
    <w:rPr>
      <w:rFonts w:ascii="宋体" w:hAnsi="宋体" w:cs="宋体"/>
      <w:kern w:val="0"/>
      <w:szCs w:val="28"/>
    </w:rPr>
  </w:style>
  <w:style w:type="paragraph" w:customStyle="1" w:styleId="1132">
    <w:name w:val="文章"/>
    <w:basedOn w:val="1"/>
    <w:qFormat/>
    <w:uiPriority w:val="0"/>
    <w:pPr>
      <w:widowControl/>
      <w:tabs>
        <w:tab w:val="clear" w:pos="480"/>
      </w:tabs>
      <w:spacing w:line="300" w:lineRule="auto"/>
      <w:jc w:val="left"/>
    </w:pPr>
    <w:rPr>
      <w:rFonts w:ascii="宋体" w:hAnsi="宋体" w:cs="宋体"/>
      <w:kern w:val="0"/>
    </w:rPr>
  </w:style>
  <w:style w:type="character" w:customStyle="1" w:styleId="1133">
    <w:name w:val="highlight1"/>
    <w:qFormat/>
    <w:uiPriority w:val="0"/>
    <w:rPr>
      <w:sz w:val="21"/>
      <w:szCs w:val="21"/>
    </w:rPr>
  </w:style>
  <w:style w:type="paragraph" w:customStyle="1" w:styleId="1134">
    <w:name w:val="表格文字1-小4居中"/>
    <w:basedOn w:val="1"/>
    <w:semiHidden/>
    <w:qFormat/>
    <w:uiPriority w:val="0"/>
    <w:pPr>
      <w:widowControl/>
      <w:tabs>
        <w:tab w:val="clear" w:pos="480"/>
      </w:tabs>
      <w:spacing w:line="300" w:lineRule="auto"/>
      <w:jc w:val="center"/>
    </w:pPr>
    <w:rPr>
      <w:rFonts w:ascii="宋体" w:hAnsi="宋体" w:cs="宋体"/>
      <w:kern w:val="0"/>
    </w:rPr>
  </w:style>
  <w:style w:type="character" w:customStyle="1" w:styleId="1135">
    <w:name w:val="正文手行缩进2字 Char"/>
    <w:qFormat/>
    <w:uiPriority w:val="0"/>
    <w:rPr>
      <w:rFonts w:eastAsia="宋体"/>
      <w:kern w:val="2"/>
      <w:sz w:val="28"/>
      <w:szCs w:val="28"/>
      <w:lang w:val="en-US" w:eastAsia="zh-CN" w:bidi="ar-SA"/>
    </w:rPr>
  </w:style>
  <w:style w:type="paragraph" w:customStyle="1" w:styleId="1136">
    <w:name w:val="点标题"/>
    <w:next w:val="1"/>
    <w:qFormat/>
    <w:uiPriority w:val="0"/>
    <w:pPr>
      <w:widowControl w:val="0"/>
      <w:adjustRightInd w:val="0"/>
      <w:spacing w:line="360" w:lineRule="auto"/>
      <w:ind w:left="284" w:right="284" w:firstLine="482" w:firstLineChars="200"/>
      <w:jc w:val="both"/>
      <w:textAlignment w:val="baseline"/>
    </w:pPr>
    <w:rPr>
      <w:rFonts w:ascii="Times New Roman" w:hAnsi="Times New Roman" w:eastAsia="仿宋体" w:cs="Times New Roman"/>
      <w:kern w:val="2"/>
      <w:sz w:val="28"/>
      <w:szCs w:val="24"/>
      <w:lang w:val="en-US" w:eastAsia="zh-CN" w:bidi="ar-SA"/>
    </w:rPr>
  </w:style>
  <w:style w:type="paragraph" w:customStyle="1" w:styleId="1137">
    <w:name w:val="样式 标题 1 + 首行缩进:  1.06 厘米"/>
    <w:basedOn w:val="3"/>
    <w:qFormat/>
    <w:uiPriority w:val="0"/>
    <w:pPr>
      <w:keepNext w:val="0"/>
      <w:keepLines w:val="0"/>
      <w:pageBreakBefore/>
      <w:widowControl/>
      <w:numPr>
        <w:numId w:val="0"/>
      </w:numPr>
      <w:tabs>
        <w:tab w:val="left" w:pos="980"/>
        <w:tab w:val="clear" w:pos="480"/>
      </w:tabs>
      <w:spacing w:beforeLines="100" w:afterLines="100"/>
      <w:ind w:left="980" w:hanging="420"/>
      <w:jc w:val="center"/>
    </w:pPr>
    <w:rPr>
      <w:rFonts w:ascii="Arial" w:hAnsi="Arial" w:eastAsia="宋体" w:cs="宋体"/>
      <w:kern w:val="2"/>
      <w:position w:val="-30"/>
      <w:sz w:val="30"/>
      <w:szCs w:val="24"/>
    </w:rPr>
  </w:style>
  <w:style w:type="paragraph" w:customStyle="1" w:styleId="1138">
    <w:name w:val="样式 样式 正文文字缩进 2 + 四号 行距: 1.5 倍行距 + (西文) 宋体 首行缩进:  2 字符"/>
    <w:basedOn w:val="1"/>
    <w:qFormat/>
    <w:uiPriority w:val="0"/>
    <w:pPr>
      <w:widowControl/>
      <w:tabs>
        <w:tab w:val="clear" w:pos="480"/>
      </w:tabs>
      <w:spacing w:line="240" w:lineRule="auto"/>
      <w:jc w:val="center"/>
    </w:pPr>
    <w:rPr>
      <w:rFonts w:ascii="宋体" w:hAnsi="宋体" w:cs="宋体"/>
      <w:kern w:val="0"/>
      <w:sz w:val="21"/>
    </w:rPr>
  </w:style>
  <w:style w:type="character" w:customStyle="1" w:styleId="1139">
    <w:name w:val="zhengwen1"/>
    <w:semiHidden/>
    <w:qFormat/>
    <w:uiPriority w:val="0"/>
    <w:rPr>
      <w:sz w:val="16"/>
      <w:szCs w:val="16"/>
    </w:rPr>
  </w:style>
  <w:style w:type="paragraph" w:customStyle="1" w:styleId="1140">
    <w:name w:val="正文缩进1 Char Char"/>
    <w:basedOn w:val="1"/>
    <w:qFormat/>
    <w:uiPriority w:val="0"/>
    <w:pPr>
      <w:widowControl/>
      <w:tabs>
        <w:tab w:val="clear" w:pos="480"/>
      </w:tabs>
      <w:adjustRightInd w:val="0"/>
      <w:spacing w:beforeLines="50" w:afterLines="50" w:line="300" w:lineRule="auto"/>
      <w:jc w:val="left"/>
    </w:pPr>
    <w:rPr>
      <w:rFonts w:ascii="宋体" w:hAnsi="宋体" w:cs="宋体"/>
      <w:kern w:val="0"/>
    </w:rPr>
  </w:style>
  <w:style w:type="paragraph" w:customStyle="1" w:styleId="1141">
    <w:name w:val="样式 首行缩进:  2 字符1"/>
    <w:basedOn w:val="1"/>
    <w:link w:val="2858"/>
    <w:qFormat/>
    <w:uiPriority w:val="0"/>
    <w:pPr>
      <w:widowControl/>
      <w:tabs>
        <w:tab w:val="clear" w:pos="480"/>
      </w:tabs>
      <w:adjustRightInd w:val="0"/>
      <w:spacing w:line="300" w:lineRule="auto"/>
      <w:jc w:val="left"/>
    </w:pPr>
    <w:rPr>
      <w:rFonts w:ascii="宋体" w:hAnsi="宋体" w:cs="宋体"/>
      <w:kern w:val="0"/>
    </w:rPr>
  </w:style>
  <w:style w:type="paragraph" w:customStyle="1" w:styleId="1142">
    <w:name w:val="样式6 Char"/>
    <w:basedOn w:val="1"/>
    <w:link w:val="1143"/>
    <w:qFormat/>
    <w:uiPriority w:val="0"/>
    <w:pPr>
      <w:widowControl/>
      <w:tabs>
        <w:tab w:val="clear" w:pos="480"/>
      </w:tabs>
      <w:jc w:val="left"/>
    </w:pPr>
    <w:rPr>
      <w:rFonts w:ascii="宋体" w:hAnsi="宋体"/>
      <w:kern w:val="0"/>
      <w:lang w:val="zh-CN"/>
    </w:rPr>
  </w:style>
  <w:style w:type="character" w:customStyle="1" w:styleId="1143">
    <w:name w:val="样式6 Char Char"/>
    <w:link w:val="1142"/>
    <w:qFormat/>
    <w:uiPriority w:val="0"/>
    <w:rPr>
      <w:rFonts w:ascii="宋体" w:hAnsi="宋体" w:eastAsia="宋体"/>
      <w:sz w:val="24"/>
      <w:szCs w:val="24"/>
      <w:lang w:bidi="ar-SA"/>
    </w:rPr>
  </w:style>
  <w:style w:type="paragraph" w:customStyle="1" w:styleId="1144">
    <w:name w:val="简单回函地址"/>
    <w:basedOn w:val="1"/>
    <w:qFormat/>
    <w:uiPriority w:val="0"/>
    <w:pPr>
      <w:widowControl/>
      <w:tabs>
        <w:tab w:val="clear" w:pos="480"/>
      </w:tabs>
      <w:spacing w:line="240" w:lineRule="auto"/>
      <w:jc w:val="left"/>
    </w:pPr>
    <w:rPr>
      <w:rFonts w:ascii="宋体" w:hAnsi="宋体" w:cs="宋体"/>
      <w:kern w:val="0"/>
      <w:sz w:val="21"/>
    </w:rPr>
  </w:style>
  <w:style w:type="paragraph" w:customStyle="1" w:styleId="1145">
    <w:name w:val="PP 行"/>
    <w:basedOn w:val="58"/>
    <w:semiHidden/>
    <w:qFormat/>
    <w:uiPriority w:val="0"/>
    <w:pPr>
      <w:widowControl/>
      <w:tabs>
        <w:tab w:val="clear" w:pos="480"/>
      </w:tabs>
      <w:spacing w:line="240" w:lineRule="auto"/>
      <w:jc w:val="left"/>
    </w:pPr>
    <w:rPr>
      <w:rFonts w:ascii="宋体" w:hAnsi="宋体"/>
      <w:kern w:val="0"/>
      <w:sz w:val="21"/>
    </w:rPr>
  </w:style>
  <w:style w:type="paragraph" w:customStyle="1" w:styleId="1146">
    <w:name w:val="正文文本缩进 21"/>
    <w:basedOn w:val="1"/>
    <w:qFormat/>
    <w:uiPriority w:val="0"/>
    <w:pPr>
      <w:widowControl/>
      <w:tabs>
        <w:tab w:val="clear" w:pos="480"/>
      </w:tabs>
      <w:adjustRightInd w:val="0"/>
      <w:ind w:firstLine="480"/>
      <w:jc w:val="left"/>
      <w:textAlignment w:val="baseline"/>
    </w:pPr>
    <w:rPr>
      <w:rFonts w:ascii="宋体" w:hAnsi="宋体" w:cs="宋体"/>
      <w:kern w:val="0"/>
      <w:lang w:bidi="he-IL"/>
    </w:rPr>
  </w:style>
  <w:style w:type="paragraph" w:customStyle="1" w:styleId="1147">
    <w:name w:val="Formatvorlage Arial 11 pt Block Zeilenabstand:  15 Zeilen"/>
    <w:basedOn w:val="1"/>
    <w:semiHidden/>
    <w:qFormat/>
    <w:uiPriority w:val="0"/>
    <w:pPr>
      <w:widowControl/>
      <w:tabs>
        <w:tab w:val="clear" w:pos="480"/>
      </w:tabs>
      <w:jc w:val="left"/>
    </w:pPr>
    <w:rPr>
      <w:rFonts w:ascii="Arial" w:hAnsi="Arial" w:cs="宋体"/>
      <w:kern w:val="0"/>
      <w:sz w:val="22"/>
      <w:lang w:val="fr-FR"/>
    </w:rPr>
  </w:style>
  <w:style w:type="paragraph" w:customStyle="1" w:styleId="1148">
    <w:name w:val="正文 + arial"/>
    <w:basedOn w:val="1"/>
    <w:qFormat/>
    <w:uiPriority w:val="0"/>
    <w:pPr>
      <w:widowControl/>
      <w:tabs>
        <w:tab w:val="clear" w:pos="480"/>
      </w:tabs>
      <w:spacing w:line="240" w:lineRule="auto"/>
      <w:jc w:val="center"/>
    </w:pPr>
    <w:rPr>
      <w:rFonts w:ascii="宋体" w:hAnsi="宋体" w:cs="Arial"/>
      <w:kern w:val="0"/>
      <w:sz w:val="21"/>
    </w:rPr>
  </w:style>
  <w:style w:type="paragraph" w:customStyle="1" w:styleId="1149">
    <w:name w:val="a"/>
    <w:basedOn w:val="1"/>
    <w:qFormat/>
    <w:uiPriority w:val="0"/>
    <w:pPr>
      <w:widowControl/>
      <w:tabs>
        <w:tab w:val="left" w:pos="930"/>
        <w:tab w:val="clear" w:pos="480"/>
      </w:tabs>
      <w:ind w:left="930" w:hanging="420"/>
      <w:jc w:val="left"/>
    </w:pPr>
    <w:rPr>
      <w:rFonts w:ascii="宋体" w:hAnsi="宋体" w:cs="宋体"/>
      <w:b/>
      <w:kern w:val="0"/>
    </w:rPr>
  </w:style>
  <w:style w:type="paragraph" w:customStyle="1" w:styleId="1150">
    <w:name w:val="基准标题"/>
    <w:basedOn w:val="34"/>
    <w:next w:val="34"/>
    <w:qFormat/>
    <w:uiPriority w:val="0"/>
    <w:pPr>
      <w:widowControl/>
      <w:spacing w:line="240" w:lineRule="atLeast"/>
      <w:jc w:val="left"/>
    </w:pPr>
    <w:rPr>
      <w:rFonts w:cs="宋体"/>
      <w:kern w:val="0"/>
      <w:sz w:val="24"/>
      <w:szCs w:val="24"/>
    </w:rPr>
  </w:style>
  <w:style w:type="paragraph" w:customStyle="1" w:styleId="1151">
    <w:name w:val="a1"/>
    <w:basedOn w:val="1"/>
    <w:semiHidden/>
    <w:qFormat/>
    <w:uiPriority w:val="0"/>
    <w:pPr>
      <w:widowControl/>
      <w:tabs>
        <w:tab w:val="clear" w:pos="480"/>
      </w:tabs>
      <w:ind w:firstLine="118" w:firstLineChars="50"/>
      <w:jc w:val="left"/>
    </w:pPr>
    <w:rPr>
      <w:rFonts w:ascii="宋体" w:hAnsi="宋体" w:cs="宋体"/>
      <w:b/>
      <w:kern w:val="0"/>
    </w:rPr>
  </w:style>
  <w:style w:type="paragraph" w:customStyle="1" w:styleId="1152">
    <w:name w:val="b"/>
    <w:basedOn w:val="1151"/>
    <w:semiHidden/>
    <w:qFormat/>
    <w:uiPriority w:val="0"/>
    <w:pPr>
      <w:ind w:firstLine="0" w:firstLineChars="0"/>
    </w:pPr>
  </w:style>
  <w:style w:type="paragraph" w:customStyle="1" w:styleId="1153">
    <w:name w:val="样式 正文文本缩进 + 宋体 五号 两端对齐 首行缩进:  0 厘米 行距: 固定值 15 磅"/>
    <w:basedOn w:val="35"/>
    <w:qFormat/>
    <w:uiPriority w:val="0"/>
    <w:pPr>
      <w:widowControl/>
      <w:tabs>
        <w:tab w:val="clear" w:pos="480"/>
      </w:tabs>
      <w:spacing w:line="300" w:lineRule="exact"/>
      <w:ind w:firstLine="0" w:firstLineChars="0"/>
      <w:jc w:val="left"/>
    </w:pPr>
    <w:rPr>
      <w:rFonts w:ascii="宋体" w:hAnsi="宋体" w:cs="宋体"/>
      <w:kern w:val="0"/>
      <w:sz w:val="21"/>
    </w:rPr>
  </w:style>
  <w:style w:type="paragraph" w:customStyle="1" w:styleId="1154">
    <w:name w:val="正文文本缩进 31"/>
    <w:basedOn w:val="1"/>
    <w:semiHidden/>
    <w:qFormat/>
    <w:uiPriority w:val="0"/>
    <w:pPr>
      <w:widowControl/>
      <w:tabs>
        <w:tab w:val="clear" w:pos="480"/>
      </w:tabs>
      <w:adjustRightInd w:val="0"/>
      <w:spacing w:line="360" w:lineRule="atLeast"/>
      <w:ind w:firstLine="525"/>
      <w:jc w:val="left"/>
      <w:textAlignment w:val="baseline"/>
    </w:pPr>
    <w:rPr>
      <w:rFonts w:ascii="宋体" w:hAnsi="宋体" w:cs="宋体"/>
      <w:kern w:val="0"/>
    </w:rPr>
  </w:style>
  <w:style w:type="paragraph" w:customStyle="1" w:styleId="1155">
    <w:name w:val="一级2"/>
    <w:basedOn w:val="4"/>
    <w:qFormat/>
    <w:uiPriority w:val="0"/>
    <w:pPr>
      <w:widowControl/>
      <w:numPr>
        <w:ilvl w:val="0"/>
        <w:numId w:val="0"/>
      </w:numPr>
      <w:tabs>
        <w:tab w:val="clear" w:pos="480"/>
        <w:tab w:val="clear" w:pos="630"/>
      </w:tabs>
      <w:adjustRightInd w:val="0"/>
      <w:spacing w:before="40" w:after="40"/>
      <w:jc w:val="left"/>
      <w:textAlignment w:val="baseline"/>
    </w:pPr>
    <w:rPr>
      <w:rFonts w:ascii="Arial" w:hAnsi="Arial" w:eastAsia="黑体" w:cs="宋体"/>
      <w:kern w:val="0"/>
      <w:sz w:val="30"/>
      <w:szCs w:val="24"/>
    </w:rPr>
  </w:style>
  <w:style w:type="paragraph" w:customStyle="1" w:styleId="1156">
    <w:name w:val="样式 标题 1 + (中文) 黑体 小三"/>
    <w:basedOn w:val="3"/>
    <w:link w:val="1157"/>
    <w:qFormat/>
    <w:uiPriority w:val="0"/>
    <w:pPr>
      <w:widowControl/>
      <w:numPr>
        <w:numId w:val="0"/>
      </w:numPr>
      <w:tabs>
        <w:tab w:val="clear" w:pos="480"/>
      </w:tabs>
      <w:adjustRightInd w:val="0"/>
      <w:spacing w:beforeLines="50" w:afterLines="50" w:line="578" w:lineRule="atLeast"/>
      <w:jc w:val="left"/>
      <w:textAlignment w:val="baseline"/>
    </w:pPr>
    <w:rPr>
      <w:rFonts w:ascii="Times New Roman" w:hAnsi="宋体" w:eastAsia="黑体"/>
      <w:b w:val="0"/>
      <w:bCs w:val="0"/>
      <w:sz w:val="30"/>
    </w:rPr>
  </w:style>
  <w:style w:type="character" w:customStyle="1" w:styleId="1157">
    <w:name w:val="样式 标题 1 + (中文) 黑体 小三 Char"/>
    <w:link w:val="1156"/>
    <w:qFormat/>
    <w:uiPriority w:val="0"/>
    <w:rPr>
      <w:rFonts w:hAnsi="宋体" w:eastAsia="黑体"/>
      <w:kern w:val="44"/>
      <w:sz w:val="30"/>
      <w:szCs w:val="44"/>
      <w:lang w:bidi="ar-SA"/>
    </w:rPr>
  </w:style>
  <w:style w:type="paragraph" w:customStyle="1" w:styleId="1158">
    <w:name w:val="样式 一级 + 左侧:  2 字符 右侧:  2 字符"/>
    <w:basedOn w:val="7"/>
    <w:qFormat/>
    <w:uiPriority w:val="0"/>
    <w:pPr>
      <w:widowControl/>
      <w:numPr>
        <w:ilvl w:val="0"/>
        <w:numId w:val="0"/>
      </w:numPr>
      <w:tabs>
        <w:tab w:val="clear" w:pos="480"/>
      </w:tabs>
      <w:adjustRightInd w:val="0"/>
      <w:spacing w:before="120" w:after="120"/>
      <w:ind w:left="420" w:leftChars="200" w:right="420" w:rightChars="200"/>
      <w:jc w:val="left"/>
      <w:textAlignment w:val="baseline"/>
      <w:outlineLvl w:val="0"/>
    </w:pPr>
    <w:rPr>
      <w:rFonts w:ascii="Times New Roman" w:hAnsi="宋体" w:eastAsia="黑体" w:cs="宋体"/>
      <w:bCs/>
      <w:kern w:val="44"/>
      <w:sz w:val="30"/>
      <w:szCs w:val="24"/>
    </w:rPr>
  </w:style>
  <w:style w:type="paragraph" w:customStyle="1" w:styleId="1159">
    <w:name w:val="样式14"/>
    <w:basedOn w:val="1155"/>
    <w:link w:val="2933"/>
    <w:qFormat/>
    <w:uiPriority w:val="0"/>
    <w:pPr/>
    <w:rPr>
      <w:sz w:val="32"/>
    </w:rPr>
  </w:style>
  <w:style w:type="paragraph" w:customStyle="1" w:styleId="1160">
    <w:name w:val="样式15"/>
    <w:basedOn w:val="1155"/>
    <w:qFormat/>
    <w:uiPriority w:val="0"/>
    <w:pPr/>
  </w:style>
  <w:style w:type="paragraph" w:customStyle="1" w:styleId="1161">
    <w:name w:val="样式16"/>
    <w:basedOn w:val="4"/>
    <w:qFormat/>
    <w:uiPriority w:val="0"/>
    <w:pPr>
      <w:widowControl/>
      <w:numPr>
        <w:numId w:val="0"/>
      </w:numPr>
      <w:tabs>
        <w:tab w:val="clear" w:pos="480"/>
        <w:tab w:val="clear" w:pos="630"/>
      </w:tabs>
      <w:adjustRightInd w:val="0"/>
      <w:spacing w:after="260" w:line="416" w:lineRule="atLeast"/>
      <w:jc w:val="left"/>
      <w:textAlignment w:val="baseline"/>
    </w:pPr>
    <w:rPr>
      <w:rFonts w:ascii="Arial" w:hAnsi="Arial" w:cs="宋体"/>
      <w:bCs w:val="0"/>
      <w:kern w:val="0"/>
      <w:sz w:val="24"/>
      <w:szCs w:val="24"/>
    </w:rPr>
  </w:style>
  <w:style w:type="paragraph" w:customStyle="1" w:styleId="1162">
    <w:name w:val="样式17"/>
    <w:basedOn w:val="5"/>
    <w:link w:val="2937"/>
    <w:qFormat/>
    <w:uiPriority w:val="0"/>
    <w:pPr>
      <w:widowControl/>
      <w:numPr>
        <w:numId w:val="0"/>
      </w:numPr>
      <w:tabs>
        <w:tab w:val="clear" w:pos="480"/>
        <w:tab w:val="clear" w:pos="840"/>
      </w:tabs>
      <w:adjustRightInd w:val="0"/>
      <w:spacing w:before="260" w:line="416" w:lineRule="atLeast"/>
      <w:jc w:val="left"/>
      <w:textAlignment w:val="baseline"/>
    </w:pPr>
    <w:rPr>
      <w:rFonts w:ascii="宋体" w:hAnsi="宋体" w:eastAsia="宋体" w:cs="宋体"/>
      <w:bCs w:val="0"/>
      <w:kern w:val="0"/>
      <w:sz w:val="24"/>
      <w:szCs w:val="24"/>
    </w:rPr>
  </w:style>
  <w:style w:type="paragraph" w:customStyle="1" w:styleId="1163">
    <w:name w:val="样式18"/>
    <w:basedOn w:val="6"/>
    <w:link w:val="2876"/>
    <w:qFormat/>
    <w:uiPriority w:val="0"/>
    <w:pPr>
      <w:widowControl/>
      <w:numPr>
        <w:numId w:val="0"/>
      </w:numPr>
      <w:tabs>
        <w:tab w:val="clear" w:pos="480"/>
      </w:tabs>
      <w:adjustRightInd w:val="0"/>
      <w:spacing w:before="280" w:after="290" w:line="376" w:lineRule="atLeast"/>
      <w:jc w:val="left"/>
      <w:textAlignment w:val="baseline"/>
    </w:pPr>
    <w:rPr>
      <w:rFonts w:ascii="Arial" w:hAnsi="Arial" w:eastAsia="宋体" w:cs="宋体"/>
      <w:bCs w:val="0"/>
      <w:kern w:val="0"/>
      <w:sz w:val="24"/>
      <w:szCs w:val="24"/>
    </w:rPr>
  </w:style>
  <w:style w:type="paragraph" w:customStyle="1" w:styleId="1164">
    <w:name w:val="样式19"/>
    <w:basedOn w:val="1155"/>
    <w:link w:val="2983"/>
    <w:qFormat/>
    <w:uiPriority w:val="0"/>
    <w:pPr/>
  </w:style>
  <w:style w:type="paragraph" w:customStyle="1" w:styleId="1165">
    <w:name w:val="样式20"/>
    <w:basedOn w:val="4"/>
    <w:link w:val="2882"/>
    <w:qFormat/>
    <w:uiPriority w:val="0"/>
    <w:pPr>
      <w:widowControl/>
      <w:numPr>
        <w:numId w:val="0"/>
      </w:numPr>
      <w:tabs>
        <w:tab w:val="clear" w:pos="480"/>
        <w:tab w:val="clear" w:pos="630"/>
      </w:tabs>
      <w:adjustRightInd w:val="0"/>
      <w:spacing w:before="40" w:after="40"/>
      <w:jc w:val="left"/>
      <w:textAlignment w:val="baseline"/>
    </w:pPr>
    <w:rPr>
      <w:rFonts w:ascii="Arial" w:hAnsi="Arial" w:cs="宋体"/>
      <w:bCs w:val="0"/>
      <w:kern w:val="0"/>
      <w:sz w:val="24"/>
      <w:szCs w:val="24"/>
    </w:rPr>
  </w:style>
  <w:style w:type="paragraph" w:customStyle="1" w:styleId="1166">
    <w:name w:val="样式21"/>
    <w:basedOn w:val="4"/>
    <w:qFormat/>
    <w:uiPriority w:val="0"/>
    <w:pPr>
      <w:widowControl/>
      <w:numPr>
        <w:numId w:val="0"/>
      </w:numPr>
      <w:tabs>
        <w:tab w:val="clear" w:pos="480"/>
        <w:tab w:val="clear" w:pos="630"/>
      </w:tabs>
      <w:adjustRightInd w:val="0"/>
      <w:spacing w:before="40" w:after="40"/>
      <w:jc w:val="left"/>
      <w:textAlignment w:val="baseline"/>
    </w:pPr>
    <w:rPr>
      <w:rFonts w:ascii="Arial" w:hAnsi="Arial" w:cs="宋体"/>
      <w:bCs w:val="0"/>
      <w:kern w:val="0"/>
      <w:sz w:val="24"/>
      <w:szCs w:val="24"/>
    </w:rPr>
  </w:style>
  <w:style w:type="paragraph" w:customStyle="1" w:styleId="1167">
    <w:name w:val="样式22"/>
    <w:basedOn w:val="4"/>
    <w:qFormat/>
    <w:uiPriority w:val="0"/>
    <w:pPr>
      <w:widowControl/>
      <w:numPr>
        <w:numId w:val="0"/>
      </w:numPr>
      <w:tabs>
        <w:tab w:val="clear" w:pos="480"/>
        <w:tab w:val="clear" w:pos="630"/>
      </w:tabs>
      <w:adjustRightInd w:val="0"/>
      <w:spacing w:before="40" w:after="40"/>
      <w:jc w:val="left"/>
      <w:textAlignment w:val="baseline"/>
    </w:pPr>
    <w:rPr>
      <w:rFonts w:ascii="Arial" w:hAnsi="Arial" w:cs="宋体"/>
      <w:bCs w:val="0"/>
      <w:kern w:val="0"/>
      <w:sz w:val="24"/>
      <w:szCs w:val="24"/>
    </w:rPr>
  </w:style>
  <w:style w:type="paragraph" w:customStyle="1" w:styleId="1168">
    <w:name w:val="我的标题1"/>
    <w:basedOn w:val="3"/>
    <w:next w:val="647"/>
    <w:qFormat/>
    <w:uiPriority w:val="0"/>
    <w:pPr>
      <w:widowControl/>
      <w:numPr>
        <w:numId w:val="0"/>
      </w:numPr>
      <w:tabs>
        <w:tab w:val="left" w:pos="0"/>
        <w:tab w:val="left" w:pos="700"/>
        <w:tab w:val="clear" w:pos="480"/>
      </w:tabs>
      <w:spacing w:beforeLines="100" w:afterLines="50" w:line="480" w:lineRule="auto"/>
      <w:ind w:firstLine="567"/>
      <w:jc w:val="left"/>
    </w:pPr>
    <w:rPr>
      <w:rFonts w:ascii="Times New Roman" w:hAnsi="宋体" w:eastAsia="宋体" w:cs="宋体"/>
      <w:sz w:val="30"/>
    </w:rPr>
  </w:style>
  <w:style w:type="paragraph" w:customStyle="1" w:styleId="1169">
    <w:name w:val="我的标题4"/>
    <w:basedOn w:val="6"/>
    <w:qFormat/>
    <w:uiPriority w:val="0"/>
    <w:pPr>
      <w:widowControl/>
      <w:numPr>
        <w:ilvl w:val="0"/>
        <w:numId w:val="0"/>
      </w:numPr>
      <w:tabs>
        <w:tab w:val="left" w:pos="1680"/>
        <w:tab w:val="clear" w:pos="480"/>
      </w:tabs>
      <w:spacing w:beforeLines="50" w:afterLines="50"/>
      <w:ind w:left="1680" w:hanging="420"/>
      <w:jc w:val="left"/>
    </w:pPr>
    <w:rPr>
      <w:rFonts w:ascii="Arial" w:hAnsi="Arial" w:eastAsia="宋体" w:cs="宋体"/>
      <w:kern w:val="0"/>
      <w:sz w:val="24"/>
    </w:rPr>
  </w:style>
  <w:style w:type="paragraph" w:customStyle="1" w:styleId="1170">
    <w:name w:val="样式 我的标题2 + 段前: 0.5 行 段后: 0.5 行"/>
    <w:basedOn w:val="1"/>
    <w:qFormat/>
    <w:uiPriority w:val="0"/>
    <w:pPr>
      <w:keepNext/>
      <w:keepLines/>
      <w:widowControl/>
      <w:tabs>
        <w:tab w:val="left" w:pos="1350"/>
        <w:tab w:val="clear" w:pos="480"/>
      </w:tabs>
      <w:spacing w:beforeLines="50" w:afterLines="50"/>
      <w:ind w:left="1350" w:hanging="930"/>
      <w:jc w:val="left"/>
      <w:outlineLvl w:val="1"/>
    </w:pPr>
    <w:rPr>
      <w:rFonts w:ascii="Arial" w:hAnsi="Arial" w:cs="宋体"/>
      <w:b/>
      <w:bCs/>
      <w:kern w:val="0"/>
    </w:rPr>
  </w:style>
  <w:style w:type="paragraph" w:customStyle="1" w:styleId="1171">
    <w:name w:val="样式 我的标题3 + 段前: 0.5 行 段后: 0.5 行1"/>
    <w:basedOn w:val="1"/>
    <w:qFormat/>
    <w:uiPriority w:val="0"/>
    <w:pPr>
      <w:keepNext/>
      <w:keepLines/>
      <w:widowControl/>
      <w:tabs>
        <w:tab w:val="left" w:pos="1260"/>
        <w:tab w:val="clear" w:pos="480"/>
      </w:tabs>
      <w:spacing w:beforeLines="50" w:afterLines="50"/>
      <w:ind w:left="1260" w:hanging="420"/>
      <w:jc w:val="left"/>
      <w:outlineLvl w:val="2"/>
    </w:pPr>
    <w:rPr>
      <w:rFonts w:ascii="宋体" w:hAnsi="宋体" w:cs="宋体"/>
      <w:b/>
      <w:bCs/>
      <w:kern w:val="0"/>
    </w:rPr>
  </w:style>
  <w:style w:type="paragraph" w:customStyle="1" w:styleId="1172">
    <w:name w:val="样式 我的标题 2 + 段前: 0.5 行2"/>
    <w:basedOn w:val="1"/>
    <w:qFormat/>
    <w:uiPriority w:val="0"/>
    <w:pPr>
      <w:keepNext/>
      <w:keepLines/>
      <w:widowControl/>
      <w:tabs>
        <w:tab w:val="left" w:pos="567"/>
        <w:tab w:val="clear" w:pos="480"/>
      </w:tabs>
      <w:spacing w:beforeLines="50"/>
      <w:ind w:left="567" w:hanging="567"/>
      <w:jc w:val="left"/>
      <w:outlineLvl w:val="1"/>
    </w:pPr>
    <w:rPr>
      <w:rFonts w:ascii="宋体" w:hAnsi="宋体" w:cs="宋体"/>
      <w:b/>
      <w:bCs/>
      <w:kern w:val="0"/>
    </w:rPr>
  </w:style>
  <w:style w:type="paragraph" w:customStyle="1" w:styleId="1173">
    <w:name w:val="7111我的标题3"/>
    <w:basedOn w:val="5"/>
    <w:semiHidden/>
    <w:qFormat/>
    <w:uiPriority w:val="0"/>
    <w:pPr>
      <w:widowControl/>
      <w:numPr>
        <w:ilvl w:val="0"/>
        <w:numId w:val="0"/>
      </w:numPr>
      <w:tabs>
        <w:tab w:val="left" w:pos="1820"/>
        <w:tab w:val="clear" w:pos="480"/>
        <w:tab w:val="clear" w:pos="840"/>
      </w:tabs>
      <w:spacing w:before="0" w:after="0" w:line="360" w:lineRule="auto"/>
      <w:ind w:left="1820" w:hanging="420"/>
      <w:jc w:val="left"/>
    </w:pPr>
    <w:rPr>
      <w:rFonts w:ascii="宋体" w:hAnsi="宋体" w:eastAsia="宋体" w:cs="宋体"/>
      <w:kern w:val="0"/>
      <w:sz w:val="24"/>
    </w:rPr>
  </w:style>
  <w:style w:type="paragraph" w:customStyle="1" w:styleId="1174">
    <w:name w:val="91我的标题2"/>
    <w:basedOn w:val="4"/>
    <w:semiHidden/>
    <w:qFormat/>
    <w:uiPriority w:val="0"/>
    <w:pPr>
      <w:widowControl/>
      <w:numPr>
        <w:ilvl w:val="0"/>
        <w:numId w:val="0"/>
      </w:numPr>
      <w:tabs>
        <w:tab w:val="left" w:pos="567"/>
        <w:tab w:val="clear" w:pos="480"/>
        <w:tab w:val="clear" w:pos="630"/>
      </w:tabs>
      <w:spacing w:beforeLines="50" w:after="0"/>
      <w:ind w:left="567" w:hanging="567"/>
      <w:jc w:val="left"/>
    </w:pPr>
    <w:rPr>
      <w:rFonts w:ascii="宋体" w:hAnsi="宋体" w:cs="宋体"/>
      <w:kern w:val="0"/>
      <w:sz w:val="24"/>
      <w:szCs w:val="30"/>
    </w:rPr>
  </w:style>
  <w:style w:type="paragraph" w:customStyle="1" w:styleId="1175">
    <w:name w:val="样式 标题 3 + (西文) Arial (中文) 宋体 小四 段前: 0 磅 段后: 0 磅 行距: 单倍行距"/>
    <w:basedOn w:val="5"/>
    <w:qFormat/>
    <w:uiPriority w:val="0"/>
    <w:pPr>
      <w:keepNext w:val="0"/>
      <w:keepLines w:val="0"/>
      <w:widowControl/>
      <w:numPr>
        <w:ilvl w:val="0"/>
        <w:numId w:val="0"/>
      </w:numPr>
      <w:tabs>
        <w:tab w:val="clear" w:pos="480"/>
        <w:tab w:val="clear" w:pos="840"/>
      </w:tabs>
      <w:adjustRightInd w:val="0"/>
      <w:spacing w:before="0" w:after="0" w:line="240" w:lineRule="atLeast"/>
      <w:jc w:val="center"/>
      <w:outlineLvl w:val="9"/>
    </w:pPr>
    <w:rPr>
      <w:rFonts w:ascii="宋体" w:hAnsi="宋体" w:eastAsia="宋体" w:cs="宋体"/>
      <w:b w:val="0"/>
      <w:bCs w:val="0"/>
      <w:spacing w:val="20"/>
      <w:kern w:val="0"/>
      <w:sz w:val="21"/>
      <w:szCs w:val="24"/>
    </w:rPr>
  </w:style>
  <w:style w:type="character" w:customStyle="1" w:styleId="1176">
    <w:name w:val="style51"/>
    <w:semiHidden/>
    <w:qFormat/>
    <w:uiPriority w:val="0"/>
    <w:rPr>
      <w:b/>
      <w:bCs/>
      <w:color w:val="000000"/>
      <w:sz w:val="24"/>
      <w:szCs w:val="24"/>
    </w:rPr>
  </w:style>
  <w:style w:type="character" w:customStyle="1" w:styleId="1177">
    <w:name w:val="txt1"/>
    <w:basedOn w:val="132"/>
    <w:semiHidden/>
    <w:qFormat/>
    <w:uiPriority w:val="0"/>
  </w:style>
  <w:style w:type="character" w:customStyle="1" w:styleId="1178">
    <w:name w:val="p3"/>
    <w:semiHidden/>
    <w:qFormat/>
    <w:uiPriority w:val="0"/>
    <w:rPr>
      <w:rFonts w:hint="default" w:ascii="ˎ̥" w:hAnsi="ˎ̥"/>
      <w:sz w:val="21"/>
      <w:szCs w:val="21"/>
    </w:rPr>
  </w:style>
  <w:style w:type="paragraph" w:customStyle="1" w:styleId="1179">
    <w:name w:val="表格与图名"/>
    <w:basedOn w:val="1"/>
    <w:semiHidden/>
    <w:qFormat/>
    <w:uiPriority w:val="0"/>
    <w:pPr>
      <w:widowControl/>
      <w:tabs>
        <w:tab w:val="clear" w:pos="480"/>
      </w:tabs>
      <w:jc w:val="center"/>
    </w:pPr>
    <w:rPr>
      <w:rFonts w:ascii="宋体" w:hAnsi="宋体" w:eastAsia="黑体" w:cs="宋体"/>
      <w:kern w:val="0"/>
      <w:sz w:val="21"/>
      <w:szCs w:val="21"/>
    </w:rPr>
  </w:style>
  <w:style w:type="paragraph" w:customStyle="1" w:styleId="1180">
    <w:name w:val="第一节"/>
    <w:basedOn w:val="1"/>
    <w:next w:val="86"/>
    <w:qFormat/>
    <w:uiPriority w:val="0"/>
    <w:pPr>
      <w:widowControl/>
      <w:tabs>
        <w:tab w:val="clear" w:pos="480"/>
      </w:tabs>
      <w:spacing w:line="240" w:lineRule="auto"/>
      <w:jc w:val="center"/>
      <w:outlineLvl w:val="1"/>
    </w:pPr>
    <w:rPr>
      <w:rFonts w:ascii="宋体" w:hAnsi="宋体" w:cs="宋体"/>
      <w:b/>
      <w:kern w:val="0"/>
      <w:sz w:val="30"/>
    </w:rPr>
  </w:style>
  <w:style w:type="paragraph" w:customStyle="1" w:styleId="1181">
    <w:name w:val="样式 标题 1 + 段前: 0.5行 段后: 0.5 行"/>
    <w:basedOn w:val="3"/>
    <w:qFormat/>
    <w:uiPriority w:val="0"/>
    <w:pPr>
      <w:keepLines w:val="0"/>
      <w:widowControl/>
      <w:numPr>
        <w:numId w:val="0"/>
      </w:numPr>
      <w:tabs>
        <w:tab w:val="left" w:pos="930"/>
        <w:tab w:val="left" w:pos="1134"/>
        <w:tab w:val="clear" w:pos="480"/>
      </w:tabs>
      <w:spacing w:beforeLines="50" w:afterLines="50"/>
      <w:ind w:left="930" w:hanging="420"/>
      <w:jc w:val="left"/>
    </w:pPr>
    <w:rPr>
      <w:rFonts w:ascii="Times New Roman" w:hAnsi="宋体" w:eastAsia="宋体" w:cs="宋体"/>
      <w:caps/>
      <w:kern w:val="2"/>
      <w:sz w:val="24"/>
      <w:szCs w:val="24"/>
    </w:rPr>
  </w:style>
  <w:style w:type="paragraph" w:customStyle="1" w:styleId="1182">
    <w:name w:val="一级标题"/>
    <w:basedOn w:val="1"/>
    <w:qFormat/>
    <w:uiPriority w:val="0"/>
    <w:pPr>
      <w:widowControl/>
      <w:tabs>
        <w:tab w:val="clear" w:pos="480"/>
      </w:tabs>
      <w:spacing w:beforeLines="50" w:afterLines="50" w:line="300" w:lineRule="auto"/>
      <w:jc w:val="left"/>
      <w:outlineLvl w:val="0"/>
    </w:pPr>
    <w:rPr>
      <w:rFonts w:ascii="黑体" w:hAnsi="宋体" w:eastAsia="黑体" w:cs="宋体"/>
      <w:kern w:val="0"/>
    </w:rPr>
  </w:style>
  <w:style w:type="paragraph" w:customStyle="1" w:styleId="1183">
    <w:name w:val="Level 1 Indent"/>
    <w:basedOn w:val="1"/>
    <w:semiHidden/>
    <w:qFormat/>
    <w:uiPriority w:val="0"/>
    <w:pPr>
      <w:widowControl/>
      <w:tabs>
        <w:tab w:val="clear" w:pos="480"/>
      </w:tabs>
      <w:spacing w:after="240" w:line="240" w:lineRule="auto"/>
      <w:ind w:left="357"/>
      <w:jc w:val="left"/>
    </w:pPr>
    <w:rPr>
      <w:rFonts w:ascii="Arial" w:hAnsi="Arial" w:cs="宋体"/>
      <w:kern w:val="0"/>
      <w:sz w:val="22"/>
      <w:lang w:val="en-GB" w:eastAsia="en-US"/>
    </w:rPr>
  </w:style>
  <w:style w:type="paragraph" w:customStyle="1" w:styleId="1184">
    <w:name w:val="前言目次"/>
    <w:basedOn w:val="883"/>
    <w:qFormat/>
    <w:uiPriority w:val="0"/>
    <w:pPr>
      <w:widowControl/>
      <w:snapToGrid/>
      <w:spacing w:before="50"/>
      <w:ind w:firstLine="0"/>
      <w:jc w:val="left"/>
    </w:pPr>
    <w:rPr>
      <w:rFonts w:hAnsi="宋体" w:eastAsia="宋体" w:cs="宋体"/>
      <w:b/>
      <w:spacing w:val="0"/>
      <w:kern w:val="0"/>
      <w:sz w:val="28"/>
      <w:szCs w:val="24"/>
    </w:rPr>
  </w:style>
  <w:style w:type="paragraph" w:customStyle="1" w:styleId="1185">
    <w:name w:val="附件名"/>
    <w:basedOn w:val="897"/>
    <w:qFormat/>
    <w:uiPriority w:val="0"/>
    <w:pPr>
      <w:widowControl/>
      <w:snapToGrid/>
      <w:spacing w:beforeLines="10" w:after="2" w:line="300" w:lineRule="auto"/>
      <w:jc w:val="center"/>
      <w:outlineLvl w:val="9"/>
    </w:pPr>
    <w:rPr>
      <w:rFonts w:ascii="黑体" w:hAnsi="宋体" w:cs="宋体"/>
      <w:sz w:val="24"/>
      <w:szCs w:val="24"/>
    </w:rPr>
  </w:style>
  <w:style w:type="paragraph" w:customStyle="1" w:styleId="1186">
    <w:name w:val="图中字"/>
    <w:basedOn w:val="890"/>
    <w:qFormat/>
    <w:uiPriority w:val="0"/>
    <w:pPr>
      <w:keepNext/>
      <w:widowControl/>
      <w:adjustRightInd/>
      <w:snapToGrid/>
      <w:spacing w:line="240" w:lineRule="atLeast"/>
    </w:pPr>
    <w:rPr>
      <w:rFonts w:ascii="Verdana" w:hAnsi="Verdana" w:eastAsia="幼圆" w:cs="宋体"/>
      <w:b/>
      <w:color w:val="FF0000"/>
      <w:kern w:val="0"/>
      <w:sz w:val="18"/>
      <w:szCs w:val="18"/>
    </w:rPr>
  </w:style>
  <w:style w:type="paragraph" w:customStyle="1" w:styleId="1187">
    <w:name w:val="样式 标题 1 + 段前: 0.5 行1"/>
    <w:basedOn w:val="3"/>
    <w:qFormat/>
    <w:uiPriority w:val="0"/>
    <w:pPr>
      <w:pageBreakBefore/>
      <w:widowControl/>
      <w:numPr>
        <w:numId w:val="0"/>
      </w:numPr>
      <w:tabs>
        <w:tab w:val="clear" w:pos="480"/>
      </w:tabs>
      <w:spacing w:beforeLines="50" w:afterLines="50" w:line="480" w:lineRule="auto"/>
      <w:jc w:val="left"/>
    </w:pPr>
    <w:rPr>
      <w:rFonts w:ascii="Times New Roman" w:hAnsi="宋体" w:eastAsia="黑体" w:cs="宋体"/>
      <w:b w:val="0"/>
      <w:bCs w:val="0"/>
      <w:sz w:val="24"/>
      <w:szCs w:val="24"/>
    </w:rPr>
  </w:style>
  <w:style w:type="character" w:customStyle="1" w:styleId="1188">
    <w:name w:val="表中 Char"/>
    <w:qFormat/>
    <w:uiPriority w:val="0"/>
    <w:rPr>
      <w:rFonts w:ascii="宋体" w:hAnsi="宋体" w:eastAsia="宋体"/>
      <w:kern w:val="2"/>
      <w:sz w:val="24"/>
      <w:szCs w:val="22"/>
      <w:lang w:val="en-US" w:eastAsia="zh-CN" w:bidi="ar-SA"/>
    </w:rPr>
  </w:style>
  <w:style w:type="character" w:customStyle="1" w:styleId="1189">
    <w:name w:val="表右 Char"/>
    <w:qFormat/>
    <w:uiPriority w:val="0"/>
    <w:rPr>
      <w:rFonts w:ascii="宋体" w:hAnsi="宋体" w:eastAsia="宋体"/>
      <w:kern w:val="2"/>
      <w:sz w:val="24"/>
      <w:lang w:val="en-US" w:eastAsia="zh-CN" w:bidi="ar-SA"/>
    </w:rPr>
  </w:style>
  <w:style w:type="paragraph" w:customStyle="1" w:styleId="1190">
    <w:name w:val="样式 首行缩进:  0.99 厘米"/>
    <w:basedOn w:val="1"/>
    <w:qFormat/>
    <w:uiPriority w:val="0"/>
    <w:pPr>
      <w:widowControl/>
      <w:tabs>
        <w:tab w:val="left" w:pos="1727"/>
        <w:tab w:val="left" w:pos="1884"/>
        <w:tab w:val="clear" w:pos="480"/>
      </w:tabs>
      <w:spacing w:line="300" w:lineRule="auto"/>
      <w:jc w:val="left"/>
      <w:outlineLvl w:val="0"/>
    </w:pPr>
    <w:rPr>
      <w:rFonts w:ascii="宋体" w:hAnsi="宋体" w:cs="宋体"/>
      <w:kern w:val="0"/>
    </w:rPr>
  </w:style>
  <w:style w:type="paragraph" w:customStyle="1" w:styleId="1191">
    <w:name w:val="图题"/>
    <w:next w:val="1"/>
    <w:qFormat/>
    <w:uiPriority w:val="0"/>
    <w:pPr>
      <w:widowControl w:val="0"/>
      <w:adjustRightInd w:val="0"/>
      <w:snapToGrid w:val="0"/>
      <w:spacing w:before="60" w:after="120" w:line="360" w:lineRule="auto"/>
      <w:ind w:firstLine="200" w:firstLineChars="200"/>
      <w:jc w:val="center"/>
      <w:outlineLvl w:val="5"/>
    </w:pPr>
    <w:rPr>
      <w:rFonts w:ascii="黑体" w:hAnsi="Times New Roman" w:eastAsia="黑体" w:cs="Times New Roman"/>
      <w:kern w:val="24"/>
      <w:sz w:val="24"/>
      <w:szCs w:val="24"/>
      <w:lang w:val="en-US" w:eastAsia="zh-CN" w:bidi="ar-SA"/>
    </w:rPr>
  </w:style>
  <w:style w:type="paragraph" w:customStyle="1" w:styleId="1192">
    <w:name w:val="表格文字5"/>
    <w:basedOn w:val="66"/>
    <w:semiHidden/>
    <w:qFormat/>
    <w:uiPriority w:val="0"/>
    <w:pPr>
      <w:widowControl/>
      <w:tabs>
        <w:tab w:val="left" w:pos="-30"/>
      </w:tabs>
      <w:adjustRightInd w:val="0"/>
      <w:snapToGrid w:val="0"/>
      <w:spacing w:line="276" w:lineRule="auto"/>
      <w:ind w:left="0" w:firstLine="0" w:firstLineChars="0"/>
    </w:pPr>
    <w:rPr>
      <w:rFonts w:ascii="宋体" w:hAnsi="宋体" w:cs="宋体"/>
      <w:color w:val="000000"/>
      <w:kern w:val="0"/>
    </w:rPr>
  </w:style>
  <w:style w:type="character" w:customStyle="1" w:styleId="1193">
    <w:name w:val="ta141"/>
    <w:semiHidden/>
    <w:qFormat/>
    <w:uiPriority w:val="0"/>
    <w:rPr>
      <w:color w:val="0000FF"/>
      <w:spacing w:val="360"/>
    </w:rPr>
  </w:style>
  <w:style w:type="paragraph" w:customStyle="1" w:styleId="1194">
    <w:name w:val="样式 标题 7 + 段前: 0.5 行 行距: 多倍行距 1.25 字行"/>
    <w:basedOn w:val="9"/>
    <w:qFormat/>
    <w:uiPriority w:val="0"/>
    <w:pPr>
      <w:keepNext w:val="0"/>
      <w:keepLines w:val="0"/>
      <w:widowControl/>
      <w:numPr>
        <w:ilvl w:val="0"/>
        <w:numId w:val="0"/>
      </w:numPr>
      <w:tabs>
        <w:tab w:val="left" w:pos="567"/>
        <w:tab w:val="clear" w:pos="480"/>
        <w:tab w:val="clear" w:pos="576"/>
      </w:tabs>
      <w:autoSpaceDE/>
      <w:autoSpaceDN/>
      <w:adjustRightInd/>
      <w:snapToGrid w:val="0"/>
      <w:spacing w:before="0" w:after="0" w:line="264" w:lineRule="auto"/>
      <w:jc w:val="center"/>
      <w:textAlignment w:val="auto"/>
    </w:pPr>
    <w:rPr>
      <w:rFonts w:ascii="黑体" w:hAnsi="宋体" w:eastAsia="黑体" w:cs="宋体"/>
      <w:b w:val="0"/>
      <w:kern w:val="0"/>
    </w:rPr>
  </w:style>
  <w:style w:type="character" w:customStyle="1" w:styleId="1195">
    <w:name w:val="样式 正文缩进 + 宋体 Char"/>
    <w:link w:val="1078"/>
    <w:qFormat/>
    <w:locked/>
    <w:uiPriority w:val="0"/>
    <w:rPr>
      <w:rFonts w:ascii="宋体" w:hAnsi="宋体" w:eastAsia="宋体"/>
      <w:sz w:val="28"/>
      <w:szCs w:val="28"/>
      <w:lang w:bidi="ar-SA"/>
    </w:rPr>
  </w:style>
  <w:style w:type="paragraph" w:customStyle="1" w:styleId="1196">
    <w:name w:val="Char Char Знак Знак2"/>
    <w:basedOn w:val="1"/>
    <w:semiHidden/>
    <w:qFormat/>
    <w:uiPriority w:val="0"/>
    <w:pPr>
      <w:widowControl/>
      <w:tabs>
        <w:tab w:val="clear" w:pos="480"/>
      </w:tabs>
      <w:spacing w:after="160" w:line="240" w:lineRule="exact"/>
      <w:jc w:val="left"/>
    </w:pPr>
    <w:rPr>
      <w:rFonts w:ascii="宋体" w:hAnsi="宋体" w:cs="宋体"/>
      <w:b/>
      <w:kern w:val="0"/>
      <w:lang w:eastAsia="en-US"/>
    </w:rPr>
  </w:style>
  <w:style w:type="table" w:customStyle="1" w:styleId="1197">
    <w:name w:val="网格型2"/>
    <w:basedOn w:val="87"/>
    <w:qFormat/>
    <w:uiPriority w:val="59"/>
    <w:pPr>
      <w:widowControl w:val="0"/>
      <w:snapToGrid w:val="0"/>
      <w:spacing w:line="336" w:lineRule="auto"/>
      <w:ind w:firstLine="51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198">
    <w:name w:val="京唐秦正文2"/>
    <w:basedOn w:val="1"/>
    <w:next w:val="1"/>
    <w:qFormat/>
    <w:uiPriority w:val="0"/>
    <w:pPr>
      <w:widowControl/>
      <w:tabs>
        <w:tab w:val="left" w:pos="700"/>
        <w:tab w:val="clear" w:pos="480"/>
      </w:tabs>
      <w:spacing w:beforeLines="50"/>
      <w:ind w:firstLine="424"/>
      <w:jc w:val="left"/>
    </w:pPr>
    <w:rPr>
      <w:rFonts w:ascii="宋体" w:hAnsi="宋体" w:cs="宋体"/>
      <w:bCs/>
      <w:kern w:val="0"/>
      <w:lang w:eastAsia="en-US"/>
    </w:rPr>
  </w:style>
  <w:style w:type="paragraph" w:customStyle="1" w:styleId="1199">
    <w:name w:val="标题 4 宋体"/>
    <w:basedOn w:val="6"/>
    <w:next w:val="1"/>
    <w:semiHidden/>
    <w:qFormat/>
    <w:uiPriority w:val="0"/>
    <w:pPr>
      <w:widowControl/>
      <w:numPr>
        <w:numId w:val="0"/>
      </w:numPr>
      <w:tabs>
        <w:tab w:val="left" w:pos="1064"/>
        <w:tab w:val="left" w:pos="2438"/>
        <w:tab w:val="clear" w:pos="480"/>
      </w:tabs>
      <w:adjustRightInd w:val="0"/>
      <w:spacing w:before="0" w:after="0"/>
      <w:jc w:val="left"/>
    </w:pPr>
    <w:rPr>
      <w:rFonts w:ascii="宋体" w:eastAsia="宋体" w:cs="宋体"/>
      <w:b w:val="0"/>
      <w:bCs w:val="0"/>
      <w:kern w:val="0"/>
      <w:sz w:val="24"/>
      <w:szCs w:val="24"/>
    </w:rPr>
  </w:style>
  <w:style w:type="paragraph" w:customStyle="1" w:styleId="1200">
    <w:name w:val="样式 标题 4 + (西文) 宋体 (中文) 宋体2"/>
    <w:basedOn w:val="6"/>
    <w:qFormat/>
    <w:uiPriority w:val="0"/>
    <w:pPr>
      <w:widowControl/>
      <w:numPr>
        <w:numId w:val="0"/>
      </w:numPr>
      <w:tabs>
        <w:tab w:val="left" w:pos="1064"/>
        <w:tab w:val="left" w:pos="2438"/>
        <w:tab w:val="clear" w:pos="480"/>
      </w:tabs>
      <w:adjustRightInd w:val="0"/>
      <w:spacing w:before="0" w:after="0"/>
      <w:ind w:left="864" w:hanging="864"/>
      <w:jc w:val="left"/>
    </w:pPr>
    <w:rPr>
      <w:rFonts w:ascii="黑体" w:eastAsia="黑体" w:cs="宋体"/>
      <w:b w:val="0"/>
      <w:bCs w:val="0"/>
      <w:kern w:val="0"/>
      <w:sz w:val="24"/>
      <w:szCs w:val="24"/>
    </w:rPr>
  </w:style>
  <w:style w:type="paragraph" w:customStyle="1" w:styleId="1201">
    <w:name w:val="样式 标题 3 + (西文) 宋体 (中文) 宋体1"/>
    <w:basedOn w:val="5"/>
    <w:qFormat/>
    <w:uiPriority w:val="0"/>
    <w:pPr>
      <w:widowControl/>
      <w:numPr>
        <w:numId w:val="0"/>
      </w:numPr>
      <w:tabs>
        <w:tab w:val="left" w:pos="720"/>
        <w:tab w:val="left" w:pos="1000"/>
        <w:tab w:val="clear" w:pos="480"/>
        <w:tab w:val="clear" w:pos="840"/>
      </w:tabs>
      <w:adjustRightInd w:val="0"/>
      <w:spacing w:before="0" w:after="0" w:line="360" w:lineRule="auto"/>
      <w:ind w:left="720" w:hanging="720"/>
      <w:jc w:val="left"/>
    </w:pPr>
    <w:rPr>
      <w:rFonts w:ascii="黑体" w:hAnsi="宋体" w:eastAsia="黑体" w:cs="宋体"/>
      <w:b w:val="0"/>
      <w:bCs w:val="0"/>
      <w:kern w:val="0"/>
      <w:sz w:val="24"/>
      <w:szCs w:val="24"/>
    </w:rPr>
  </w:style>
  <w:style w:type="paragraph" w:customStyle="1" w:styleId="1202">
    <w:name w:val="样式 标题 4 + (西文) 宋体 (中文) 宋体5"/>
    <w:basedOn w:val="6"/>
    <w:qFormat/>
    <w:uiPriority w:val="0"/>
    <w:pPr>
      <w:widowControl/>
      <w:numPr>
        <w:numId w:val="0"/>
      </w:numPr>
      <w:tabs>
        <w:tab w:val="left" w:pos="1064"/>
        <w:tab w:val="left" w:pos="2438"/>
        <w:tab w:val="clear" w:pos="480"/>
      </w:tabs>
      <w:adjustRightInd w:val="0"/>
      <w:spacing w:before="0" w:after="0"/>
      <w:jc w:val="left"/>
    </w:pPr>
    <w:rPr>
      <w:rFonts w:ascii="黑体" w:eastAsia="黑体" w:cs="宋体"/>
      <w:b w:val="0"/>
      <w:bCs w:val="0"/>
      <w:kern w:val="0"/>
      <w:sz w:val="24"/>
      <w:szCs w:val="24"/>
    </w:rPr>
  </w:style>
  <w:style w:type="paragraph" w:customStyle="1" w:styleId="1203">
    <w:name w:val="样式 标题 4 宋体 + (符号) 宋体"/>
    <w:basedOn w:val="1199"/>
    <w:qFormat/>
    <w:uiPriority w:val="0"/>
    <w:rPr>
      <w:rFonts w:ascii="黑体" w:eastAsia="黑体"/>
    </w:rPr>
  </w:style>
  <w:style w:type="paragraph" w:customStyle="1" w:styleId="1204">
    <w:name w:val="样式 标题 4 + (西文) 宋体 (中文) 宋体6"/>
    <w:basedOn w:val="6"/>
    <w:qFormat/>
    <w:uiPriority w:val="0"/>
    <w:pPr>
      <w:widowControl/>
      <w:numPr>
        <w:numId w:val="0"/>
      </w:numPr>
      <w:tabs>
        <w:tab w:val="left" w:pos="1064"/>
        <w:tab w:val="left" w:pos="2438"/>
        <w:tab w:val="clear" w:pos="480"/>
      </w:tabs>
      <w:adjustRightInd w:val="0"/>
      <w:spacing w:before="0" w:after="0"/>
      <w:jc w:val="left"/>
    </w:pPr>
    <w:rPr>
      <w:rFonts w:ascii="黑体" w:eastAsia="黑体" w:cs="宋体"/>
      <w:b w:val="0"/>
      <w:bCs w:val="0"/>
      <w:kern w:val="0"/>
      <w:sz w:val="24"/>
      <w:szCs w:val="24"/>
    </w:rPr>
  </w:style>
  <w:style w:type="paragraph" w:customStyle="1" w:styleId="1205">
    <w:name w:val="正文缩进1"/>
    <w:basedOn w:val="1"/>
    <w:qFormat/>
    <w:uiPriority w:val="0"/>
    <w:pPr>
      <w:widowControl/>
      <w:tabs>
        <w:tab w:val="clear" w:pos="480"/>
      </w:tabs>
      <w:spacing w:line="240" w:lineRule="auto"/>
      <w:ind w:firstLine="420"/>
      <w:jc w:val="left"/>
    </w:pPr>
    <w:rPr>
      <w:rFonts w:ascii="宋体" w:hAnsi="宋体" w:cs="宋体"/>
      <w:kern w:val="0"/>
    </w:rPr>
  </w:style>
  <w:style w:type="paragraph" w:customStyle="1" w:styleId="1206">
    <w:name w:val="节内标题一"/>
    <w:basedOn w:val="1"/>
    <w:qFormat/>
    <w:uiPriority w:val="0"/>
    <w:pPr>
      <w:widowControl/>
      <w:tabs>
        <w:tab w:val="clear" w:pos="480"/>
      </w:tabs>
      <w:spacing w:line="400" w:lineRule="exact"/>
      <w:ind w:firstLine="562"/>
      <w:jc w:val="left"/>
    </w:pPr>
    <w:rPr>
      <w:rFonts w:ascii="宋体" w:hAnsi="宋体" w:cs="宋体"/>
      <w:b/>
      <w:bCs/>
      <w:kern w:val="0"/>
    </w:rPr>
  </w:style>
  <w:style w:type="paragraph" w:customStyle="1" w:styleId="1207">
    <w:name w:val="Char Char Char Char Char Char Char Char1"/>
    <w:basedOn w:val="1"/>
    <w:semiHidden/>
    <w:qFormat/>
    <w:uiPriority w:val="0"/>
    <w:pPr>
      <w:widowControl/>
      <w:tabs>
        <w:tab w:val="clear" w:pos="480"/>
      </w:tabs>
      <w:spacing w:after="160" w:line="240" w:lineRule="exact"/>
      <w:jc w:val="left"/>
    </w:pPr>
    <w:rPr>
      <w:rFonts w:ascii="Verdana" w:hAnsi="Verdana" w:cs="宋体"/>
      <w:kern w:val="0"/>
      <w:sz w:val="20"/>
      <w:lang w:eastAsia="en-US"/>
    </w:rPr>
  </w:style>
  <w:style w:type="character" w:customStyle="1" w:styleId="1208">
    <w:name w:val="Char31"/>
    <w:semiHidden/>
    <w:qFormat/>
    <w:uiPriority w:val="0"/>
    <w:rPr>
      <w:rFonts w:eastAsia="宋体"/>
      <w:b/>
      <w:bCs/>
      <w:kern w:val="44"/>
      <w:sz w:val="30"/>
      <w:szCs w:val="44"/>
      <w:lang w:val="en-US" w:eastAsia="zh-CN" w:bidi="ar-SA"/>
    </w:rPr>
  </w:style>
  <w:style w:type="character" w:customStyle="1" w:styleId="1209">
    <w:name w:val="表题 Char1"/>
    <w:qFormat/>
    <w:uiPriority w:val="0"/>
    <w:rPr>
      <w:rFonts w:eastAsia="宋体"/>
      <w:b/>
      <w:bCs/>
      <w:kern w:val="2"/>
      <w:sz w:val="28"/>
      <w:szCs w:val="28"/>
      <w:lang w:val="en-US" w:eastAsia="zh-CN" w:bidi="ar-SA"/>
    </w:rPr>
  </w:style>
  <w:style w:type="paragraph" w:customStyle="1" w:styleId="1210">
    <w:name w:val="Char Char1 Char Char Char Char1"/>
    <w:basedOn w:val="1"/>
    <w:semiHidden/>
    <w:qFormat/>
    <w:uiPriority w:val="0"/>
    <w:pPr>
      <w:widowControl/>
      <w:tabs>
        <w:tab w:val="clear" w:pos="480"/>
      </w:tabs>
      <w:spacing w:line="240" w:lineRule="auto"/>
      <w:jc w:val="left"/>
    </w:pPr>
    <w:rPr>
      <w:rFonts w:ascii="宋体" w:hAnsi="宋体" w:cs="宋体"/>
      <w:kern w:val="0"/>
      <w:sz w:val="21"/>
      <w:szCs w:val="21"/>
    </w:rPr>
  </w:style>
  <w:style w:type="paragraph" w:customStyle="1" w:styleId="1211">
    <w:name w:val="Char2 Char Char Char Char Char Char Char Char Char Char Char Char1"/>
    <w:basedOn w:val="1"/>
    <w:semiHidden/>
    <w:qFormat/>
    <w:uiPriority w:val="0"/>
    <w:pPr>
      <w:widowControl/>
      <w:tabs>
        <w:tab w:val="clear" w:pos="480"/>
      </w:tabs>
      <w:spacing w:line="240" w:lineRule="auto"/>
      <w:ind w:left="-48"/>
      <w:jc w:val="left"/>
    </w:pPr>
    <w:rPr>
      <w:rFonts w:ascii="宋体" w:hAnsi="宋体" w:cs="宋体"/>
      <w:kern w:val="0"/>
      <w:sz w:val="21"/>
    </w:rPr>
  </w:style>
  <w:style w:type="paragraph" w:customStyle="1" w:styleId="1212">
    <w:name w:val="正文文本缩进 211"/>
    <w:basedOn w:val="1"/>
    <w:qFormat/>
    <w:uiPriority w:val="0"/>
    <w:pPr>
      <w:widowControl/>
      <w:tabs>
        <w:tab w:val="clear" w:pos="480"/>
      </w:tabs>
      <w:adjustRightInd w:val="0"/>
      <w:ind w:firstLine="480"/>
      <w:jc w:val="left"/>
      <w:textAlignment w:val="baseline"/>
    </w:pPr>
    <w:rPr>
      <w:rFonts w:ascii="宋体" w:hAnsi="宋体" w:cs="宋体"/>
      <w:kern w:val="0"/>
      <w:lang w:bidi="he-IL"/>
    </w:rPr>
  </w:style>
  <w:style w:type="paragraph" w:customStyle="1" w:styleId="1213">
    <w:name w:val="正文文本缩进 311"/>
    <w:basedOn w:val="1"/>
    <w:qFormat/>
    <w:uiPriority w:val="0"/>
    <w:pPr>
      <w:widowControl/>
      <w:tabs>
        <w:tab w:val="clear" w:pos="480"/>
      </w:tabs>
      <w:adjustRightInd w:val="0"/>
      <w:spacing w:line="360" w:lineRule="atLeast"/>
      <w:ind w:firstLine="525"/>
      <w:jc w:val="left"/>
      <w:textAlignment w:val="baseline"/>
    </w:pPr>
    <w:rPr>
      <w:rFonts w:ascii="宋体" w:hAnsi="宋体" w:cs="宋体"/>
      <w:kern w:val="0"/>
    </w:rPr>
  </w:style>
  <w:style w:type="character" w:customStyle="1" w:styleId="1214">
    <w:name w:val="Char Char2"/>
    <w:qFormat/>
    <w:uiPriority w:val="0"/>
    <w:rPr>
      <w:rFonts w:ascii="宋体" w:hAnsi="Courier New" w:eastAsia="宋体"/>
      <w:kern w:val="2"/>
      <w:sz w:val="21"/>
      <w:lang w:val="en-US" w:eastAsia="zh-CN" w:bidi="ar-SA"/>
    </w:rPr>
  </w:style>
  <w:style w:type="paragraph" w:customStyle="1" w:styleId="1215">
    <w:name w:val="本册报告名称"/>
    <w:basedOn w:val="674"/>
    <w:semiHidden/>
    <w:qFormat/>
    <w:uiPriority w:val="0"/>
    <w:pPr>
      <w:widowControl/>
      <w:ind w:firstLine="0" w:firstLineChars="0"/>
      <w:textAlignment w:val="auto"/>
    </w:pPr>
    <w:rPr>
      <w:rFonts w:ascii="文鼎大标宋简" w:eastAsia="文鼎大标宋简" w:cs="宋体"/>
      <w:b w:val="0"/>
      <w:bCs w:val="0"/>
      <w:color w:val="auto"/>
      <w:kern w:val="0"/>
      <w:sz w:val="48"/>
      <w:szCs w:val="24"/>
    </w:rPr>
  </w:style>
  <w:style w:type="paragraph" w:customStyle="1" w:styleId="1216">
    <w:name w:val="Char4"/>
    <w:basedOn w:val="1"/>
    <w:qFormat/>
    <w:uiPriority w:val="0"/>
    <w:pPr>
      <w:widowControl/>
      <w:tabs>
        <w:tab w:val="clear" w:pos="480"/>
      </w:tabs>
      <w:spacing w:line="240" w:lineRule="auto"/>
      <w:jc w:val="left"/>
    </w:pPr>
    <w:rPr>
      <w:rFonts w:ascii="宋体" w:hAnsi="宋体" w:cs="宋体"/>
      <w:kern w:val="0"/>
      <w:sz w:val="21"/>
    </w:rPr>
  </w:style>
  <w:style w:type="paragraph" w:customStyle="1" w:styleId="1217">
    <w:name w:val="Char1 Char Char Char1"/>
    <w:basedOn w:val="1"/>
    <w:semiHidden/>
    <w:qFormat/>
    <w:uiPriority w:val="0"/>
    <w:pPr>
      <w:widowControl/>
      <w:tabs>
        <w:tab w:val="clear" w:pos="480"/>
      </w:tabs>
      <w:spacing w:after="160" w:line="240" w:lineRule="exact"/>
      <w:jc w:val="left"/>
    </w:pPr>
    <w:rPr>
      <w:rFonts w:ascii="宋体" w:hAnsi="宋体" w:cs="宋体"/>
      <w:b/>
      <w:kern w:val="0"/>
      <w:lang w:eastAsia="en-US"/>
    </w:rPr>
  </w:style>
  <w:style w:type="paragraph" w:customStyle="1" w:styleId="1218">
    <w:name w:val="Char Char Char Char1"/>
    <w:basedOn w:val="1"/>
    <w:qFormat/>
    <w:uiPriority w:val="0"/>
    <w:pPr>
      <w:widowControl/>
      <w:tabs>
        <w:tab w:val="clear" w:pos="480"/>
      </w:tabs>
      <w:spacing w:line="240" w:lineRule="auto"/>
      <w:jc w:val="left"/>
    </w:pPr>
    <w:rPr>
      <w:rFonts w:ascii="宋体" w:hAnsi="宋体" w:cs="宋体"/>
      <w:kern w:val="0"/>
      <w:sz w:val="21"/>
      <w:szCs w:val="21"/>
    </w:rPr>
  </w:style>
  <w:style w:type="paragraph" w:customStyle="1" w:styleId="1219">
    <w:name w:val="Char21"/>
    <w:basedOn w:val="1"/>
    <w:next w:val="1"/>
    <w:semiHidden/>
    <w:qFormat/>
    <w:uiPriority w:val="0"/>
    <w:pPr>
      <w:widowControl/>
      <w:tabs>
        <w:tab w:val="left" w:pos="560"/>
        <w:tab w:val="clear" w:pos="480"/>
      </w:tabs>
      <w:autoSpaceDE w:val="0"/>
      <w:autoSpaceDN w:val="0"/>
      <w:adjustRightInd w:val="0"/>
      <w:spacing w:line="240" w:lineRule="auto"/>
      <w:ind w:firstLine="1137" w:firstLineChars="406"/>
      <w:jc w:val="left"/>
    </w:pPr>
    <w:rPr>
      <w:rFonts w:ascii="宋体" w:hAnsi="宋体" w:cs="宋体"/>
      <w:color w:val="000000"/>
      <w:kern w:val="0"/>
      <w:szCs w:val="28"/>
    </w:rPr>
  </w:style>
  <w:style w:type="paragraph" w:customStyle="1" w:styleId="1220">
    <w:name w:val="Char Char Char Char Char Char Char Char Char Char1"/>
    <w:basedOn w:val="1"/>
    <w:semiHidden/>
    <w:qFormat/>
    <w:uiPriority w:val="0"/>
    <w:pPr>
      <w:widowControl/>
      <w:tabs>
        <w:tab w:val="clear" w:pos="480"/>
      </w:tabs>
      <w:spacing w:line="240" w:lineRule="auto"/>
      <w:jc w:val="left"/>
    </w:pPr>
    <w:rPr>
      <w:rFonts w:ascii="宋体" w:hAnsi="宋体" w:cs="宋体"/>
      <w:kern w:val="0"/>
      <w:sz w:val="21"/>
      <w:szCs w:val="21"/>
    </w:rPr>
  </w:style>
  <w:style w:type="paragraph" w:customStyle="1" w:styleId="1221">
    <w:name w:val="Char Char Знак Знак1"/>
    <w:basedOn w:val="1"/>
    <w:semiHidden/>
    <w:qFormat/>
    <w:uiPriority w:val="0"/>
    <w:pPr>
      <w:widowControl/>
      <w:tabs>
        <w:tab w:val="clear" w:pos="480"/>
      </w:tabs>
      <w:spacing w:after="160" w:line="240" w:lineRule="exact"/>
      <w:jc w:val="left"/>
    </w:pPr>
    <w:rPr>
      <w:rFonts w:ascii="宋体" w:hAnsi="宋体" w:cs="宋体"/>
      <w:b/>
      <w:kern w:val="0"/>
      <w:lang w:eastAsia="en-US"/>
    </w:rPr>
  </w:style>
  <w:style w:type="paragraph" w:customStyle="1" w:styleId="1222">
    <w:name w:val="Char11"/>
    <w:basedOn w:val="1"/>
    <w:semiHidden/>
    <w:qFormat/>
    <w:uiPriority w:val="0"/>
    <w:pPr>
      <w:widowControl/>
      <w:tabs>
        <w:tab w:val="clear" w:pos="480"/>
      </w:tabs>
      <w:spacing w:beforeLines="50"/>
      <w:ind w:firstLine="560"/>
      <w:jc w:val="left"/>
    </w:pPr>
    <w:rPr>
      <w:rFonts w:ascii="宋体" w:hAnsi="宋体" w:cs="宋体"/>
      <w:kern w:val="0"/>
      <w:szCs w:val="28"/>
    </w:rPr>
  </w:style>
  <w:style w:type="paragraph" w:customStyle="1" w:styleId="1223">
    <w:name w:val="表芯"/>
    <w:basedOn w:val="1"/>
    <w:next w:val="1"/>
    <w:qFormat/>
    <w:uiPriority w:val="0"/>
    <w:pPr>
      <w:keepNext/>
      <w:widowControl/>
      <w:tabs>
        <w:tab w:val="clear" w:pos="480"/>
      </w:tabs>
      <w:adjustRightInd w:val="0"/>
      <w:spacing w:before="20" w:line="0" w:lineRule="atLeast"/>
      <w:jc w:val="center"/>
      <w:textAlignment w:val="baseline"/>
    </w:pPr>
    <w:rPr>
      <w:rFonts w:ascii="宋体" w:hAnsi="宋体" w:cs="宋体"/>
      <w:kern w:val="21"/>
      <w:sz w:val="21"/>
    </w:rPr>
  </w:style>
  <w:style w:type="paragraph" w:customStyle="1" w:styleId="1224">
    <w:name w:val="样式 标题 1 + 左侧:  1 字符 右侧:  1 字符"/>
    <w:basedOn w:val="3"/>
    <w:qFormat/>
    <w:uiPriority w:val="0"/>
    <w:pPr>
      <w:widowControl/>
      <w:numPr>
        <w:numId w:val="0"/>
      </w:numPr>
      <w:tabs>
        <w:tab w:val="clear" w:pos="480"/>
      </w:tabs>
      <w:spacing w:beforeLines="50" w:afterLines="50"/>
      <w:ind w:left="240" w:leftChars="100" w:right="240" w:rightChars="100"/>
      <w:jc w:val="left"/>
    </w:pPr>
    <w:rPr>
      <w:rFonts w:ascii="Arial" w:hAnsi="Arial" w:eastAsia="宋体" w:cs="宋体"/>
      <w:bCs w:val="0"/>
      <w:sz w:val="24"/>
      <w:szCs w:val="28"/>
    </w:rPr>
  </w:style>
  <w:style w:type="paragraph" w:customStyle="1" w:styleId="1225">
    <w:name w:val="样式 标题 2 + 左侧:  1 字符 右侧:  1 字符"/>
    <w:basedOn w:val="4"/>
    <w:qFormat/>
    <w:uiPriority w:val="0"/>
    <w:pPr>
      <w:widowControl/>
      <w:numPr>
        <w:ilvl w:val="0"/>
        <w:numId w:val="0"/>
      </w:numPr>
      <w:tabs>
        <w:tab w:val="clear" w:pos="480"/>
        <w:tab w:val="clear" w:pos="630"/>
      </w:tabs>
      <w:spacing w:before="0" w:after="0"/>
      <w:ind w:left="240" w:leftChars="100" w:right="240" w:rightChars="100"/>
      <w:jc w:val="left"/>
    </w:pPr>
    <w:rPr>
      <w:rFonts w:ascii="Arial" w:hAnsi="Arial" w:cs="宋体"/>
      <w:b w:val="0"/>
      <w:bCs w:val="0"/>
      <w:kern w:val="0"/>
      <w:sz w:val="24"/>
      <w:szCs w:val="28"/>
    </w:rPr>
  </w:style>
  <w:style w:type="paragraph" w:customStyle="1" w:styleId="1226">
    <w:name w:val="样式 正文缩进 + 四号 首行缩进:  1.1 厘米"/>
    <w:basedOn w:val="21"/>
    <w:qFormat/>
    <w:uiPriority w:val="0"/>
    <w:pPr>
      <w:widowControl/>
      <w:tabs>
        <w:tab w:val="clear" w:pos="480"/>
      </w:tabs>
      <w:adjustRightInd w:val="0"/>
      <w:snapToGrid w:val="0"/>
      <w:spacing w:line="300" w:lineRule="auto"/>
      <w:ind w:left="240" w:leftChars="100" w:right="240" w:rightChars="100" w:firstLine="624" w:firstLineChars="0"/>
      <w:jc w:val="left"/>
    </w:pPr>
    <w:rPr>
      <w:rFonts w:ascii="Arial" w:hAnsi="Arial" w:cs="宋体"/>
      <w:kern w:val="0"/>
    </w:rPr>
  </w:style>
  <w:style w:type="paragraph" w:customStyle="1" w:styleId="1227">
    <w:name w:val="样式 样式 正文缩进 + 四号 首行缩进:  1.1 厘米 + 左侧:  1 字符 右侧:  1 字符"/>
    <w:basedOn w:val="1"/>
    <w:qFormat/>
    <w:uiPriority w:val="0"/>
    <w:pPr>
      <w:widowControl/>
      <w:tabs>
        <w:tab w:val="clear" w:pos="480"/>
      </w:tabs>
      <w:adjustRightInd w:val="0"/>
      <w:snapToGrid w:val="0"/>
      <w:ind w:left="240" w:leftChars="100" w:right="240" w:rightChars="100" w:firstLine="397"/>
      <w:jc w:val="left"/>
    </w:pPr>
    <w:rPr>
      <w:rFonts w:ascii="Arial" w:hAnsi="Arial" w:cs="宋体"/>
      <w:kern w:val="0"/>
      <w:szCs w:val="20"/>
    </w:rPr>
  </w:style>
  <w:style w:type="paragraph" w:customStyle="1" w:styleId="1228">
    <w:name w:val="样式 样式 样式 正文缩进 + 四号 首行缩进:  1.1 厘米 + 左侧:  1 字符 右侧:  1 字符 + 左侧:  1 ..."/>
    <w:basedOn w:val="1227"/>
    <w:qFormat/>
    <w:uiPriority w:val="0"/>
    <w:pPr>
      <w:ind w:firstLine="510"/>
    </w:pPr>
  </w:style>
  <w:style w:type="paragraph" w:customStyle="1" w:styleId="1229">
    <w:name w:val="样式 样式 样式 样式 正文缩进 + 四号 首行缩进:  1.1 厘米 + 左侧:  1 字符 右侧:  1 字符 + 左侧: ..."/>
    <w:basedOn w:val="1228"/>
    <w:qFormat/>
    <w:uiPriority w:val="0"/>
    <w:pPr>
      <w:ind w:left="425" w:leftChars="177" w:firstLine="725" w:firstLineChars="302"/>
    </w:pPr>
    <w:rPr>
      <w:szCs w:val="24"/>
    </w:rPr>
  </w:style>
  <w:style w:type="paragraph" w:customStyle="1" w:styleId="1230">
    <w:name w:val="样式 标题 3 + 左侧:  1 字符 右侧:  1 字符"/>
    <w:basedOn w:val="5"/>
    <w:qFormat/>
    <w:uiPriority w:val="0"/>
    <w:pPr>
      <w:widowControl/>
      <w:numPr>
        <w:ilvl w:val="0"/>
        <w:numId w:val="0"/>
      </w:numPr>
      <w:tabs>
        <w:tab w:val="clear" w:pos="480"/>
        <w:tab w:val="clear" w:pos="840"/>
      </w:tabs>
      <w:spacing w:before="0" w:after="0" w:line="360" w:lineRule="auto"/>
      <w:ind w:left="100" w:leftChars="100" w:right="100" w:rightChars="100"/>
      <w:jc w:val="left"/>
    </w:pPr>
    <w:rPr>
      <w:rFonts w:ascii="Arial" w:hAnsi="Arial" w:eastAsia="宋体" w:cs="宋体"/>
      <w:b w:val="0"/>
      <w:bCs w:val="0"/>
      <w:kern w:val="0"/>
      <w:sz w:val="24"/>
      <w:szCs w:val="28"/>
    </w:rPr>
  </w:style>
  <w:style w:type="paragraph" w:customStyle="1" w:styleId="1231">
    <w:name w:val="样式 样式 标题 2 + 左侧:  1 字符 右侧:  1 字符 + (西文) 黑体"/>
    <w:basedOn w:val="1225"/>
    <w:qFormat/>
    <w:uiPriority w:val="0"/>
    <w:pPr/>
  </w:style>
  <w:style w:type="paragraph" w:customStyle="1" w:styleId="1232">
    <w:name w:val="样式 样式 标题 2 + 左侧:  1 字符 右侧:  1 字符 + (西文) 黑体1"/>
    <w:basedOn w:val="1225"/>
    <w:qFormat/>
    <w:uiPriority w:val="0"/>
    <w:pPr/>
  </w:style>
  <w:style w:type="character" w:customStyle="1" w:styleId="1233">
    <w:name w:val="样式 标题 2 + 左侧:  1 字符 右侧:  1 字符 Char"/>
    <w:qFormat/>
    <w:uiPriority w:val="0"/>
    <w:rPr>
      <w:rFonts w:ascii="Arial" w:hAnsi="Arial" w:eastAsia="宋体" w:cs="宋体"/>
      <w:bCs/>
      <w:kern w:val="2"/>
      <w:sz w:val="28"/>
      <w:szCs w:val="28"/>
      <w:lang w:val="en-US" w:eastAsia="zh-CN" w:bidi="ar-SA"/>
    </w:rPr>
  </w:style>
  <w:style w:type="character" w:customStyle="1" w:styleId="1234">
    <w:name w:val="样式 样式 标题 2 + 左侧:  1 字符 右侧:  1 字符 + (西文) 黑体1 Char"/>
    <w:qFormat/>
    <w:uiPriority w:val="0"/>
    <w:rPr>
      <w:rFonts w:ascii="Arial" w:hAnsi="Arial" w:eastAsia="宋体" w:cs="宋体"/>
      <w:kern w:val="2"/>
      <w:sz w:val="28"/>
      <w:szCs w:val="28"/>
      <w:lang w:val="en-US" w:eastAsia="zh-CN" w:bidi="ar-SA"/>
    </w:rPr>
  </w:style>
  <w:style w:type="paragraph" w:customStyle="1" w:styleId="1235">
    <w:name w:val="样式 样式 标题 1 + 左侧:  1 字符 右侧:  1 字符 + 宋体"/>
    <w:basedOn w:val="1224"/>
    <w:qFormat/>
    <w:uiPriority w:val="0"/>
    <w:pPr/>
    <w:rPr>
      <w:bCs/>
    </w:rPr>
  </w:style>
  <w:style w:type="character" w:customStyle="1" w:styleId="1236">
    <w:name w:val="样式 标题 1 + 左侧:  1 字符 右侧:  1 字符 Char"/>
    <w:qFormat/>
    <w:uiPriority w:val="0"/>
    <w:rPr>
      <w:rFonts w:ascii="Arial" w:hAnsi="Arial" w:eastAsia="宋体" w:cs="宋体"/>
      <w:b/>
      <w:bCs/>
      <w:kern w:val="44"/>
      <w:sz w:val="28"/>
      <w:szCs w:val="28"/>
      <w:lang w:val="en-US" w:eastAsia="zh-CN" w:bidi="ar-SA"/>
    </w:rPr>
  </w:style>
  <w:style w:type="character" w:customStyle="1" w:styleId="1237">
    <w:name w:val="样式 样式 标题 1 + 左侧:  1 字符 右侧:  1 字符 + 宋体 Char"/>
    <w:qFormat/>
    <w:uiPriority w:val="0"/>
    <w:rPr>
      <w:rFonts w:ascii="Arial" w:hAnsi="Arial" w:eastAsia="宋体" w:cs="宋体"/>
      <w:kern w:val="44"/>
      <w:sz w:val="28"/>
      <w:szCs w:val="28"/>
      <w:lang w:val="en-US" w:eastAsia="zh-CN" w:bidi="ar-SA"/>
    </w:rPr>
  </w:style>
  <w:style w:type="character" w:customStyle="1" w:styleId="1238">
    <w:name w:val="样式1 Char"/>
    <w:link w:val="188"/>
    <w:qFormat/>
    <w:uiPriority w:val="0"/>
    <w:rPr>
      <w:rFonts w:eastAsia="楷体_GB2312"/>
      <w:kern w:val="2"/>
      <w:sz w:val="28"/>
      <w:szCs w:val="24"/>
      <w:lang w:val="en-US" w:eastAsia="zh-CN" w:bidi="ar-SA"/>
    </w:rPr>
  </w:style>
  <w:style w:type="paragraph" w:customStyle="1" w:styleId="1239">
    <w:name w:val="样式 样式 标题 3 + 左侧:  1 字符 右侧:  1 字符 + 宋体 左侧:  1 字符 右侧:  1 字符"/>
    <w:basedOn w:val="1230"/>
    <w:qFormat/>
    <w:uiPriority w:val="0"/>
    <w:pPr>
      <w:ind w:left="240" w:right="240"/>
    </w:pPr>
  </w:style>
  <w:style w:type="paragraph" w:customStyle="1" w:styleId="1240">
    <w:name w:val="样式 样式 标题 1 + 左侧:  1 字符 右侧:  1 字符 + 宋体 非加粗 左侧:  1 字符 右侧:  1 字符"/>
    <w:basedOn w:val="1224"/>
    <w:qFormat/>
    <w:uiPriority w:val="0"/>
    <w:pPr/>
  </w:style>
  <w:style w:type="paragraph" w:customStyle="1" w:styleId="1241">
    <w:name w:val="样式 样式 样式 标题 2 + 左侧:  1 字符 右侧:  1 字符 + (西文) 黑体1 + 宋体 加粗"/>
    <w:basedOn w:val="1232"/>
    <w:qFormat/>
    <w:uiPriority w:val="0"/>
    <w:pPr/>
    <w:rPr>
      <w:bCs/>
    </w:rPr>
  </w:style>
  <w:style w:type="paragraph" w:customStyle="1" w:styleId="1242">
    <w:name w:val="样式 标题 4 +"/>
    <w:basedOn w:val="6"/>
    <w:qFormat/>
    <w:uiPriority w:val="0"/>
    <w:pPr>
      <w:widowControl/>
      <w:numPr>
        <w:ilvl w:val="0"/>
        <w:numId w:val="0"/>
      </w:numPr>
      <w:tabs>
        <w:tab w:val="clear" w:pos="480"/>
      </w:tabs>
      <w:adjustRightInd w:val="0"/>
      <w:spacing w:before="0" w:after="0"/>
      <w:ind w:left="240" w:leftChars="100" w:right="240" w:rightChars="100"/>
      <w:jc w:val="left"/>
    </w:pPr>
    <w:rPr>
      <w:rFonts w:ascii="宋体" w:eastAsia="宋体" w:cs="宋体"/>
      <w:b w:val="0"/>
      <w:bCs w:val="0"/>
      <w:kern w:val="0"/>
      <w:sz w:val="24"/>
      <w:szCs w:val="24"/>
    </w:rPr>
  </w:style>
  <w:style w:type="paragraph" w:customStyle="1" w:styleId="1243">
    <w:name w:val="样式 样式 样式 标题 2 + 左侧:  1 字符 右侧:  1 字符 + (西文) 黑体1 + (西文) 黑体"/>
    <w:basedOn w:val="1232"/>
    <w:qFormat/>
    <w:uiPriority w:val="0"/>
    <w:pPr/>
  </w:style>
  <w:style w:type="paragraph" w:customStyle="1" w:styleId="1244">
    <w:name w:val="样式 样式 样式 样式 标题 2 + 左侧:  1 字符 右侧:  1 字符 + (西文) 黑体1 + (西文) 黑体 + 加粗"/>
    <w:basedOn w:val="1243"/>
    <w:qFormat/>
    <w:uiPriority w:val="0"/>
    <w:pPr>
      <w:adjustRightInd w:val="0"/>
    </w:pPr>
    <w:rPr>
      <w:bCs/>
    </w:rPr>
  </w:style>
  <w:style w:type="paragraph" w:customStyle="1" w:styleId="1245">
    <w:name w:val="样式 正文首行缩进 + 首行缩进:  1 字符"/>
    <w:basedOn w:val="85"/>
    <w:qFormat/>
    <w:uiPriority w:val="0"/>
    <w:pPr>
      <w:widowControl/>
      <w:adjustRightInd w:val="0"/>
      <w:snapToGrid w:val="0"/>
      <w:spacing w:after="0" w:line="360" w:lineRule="auto"/>
      <w:ind w:left="240" w:leftChars="100" w:right="240" w:rightChars="100" w:firstLine="480" w:firstLineChars="200"/>
      <w:jc w:val="left"/>
    </w:pPr>
    <w:rPr>
      <w:rFonts w:ascii="Arial" w:hAnsi="Arial" w:cs="宋体"/>
      <w:kern w:val="0"/>
      <w:sz w:val="24"/>
    </w:rPr>
  </w:style>
  <w:style w:type="paragraph" w:customStyle="1" w:styleId="1246">
    <w:name w:val="样式 正文缩进 + (西文) Arial 小四"/>
    <w:basedOn w:val="21"/>
    <w:link w:val="1247"/>
    <w:qFormat/>
    <w:uiPriority w:val="0"/>
    <w:pPr>
      <w:widowControl/>
      <w:tabs>
        <w:tab w:val="clear" w:pos="480"/>
      </w:tabs>
      <w:snapToGrid w:val="0"/>
      <w:ind w:firstLine="0" w:firstLineChars="0"/>
      <w:jc w:val="left"/>
    </w:pPr>
    <w:rPr>
      <w:rFonts w:ascii="宋体" w:hAnsi="宋体"/>
      <w:kern w:val="0"/>
      <w:sz w:val="28"/>
      <w:lang w:val="zh-CN"/>
    </w:rPr>
  </w:style>
  <w:style w:type="character" w:customStyle="1" w:styleId="1247">
    <w:name w:val="样式 正文缩进 + (西文) Arial 小四 Char"/>
    <w:link w:val="1246"/>
    <w:qFormat/>
    <w:uiPriority w:val="0"/>
    <w:rPr>
      <w:rFonts w:ascii="宋体" w:hAnsi="宋体" w:eastAsia="宋体"/>
      <w:sz w:val="28"/>
      <w:szCs w:val="24"/>
      <w:lang w:bidi="ar-SA"/>
    </w:rPr>
  </w:style>
  <w:style w:type="paragraph" w:customStyle="1" w:styleId="1248">
    <w:name w:val="正文段落"/>
    <w:basedOn w:val="1"/>
    <w:link w:val="3345"/>
    <w:qFormat/>
    <w:uiPriority w:val="0"/>
    <w:pPr>
      <w:widowControl/>
      <w:tabs>
        <w:tab w:val="clear" w:pos="480"/>
      </w:tabs>
      <w:spacing w:line="240" w:lineRule="auto"/>
      <w:ind w:firstLine="560"/>
      <w:jc w:val="left"/>
    </w:pPr>
    <w:rPr>
      <w:rFonts w:ascii="宋体" w:hAnsi="宋体" w:cs="宋体"/>
      <w:kern w:val="0"/>
    </w:rPr>
  </w:style>
  <w:style w:type="paragraph" w:customStyle="1" w:styleId="1249">
    <w:name w:val="w样小4正文"/>
    <w:basedOn w:val="1"/>
    <w:semiHidden/>
    <w:qFormat/>
    <w:uiPriority w:val="0"/>
    <w:pPr>
      <w:widowControl/>
      <w:tabs>
        <w:tab w:val="clear" w:pos="480"/>
      </w:tabs>
      <w:adjustRightInd w:val="0"/>
      <w:ind w:firstLine="480"/>
      <w:jc w:val="left"/>
    </w:pPr>
    <w:rPr>
      <w:rFonts w:ascii="宋体" w:hAnsi="宋体" w:cs="宋体"/>
      <w:kern w:val="0"/>
    </w:rPr>
  </w:style>
  <w:style w:type="paragraph" w:customStyle="1" w:styleId="1250">
    <w:name w:val="样式 标题 41.1.1.1标题 4.1.1.1.1标题 4 Char款四级标题，黑粗，小四，序号H4h4 sub...1"/>
    <w:basedOn w:val="6"/>
    <w:qFormat/>
    <w:uiPriority w:val="0"/>
    <w:pPr>
      <w:widowControl/>
      <w:numPr>
        <w:ilvl w:val="0"/>
        <w:numId w:val="0"/>
      </w:numPr>
      <w:tabs>
        <w:tab w:val="clear" w:pos="480"/>
      </w:tabs>
      <w:adjustRightInd w:val="0"/>
      <w:spacing w:before="120" w:after="120"/>
      <w:ind w:left="560" w:leftChars="100" w:right="100" w:rightChars="100"/>
      <w:jc w:val="left"/>
      <w:textAlignment w:val="baseline"/>
    </w:pPr>
    <w:rPr>
      <w:rFonts w:ascii="Arial" w:hAnsi="Arial" w:eastAsia="宋体" w:cs="宋体"/>
      <w:b w:val="0"/>
      <w:kern w:val="0"/>
      <w:sz w:val="24"/>
    </w:rPr>
  </w:style>
  <w:style w:type="paragraph" w:customStyle="1" w:styleId="1251">
    <w:name w:val="Char Char2 Char"/>
    <w:basedOn w:val="1"/>
    <w:semiHidden/>
    <w:qFormat/>
    <w:uiPriority w:val="0"/>
    <w:pPr>
      <w:tabs>
        <w:tab w:val="clear" w:pos="480"/>
      </w:tabs>
      <w:spacing w:line="240" w:lineRule="auto"/>
    </w:pPr>
    <w:rPr>
      <w:sz w:val="21"/>
      <w:szCs w:val="21"/>
    </w:rPr>
  </w:style>
  <w:style w:type="paragraph" w:customStyle="1" w:styleId="1252">
    <w:name w:val="样式 样式 标题 1w-标题 1 + Times New Roman 加粗 + 非加粗"/>
    <w:basedOn w:val="1"/>
    <w:qFormat/>
    <w:uiPriority w:val="0"/>
    <w:pPr>
      <w:keepNext/>
      <w:keepLines/>
      <w:tabs>
        <w:tab w:val="left" w:pos="0"/>
        <w:tab w:val="left" w:pos="360"/>
        <w:tab w:val="left" w:pos="525"/>
        <w:tab w:val="left" w:pos="644"/>
        <w:tab w:val="clear" w:pos="480"/>
      </w:tabs>
      <w:adjustRightInd w:val="0"/>
      <w:snapToGrid w:val="0"/>
      <w:jc w:val="left"/>
      <w:outlineLvl w:val="1"/>
    </w:pPr>
    <w:rPr>
      <w:rFonts w:eastAsia="黑体" w:cs="宋体"/>
      <w:kern w:val="0"/>
      <w:sz w:val="28"/>
      <w:szCs w:val="20"/>
    </w:rPr>
  </w:style>
  <w:style w:type="character" w:customStyle="1" w:styleId="1253">
    <w:name w:val="w 标题 3 Char Char"/>
    <w:semiHidden/>
    <w:qFormat/>
    <w:uiPriority w:val="0"/>
    <w:rPr>
      <w:rFonts w:ascii="黑体" w:eastAsia="黑体"/>
      <w:kern w:val="2"/>
      <w:sz w:val="24"/>
      <w:szCs w:val="24"/>
      <w:lang w:val="en-US" w:eastAsia="zh-CN" w:bidi="ar-SA"/>
    </w:rPr>
  </w:style>
  <w:style w:type="character" w:customStyle="1" w:styleId="1254">
    <w:name w:val="w 标题 2 Char Char"/>
    <w:semiHidden/>
    <w:qFormat/>
    <w:uiPriority w:val="0"/>
    <w:rPr>
      <w:rFonts w:ascii="黑体" w:eastAsia="黑体"/>
      <w:sz w:val="28"/>
      <w:szCs w:val="28"/>
      <w:lang w:val="en-US" w:eastAsia="zh-CN" w:bidi="ar-SA"/>
    </w:rPr>
  </w:style>
  <w:style w:type="character" w:customStyle="1" w:styleId="1255">
    <w:name w:val="w-标题 1 Char Char"/>
    <w:semiHidden/>
    <w:qFormat/>
    <w:uiPriority w:val="0"/>
    <w:rPr>
      <w:rFonts w:ascii="黑体" w:eastAsia="黑体"/>
      <w:kern w:val="44"/>
      <w:sz w:val="28"/>
      <w:szCs w:val="28"/>
      <w:lang w:val="en-US" w:eastAsia="zh-CN" w:bidi="ar-SA"/>
    </w:rPr>
  </w:style>
  <w:style w:type="character" w:customStyle="1" w:styleId="1256">
    <w:name w:val="w 标题 4 Char Char"/>
    <w:semiHidden/>
    <w:qFormat/>
    <w:uiPriority w:val="0"/>
    <w:rPr>
      <w:rFonts w:ascii="黑体" w:eastAsia="黑体"/>
      <w:kern w:val="2"/>
      <w:sz w:val="24"/>
      <w:szCs w:val="24"/>
      <w:lang w:val="en-US" w:eastAsia="zh-CN" w:bidi="ar-SA"/>
    </w:rPr>
  </w:style>
  <w:style w:type="paragraph" w:customStyle="1" w:styleId="1257">
    <w:name w:val="一级缩进"/>
    <w:basedOn w:val="1"/>
    <w:qFormat/>
    <w:uiPriority w:val="0"/>
    <w:pPr>
      <w:tabs>
        <w:tab w:val="left" w:pos="852"/>
        <w:tab w:val="clear" w:pos="480"/>
      </w:tabs>
      <w:adjustRightInd w:val="0"/>
      <w:ind w:left="852" w:hanging="312"/>
      <w:textAlignment w:val="baseline"/>
    </w:pPr>
    <w:rPr>
      <w:kern w:val="0"/>
    </w:rPr>
  </w:style>
  <w:style w:type="character" w:customStyle="1" w:styleId="1258">
    <w:name w:val="pt91"/>
    <w:semiHidden/>
    <w:qFormat/>
    <w:uiPriority w:val="0"/>
    <w:rPr>
      <w:sz w:val="18"/>
      <w:szCs w:val="18"/>
    </w:rPr>
  </w:style>
  <w:style w:type="character" w:customStyle="1" w:styleId="1259">
    <w:name w:val="font"/>
    <w:basedOn w:val="132"/>
    <w:semiHidden/>
    <w:qFormat/>
    <w:uiPriority w:val="0"/>
  </w:style>
  <w:style w:type="paragraph" w:customStyle="1" w:styleId="1260">
    <w:name w:val="我的样式（表格内容）"/>
    <w:basedOn w:val="1"/>
    <w:next w:val="1"/>
    <w:qFormat/>
    <w:uiPriority w:val="0"/>
    <w:pPr>
      <w:tabs>
        <w:tab w:val="clear" w:pos="480"/>
      </w:tabs>
      <w:jc w:val="center"/>
    </w:pPr>
    <w:rPr>
      <w:sz w:val="21"/>
    </w:rPr>
  </w:style>
  <w:style w:type="paragraph" w:customStyle="1" w:styleId="1261">
    <w:name w:val="样式 行距: 1.5 倍行距 左  0.8 字符 首行缩进:  2 字符"/>
    <w:basedOn w:val="1"/>
    <w:qFormat/>
    <w:uiPriority w:val="0"/>
    <w:pPr>
      <w:tabs>
        <w:tab w:val="clear" w:pos="480"/>
      </w:tabs>
      <w:adjustRightInd w:val="0"/>
      <w:snapToGrid w:val="0"/>
      <w:ind w:firstLine="560"/>
    </w:pPr>
    <w:rPr>
      <w:rFonts w:eastAsia="仿宋_GB2312"/>
      <w:snapToGrid w:val="0"/>
      <w:kern w:val="0"/>
      <w:sz w:val="28"/>
      <w:szCs w:val="20"/>
    </w:rPr>
  </w:style>
  <w:style w:type="paragraph" w:customStyle="1" w:styleId="1262">
    <w:name w:val="样式 标题 2 + 段前: 0.3 行"/>
    <w:basedOn w:val="4"/>
    <w:next w:val="1"/>
    <w:qFormat/>
    <w:uiPriority w:val="0"/>
    <w:pPr>
      <w:widowControl/>
      <w:numPr>
        <w:ilvl w:val="0"/>
        <w:numId w:val="0"/>
      </w:numPr>
      <w:tabs>
        <w:tab w:val="clear" w:pos="480"/>
        <w:tab w:val="clear" w:pos="630"/>
      </w:tabs>
      <w:adjustRightInd w:val="0"/>
      <w:spacing w:beforeLines="10" w:afterLines="10"/>
    </w:pPr>
    <w:rPr>
      <w:rFonts w:ascii="Arial Unicode MS" w:hAnsi="Arial Unicode MS"/>
      <w:b w:val="0"/>
      <w:color w:val="3366FF"/>
      <w:sz w:val="28"/>
      <w:szCs w:val="20"/>
    </w:rPr>
  </w:style>
  <w:style w:type="paragraph" w:customStyle="1" w:styleId="1263">
    <w:name w:val="招标标题"/>
    <w:basedOn w:val="1"/>
    <w:next w:val="1"/>
    <w:qFormat/>
    <w:uiPriority w:val="0"/>
    <w:pPr>
      <w:tabs>
        <w:tab w:val="clear" w:pos="480"/>
      </w:tabs>
      <w:spacing w:line="460" w:lineRule="exact"/>
      <w:jc w:val="center"/>
    </w:pPr>
    <w:rPr>
      <w:spacing w:val="1"/>
      <w:kern w:val="0"/>
      <w:szCs w:val="20"/>
    </w:rPr>
  </w:style>
  <w:style w:type="paragraph" w:customStyle="1" w:styleId="1264">
    <w:name w:val="篇号及标题"/>
    <w:qFormat/>
    <w:uiPriority w:val="0"/>
    <w:pPr>
      <w:spacing w:line="360" w:lineRule="auto"/>
      <w:ind w:firstLine="200" w:firstLineChars="200"/>
      <w:jc w:val="center"/>
    </w:pPr>
    <w:rPr>
      <w:rFonts w:ascii="宋体" w:hAnsi="Times New Roman" w:eastAsia="宋体" w:cs="Times New Roman"/>
      <w:kern w:val="2"/>
      <w:sz w:val="44"/>
      <w:szCs w:val="24"/>
      <w:lang w:val="en-US" w:eastAsia="zh-CN" w:bidi="ar-SA"/>
    </w:rPr>
  </w:style>
  <w:style w:type="paragraph" w:customStyle="1" w:styleId="1265">
    <w:name w:val="目次 附件名"/>
    <w:basedOn w:val="59"/>
    <w:qFormat/>
    <w:uiPriority w:val="0"/>
    <w:pPr>
      <w:tabs>
        <w:tab w:val="left" w:pos="360"/>
        <w:tab w:val="right" w:leader="dot" w:pos="9072"/>
      </w:tabs>
      <w:adjustRightInd w:val="0"/>
      <w:snapToGrid w:val="0"/>
    </w:pPr>
    <w:rPr>
      <w:rFonts w:ascii="宋体"/>
      <w:bCs w:val="0"/>
    </w:rPr>
  </w:style>
  <w:style w:type="paragraph" w:customStyle="1" w:styleId="1266">
    <w:name w:val="页眉，无横线"/>
    <w:basedOn w:val="57"/>
    <w:qFormat/>
    <w:uiPriority w:val="0"/>
    <w:pPr>
      <w:pBdr>
        <w:bottom w:val="none" w:color="auto" w:sz="0" w:space="0"/>
      </w:pBdr>
      <w:tabs>
        <w:tab w:val="clear" w:pos="480"/>
      </w:tabs>
      <w:adjustRightInd w:val="0"/>
      <w:spacing w:line="240" w:lineRule="auto"/>
      <w:ind w:firstLine="567"/>
      <w:jc w:val="both"/>
    </w:pPr>
    <w:rPr>
      <w:rFonts w:ascii="宋体" w:hAnsi="Calibri"/>
      <w:kern w:val="0"/>
      <w:szCs w:val="20"/>
    </w:rPr>
  </w:style>
  <w:style w:type="paragraph" w:customStyle="1" w:styleId="1267">
    <w:name w:val="编制人员情况"/>
    <w:basedOn w:val="1"/>
    <w:semiHidden/>
    <w:qFormat/>
    <w:uiPriority w:val="0"/>
    <w:pPr>
      <w:tabs>
        <w:tab w:val="left" w:pos="600"/>
        <w:tab w:val="left" w:pos="3700"/>
        <w:tab w:val="left" w:pos="6900"/>
        <w:tab w:val="clear" w:pos="480"/>
      </w:tabs>
      <w:adjustRightInd w:val="0"/>
      <w:snapToGrid w:val="0"/>
      <w:spacing w:after="120"/>
      <w:ind w:left="420" w:firstLine="180"/>
    </w:pPr>
    <w:rPr>
      <w:rFonts w:ascii="宋体" w:cs="宋体"/>
      <w:sz w:val="32"/>
      <w:szCs w:val="20"/>
    </w:rPr>
  </w:style>
  <w:style w:type="paragraph" w:customStyle="1" w:styleId="1268">
    <w:name w:val="附件标题"/>
    <w:qFormat/>
    <w:uiPriority w:val="0"/>
    <w:pPr>
      <w:spacing w:line="360" w:lineRule="auto"/>
      <w:ind w:firstLine="200" w:firstLineChars="200"/>
      <w:jc w:val="center"/>
    </w:pPr>
    <w:rPr>
      <w:rFonts w:ascii="宋体" w:hAnsi="Times New Roman" w:eastAsia="黑体" w:cs="Times New Roman"/>
      <w:kern w:val="2"/>
      <w:sz w:val="24"/>
      <w:szCs w:val="24"/>
      <w:lang w:val="en-US" w:eastAsia="zh-CN" w:bidi="ar-SA"/>
    </w:rPr>
  </w:style>
  <w:style w:type="paragraph" w:customStyle="1" w:styleId="1269">
    <w:name w:val="样式 标题 3 + (西文) 宋体 (中文) 宋体"/>
    <w:basedOn w:val="5"/>
    <w:qFormat/>
    <w:uiPriority w:val="0"/>
    <w:pPr>
      <w:numPr>
        <w:numId w:val="0"/>
      </w:numPr>
      <w:tabs>
        <w:tab w:val="left" w:pos="720"/>
        <w:tab w:val="left" w:pos="1000"/>
        <w:tab w:val="clear" w:pos="480"/>
        <w:tab w:val="clear" w:pos="840"/>
      </w:tabs>
      <w:adjustRightInd w:val="0"/>
      <w:snapToGrid w:val="0"/>
      <w:spacing w:before="0" w:after="0" w:line="360" w:lineRule="auto"/>
      <w:ind w:left="720" w:hanging="720"/>
    </w:pPr>
    <w:rPr>
      <w:rFonts w:ascii="黑体" w:hAnsi="宋体" w:eastAsia="黑体"/>
      <w:b w:val="0"/>
      <w:bCs w:val="0"/>
      <w:sz w:val="24"/>
      <w:szCs w:val="24"/>
    </w:rPr>
  </w:style>
  <w:style w:type="paragraph" w:customStyle="1" w:styleId="1270">
    <w:name w:val="Char Char Char1 Char Char Char Char"/>
    <w:basedOn w:val="1"/>
    <w:semiHidden/>
    <w:qFormat/>
    <w:uiPriority w:val="0"/>
    <w:pPr>
      <w:tabs>
        <w:tab w:val="clear" w:pos="480"/>
      </w:tabs>
      <w:spacing w:line="240" w:lineRule="auto"/>
    </w:pPr>
    <w:rPr>
      <w:sz w:val="21"/>
    </w:rPr>
  </w:style>
  <w:style w:type="paragraph" w:customStyle="1" w:styleId="1271">
    <w:name w:val="标题11"/>
    <w:basedOn w:val="3"/>
    <w:semiHidden/>
    <w:qFormat/>
    <w:uiPriority w:val="0"/>
    <w:pPr>
      <w:numPr>
        <w:numId w:val="0"/>
      </w:numPr>
      <w:tabs>
        <w:tab w:val="right" w:leader="middleDot" w:pos="8190"/>
        <w:tab w:val="clear" w:pos="480"/>
      </w:tabs>
      <w:adjustRightInd w:val="0"/>
      <w:snapToGrid w:val="0"/>
      <w:spacing w:beforeLines="50" w:afterLines="50"/>
      <w:ind w:left="-3" w:leftChars="-3" w:hanging="6" w:hangingChars="2"/>
    </w:pPr>
    <w:rPr>
      <w:rFonts w:ascii="宋体" w:hAnsi="宋体" w:eastAsia="宋体"/>
      <w:bCs w:val="0"/>
      <w:kern w:val="2"/>
      <w:sz w:val="28"/>
      <w:szCs w:val="28"/>
    </w:rPr>
  </w:style>
  <w:style w:type="paragraph" w:customStyle="1" w:styleId="1272">
    <w:name w:val="标题33"/>
    <w:basedOn w:val="5"/>
    <w:semiHidden/>
    <w:qFormat/>
    <w:uiPriority w:val="0"/>
    <w:pPr>
      <w:numPr>
        <w:ilvl w:val="0"/>
        <w:numId w:val="0"/>
      </w:numPr>
      <w:tabs>
        <w:tab w:val="clear" w:pos="480"/>
        <w:tab w:val="clear" w:pos="840"/>
      </w:tabs>
      <w:adjustRightInd w:val="0"/>
      <w:snapToGrid w:val="0"/>
      <w:spacing w:before="0" w:after="0" w:line="360" w:lineRule="auto"/>
    </w:pPr>
    <w:rPr>
      <w:rFonts w:ascii="Arial" w:hAnsi="Arial" w:eastAsia="黑体"/>
      <w:b w:val="0"/>
      <w:bCs w:val="0"/>
      <w:sz w:val="28"/>
      <w:szCs w:val="20"/>
    </w:rPr>
  </w:style>
  <w:style w:type="paragraph" w:customStyle="1" w:styleId="1273">
    <w:name w:val="标题44"/>
    <w:basedOn w:val="6"/>
    <w:semiHidden/>
    <w:qFormat/>
    <w:uiPriority w:val="0"/>
    <w:pPr>
      <w:numPr>
        <w:ilvl w:val="0"/>
        <w:numId w:val="0"/>
      </w:numPr>
      <w:tabs>
        <w:tab w:val="left" w:pos="564"/>
        <w:tab w:val="clear" w:pos="480"/>
      </w:tabs>
      <w:spacing w:beforeLines="35" w:afterLines="25" w:line="240" w:lineRule="auto"/>
      <w:ind w:left="564" w:hanging="564"/>
    </w:pPr>
    <w:rPr>
      <w:rFonts w:ascii="Times New Roman" w:hAnsi="Times New Roman" w:eastAsia="宋体"/>
      <w:bCs w:val="0"/>
      <w:kern w:val="0"/>
      <w:sz w:val="24"/>
      <w:szCs w:val="20"/>
    </w:rPr>
  </w:style>
  <w:style w:type="paragraph" w:customStyle="1" w:styleId="1274">
    <w:name w:val="标题22"/>
    <w:basedOn w:val="4"/>
    <w:semiHidden/>
    <w:qFormat/>
    <w:uiPriority w:val="0"/>
    <w:pPr>
      <w:numPr>
        <w:ilvl w:val="0"/>
        <w:numId w:val="0"/>
      </w:numPr>
      <w:tabs>
        <w:tab w:val="clear" w:pos="480"/>
        <w:tab w:val="clear" w:pos="630"/>
      </w:tabs>
      <w:adjustRightInd w:val="0"/>
      <w:snapToGrid w:val="0"/>
      <w:spacing w:before="0" w:after="0"/>
      <w:ind w:firstLine="538" w:firstLineChars="192"/>
    </w:pPr>
    <w:rPr>
      <w:rFonts w:ascii="宋体" w:hAnsi="宋体"/>
      <w:bCs w:val="0"/>
      <w:color w:val="000000"/>
      <w:sz w:val="28"/>
      <w:szCs w:val="20"/>
    </w:rPr>
  </w:style>
  <w:style w:type="paragraph" w:customStyle="1" w:styleId="1275">
    <w:name w:val="图正文"/>
    <w:basedOn w:val="1"/>
    <w:qFormat/>
    <w:uiPriority w:val="0"/>
    <w:pPr>
      <w:tabs>
        <w:tab w:val="clear" w:pos="480"/>
      </w:tabs>
      <w:spacing w:line="300" w:lineRule="auto"/>
      <w:jc w:val="center"/>
    </w:pPr>
    <w:rPr>
      <w:rFonts w:ascii="宋体" w:hAnsi="宋体"/>
    </w:rPr>
  </w:style>
  <w:style w:type="paragraph" w:customStyle="1" w:styleId="1276">
    <w:name w:val="表头-五级标题"/>
    <w:basedOn w:val="1"/>
    <w:qFormat/>
    <w:uiPriority w:val="0"/>
    <w:pPr>
      <w:tabs>
        <w:tab w:val="clear" w:pos="480"/>
      </w:tabs>
      <w:snapToGrid w:val="0"/>
      <w:spacing w:beforeLines="50" w:line="300" w:lineRule="auto"/>
      <w:jc w:val="center"/>
      <w:outlineLvl w:val="4"/>
    </w:pPr>
    <w:rPr>
      <w:rFonts w:ascii="宋体" w:hAnsi="宋体"/>
    </w:rPr>
  </w:style>
  <w:style w:type="character" w:customStyle="1" w:styleId="1277">
    <w:name w:val="图表名 Char"/>
    <w:qFormat/>
    <w:uiPriority w:val="0"/>
    <w:rPr>
      <w:rFonts w:ascii="宋体" w:hAnsi="宋体" w:eastAsia="黑体" w:cs="宋体"/>
      <w:bCs/>
      <w:color w:val="000000"/>
      <w:kern w:val="2"/>
      <w:sz w:val="24"/>
      <w:lang w:val="zh-CN" w:eastAsia="zh-CN" w:bidi="ar-SA"/>
    </w:rPr>
  </w:style>
  <w:style w:type="paragraph" w:customStyle="1" w:styleId="1278">
    <w:name w:val="样式 样式 主标 + 段前: 1 行 段后: 1 行 + 首行缩进:  2 字符 段前: 1 行 段后: 1 行"/>
    <w:basedOn w:val="1"/>
    <w:qFormat/>
    <w:uiPriority w:val="0"/>
    <w:pPr>
      <w:tabs>
        <w:tab w:val="clear" w:pos="480"/>
      </w:tabs>
      <w:adjustRightInd w:val="0"/>
      <w:snapToGrid w:val="0"/>
      <w:spacing w:beforeLines="100" w:afterLines="100" w:line="300" w:lineRule="auto"/>
      <w:outlineLvl w:val="0"/>
    </w:pPr>
    <w:rPr>
      <w:rFonts w:ascii="黑体" w:eastAsia="黑体"/>
      <w:iCs/>
      <w:sz w:val="28"/>
      <w:szCs w:val="20"/>
    </w:rPr>
  </w:style>
  <w:style w:type="paragraph" w:customStyle="1" w:styleId="1279">
    <w:name w:val="样式 样式 报告标 + 段前: 1 行 段后: 1 行1 + 段前: 1 行 段后: 1 行"/>
    <w:basedOn w:val="1"/>
    <w:qFormat/>
    <w:uiPriority w:val="0"/>
    <w:pPr>
      <w:tabs>
        <w:tab w:val="clear" w:pos="480"/>
      </w:tabs>
      <w:adjustRightInd w:val="0"/>
      <w:snapToGrid w:val="0"/>
      <w:spacing w:beforeLines="100" w:afterLines="100" w:line="300" w:lineRule="auto"/>
      <w:outlineLvl w:val="0"/>
    </w:pPr>
    <w:rPr>
      <w:rFonts w:ascii="黑体" w:eastAsia="黑体"/>
      <w:bCs/>
      <w:iCs/>
      <w:snapToGrid w:val="0"/>
      <w:sz w:val="28"/>
      <w:szCs w:val="28"/>
    </w:rPr>
  </w:style>
  <w:style w:type="paragraph" w:customStyle="1" w:styleId="1280">
    <w:name w:val="样式 宋体 四号 首行缩进:  0.99 厘米 行距: 多倍行距 1.25 字行"/>
    <w:basedOn w:val="1"/>
    <w:qFormat/>
    <w:uiPriority w:val="0"/>
    <w:pPr>
      <w:tabs>
        <w:tab w:val="clear" w:pos="480"/>
      </w:tabs>
      <w:adjustRightInd w:val="0"/>
      <w:snapToGrid w:val="0"/>
      <w:spacing w:line="300" w:lineRule="auto"/>
      <w:ind w:firstLine="561"/>
    </w:pPr>
    <w:rPr>
      <w:rFonts w:hAnsi="宋体"/>
      <w:iCs/>
      <w:sz w:val="28"/>
      <w:szCs w:val="28"/>
    </w:rPr>
  </w:style>
  <w:style w:type="paragraph" w:customStyle="1" w:styleId="1281">
    <w:name w:val="样式 报告标 + 段前: 1 行 段后: 1 行1"/>
    <w:basedOn w:val="1"/>
    <w:qFormat/>
    <w:uiPriority w:val="0"/>
    <w:pPr>
      <w:tabs>
        <w:tab w:val="clear" w:pos="480"/>
      </w:tabs>
      <w:adjustRightInd w:val="0"/>
      <w:snapToGrid w:val="0"/>
      <w:spacing w:beforeLines="100" w:afterLines="100" w:line="300" w:lineRule="auto"/>
    </w:pPr>
    <w:rPr>
      <w:rFonts w:eastAsia="黑体"/>
      <w:b/>
      <w:iCs/>
      <w:sz w:val="28"/>
      <w:szCs w:val="28"/>
    </w:rPr>
  </w:style>
  <w:style w:type="paragraph" w:customStyle="1" w:styleId="1282">
    <w:name w:val="样式 样式 左 首行缩进:  2 字符 行距: 多倍行距 1.15 字行 + 首行缩进:  2 字符"/>
    <w:basedOn w:val="1283"/>
    <w:qFormat/>
    <w:uiPriority w:val="0"/>
    <w:pPr>
      <w:snapToGrid/>
    </w:pPr>
  </w:style>
  <w:style w:type="paragraph" w:customStyle="1" w:styleId="1283">
    <w:name w:val="样式 左 首行缩进:  2 字符 行距: 多倍行距 1.15 字行"/>
    <w:basedOn w:val="1"/>
    <w:qFormat/>
    <w:uiPriority w:val="0"/>
    <w:pPr>
      <w:tabs>
        <w:tab w:val="clear" w:pos="480"/>
      </w:tabs>
      <w:adjustRightInd w:val="0"/>
      <w:snapToGrid w:val="0"/>
      <w:spacing w:line="300" w:lineRule="auto"/>
      <w:jc w:val="left"/>
    </w:pPr>
    <w:rPr>
      <w:iCs/>
      <w:sz w:val="28"/>
      <w:szCs w:val="20"/>
    </w:rPr>
  </w:style>
  <w:style w:type="paragraph" w:customStyle="1" w:styleId="1284">
    <w:name w:val="目录11"/>
    <w:basedOn w:val="3"/>
    <w:qFormat/>
    <w:uiPriority w:val="0"/>
    <w:pPr>
      <w:numPr>
        <w:numId w:val="0"/>
      </w:numPr>
      <w:tabs>
        <w:tab w:val="clear" w:pos="480"/>
      </w:tabs>
      <w:adjustRightInd w:val="0"/>
      <w:snapToGrid w:val="0"/>
      <w:spacing w:beforeLines="50" w:afterLines="50" w:line="300" w:lineRule="auto"/>
      <w:outlineLvl w:val="9"/>
    </w:pPr>
    <w:rPr>
      <w:rFonts w:ascii="黑体" w:hAnsi="黑体" w:eastAsia="宋体"/>
      <w:bCs w:val="0"/>
      <w:sz w:val="28"/>
      <w:szCs w:val="28"/>
    </w:rPr>
  </w:style>
  <w:style w:type="paragraph" w:customStyle="1" w:styleId="1285">
    <w:name w:val="图名-六级标题"/>
    <w:basedOn w:val="1"/>
    <w:qFormat/>
    <w:uiPriority w:val="0"/>
    <w:pPr>
      <w:tabs>
        <w:tab w:val="clear" w:pos="480"/>
      </w:tabs>
      <w:snapToGrid w:val="0"/>
      <w:spacing w:beforeLines="50" w:line="300" w:lineRule="auto"/>
      <w:jc w:val="center"/>
      <w:outlineLvl w:val="5"/>
    </w:pPr>
    <w:rPr>
      <w:rFonts w:eastAsia="黑体"/>
      <w:iCs/>
    </w:rPr>
  </w:style>
  <w:style w:type="paragraph" w:customStyle="1" w:styleId="1286">
    <w:name w:val="样式 目录 3 + 首行缩进:  2 字符"/>
    <w:basedOn w:val="44"/>
    <w:qFormat/>
    <w:uiPriority w:val="0"/>
    <w:pPr>
      <w:tabs>
        <w:tab w:val="right" w:leader="dot" w:pos="9060"/>
      </w:tabs>
      <w:spacing w:line="240" w:lineRule="auto"/>
      <w:ind w:left="420" w:firstLine="400"/>
    </w:pPr>
    <w:rPr>
      <w:iCs w:val="0"/>
      <w:sz w:val="28"/>
      <w:szCs w:val="28"/>
    </w:rPr>
  </w:style>
  <w:style w:type="paragraph" w:customStyle="1" w:styleId="1287">
    <w:name w:val="样式 目录 3 + 首行缩进:  2 字符1"/>
    <w:basedOn w:val="44"/>
    <w:qFormat/>
    <w:uiPriority w:val="0"/>
    <w:pPr>
      <w:tabs>
        <w:tab w:val="right" w:leader="dot" w:pos="9060"/>
      </w:tabs>
      <w:spacing w:line="240" w:lineRule="auto"/>
      <w:ind w:left="561"/>
    </w:pPr>
    <w:rPr>
      <w:iCs w:val="0"/>
      <w:sz w:val="28"/>
      <w:szCs w:val="28"/>
    </w:rPr>
  </w:style>
  <w:style w:type="paragraph" w:customStyle="1" w:styleId="1288">
    <w:name w:val="样式 目录 3 + 首行缩进:  2 字符2"/>
    <w:basedOn w:val="44"/>
    <w:qFormat/>
    <w:uiPriority w:val="0"/>
    <w:pPr>
      <w:tabs>
        <w:tab w:val="right" w:leader="dot" w:pos="9060"/>
      </w:tabs>
      <w:spacing w:line="240" w:lineRule="auto"/>
      <w:ind w:left="561"/>
    </w:pPr>
    <w:rPr>
      <w:iCs w:val="0"/>
      <w:sz w:val="28"/>
      <w:szCs w:val="28"/>
    </w:rPr>
  </w:style>
  <w:style w:type="paragraph" w:customStyle="1" w:styleId="1289">
    <w:name w:val="图内容"/>
    <w:qFormat/>
    <w:uiPriority w:val="0"/>
    <w:pPr>
      <w:widowControl w:val="0"/>
      <w:adjustRightInd w:val="0"/>
      <w:spacing w:line="360" w:lineRule="auto"/>
      <w:ind w:firstLine="200" w:firstLineChars="200"/>
      <w:jc w:val="center"/>
      <w:textAlignment w:val="baseline"/>
    </w:pPr>
    <w:rPr>
      <w:rFonts w:ascii="Times New Roman" w:hAnsi="Times New Roman" w:eastAsia="仿宋体" w:cs="Times New Roman"/>
      <w:kern w:val="2"/>
      <w:sz w:val="24"/>
      <w:szCs w:val="24"/>
      <w:lang w:val="en-US" w:eastAsia="zh-CN" w:bidi="ar-SA"/>
    </w:rPr>
  </w:style>
  <w:style w:type="character" w:customStyle="1" w:styleId="1290">
    <w:name w:val="个人答复风格"/>
    <w:qFormat/>
    <w:uiPriority w:val="0"/>
    <w:rPr>
      <w:rFonts w:ascii="Arial" w:hAnsi="Arial" w:eastAsia="宋体" w:cs="Arial"/>
      <w:color w:val="auto"/>
      <w:sz w:val="20"/>
    </w:rPr>
  </w:style>
  <w:style w:type="paragraph" w:customStyle="1" w:styleId="1291">
    <w:name w:val="表中字"/>
    <w:basedOn w:val="1"/>
    <w:semiHidden/>
    <w:qFormat/>
    <w:uiPriority w:val="0"/>
    <w:pPr>
      <w:tabs>
        <w:tab w:val="left" w:pos="5375"/>
        <w:tab w:val="clear" w:pos="480"/>
      </w:tabs>
      <w:spacing w:line="240" w:lineRule="atLeast"/>
      <w:jc w:val="center"/>
    </w:pPr>
    <w:rPr>
      <w:rFonts w:ascii="宋体" w:hAnsi="宋体"/>
      <w:color w:val="000000"/>
    </w:rPr>
  </w:style>
  <w:style w:type="character" w:customStyle="1" w:styleId="1292">
    <w:name w:val="表头 Char1"/>
    <w:link w:val="163"/>
    <w:qFormat/>
    <w:uiPriority w:val="0"/>
    <w:rPr>
      <w:bCs/>
      <w:snapToGrid w:val="0"/>
      <w:color w:val="000000"/>
      <w:kern w:val="2"/>
      <w:sz w:val="21"/>
      <w:szCs w:val="21"/>
      <w:lang w:val="en-US" w:eastAsia="zh-CN" w:bidi="ar-SA"/>
    </w:rPr>
  </w:style>
  <w:style w:type="paragraph" w:customStyle="1" w:styleId="1293">
    <w:name w:val="表中字左"/>
    <w:basedOn w:val="1291"/>
    <w:semiHidden/>
    <w:qFormat/>
    <w:uiPriority w:val="0"/>
    <w:pPr>
      <w:jc w:val="left"/>
    </w:pPr>
  </w:style>
  <w:style w:type="paragraph" w:customStyle="1" w:styleId="1294">
    <w:name w:val="王东军"/>
    <w:basedOn w:val="1"/>
    <w:link w:val="1295"/>
    <w:qFormat/>
    <w:uiPriority w:val="0"/>
    <w:pPr>
      <w:tabs>
        <w:tab w:val="left" w:pos="3000"/>
        <w:tab w:val="left" w:pos="3420"/>
        <w:tab w:val="left" w:pos="4320"/>
        <w:tab w:val="left" w:pos="6660"/>
        <w:tab w:val="clear" w:pos="480"/>
      </w:tabs>
      <w:spacing w:line="500" w:lineRule="exact"/>
      <w:ind w:firstLine="560"/>
      <w:jc w:val="left"/>
    </w:pPr>
    <w:rPr>
      <w:rFonts w:ascii="宋体"/>
      <w:snapToGrid w:val="0"/>
      <w:color w:val="000000"/>
      <w:kern w:val="0"/>
      <w:sz w:val="28"/>
      <w:szCs w:val="28"/>
      <w:lang w:val="zh-CN"/>
    </w:rPr>
  </w:style>
  <w:style w:type="character" w:customStyle="1" w:styleId="1295">
    <w:name w:val="王东军 Char"/>
    <w:link w:val="1294"/>
    <w:qFormat/>
    <w:uiPriority w:val="0"/>
    <w:rPr>
      <w:rFonts w:ascii="宋体" w:eastAsia="宋体"/>
      <w:snapToGrid w:val="0"/>
      <w:color w:val="000000"/>
      <w:sz w:val="28"/>
      <w:szCs w:val="28"/>
      <w:lang w:bidi="ar-SA"/>
    </w:rPr>
  </w:style>
  <w:style w:type="paragraph" w:customStyle="1" w:styleId="1296">
    <w:name w:val="标题3新新"/>
    <w:basedOn w:val="5"/>
    <w:link w:val="1297"/>
    <w:semiHidden/>
    <w:qFormat/>
    <w:uiPriority w:val="0"/>
    <w:pPr>
      <w:numPr>
        <w:ilvl w:val="0"/>
        <w:numId w:val="0"/>
      </w:numPr>
      <w:tabs>
        <w:tab w:val="clear" w:pos="480"/>
        <w:tab w:val="clear" w:pos="840"/>
      </w:tabs>
      <w:spacing w:before="0" w:after="0" w:line="500" w:lineRule="exact"/>
      <w:jc w:val="left"/>
    </w:pPr>
    <w:rPr>
      <w:rFonts w:ascii="宋体" w:hAnsi="宋体" w:eastAsia="宋体"/>
      <w:bCs w:val="0"/>
      <w:color w:val="000000"/>
      <w:kern w:val="0"/>
      <w:szCs w:val="20"/>
    </w:rPr>
  </w:style>
  <w:style w:type="character" w:customStyle="1" w:styleId="1297">
    <w:name w:val="标题3新新 Char"/>
    <w:link w:val="1296"/>
    <w:qFormat/>
    <w:uiPriority w:val="0"/>
    <w:rPr>
      <w:rFonts w:ascii="宋体" w:hAnsi="宋体" w:eastAsia="宋体"/>
      <w:b/>
      <w:color w:val="000000"/>
      <w:sz w:val="30"/>
      <w:lang w:bidi="ar-SA"/>
    </w:rPr>
  </w:style>
  <w:style w:type="character" w:customStyle="1" w:styleId="1298">
    <w:name w:val="fontcontent"/>
    <w:basedOn w:val="132"/>
    <w:semiHidden/>
    <w:qFormat/>
    <w:uiPriority w:val="0"/>
  </w:style>
  <w:style w:type="paragraph" w:customStyle="1" w:styleId="1299">
    <w:name w:val="正文小四"/>
    <w:basedOn w:val="1"/>
    <w:next w:val="1"/>
    <w:link w:val="2288"/>
    <w:semiHidden/>
    <w:qFormat/>
    <w:uiPriority w:val="0"/>
    <w:pPr>
      <w:tabs>
        <w:tab w:val="clear" w:pos="480"/>
      </w:tabs>
      <w:adjustRightInd w:val="0"/>
      <w:snapToGrid w:val="0"/>
      <w:ind w:firstLine="560"/>
    </w:pPr>
    <w:rPr>
      <w:rFonts w:ascii="宋体" w:hAnsi="宋体"/>
      <w:szCs w:val="28"/>
    </w:rPr>
  </w:style>
  <w:style w:type="character" w:customStyle="1" w:styleId="1300">
    <w:name w:val="表标题  Char"/>
    <w:link w:val="741"/>
    <w:qFormat/>
    <w:uiPriority w:val="0"/>
    <w:rPr>
      <w:rFonts w:eastAsia="宋体"/>
      <w:b/>
      <w:spacing w:val="2"/>
      <w:sz w:val="28"/>
      <w:lang w:val="en-US" w:eastAsia="zh-CN" w:bidi="ar-SA"/>
    </w:rPr>
  </w:style>
  <w:style w:type="character" w:customStyle="1" w:styleId="1301">
    <w:name w:val="电镀正文 Char"/>
    <w:link w:val="440"/>
    <w:qFormat/>
    <w:uiPriority w:val="0"/>
    <w:rPr>
      <w:rFonts w:eastAsia="宋体"/>
      <w:kern w:val="2"/>
      <w:sz w:val="24"/>
      <w:szCs w:val="24"/>
      <w:lang w:val="en-US" w:eastAsia="zh-CN" w:bidi="ar-SA"/>
    </w:rPr>
  </w:style>
  <w:style w:type="character" w:customStyle="1" w:styleId="1302">
    <w:name w:val="电镀表 Char"/>
    <w:link w:val="723"/>
    <w:qFormat/>
    <w:uiPriority w:val="0"/>
    <w:rPr>
      <w:rFonts w:eastAsia="宋体"/>
      <w:sz w:val="21"/>
      <w:szCs w:val="21"/>
      <w:lang w:val="en-US" w:eastAsia="zh-CN" w:bidi="ar-SA"/>
    </w:rPr>
  </w:style>
  <w:style w:type="paragraph" w:customStyle="1" w:styleId="1303">
    <w:name w:val="文本框文字"/>
    <w:qFormat/>
    <w:uiPriority w:val="0"/>
    <w:pPr>
      <w:spacing w:line="360" w:lineRule="auto"/>
      <w:ind w:firstLine="200" w:firstLineChars="200"/>
      <w:jc w:val="center"/>
    </w:pPr>
    <w:rPr>
      <w:rFonts w:ascii="Times New Roman" w:hAnsi="Times New Roman" w:eastAsia="宋体" w:cs="Times New Roman"/>
      <w:kern w:val="2"/>
      <w:sz w:val="24"/>
      <w:szCs w:val="24"/>
      <w:lang w:val="en-US" w:eastAsia="zh-CN" w:bidi="ar-SA"/>
    </w:rPr>
  </w:style>
  <w:style w:type="paragraph" w:customStyle="1" w:styleId="1304">
    <w:name w:val="封面文字"/>
    <w:qFormat/>
    <w:uiPriority w:val="0"/>
    <w:pPr>
      <w:spacing w:line="360" w:lineRule="auto"/>
      <w:ind w:firstLine="200" w:firstLineChars="200"/>
      <w:jc w:val="both"/>
    </w:pPr>
    <w:rPr>
      <w:rFonts w:ascii="Times New Roman" w:hAnsi="Times New Roman" w:eastAsia="宋体" w:cs="Times New Roman"/>
      <w:kern w:val="2"/>
      <w:sz w:val="28"/>
      <w:szCs w:val="24"/>
      <w:lang w:val="en-US" w:eastAsia="zh-CN" w:bidi="ar-SA"/>
    </w:rPr>
  </w:style>
  <w:style w:type="paragraph" w:customStyle="1" w:styleId="1305">
    <w:name w:val="正文标题"/>
    <w:basedOn w:val="1"/>
    <w:link w:val="2706"/>
    <w:qFormat/>
    <w:uiPriority w:val="0"/>
    <w:pPr>
      <w:tabs>
        <w:tab w:val="clear" w:pos="480"/>
      </w:tabs>
      <w:spacing w:line="324" w:lineRule="auto"/>
      <w:jc w:val="center"/>
    </w:pPr>
    <w:rPr>
      <w:rFonts w:ascii="华文楷体" w:hAnsi="华文楷体" w:eastAsia="华文楷体"/>
      <w:b/>
      <w:color w:val="000000"/>
      <w:kern w:val="0"/>
      <w:sz w:val="36"/>
      <w:szCs w:val="36"/>
      <w:u w:color="000000"/>
    </w:rPr>
  </w:style>
  <w:style w:type="paragraph" w:customStyle="1" w:styleId="1306">
    <w:name w:val="qptext"/>
    <w:basedOn w:val="1"/>
    <w:semiHidden/>
    <w:qFormat/>
    <w:uiPriority w:val="0"/>
    <w:pPr>
      <w:tabs>
        <w:tab w:val="left" w:pos="0"/>
        <w:tab w:val="clear" w:pos="480"/>
      </w:tabs>
      <w:adjustRightInd w:val="0"/>
      <w:spacing w:line="400" w:lineRule="atLeast"/>
      <w:textAlignment w:val="baseline"/>
    </w:pPr>
    <w:rPr>
      <w:spacing w:val="6"/>
      <w:kern w:val="0"/>
      <w:szCs w:val="20"/>
    </w:rPr>
  </w:style>
  <w:style w:type="paragraph" w:customStyle="1" w:styleId="1307">
    <w:name w:val="正文并立"/>
    <w:basedOn w:val="1"/>
    <w:qFormat/>
    <w:uiPriority w:val="0"/>
    <w:pPr>
      <w:tabs>
        <w:tab w:val="clear" w:pos="480"/>
      </w:tabs>
      <w:adjustRightInd w:val="0"/>
      <w:spacing w:line="408" w:lineRule="atLeast"/>
      <w:ind w:firstLine="601"/>
      <w:textAlignment w:val="baseline"/>
    </w:pPr>
    <w:rPr>
      <w:kern w:val="0"/>
      <w:sz w:val="28"/>
      <w:szCs w:val="20"/>
    </w:rPr>
  </w:style>
  <w:style w:type="character" w:customStyle="1" w:styleId="1308">
    <w:name w:val="海南化工城正文 Char"/>
    <w:link w:val="784"/>
    <w:qFormat/>
    <w:uiPriority w:val="0"/>
    <w:rPr>
      <w:rFonts w:ascii="宋体" w:hAnsi="宋体"/>
      <w:sz w:val="24"/>
      <w:lang w:val="zh-CN"/>
    </w:rPr>
  </w:style>
  <w:style w:type="paragraph" w:customStyle="1" w:styleId="1309">
    <w:name w:val="东方化工城表"/>
    <w:basedOn w:val="1"/>
    <w:qFormat/>
    <w:uiPriority w:val="0"/>
    <w:pPr>
      <w:tabs>
        <w:tab w:val="left" w:pos="0"/>
        <w:tab w:val="clear" w:pos="480"/>
      </w:tabs>
      <w:adjustRightInd w:val="0"/>
      <w:snapToGrid w:val="0"/>
      <w:spacing w:line="0" w:lineRule="atLeast"/>
      <w:jc w:val="center"/>
      <w:textAlignment w:val="baseline"/>
    </w:pPr>
    <w:rPr>
      <w:kern w:val="0"/>
      <w:sz w:val="21"/>
      <w:szCs w:val="21"/>
    </w:rPr>
  </w:style>
  <w:style w:type="paragraph" w:customStyle="1" w:styleId="1310">
    <w:name w:val="化工城表"/>
    <w:basedOn w:val="1"/>
    <w:qFormat/>
    <w:uiPriority w:val="0"/>
    <w:pPr>
      <w:tabs>
        <w:tab w:val="clear" w:pos="480"/>
      </w:tabs>
      <w:autoSpaceDE w:val="0"/>
      <w:autoSpaceDN w:val="0"/>
      <w:adjustRightInd w:val="0"/>
      <w:spacing w:line="0" w:lineRule="atLeast"/>
      <w:jc w:val="center"/>
      <w:textAlignment w:val="center"/>
    </w:pPr>
    <w:rPr>
      <w:rFonts w:ascii="仿宋_GB2312" w:hAnsi="宋体" w:cs="Arial Unicode MS"/>
      <w:kern w:val="0"/>
      <w:sz w:val="21"/>
      <w:szCs w:val="20"/>
    </w:rPr>
  </w:style>
  <w:style w:type="character" w:customStyle="1" w:styleId="1311">
    <w:name w:val="c"/>
    <w:basedOn w:val="132"/>
    <w:semiHidden/>
    <w:qFormat/>
    <w:uiPriority w:val="0"/>
  </w:style>
  <w:style w:type="paragraph" w:customStyle="1" w:styleId="1312">
    <w:name w:val="Char Char1 Char Char"/>
    <w:basedOn w:val="1"/>
    <w:semiHidden/>
    <w:qFormat/>
    <w:uiPriority w:val="0"/>
    <w:pPr>
      <w:tabs>
        <w:tab w:val="clear" w:pos="480"/>
      </w:tabs>
      <w:spacing w:line="240" w:lineRule="auto"/>
    </w:pPr>
    <w:rPr>
      <w:sz w:val="21"/>
    </w:rPr>
  </w:style>
  <w:style w:type="paragraph" w:customStyle="1" w:styleId="1313">
    <w:name w:val="wtext"/>
    <w:basedOn w:val="1"/>
    <w:semiHidden/>
    <w:qFormat/>
    <w:uiPriority w:val="0"/>
    <w:pPr>
      <w:widowControl/>
      <w:tabs>
        <w:tab w:val="clear" w:pos="480"/>
      </w:tabs>
      <w:spacing w:before="100" w:beforeAutospacing="1" w:after="100" w:afterAutospacing="1" w:line="240" w:lineRule="auto"/>
      <w:ind w:firstLine="480"/>
      <w:jc w:val="left"/>
    </w:pPr>
    <w:rPr>
      <w:rFonts w:ascii="ˎ̥" w:hAnsi="ˎ̥" w:cs="宋体"/>
      <w:color w:val="000000"/>
      <w:kern w:val="0"/>
      <w:sz w:val="22"/>
      <w:szCs w:val="22"/>
    </w:rPr>
  </w:style>
  <w:style w:type="paragraph" w:customStyle="1" w:styleId="1314">
    <w:name w:val="Char Char Char Char Char Char Char Char Char Char Char"/>
    <w:basedOn w:val="1"/>
    <w:semiHidden/>
    <w:qFormat/>
    <w:uiPriority w:val="0"/>
    <w:pPr>
      <w:widowControl/>
      <w:tabs>
        <w:tab w:val="clear" w:pos="480"/>
      </w:tabs>
      <w:spacing w:after="160" w:line="240" w:lineRule="exact"/>
      <w:jc w:val="left"/>
    </w:pPr>
    <w:rPr>
      <w:rFonts w:ascii="Verdana" w:hAnsi="Verdana" w:eastAsia="仿宋_GB2312"/>
      <w:kern w:val="0"/>
      <w:szCs w:val="20"/>
      <w:lang w:eastAsia="en-US"/>
    </w:rPr>
  </w:style>
  <w:style w:type="paragraph" w:customStyle="1" w:styleId="1315">
    <w:name w:val="样式23"/>
    <w:basedOn w:val="175"/>
    <w:qFormat/>
    <w:uiPriority w:val="0"/>
    <w:pPr>
      <w:topLinePunct w:val="0"/>
      <w:autoSpaceDE/>
      <w:autoSpaceDN/>
      <w:spacing w:line="240" w:lineRule="atLeast"/>
    </w:pPr>
    <w:rPr>
      <w:rFonts w:ascii="CG Times (W1)" w:hAnsi="CG Times (W1)"/>
      <w:kern w:val="0"/>
      <w:sz w:val="20"/>
      <w:szCs w:val="21"/>
    </w:rPr>
  </w:style>
  <w:style w:type="paragraph" w:customStyle="1" w:styleId="1316">
    <w:name w:val="标题 1号"/>
    <w:basedOn w:val="3"/>
    <w:next w:val="3"/>
    <w:semiHidden/>
    <w:qFormat/>
    <w:uiPriority w:val="0"/>
    <w:pPr>
      <w:numPr>
        <w:numId w:val="0"/>
      </w:numPr>
      <w:tabs>
        <w:tab w:val="clear" w:pos="480"/>
      </w:tabs>
      <w:autoSpaceDE w:val="0"/>
      <w:autoSpaceDN w:val="0"/>
      <w:adjustRightInd w:val="0"/>
      <w:snapToGrid w:val="0"/>
      <w:spacing w:beforeLines="50" w:afterLines="50" w:line="578" w:lineRule="auto"/>
    </w:pPr>
    <w:rPr>
      <w:rFonts w:ascii="Times New Roman" w:eastAsia="宋体" w:cs="宋体"/>
      <w:sz w:val="44"/>
      <w:szCs w:val="20"/>
    </w:rPr>
  </w:style>
  <w:style w:type="paragraph" w:customStyle="1" w:styleId="1317">
    <w:name w:val="Char1 Char Char Char11"/>
    <w:basedOn w:val="1"/>
    <w:semiHidden/>
    <w:qFormat/>
    <w:uiPriority w:val="0"/>
    <w:pPr>
      <w:widowControl/>
      <w:tabs>
        <w:tab w:val="clear" w:pos="480"/>
      </w:tabs>
      <w:spacing w:after="160" w:line="240" w:lineRule="exact"/>
      <w:jc w:val="left"/>
    </w:pPr>
    <w:rPr>
      <w:rFonts w:ascii="Verdana" w:hAnsi="Verdana" w:eastAsia="仿宋_GB2312"/>
      <w:kern w:val="0"/>
      <w:szCs w:val="20"/>
      <w:lang w:eastAsia="en-US"/>
    </w:rPr>
  </w:style>
  <w:style w:type="character" w:customStyle="1" w:styleId="1318">
    <w:name w:val="ht1"/>
    <w:semiHidden/>
    <w:qFormat/>
    <w:uiPriority w:val="0"/>
    <w:rPr>
      <w:rFonts w:ascii="黑体" w:eastAsia="黑体"/>
      <w:b/>
      <w:bCs/>
    </w:rPr>
  </w:style>
  <w:style w:type="paragraph" w:customStyle="1" w:styleId="1319">
    <w:name w:val="默认段落字体 Para Char Char Char Char Char Char Char"/>
    <w:basedOn w:val="1"/>
    <w:qFormat/>
    <w:uiPriority w:val="0"/>
    <w:pPr>
      <w:tabs>
        <w:tab w:val="clear" w:pos="480"/>
      </w:tabs>
      <w:adjustRightInd w:val="0"/>
      <w:ind w:left="200" w:hanging="200" w:hangingChars="200"/>
      <w:textAlignment w:val="baseline"/>
    </w:pPr>
    <w:rPr>
      <w:kern w:val="0"/>
      <w:szCs w:val="20"/>
    </w:rPr>
  </w:style>
  <w:style w:type="paragraph" w:customStyle="1" w:styleId="1320">
    <w:name w:val="B标题"/>
    <w:basedOn w:val="1"/>
    <w:link w:val="1321"/>
    <w:semiHidden/>
    <w:qFormat/>
    <w:uiPriority w:val="0"/>
    <w:pPr>
      <w:tabs>
        <w:tab w:val="clear" w:pos="480"/>
      </w:tabs>
      <w:spacing w:line="240" w:lineRule="auto"/>
      <w:jc w:val="center"/>
    </w:pPr>
    <w:rPr>
      <w:rFonts w:ascii="黑体" w:hAnsi="宋体" w:eastAsia="黑体"/>
      <w:kern w:val="0"/>
      <w:lang w:val="zh-CN"/>
    </w:rPr>
  </w:style>
  <w:style w:type="character" w:customStyle="1" w:styleId="1321">
    <w:name w:val="B标题 Char"/>
    <w:link w:val="1320"/>
    <w:qFormat/>
    <w:uiPriority w:val="0"/>
    <w:rPr>
      <w:rFonts w:ascii="黑体" w:hAnsi="宋体" w:eastAsia="黑体"/>
      <w:sz w:val="24"/>
      <w:szCs w:val="24"/>
      <w:lang w:bidi="ar-SA"/>
    </w:rPr>
  </w:style>
  <w:style w:type="character" w:customStyle="1" w:styleId="1322">
    <w:name w:val="内容 Char"/>
    <w:link w:val="829"/>
    <w:semiHidden/>
    <w:qFormat/>
    <w:uiPriority w:val="0"/>
    <w:rPr>
      <w:rFonts w:ascii="Arial" w:hAnsi="Arial" w:eastAsia="宋体"/>
      <w:bCs/>
      <w:color w:val="000000"/>
      <w:sz w:val="24"/>
      <w:szCs w:val="24"/>
      <w:lang w:bidi="ar-SA"/>
    </w:rPr>
  </w:style>
  <w:style w:type="paragraph" w:customStyle="1" w:styleId="1323">
    <w:name w:val="Char1 Char Char Char1 Char Char Char"/>
    <w:basedOn w:val="1"/>
    <w:semiHidden/>
    <w:qFormat/>
    <w:uiPriority w:val="0"/>
    <w:pPr>
      <w:tabs>
        <w:tab w:val="clear" w:pos="480"/>
      </w:tabs>
    </w:pPr>
    <w:rPr>
      <w:rFonts w:ascii="宋体" w:hAnsi="宋体" w:cs="宋体"/>
    </w:rPr>
  </w:style>
  <w:style w:type="paragraph" w:customStyle="1" w:styleId="1324">
    <w:name w:val="新丰正文"/>
    <w:basedOn w:val="21"/>
    <w:qFormat/>
    <w:uiPriority w:val="0"/>
    <w:pPr>
      <w:tabs>
        <w:tab w:val="clear" w:pos="480"/>
      </w:tabs>
      <w:spacing w:line="324" w:lineRule="auto"/>
      <w:ind w:firstLine="200"/>
    </w:pPr>
    <w:rPr>
      <w:rFonts w:ascii="宋体" w:hAnsi="宋体"/>
      <w:kern w:val="0"/>
    </w:rPr>
  </w:style>
  <w:style w:type="character" w:customStyle="1" w:styleId="1325">
    <w:name w:val="正文1 Char"/>
    <w:link w:val="174"/>
    <w:qFormat/>
    <w:uiPriority w:val="0"/>
    <w:rPr>
      <w:rFonts w:eastAsia="楷体_GB2312"/>
      <w:kern w:val="2"/>
      <w:sz w:val="24"/>
      <w:lang w:val="en-US" w:eastAsia="zh-CN" w:bidi="ar-SA"/>
    </w:rPr>
  </w:style>
  <w:style w:type="paragraph" w:customStyle="1" w:styleId="1326">
    <w:name w:val="表格 33"/>
    <w:basedOn w:val="1"/>
    <w:semiHidden/>
    <w:qFormat/>
    <w:uiPriority w:val="0"/>
    <w:pPr>
      <w:tabs>
        <w:tab w:val="clear" w:pos="480"/>
      </w:tabs>
      <w:autoSpaceDE w:val="0"/>
      <w:autoSpaceDN w:val="0"/>
      <w:adjustRightInd w:val="0"/>
      <w:spacing w:line="240" w:lineRule="auto"/>
      <w:jc w:val="center"/>
      <w:textAlignment w:val="baseline"/>
    </w:pPr>
    <w:rPr>
      <w:rFonts w:eastAsia="楷体"/>
      <w:kern w:val="0"/>
      <w:sz w:val="21"/>
      <w:szCs w:val="20"/>
    </w:rPr>
  </w:style>
  <w:style w:type="paragraph" w:customStyle="1" w:styleId="1327">
    <w:name w:val="ST20_5"/>
    <w:semiHidden/>
    <w:qFormat/>
    <w:uiPriority w:val="0"/>
    <w:pPr>
      <w:widowControl w:val="0"/>
      <w:autoSpaceDE w:val="0"/>
      <w:autoSpaceDN w:val="0"/>
      <w:adjustRightInd w:val="0"/>
      <w:spacing w:line="360" w:lineRule="auto"/>
      <w:ind w:firstLine="200" w:firstLineChars="200"/>
      <w:jc w:val="both"/>
    </w:pPr>
    <w:rPr>
      <w:rFonts w:ascii="宋体" w:hAnsi="Tms Rmn" w:eastAsia="宋体" w:cs="Times New Roman"/>
      <w:kern w:val="2"/>
      <w:sz w:val="21"/>
      <w:szCs w:val="24"/>
      <w:lang w:val="en-US" w:eastAsia="zh-CN" w:bidi="ar-SA"/>
    </w:rPr>
  </w:style>
  <w:style w:type="paragraph" w:customStyle="1" w:styleId="1328">
    <w:name w:val="样式 正文文本缩进 + 宋体 五号 黑色 全部大写 居中 首行缩进:  0 厘米 段前: 0 磅 行距: 单倍行距"/>
    <w:basedOn w:val="35"/>
    <w:qFormat/>
    <w:uiPriority w:val="0"/>
    <w:pPr>
      <w:tabs>
        <w:tab w:val="clear" w:pos="480"/>
      </w:tabs>
      <w:adjustRightInd w:val="0"/>
      <w:spacing w:line="240" w:lineRule="auto"/>
      <w:ind w:firstLine="0" w:firstLineChars="0"/>
      <w:jc w:val="center"/>
      <w:textAlignment w:val="baseline"/>
    </w:pPr>
    <w:rPr>
      <w:rFonts w:ascii="宋体" w:hAnsi="宋体" w:cs="宋体"/>
      <w:color w:val="000000"/>
      <w:kern w:val="28"/>
      <w:sz w:val="21"/>
      <w:szCs w:val="21"/>
    </w:rPr>
  </w:style>
  <w:style w:type="paragraph" w:customStyle="1" w:styleId="1329">
    <w:name w:val="样式 正文缩进 + 居中 首行缩进:  0 厘米 段前: 0 磅 行距: 单倍行距"/>
    <w:basedOn w:val="21"/>
    <w:qFormat/>
    <w:uiPriority w:val="0"/>
    <w:pPr>
      <w:tabs>
        <w:tab w:val="clear" w:pos="480"/>
      </w:tabs>
      <w:adjustRightInd w:val="0"/>
      <w:spacing w:line="240" w:lineRule="auto"/>
      <w:ind w:firstLine="0" w:firstLineChars="0"/>
      <w:jc w:val="center"/>
      <w:textAlignment w:val="baseline"/>
    </w:pPr>
    <w:rPr>
      <w:rFonts w:cs="宋体"/>
      <w:kern w:val="28"/>
    </w:rPr>
  </w:style>
  <w:style w:type="paragraph" w:customStyle="1" w:styleId="1330">
    <w:name w:val="样式 标题 3 + (西文) Times New Roman (中文) 宋体 非加粗 段前: 0 磅 行距: 固定值 2..."/>
    <w:basedOn w:val="5"/>
    <w:qFormat/>
    <w:uiPriority w:val="0"/>
    <w:pPr>
      <w:keepLines w:val="0"/>
      <w:numPr>
        <w:ilvl w:val="0"/>
        <w:numId w:val="0"/>
      </w:numPr>
      <w:tabs>
        <w:tab w:val="clear" w:pos="480"/>
        <w:tab w:val="clear" w:pos="840"/>
      </w:tabs>
      <w:autoSpaceDE w:val="0"/>
      <w:autoSpaceDN w:val="0"/>
      <w:adjustRightInd w:val="0"/>
      <w:spacing w:before="0" w:after="120" w:line="460" w:lineRule="exact"/>
      <w:jc w:val="left"/>
      <w:textAlignment w:val="baseline"/>
    </w:pPr>
    <w:rPr>
      <w:rFonts w:ascii="Times New Roman" w:eastAsia="宋体" w:cs="宋体"/>
      <w:b w:val="0"/>
      <w:bCs w:val="0"/>
      <w:kern w:val="0"/>
      <w:sz w:val="24"/>
      <w:szCs w:val="24"/>
    </w:rPr>
  </w:style>
  <w:style w:type="paragraph" w:customStyle="1" w:styleId="1331">
    <w:name w:val="川岛插图"/>
    <w:basedOn w:val="1"/>
    <w:qFormat/>
    <w:uiPriority w:val="0"/>
    <w:pPr>
      <w:tabs>
        <w:tab w:val="clear" w:pos="480"/>
      </w:tabs>
      <w:ind w:firstLine="480"/>
      <w:jc w:val="center"/>
    </w:pPr>
    <w:rPr>
      <w:color w:val="000000"/>
      <w:szCs w:val="20"/>
    </w:rPr>
  </w:style>
  <w:style w:type="character" w:customStyle="1" w:styleId="1332">
    <w:name w:val="标题 1 Char Char Char"/>
    <w:semiHidden/>
    <w:qFormat/>
    <w:uiPriority w:val="0"/>
    <w:rPr>
      <w:rFonts w:eastAsia="仿宋_GB2312"/>
      <w:b/>
      <w:kern w:val="28"/>
      <w:sz w:val="30"/>
      <w:lang w:val="en-US" w:eastAsia="zh-CN" w:bidi="ar-SA"/>
    </w:rPr>
  </w:style>
  <w:style w:type="paragraph" w:customStyle="1" w:styleId="1333">
    <w:name w:val="样式 标题 2标题 2 Char Char + 宋体1"/>
    <w:basedOn w:val="4"/>
    <w:qFormat/>
    <w:uiPriority w:val="0"/>
    <w:pPr>
      <w:keepLines w:val="0"/>
      <w:widowControl/>
      <w:numPr>
        <w:ilvl w:val="0"/>
        <w:numId w:val="0"/>
      </w:numPr>
      <w:tabs>
        <w:tab w:val="right" w:pos="8640"/>
        <w:tab w:val="clear" w:pos="480"/>
        <w:tab w:val="clear" w:pos="630"/>
      </w:tabs>
      <w:overflowPunct w:val="0"/>
      <w:autoSpaceDE w:val="0"/>
      <w:autoSpaceDN w:val="0"/>
      <w:adjustRightInd w:val="0"/>
      <w:spacing w:before="120" w:line="440" w:lineRule="exact"/>
      <w:jc w:val="left"/>
      <w:textAlignment w:val="baseline"/>
    </w:pPr>
    <w:rPr>
      <w:rFonts w:ascii="宋体" w:hAnsi="宋体"/>
      <w:bCs w:val="0"/>
      <w:kern w:val="28"/>
      <w:sz w:val="24"/>
      <w:szCs w:val="24"/>
    </w:rPr>
  </w:style>
  <w:style w:type="paragraph" w:customStyle="1" w:styleId="1334">
    <w:name w:val="样式 标题 3 + 宋体1"/>
    <w:basedOn w:val="5"/>
    <w:qFormat/>
    <w:uiPriority w:val="0"/>
    <w:pPr>
      <w:numPr>
        <w:ilvl w:val="0"/>
        <w:numId w:val="0"/>
      </w:numPr>
      <w:tabs>
        <w:tab w:val="left" w:pos="1050"/>
        <w:tab w:val="clear" w:pos="480"/>
        <w:tab w:val="clear" w:pos="840"/>
      </w:tabs>
      <w:adjustRightInd w:val="0"/>
      <w:spacing w:after="120" w:line="416" w:lineRule="atLeast"/>
      <w:textAlignment w:val="baseline"/>
    </w:pPr>
    <w:rPr>
      <w:rFonts w:ascii="宋体" w:hAnsi="宋体" w:eastAsia="宋体"/>
      <w:b w:val="0"/>
      <w:bCs w:val="0"/>
      <w:kern w:val="28"/>
      <w:sz w:val="24"/>
      <w:szCs w:val="24"/>
    </w:rPr>
  </w:style>
  <w:style w:type="character" w:customStyle="1" w:styleId="1335">
    <w:name w:val="样式 标题 3 + 宋体1 Char"/>
    <w:qFormat/>
    <w:uiPriority w:val="0"/>
    <w:rPr>
      <w:rFonts w:ascii="宋体" w:hAnsi="宋体" w:eastAsia="宋体"/>
      <w:kern w:val="28"/>
      <w:sz w:val="28"/>
      <w:lang w:val="en-US" w:eastAsia="zh-CN" w:bidi="ar-SA"/>
    </w:rPr>
  </w:style>
  <w:style w:type="character" w:customStyle="1" w:styleId="1336">
    <w:name w:val="报告 Char Char"/>
    <w:qFormat/>
    <w:uiPriority w:val="0"/>
    <w:rPr>
      <w:rFonts w:eastAsia="宋体"/>
      <w:kern w:val="2"/>
      <w:sz w:val="24"/>
      <w:szCs w:val="24"/>
      <w:lang w:val="en-US" w:eastAsia="zh-CN" w:bidi="ar-SA"/>
    </w:rPr>
  </w:style>
  <w:style w:type="paragraph" w:customStyle="1" w:styleId="1337">
    <w:name w:val="样式 标题 1 + 宋体"/>
    <w:basedOn w:val="3"/>
    <w:qFormat/>
    <w:uiPriority w:val="0"/>
    <w:pPr>
      <w:keepLines w:val="0"/>
      <w:widowControl/>
      <w:numPr>
        <w:numId w:val="0"/>
      </w:numPr>
      <w:tabs>
        <w:tab w:val="left" w:pos="0"/>
        <w:tab w:val="left" w:pos="1319"/>
        <w:tab w:val="right" w:pos="8640"/>
        <w:tab w:val="clear" w:pos="480"/>
      </w:tabs>
      <w:overflowPunct w:val="0"/>
      <w:autoSpaceDE w:val="0"/>
      <w:autoSpaceDN w:val="0"/>
      <w:adjustRightInd w:val="0"/>
      <w:spacing w:beforeLines="50" w:afterLines="50" w:line="440" w:lineRule="exact"/>
      <w:ind w:left="432" w:hanging="432"/>
      <w:jc w:val="left"/>
      <w:textAlignment w:val="baseline"/>
    </w:pPr>
    <w:rPr>
      <w:rFonts w:ascii="宋体" w:hAnsi="宋体" w:eastAsia="宋体"/>
      <w:kern w:val="28"/>
      <w:sz w:val="30"/>
      <w:szCs w:val="20"/>
    </w:rPr>
  </w:style>
  <w:style w:type="paragraph" w:customStyle="1" w:styleId="1338">
    <w:name w:val="样式 标题 1 + 宋体1"/>
    <w:basedOn w:val="3"/>
    <w:qFormat/>
    <w:uiPriority w:val="0"/>
    <w:pPr>
      <w:keepLines w:val="0"/>
      <w:widowControl/>
      <w:numPr>
        <w:numId w:val="0"/>
      </w:numPr>
      <w:tabs>
        <w:tab w:val="left" w:pos="425"/>
        <w:tab w:val="left" w:pos="1260"/>
        <w:tab w:val="right" w:pos="8640"/>
        <w:tab w:val="clear" w:pos="480"/>
      </w:tabs>
      <w:overflowPunct w:val="0"/>
      <w:autoSpaceDE w:val="0"/>
      <w:autoSpaceDN w:val="0"/>
      <w:adjustRightInd w:val="0"/>
      <w:spacing w:beforeLines="50" w:afterLines="50" w:line="440" w:lineRule="exact"/>
      <w:jc w:val="left"/>
      <w:textAlignment w:val="baseline"/>
    </w:pPr>
    <w:rPr>
      <w:rFonts w:ascii="宋体" w:hAnsi="宋体" w:eastAsia="宋体"/>
      <w:kern w:val="28"/>
      <w:sz w:val="30"/>
      <w:szCs w:val="20"/>
    </w:rPr>
  </w:style>
  <w:style w:type="paragraph" w:customStyle="1" w:styleId="1339">
    <w:name w:val="样式 标题 4 + 宋体 小四 非加粗"/>
    <w:basedOn w:val="6"/>
    <w:qFormat/>
    <w:uiPriority w:val="0"/>
    <w:pPr>
      <w:numPr>
        <w:ilvl w:val="0"/>
        <w:numId w:val="0"/>
      </w:numPr>
      <w:tabs>
        <w:tab w:val="left" w:pos="1680"/>
        <w:tab w:val="clear" w:pos="480"/>
      </w:tabs>
      <w:adjustRightInd w:val="0"/>
      <w:spacing w:before="160" w:after="170" w:line="240" w:lineRule="auto"/>
      <w:ind w:left="1680" w:leftChars="100" w:right="100" w:rightChars="100" w:hanging="420"/>
      <w:jc w:val="left"/>
      <w:textAlignment w:val="baseline"/>
    </w:pPr>
    <w:rPr>
      <w:rFonts w:ascii="宋体" w:eastAsia="宋体"/>
      <w:b w:val="0"/>
      <w:bCs w:val="0"/>
      <w:kern w:val="0"/>
      <w:sz w:val="24"/>
      <w:szCs w:val="20"/>
    </w:rPr>
  </w:style>
  <w:style w:type="paragraph" w:customStyle="1" w:styleId="1340">
    <w:name w:val="样式 样式 样式 表格 + 段前: 0.2 行 段后: 0.2 行 + 居中 段前: 0.2 行 段后: 0.2 行 + 自动设置"/>
    <w:basedOn w:val="1"/>
    <w:qFormat/>
    <w:uiPriority w:val="0"/>
    <w:pPr>
      <w:tabs>
        <w:tab w:val="clear" w:pos="480"/>
      </w:tabs>
      <w:spacing w:beforeLines="20" w:afterLines="20" w:line="240" w:lineRule="auto"/>
      <w:jc w:val="center"/>
      <w:textAlignment w:val="center"/>
    </w:pPr>
    <w:rPr>
      <w:rFonts w:cs="宋体"/>
      <w:kern w:val="11"/>
    </w:rPr>
  </w:style>
  <w:style w:type="paragraph" w:customStyle="1" w:styleId="1341">
    <w:name w:val="样式 样式 表格 + 段前: 0.2 行 段后: 0.2 行 + 居中 段前: 0.2 行 段后: 0.2 行"/>
    <w:basedOn w:val="1"/>
    <w:qFormat/>
    <w:uiPriority w:val="0"/>
    <w:pPr>
      <w:tabs>
        <w:tab w:val="clear" w:pos="480"/>
      </w:tabs>
      <w:spacing w:beforeLines="20" w:afterLines="20" w:line="240" w:lineRule="auto"/>
      <w:textAlignment w:val="center"/>
    </w:pPr>
    <w:rPr>
      <w:rFonts w:cs="宋体"/>
      <w:color w:val="FF0000"/>
      <w:kern w:val="11"/>
    </w:rPr>
  </w:style>
  <w:style w:type="paragraph" w:customStyle="1" w:styleId="1342">
    <w:name w:val="样式 表头 + (西文) 宋体 (中文) 宋体 首行缩进:  0.85 厘米"/>
    <w:basedOn w:val="163"/>
    <w:qFormat/>
    <w:uiPriority w:val="0"/>
    <w:pPr>
      <w:widowControl w:val="0"/>
      <w:spacing w:afterLines="50" w:line="460" w:lineRule="exact"/>
      <w:ind w:firstLine="200" w:firstLineChars="200"/>
    </w:pPr>
    <w:rPr>
      <w:bCs w:val="0"/>
      <w:snapToGrid/>
      <w:color w:val="auto"/>
      <w:sz w:val="24"/>
      <w:szCs w:val="24"/>
    </w:rPr>
  </w:style>
  <w:style w:type="paragraph" w:customStyle="1" w:styleId="1343">
    <w:name w:val="流程图文字"/>
    <w:basedOn w:val="1"/>
    <w:qFormat/>
    <w:uiPriority w:val="0"/>
    <w:pPr>
      <w:tabs>
        <w:tab w:val="clear" w:pos="480"/>
      </w:tabs>
      <w:ind w:firstLine="425"/>
      <w:jc w:val="center"/>
    </w:pPr>
    <w:rPr>
      <w:rFonts w:eastAsia="楷体_GB2312"/>
      <w:szCs w:val="20"/>
    </w:rPr>
  </w:style>
  <w:style w:type="paragraph" w:customStyle="1" w:styleId="1344">
    <w:name w:val="样式 标题 2 + (西文) 宋体 (中文) 宋体 四号 加粗 首行缩进:  0.99 厘米 行距: 1.5 倍行距"/>
    <w:basedOn w:val="4"/>
    <w:qFormat/>
    <w:uiPriority w:val="0"/>
    <w:pPr>
      <w:keepLines w:val="0"/>
      <w:widowControl/>
      <w:numPr>
        <w:ilvl w:val="0"/>
        <w:numId w:val="0"/>
      </w:numPr>
      <w:tabs>
        <w:tab w:val="right" w:pos="8640"/>
        <w:tab w:val="clear" w:pos="480"/>
        <w:tab w:val="clear" w:pos="630"/>
      </w:tabs>
      <w:overflowPunct w:val="0"/>
      <w:autoSpaceDE w:val="0"/>
      <w:autoSpaceDN w:val="0"/>
      <w:adjustRightInd w:val="0"/>
      <w:spacing w:before="120"/>
      <w:jc w:val="left"/>
      <w:textAlignment w:val="baseline"/>
    </w:pPr>
    <w:rPr>
      <w:rFonts w:ascii="宋体" w:hAnsi="宋体" w:cs="宋体"/>
      <w:kern w:val="28"/>
      <w:sz w:val="28"/>
      <w:szCs w:val="20"/>
    </w:rPr>
  </w:style>
  <w:style w:type="paragraph" w:customStyle="1" w:styleId="1345">
    <w:name w:val="样式 标题 3 + (西文) 宋体 (中文) 宋体 行距: 1.5 倍行距"/>
    <w:basedOn w:val="5"/>
    <w:qFormat/>
    <w:uiPriority w:val="0"/>
    <w:pPr>
      <w:numPr>
        <w:ilvl w:val="0"/>
        <w:numId w:val="0"/>
      </w:numPr>
      <w:tabs>
        <w:tab w:val="clear" w:pos="480"/>
        <w:tab w:val="clear" w:pos="840"/>
      </w:tabs>
      <w:adjustRightInd w:val="0"/>
      <w:spacing w:after="120" w:line="360" w:lineRule="auto"/>
      <w:textAlignment w:val="baseline"/>
    </w:pPr>
    <w:rPr>
      <w:rFonts w:ascii="宋体" w:hAnsi="宋体" w:eastAsia="宋体" w:cs="宋体"/>
      <w:bCs w:val="0"/>
      <w:kern w:val="28"/>
      <w:sz w:val="24"/>
      <w:szCs w:val="24"/>
    </w:rPr>
  </w:style>
  <w:style w:type="paragraph" w:customStyle="1" w:styleId="1346">
    <w:name w:val="武生正文"/>
    <w:basedOn w:val="1"/>
    <w:next w:val="1"/>
    <w:qFormat/>
    <w:uiPriority w:val="0"/>
    <w:pPr>
      <w:tabs>
        <w:tab w:val="clear" w:pos="480"/>
      </w:tabs>
      <w:ind w:firstLine="240" w:firstLineChars="100"/>
    </w:pPr>
    <w:rPr>
      <w:rFonts w:ascii="宋体" w:hAnsi="宋体"/>
      <w:lang w:eastAsia="zh-TW"/>
    </w:rPr>
  </w:style>
  <w:style w:type="paragraph" w:customStyle="1" w:styleId="1347">
    <w:name w:val="武生标题1"/>
    <w:basedOn w:val="3"/>
    <w:next w:val="34"/>
    <w:qFormat/>
    <w:uiPriority w:val="0"/>
    <w:pPr>
      <w:numPr>
        <w:numId w:val="0"/>
      </w:numPr>
      <w:tabs>
        <w:tab w:val="clear" w:pos="480"/>
      </w:tabs>
      <w:spacing w:beforeLines="50" w:afterLines="50" w:line="240" w:lineRule="auto"/>
    </w:pPr>
    <w:rPr>
      <w:rFonts w:ascii="宋体" w:hAnsi="宋体" w:eastAsia="宋体"/>
      <w:snapToGrid w:val="0"/>
      <w:kern w:val="0"/>
      <w:sz w:val="28"/>
    </w:rPr>
  </w:style>
  <w:style w:type="character" w:customStyle="1" w:styleId="1348">
    <w:name w:val="ll1"/>
    <w:basedOn w:val="132"/>
    <w:semiHidden/>
    <w:qFormat/>
    <w:uiPriority w:val="0"/>
  </w:style>
  <w:style w:type="paragraph" w:customStyle="1" w:styleId="1349">
    <w:name w:val="宏福3A"/>
    <w:basedOn w:val="1"/>
    <w:qFormat/>
    <w:uiPriority w:val="0"/>
    <w:pPr>
      <w:keepNext/>
      <w:keepLines/>
      <w:tabs>
        <w:tab w:val="clear" w:pos="480"/>
      </w:tabs>
      <w:snapToGrid w:val="0"/>
      <w:spacing w:before="240" w:line="240" w:lineRule="auto"/>
      <w:outlineLvl w:val="2"/>
    </w:pPr>
    <w:rPr>
      <w:sz w:val="28"/>
      <w:szCs w:val="28"/>
    </w:rPr>
  </w:style>
  <w:style w:type="character" w:customStyle="1" w:styleId="1350">
    <w:name w:val="正文(首行缩进) Char"/>
    <w:link w:val="634"/>
    <w:qFormat/>
    <w:uiPriority w:val="0"/>
    <w:rPr>
      <w:rFonts w:ascii="宋体" w:hAnsi="宋体" w:eastAsia="宋体"/>
      <w:snapToGrid w:val="0"/>
      <w:sz w:val="24"/>
      <w:szCs w:val="24"/>
      <w:lang w:val="en-US" w:eastAsia="zh-CN" w:bidi="ar-SA"/>
    </w:rPr>
  </w:style>
  <w:style w:type="paragraph" w:customStyle="1" w:styleId="1351">
    <w:name w:val="框图1"/>
    <w:basedOn w:val="1"/>
    <w:qFormat/>
    <w:uiPriority w:val="0"/>
    <w:pPr>
      <w:tabs>
        <w:tab w:val="clear" w:pos="480"/>
      </w:tabs>
      <w:adjustRightInd w:val="0"/>
      <w:spacing w:line="20" w:lineRule="atLeast"/>
      <w:jc w:val="center"/>
      <w:textAlignment w:val="baseline"/>
    </w:pPr>
    <w:rPr>
      <w:rFonts w:ascii="宋体"/>
      <w:kern w:val="18"/>
      <w:sz w:val="18"/>
      <w:szCs w:val="20"/>
    </w:rPr>
  </w:style>
  <w:style w:type="paragraph" w:customStyle="1" w:styleId="1352">
    <w:name w:val="插图"/>
    <w:basedOn w:val="1"/>
    <w:next w:val="1"/>
    <w:qFormat/>
    <w:uiPriority w:val="0"/>
    <w:pPr>
      <w:keepLines/>
      <w:tabs>
        <w:tab w:val="clear" w:pos="480"/>
      </w:tabs>
      <w:adjustRightInd w:val="0"/>
      <w:spacing w:before="360" w:after="300" w:line="567" w:lineRule="atLeast"/>
      <w:jc w:val="center"/>
      <w:textAlignment w:val="baseline"/>
    </w:pPr>
    <w:rPr>
      <w:kern w:val="0"/>
      <w:szCs w:val="20"/>
    </w:rPr>
  </w:style>
  <w:style w:type="character" w:customStyle="1" w:styleId="1353">
    <w:name w:val="style141"/>
    <w:semiHidden/>
    <w:qFormat/>
    <w:uiPriority w:val="0"/>
    <w:rPr>
      <w:color w:val="FF0000"/>
    </w:rPr>
  </w:style>
  <w:style w:type="paragraph" w:customStyle="1" w:styleId="1354">
    <w:name w:val="样式 标题 3标题 3 Char Char Char标题 3 Char Char Char Char Char Char标..."/>
    <w:basedOn w:val="5"/>
    <w:link w:val="2790"/>
    <w:qFormat/>
    <w:uiPriority w:val="0"/>
    <w:pPr>
      <w:numPr>
        <w:ilvl w:val="0"/>
        <w:numId w:val="0"/>
      </w:numPr>
      <w:tabs>
        <w:tab w:val="clear" w:pos="480"/>
        <w:tab w:val="clear" w:pos="840"/>
      </w:tabs>
      <w:spacing w:before="0" w:after="0" w:line="360" w:lineRule="auto"/>
    </w:pPr>
    <w:rPr>
      <w:rFonts w:ascii="Plotter" w:hAnsi="Plotter" w:eastAsia="宋体"/>
      <w:sz w:val="24"/>
      <w:szCs w:val="20"/>
    </w:rPr>
  </w:style>
  <w:style w:type="paragraph" w:customStyle="1" w:styleId="1355">
    <w:name w:val="p9"/>
    <w:basedOn w:val="1"/>
    <w:semiHidden/>
    <w:qFormat/>
    <w:uiPriority w:val="0"/>
    <w:pPr>
      <w:widowControl/>
      <w:tabs>
        <w:tab w:val="clear" w:pos="480"/>
      </w:tabs>
      <w:spacing w:before="100" w:beforeAutospacing="1" w:after="100" w:afterAutospacing="1" w:line="300" w:lineRule="atLeast"/>
      <w:jc w:val="left"/>
    </w:pPr>
    <w:rPr>
      <w:rFonts w:ascii="宋体" w:hAnsi="宋体" w:cs="宋体"/>
      <w:kern w:val="0"/>
      <w:sz w:val="18"/>
      <w:szCs w:val="18"/>
    </w:rPr>
  </w:style>
  <w:style w:type="paragraph" w:customStyle="1" w:styleId="1356">
    <w:name w:val="注："/>
    <w:next w:val="1"/>
    <w:qFormat/>
    <w:uiPriority w:val="0"/>
    <w:pPr>
      <w:widowControl w:val="0"/>
      <w:autoSpaceDE w:val="0"/>
      <w:autoSpaceDN w:val="0"/>
      <w:spacing w:line="360" w:lineRule="auto"/>
      <w:ind w:left="840" w:hanging="420" w:firstLineChars="200"/>
      <w:jc w:val="both"/>
    </w:pPr>
    <w:rPr>
      <w:rFonts w:ascii="宋体" w:hAnsi="Times New Roman" w:eastAsia="宋体" w:cs="Times New Roman"/>
      <w:kern w:val="2"/>
      <w:sz w:val="18"/>
      <w:szCs w:val="24"/>
      <w:lang w:val="en-US" w:eastAsia="zh-CN" w:bidi="ar-SA"/>
    </w:rPr>
  </w:style>
  <w:style w:type="character" w:customStyle="1" w:styleId="1357">
    <w:name w:val="google-src-text"/>
    <w:basedOn w:val="132"/>
    <w:semiHidden/>
    <w:qFormat/>
    <w:uiPriority w:val="0"/>
  </w:style>
  <w:style w:type="paragraph" w:customStyle="1" w:styleId="1358">
    <w:name w:val="圖一"/>
    <w:basedOn w:val="22"/>
    <w:qFormat/>
    <w:uiPriority w:val="0"/>
    <w:pPr>
      <w:widowControl w:val="0"/>
      <w:adjustRightInd/>
      <w:snapToGrid/>
      <w:spacing w:before="240" w:after="0" w:line="500" w:lineRule="exact"/>
      <w:ind w:firstLine="510" w:firstLineChars="0"/>
    </w:pPr>
    <w:rPr>
      <w:rFonts w:ascii="Times New Roman" w:hAnsi="Times New Roman" w:eastAsia="DFKai-SB" w:cs="Times New Roman"/>
      <w:b/>
      <w:bCs/>
      <w:color w:val="auto"/>
      <w:kern w:val="0"/>
      <w:sz w:val="30"/>
      <w:lang w:eastAsia="zh-TW"/>
    </w:rPr>
  </w:style>
  <w:style w:type="paragraph" w:customStyle="1" w:styleId="1359">
    <w:name w:val="樣式3"/>
    <w:basedOn w:val="1"/>
    <w:qFormat/>
    <w:uiPriority w:val="0"/>
    <w:pPr>
      <w:tabs>
        <w:tab w:val="clear" w:pos="480"/>
      </w:tabs>
      <w:spacing w:before="120" w:after="120" w:line="500" w:lineRule="exact"/>
      <w:ind w:left="227" w:firstLine="567"/>
    </w:pPr>
    <w:rPr>
      <w:rFonts w:eastAsia="DFKai-SB"/>
      <w:sz w:val="28"/>
      <w:szCs w:val="20"/>
      <w:lang w:eastAsia="zh-TW"/>
    </w:rPr>
  </w:style>
  <w:style w:type="paragraph" w:customStyle="1" w:styleId="1360">
    <w:name w:val="页脚1"/>
    <w:basedOn w:val="1"/>
    <w:qFormat/>
    <w:uiPriority w:val="0"/>
    <w:pPr>
      <w:tabs>
        <w:tab w:val="clear" w:pos="480"/>
      </w:tabs>
      <w:adjustRightInd w:val="0"/>
      <w:spacing w:line="312" w:lineRule="auto"/>
      <w:ind w:firstLine="510"/>
      <w:jc w:val="center"/>
      <w:textAlignment w:val="baseline"/>
    </w:pPr>
    <w:rPr>
      <w:b/>
      <w:i/>
      <w:kern w:val="0"/>
      <w:szCs w:val="20"/>
      <w:u w:val="single"/>
    </w:rPr>
  </w:style>
  <w:style w:type="paragraph" w:customStyle="1" w:styleId="1361">
    <w:name w:val="横页眉"/>
    <w:basedOn w:val="1"/>
    <w:next w:val="57"/>
    <w:qFormat/>
    <w:uiPriority w:val="0"/>
    <w:pPr>
      <w:pBdr>
        <w:bottom w:val="double" w:color="auto" w:sz="6" w:space="1"/>
      </w:pBdr>
      <w:tabs>
        <w:tab w:val="center" w:pos="6623"/>
        <w:tab w:val="right" w:pos="13245"/>
        <w:tab w:val="clear" w:pos="480"/>
      </w:tabs>
      <w:adjustRightInd w:val="0"/>
      <w:spacing w:line="312" w:lineRule="auto"/>
      <w:ind w:firstLine="510"/>
      <w:textAlignment w:val="baseline"/>
    </w:pPr>
    <w:rPr>
      <w:kern w:val="0"/>
      <w:szCs w:val="20"/>
    </w:rPr>
  </w:style>
  <w:style w:type="paragraph" w:customStyle="1" w:styleId="1362">
    <w:name w:val="表标题2"/>
    <w:basedOn w:val="1"/>
    <w:semiHidden/>
    <w:qFormat/>
    <w:uiPriority w:val="0"/>
    <w:pPr>
      <w:keepNext/>
      <w:widowControl/>
      <w:tabs>
        <w:tab w:val="clear" w:pos="480"/>
      </w:tabs>
      <w:autoSpaceDE w:val="0"/>
      <w:autoSpaceDN w:val="0"/>
      <w:adjustRightInd w:val="0"/>
      <w:spacing w:before="180" w:after="120" w:line="408" w:lineRule="atLeast"/>
      <w:ind w:firstLine="510"/>
      <w:jc w:val="center"/>
      <w:textAlignment w:val="baseline"/>
    </w:pPr>
    <w:rPr>
      <w:b/>
      <w:spacing w:val="2"/>
      <w:kern w:val="0"/>
      <w:sz w:val="28"/>
      <w:szCs w:val="20"/>
    </w:rPr>
  </w:style>
  <w:style w:type="paragraph" w:customStyle="1" w:styleId="1363">
    <w:name w:val="篇名"/>
    <w:basedOn w:val="1"/>
    <w:next w:val="1"/>
    <w:qFormat/>
    <w:uiPriority w:val="0"/>
    <w:pPr>
      <w:tabs>
        <w:tab w:val="clear" w:pos="480"/>
      </w:tabs>
      <w:adjustRightInd w:val="0"/>
      <w:snapToGrid w:val="0"/>
      <w:spacing w:before="120" w:after="240" w:line="400" w:lineRule="exact"/>
      <w:ind w:firstLine="567"/>
      <w:jc w:val="center"/>
      <w:textAlignment w:val="baseline"/>
    </w:pPr>
    <w:rPr>
      <w:rFonts w:ascii="黑体" w:hAnsi="Courier New" w:eastAsia="黑体"/>
      <w:kern w:val="0"/>
      <w:sz w:val="32"/>
      <w:szCs w:val="20"/>
    </w:rPr>
  </w:style>
  <w:style w:type="paragraph" w:customStyle="1" w:styleId="1364">
    <w:name w:val="方程"/>
    <w:basedOn w:val="1"/>
    <w:qFormat/>
    <w:uiPriority w:val="0"/>
    <w:pPr>
      <w:widowControl/>
      <w:tabs>
        <w:tab w:val="clear" w:pos="480"/>
      </w:tabs>
      <w:overflowPunct w:val="0"/>
      <w:adjustRightInd w:val="0"/>
      <w:spacing w:before="60" w:after="60" w:line="400" w:lineRule="atLeast"/>
      <w:ind w:right="238"/>
      <w:jc w:val="center"/>
      <w:textAlignment w:val="bottom"/>
    </w:pPr>
    <w:rPr>
      <w:kern w:val="0"/>
      <w:sz w:val="28"/>
      <w:szCs w:val="20"/>
    </w:rPr>
  </w:style>
  <w:style w:type="paragraph" w:customStyle="1" w:styleId="1365">
    <w:name w:val="表标题1"/>
    <w:basedOn w:val="1"/>
    <w:semiHidden/>
    <w:qFormat/>
    <w:uiPriority w:val="0"/>
    <w:pPr>
      <w:keepNext/>
      <w:widowControl/>
      <w:tabs>
        <w:tab w:val="clear" w:pos="480"/>
      </w:tabs>
      <w:autoSpaceDE w:val="0"/>
      <w:autoSpaceDN w:val="0"/>
      <w:adjustRightInd w:val="0"/>
      <w:spacing w:before="180" w:after="120" w:line="408" w:lineRule="atLeast"/>
      <w:ind w:firstLine="510"/>
      <w:jc w:val="center"/>
      <w:textAlignment w:val="baseline"/>
    </w:pPr>
    <w:rPr>
      <w:b/>
      <w:spacing w:val="2"/>
      <w:kern w:val="0"/>
      <w:sz w:val="28"/>
      <w:szCs w:val="20"/>
    </w:rPr>
  </w:style>
  <w:style w:type="character" w:customStyle="1" w:styleId="1366">
    <w:name w:val="font9pt"/>
    <w:basedOn w:val="132"/>
    <w:semiHidden/>
    <w:qFormat/>
    <w:uiPriority w:val="0"/>
  </w:style>
  <w:style w:type="paragraph" w:customStyle="1" w:styleId="1367">
    <w:name w:val="表居中（中文）"/>
    <w:basedOn w:val="1"/>
    <w:qFormat/>
    <w:uiPriority w:val="0"/>
    <w:pPr>
      <w:tabs>
        <w:tab w:val="clear" w:pos="480"/>
      </w:tabs>
      <w:adjustRightInd w:val="0"/>
      <w:spacing w:line="380" w:lineRule="atLeast"/>
      <w:jc w:val="center"/>
      <w:textAlignment w:val="baseline"/>
    </w:pPr>
    <w:rPr>
      <w:rFonts w:eastAsia="楷体_GB2312"/>
      <w:kern w:val="0"/>
      <w:sz w:val="21"/>
      <w:szCs w:val="20"/>
    </w:rPr>
  </w:style>
  <w:style w:type="character" w:customStyle="1" w:styleId="1368">
    <w:name w:val="标题 3 Char Char Char Char Char Char Char Char Char Char Char Char Char Char Char Char"/>
    <w:semiHidden/>
    <w:qFormat/>
    <w:uiPriority w:val="0"/>
    <w:rPr>
      <w:rFonts w:ascii="宋体" w:hAnsi="宋体" w:eastAsia="宋体"/>
      <w:b/>
      <w:bCs/>
      <w:sz w:val="32"/>
      <w:szCs w:val="32"/>
      <w:lang w:val="en-US" w:eastAsia="zh-CN" w:bidi="ar-SA"/>
    </w:rPr>
  </w:style>
  <w:style w:type="paragraph" w:customStyle="1" w:styleId="1369">
    <w:name w:val="样式 图表标题 + 加粗 段前: 0.5 行 段后: 0.5 行"/>
    <w:basedOn w:val="1"/>
    <w:qFormat/>
    <w:uiPriority w:val="0"/>
    <w:pPr>
      <w:tabs>
        <w:tab w:val="clear" w:pos="480"/>
      </w:tabs>
      <w:spacing w:beforeLines="50" w:afterLines="50" w:line="440" w:lineRule="exact"/>
      <w:jc w:val="center"/>
    </w:pPr>
    <w:rPr>
      <w:rFonts w:cs="宋体"/>
      <w:b/>
      <w:bCs/>
      <w:szCs w:val="20"/>
    </w:rPr>
  </w:style>
  <w:style w:type="paragraph" w:customStyle="1" w:styleId="1370">
    <w:name w:val="油库表"/>
    <w:basedOn w:val="158"/>
    <w:qFormat/>
    <w:uiPriority w:val="0"/>
    <w:pPr>
      <w:spacing w:beforeLines="25" w:afterLines="25" w:line="240" w:lineRule="auto"/>
      <w:jc w:val="center"/>
      <w:textAlignment w:val="baseline"/>
    </w:pPr>
    <w:rPr>
      <w:rFonts w:eastAsia="宋体"/>
      <w:spacing w:val="10"/>
      <w:kern w:val="0"/>
      <w:sz w:val="21"/>
    </w:rPr>
  </w:style>
  <w:style w:type="character" w:customStyle="1" w:styleId="1371">
    <w:name w:val="wenzi"/>
    <w:basedOn w:val="132"/>
    <w:semiHidden/>
    <w:qFormat/>
    <w:uiPriority w:val="0"/>
  </w:style>
  <w:style w:type="paragraph" w:customStyle="1" w:styleId="1372">
    <w:name w:val="自动更正"/>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73">
    <w:name w:val="上次保存者"/>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74">
    <w:name w:val="上次打印时间"/>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75">
    <w:name w:val="临书仓促，不尽欲言。"/>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76">
    <w:name w:val="主题:"/>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77">
    <w:name w:val="久不通函，至以为念。"/>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78">
    <w:name w:val="亲启"/>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79">
    <w:name w:val="作者"/>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0">
    <w:name w:val="作者、页码、日期"/>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1">
    <w:name w:val="先生/女士："/>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2">
    <w:name w:val="关于:"/>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3">
    <w:name w:val="分手多日，近况如何？"/>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4">
    <w:name w:val="刘晓腾"/>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5">
    <w:name w:val="创建日期"/>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6">
    <w:name w:val="前上一函，谅达雅鉴，迄今未闻复音。"/>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7">
    <w:name w:val="匆此先复，余容后禀。"/>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8">
    <w:name w:val="参考:"/>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89">
    <w:name w:val="叩请金安！"/>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0">
    <w:name w:val="奉恳之事，乞速复为荷。"/>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1">
    <w:name w:val="奉读大示，心折殊深。"/>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2">
    <w:name w:val="尊意如何，请即示知。"/>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3">
    <w:name w:val="惠书敬悉，迟复为歉。"/>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4">
    <w:name w:val="敬启者："/>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5">
    <w:name w:val="文件名"/>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6">
    <w:name w:val="文件名和路径"/>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7">
    <w:name w:val="机密、页码、日期"/>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8">
    <w:name w:val="知尊恙复发，心甚念之。"/>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399">
    <w:name w:val="第 X 页 共 Y 页"/>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0">
    <w:name w:val="答复:"/>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1">
    <w:name w:val="纸短情长，再祈珍重！"/>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2">
    <w:name w:val="请勿折叠！"/>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3">
    <w:name w:val="近来寒暑不常，希自珍慰。"/>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4">
    <w:name w:val="音问久疏，唯愿一切康适。"/>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5">
    <w:name w:val="顺颂商祺！"/>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406">
    <w:name w:val="input"/>
    <w:basedOn w:val="1"/>
    <w:semiHidden/>
    <w:qFormat/>
    <w:uiPriority w:val="0"/>
    <w:pPr>
      <w:widowControl/>
      <w:pBdr>
        <w:top w:val="single" w:color="EFEFEF" w:sz="6" w:space="0"/>
        <w:left w:val="single" w:color="EFEFEF" w:sz="6" w:space="0"/>
      </w:pBdr>
      <w:shd w:val="clear" w:color="auto" w:fill="FFFFFF"/>
      <w:tabs>
        <w:tab w:val="clear" w:pos="480"/>
      </w:tabs>
      <w:spacing w:before="100" w:beforeAutospacing="1" w:after="100" w:afterAutospacing="1" w:line="240" w:lineRule="auto"/>
      <w:jc w:val="left"/>
    </w:pPr>
    <w:rPr>
      <w:rFonts w:ascii="Arial Unicode MS" w:hAnsi="Arial Unicode MS" w:eastAsia="Arial Unicode MS" w:cs="Arial Unicode MS"/>
      <w:color w:val="999999"/>
      <w:kern w:val="0"/>
      <w:sz w:val="18"/>
      <w:szCs w:val="18"/>
    </w:rPr>
  </w:style>
  <w:style w:type="paragraph" w:customStyle="1" w:styleId="1407">
    <w:name w:val="inputaa"/>
    <w:basedOn w:val="1"/>
    <w:semiHidden/>
    <w:qFormat/>
    <w:uiPriority w:val="0"/>
    <w:pPr>
      <w:widowControl/>
      <w:pBdr>
        <w:top w:val="threeDEmboss" w:color="FFFFFF" w:sz="6" w:space="0"/>
        <w:left w:val="threeDEmboss" w:color="FFFFFF" w:sz="6" w:space="0"/>
        <w:bottom w:val="threeDEmboss" w:color="auto" w:sz="6" w:space="0"/>
        <w:right w:val="threeDEmboss" w:color="auto" w:sz="6" w:space="0"/>
      </w:pBdr>
      <w:shd w:val="clear" w:color="auto" w:fill="CCCCCC"/>
      <w:tabs>
        <w:tab w:val="clear" w:pos="480"/>
      </w:tabs>
      <w:spacing w:before="100" w:beforeAutospacing="1" w:after="100" w:afterAutospacing="1" w:line="240" w:lineRule="auto"/>
      <w:jc w:val="left"/>
    </w:pPr>
    <w:rPr>
      <w:rFonts w:eastAsia="Arial Unicode MS" w:cs="Arial Unicode MS"/>
      <w:kern w:val="0"/>
      <w:sz w:val="18"/>
      <w:szCs w:val="18"/>
    </w:rPr>
  </w:style>
  <w:style w:type="paragraph" w:customStyle="1" w:styleId="1408">
    <w:name w:val="out"/>
    <w:basedOn w:val="1"/>
    <w:semiHidden/>
    <w:qFormat/>
    <w:uiPriority w:val="0"/>
    <w:pPr>
      <w:widowControl/>
      <w:pBdr>
        <w:top w:val="single" w:color="EFEFEF" w:sz="6" w:space="0"/>
        <w:left w:val="single" w:color="EFEFEF" w:sz="6" w:space="0"/>
      </w:pBdr>
      <w:shd w:val="clear" w:color="auto" w:fill="FFFFFF"/>
      <w:tabs>
        <w:tab w:val="clear" w:pos="480"/>
      </w:tabs>
      <w:spacing w:before="100" w:beforeAutospacing="1" w:after="100" w:afterAutospacing="1" w:line="240" w:lineRule="auto"/>
      <w:jc w:val="left"/>
    </w:pPr>
    <w:rPr>
      <w:rFonts w:ascii="Arial Unicode MS" w:hAnsi="Arial Unicode MS" w:eastAsia="Arial Unicode MS" w:cs="Arial Unicode MS"/>
      <w:color w:val="000000"/>
      <w:kern w:val="0"/>
      <w:sz w:val="18"/>
      <w:szCs w:val="18"/>
    </w:rPr>
  </w:style>
  <w:style w:type="paragraph" w:customStyle="1" w:styleId="1409">
    <w:name w:val="over"/>
    <w:basedOn w:val="1"/>
    <w:semiHidden/>
    <w:qFormat/>
    <w:uiPriority w:val="0"/>
    <w:pPr>
      <w:widowControl/>
      <w:pBdr>
        <w:top w:val="single" w:color="EFEFEF" w:sz="6" w:space="0"/>
        <w:left w:val="single" w:color="EFEFEF" w:sz="6" w:space="0"/>
      </w:pBdr>
      <w:shd w:val="clear" w:color="auto" w:fill="EFEFEF"/>
      <w:tabs>
        <w:tab w:val="clear" w:pos="480"/>
      </w:tabs>
      <w:spacing w:before="100" w:beforeAutospacing="1" w:after="100" w:afterAutospacing="1" w:line="240" w:lineRule="auto"/>
      <w:jc w:val="left"/>
    </w:pPr>
    <w:rPr>
      <w:rFonts w:ascii="Arial Unicode MS" w:hAnsi="Arial Unicode MS" w:eastAsia="Arial Unicode MS" w:cs="Arial Unicode MS"/>
      <w:color w:val="000000"/>
      <w:kern w:val="0"/>
      <w:sz w:val="18"/>
      <w:szCs w:val="18"/>
    </w:rPr>
  </w:style>
  <w:style w:type="paragraph" w:customStyle="1" w:styleId="1410">
    <w:name w:val="td"/>
    <w:basedOn w:val="1"/>
    <w:semiHidden/>
    <w:qFormat/>
    <w:uiPriority w:val="0"/>
    <w:pPr>
      <w:widowControl/>
      <w:tabs>
        <w:tab w:val="clear" w:pos="480"/>
      </w:tabs>
      <w:spacing w:before="100" w:beforeAutospacing="1" w:after="100" w:afterAutospacing="1"/>
      <w:jc w:val="left"/>
    </w:pPr>
    <w:rPr>
      <w:rFonts w:eastAsia="Arial Unicode MS" w:cs="Arial Unicode MS"/>
      <w:kern w:val="0"/>
      <w:sz w:val="18"/>
      <w:szCs w:val="18"/>
    </w:rPr>
  </w:style>
  <w:style w:type="paragraph" w:customStyle="1" w:styleId="1411">
    <w:name w:val="tdh"/>
    <w:basedOn w:val="1"/>
    <w:semiHidden/>
    <w:qFormat/>
    <w:uiPriority w:val="0"/>
    <w:pPr>
      <w:widowControl/>
      <w:tabs>
        <w:tab w:val="clear" w:pos="480"/>
      </w:tabs>
      <w:spacing w:before="100" w:beforeAutospacing="1" w:after="100" w:afterAutospacing="1"/>
      <w:jc w:val="left"/>
    </w:pPr>
    <w:rPr>
      <w:rFonts w:eastAsia="Arial Unicode MS" w:cs="Arial Unicode MS"/>
      <w:spacing w:val="30"/>
      <w:kern w:val="0"/>
      <w:sz w:val="18"/>
      <w:szCs w:val="18"/>
    </w:rPr>
  </w:style>
  <w:style w:type="paragraph" w:customStyle="1" w:styleId="1412">
    <w:name w:val="tnone"/>
    <w:basedOn w:val="1"/>
    <w:semiHidden/>
    <w:qFormat/>
    <w:uiPriority w:val="0"/>
    <w:pPr>
      <w:widowControl/>
      <w:tabs>
        <w:tab w:val="clear" w:pos="480"/>
      </w:tabs>
      <w:spacing w:before="100" w:beforeAutospacing="1" w:after="100" w:afterAutospacing="1" w:line="240" w:lineRule="auto"/>
      <w:jc w:val="left"/>
    </w:pPr>
    <w:rPr>
      <w:rFonts w:ascii="Arial Unicode MS" w:hAnsi="Arial Unicode MS" w:eastAsia="Arial Unicode MS" w:cs="Arial Unicode MS"/>
      <w:kern w:val="0"/>
    </w:rPr>
  </w:style>
  <w:style w:type="paragraph" w:customStyle="1" w:styleId="1413">
    <w:name w:val="tover"/>
    <w:basedOn w:val="1"/>
    <w:semiHidden/>
    <w:qFormat/>
    <w:uiPriority w:val="0"/>
    <w:pPr>
      <w:widowControl/>
      <w:shd w:val="clear" w:color="auto" w:fill="EFEFEF"/>
      <w:tabs>
        <w:tab w:val="clear" w:pos="480"/>
      </w:tabs>
      <w:spacing w:before="100" w:beforeAutospacing="1" w:after="100" w:afterAutospacing="1" w:line="240" w:lineRule="auto"/>
      <w:jc w:val="left"/>
    </w:pPr>
    <w:rPr>
      <w:rFonts w:ascii="Arial Unicode MS" w:hAnsi="Arial Unicode MS" w:eastAsia="Arial Unicode MS" w:cs="Arial Unicode MS"/>
      <w:kern w:val="0"/>
    </w:rPr>
  </w:style>
  <w:style w:type="paragraph" w:customStyle="1" w:styleId="1414">
    <w:name w:val="tout"/>
    <w:basedOn w:val="1"/>
    <w:semiHidden/>
    <w:qFormat/>
    <w:uiPriority w:val="0"/>
    <w:pPr>
      <w:widowControl/>
      <w:shd w:val="clear" w:color="auto" w:fill="FFFFFF"/>
      <w:tabs>
        <w:tab w:val="clear" w:pos="480"/>
      </w:tabs>
      <w:spacing w:before="100" w:beforeAutospacing="1" w:after="100" w:afterAutospacing="1" w:line="240" w:lineRule="auto"/>
      <w:jc w:val="left"/>
    </w:pPr>
    <w:rPr>
      <w:rFonts w:ascii="Arial Unicode MS" w:hAnsi="Arial Unicode MS" w:eastAsia="Arial Unicode MS" w:cs="Arial Unicode MS"/>
      <w:kern w:val="0"/>
    </w:rPr>
  </w:style>
  <w:style w:type="paragraph" w:customStyle="1" w:styleId="1415">
    <w:name w:val="pad"/>
    <w:basedOn w:val="1"/>
    <w:semiHidden/>
    <w:qFormat/>
    <w:uiPriority w:val="0"/>
    <w:pPr>
      <w:widowControl/>
      <w:tabs>
        <w:tab w:val="clear" w:pos="480"/>
      </w:tabs>
      <w:spacing w:before="100" w:beforeAutospacing="1" w:after="100" w:afterAutospacing="1" w:line="240" w:lineRule="auto"/>
      <w:jc w:val="left"/>
    </w:pPr>
    <w:rPr>
      <w:rFonts w:ascii="Arial Unicode MS" w:hAnsi="Arial Unicode MS" w:eastAsia="Arial Unicode MS" w:cs="Arial Unicode MS"/>
      <w:kern w:val="0"/>
    </w:rPr>
  </w:style>
  <w:style w:type="paragraph" w:customStyle="1" w:styleId="1416">
    <w:name w:val="textfield"/>
    <w:basedOn w:val="1"/>
    <w:semiHidden/>
    <w:qFormat/>
    <w:uiPriority w:val="0"/>
    <w:pPr>
      <w:widowControl/>
      <w:pBdr>
        <w:top w:val="single" w:color="000000" w:sz="6" w:space="0"/>
        <w:left w:val="single" w:color="000000" w:sz="6" w:space="0"/>
        <w:bottom w:val="single" w:color="000000" w:sz="6" w:space="0"/>
        <w:right w:val="single" w:color="000000" w:sz="6" w:space="0"/>
      </w:pBdr>
      <w:shd w:val="clear" w:color="auto" w:fill="FFFFFF"/>
      <w:tabs>
        <w:tab w:val="clear" w:pos="480"/>
      </w:tabs>
      <w:spacing w:before="100" w:beforeAutospacing="1" w:after="100" w:afterAutospacing="1" w:line="240" w:lineRule="auto"/>
      <w:jc w:val="left"/>
    </w:pPr>
    <w:rPr>
      <w:rFonts w:eastAsia="Arial Unicode MS" w:cs="Arial Unicode MS"/>
      <w:color w:val="00152B"/>
      <w:kern w:val="0"/>
      <w:sz w:val="18"/>
      <w:szCs w:val="18"/>
    </w:rPr>
  </w:style>
  <w:style w:type="paragraph" w:customStyle="1" w:styleId="1417">
    <w:name w:val="hangju1"/>
    <w:basedOn w:val="1"/>
    <w:semiHidden/>
    <w:qFormat/>
    <w:uiPriority w:val="0"/>
    <w:pPr>
      <w:widowControl/>
      <w:tabs>
        <w:tab w:val="clear" w:pos="480"/>
      </w:tabs>
      <w:spacing w:before="100" w:beforeAutospacing="1" w:after="100" w:afterAutospacing="1" w:line="255" w:lineRule="atLeast"/>
      <w:jc w:val="left"/>
    </w:pPr>
    <w:rPr>
      <w:rFonts w:ascii="Arial Unicode MS" w:hAnsi="Arial Unicode MS" w:eastAsia="Arial Unicode MS" w:cs="Arial Unicode MS"/>
      <w:kern w:val="0"/>
    </w:rPr>
  </w:style>
  <w:style w:type="paragraph" w:customStyle="1" w:styleId="1418">
    <w:name w:val="表标题 Char Char"/>
    <w:basedOn w:val="1"/>
    <w:semiHidden/>
    <w:qFormat/>
    <w:uiPriority w:val="0"/>
    <w:pPr>
      <w:tabs>
        <w:tab w:val="clear" w:pos="480"/>
      </w:tabs>
      <w:adjustRightInd w:val="0"/>
      <w:snapToGrid w:val="0"/>
      <w:spacing w:before="40" w:afterLines="50" w:line="400" w:lineRule="atLeast"/>
      <w:jc w:val="center"/>
    </w:pPr>
    <w:rPr>
      <w:b/>
      <w:bCs/>
    </w:rPr>
  </w:style>
  <w:style w:type="character" w:customStyle="1" w:styleId="1419">
    <w:name w:val="表标题 Char Char Char"/>
    <w:semiHidden/>
    <w:qFormat/>
    <w:uiPriority w:val="0"/>
    <w:rPr>
      <w:rFonts w:eastAsia="宋体"/>
      <w:b/>
      <w:bCs/>
      <w:kern w:val="2"/>
      <w:sz w:val="24"/>
      <w:szCs w:val="24"/>
      <w:lang w:val="en-US" w:eastAsia="zh-CN" w:bidi="ar-SA"/>
    </w:rPr>
  </w:style>
  <w:style w:type="paragraph" w:customStyle="1" w:styleId="1420">
    <w:name w:val="表第一列"/>
    <w:basedOn w:val="85"/>
    <w:semiHidden/>
    <w:qFormat/>
    <w:uiPriority w:val="0"/>
    <w:pPr>
      <w:keepNext/>
      <w:keepLines/>
      <w:tabs>
        <w:tab w:val="left" w:pos="1727"/>
        <w:tab w:val="left" w:pos="1884"/>
        <w:tab w:val="left" w:pos="2940"/>
      </w:tabs>
      <w:adjustRightInd w:val="0"/>
      <w:snapToGrid w:val="0"/>
      <w:spacing w:after="0" w:line="0" w:lineRule="atLeast"/>
      <w:ind w:firstLine="0" w:firstLineChars="0"/>
      <w:jc w:val="center"/>
    </w:pPr>
    <w:rPr>
      <w:rFonts w:ascii="宋体" w:hAnsi="宋体"/>
      <w:color w:val="000000"/>
      <w:spacing w:val="-4"/>
      <w:kern w:val="0"/>
      <w:szCs w:val="20"/>
    </w:rPr>
  </w:style>
  <w:style w:type="character" w:customStyle="1" w:styleId="1421">
    <w:name w:val="c121"/>
    <w:semiHidden/>
    <w:qFormat/>
    <w:uiPriority w:val="0"/>
    <w:rPr>
      <w:color w:val="666666"/>
      <w:spacing w:val="405"/>
      <w:sz w:val="18"/>
      <w:szCs w:val="18"/>
      <w:u w:val="none"/>
    </w:rPr>
  </w:style>
  <w:style w:type="paragraph" w:customStyle="1" w:styleId="1422">
    <w:name w:val="文本"/>
    <w:basedOn w:val="1"/>
    <w:link w:val="1557"/>
    <w:qFormat/>
    <w:uiPriority w:val="0"/>
    <w:pPr>
      <w:tabs>
        <w:tab w:val="clear" w:pos="480"/>
      </w:tabs>
      <w:adjustRightInd w:val="0"/>
      <w:spacing w:line="240" w:lineRule="auto"/>
      <w:jc w:val="left"/>
      <w:textAlignment w:val="baseline"/>
    </w:pPr>
    <w:rPr>
      <w:rFonts w:ascii="宋体"/>
      <w:kern w:val="0"/>
      <w:sz w:val="28"/>
      <w:szCs w:val="20"/>
      <w:lang w:val="zh-CN"/>
    </w:rPr>
  </w:style>
  <w:style w:type="paragraph" w:customStyle="1" w:styleId="1423">
    <w:name w:val="编号正文"/>
    <w:basedOn w:val="21"/>
    <w:semiHidden/>
    <w:qFormat/>
    <w:uiPriority w:val="0"/>
    <w:pPr>
      <w:tabs>
        <w:tab w:val="clear" w:pos="480"/>
      </w:tabs>
      <w:ind w:firstLine="480"/>
    </w:pPr>
    <w:rPr>
      <w:kern w:val="0"/>
    </w:rPr>
  </w:style>
  <w:style w:type="paragraph" w:customStyle="1" w:styleId="1424">
    <w:name w:val="表格文字（居中）"/>
    <w:basedOn w:val="1"/>
    <w:semiHidden/>
    <w:qFormat/>
    <w:uiPriority w:val="0"/>
    <w:pPr>
      <w:tabs>
        <w:tab w:val="clear" w:pos="480"/>
      </w:tabs>
      <w:spacing w:line="240" w:lineRule="auto"/>
      <w:jc w:val="center"/>
    </w:pPr>
    <w:rPr>
      <w:sz w:val="21"/>
      <w:szCs w:val="21"/>
    </w:rPr>
  </w:style>
  <w:style w:type="paragraph" w:customStyle="1" w:styleId="1425">
    <w:name w:val="湛江沥青正文"/>
    <w:basedOn w:val="1"/>
    <w:qFormat/>
    <w:uiPriority w:val="0"/>
    <w:pPr>
      <w:tabs>
        <w:tab w:val="clear" w:pos="480"/>
      </w:tabs>
      <w:ind w:firstLine="480"/>
    </w:pPr>
    <w:rPr>
      <w:rFonts w:ascii="宋体" w:hAnsi="宋体"/>
    </w:rPr>
  </w:style>
  <w:style w:type="paragraph" w:customStyle="1" w:styleId="1426">
    <w:name w:val="小注"/>
    <w:basedOn w:val="1"/>
    <w:next w:val="1"/>
    <w:qFormat/>
    <w:uiPriority w:val="0"/>
    <w:pPr>
      <w:tabs>
        <w:tab w:val="clear" w:pos="480"/>
      </w:tabs>
      <w:adjustRightInd w:val="0"/>
      <w:snapToGrid w:val="0"/>
      <w:spacing w:after="360" w:line="360" w:lineRule="atLeast"/>
    </w:pPr>
    <w:rPr>
      <w:rFonts w:ascii="宋体"/>
      <w:spacing w:val="14"/>
      <w:sz w:val="21"/>
      <w:szCs w:val="20"/>
    </w:rPr>
  </w:style>
  <w:style w:type="paragraph" w:customStyle="1" w:styleId="1427">
    <w:name w:val="题1"/>
    <w:basedOn w:val="1"/>
    <w:qFormat/>
    <w:uiPriority w:val="0"/>
    <w:pPr>
      <w:tabs>
        <w:tab w:val="left" w:pos="964"/>
        <w:tab w:val="clear" w:pos="480"/>
      </w:tabs>
      <w:spacing w:before="120" w:after="120" w:line="240" w:lineRule="auto"/>
    </w:pPr>
    <w:rPr>
      <w:b/>
      <w:sz w:val="32"/>
      <w:szCs w:val="20"/>
    </w:rPr>
  </w:style>
  <w:style w:type="paragraph" w:customStyle="1" w:styleId="1428">
    <w:name w:val="样式 题注 + 居中"/>
    <w:basedOn w:val="22"/>
    <w:qFormat/>
    <w:uiPriority w:val="0"/>
    <w:pPr>
      <w:widowControl w:val="0"/>
      <w:tabs>
        <w:tab w:val="left" w:pos="0"/>
      </w:tabs>
      <w:adjustRightInd/>
      <w:snapToGrid/>
      <w:spacing w:before="0" w:after="0" w:line="324" w:lineRule="auto"/>
      <w:ind w:firstLine="0" w:firstLineChars="0"/>
      <w:jc w:val="both"/>
    </w:pPr>
    <w:rPr>
      <w:rFonts w:cs="Times New Roman"/>
      <w:b/>
      <w:bCs/>
      <w:kern w:val="0"/>
      <w:sz w:val="21"/>
      <w:szCs w:val="24"/>
    </w:rPr>
  </w:style>
  <w:style w:type="paragraph" w:customStyle="1" w:styleId="1429">
    <w:name w:val="样式 题注2 + 首行缩进:  2 字符"/>
    <w:basedOn w:val="811"/>
    <w:qFormat/>
    <w:uiPriority w:val="0"/>
    <w:pPr>
      <w:numPr>
        <w:ilvl w:val="0"/>
        <w:numId w:val="19"/>
      </w:numPr>
      <w:tabs>
        <w:tab w:val="clear" w:pos="720"/>
      </w:tabs>
      <w:ind w:left="0" w:firstLine="420"/>
      <w:jc w:val="center"/>
    </w:pPr>
    <w:rPr>
      <w:b/>
      <w:bCs/>
      <w:color w:val="000000"/>
      <w:szCs w:val="24"/>
    </w:rPr>
  </w:style>
  <w:style w:type="character" w:customStyle="1" w:styleId="1430">
    <w:name w:val="码头正文 Char"/>
    <w:qFormat/>
    <w:uiPriority w:val="0"/>
    <w:rPr>
      <w:rFonts w:hAnsi="宋体" w:eastAsia="宋体"/>
      <w:bCs/>
      <w:sz w:val="24"/>
      <w:szCs w:val="24"/>
      <w:u w:color="000000"/>
      <w:lang w:val="en-US" w:eastAsia="zh-CN" w:bidi="ar-SA"/>
    </w:rPr>
  </w:style>
  <w:style w:type="paragraph" w:customStyle="1" w:styleId="1431">
    <w:name w:val="样式 报告书正文 + 首行缩进:  2 字符"/>
    <w:basedOn w:val="1"/>
    <w:qFormat/>
    <w:uiPriority w:val="0"/>
    <w:pPr>
      <w:tabs>
        <w:tab w:val="clear" w:pos="480"/>
      </w:tabs>
      <w:ind w:firstLine="504"/>
    </w:pPr>
    <w:rPr>
      <w:rFonts w:ascii="宋体" w:hAnsi="宋体"/>
      <w:color w:val="000000"/>
      <w:spacing w:val="6"/>
      <w:szCs w:val="20"/>
    </w:rPr>
  </w:style>
  <w:style w:type="character" w:customStyle="1" w:styleId="1432">
    <w:name w:val="theinfocontent"/>
    <w:basedOn w:val="132"/>
    <w:semiHidden/>
    <w:qFormat/>
    <w:uiPriority w:val="0"/>
  </w:style>
  <w:style w:type="paragraph" w:customStyle="1" w:styleId="1433">
    <w:name w:val="湛宝正文"/>
    <w:basedOn w:val="1"/>
    <w:qFormat/>
    <w:uiPriority w:val="0"/>
    <w:pPr>
      <w:tabs>
        <w:tab w:val="clear" w:pos="480"/>
      </w:tabs>
      <w:jc w:val="left"/>
    </w:pPr>
    <w:rPr>
      <w:color w:val="000000"/>
    </w:rPr>
  </w:style>
  <w:style w:type="paragraph" w:customStyle="1" w:styleId="1434">
    <w:name w:val="目次、标准名称标题"/>
    <w:basedOn w:val="229"/>
    <w:next w:val="750"/>
    <w:qFormat/>
    <w:uiPriority w:val="0"/>
    <w:pPr>
      <w:tabs>
        <w:tab w:val="clear" w:pos="903"/>
      </w:tabs>
      <w:spacing w:line="460" w:lineRule="exact"/>
      <w:ind w:left="0" w:firstLine="0"/>
    </w:pPr>
    <w:rPr>
      <w:szCs w:val="20"/>
    </w:rPr>
  </w:style>
  <w:style w:type="paragraph" w:customStyle="1" w:styleId="1435">
    <w:name w:val="附录标识"/>
    <w:basedOn w:val="229"/>
    <w:qFormat/>
    <w:uiPriority w:val="0"/>
    <w:pPr>
      <w:tabs>
        <w:tab w:val="left" w:pos="6405"/>
        <w:tab w:val="clear" w:pos="903"/>
      </w:tabs>
      <w:spacing w:after="200" w:line="360" w:lineRule="auto"/>
      <w:ind w:left="0" w:firstLine="0"/>
    </w:pPr>
    <w:rPr>
      <w:sz w:val="21"/>
      <w:szCs w:val="20"/>
    </w:rPr>
  </w:style>
  <w:style w:type="paragraph" w:customStyle="1" w:styleId="1436">
    <w:name w:val="附录章标题"/>
    <w:next w:val="750"/>
    <w:qFormat/>
    <w:uiPriority w:val="0"/>
    <w:pPr>
      <w:wordWrap w:val="0"/>
      <w:overflowPunct w:val="0"/>
      <w:autoSpaceDE w:val="0"/>
      <w:spacing w:beforeLines="50" w:afterLines="50" w:line="360" w:lineRule="auto"/>
      <w:ind w:firstLine="200" w:firstLineChars="200"/>
      <w:jc w:val="both"/>
      <w:textAlignment w:val="baseline"/>
      <w:outlineLvl w:val="1"/>
    </w:pPr>
    <w:rPr>
      <w:rFonts w:ascii="黑体" w:hAnsi="Times New Roman" w:eastAsia="黑体" w:cs="Times New Roman"/>
      <w:kern w:val="21"/>
      <w:sz w:val="21"/>
      <w:szCs w:val="24"/>
      <w:lang w:val="en-US" w:eastAsia="zh-CN" w:bidi="ar-SA"/>
    </w:rPr>
  </w:style>
  <w:style w:type="paragraph" w:customStyle="1" w:styleId="1437">
    <w:name w:val="附录一级条标题"/>
    <w:basedOn w:val="1436"/>
    <w:next w:val="750"/>
    <w:qFormat/>
    <w:uiPriority w:val="0"/>
    <w:pPr>
      <w:tabs>
        <w:tab w:val="left" w:pos="828"/>
      </w:tabs>
      <w:autoSpaceDN w:val="0"/>
      <w:spacing w:beforeLines="0" w:afterLines="0"/>
      <w:ind w:left="828" w:hanging="240"/>
      <w:outlineLvl w:val="2"/>
    </w:pPr>
  </w:style>
  <w:style w:type="paragraph" w:customStyle="1" w:styleId="1438">
    <w:name w:val="附录二级条标题"/>
    <w:basedOn w:val="1437"/>
    <w:next w:val="750"/>
    <w:qFormat/>
    <w:uiPriority w:val="0"/>
    <w:pPr>
      <w:tabs>
        <w:tab w:val="left" w:pos="360"/>
        <w:tab w:val="clear" w:pos="828"/>
      </w:tabs>
      <w:ind w:left="360" w:hanging="360"/>
      <w:outlineLvl w:val="3"/>
    </w:pPr>
  </w:style>
  <w:style w:type="paragraph" w:customStyle="1" w:styleId="1439">
    <w:name w:val="附录三级条标题"/>
    <w:basedOn w:val="1438"/>
    <w:next w:val="750"/>
    <w:qFormat/>
    <w:uiPriority w:val="0"/>
    <w:pPr>
      <w:tabs>
        <w:tab w:val="left" w:pos="1068"/>
        <w:tab w:val="clear" w:pos="360"/>
      </w:tabs>
      <w:ind w:left="1068"/>
      <w:outlineLvl w:val="4"/>
    </w:pPr>
  </w:style>
  <w:style w:type="paragraph" w:customStyle="1" w:styleId="1440">
    <w:name w:val="附录四级条标题"/>
    <w:basedOn w:val="1439"/>
    <w:next w:val="750"/>
    <w:qFormat/>
    <w:uiPriority w:val="0"/>
    <w:pPr>
      <w:tabs>
        <w:tab w:val="left" w:pos="960"/>
        <w:tab w:val="clear" w:pos="1068"/>
      </w:tabs>
      <w:ind w:left="960"/>
      <w:outlineLvl w:val="5"/>
    </w:pPr>
  </w:style>
  <w:style w:type="paragraph" w:customStyle="1" w:styleId="1441">
    <w:name w:val="附录五级条标题"/>
    <w:basedOn w:val="1440"/>
    <w:next w:val="750"/>
    <w:qFormat/>
    <w:uiPriority w:val="0"/>
    <w:pPr>
      <w:tabs>
        <w:tab w:val="left" w:pos="435"/>
        <w:tab w:val="clear" w:pos="960"/>
      </w:tabs>
      <w:ind w:left="435" w:hanging="165"/>
      <w:outlineLvl w:val="6"/>
    </w:pPr>
  </w:style>
  <w:style w:type="paragraph" w:customStyle="1" w:styleId="1442">
    <w:name w:val="列项·"/>
    <w:qFormat/>
    <w:uiPriority w:val="0"/>
    <w:pPr>
      <w:tabs>
        <w:tab w:val="left" w:pos="840"/>
      </w:tabs>
      <w:spacing w:line="360" w:lineRule="auto"/>
      <w:ind w:left="840" w:leftChars="200" w:hanging="420" w:hangingChars="200"/>
      <w:jc w:val="both"/>
    </w:pPr>
    <w:rPr>
      <w:rFonts w:ascii="宋体" w:hAnsi="Times New Roman" w:eastAsia="宋体" w:cs="Times New Roman"/>
      <w:kern w:val="2"/>
      <w:sz w:val="21"/>
      <w:szCs w:val="24"/>
      <w:lang w:val="en-US" w:eastAsia="zh-CN" w:bidi="ar-SA"/>
    </w:rPr>
  </w:style>
  <w:style w:type="paragraph" w:customStyle="1" w:styleId="1443">
    <w:name w:val="三级无标题条"/>
    <w:basedOn w:val="1"/>
    <w:qFormat/>
    <w:uiPriority w:val="0"/>
    <w:pPr>
      <w:tabs>
        <w:tab w:val="clear" w:pos="480"/>
      </w:tabs>
      <w:spacing w:line="240" w:lineRule="auto"/>
    </w:pPr>
    <w:rPr>
      <w:sz w:val="21"/>
    </w:rPr>
  </w:style>
  <w:style w:type="paragraph" w:customStyle="1" w:styleId="1444">
    <w:name w:val="示例"/>
    <w:next w:val="750"/>
    <w:qFormat/>
    <w:uiPriority w:val="0"/>
    <w:pPr>
      <w:tabs>
        <w:tab w:val="left" w:pos="816"/>
      </w:tabs>
      <w:spacing w:line="360" w:lineRule="auto"/>
      <w:ind w:firstLine="419" w:firstLineChars="233"/>
      <w:jc w:val="both"/>
    </w:pPr>
    <w:rPr>
      <w:rFonts w:ascii="宋体" w:hAnsi="Times New Roman" w:eastAsia="宋体" w:cs="Times New Roman"/>
      <w:kern w:val="2"/>
      <w:sz w:val="18"/>
      <w:szCs w:val="24"/>
      <w:lang w:val="en-US" w:eastAsia="zh-CN" w:bidi="ar-SA"/>
    </w:rPr>
  </w:style>
  <w:style w:type="paragraph" w:customStyle="1" w:styleId="1445">
    <w:name w:val="四级无标题条"/>
    <w:basedOn w:val="1"/>
    <w:qFormat/>
    <w:uiPriority w:val="0"/>
    <w:pPr>
      <w:tabs>
        <w:tab w:val="left" w:pos="1365"/>
        <w:tab w:val="clear" w:pos="480"/>
      </w:tabs>
      <w:spacing w:line="240" w:lineRule="auto"/>
      <w:ind w:left="1365" w:hanging="720"/>
    </w:pPr>
    <w:rPr>
      <w:sz w:val="21"/>
    </w:rPr>
  </w:style>
  <w:style w:type="paragraph" w:customStyle="1" w:styleId="1446">
    <w:name w:val="五级无标题条"/>
    <w:basedOn w:val="1"/>
    <w:qFormat/>
    <w:uiPriority w:val="0"/>
    <w:pPr>
      <w:tabs>
        <w:tab w:val="clear" w:pos="480"/>
      </w:tabs>
      <w:spacing w:line="240" w:lineRule="auto"/>
    </w:pPr>
    <w:rPr>
      <w:sz w:val="21"/>
    </w:rPr>
  </w:style>
  <w:style w:type="paragraph" w:customStyle="1" w:styleId="1447">
    <w:name w:val="一级无标题条"/>
    <w:basedOn w:val="1"/>
    <w:qFormat/>
    <w:uiPriority w:val="0"/>
    <w:pPr>
      <w:tabs>
        <w:tab w:val="clear" w:pos="480"/>
      </w:tabs>
      <w:spacing w:line="240" w:lineRule="auto"/>
    </w:pPr>
    <w:rPr>
      <w:sz w:val="21"/>
    </w:rPr>
  </w:style>
  <w:style w:type="paragraph" w:customStyle="1" w:styleId="1448">
    <w:name w:val="正文表标题"/>
    <w:next w:val="750"/>
    <w:qFormat/>
    <w:uiPriority w:val="0"/>
    <w:pPr>
      <w:spacing w:line="360" w:lineRule="auto"/>
      <w:ind w:firstLine="200" w:firstLineChars="200"/>
      <w:jc w:val="center"/>
    </w:pPr>
    <w:rPr>
      <w:rFonts w:ascii="黑体" w:hAnsi="Times New Roman" w:eastAsia="黑体" w:cs="Times New Roman"/>
      <w:kern w:val="2"/>
      <w:sz w:val="21"/>
      <w:szCs w:val="24"/>
      <w:lang w:val="en-US" w:eastAsia="zh-CN" w:bidi="ar-SA"/>
    </w:rPr>
  </w:style>
  <w:style w:type="paragraph" w:customStyle="1" w:styleId="1449">
    <w:name w:val="正文图标题"/>
    <w:next w:val="750"/>
    <w:qFormat/>
    <w:uiPriority w:val="0"/>
    <w:pPr>
      <w:spacing w:line="360" w:lineRule="auto"/>
      <w:ind w:firstLine="200" w:firstLineChars="200"/>
      <w:jc w:val="center"/>
    </w:pPr>
    <w:rPr>
      <w:rFonts w:ascii="黑体" w:hAnsi="Times New Roman" w:eastAsia="黑体" w:cs="Times New Roman"/>
      <w:kern w:val="2"/>
      <w:sz w:val="21"/>
      <w:szCs w:val="24"/>
      <w:lang w:val="en-US" w:eastAsia="zh-CN" w:bidi="ar-SA"/>
    </w:rPr>
  </w:style>
  <w:style w:type="paragraph" w:customStyle="1" w:styleId="1450">
    <w:name w:val="注×："/>
    <w:qFormat/>
    <w:uiPriority w:val="0"/>
    <w:pPr>
      <w:widowControl w:val="0"/>
      <w:tabs>
        <w:tab w:val="left" w:pos="630"/>
        <w:tab w:val="left" w:pos="680"/>
      </w:tabs>
      <w:autoSpaceDE w:val="0"/>
      <w:autoSpaceDN w:val="0"/>
      <w:spacing w:line="360" w:lineRule="auto"/>
      <w:ind w:left="680" w:hanging="360" w:firstLineChars="200"/>
      <w:jc w:val="both"/>
    </w:pPr>
    <w:rPr>
      <w:rFonts w:ascii="宋体" w:hAnsi="Times New Roman" w:eastAsia="宋体" w:cs="Times New Roman"/>
      <w:kern w:val="2"/>
      <w:sz w:val="18"/>
      <w:szCs w:val="24"/>
      <w:lang w:val="en-US" w:eastAsia="zh-CN" w:bidi="ar-SA"/>
    </w:rPr>
  </w:style>
  <w:style w:type="paragraph" w:customStyle="1" w:styleId="1451">
    <w:name w:val="标准书脚_偶数页"/>
    <w:semiHidden/>
    <w:qFormat/>
    <w:uiPriority w:val="0"/>
    <w:pPr>
      <w:spacing w:before="120" w:line="360" w:lineRule="auto"/>
      <w:ind w:firstLine="200" w:firstLineChars="200"/>
      <w:jc w:val="both"/>
    </w:pPr>
    <w:rPr>
      <w:rFonts w:ascii="Times New Roman" w:hAnsi="Times New Roman" w:eastAsia="宋体" w:cs="Times New Roman"/>
      <w:kern w:val="2"/>
      <w:sz w:val="18"/>
      <w:szCs w:val="24"/>
      <w:lang w:val="en-US" w:eastAsia="zh-CN" w:bidi="ar-SA"/>
    </w:rPr>
  </w:style>
  <w:style w:type="paragraph" w:customStyle="1" w:styleId="1452">
    <w:name w:val="封面正文"/>
    <w:qFormat/>
    <w:uiPriority w:val="0"/>
    <w:pPr>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453">
    <w:name w:val="标准书眉_偶数页"/>
    <w:basedOn w:val="1454"/>
    <w:next w:val="1"/>
    <w:qFormat/>
    <w:uiPriority w:val="0"/>
    <w:pPr>
      <w:tabs>
        <w:tab w:val="center" w:pos="4154"/>
        <w:tab w:val="right" w:pos="8306"/>
      </w:tabs>
      <w:jc w:val="left"/>
    </w:pPr>
  </w:style>
  <w:style w:type="paragraph" w:customStyle="1" w:styleId="1454">
    <w:name w:val="标准书眉_奇数页"/>
    <w:next w:val="1"/>
    <w:semiHidden/>
    <w:qFormat/>
    <w:uiPriority w:val="0"/>
    <w:pPr>
      <w:tabs>
        <w:tab w:val="center" w:pos="4154"/>
        <w:tab w:val="right" w:pos="8306"/>
      </w:tabs>
      <w:spacing w:after="120" w:line="360" w:lineRule="auto"/>
      <w:ind w:firstLine="200" w:firstLineChars="200"/>
      <w:jc w:val="right"/>
    </w:pPr>
    <w:rPr>
      <w:rFonts w:ascii="Times New Roman" w:hAnsi="Times New Roman" w:eastAsia="宋体" w:cs="Times New Roman"/>
      <w:kern w:val="2"/>
      <w:sz w:val="21"/>
      <w:szCs w:val="24"/>
      <w:lang w:val="en-US" w:eastAsia="zh-CN" w:bidi="ar-SA"/>
    </w:rPr>
  </w:style>
  <w:style w:type="paragraph" w:customStyle="1" w:styleId="1455">
    <w:name w:val="样式 仿宋_GB2312 四号 段前: 7.8 磅 段后: 7.8 磅 行距: 1.5 倍行距"/>
    <w:basedOn w:val="1"/>
    <w:qFormat/>
    <w:uiPriority w:val="0"/>
    <w:pPr>
      <w:tabs>
        <w:tab w:val="clear" w:pos="480"/>
      </w:tabs>
      <w:spacing w:before="156" w:after="156"/>
      <w:ind w:firstLine="630" w:firstLineChars="225"/>
    </w:pPr>
    <w:rPr>
      <w:rFonts w:ascii="Arial" w:hAnsi="Arial"/>
      <w:szCs w:val="20"/>
    </w:rPr>
  </w:style>
  <w:style w:type="paragraph" w:customStyle="1" w:styleId="1456">
    <w:name w:val="样式 小四 首行缩进:  2 字符"/>
    <w:basedOn w:val="1"/>
    <w:qFormat/>
    <w:uiPriority w:val="0"/>
    <w:pPr>
      <w:tabs>
        <w:tab w:val="clear" w:pos="480"/>
      </w:tabs>
      <w:spacing w:before="120" w:after="120" w:line="312" w:lineRule="auto"/>
      <w:ind w:firstLine="482"/>
    </w:pPr>
    <w:rPr>
      <w:rFonts w:cs="宋体"/>
      <w:b/>
    </w:rPr>
  </w:style>
  <w:style w:type="paragraph" w:customStyle="1" w:styleId="1457">
    <w:name w:val="样式 首行缩进:  0.85 厘米"/>
    <w:basedOn w:val="1"/>
    <w:qFormat/>
    <w:uiPriority w:val="0"/>
    <w:pPr>
      <w:tabs>
        <w:tab w:val="clear" w:pos="480"/>
      </w:tabs>
      <w:spacing w:before="80" w:after="80" w:line="400" w:lineRule="exact"/>
      <w:ind w:firstLine="480"/>
    </w:pPr>
    <w:rPr>
      <w:color w:val="000000"/>
    </w:rPr>
  </w:style>
  <w:style w:type="character" w:customStyle="1" w:styleId="1458">
    <w:name w:val="黑体 Char"/>
    <w:qFormat/>
    <w:uiPriority w:val="0"/>
    <w:rPr>
      <w:rFonts w:eastAsia="宋体"/>
      <w:b/>
      <w:kern w:val="2"/>
      <w:sz w:val="24"/>
      <w:lang w:val="en-US" w:eastAsia="zh-CN" w:bidi="ar-SA"/>
    </w:rPr>
  </w:style>
  <w:style w:type="paragraph" w:customStyle="1" w:styleId="1459">
    <w:name w:val="题目"/>
    <w:basedOn w:val="1"/>
    <w:qFormat/>
    <w:uiPriority w:val="0"/>
    <w:pPr>
      <w:tabs>
        <w:tab w:val="clear" w:pos="480"/>
      </w:tabs>
      <w:spacing w:before="31" w:line="240" w:lineRule="auto"/>
      <w:jc w:val="center"/>
    </w:pPr>
    <w:rPr>
      <w:b/>
      <w:kern w:val="0"/>
      <w:sz w:val="44"/>
      <w:szCs w:val="20"/>
    </w:rPr>
  </w:style>
  <w:style w:type="paragraph" w:customStyle="1" w:styleId="1460">
    <w:name w:val="样式 四号 首行缩进:  1.01 厘米 行距: 固定值 30 磅"/>
    <w:basedOn w:val="1"/>
    <w:link w:val="1461"/>
    <w:qFormat/>
    <w:uiPriority w:val="0"/>
    <w:pPr>
      <w:tabs>
        <w:tab w:val="clear" w:pos="480"/>
      </w:tabs>
      <w:spacing w:line="600" w:lineRule="exact"/>
      <w:ind w:firstLine="570"/>
    </w:pPr>
    <w:rPr>
      <w:kern w:val="0"/>
      <w:sz w:val="28"/>
      <w:szCs w:val="20"/>
      <w:lang w:val="zh-CN"/>
    </w:rPr>
  </w:style>
  <w:style w:type="character" w:customStyle="1" w:styleId="1461">
    <w:name w:val="样式 四号 首行缩进:  1.01 厘米 行距: 固定值 30 磅 Char"/>
    <w:link w:val="1460"/>
    <w:qFormat/>
    <w:uiPriority w:val="0"/>
    <w:rPr>
      <w:rFonts w:eastAsia="宋体"/>
      <w:sz w:val="28"/>
      <w:lang w:bidi="ar-SA"/>
    </w:rPr>
  </w:style>
  <w:style w:type="paragraph" w:customStyle="1" w:styleId="1462">
    <w:name w:val="样式 标题 3标题 3 Char + 四号 段前: 5 磅 段后: 5 磅 行距: 固定值 30 磅"/>
    <w:basedOn w:val="5"/>
    <w:qFormat/>
    <w:uiPriority w:val="0"/>
    <w:pPr>
      <w:numPr>
        <w:ilvl w:val="0"/>
        <w:numId w:val="0"/>
      </w:numPr>
      <w:tabs>
        <w:tab w:val="clear" w:pos="480"/>
        <w:tab w:val="clear" w:pos="840"/>
      </w:tabs>
      <w:spacing w:after="120" w:line="600" w:lineRule="exact"/>
      <w:ind w:firstLine="200" w:firstLineChars="200"/>
    </w:pPr>
    <w:rPr>
      <w:rFonts w:ascii="Times New Roman" w:eastAsia="黑体" w:cs="宋体"/>
      <w:b w:val="0"/>
      <w:sz w:val="28"/>
      <w:szCs w:val="28"/>
    </w:rPr>
  </w:style>
  <w:style w:type="paragraph" w:customStyle="1" w:styleId="1463">
    <w:name w:val="样式 标题 2SeHead wsa2ChapterChapter TitleH2标题 2 Char Char Cha..."/>
    <w:basedOn w:val="4"/>
    <w:qFormat/>
    <w:uiPriority w:val="0"/>
    <w:pPr>
      <w:numPr>
        <w:ilvl w:val="0"/>
        <w:numId w:val="0"/>
      </w:numPr>
      <w:tabs>
        <w:tab w:val="clear" w:pos="480"/>
        <w:tab w:val="clear" w:pos="630"/>
      </w:tabs>
      <w:spacing w:before="240" w:after="240" w:line="600" w:lineRule="exact"/>
      <w:jc w:val="center"/>
    </w:pPr>
    <w:rPr>
      <w:rFonts w:eastAsia="楷体_GB2312" w:cs="宋体"/>
    </w:rPr>
  </w:style>
  <w:style w:type="character" w:customStyle="1" w:styleId="1464">
    <w:name w:val="Plain Text Char1 Char"/>
    <w:semiHidden/>
    <w:qFormat/>
    <w:uiPriority w:val="0"/>
    <w:rPr>
      <w:rFonts w:eastAsia="楷体_GB2312"/>
      <w:kern w:val="2"/>
      <w:sz w:val="28"/>
      <w:szCs w:val="28"/>
    </w:rPr>
  </w:style>
  <w:style w:type="paragraph" w:customStyle="1" w:styleId="1465">
    <w:name w:val="表蕊"/>
    <w:basedOn w:val="1"/>
    <w:qFormat/>
    <w:uiPriority w:val="0"/>
    <w:pPr>
      <w:tabs>
        <w:tab w:val="left" w:pos="5040"/>
        <w:tab w:val="clear" w:pos="480"/>
      </w:tabs>
      <w:adjustRightInd w:val="0"/>
      <w:spacing w:line="280" w:lineRule="atLeast"/>
      <w:ind w:left="-120" w:leftChars="-57"/>
      <w:jc w:val="left"/>
      <w:textAlignment w:val="baseline"/>
    </w:pPr>
    <w:rPr>
      <w:rFonts w:eastAsia="楷体_GB2312"/>
      <w:spacing w:val="-10"/>
      <w:kern w:val="0"/>
      <w:sz w:val="21"/>
      <w:szCs w:val="21"/>
    </w:rPr>
  </w:style>
  <w:style w:type="character" w:customStyle="1" w:styleId="1466">
    <w:name w:val="word2"/>
    <w:basedOn w:val="132"/>
    <w:semiHidden/>
    <w:qFormat/>
    <w:uiPriority w:val="0"/>
  </w:style>
  <w:style w:type="character" w:customStyle="1" w:styleId="1467">
    <w:name w:val="word"/>
    <w:basedOn w:val="132"/>
    <w:semiHidden/>
    <w:qFormat/>
    <w:uiPriority w:val="0"/>
  </w:style>
  <w:style w:type="paragraph" w:customStyle="1" w:styleId="1468">
    <w:name w:val="样式 标题 1 + 黑体 三号 居中 段前: 0 磅 段后: 0 磅 行距: 固定值 30 磅"/>
    <w:basedOn w:val="3"/>
    <w:qFormat/>
    <w:uiPriority w:val="0"/>
    <w:pPr>
      <w:numPr>
        <w:numId w:val="0"/>
      </w:numPr>
      <w:tabs>
        <w:tab w:val="clear" w:pos="480"/>
      </w:tabs>
      <w:spacing w:beforeLines="50" w:afterLines="50" w:line="600" w:lineRule="exact"/>
      <w:jc w:val="center"/>
    </w:pPr>
    <w:rPr>
      <w:rFonts w:ascii="黑体" w:eastAsia="黑体" w:cs="宋体"/>
      <w:b w:val="0"/>
      <w:sz w:val="32"/>
      <w:szCs w:val="32"/>
    </w:rPr>
  </w:style>
  <w:style w:type="paragraph" w:customStyle="1" w:styleId="1469">
    <w:name w:val="style2"/>
    <w:basedOn w:val="1"/>
    <w:semiHidden/>
    <w:qFormat/>
    <w:uiPriority w:val="0"/>
    <w:pPr>
      <w:widowControl/>
      <w:tabs>
        <w:tab w:val="clear" w:pos="480"/>
      </w:tabs>
      <w:spacing w:before="100" w:beforeAutospacing="1" w:after="100" w:afterAutospacing="1" w:line="300" w:lineRule="atLeast"/>
      <w:jc w:val="left"/>
    </w:pPr>
    <w:rPr>
      <w:rFonts w:ascii="宋体" w:hAnsi="宋体" w:cs="宋体"/>
      <w:kern w:val="0"/>
      <w:sz w:val="18"/>
      <w:szCs w:val="18"/>
    </w:rPr>
  </w:style>
  <w:style w:type="character" w:customStyle="1" w:styleId="1470">
    <w:name w:val="style21"/>
    <w:semiHidden/>
    <w:qFormat/>
    <w:uiPriority w:val="0"/>
    <w:rPr>
      <w:sz w:val="18"/>
      <w:szCs w:val="18"/>
    </w:rPr>
  </w:style>
  <w:style w:type="character" w:customStyle="1" w:styleId="1471">
    <w:name w:val="trans"/>
    <w:basedOn w:val="132"/>
    <w:semiHidden/>
    <w:qFormat/>
    <w:uiPriority w:val="0"/>
  </w:style>
  <w:style w:type="character" w:customStyle="1" w:styleId="1472">
    <w:name w:val="样式10 Char"/>
    <w:link w:val="626"/>
    <w:qFormat/>
    <w:uiPriority w:val="0"/>
    <w:rPr>
      <w:rFonts w:ascii="宋体" w:hAnsi="宋体" w:eastAsia="宋体"/>
      <w:b/>
      <w:bCs/>
      <w:sz w:val="24"/>
      <w:lang w:val="en-US" w:eastAsia="zh-CN" w:bidi="ar-SA"/>
    </w:rPr>
  </w:style>
  <w:style w:type="paragraph" w:customStyle="1" w:styleId="1473">
    <w:name w:val="样式 四号 首行缩进:  2 字符"/>
    <w:basedOn w:val="1"/>
    <w:link w:val="1474"/>
    <w:qFormat/>
    <w:uiPriority w:val="0"/>
    <w:pPr>
      <w:tabs>
        <w:tab w:val="clear" w:pos="480"/>
      </w:tabs>
    </w:pPr>
    <w:rPr>
      <w:kern w:val="0"/>
      <w:sz w:val="28"/>
      <w:szCs w:val="20"/>
      <w:lang w:val="zh-CN"/>
    </w:rPr>
  </w:style>
  <w:style w:type="character" w:customStyle="1" w:styleId="1474">
    <w:name w:val="样式 四号 首行缩进:  2 字符 Char"/>
    <w:link w:val="1473"/>
    <w:qFormat/>
    <w:uiPriority w:val="0"/>
    <w:rPr>
      <w:rFonts w:eastAsia="宋体"/>
      <w:sz w:val="28"/>
      <w:lang w:bidi="ar-SA"/>
    </w:rPr>
  </w:style>
  <w:style w:type="paragraph" w:customStyle="1" w:styleId="1475">
    <w:name w:val="样式 三级标题 + (西文) Times New Roman (中文) 宋体 首行缩进:  2 字符 段前: 0 磅 段..."/>
    <w:basedOn w:val="5"/>
    <w:qFormat/>
    <w:uiPriority w:val="0"/>
    <w:pPr>
      <w:numPr>
        <w:ilvl w:val="0"/>
        <w:numId w:val="0"/>
      </w:numPr>
      <w:tabs>
        <w:tab w:val="clear" w:pos="480"/>
        <w:tab w:val="clear" w:pos="840"/>
      </w:tabs>
      <w:spacing w:after="120" w:line="600" w:lineRule="exact"/>
    </w:pPr>
    <w:rPr>
      <w:rFonts w:ascii="宋体" w:eastAsia="宋体" w:cs="宋体"/>
      <w:sz w:val="28"/>
      <w:szCs w:val="20"/>
    </w:rPr>
  </w:style>
  <w:style w:type="paragraph" w:customStyle="1" w:styleId="1476">
    <w:name w:val="样式 样式 四号 + 首行缩进:  2 字符"/>
    <w:basedOn w:val="1"/>
    <w:link w:val="1477"/>
    <w:qFormat/>
    <w:uiPriority w:val="0"/>
    <w:pPr>
      <w:tabs>
        <w:tab w:val="clear" w:pos="480"/>
      </w:tabs>
      <w:ind w:firstLine="560"/>
    </w:pPr>
    <w:rPr>
      <w:kern w:val="0"/>
      <w:sz w:val="28"/>
      <w:szCs w:val="20"/>
      <w:lang w:val="zh-CN"/>
    </w:rPr>
  </w:style>
  <w:style w:type="character" w:customStyle="1" w:styleId="1477">
    <w:name w:val="样式 样式 四号 + 首行缩进:  2 字符 Char"/>
    <w:link w:val="1476"/>
    <w:qFormat/>
    <w:uiPriority w:val="0"/>
    <w:rPr>
      <w:rFonts w:eastAsia="宋体"/>
      <w:sz w:val="28"/>
      <w:lang w:bidi="ar-SA"/>
    </w:rPr>
  </w:style>
  <w:style w:type="paragraph" w:customStyle="1" w:styleId="1478">
    <w:name w:val="陈表格中内容"/>
    <w:basedOn w:val="1"/>
    <w:next w:val="1"/>
    <w:link w:val="1479"/>
    <w:qFormat/>
    <w:uiPriority w:val="0"/>
    <w:pPr>
      <w:tabs>
        <w:tab w:val="clear" w:pos="480"/>
      </w:tabs>
      <w:spacing w:line="288" w:lineRule="auto"/>
      <w:jc w:val="center"/>
    </w:pPr>
    <w:rPr>
      <w:rFonts w:hAnsi="宋体"/>
      <w:color w:val="000000"/>
      <w:kern w:val="0"/>
      <w:sz w:val="20"/>
      <w:szCs w:val="21"/>
      <w:lang w:val="zh-CN"/>
    </w:rPr>
  </w:style>
  <w:style w:type="character" w:customStyle="1" w:styleId="1479">
    <w:name w:val="陈表格中内容 Char Char"/>
    <w:link w:val="1478"/>
    <w:qFormat/>
    <w:uiPriority w:val="0"/>
    <w:rPr>
      <w:rFonts w:hAnsi="宋体" w:eastAsia="宋体"/>
      <w:color w:val="000000"/>
      <w:szCs w:val="21"/>
      <w:lang w:bidi="ar-SA"/>
    </w:rPr>
  </w:style>
  <w:style w:type="paragraph" w:customStyle="1" w:styleId="1480">
    <w:name w:val="a小四宋体缩2段间无 Char"/>
    <w:basedOn w:val="1"/>
    <w:semiHidden/>
    <w:qFormat/>
    <w:uiPriority w:val="0"/>
    <w:pPr>
      <w:tabs>
        <w:tab w:val="clear" w:pos="480"/>
      </w:tabs>
      <w:spacing w:afterLines="50"/>
    </w:pPr>
    <w:rPr>
      <w:rFonts w:ascii="宋体" w:hAnsi="宋体"/>
    </w:rPr>
  </w:style>
  <w:style w:type="paragraph" w:customStyle="1" w:styleId="1481">
    <w:name w:val="a小四宋体缩2段间0.5"/>
    <w:basedOn w:val="1"/>
    <w:semiHidden/>
    <w:qFormat/>
    <w:uiPriority w:val="0"/>
    <w:pPr>
      <w:tabs>
        <w:tab w:val="clear" w:pos="480"/>
      </w:tabs>
      <w:spacing w:afterLines="50"/>
    </w:pPr>
    <w:rPr>
      <w:rFonts w:ascii="宋体" w:hAnsi="宋体"/>
    </w:rPr>
  </w:style>
  <w:style w:type="paragraph" w:customStyle="1" w:styleId="1482">
    <w:name w:val="Normal Char Char Char Char"/>
    <w:semiHidden/>
    <w:qFormat/>
    <w:uiPriority w:val="0"/>
    <w:pPr>
      <w:widowControl w:val="0"/>
      <w:adjustRightInd w:val="0"/>
      <w:spacing w:line="360" w:lineRule="atLeast"/>
      <w:ind w:firstLine="200" w:firstLineChars="200"/>
      <w:jc w:val="both"/>
      <w:textAlignment w:val="baseline"/>
    </w:pPr>
    <w:rPr>
      <w:rFonts w:ascii="宋体" w:hAnsi="Times New Roman" w:eastAsia="宋体" w:cs="Times New Roman"/>
      <w:kern w:val="2"/>
      <w:sz w:val="34"/>
      <w:szCs w:val="24"/>
      <w:lang w:val="en-US" w:eastAsia="zh-CN" w:bidi="ar-SA"/>
    </w:rPr>
  </w:style>
  <w:style w:type="character" w:customStyle="1" w:styleId="1483">
    <w:name w:val="Normal Char Char Char Char Char"/>
    <w:semiHidden/>
    <w:qFormat/>
    <w:uiPriority w:val="0"/>
    <w:rPr>
      <w:rFonts w:ascii="宋体" w:eastAsia="宋体"/>
      <w:kern w:val="2"/>
      <w:sz w:val="34"/>
      <w:szCs w:val="24"/>
      <w:lang w:val="en-US" w:eastAsia="zh-CN" w:bidi="ar-SA"/>
    </w:rPr>
  </w:style>
  <w:style w:type="paragraph" w:customStyle="1" w:styleId="1484">
    <w:name w:val="Normal Char"/>
    <w:semiHidden/>
    <w:qFormat/>
    <w:uiPriority w:val="0"/>
    <w:pPr>
      <w:widowControl w:val="0"/>
      <w:adjustRightInd w:val="0"/>
      <w:spacing w:line="360" w:lineRule="atLeast"/>
      <w:ind w:firstLine="200" w:firstLineChars="200"/>
      <w:jc w:val="both"/>
      <w:textAlignment w:val="baseline"/>
    </w:pPr>
    <w:rPr>
      <w:rFonts w:ascii="宋体" w:hAnsi="Times New Roman" w:eastAsia="宋体" w:cs="Times New Roman"/>
      <w:kern w:val="2"/>
      <w:sz w:val="34"/>
      <w:szCs w:val="24"/>
      <w:lang w:val="en-US" w:eastAsia="zh-CN" w:bidi="ar-SA"/>
    </w:rPr>
  </w:style>
  <w:style w:type="character" w:customStyle="1" w:styleId="1485">
    <w:name w:val="Normal Char Char"/>
    <w:semiHidden/>
    <w:qFormat/>
    <w:uiPriority w:val="0"/>
    <w:rPr>
      <w:rFonts w:ascii="宋体" w:eastAsia="宋体"/>
      <w:kern w:val="2"/>
      <w:sz w:val="34"/>
      <w:szCs w:val="24"/>
      <w:lang w:val="en-US" w:eastAsia="zh-CN" w:bidi="ar-SA"/>
    </w:rPr>
  </w:style>
  <w:style w:type="paragraph" w:customStyle="1" w:styleId="1486">
    <w:name w:val="样式 (符号) 宋体 加粗 蓝色 居中"/>
    <w:basedOn w:val="158"/>
    <w:qFormat/>
    <w:uiPriority w:val="0"/>
    <w:pPr>
      <w:adjustRightInd/>
      <w:spacing w:line="300" w:lineRule="exact"/>
      <w:jc w:val="center"/>
      <w:textAlignment w:val="auto"/>
    </w:pPr>
    <w:rPr>
      <w:rFonts w:hAnsi="宋体" w:eastAsia="宋体" w:cs="宋体"/>
      <w:b/>
      <w:bCs/>
      <w:color w:val="0000FF"/>
      <w:kern w:val="0"/>
      <w:sz w:val="21"/>
    </w:rPr>
  </w:style>
  <w:style w:type="character" w:customStyle="1" w:styleId="1487">
    <w:name w:val="表题 Char Char Char"/>
    <w:qFormat/>
    <w:uiPriority w:val="0"/>
    <w:rPr>
      <w:rFonts w:eastAsia="楷体_GB2312"/>
      <w:b/>
      <w:kern w:val="2"/>
      <w:sz w:val="24"/>
      <w:szCs w:val="24"/>
      <w:lang w:val="en-US" w:eastAsia="zh-CN" w:bidi="ar-SA"/>
    </w:rPr>
  </w:style>
  <w:style w:type="paragraph" w:customStyle="1" w:styleId="1488">
    <w:name w:val="正文(黑体)"/>
    <w:basedOn w:val="1"/>
    <w:qFormat/>
    <w:uiPriority w:val="0"/>
    <w:pPr>
      <w:tabs>
        <w:tab w:val="clear" w:pos="480"/>
      </w:tabs>
      <w:autoSpaceDE w:val="0"/>
      <w:autoSpaceDN w:val="0"/>
      <w:adjustRightInd w:val="0"/>
      <w:spacing w:line="288" w:lineRule="auto"/>
      <w:ind w:firstLine="482"/>
      <w:textAlignment w:val="baseline"/>
    </w:pPr>
    <w:rPr>
      <w:rFonts w:ascii="黑体"/>
      <w:kern w:val="0"/>
      <w:szCs w:val="20"/>
    </w:rPr>
  </w:style>
  <w:style w:type="paragraph" w:customStyle="1" w:styleId="1489">
    <w:name w:val="样式 四号 行距: 1.5 倍行距1"/>
    <w:basedOn w:val="1"/>
    <w:qFormat/>
    <w:uiPriority w:val="0"/>
    <w:pPr>
      <w:tabs>
        <w:tab w:val="clear" w:pos="480"/>
      </w:tabs>
      <w:ind w:firstLine="560"/>
    </w:pPr>
    <w:rPr>
      <w:rFonts w:cs="宋体"/>
      <w:szCs w:val="20"/>
    </w:rPr>
  </w:style>
  <w:style w:type="character" w:customStyle="1" w:styleId="1490">
    <w:name w:val="无节款 Char"/>
    <w:qFormat/>
    <w:uiPriority w:val="0"/>
    <w:rPr>
      <w:rFonts w:ascii="Arial" w:hAnsi="Arial" w:eastAsia="黑体" w:cs="Times New Roman"/>
      <w:spacing w:val="10"/>
      <w:kern w:val="0"/>
      <w:sz w:val="24"/>
      <w:szCs w:val="20"/>
    </w:rPr>
  </w:style>
  <w:style w:type="character" w:customStyle="1" w:styleId="1491">
    <w:name w:val="Char Char16"/>
    <w:semiHidden/>
    <w:qFormat/>
    <w:uiPriority w:val="0"/>
    <w:rPr>
      <w:rFonts w:eastAsia="宋体"/>
      <w:kern w:val="2"/>
      <w:sz w:val="24"/>
      <w:szCs w:val="24"/>
      <w:lang w:val="en-US" w:eastAsia="zh-CN" w:bidi="ar-SA"/>
    </w:rPr>
  </w:style>
  <w:style w:type="character" w:customStyle="1" w:styleId="1492">
    <w:name w:val="bt Char2"/>
    <w:semiHidden/>
    <w:qFormat/>
    <w:uiPriority w:val="0"/>
    <w:rPr>
      <w:rFonts w:eastAsia="宋体"/>
      <w:color w:val="000000"/>
      <w:kern w:val="2"/>
      <w:sz w:val="24"/>
      <w:szCs w:val="24"/>
      <w:lang w:val="en-US" w:eastAsia="zh-CN" w:bidi="ar-SA"/>
    </w:rPr>
  </w:style>
  <w:style w:type="character" w:customStyle="1" w:styleId="1493">
    <w:name w:val="正文文字 3 Char Char"/>
    <w:qFormat/>
    <w:uiPriority w:val="0"/>
    <w:rPr>
      <w:rFonts w:ascii="宋体" w:hAnsi="宋体" w:eastAsia="宋体"/>
      <w:kern w:val="2"/>
      <w:sz w:val="21"/>
      <w:szCs w:val="24"/>
      <w:lang w:val="en-US" w:eastAsia="zh-CN" w:bidi="ar-SA"/>
    </w:rPr>
  </w:style>
  <w:style w:type="character" w:customStyle="1" w:styleId="1494">
    <w:name w:val="btd"/>
    <w:basedOn w:val="132"/>
    <w:semiHidden/>
    <w:qFormat/>
    <w:uiPriority w:val="0"/>
  </w:style>
  <w:style w:type="character" w:customStyle="1" w:styleId="1495">
    <w:name w:val="Char8"/>
    <w:semiHidden/>
    <w:qFormat/>
    <w:uiPriority w:val="0"/>
    <w:rPr>
      <w:rFonts w:ascii="黑体" w:hAnsi="宋体" w:eastAsia="黑体"/>
      <w:kern w:val="2"/>
      <w:sz w:val="30"/>
      <w:lang w:val="en-US" w:eastAsia="zh-CN"/>
    </w:rPr>
  </w:style>
  <w:style w:type="paragraph" w:customStyle="1" w:styleId="1496">
    <w:name w:val="Char1 Char Char Char Char Char Char Char Char Char"/>
    <w:basedOn w:val="1"/>
    <w:semiHidden/>
    <w:qFormat/>
    <w:uiPriority w:val="0"/>
    <w:pPr>
      <w:widowControl/>
      <w:tabs>
        <w:tab w:val="clear" w:pos="480"/>
      </w:tabs>
      <w:spacing w:after="160" w:line="240" w:lineRule="exact"/>
      <w:jc w:val="left"/>
    </w:pPr>
    <w:rPr>
      <w:szCs w:val="20"/>
    </w:rPr>
  </w:style>
  <w:style w:type="paragraph" w:customStyle="1" w:styleId="1497">
    <w:name w:val="批注框文本 Char Char"/>
    <w:basedOn w:val="1"/>
    <w:qFormat/>
    <w:uiPriority w:val="0"/>
    <w:pPr>
      <w:tabs>
        <w:tab w:val="clear" w:pos="480"/>
      </w:tabs>
      <w:spacing w:before="100" w:after="100" w:line="400" w:lineRule="exact"/>
    </w:pPr>
    <w:rPr>
      <w:sz w:val="18"/>
      <w:szCs w:val="20"/>
    </w:rPr>
  </w:style>
  <w:style w:type="character" w:customStyle="1" w:styleId="1498">
    <w:name w:val="海南化工城正文 Char Char Char"/>
    <w:link w:val="751"/>
    <w:qFormat/>
    <w:uiPriority w:val="0"/>
    <w:rPr>
      <w:rFonts w:ascii="宋体" w:hAnsi="宋体" w:eastAsia="宋体" w:cs="宋体"/>
      <w:kern w:val="2"/>
      <w:sz w:val="24"/>
      <w:szCs w:val="24"/>
      <w:lang w:val="en-US" w:eastAsia="zh-CN" w:bidi="ar-SA"/>
    </w:rPr>
  </w:style>
  <w:style w:type="character" w:customStyle="1" w:styleId="1499">
    <w:name w:val="listcontents1"/>
    <w:semiHidden/>
    <w:qFormat/>
    <w:uiPriority w:val="0"/>
    <w:rPr>
      <w:color w:val="000000"/>
      <w:sz w:val="14"/>
    </w:rPr>
  </w:style>
  <w:style w:type="character" w:customStyle="1" w:styleId="1500">
    <w:name w:val="未命名1"/>
    <w:basedOn w:val="132"/>
    <w:qFormat/>
    <w:uiPriority w:val="0"/>
  </w:style>
  <w:style w:type="character" w:customStyle="1" w:styleId="1501">
    <w:name w:val="style91"/>
    <w:semiHidden/>
    <w:qFormat/>
    <w:uiPriority w:val="0"/>
    <w:rPr>
      <w:b/>
      <w:color w:val="333333"/>
      <w:sz w:val="19"/>
    </w:rPr>
  </w:style>
  <w:style w:type="character" w:customStyle="1" w:styleId="1502">
    <w:name w:val="tpc_content"/>
    <w:basedOn w:val="132"/>
    <w:semiHidden/>
    <w:qFormat/>
    <w:uiPriority w:val="0"/>
  </w:style>
  <w:style w:type="paragraph" w:customStyle="1" w:styleId="1503">
    <w:name w:val="样式 段前: 0.15 行 段后: 0.15 行 首行缩进:  2 字符"/>
    <w:basedOn w:val="1"/>
    <w:qFormat/>
    <w:uiPriority w:val="0"/>
    <w:pPr>
      <w:tabs>
        <w:tab w:val="clear" w:pos="480"/>
      </w:tabs>
    </w:pPr>
    <w:rPr>
      <w:rFonts w:ascii="宋体"/>
      <w:szCs w:val="20"/>
    </w:rPr>
  </w:style>
  <w:style w:type="paragraph" w:customStyle="1" w:styleId="1504">
    <w:name w:val="样式 表格 + 宋体 居中"/>
    <w:basedOn w:val="158"/>
    <w:qFormat/>
    <w:uiPriority w:val="0"/>
    <w:pPr>
      <w:adjustRightInd/>
      <w:spacing w:line="240" w:lineRule="auto"/>
      <w:jc w:val="center"/>
    </w:pPr>
    <w:rPr>
      <w:rFonts w:eastAsia="宋体"/>
    </w:rPr>
  </w:style>
  <w:style w:type="paragraph" w:customStyle="1" w:styleId="1505">
    <w:name w:val="样式 黑色 首行缩进:  0.85 厘米 段前: 0.15 行 段后: 0.15 行"/>
    <w:basedOn w:val="1"/>
    <w:qFormat/>
    <w:uiPriority w:val="0"/>
    <w:pPr>
      <w:tabs>
        <w:tab w:val="clear" w:pos="480"/>
      </w:tabs>
      <w:ind w:firstLine="482"/>
    </w:pPr>
    <w:rPr>
      <w:rFonts w:ascii="宋体"/>
      <w:color w:val="000000"/>
      <w:szCs w:val="20"/>
    </w:rPr>
  </w:style>
  <w:style w:type="paragraph" w:customStyle="1" w:styleId="1506">
    <w:name w:val="Plain Te"/>
    <w:basedOn w:val="1"/>
    <w:semiHidden/>
    <w:qFormat/>
    <w:uiPriority w:val="0"/>
    <w:pPr>
      <w:widowControl/>
      <w:tabs>
        <w:tab w:val="clear" w:pos="480"/>
      </w:tabs>
      <w:spacing w:line="240" w:lineRule="auto"/>
      <w:jc w:val="left"/>
    </w:pPr>
    <w:rPr>
      <w:rFonts w:ascii="宋体" w:hAnsi="Courier New"/>
      <w:kern w:val="0"/>
      <w:sz w:val="21"/>
      <w:szCs w:val="20"/>
    </w:rPr>
  </w:style>
  <w:style w:type="paragraph" w:customStyle="1" w:styleId="1507">
    <w:name w:val="文档二级标题"/>
    <w:basedOn w:val="1"/>
    <w:qFormat/>
    <w:uiPriority w:val="0"/>
    <w:pPr>
      <w:tabs>
        <w:tab w:val="clear" w:pos="480"/>
      </w:tabs>
      <w:spacing w:line="240" w:lineRule="auto"/>
    </w:pPr>
    <w:rPr>
      <w:rFonts w:ascii="楷体_GB2312" w:hAnsi="华文仿宋" w:eastAsia="楷体_GB2312"/>
      <w:sz w:val="28"/>
      <w:szCs w:val="20"/>
    </w:rPr>
  </w:style>
  <w:style w:type="paragraph" w:customStyle="1" w:styleId="1508">
    <w:name w:val="標準（日本語）"/>
    <w:basedOn w:val="1"/>
    <w:semiHidden/>
    <w:qFormat/>
    <w:uiPriority w:val="0"/>
    <w:pPr>
      <w:tabs>
        <w:tab w:val="clear" w:pos="480"/>
      </w:tabs>
      <w:overflowPunct w:val="0"/>
      <w:adjustRightInd w:val="0"/>
      <w:spacing w:afterLines="50" w:line="240" w:lineRule="auto"/>
    </w:pPr>
    <w:rPr>
      <w:rFonts w:eastAsia="MS Mincho"/>
      <w:snapToGrid w:val="0"/>
      <w:kern w:val="0"/>
      <w:szCs w:val="20"/>
      <w:lang w:eastAsia="ja-JP"/>
    </w:rPr>
  </w:style>
  <w:style w:type="paragraph" w:customStyle="1" w:styleId="1509">
    <w:name w:val="Definition Term"/>
    <w:basedOn w:val="1"/>
    <w:next w:val="1"/>
    <w:semiHidden/>
    <w:qFormat/>
    <w:uiPriority w:val="0"/>
    <w:pPr>
      <w:widowControl/>
      <w:tabs>
        <w:tab w:val="clear" w:pos="480"/>
      </w:tabs>
      <w:overflowPunct w:val="0"/>
      <w:autoSpaceDE w:val="0"/>
      <w:autoSpaceDN w:val="0"/>
      <w:adjustRightInd w:val="0"/>
      <w:spacing w:line="240" w:lineRule="auto"/>
      <w:jc w:val="left"/>
      <w:textAlignment w:val="baseline"/>
    </w:pPr>
    <w:rPr>
      <w:kern w:val="0"/>
      <w:szCs w:val="20"/>
      <w:lang w:val="en-GB"/>
    </w:rPr>
  </w:style>
  <w:style w:type="paragraph" w:customStyle="1" w:styleId="1510">
    <w:name w:val="正文文本 31"/>
    <w:basedOn w:val="1"/>
    <w:semiHidden/>
    <w:qFormat/>
    <w:uiPriority w:val="0"/>
    <w:pPr>
      <w:tabs>
        <w:tab w:val="clear" w:pos="480"/>
      </w:tabs>
      <w:autoSpaceDE w:val="0"/>
      <w:autoSpaceDN w:val="0"/>
      <w:adjustRightInd w:val="0"/>
      <w:spacing w:line="312" w:lineRule="atLeast"/>
      <w:jc w:val="center"/>
      <w:textAlignment w:val="baseline"/>
    </w:pPr>
    <w:rPr>
      <w:rFonts w:ascii="楷体" w:eastAsia="楷体"/>
      <w:kern w:val="0"/>
      <w:sz w:val="28"/>
      <w:szCs w:val="20"/>
    </w:rPr>
  </w:style>
  <w:style w:type="paragraph" w:customStyle="1" w:styleId="1511">
    <w:name w:val="敏感表"/>
    <w:basedOn w:val="1"/>
    <w:next w:val="1"/>
    <w:qFormat/>
    <w:uiPriority w:val="0"/>
    <w:pPr>
      <w:tabs>
        <w:tab w:val="clear" w:pos="480"/>
      </w:tabs>
      <w:topLinePunct/>
      <w:adjustRightInd w:val="0"/>
      <w:spacing w:line="240" w:lineRule="atLeast"/>
      <w:jc w:val="center"/>
      <w:textAlignment w:val="bottom"/>
    </w:pPr>
    <w:rPr>
      <w:kern w:val="0"/>
      <w:sz w:val="21"/>
      <w:szCs w:val="20"/>
    </w:rPr>
  </w:style>
  <w:style w:type="paragraph" w:customStyle="1" w:styleId="1512">
    <w:name w:val="样式 宋体 小四 两端对齐 首行缩进:  0.85 厘米 行距: 1.5 倍行距"/>
    <w:basedOn w:val="1"/>
    <w:qFormat/>
    <w:uiPriority w:val="0"/>
    <w:pPr>
      <w:widowControl/>
      <w:tabs>
        <w:tab w:val="clear" w:pos="480"/>
      </w:tabs>
      <w:ind w:firstLine="482"/>
    </w:pPr>
    <w:rPr>
      <w:kern w:val="0"/>
      <w:szCs w:val="20"/>
    </w:rPr>
  </w:style>
  <w:style w:type="paragraph" w:customStyle="1" w:styleId="1513">
    <w:name w:val="p0"/>
    <w:basedOn w:val="1"/>
    <w:semiHidden/>
    <w:qFormat/>
    <w:uiPriority w:val="0"/>
    <w:pPr>
      <w:widowControl/>
      <w:tabs>
        <w:tab w:val="clear" w:pos="480"/>
      </w:tabs>
      <w:spacing w:line="365" w:lineRule="atLeast"/>
      <w:ind w:left="1"/>
      <w:textAlignment w:val="bottom"/>
    </w:pPr>
    <w:rPr>
      <w:kern w:val="0"/>
      <w:sz w:val="20"/>
      <w:szCs w:val="20"/>
    </w:rPr>
  </w:style>
  <w:style w:type="paragraph" w:customStyle="1" w:styleId="1514">
    <w:name w:val="ljx正文1"/>
    <w:basedOn w:val="35"/>
    <w:semiHidden/>
    <w:qFormat/>
    <w:uiPriority w:val="0"/>
    <w:pPr>
      <w:tabs>
        <w:tab w:val="clear" w:pos="480"/>
      </w:tabs>
      <w:spacing w:line="240" w:lineRule="auto"/>
      <w:ind w:firstLine="0" w:firstLineChars="0"/>
    </w:pPr>
    <w:rPr>
      <w:kern w:val="0"/>
      <w:sz w:val="28"/>
      <w:szCs w:val="20"/>
    </w:rPr>
  </w:style>
  <w:style w:type="character" w:customStyle="1" w:styleId="1515">
    <w:name w:val="g 字元 字元"/>
    <w:semiHidden/>
    <w:qFormat/>
    <w:uiPriority w:val="0"/>
    <w:rPr>
      <w:rFonts w:ascii="宋体" w:hAnsi="宋体" w:eastAsia="宋体"/>
      <w:kern w:val="2"/>
      <w:sz w:val="18"/>
      <w:lang w:val="en-US" w:eastAsia="zh-CN"/>
    </w:rPr>
  </w:style>
  <w:style w:type="character" w:customStyle="1" w:styleId="1516">
    <w:name w:val="标题 2 Char Char Char Char Char Char Char1"/>
    <w:semiHidden/>
    <w:qFormat/>
    <w:uiPriority w:val="0"/>
    <w:rPr>
      <w:rFonts w:ascii="宋体" w:hAnsi="Arial" w:eastAsia="宋体"/>
      <w:b/>
      <w:kern w:val="2"/>
      <w:sz w:val="28"/>
      <w:lang w:val="en-US" w:eastAsia="zh-CN"/>
    </w:rPr>
  </w:style>
  <w:style w:type="character" w:customStyle="1" w:styleId="1517">
    <w:name w:val="表题 Char Char Char Char"/>
    <w:qFormat/>
    <w:uiPriority w:val="0"/>
    <w:rPr>
      <w:b/>
      <w:kern w:val="2"/>
      <w:sz w:val="24"/>
      <w:lang w:bidi="ar-SA"/>
    </w:rPr>
  </w:style>
  <w:style w:type="character" w:customStyle="1" w:styleId="1518">
    <w:name w:val="z21"/>
    <w:semiHidden/>
    <w:qFormat/>
    <w:uiPriority w:val="0"/>
    <w:rPr>
      <w:rFonts w:ascii="Arial" w:hAnsi="Arial" w:eastAsia="黑体"/>
      <w:color w:val="000000"/>
      <w:kern w:val="2"/>
      <w:sz w:val="15"/>
      <w:lang w:val="en-US" w:eastAsia="zh-CN"/>
    </w:rPr>
  </w:style>
  <w:style w:type="character" w:customStyle="1" w:styleId="1519">
    <w:name w:val="p21"/>
    <w:semiHidden/>
    <w:qFormat/>
    <w:uiPriority w:val="0"/>
    <w:rPr>
      <w:rFonts w:ascii="Arial" w:hAnsi="Arial" w:eastAsia="黑体"/>
      <w:b/>
      <w:kern w:val="2"/>
      <w:sz w:val="32"/>
      <w:lang w:val="en-US" w:eastAsia="zh-CN"/>
    </w:rPr>
  </w:style>
  <w:style w:type="character" w:customStyle="1" w:styleId="1520">
    <w:name w:val="style6"/>
    <w:semiHidden/>
    <w:qFormat/>
    <w:uiPriority w:val="0"/>
    <w:rPr>
      <w:rFonts w:ascii="Arial" w:hAnsi="Arial" w:eastAsia="黑体"/>
      <w:b/>
      <w:kern w:val="2"/>
      <w:sz w:val="32"/>
      <w:lang w:val="en-US" w:eastAsia="zh-CN"/>
    </w:rPr>
  </w:style>
  <w:style w:type="character" w:customStyle="1" w:styleId="1521">
    <w:name w:val="样式 标题 2标题 2 Char Char Char Char Char标题 2 Char Char Char Char C... Char"/>
    <w:link w:val="1522"/>
    <w:qFormat/>
    <w:uiPriority w:val="0"/>
    <w:rPr>
      <w:rFonts w:ascii="Arial" w:hAnsi="Arial" w:eastAsia="黑体"/>
      <w:b/>
      <w:bCs/>
      <w:color w:val="000000"/>
      <w:sz w:val="32"/>
      <w:szCs w:val="32"/>
      <w:lang w:bidi="ar-SA"/>
    </w:rPr>
  </w:style>
  <w:style w:type="paragraph" w:customStyle="1" w:styleId="1522">
    <w:name w:val="样式 标题 2标题 2 Char Char Char Char Char标题 2 Char Char Char Char C..."/>
    <w:basedOn w:val="4"/>
    <w:link w:val="1521"/>
    <w:qFormat/>
    <w:uiPriority w:val="0"/>
    <w:pPr>
      <w:numPr>
        <w:ilvl w:val="0"/>
        <w:numId w:val="0"/>
      </w:numPr>
      <w:tabs>
        <w:tab w:val="clear" w:pos="480"/>
        <w:tab w:val="clear" w:pos="630"/>
      </w:tabs>
      <w:spacing w:after="260" w:line="413" w:lineRule="auto"/>
    </w:pPr>
    <w:rPr>
      <w:rFonts w:ascii="Arial" w:hAnsi="Arial" w:eastAsia="黑体"/>
      <w:color w:val="000000"/>
      <w:kern w:val="0"/>
    </w:rPr>
  </w:style>
  <w:style w:type="character" w:customStyle="1" w:styleId="1523">
    <w:name w:val="weby2"/>
    <w:semiHidden/>
    <w:qFormat/>
    <w:uiPriority w:val="0"/>
    <w:rPr>
      <w:rFonts w:ascii="Arial" w:hAnsi="Arial" w:eastAsia="黑体"/>
      <w:b/>
      <w:kern w:val="2"/>
      <w:sz w:val="18"/>
      <w:lang w:val="en-US" w:eastAsia="zh-CN"/>
    </w:rPr>
  </w:style>
  <w:style w:type="paragraph" w:customStyle="1" w:styleId="1524">
    <w:name w:val="样式 标题 1标题 1 Char章标题 1标题2Head 1wsah1章节标题-*+b11.标题 1一、标..."/>
    <w:basedOn w:val="3"/>
    <w:qFormat/>
    <w:uiPriority w:val="0"/>
    <w:pPr>
      <w:numPr>
        <w:numId w:val="0"/>
      </w:numPr>
      <w:tabs>
        <w:tab w:val="clear" w:pos="480"/>
      </w:tabs>
      <w:adjustRightInd w:val="0"/>
      <w:spacing w:beforeLines="100" w:afterLines="100"/>
      <w:jc w:val="center"/>
      <w:textAlignment w:val="baseline"/>
    </w:pPr>
    <w:rPr>
      <w:rFonts w:ascii="宋体" w:hAnsi="宋体" w:eastAsia="宋体"/>
      <w:bCs w:val="0"/>
      <w:kern w:val="0"/>
      <w:szCs w:val="20"/>
    </w:rPr>
  </w:style>
  <w:style w:type="paragraph" w:customStyle="1" w:styleId="1525">
    <w:name w:val="Char1 Char Char Char Char Char Char"/>
    <w:basedOn w:val="1"/>
    <w:semiHidden/>
    <w:qFormat/>
    <w:uiPriority w:val="0"/>
    <w:pPr>
      <w:widowControl/>
      <w:tabs>
        <w:tab w:val="clear" w:pos="480"/>
      </w:tabs>
      <w:spacing w:after="160" w:line="240" w:lineRule="exact"/>
      <w:jc w:val="left"/>
    </w:pPr>
    <w:rPr>
      <w:rFonts w:ascii="Verdana" w:hAnsi="Verdana" w:eastAsia="仿宋_GB2312"/>
      <w:kern w:val="0"/>
      <w:szCs w:val="20"/>
      <w:lang w:eastAsia="en-US"/>
    </w:rPr>
  </w:style>
  <w:style w:type="paragraph" w:customStyle="1" w:styleId="1526">
    <w:name w:val="三级目录"/>
    <w:basedOn w:val="5"/>
    <w:qFormat/>
    <w:uiPriority w:val="0"/>
    <w:pPr>
      <w:keepNext w:val="0"/>
      <w:numPr>
        <w:numId w:val="0"/>
      </w:numPr>
      <w:tabs>
        <w:tab w:val="left" w:pos="720"/>
        <w:tab w:val="left" w:pos="1418"/>
        <w:tab w:val="clear" w:pos="480"/>
        <w:tab w:val="clear" w:pos="840"/>
      </w:tabs>
      <w:adjustRightInd w:val="0"/>
      <w:spacing w:beforeLines="50" w:afterLines="50" w:line="360" w:lineRule="auto"/>
      <w:jc w:val="left"/>
    </w:pPr>
    <w:rPr>
      <w:rFonts w:ascii="宋体" w:hAnsi="宋体" w:eastAsia="宋体"/>
      <w:b w:val="0"/>
      <w:bCs w:val="0"/>
      <w:color w:val="000000"/>
      <w:kern w:val="0"/>
      <w:sz w:val="24"/>
      <w:szCs w:val="20"/>
    </w:rPr>
  </w:style>
  <w:style w:type="paragraph" w:customStyle="1" w:styleId="1527">
    <w:name w:val="cs10 additive Default Pa"/>
    <w:semiHidden/>
    <w:qFormat/>
    <w:uiPriority w:val="0"/>
    <w:pPr>
      <w:widowControl w:val="0"/>
      <w:autoSpaceDE w:val="0"/>
      <w:autoSpaceDN w:val="0"/>
      <w:adjustRightIn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528">
    <w:name w:val="Char Char Char Char Char Char Char Char Char Char Char Char Char Char Char"/>
    <w:next w:val="1"/>
    <w:qFormat/>
    <w:uiPriority w:val="0"/>
    <w:pPr>
      <w:tabs>
        <w:tab w:val="left" w:pos="700"/>
      </w:tabs>
      <w:snapToGrid w:val="0"/>
      <w:spacing w:line="300" w:lineRule="auto"/>
      <w:ind w:firstLine="200" w:firstLineChars="200"/>
      <w:jc w:val="both"/>
    </w:pPr>
    <w:rPr>
      <w:rFonts w:ascii="仿宋_GB2312" w:hAnsi="Verdana" w:eastAsia="仿宋_GB2312" w:cs="Times New Roman"/>
      <w:b/>
      <w:snapToGrid w:val="0"/>
      <w:kern w:val="2"/>
      <w:sz w:val="28"/>
      <w:szCs w:val="24"/>
      <w:lang w:val="en-US" w:eastAsia="en-US" w:bidi="ar-SA"/>
    </w:rPr>
  </w:style>
  <w:style w:type="paragraph" w:customStyle="1" w:styleId="1529">
    <w:name w:val="一级目录"/>
    <w:basedOn w:val="3"/>
    <w:qFormat/>
    <w:uiPriority w:val="0"/>
    <w:pPr>
      <w:numPr>
        <w:numId w:val="0"/>
      </w:numPr>
      <w:tabs>
        <w:tab w:val="clear" w:pos="480"/>
      </w:tabs>
      <w:adjustRightInd w:val="0"/>
      <w:spacing w:beforeLines="50" w:afterLines="50"/>
      <w:jc w:val="center"/>
      <w:textAlignment w:val="baseline"/>
    </w:pPr>
    <w:rPr>
      <w:rFonts w:ascii="宋体" w:hAnsi="宋体" w:eastAsia="宋体"/>
      <w:bCs w:val="0"/>
      <w:sz w:val="32"/>
      <w:szCs w:val="20"/>
    </w:rPr>
  </w:style>
  <w:style w:type="paragraph" w:customStyle="1" w:styleId="1530">
    <w:name w:val="style"/>
    <w:basedOn w:val="1"/>
    <w:semiHidden/>
    <w:qFormat/>
    <w:uiPriority w:val="0"/>
    <w:pPr>
      <w:widowControl/>
      <w:tabs>
        <w:tab w:val="clear" w:pos="480"/>
      </w:tabs>
      <w:spacing w:before="100" w:beforeAutospacing="1" w:after="100" w:afterAutospacing="1" w:line="240" w:lineRule="auto"/>
      <w:jc w:val="left"/>
    </w:pPr>
    <w:rPr>
      <w:rFonts w:hint="eastAsia" w:ascii="宋体" w:hAnsi="宋体"/>
      <w:kern w:val="0"/>
      <w:szCs w:val="20"/>
    </w:rPr>
  </w:style>
  <w:style w:type="paragraph" w:customStyle="1" w:styleId="1531">
    <w:name w:val="样式 标题 2标题 2 Char Char Char Char Char标题 2 Char Char Char Char C...1"/>
    <w:basedOn w:val="4"/>
    <w:qFormat/>
    <w:uiPriority w:val="0"/>
    <w:pPr>
      <w:numPr>
        <w:ilvl w:val="0"/>
        <w:numId w:val="0"/>
      </w:numPr>
      <w:tabs>
        <w:tab w:val="clear" w:pos="480"/>
        <w:tab w:val="clear" w:pos="630"/>
      </w:tabs>
      <w:spacing w:beforeLines="50" w:afterLines="50"/>
    </w:pPr>
    <w:rPr>
      <w:bCs w:val="0"/>
      <w:color w:val="000000"/>
      <w:szCs w:val="20"/>
    </w:rPr>
  </w:style>
  <w:style w:type="paragraph" w:customStyle="1" w:styleId="1532">
    <w:name w:val="样式 列表 + 左侧:  0 厘米 悬挂缩进: 2 字符"/>
    <w:basedOn w:val="66"/>
    <w:qFormat/>
    <w:uiPriority w:val="0"/>
    <w:pPr/>
    <w:rPr>
      <w:b/>
      <w:sz w:val="28"/>
      <w:szCs w:val="20"/>
    </w:rPr>
  </w:style>
  <w:style w:type="paragraph" w:customStyle="1" w:styleId="1533">
    <w:name w:val="样式 标题 2标题 2 Char Char Char Char Char标题 2 Char Char Char Char C...2"/>
    <w:basedOn w:val="4"/>
    <w:qFormat/>
    <w:uiPriority w:val="0"/>
    <w:pPr>
      <w:numPr>
        <w:ilvl w:val="0"/>
        <w:numId w:val="0"/>
      </w:numPr>
      <w:tabs>
        <w:tab w:val="clear" w:pos="480"/>
        <w:tab w:val="clear" w:pos="630"/>
      </w:tabs>
      <w:spacing w:before="120"/>
    </w:pPr>
    <w:rPr>
      <w:rFonts w:ascii="宋体" w:hAnsi="宋体"/>
      <w:bCs w:val="0"/>
      <w:sz w:val="30"/>
      <w:szCs w:val="20"/>
    </w:rPr>
  </w:style>
  <w:style w:type="paragraph" w:customStyle="1" w:styleId="1534">
    <w:name w:val="字元 字元"/>
    <w:basedOn w:val="1"/>
    <w:semiHidden/>
    <w:qFormat/>
    <w:uiPriority w:val="0"/>
    <w:pPr>
      <w:tabs>
        <w:tab w:val="clear" w:pos="480"/>
      </w:tabs>
      <w:spacing w:line="240" w:lineRule="auto"/>
    </w:pPr>
    <w:rPr>
      <w:sz w:val="21"/>
      <w:szCs w:val="20"/>
    </w:rPr>
  </w:style>
  <w:style w:type="paragraph" w:customStyle="1" w:styleId="1535">
    <w:name w:val="公式1"/>
    <w:basedOn w:val="1"/>
    <w:qFormat/>
    <w:uiPriority w:val="0"/>
    <w:pPr>
      <w:tabs>
        <w:tab w:val="clear" w:pos="480"/>
      </w:tabs>
      <w:spacing w:beforeLines="50" w:line="400" w:lineRule="exact"/>
      <w:ind w:firstLine="480"/>
    </w:pPr>
    <w:rPr>
      <w:rFonts w:ascii="Century Gothic" w:hAnsi="Century Gothic"/>
      <w:szCs w:val="20"/>
    </w:rPr>
  </w:style>
  <w:style w:type="paragraph" w:customStyle="1" w:styleId="1536">
    <w:name w:val="text"/>
    <w:basedOn w:val="1"/>
    <w:qFormat/>
    <w:uiPriority w:val="0"/>
    <w:pPr>
      <w:widowControl/>
      <w:tabs>
        <w:tab w:val="clear" w:pos="480"/>
      </w:tabs>
      <w:spacing w:before="100" w:beforeAutospacing="1" w:after="100" w:afterAutospacing="1" w:line="264" w:lineRule="auto"/>
    </w:pPr>
    <w:rPr>
      <w:rFonts w:ascii="宋体"/>
      <w:kern w:val="0"/>
      <w:sz w:val="18"/>
      <w:szCs w:val="20"/>
    </w:rPr>
  </w:style>
  <w:style w:type="paragraph" w:customStyle="1" w:styleId="1537">
    <w:name w:val="二级目录"/>
    <w:basedOn w:val="4"/>
    <w:qFormat/>
    <w:uiPriority w:val="0"/>
    <w:pPr>
      <w:numPr>
        <w:ilvl w:val="0"/>
        <w:numId w:val="0"/>
      </w:numPr>
      <w:tabs>
        <w:tab w:val="clear" w:pos="480"/>
        <w:tab w:val="clear" w:pos="630"/>
      </w:tabs>
      <w:spacing w:before="120"/>
      <w:jc w:val="left"/>
    </w:pPr>
    <w:rPr>
      <w:rFonts w:ascii="宋体" w:hAnsi="Arial"/>
      <w:bCs w:val="0"/>
      <w:kern w:val="0"/>
      <w:sz w:val="28"/>
      <w:szCs w:val="20"/>
    </w:rPr>
  </w:style>
  <w:style w:type="paragraph" w:customStyle="1" w:styleId="1538">
    <w:name w:val="图名"/>
    <w:basedOn w:val="1"/>
    <w:qFormat/>
    <w:uiPriority w:val="0"/>
    <w:pPr>
      <w:tabs>
        <w:tab w:val="clear" w:pos="480"/>
      </w:tabs>
      <w:snapToGrid w:val="0"/>
      <w:spacing w:line="300" w:lineRule="auto"/>
      <w:jc w:val="center"/>
    </w:pPr>
    <w:rPr>
      <w:b/>
      <w:spacing w:val="10"/>
      <w:szCs w:val="20"/>
    </w:rPr>
  </w:style>
  <w:style w:type="paragraph" w:customStyle="1" w:styleId="1539">
    <w:name w:val="样式 标题 3标题 3 Char条标题1.1.1ReHead 3 WSAh3BSH-3H3b33rd leve..."/>
    <w:basedOn w:val="5"/>
    <w:qFormat/>
    <w:uiPriority w:val="0"/>
    <w:pPr>
      <w:keepNext w:val="0"/>
      <w:numPr>
        <w:numId w:val="0"/>
      </w:numPr>
      <w:tabs>
        <w:tab w:val="left" w:pos="720"/>
        <w:tab w:val="left" w:pos="1418"/>
        <w:tab w:val="clear" w:pos="480"/>
        <w:tab w:val="clear" w:pos="840"/>
      </w:tabs>
      <w:adjustRightInd w:val="0"/>
      <w:spacing w:beforeLines="50" w:afterLines="50" w:line="360" w:lineRule="auto"/>
      <w:jc w:val="left"/>
    </w:pPr>
    <w:rPr>
      <w:rFonts w:ascii="Times New Roman" w:eastAsia="宋体"/>
      <w:bCs w:val="0"/>
      <w:szCs w:val="20"/>
    </w:rPr>
  </w:style>
  <w:style w:type="paragraph" w:customStyle="1" w:styleId="1540">
    <w:name w:val="第四节"/>
    <w:basedOn w:val="1"/>
    <w:qFormat/>
    <w:uiPriority w:val="0"/>
    <w:pPr>
      <w:tabs>
        <w:tab w:val="clear" w:pos="480"/>
      </w:tabs>
      <w:spacing w:beforeLines="150"/>
      <w:ind w:firstLine="358" w:firstLineChars="119"/>
      <w:jc w:val="left"/>
    </w:pPr>
    <w:rPr>
      <w:rFonts w:eastAsia="黑体"/>
      <w:b/>
      <w:kern w:val="0"/>
      <w:sz w:val="30"/>
      <w:szCs w:val="20"/>
    </w:rPr>
  </w:style>
  <w:style w:type="paragraph" w:customStyle="1" w:styleId="1541">
    <w:name w:val="表格名称"/>
    <w:basedOn w:val="1"/>
    <w:semiHidden/>
    <w:qFormat/>
    <w:uiPriority w:val="0"/>
    <w:pPr>
      <w:tabs>
        <w:tab w:val="clear" w:pos="480"/>
      </w:tabs>
      <w:ind w:firstLine="489" w:firstLineChars="203"/>
    </w:pPr>
    <w:rPr>
      <w:b/>
      <w:szCs w:val="20"/>
    </w:rPr>
  </w:style>
  <w:style w:type="paragraph" w:customStyle="1" w:styleId="1542">
    <w:name w:val="Char Char Char Char Char Char Char Char Char Char Char Char Char Char Char Char Char Char Char"/>
    <w:basedOn w:val="1"/>
    <w:qFormat/>
    <w:uiPriority w:val="0"/>
    <w:pPr>
      <w:widowControl/>
      <w:tabs>
        <w:tab w:val="clear" w:pos="480"/>
      </w:tabs>
      <w:spacing w:after="160" w:line="240" w:lineRule="exact"/>
      <w:jc w:val="left"/>
    </w:pPr>
    <w:rPr>
      <w:rFonts w:ascii="Verdana" w:hAnsi="Verdana" w:eastAsia="仿宋_GB2312"/>
      <w:kern w:val="0"/>
      <w:szCs w:val="20"/>
      <w:lang w:eastAsia="en-US"/>
    </w:rPr>
  </w:style>
  <w:style w:type="paragraph" w:customStyle="1" w:styleId="1543">
    <w:name w:val="字元 字元1"/>
    <w:basedOn w:val="1"/>
    <w:semiHidden/>
    <w:qFormat/>
    <w:uiPriority w:val="0"/>
    <w:pPr>
      <w:tabs>
        <w:tab w:val="clear" w:pos="480"/>
      </w:tabs>
      <w:spacing w:line="240" w:lineRule="auto"/>
    </w:pPr>
    <w:rPr>
      <w:sz w:val="21"/>
      <w:szCs w:val="20"/>
    </w:rPr>
  </w:style>
  <w:style w:type="paragraph" w:customStyle="1" w:styleId="1544">
    <w:name w:val="图表文"/>
    <w:basedOn w:val="1"/>
    <w:qFormat/>
    <w:uiPriority w:val="0"/>
    <w:pPr>
      <w:tabs>
        <w:tab w:val="clear" w:pos="480"/>
      </w:tabs>
      <w:spacing w:line="240" w:lineRule="auto"/>
      <w:jc w:val="center"/>
    </w:pPr>
    <w:rPr>
      <w:sz w:val="21"/>
      <w:szCs w:val="20"/>
    </w:rPr>
  </w:style>
  <w:style w:type="paragraph" w:customStyle="1" w:styleId="1545">
    <w:name w:val="论文5号样式"/>
    <w:basedOn w:val="1"/>
    <w:qFormat/>
    <w:uiPriority w:val="0"/>
    <w:pPr>
      <w:tabs>
        <w:tab w:val="left" w:pos="360"/>
        <w:tab w:val="clear" w:pos="480"/>
      </w:tabs>
      <w:spacing w:line="240" w:lineRule="auto"/>
    </w:pPr>
    <w:rPr>
      <w:b/>
      <w:sz w:val="28"/>
      <w:szCs w:val="20"/>
    </w:rPr>
  </w:style>
  <w:style w:type="paragraph" w:customStyle="1" w:styleId="1546">
    <w:name w:val="样式 表格2 + 首行缩进:  1 字符 段前: 0.1 行 段后: 0.1 行"/>
    <w:basedOn w:val="1"/>
    <w:qFormat/>
    <w:uiPriority w:val="0"/>
    <w:pPr>
      <w:tabs>
        <w:tab w:val="clear" w:pos="480"/>
      </w:tabs>
      <w:adjustRightInd w:val="0"/>
      <w:snapToGrid w:val="0"/>
      <w:spacing w:line="240" w:lineRule="atLeast"/>
      <w:jc w:val="center"/>
      <w:textAlignment w:val="baseline"/>
    </w:pPr>
    <w:rPr>
      <w:rFonts w:hAnsi="宋体"/>
      <w:spacing w:val="8"/>
      <w:sz w:val="21"/>
      <w:szCs w:val="20"/>
    </w:rPr>
  </w:style>
  <w:style w:type="paragraph" w:customStyle="1" w:styleId="1547">
    <w:name w:val="表頭"/>
    <w:basedOn w:val="1"/>
    <w:qFormat/>
    <w:uiPriority w:val="0"/>
    <w:pPr>
      <w:tabs>
        <w:tab w:val="clear" w:pos="480"/>
      </w:tabs>
      <w:spacing w:before="120" w:after="120" w:line="400" w:lineRule="exact"/>
      <w:ind w:firstLine="482"/>
      <w:jc w:val="center"/>
    </w:pPr>
    <w:rPr>
      <w:rFonts w:eastAsia="DFKai-SB"/>
      <w:b/>
      <w:spacing w:val="20"/>
      <w:kern w:val="0"/>
      <w:szCs w:val="20"/>
      <w:lang w:eastAsia="zh-TW"/>
    </w:rPr>
  </w:style>
  <w:style w:type="paragraph" w:customStyle="1" w:styleId="1548">
    <w:name w:val="广西表"/>
    <w:basedOn w:val="1"/>
    <w:qFormat/>
    <w:uiPriority w:val="0"/>
    <w:pPr>
      <w:tabs>
        <w:tab w:val="left" w:pos="900"/>
        <w:tab w:val="clear" w:pos="480"/>
      </w:tabs>
      <w:spacing w:line="240" w:lineRule="auto"/>
      <w:jc w:val="center"/>
    </w:pPr>
    <w:rPr>
      <w:rFonts w:ascii="宋体"/>
      <w:kern w:val="0"/>
      <w:sz w:val="21"/>
      <w:szCs w:val="20"/>
      <w:u w:color="000000"/>
      <w:lang w:val="sq-AL"/>
    </w:rPr>
  </w:style>
  <w:style w:type="table" w:customStyle="1" w:styleId="1549">
    <w:name w:val="网格型3"/>
    <w:basedOn w:val="87"/>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550">
    <w:name w:val="字元 字元1 Char Char"/>
    <w:basedOn w:val="1"/>
    <w:semiHidden/>
    <w:qFormat/>
    <w:uiPriority w:val="0"/>
    <w:pPr>
      <w:tabs>
        <w:tab w:val="clear" w:pos="480"/>
      </w:tabs>
      <w:spacing w:line="240" w:lineRule="auto"/>
    </w:pPr>
    <w:rPr>
      <w:sz w:val="21"/>
      <w:szCs w:val="21"/>
    </w:rPr>
  </w:style>
  <w:style w:type="paragraph" w:customStyle="1" w:styleId="1551">
    <w:name w:val="表格内容自定"/>
    <w:basedOn w:val="1"/>
    <w:semiHidden/>
    <w:qFormat/>
    <w:uiPriority w:val="0"/>
    <w:pPr>
      <w:tabs>
        <w:tab w:val="clear" w:pos="480"/>
      </w:tabs>
      <w:spacing w:line="280" w:lineRule="exact"/>
      <w:jc w:val="center"/>
    </w:pPr>
    <w:rPr>
      <w:kern w:val="0"/>
      <w:sz w:val="18"/>
      <w:szCs w:val="21"/>
    </w:rPr>
  </w:style>
  <w:style w:type="table" w:customStyle="1" w:styleId="1552">
    <w:name w:val="网格型4"/>
    <w:basedOn w:val="87"/>
    <w:qFormat/>
    <w:uiPriority w:val="59"/>
    <w:pPr>
      <w:widowControl w:val="0"/>
      <w:spacing w:line="400" w:lineRule="exact"/>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553">
    <w:name w:val="文章正文"/>
    <w:basedOn w:val="1"/>
    <w:link w:val="1554"/>
    <w:qFormat/>
    <w:uiPriority w:val="0"/>
    <w:pPr>
      <w:tabs>
        <w:tab w:val="clear" w:pos="480"/>
      </w:tabs>
      <w:jc w:val="left"/>
    </w:pPr>
    <w:rPr>
      <w:rFonts w:eastAsia="仿宋_GB2312"/>
      <w:kern w:val="0"/>
      <w:sz w:val="28"/>
      <w:lang w:val="zh-CN"/>
    </w:rPr>
  </w:style>
  <w:style w:type="character" w:customStyle="1" w:styleId="1554">
    <w:name w:val="文章正文 Char"/>
    <w:link w:val="1553"/>
    <w:qFormat/>
    <w:uiPriority w:val="0"/>
    <w:rPr>
      <w:rFonts w:eastAsia="仿宋_GB2312"/>
      <w:sz w:val="28"/>
      <w:szCs w:val="24"/>
      <w:lang w:bidi="ar-SA"/>
    </w:rPr>
  </w:style>
  <w:style w:type="character" w:customStyle="1" w:styleId="1555">
    <w:name w:val="标题 2 Char Char Char Char Char Char"/>
    <w:semiHidden/>
    <w:qFormat/>
    <w:uiPriority w:val="0"/>
    <w:rPr>
      <w:rFonts w:eastAsia="宋体"/>
      <w:b/>
      <w:bCs/>
      <w:kern w:val="2"/>
      <w:sz w:val="36"/>
      <w:szCs w:val="32"/>
      <w:lang w:val="en-US" w:eastAsia="zh-CN" w:bidi="ar-SA"/>
    </w:rPr>
  </w:style>
  <w:style w:type="paragraph" w:customStyle="1" w:styleId="1556">
    <w:name w:val="general description- new"/>
    <w:basedOn w:val="1"/>
    <w:semiHidden/>
    <w:qFormat/>
    <w:uiPriority w:val="0"/>
    <w:pPr>
      <w:widowControl/>
      <w:tabs>
        <w:tab w:val="left" w:pos="-1530"/>
        <w:tab w:val="clear" w:pos="480"/>
      </w:tabs>
      <w:suppressAutoHyphens/>
      <w:overflowPunct w:val="0"/>
      <w:autoSpaceDE w:val="0"/>
      <w:autoSpaceDN w:val="0"/>
      <w:adjustRightInd w:val="0"/>
      <w:spacing w:line="288" w:lineRule="auto"/>
      <w:ind w:left="2160" w:hanging="720"/>
      <w:jc w:val="left"/>
      <w:textAlignment w:val="baseline"/>
    </w:pPr>
    <w:rPr>
      <w:b/>
      <w:kern w:val="0"/>
      <w:szCs w:val="20"/>
      <w:lang w:val="en-GB" w:eastAsia="en-US"/>
    </w:rPr>
  </w:style>
  <w:style w:type="character" w:customStyle="1" w:styleId="1557">
    <w:name w:val="文本 Char"/>
    <w:link w:val="1422"/>
    <w:qFormat/>
    <w:uiPriority w:val="0"/>
    <w:rPr>
      <w:rFonts w:ascii="宋体" w:eastAsia="宋体"/>
      <w:sz w:val="28"/>
      <w:lang w:bidi="ar-SA"/>
    </w:rPr>
  </w:style>
  <w:style w:type="paragraph" w:customStyle="1" w:styleId="1558">
    <w:name w:val="样式 小三 加粗 居中"/>
    <w:basedOn w:val="1"/>
    <w:qFormat/>
    <w:uiPriority w:val="0"/>
    <w:pPr>
      <w:pageBreakBefore/>
      <w:tabs>
        <w:tab w:val="clear" w:pos="480"/>
      </w:tabs>
      <w:ind w:firstLine="420"/>
      <w:jc w:val="center"/>
    </w:pPr>
    <w:rPr>
      <w:rFonts w:cs="宋体"/>
      <w:b/>
      <w:bCs/>
      <w:sz w:val="30"/>
      <w:szCs w:val="20"/>
    </w:rPr>
  </w:style>
  <w:style w:type="paragraph" w:customStyle="1" w:styleId="1559">
    <w:name w:val="样式 文本 + 加粗 首行缩进:  2 字符"/>
    <w:basedOn w:val="1422"/>
    <w:qFormat/>
    <w:uiPriority w:val="0"/>
    <w:pPr>
      <w:autoSpaceDE w:val="0"/>
      <w:autoSpaceDN w:val="0"/>
      <w:spacing w:line="520" w:lineRule="exact"/>
      <w:jc w:val="both"/>
      <w:textAlignment w:val="auto"/>
    </w:pPr>
    <w:rPr>
      <w:rFonts w:ascii="Times New Roman" w:cs="宋体"/>
      <w:b/>
      <w:bCs/>
      <w:kern w:val="2"/>
    </w:rPr>
  </w:style>
  <w:style w:type="paragraph" w:customStyle="1" w:styleId="1560">
    <w:name w:val="样式 标题 4H4H41Subsection + 首行缩进:  9.75 厘米"/>
    <w:basedOn w:val="6"/>
    <w:qFormat/>
    <w:uiPriority w:val="0"/>
    <w:pPr>
      <w:keepNext w:val="0"/>
      <w:keepLines w:val="0"/>
      <w:numPr>
        <w:ilvl w:val="0"/>
        <w:numId w:val="0"/>
      </w:numPr>
      <w:tabs>
        <w:tab w:val="clear" w:pos="480"/>
      </w:tabs>
      <w:overflowPunct w:val="0"/>
      <w:spacing w:before="0" w:after="0"/>
      <w:jc w:val="center"/>
      <w:outlineLvl w:val="9"/>
    </w:pPr>
    <w:rPr>
      <w:rFonts w:ascii="Times New Roman" w:hAnsi="Times New Roman" w:eastAsia="宋体"/>
      <w:b w:val="0"/>
      <w:bCs w:val="0"/>
      <w:color w:val="0000FF"/>
      <w:kern w:val="0"/>
      <w:szCs w:val="20"/>
    </w:rPr>
  </w:style>
  <w:style w:type="paragraph" w:styleId="1561">
    <w:name w:val="No Spacing"/>
    <w:link w:val="2662"/>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1562">
    <w:name w:val="style31"/>
    <w:semiHidden/>
    <w:qFormat/>
    <w:uiPriority w:val="0"/>
    <w:rPr>
      <w:color w:val="145DA7"/>
    </w:rPr>
  </w:style>
  <w:style w:type="paragraph" w:customStyle="1" w:styleId="1563">
    <w:name w:val="通舟正文"/>
    <w:basedOn w:val="1"/>
    <w:link w:val="1564"/>
    <w:qFormat/>
    <w:uiPriority w:val="0"/>
    <w:pPr>
      <w:widowControl/>
      <w:tabs>
        <w:tab w:val="clear" w:pos="480"/>
      </w:tabs>
      <w:spacing w:beforeLines="50" w:line="440" w:lineRule="exact"/>
      <w:jc w:val="left"/>
    </w:pPr>
    <w:rPr>
      <w:rFonts w:eastAsia="仿宋_GB2312"/>
      <w:kern w:val="0"/>
      <w:sz w:val="28"/>
      <w:szCs w:val="20"/>
      <w:lang w:val="zh-CN"/>
    </w:rPr>
  </w:style>
  <w:style w:type="character" w:customStyle="1" w:styleId="1564">
    <w:name w:val="通舟正文 Char"/>
    <w:link w:val="1563"/>
    <w:qFormat/>
    <w:uiPriority w:val="0"/>
    <w:rPr>
      <w:rFonts w:eastAsia="仿宋_GB2312"/>
      <w:sz w:val="28"/>
      <w:lang w:bidi="ar-SA"/>
    </w:rPr>
  </w:style>
  <w:style w:type="paragraph" w:customStyle="1" w:styleId="1565">
    <w:name w:val="正文格式"/>
    <w:next w:val="1"/>
    <w:link w:val="1566"/>
    <w:qFormat/>
    <w:uiPriority w:val="0"/>
    <w:pPr>
      <w:spacing w:beforeLines="50" w:line="440" w:lineRule="exact"/>
      <w:ind w:firstLine="560" w:firstLineChars="200"/>
      <w:jc w:val="both"/>
    </w:pPr>
    <w:rPr>
      <w:rFonts w:ascii="Times New Roman" w:hAnsi="Times New Roman" w:eastAsia="仿宋_GB2312" w:cs="Times New Roman"/>
      <w:kern w:val="2"/>
      <w:sz w:val="28"/>
      <w:szCs w:val="28"/>
      <w:lang w:val="en-US" w:eastAsia="zh-CN" w:bidi="ar-SA"/>
    </w:rPr>
  </w:style>
  <w:style w:type="character" w:customStyle="1" w:styleId="1566">
    <w:name w:val="正文格式 Char"/>
    <w:link w:val="1565"/>
    <w:qFormat/>
    <w:uiPriority w:val="0"/>
    <w:rPr>
      <w:rFonts w:eastAsia="仿宋_GB2312"/>
      <w:sz w:val="28"/>
      <w:szCs w:val="28"/>
      <w:lang w:bidi="ar-SA"/>
    </w:rPr>
  </w:style>
  <w:style w:type="character" w:customStyle="1" w:styleId="1567">
    <w:name w:val="c Char1"/>
    <w:semiHidden/>
    <w:qFormat/>
    <w:uiPriority w:val="0"/>
    <w:rPr>
      <w:rFonts w:eastAsia="仿宋_GB2312" w:cs="宋体"/>
      <w:kern w:val="2"/>
      <w:sz w:val="28"/>
      <w:lang w:val="en-US" w:eastAsia="zh-CN" w:bidi="ar-SA"/>
    </w:rPr>
  </w:style>
  <w:style w:type="character" w:customStyle="1" w:styleId="1568">
    <w:name w:val="ccc Char"/>
    <w:semiHidden/>
    <w:qFormat/>
    <w:uiPriority w:val="0"/>
    <w:rPr>
      <w:rFonts w:eastAsia="仿宋_GB2312"/>
      <w:bCs/>
      <w:iCs/>
      <w:color w:val="000000"/>
      <w:kern w:val="2"/>
      <w:sz w:val="28"/>
      <w:lang w:val="en-US" w:eastAsia="zh-CN" w:bidi="ar-SA"/>
    </w:rPr>
  </w:style>
  <w:style w:type="character" w:customStyle="1" w:styleId="1569">
    <w:name w:val="size13"/>
    <w:basedOn w:val="132"/>
    <w:semiHidden/>
    <w:qFormat/>
    <w:uiPriority w:val="0"/>
  </w:style>
  <w:style w:type="character" w:customStyle="1" w:styleId="1570">
    <w:name w:val="Section Char Char"/>
    <w:semiHidden/>
    <w:qFormat/>
    <w:uiPriority w:val="0"/>
    <w:rPr>
      <w:rFonts w:ascii="宋体" w:eastAsia="宋体"/>
      <w:b/>
      <w:color w:val="000000"/>
      <w:w w:val="90"/>
      <w:sz w:val="28"/>
      <w:lang w:val="en-US" w:eastAsia="zh-CN" w:bidi="ar-SA"/>
    </w:rPr>
  </w:style>
  <w:style w:type="paragraph" w:customStyle="1" w:styleId="1571">
    <w:name w:val="正文1.2"/>
    <w:qFormat/>
    <w:uiPriority w:val="0"/>
    <w:pPr>
      <w:spacing w:line="500" w:lineRule="exact"/>
      <w:ind w:firstLine="560" w:firstLineChars="200"/>
      <w:jc w:val="both"/>
    </w:pPr>
    <w:rPr>
      <w:rFonts w:ascii="Times New Roman" w:hAnsi="Times New Roman" w:eastAsia="宋体" w:cs="Times New Roman"/>
      <w:color w:val="FF0000"/>
      <w:kern w:val="2"/>
      <w:sz w:val="28"/>
      <w:szCs w:val="28"/>
      <w:lang w:val="en-US" w:eastAsia="zh-CN" w:bidi="ar-SA"/>
    </w:rPr>
  </w:style>
  <w:style w:type="paragraph" w:customStyle="1" w:styleId="1572">
    <w:name w:val="表格文本"/>
    <w:basedOn w:val="1"/>
    <w:semiHidden/>
    <w:qFormat/>
    <w:uiPriority w:val="0"/>
    <w:pPr>
      <w:tabs>
        <w:tab w:val="clear" w:pos="480"/>
      </w:tabs>
      <w:adjustRightInd w:val="0"/>
      <w:spacing w:line="240" w:lineRule="auto"/>
      <w:jc w:val="center"/>
      <w:textAlignment w:val="baseline"/>
    </w:pPr>
    <w:rPr>
      <w:kern w:val="0"/>
      <w:szCs w:val="20"/>
    </w:rPr>
  </w:style>
  <w:style w:type="paragraph" w:customStyle="1" w:styleId="1573">
    <w:name w:val="表图标题"/>
    <w:basedOn w:val="1"/>
    <w:link w:val="1574"/>
    <w:qFormat/>
    <w:uiPriority w:val="0"/>
    <w:pPr>
      <w:tabs>
        <w:tab w:val="left" w:pos="3960"/>
        <w:tab w:val="clear" w:pos="480"/>
      </w:tabs>
    </w:pPr>
    <w:rPr>
      <w:b/>
      <w:bCs/>
      <w:kern w:val="0"/>
      <w:lang w:val="zh-CN"/>
    </w:rPr>
  </w:style>
  <w:style w:type="character" w:customStyle="1" w:styleId="1574">
    <w:name w:val="表图标题 Char"/>
    <w:link w:val="1573"/>
    <w:qFormat/>
    <w:uiPriority w:val="0"/>
    <w:rPr>
      <w:rFonts w:eastAsia="宋体"/>
      <w:b/>
      <w:bCs/>
      <w:sz w:val="24"/>
      <w:szCs w:val="24"/>
      <w:lang w:bidi="ar-SA"/>
    </w:rPr>
  </w:style>
  <w:style w:type="paragraph" w:customStyle="1" w:styleId="1575">
    <w:name w:val="表头编号"/>
    <w:basedOn w:val="1"/>
    <w:link w:val="1576"/>
    <w:qFormat/>
    <w:uiPriority w:val="0"/>
    <w:pPr>
      <w:tabs>
        <w:tab w:val="clear" w:pos="480"/>
      </w:tabs>
      <w:snapToGrid w:val="0"/>
      <w:spacing w:line="240" w:lineRule="atLeast"/>
      <w:jc w:val="right"/>
    </w:pPr>
    <w:rPr>
      <w:b/>
      <w:color w:val="000000"/>
      <w:spacing w:val="-2"/>
      <w:kern w:val="0"/>
      <w:sz w:val="18"/>
      <w:szCs w:val="20"/>
      <w:lang w:val="zh-CN"/>
    </w:rPr>
  </w:style>
  <w:style w:type="character" w:customStyle="1" w:styleId="1576">
    <w:name w:val="表头编号 Char1"/>
    <w:link w:val="1575"/>
    <w:qFormat/>
    <w:uiPriority w:val="0"/>
    <w:rPr>
      <w:rFonts w:eastAsia="宋体"/>
      <w:b/>
      <w:color w:val="000000"/>
      <w:spacing w:val="-2"/>
      <w:sz w:val="18"/>
      <w:lang w:bidi="ar-SA"/>
    </w:rPr>
  </w:style>
  <w:style w:type="paragraph" w:customStyle="1" w:styleId="1577">
    <w:name w:val="表头编号 Char"/>
    <w:basedOn w:val="1"/>
    <w:link w:val="1578"/>
    <w:qFormat/>
    <w:uiPriority w:val="0"/>
    <w:pPr>
      <w:tabs>
        <w:tab w:val="clear" w:pos="480"/>
      </w:tabs>
      <w:snapToGrid w:val="0"/>
      <w:spacing w:line="240" w:lineRule="atLeast"/>
      <w:ind w:left="498" w:hanging="498" w:hangingChars="200"/>
      <w:jc w:val="right"/>
    </w:pPr>
    <w:rPr>
      <w:b/>
      <w:color w:val="000000"/>
      <w:spacing w:val="-2"/>
      <w:kern w:val="0"/>
      <w:sz w:val="20"/>
      <w:szCs w:val="20"/>
      <w:lang w:val="zh-CN"/>
    </w:rPr>
  </w:style>
  <w:style w:type="character" w:customStyle="1" w:styleId="1578">
    <w:name w:val="表头编号 Char Char"/>
    <w:link w:val="1577"/>
    <w:qFormat/>
    <w:uiPriority w:val="0"/>
    <w:rPr>
      <w:rFonts w:eastAsia="宋体"/>
      <w:b/>
      <w:color w:val="000000"/>
      <w:spacing w:val="-2"/>
      <w:lang w:bidi="ar-SA"/>
    </w:rPr>
  </w:style>
  <w:style w:type="paragraph" w:customStyle="1" w:styleId="1579">
    <w:name w:val="汇报材料正文"/>
    <w:basedOn w:val="1"/>
    <w:link w:val="1580"/>
    <w:qFormat/>
    <w:uiPriority w:val="0"/>
    <w:pPr>
      <w:tabs>
        <w:tab w:val="clear" w:pos="480"/>
      </w:tabs>
      <w:adjustRightInd w:val="0"/>
      <w:snapToGrid w:val="0"/>
      <w:ind w:firstLine="530"/>
      <w:jc w:val="left"/>
    </w:pPr>
    <w:rPr>
      <w:rFonts w:ascii="宋体"/>
      <w:bCs/>
      <w:snapToGrid w:val="0"/>
      <w:spacing w:val="16"/>
      <w:kern w:val="0"/>
      <w:szCs w:val="20"/>
      <w:lang w:val="zh-CN"/>
    </w:rPr>
  </w:style>
  <w:style w:type="character" w:customStyle="1" w:styleId="1580">
    <w:name w:val="汇报材料正文 Char"/>
    <w:link w:val="1579"/>
    <w:qFormat/>
    <w:uiPriority w:val="0"/>
    <w:rPr>
      <w:rFonts w:ascii="宋体" w:eastAsia="宋体"/>
      <w:bCs/>
      <w:snapToGrid w:val="0"/>
      <w:spacing w:val="16"/>
      <w:sz w:val="24"/>
      <w:lang w:bidi="ar-SA"/>
    </w:rPr>
  </w:style>
  <w:style w:type="paragraph" w:customStyle="1" w:styleId="1581">
    <w:name w:val="正文1.5倍行距 Char"/>
    <w:qFormat/>
    <w:uiPriority w:val="0"/>
    <w:pPr>
      <w:adjustRightInd w:val="0"/>
      <w:snapToGrid w:val="0"/>
      <w:spacing w:line="360" w:lineRule="auto"/>
      <w:ind w:firstLine="560" w:firstLineChars="200"/>
      <w:jc w:val="both"/>
    </w:pPr>
    <w:rPr>
      <w:rFonts w:ascii="宋体" w:hAnsi="宋体" w:eastAsia="宋体" w:cs="Times New Roman"/>
      <w:bCs/>
      <w:color w:val="FF6600"/>
      <w:kern w:val="2"/>
      <w:sz w:val="28"/>
      <w:szCs w:val="28"/>
      <w:lang w:val="en-US" w:eastAsia="zh-CN" w:bidi="ar-SA"/>
    </w:rPr>
  </w:style>
  <w:style w:type="character" w:customStyle="1" w:styleId="1582">
    <w:name w:val="正文1.5倍行距 Char Char"/>
    <w:qFormat/>
    <w:uiPriority w:val="0"/>
    <w:rPr>
      <w:rFonts w:ascii="宋体" w:hAnsi="宋体" w:eastAsia="宋体"/>
      <w:bCs/>
      <w:sz w:val="24"/>
      <w:szCs w:val="24"/>
      <w:lang w:val="en-US" w:eastAsia="zh-CN" w:bidi="ar-SA"/>
    </w:rPr>
  </w:style>
  <w:style w:type="character" w:customStyle="1" w:styleId="1583">
    <w:name w:val="f141"/>
    <w:semiHidden/>
    <w:qFormat/>
    <w:uiPriority w:val="0"/>
    <w:rPr>
      <w:sz w:val="22"/>
      <w:szCs w:val="22"/>
    </w:rPr>
  </w:style>
  <w:style w:type="character" w:customStyle="1" w:styleId="1584">
    <w:name w:val="图表 Char Char"/>
    <w:qFormat/>
    <w:uiPriority w:val="0"/>
    <w:rPr>
      <w:rFonts w:ascii="宋体" w:hAnsi="宋体" w:eastAsia="宋体"/>
      <w:kern w:val="10"/>
      <w:sz w:val="21"/>
      <w:szCs w:val="21"/>
      <w:lang w:val="en-US" w:eastAsia="zh-CN" w:bidi="ar-SA"/>
    </w:rPr>
  </w:style>
  <w:style w:type="paragraph" w:customStyle="1" w:styleId="1585">
    <w:name w:val="注释"/>
    <w:basedOn w:val="1"/>
    <w:qFormat/>
    <w:uiPriority w:val="0"/>
    <w:pPr>
      <w:tabs>
        <w:tab w:val="clear" w:pos="480"/>
      </w:tabs>
      <w:spacing w:line="240" w:lineRule="auto"/>
      <w:ind w:firstLine="840" w:firstLineChars="400"/>
    </w:pPr>
    <w:rPr>
      <w:rFonts w:ascii="Arial" w:hAnsi="Arial" w:cs="宋体"/>
      <w:sz w:val="21"/>
      <w:szCs w:val="21"/>
    </w:rPr>
  </w:style>
  <w:style w:type="paragraph" w:customStyle="1" w:styleId="1586">
    <w:name w:val="黑体正文"/>
    <w:qFormat/>
    <w:uiPriority w:val="0"/>
    <w:pPr>
      <w:spacing w:line="360" w:lineRule="auto"/>
      <w:ind w:firstLine="544" w:firstLineChars="200"/>
      <w:jc w:val="both"/>
    </w:pPr>
    <w:rPr>
      <w:rFonts w:ascii="黑体" w:hAnsi="Times New Roman" w:eastAsia="黑体" w:cs="宋体"/>
      <w:bCs/>
      <w:snapToGrid w:val="0"/>
      <w:spacing w:val="16"/>
      <w:kern w:val="2"/>
      <w:sz w:val="24"/>
      <w:szCs w:val="24"/>
      <w:lang w:val="en-US" w:eastAsia="zh-CN" w:bidi="ar-SA"/>
    </w:rPr>
  </w:style>
  <w:style w:type="paragraph" w:customStyle="1" w:styleId="1587">
    <w:name w:val="正文1.5倍行距"/>
    <w:link w:val="1588"/>
    <w:qFormat/>
    <w:uiPriority w:val="0"/>
    <w:pPr>
      <w:adjustRightInd w:val="0"/>
      <w:snapToGrid w:val="0"/>
      <w:spacing w:line="500" w:lineRule="exact"/>
      <w:ind w:firstLine="560" w:firstLineChars="200"/>
      <w:jc w:val="both"/>
    </w:pPr>
    <w:rPr>
      <w:rFonts w:ascii="Times New Roman" w:hAnsi="Times New Roman" w:eastAsia="宋体" w:cs="Times New Roman"/>
      <w:snapToGrid w:val="0"/>
      <w:kern w:val="2"/>
      <w:sz w:val="28"/>
      <w:szCs w:val="28"/>
      <w:lang w:val="en-US" w:eastAsia="zh-CN" w:bidi="ar-SA"/>
    </w:rPr>
  </w:style>
  <w:style w:type="character" w:customStyle="1" w:styleId="1588">
    <w:name w:val="正文1.5倍行距 Char1"/>
    <w:link w:val="1587"/>
    <w:qFormat/>
    <w:uiPriority w:val="0"/>
    <w:rPr>
      <w:snapToGrid w:val="0"/>
      <w:sz w:val="28"/>
      <w:szCs w:val="28"/>
      <w:lang w:bidi="ar-SA"/>
    </w:rPr>
  </w:style>
  <w:style w:type="paragraph" w:customStyle="1" w:styleId="1589">
    <w:name w:val="正文29"/>
    <w:basedOn w:val="1"/>
    <w:link w:val="1590"/>
    <w:qFormat/>
    <w:uiPriority w:val="0"/>
    <w:pPr>
      <w:tabs>
        <w:tab w:val="clear" w:pos="480"/>
      </w:tabs>
      <w:topLinePunct/>
      <w:snapToGrid w:val="0"/>
      <w:spacing w:line="580" w:lineRule="exact"/>
      <w:ind w:firstLine="567"/>
    </w:pPr>
    <w:rPr>
      <w:kern w:val="0"/>
      <w:sz w:val="28"/>
      <w:szCs w:val="28"/>
      <w:lang w:val="zh-CN"/>
    </w:rPr>
  </w:style>
  <w:style w:type="character" w:customStyle="1" w:styleId="1590">
    <w:name w:val="正文29 Char"/>
    <w:link w:val="1589"/>
    <w:qFormat/>
    <w:uiPriority w:val="0"/>
    <w:rPr>
      <w:rFonts w:eastAsia="宋体"/>
      <w:sz w:val="28"/>
      <w:szCs w:val="28"/>
      <w:lang w:bidi="ar-SA"/>
    </w:rPr>
  </w:style>
  <w:style w:type="paragraph" w:customStyle="1" w:styleId="1591">
    <w:name w:val="style20"/>
    <w:basedOn w:val="1"/>
    <w:semiHidden/>
    <w:qFormat/>
    <w:uiPriority w:val="0"/>
    <w:pPr>
      <w:widowControl/>
      <w:tabs>
        <w:tab w:val="clear" w:pos="480"/>
      </w:tabs>
      <w:spacing w:before="100" w:beforeAutospacing="1" w:after="100" w:afterAutospacing="1" w:line="240" w:lineRule="auto"/>
      <w:jc w:val="left"/>
    </w:pPr>
    <w:rPr>
      <w:rFonts w:ascii="宋体" w:hAnsi="宋体" w:cs="宋体"/>
      <w:color w:val="000000"/>
      <w:kern w:val="0"/>
    </w:rPr>
  </w:style>
  <w:style w:type="paragraph" w:customStyle="1" w:styleId="1592">
    <w:name w:val="正文15"/>
    <w:basedOn w:val="1"/>
    <w:link w:val="1593"/>
    <w:qFormat/>
    <w:uiPriority w:val="0"/>
    <w:pPr>
      <w:tabs>
        <w:tab w:val="clear" w:pos="480"/>
      </w:tabs>
      <w:overflowPunct w:val="0"/>
      <w:topLinePunct/>
      <w:snapToGrid w:val="0"/>
      <w:ind w:firstLine="567"/>
    </w:pPr>
    <w:rPr>
      <w:kern w:val="0"/>
      <w:sz w:val="28"/>
      <w:szCs w:val="28"/>
      <w:lang w:val="zh-CN"/>
    </w:rPr>
  </w:style>
  <w:style w:type="character" w:customStyle="1" w:styleId="1593">
    <w:name w:val="正文15 Char"/>
    <w:link w:val="1592"/>
    <w:qFormat/>
    <w:uiPriority w:val="0"/>
    <w:rPr>
      <w:rFonts w:eastAsia="宋体"/>
      <w:sz w:val="28"/>
      <w:szCs w:val="28"/>
      <w:lang w:bidi="ar-SA"/>
    </w:rPr>
  </w:style>
  <w:style w:type="paragraph" w:customStyle="1" w:styleId="1594">
    <w:name w:val="码头正文2"/>
    <w:basedOn w:val="1"/>
    <w:link w:val="1595"/>
    <w:qFormat/>
    <w:uiPriority w:val="0"/>
    <w:pPr>
      <w:tabs>
        <w:tab w:val="clear" w:pos="480"/>
      </w:tabs>
      <w:adjustRightInd w:val="0"/>
      <w:spacing w:line="324" w:lineRule="auto"/>
      <w:jc w:val="left"/>
      <w:textAlignment w:val="baseline"/>
    </w:pPr>
    <w:rPr>
      <w:kern w:val="0"/>
      <w:lang w:val="zh-CN"/>
    </w:rPr>
  </w:style>
  <w:style w:type="character" w:customStyle="1" w:styleId="1595">
    <w:name w:val="码头正文2 Char"/>
    <w:link w:val="1594"/>
    <w:qFormat/>
    <w:uiPriority w:val="0"/>
    <w:rPr>
      <w:rFonts w:eastAsia="宋体"/>
      <w:sz w:val="24"/>
      <w:szCs w:val="24"/>
      <w:lang w:bidi="ar-SA"/>
    </w:rPr>
  </w:style>
  <w:style w:type="paragraph" w:customStyle="1" w:styleId="1596">
    <w:name w:val="丽洁"/>
    <w:basedOn w:val="8"/>
    <w:link w:val="1597"/>
    <w:qFormat/>
    <w:uiPriority w:val="0"/>
    <w:pPr>
      <w:keepNext w:val="0"/>
      <w:keepLines w:val="0"/>
      <w:numPr>
        <w:ilvl w:val="0"/>
        <w:numId w:val="0"/>
      </w:numPr>
      <w:tabs>
        <w:tab w:val="clear" w:pos="480"/>
      </w:tabs>
      <w:autoSpaceDE/>
      <w:autoSpaceDN/>
      <w:spacing w:beforeLines="50" w:afterLines="50" w:line="360" w:lineRule="auto"/>
      <w:jc w:val="center"/>
      <w:outlineLvl w:val="9"/>
    </w:pPr>
    <w:rPr>
      <w:rFonts w:ascii="Times New Roman" w:hAnsi="Times New Roman" w:eastAsia="黑体"/>
      <w:spacing w:val="10"/>
      <w:kern w:val="0"/>
    </w:rPr>
  </w:style>
  <w:style w:type="character" w:customStyle="1" w:styleId="1597">
    <w:name w:val="丽洁 Char"/>
    <w:link w:val="1596"/>
    <w:qFormat/>
    <w:uiPriority w:val="0"/>
    <w:rPr>
      <w:rFonts w:eastAsia="黑体"/>
      <w:b/>
      <w:spacing w:val="10"/>
      <w:sz w:val="24"/>
      <w:lang w:bidi="ar-SA"/>
    </w:rPr>
  </w:style>
  <w:style w:type="character" w:customStyle="1" w:styleId="1598">
    <w:name w:val="图标题 Char"/>
    <w:qFormat/>
    <w:uiPriority w:val="0"/>
    <w:rPr>
      <w:rFonts w:ascii="Times New Roman" w:hAnsi="Times New Roman" w:eastAsia="宋体" w:cs="Times New Roman"/>
      <w:b/>
      <w:spacing w:val="10"/>
      <w:kern w:val="0"/>
      <w:sz w:val="24"/>
      <w:szCs w:val="20"/>
    </w:rPr>
  </w:style>
  <w:style w:type="paragraph" w:customStyle="1" w:styleId="1599">
    <w:name w:val="丽洁1"/>
    <w:basedOn w:val="1"/>
    <w:link w:val="1600"/>
    <w:qFormat/>
    <w:uiPriority w:val="0"/>
    <w:pPr>
      <w:tabs>
        <w:tab w:val="clear" w:pos="480"/>
      </w:tabs>
      <w:autoSpaceDE w:val="0"/>
      <w:autoSpaceDN w:val="0"/>
      <w:adjustRightInd w:val="0"/>
      <w:spacing w:beforeLines="50" w:afterLines="50"/>
      <w:jc w:val="center"/>
    </w:pPr>
    <w:rPr>
      <w:rFonts w:eastAsia="黑体"/>
      <w:b/>
      <w:kern w:val="0"/>
      <w:lang w:val="zh-CN"/>
    </w:rPr>
  </w:style>
  <w:style w:type="character" w:customStyle="1" w:styleId="1600">
    <w:name w:val="丽洁1 Char"/>
    <w:link w:val="1599"/>
    <w:qFormat/>
    <w:uiPriority w:val="0"/>
    <w:rPr>
      <w:rFonts w:eastAsia="黑体"/>
      <w:b/>
      <w:sz w:val="24"/>
      <w:szCs w:val="24"/>
      <w:lang w:bidi="ar-SA"/>
    </w:rPr>
  </w:style>
  <w:style w:type="table" w:customStyle="1" w:styleId="1601">
    <w:name w:val="网格型5"/>
    <w:basedOn w:val="87"/>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602">
    <w:name w:val="无节项 Char"/>
    <w:qFormat/>
    <w:uiPriority w:val="0"/>
    <w:rPr>
      <w:rFonts w:ascii="Arial" w:hAnsi="Arial" w:eastAsia="黑体"/>
      <w:kern w:val="2"/>
      <w:sz w:val="21"/>
      <w:szCs w:val="21"/>
    </w:rPr>
  </w:style>
  <w:style w:type="character" w:customStyle="1" w:styleId="1603">
    <w:name w:val="Char Char17"/>
    <w:qFormat/>
    <w:uiPriority w:val="0"/>
    <w:rPr>
      <w:kern w:val="2"/>
      <w:sz w:val="21"/>
      <w:szCs w:val="24"/>
      <w:shd w:val="clear" w:color="auto" w:fill="000080"/>
    </w:rPr>
  </w:style>
  <w:style w:type="character" w:customStyle="1" w:styleId="1604">
    <w:name w:val="Название объекта Знак1 Char"/>
    <w:semiHidden/>
    <w:qFormat/>
    <w:uiPriority w:val="0"/>
    <w:rPr>
      <w:rFonts w:ascii="Arial" w:hAnsi="Arial" w:eastAsia="黑体" w:cs="Times New Roman"/>
      <w:sz w:val="20"/>
      <w:szCs w:val="20"/>
    </w:rPr>
  </w:style>
  <w:style w:type="paragraph" w:customStyle="1" w:styleId="1605">
    <w:name w:val="样式 电镀正文 + 首行缩进:  2 字符"/>
    <w:basedOn w:val="1"/>
    <w:link w:val="1606"/>
    <w:qFormat/>
    <w:uiPriority w:val="0"/>
    <w:pPr>
      <w:tabs>
        <w:tab w:val="clear" w:pos="480"/>
      </w:tabs>
      <w:spacing w:line="324" w:lineRule="auto"/>
    </w:pPr>
    <w:rPr>
      <w:rFonts w:ascii="宋体" w:hAnsi="宋体"/>
      <w:kern w:val="0"/>
      <w:lang w:val="zh-CN"/>
    </w:rPr>
  </w:style>
  <w:style w:type="character" w:customStyle="1" w:styleId="1606">
    <w:name w:val="样式 电镀正文 + 首行缩进:  2 字符 Char"/>
    <w:link w:val="1605"/>
    <w:qFormat/>
    <w:uiPriority w:val="0"/>
    <w:rPr>
      <w:rFonts w:ascii="宋体" w:hAnsi="宋体" w:eastAsia="宋体"/>
      <w:sz w:val="24"/>
      <w:szCs w:val="24"/>
      <w:lang w:bidi="ar-SA"/>
    </w:rPr>
  </w:style>
  <w:style w:type="character" w:customStyle="1" w:styleId="1607">
    <w:name w:val="可研-正文首行缩进 Char"/>
    <w:qFormat/>
    <w:uiPriority w:val="0"/>
    <w:rPr>
      <w:kern w:val="2"/>
      <w:sz w:val="21"/>
      <w:szCs w:val="24"/>
    </w:rPr>
  </w:style>
  <w:style w:type="paragraph" w:customStyle="1" w:styleId="1608">
    <w:name w:val="生物质发电表"/>
    <w:basedOn w:val="1"/>
    <w:link w:val="1609"/>
    <w:qFormat/>
    <w:uiPriority w:val="0"/>
    <w:pPr>
      <w:tabs>
        <w:tab w:val="clear" w:pos="480"/>
      </w:tabs>
      <w:autoSpaceDE w:val="0"/>
      <w:autoSpaceDN w:val="0"/>
      <w:adjustRightInd w:val="0"/>
      <w:spacing w:line="0" w:lineRule="atLeast"/>
      <w:jc w:val="center"/>
      <w:textAlignment w:val="center"/>
    </w:pPr>
    <w:rPr>
      <w:rFonts w:ascii="宋体" w:hAnsi="宋体"/>
      <w:color w:val="000000"/>
      <w:kern w:val="0"/>
      <w:sz w:val="20"/>
      <w:szCs w:val="21"/>
      <w:lang w:val="zh-CN"/>
    </w:rPr>
  </w:style>
  <w:style w:type="character" w:customStyle="1" w:styleId="1609">
    <w:name w:val="生物质发电表 Char Char"/>
    <w:link w:val="1608"/>
    <w:qFormat/>
    <w:uiPriority w:val="0"/>
    <w:rPr>
      <w:rFonts w:ascii="宋体" w:hAnsi="宋体" w:eastAsia="宋体"/>
      <w:color w:val="000000"/>
      <w:szCs w:val="21"/>
      <w:lang w:bidi="ar-SA"/>
    </w:rPr>
  </w:style>
  <w:style w:type="paragraph" w:customStyle="1" w:styleId="1610">
    <w:name w:val="正文（1）"/>
    <w:basedOn w:val="21"/>
    <w:next w:val="85"/>
    <w:qFormat/>
    <w:uiPriority w:val="0"/>
    <w:pPr>
      <w:widowControl/>
      <w:tabs>
        <w:tab w:val="clear" w:pos="480"/>
      </w:tabs>
      <w:adjustRightInd w:val="0"/>
      <w:snapToGrid w:val="0"/>
      <w:spacing w:line="480" w:lineRule="exact"/>
      <w:ind w:firstLine="480"/>
    </w:pPr>
    <w:rPr>
      <w:rFonts w:cs="宋体"/>
      <w:color w:val="FF00FF"/>
      <w:kern w:val="0"/>
      <w:szCs w:val="20"/>
    </w:rPr>
  </w:style>
  <w:style w:type="paragraph" w:customStyle="1" w:styleId="1611">
    <w:name w:val="东方工业区表"/>
    <w:basedOn w:val="1"/>
    <w:qFormat/>
    <w:uiPriority w:val="0"/>
    <w:pPr>
      <w:tabs>
        <w:tab w:val="left" w:pos="0"/>
        <w:tab w:val="clear" w:pos="480"/>
      </w:tabs>
      <w:adjustRightInd w:val="0"/>
      <w:snapToGrid w:val="0"/>
      <w:spacing w:line="0" w:lineRule="atLeast"/>
      <w:jc w:val="center"/>
      <w:textAlignment w:val="baseline"/>
    </w:pPr>
    <w:rPr>
      <w:kern w:val="0"/>
      <w:sz w:val="21"/>
      <w:szCs w:val="18"/>
    </w:rPr>
  </w:style>
  <w:style w:type="paragraph" w:customStyle="1" w:styleId="1612">
    <w:name w:val="正文标准格式张"/>
    <w:basedOn w:val="1"/>
    <w:link w:val="1613"/>
    <w:qFormat/>
    <w:uiPriority w:val="0"/>
    <w:pPr>
      <w:tabs>
        <w:tab w:val="clear" w:pos="480"/>
      </w:tabs>
      <w:adjustRightInd w:val="0"/>
      <w:snapToGrid w:val="0"/>
      <w:spacing w:beforeLines="25" w:afterLines="25" w:line="312" w:lineRule="auto"/>
      <w:ind w:firstLine="480"/>
      <w:textAlignment w:val="baseline"/>
    </w:pPr>
    <w:rPr>
      <w:rFonts w:ascii="宋体" w:hAnsi="宋体"/>
      <w:kern w:val="0"/>
      <w:szCs w:val="20"/>
      <w:lang w:val="zh-CN"/>
    </w:rPr>
  </w:style>
  <w:style w:type="character" w:customStyle="1" w:styleId="1613">
    <w:name w:val="正文标准格式张 Char"/>
    <w:link w:val="1612"/>
    <w:qFormat/>
    <w:uiPriority w:val="0"/>
    <w:rPr>
      <w:rFonts w:ascii="宋体" w:hAnsi="宋体" w:eastAsia="宋体"/>
      <w:sz w:val="24"/>
      <w:lang w:bidi="ar-SA"/>
    </w:rPr>
  </w:style>
  <w:style w:type="character" w:customStyle="1" w:styleId="1614">
    <w:name w:val="标题 4 Char Char Char Char Char Char Char Char Char Char Char Char Char Char Char Char Char Char Char"/>
    <w:semiHidden/>
    <w:qFormat/>
    <w:uiPriority w:val="0"/>
    <w:rPr>
      <w:rFonts w:ascii="Arial" w:hAnsi="Arial" w:eastAsia="黑体"/>
      <w:b/>
      <w:bCs/>
      <w:snapToGrid w:val="0"/>
      <w:sz w:val="24"/>
      <w:szCs w:val="28"/>
      <w:lang w:val="en-US" w:eastAsia="zh-CN" w:bidi="ar-SA"/>
    </w:rPr>
  </w:style>
  <w:style w:type="paragraph" w:customStyle="1" w:styleId="1615">
    <w:name w:val="表格文字1"/>
    <w:basedOn w:val="1"/>
    <w:semiHidden/>
    <w:qFormat/>
    <w:uiPriority w:val="0"/>
    <w:pPr>
      <w:tabs>
        <w:tab w:val="clear" w:pos="480"/>
      </w:tabs>
      <w:autoSpaceDE w:val="0"/>
      <w:autoSpaceDN w:val="0"/>
      <w:adjustRightInd w:val="0"/>
      <w:spacing w:line="240" w:lineRule="auto"/>
      <w:jc w:val="center"/>
    </w:pPr>
    <w:rPr>
      <w:rFonts w:ascii="宋体" w:hAnsi="宋体"/>
      <w:snapToGrid w:val="0"/>
      <w:kern w:val="0"/>
      <w:sz w:val="21"/>
      <w:szCs w:val="20"/>
    </w:rPr>
  </w:style>
  <w:style w:type="paragraph" w:customStyle="1" w:styleId="1616">
    <w:name w:val="图表名称"/>
    <w:next w:val="1"/>
    <w:link w:val="1617"/>
    <w:qFormat/>
    <w:uiPriority w:val="0"/>
    <w:pPr>
      <w:spacing w:before="25" w:after="25" w:line="360" w:lineRule="auto"/>
      <w:ind w:firstLine="200" w:firstLineChars="200"/>
    </w:pPr>
    <w:rPr>
      <w:rFonts w:ascii="Times New Roman" w:hAnsi="Times New Roman" w:eastAsia="黑体" w:cs="Times New Roman"/>
      <w:b/>
      <w:bCs/>
      <w:kern w:val="2"/>
      <w:sz w:val="24"/>
      <w:szCs w:val="21"/>
      <w:lang w:val="en-US" w:eastAsia="zh-CN" w:bidi="ar-SA"/>
    </w:rPr>
  </w:style>
  <w:style w:type="character" w:customStyle="1" w:styleId="1617">
    <w:name w:val="图表名称 Char"/>
    <w:link w:val="1616"/>
    <w:qFormat/>
    <w:uiPriority w:val="0"/>
    <w:rPr>
      <w:rFonts w:eastAsia="黑体"/>
      <w:b/>
      <w:bCs/>
      <w:sz w:val="24"/>
      <w:szCs w:val="21"/>
      <w:lang w:bidi="ar-SA"/>
    </w:rPr>
  </w:style>
  <w:style w:type="paragraph" w:customStyle="1" w:styleId="1618">
    <w:name w:val="表注"/>
    <w:basedOn w:val="1"/>
    <w:link w:val="1619"/>
    <w:qFormat/>
    <w:uiPriority w:val="0"/>
    <w:pPr>
      <w:tabs>
        <w:tab w:val="clear" w:pos="480"/>
      </w:tabs>
      <w:autoSpaceDE w:val="0"/>
      <w:autoSpaceDN w:val="0"/>
      <w:adjustRightInd w:val="0"/>
      <w:spacing w:beforeLines="50" w:afterLines="50" w:line="240" w:lineRule="auto"/>
      <w:jc w:val="center"/>
    </w:pPr>
    <w:rPr>
      <w:rFonts w:ascii="Arial" w:hAnsi="Arial"/>
      <w:b/>
      <w:kern w:val="0"/>
      <w:sz w:val="20"/>
      <w:szCs w:val="21"/>
      <w:lang w:val="zh-CN"/>
    </w:rPr>
  </w:style>
  <w:style w:type="character" w:customStyle="1" w:styleId="1619">
    <w:name w:val="表注 Char"/>
    <w:link w:val="1618"/>
    <w:qFormat/>
    <w:uiPriority w:val="0"/>
    <w:rPr>
      <w:rFonts w:ascii="Arial" w:hAnsi="Arial" w:eastAsia="宋体"/>
      <w:b/>
      <w:szCs w:val="21"/>
      <w:lang w:bidi="ar-SA"/>
    </w:rPr>
  </w:style>
  <w:style w:type="paragraph" w:customStyle="1" w:styleId="1620">
    <w:name w:val="正文首行缩进0.85"/>
    <w:basedOn w:val="1"/>
    <w:link w:val="1621"/>
    <w:qFormat/>
    <w:uiPriority w:val="0"/>
    <w:pPr>
      <w:widowControl/>
      <w:tabs>
        <w:tab w:val="left" w:pos="900"/>
        <w:tab w:val="clear" w:pos="480"/>
      </w:tabs>
      <w:ind w:firstLine="480"/>
      <w:jc w:val="left"/>
    </w:pPr>
    <w:rPr>
      <w:color w:val="000000"/>
      <w:kern w:val="0"/>
      <w:lang w:val="zh-CN"/>
    </w:rPr>
  </w:style>
  <w:style w:type="character" w:customStyle="1" w:styleId="1621">
    <w:name w:val="正文首行缩进0.85 Char"/>
    <w:link w:val="1620"/>
    <w:qFormat/>
    <w:uiPriority w:val="0"/>
    <w:rPr>
      <w:rFonts w:eastAsia="宋体"/>
      <w:color w:val="000000"/>
      <w:sz w:val="24"/>
      <w:szCs w:val="24"/>
      <w:lang w:val="zh-CN" w:bidi="ar-SA"/>
    </w:rPr>
  </w:style>
  <w:style w:type="paragraph" w:customStyle="1" w:styleId="1622">
    <w:name w:val="正文＋黑体"/>
    <w:basedOn w:val="1"/>
    <w:link w:val="1623"/>
    <w:qFormat/>
    <w:uiPriority w:val="0"/>
    <w:pPr>
      <w:tabs>
        <w:tab w:val="clear" w:pos="480"/>
      </w:tabs>
      <w:spacing w:beforeLines="50" w:afterLines="50" w:line="240" w:lineRule="auto"/>
      <w:ind w:firstLine="480"/>
      <w:jc w:val="left"/>
    </w:pPr>
    <w:rPr>
      <w:rFonts w:ascii="Arial" w:hAnsi="Arial" w:eastAsia="黑体"/>
      <w:kern w:val="0"/>
      <w:lang w:val="zh-CN"/>
    </w:rPr>
  </w:style>
  <w:style w:type="character" w:customStyle="1" w:styleId="1623">
    <w:name w:val="正文＋黑体 Char"/>
    <w:link w:val="1622"/>
    <w:qFormat/>
    <w:uiPriority w:val="0"/>
    <w:rPr>
      <w:rFonts w:ascii="Arial" w:hAnsi="Arial" w:eastAsia="黑体"/>
      <w:sz w:val="24"/>
      <w:szCs w:val="24"/>
      <w:lang w:bidi="ar-SA"/>
    </w:rPr>
  </w:style>
  <w:style w:type="paragraph" w:customStyle="1" w:styleId="1624">
    <w:name w:val="表后段落"/>
    <w:basedOn w:val="1"/>
    <w:next w:val="1"/>
    <w:link w:val="1625"/>
    <w:semiHidden/>
    <w:qFormat/>
    <w:uiPriority w:val="0"/>
    <w:pPr>
      <w:tabs>
        <w:tab w:val="clear" w:pos="480"/>
      </w:tabs>
      <w:spacing w:before="240"/>
      <w:jc w:val="left"/>
    </w:pPr>
    <w:rPr>
      <w:rFonts w:ascii="Arial" w:hAnsi="Arial"/>
      <w:kern w:val="0"/>
      <w:lang w:val="zh-CN"/>
    </w:rPr>
  </w:style>
  <w:style w:type="character" w:customStyle="1" w:styleId="1625">
    <w:name w:val="表后段落 Char"/>
    <w:link w:val="1624"/>
    <w:qFormat/>
    <w:uiPriority w:val="0"/>
    <w:rPr>
      <w:rFonts w:ascii="Arial" w:hAnsi="Arial" w:eastAsia="宋体"/>
      <w:sz w:val="24"/>
      <w:szCs w:val="24"/>
      <w:lang w:bidi="ar-SA"/>
    </w:rPr>
  </w:style>
  <w:style w:type="paragraph" w:customStyle="1" w:styleId="1626">
    <w:name w:val="样式正文"/>
    <w:basedOn w:val="1"/>
    <w:link w:val="1627"/>
    <w:qFormat/>
    <w:uiPriority w:val="0"/>
    <w:pPr>
      <w:tabs>
        <w:tab w:val="clear" w:pos="480"/>
      </w:tabs>
      <w:spacing w:line="300" w:lineRule="auto"/>
    </w:pPr>
    <w:rPr>
      <w:kern w:val="0"/>
      <w:lang w:val="zh-CN"/>
    </w:rPr>
  </w:style>
  <w:style w:type="character" w:customStyle="1" w:styleId="1627">
    <w:name w:val="样式正文 Char"/>
    <w:link w:val="1626"/>
    <w:qFormat/>
    <w:uiPriority w:val="0"/>
    <w:rPr>
      <w:rFonts w:eastAsia="宋体"/>
      <w:sz w:val="24"/>
      <w:szCs w:val="24"/>
      <w:lang w:bidi="ar-SA"/>
    </w:rPr>
  </w:style>
  <w:style w:type="paragraph" w:customStyle="1" w:styleId="1628">
    <w:name w:val="段落1 Char"/>
    <w:basedOn w:val="1"/>
    <w:link w:val="1629"/>
    <w:qFormat/>
    <w:uiPriority w:val="0"/>
    <w:pPr>
      <w:tabs>
        <w:tab w:val="clear" w:pos="480"/>
      </w:tabs>
      <w:adjustRightInd w:val="0"/>
      <w:spacing w:line="440" w:lineRule="exact"/>
    </w:pPr>
    <w:rPr>
      <w:spacing w:val="8"/>
      <w:kern w:val="0"/>
      <w:szCs w:val="20"/>
      <w:lang w:val="zh-CN"/>
    </w:rPr>
  </w:style>
  <w:style w:type="character" w:customStyle="1" w:styleId="1629">
    <w:name w:val="段落1 Char Char1"/>
    <w:link w:val="1628"/>
    <w:qFormat/>
    <w:uiPriority w:val="0"/>
    <w:rPr>
      <w:rFonts w:eastAsia="宋体"/>
      <w:spacing w:val="8"/>
      <w:sz w:val="24"/>
      <w:lang w:bidi="ar-SA"/>
    </w:rPr>
  </w:style>
  <w:style w:type="paragraph" w:customStyle="1" w:styleId="1630">
    <w:name w:val="表表题"/>
    <w:basedOn w:val="1"/>
    <w:link w:val="1631"/>
    <w:semiHidden/>
    <w:qFormat/>
    <w:uiPriority w:val="0"/>
    <w:pPr>
      <w:tabs>
        <w:tab w:val="clear" w:pos="480"/>
      </w:tabs>
      <w:spacing w:before="120" w:line="240" w:lineRule="auto"/>
      <w:jc w:val="center"/>
    </w:pPr>
    <w:rPr>
      <w:rFonts w:ascii="Arial" w:hAnsi="Arial"/>
      <w:kern w:val="0"/>
      <w:sz w:val="20"/>
      <w:lang w:val="zh-CN"/>
    </w:rPr>
  </w:style>
  <w:style w:type="character" w:customStyle="1" w:styleId="1631">
    <w:name w:val="表表题 Char"/>
    <w:link w:val="1630"/>
    <w:qFormat/>
    <w:uiPriority w:val="0"/>
    <w:rPr>
      <w:rFonts w:ascii="Arial" w:hAnsi="Arial" w:eastAsia="宋体"/>
      <w:szCs w:val="24"/>
      <w:lang w:bidi="ar-SA"/>
    </w:rPr>
  </w:style>
  <w:style w:type="character" w:customStyle="1" w:styleId="1632">
    <w:name w:val="题注 Char1 Char"/>
    <w:qFormat/>
    <w:uiPriority w:val="0"/>
    <w:rPr>
      <w:rFonts w:ascii="Arial" w:hAnsi="Arial" w:eastAsia="黑体" w:cs="Arial"/>
      <w:kern w:val="2"/>
      <w:lang w:val="en-US" w:eastAsia="zh-CN" w:bidi="ar-SA"/>
    </w:rPr>
  </w:style>
  <w:style w:type="paragraph" w:customStyle="1" w:styleId="1633">
    <w:name w:val="Char Char Char Char Char Char Char Char Char2"/>
    <w:basedOn w:val="1"/>
    <w:semiHidden/>
    <w:qFormat/>
    <w:uiPriority w:val="0"/>
    <w:pPr>
      <w:tabs>
        <w:tab w:val="clear" w:pos="480"/>
      </w:tabs>
      <w:spacing w:line="240" w:lineRule="auto"/>
    </w:pPr>
  </w:style>
  <w:style w:type="paragraph" w:customStyle="1" w:styleId="1634">
    <w:name w:val="二级标题 Char Char Char"/>
    <w:basedOn w:val="1"/>
    <w:next w:val="1"/>
    <w:qFormat/>
    <w:uiPriority w:val="0"/>
    <w:pPr>
      <w:tabs>
        <w:tab w:val="clear" w:pos="480"/>
      </w:tabs>
      <w:spacing w:line="529" w:lineRule="exact"/>
      <w:ind w:firstLine="480"/>
    </w:pPr>
    <w:rPr>
      <w:rFonts w:ascii="宋体" w:hAnsi="宋体" w:cs="宋体"/>
    </w:rPr>
  </w:style>
  <w:style w:type="paragraph" w:customStyle="1" w:styleId="1635">
    <w:name w:val="CM38"/>
    <w:basedOn w:val="150"/>
    <w:next w:val="150"/>
    <w:semiHidden/>
    <w:qFormat/>
    <w:uiPriority w:val="0"/>
    <w:pPr>
      <w:spacing w:after="130" w:line="360" w:lineRule="auto"/>
      <w:ind w:firstLine="200" w:firstLineChars="200"/>
      <w:jc w:val="both"/>
    </w:pPr>
    <w:rPr>
      <w:rFonts w:ascii="宋体" w:eastAsia="宋体" w:cs="Times New Roman"/>
      <w:color w:val="auto"/>
    </w:rPr>
  </w:style>
  <w:style w:type="paragraph" w:customStyle="1" w:styleId="1636">
    <w:name w:val="表尾注"/>
    <w:basedOn w:val="1"/>
    <w:next w:val="1"/>
    <w:qFormat/>
    <w:uiPriority w:val="0"/>
    <w:pPr>
      <w:tabs>
        <w:tab w:val="clear" w:pos="480"/>
      </w:tabs>
      <w:autoSpaceDE w:val="0"/>
      <w:autoSpaceDN w:val="0"/>
      <w:adjustRightInd w:val="0"/>
      <w:spacing w:after="240" w:line="240" w:lineRule="auto"/>
      <w:jc w:val="left"/>
    </w:pPr>
    <w:rPr>
      <w:rFonts w:ascii="Arial" w:hAnsi="Arial" w:cs="宋体"/>
      <w:kern w:val="0"/>
      <w:sz w:val="18"/>
      <w:szCs w:val="21"/>
    </w:rPr>
  </w:style>
  <w:style w:type="paragraph" w:customStyle="1" w:styleId="1637">
    <w:name w:val="样式 标题 3标题 3 Char Char标题 3 Char1H3Heading 3 - old标题 3 Char C..."/>
    <w:basedOn w:val="5"/>
    <w:qFormat/>
    <w:uiPriority w:val="0"/>
    <w:pPr>
      <w:numPr>
        <w:numId w:val="0"/>
      </w:numPr>
      <w:tabs>
        <w:tab w:val="clear" w:pos="480"/>
        <w:tab w:val="clear" w:pos="840"/>
      </w:tabs>
      <w:spacing w:before="240" w:after="0" w:line="360" w:lineRule="auto"/>
      <w:ind w:left="1476" w:hanging="1476"/>
    </w:pPr>
    <w:rPr>
      <w:rFonts w:ascii="Arial" w:hAnsi="Arial" w:eastAsia="楷体_GB2312" w:cs="宋体"/>
      <w:szCs w:val="20"/>
    </w:rPr>
  </w:style>
  <w:style w:type="paragraph" w:customStyle="1" w:styleId="1638">
    <w:name w:val="样式 (符号) 宋体 行距: 最小值 12 磅"/>
    <w:basedOn w:val="1"/>
    <w:qFormat/>
    <w:uiPriority w:val="0"/>
    <w:pPr>
      <w:tabs>
        <w:tab w:val="clear" w:pos="480"/>
      </w:tabs>
    </w:pPr>
    <w:rPr>
      <w:rFonts w:hAnsi="宋体" w:cs="宋体"/>
      <w:szCs w:val="20"/>
    </w:rPr>
  </w:style>
  <w:style w:type="character" w:customStyle="1" w:styleId="1639">
    <w:name w:val="h31"/>
    <w:semiHidden/>
    <w:qFormat/>
    <w:uiPriority w:val="0"/>
    <w:rPr>
      <w:spacing w:val="440"/>
      <w:sz w:val="28"/>
      <w:szCs w:val="28"/>
    </w:rPr>
  </w:style>
  <w:style w:type="paragraph" w:customStyle="1" w:styleId="1640">
    <w:name w:val="样式 标题 1 + 首行缩进:  0 厘米"/>
    <w:basedOn w:val="3"/>
    <w:qFormat/>
    <w:uiPriority w:val="0"/>
    <w:pPr>
      <w:numPr>
        <w:numId w:val="0"/>
      </w:numPr>
      <w:tabs>
        <w:tab w:val="clear" w:pos="480"/>
      </w:tabs>
      <w:spacing w:beforeLines="50" w:afterLines="50" w:line="576" w:lineRule="auto"/>
    </w:pPr>
    <w:rPr>
      <w:rFonts w:hint="eastAsia" w:ascii="Times New Roman" w:eastAsia="宋体"/>
      <w:bCs w:val="0"/>
      <w:sz w:val="32"/>
      <w:szCs w:val="20"/>
    </w:rPr>
  </w:style>
  <w:style w:type="paragraph" w:customStyle="1" w:styleId="1641">
    <w:name w:val="样式 正文文本缩进 2正文文字缩进 2 + 四号 蓝色"/>
    <w:basedOn w:val="51"/>
    <w:qFormat/>
    <w:uiPriority w:val="0"/>
    <w:pPr>
      <w:spacing w:line="480" w:lineRule="exact"/>
      <w:ind w:left="0" w:firstLine="709" w:firstLineChars="0"/>
    </w:pPr>
    <w:rPr>
      <w:rFonts w:hint="eastAsia"/>
      <w:color w:val="0000FF"/>
      <w:spacing w:val="0"/>
      <w:kern w:val="2"/>
      <w:sz w:val="24"/>
      <w:szCs w:val="20"/>
    </w:rPr>
  </w:style>
  <w:style w:type="paragraph" w:customStyle="1" w:styleId="1642">
    <w:name w:val="表格用字 Char1"/>
    <w:basedOn w:val="2"/>
    <w:semiHidden/>
    <w:qFormat/>
    <w:uiPriority w:val="0"/>
    <w:pPr>
      <w:spacing w:line="0" w:lineRule="atLeast"/>
      <w:jc w:val="both"/>
    </w:pPr>
    <w:rPr>
      <w:rFonts w:hint="eastAsia" w:eastAsia="仿宋_GB2312"/>
      <w:color w:val="auto"/>
      <w:sz w:val="21"/>
    </w:rPr>
  </w:style>
  <w:style w:type="paragraph" w:customStyle="1" w:styleId="1643">
    <w:name w:val="普通(网站)1"/>
    <w:basedOn w:val="1"/>
    <w:qFormat/>
    <w:uiPriority w:val="0"/>
    <w:pPr>
      <w:widowControl/>
      <w:tabs>
        <w:tab w:val="clear" w:pos="480"/>
      </w:tabs>
      <w:spacing w:before="100" w:beforeAutospacing="1" w:after="100" w:afterAutospacing="1" w:line="240" w:lineRule="auto"/>
      <w:jc w:val="left"/>
    </w:pPr>
    <w:rPr>
      <w:rFonts w:hint="eastAsia" w:hAnsi="宋体"/>
      <w:sz w:val="21"/>
      <w:szCs w:val="20"/>
    </w:rPr>
  </w:style>
  <w:style w:type="paragraph" w:customStyle="1" w:styleId="1644">
    <w:name w:val="说明-标题2"/>
    <w:basedOn w:val="4"/>
    <w:qFormat/>
    <w:uiPriority w:val="0"/>
    <w:pPr>
      <w:pageBreakBefore/>
      <w:numPr>
        <w:ilvl w:val="0"/>
        <w:numId w:val="0"/>
      </w:numPr>
      <w:tabs>
        <w:tab w:val="clear" w:pos="480"/>
        <w:tab w:val="clear" w:pos="630"/>
      </w:tabs>
      <w:spacing w:before="156" w:after="156" w:line="416" w:lineRule="atLeast"/>
    </w:pPr>
    <w:rPr>
      <w:rFonts w:hint="eastAsia" w:ascii="Arial" w:hAnsi="Arial" w:eastAsia="黑体"/>
      <w:b w:val="0"/>
      <w:bCs w:val="0"/>
      <w:sz w:val="36"/>
      <w:szCs w:val="20"/>
    </w:rPr>
  </w:style>
  <w:style w:type="paragraph" w:customStyle="1" w:styleId="1645">
    <w:name w:val="说明-表格-注"/>
    <w:basedOn w:val="1"/>
    <w:qFormat/>
    <w:uiPriority w:val="0"/>
    <w:pPr>
      <w:tabs>
        <w:tab w:val="clear" w:pos="480"/>
      </w:tabs>
      <w:spacing w:line="0" w:lineRule="atLeast"/>
      <w:ind w:left="454" w:leftChars="189" w:right="374" w:firstLine="13" w:firstLineChars="7"/>
    </w:pPr>
    <w:rPr>
      <w:rFonts w:hint="eastAsia" w:hAnsi="宋体"/>
      <w:sz w:val="18"/>
      <w:szCs w:val="20"/>
    </w:rPr>
  </w:style>
  <w:style w:type="paragraph" w:customStyle="1" w:styleId="1646">
    <w:name w:val="样式 标题 1 + 加粗 首行缩进:  0 厘米"/>
    <w:basedOn w:val="3"/>
    <w:qFormat/>
    <w:uiPriority w:val="0"/>
    <w:pPr>
      <w:widowControl/>
      <w:numPr>
        <w:numId w:val="0"/>
      </w:numPr>
      <w:tabs>
        <w:tab w:val="clear" w:pos="480"/>
      </w:tabs>
      <w:spacing w:beforeLines="50" w:afterLines="50" w:line="480" w:lineRule="atLeast"/>
    </w:pPr>
    <w:rPr>
      <w:rFonts w:hint="eastAsia" w:ascii="Times New Roman" w:eastAsia="宋体"/>
      <w:bCs w:val="0"/>
      <w:sz w:val="32"/>
      <w:szCs w:val="20"/>
    </w:rPr>
  </w:style>
  <w:style w:type="paragraph" w:customStyle="1" w:styleId="1647">
    <w:name w:val="说明-标题4"/>
    <w:basedOn w:val="6"/>
    <w:qFormat/>
    <w:uiPriority w:val="0"/>
    <w:pPr>
      <w:numPr>
        <w:ilvl w:val="0"/>
        <w:numId w:val="0"/>
      </w:numPr>
      <w:tabs>
        <w:tab w:val="clear" w:pos="480"/>
      </w:tabs>
      <w:spacing w:afterLines="50" w:line="376" w:lineRule="atLeast"/>
      <w:ind w:left="240" w:leftChars="100"/>
    </w:pPr>
    <w:rPr>
      <w:rFonts w:hint="eastAsia" w:ascii="Arial" w:hAnsi="Arial" w:eastAsia="宋体"/>
      <w:b w:val="0"/>
      <w:bCs w:val="0"/>
      <w:kern w:val="0"/>
      <w:sz w:val="21"/>
      <w:szCs w:val="20"/>
    </w:rPr>
  </w:style>
  <w:style w:type="paragraph" w:customStyle="1" w:styleId="1648">
    <w:name w:val="表格用字 Char Char"/>
    <w:basedOn w:val="2"/>
    <w:semiHidden/>
    <w:qFormat/>
    <w:uiPriority w:val="0"/>
    <w:pPr>
      <w:spacing w:line="0" w:lineRule="atLeast"/>
      <w:jc w:val="both"/>
    </w:pPr>
    <w:rPr>
      <w:rFonts w:hint="eastAsia" w:eastAsia="仿宋_GB2312"/>
      <w:color w:val="auto"/>
      <w:sz w:val="21"/>
    </w:rPr>
  </w:style>
  <w:style w:type="paragraph" w:customStyle="1" w:styleId="1649">
    <w:name w:val="样式 样式 标题 2 + 左侧:  2 字符 + 首行缩进:  2 字符1"/>
    <w:basedOn w:val="1"/>
    <w:qFormat/>
    <w:uiPriority w:val="0"/>
    <w:pPr>
      <w:keepNext/>
      <w:keepLines/>
      <w:tabs>
        <w:tab w:val="clear" w:pos="480"/>
      </w:tabs>
      <w:spacing w:before="260" w:after="260" w:line="416" w:lineRule="atLeast"/>
      <w:ind w:firstLine="640"/>
      <w:jc w:val="left"/>
    </w:pPr>
    <w:rPr>
      <w:rFonts w:hint="eastAsia" w:ascii="Arial" w:hAnsi="Arial" w:eastAsia="黑体"/>
      <w:b/>
      <w:sz w:val="28"/>
      <w:szCs w:val="20"/>
    </w:rPr>
  </w:style>
  <w:style w:type="paragraph" w:customStyle="1" w:styleId="1650">
    <w:name w:val="样式 标题 3标题 3 Char标题 3 Char Char Char Char Char标题 3 Char Char C..."/>
    <w:basedOn w:val="5"/>
    <w:qFormat/>
    <w:uiPriority w:val="0"/>
    <w:pPr>
      <w:numPr>
        <w:ilvl w:val="0"/>
        <w:numId w:val="0"/>
      </w:numPr>
      <w:tabs>
        <w:tab w:val="left" w:pos="636"/>
        <w:tab w:val="clear" w:pos="480"/>
        <w:tab w:val="clear" w:pos="840"/>
      </w:tabs>
      <w:spacing w:before="260" w:line="480" w:lineRule="exact"/>
    </w:pPr>
    <w:rPr>
      <w:rFonts w:hint="eastAsia" w:ascii="Times New Roman" w:hAnsi="宋体" w:eastAsia="宋体"/>
      <w:bCs w:val="0"/>
      <w:color w:val="000000"/>
      <w:sz w:val="24"/>
      <w:szCs w:val="20"/>
    </w:rPr>
  </w:style>
  <w:style w:type="paragraph" w:customStyle="1" w:styleId="1651">
    <w:name w:val="main"/>
    <w:basedOn w:val="1"/>
    <w:semiHidden/>
    <w:qFormat/>
    <w:uiPriority w:val="0"/>
    <w:pPr>
      <w:widowControl/>
      <w:tabs>
        <w:tab w:val="clear" w:pos="480"/>
      </w:tabs>
      <w:spacing w:before="100" w:beforeAutospacing="1" w:after="100" w:afterAutospacing="1" w:line="240" w:lineRule="auto"/>
      <w:ind w:firstLine="400"/>
      <w:jc w:val="left"/>
    </w:pPr>
    <w:rPr>
      <w:rFonts w:hint="eastAsia" w:eastAsia="Arial Unicode MS"/>
      <w:sz w:val="18"/>
      <w:szCs w:val="20"/>
    </w:rPr>
  </w:style>
  <w:style w:type="paragraph" w:customStyle="1" w:styleId="1652">
    <w:name w:val="说明-正文-公式"/>
    <w:basedOn w:val="1653"/>
    <w:qFormat/>
    <w:uiPriority w:val="0"/>
    <w:pPr>
      <w:ind w:firstLine="200" w:firstLineChars="0"/>
    </w:pPr>
  </w:style>
  <w:style w:type="paragraph" w:customStyle="1" w:styleId="1653">
    <w:name w:val="说明-正文"/>
    <w:basedOn w:val="1"/>
    <w:qFormat/>
    <w:uiPriority w:val="0"/>
    <w:pPr>
      <w:tabs>
        <w:tab w:val="clear" w:pos="480"/>
      </w:tabs>
      <w:ind w:firstLine="480"/>
    </w:pPr>
    <w:rPr>
      <w:rFonts w:hint="eastAsia"/>
      <w:sz w:val="21"/>
      <w:szCs w:val="20"/>
    </w:rPr>
  </w:style>
  <w:style w:type="paragraph" w:customStyle="1" w:styleId="1654">
    <w:name w:val="条-成果 Char"/>
    <w:basedOn w:val="5"/>
    <w:qFormat/>
    <w:uiPriority w:val="0"/>
    <w:pPr>
      <w:keepNext w:val="0"/>
      <w:keepLines w:val="0"/>
      <w:numPr>
        <w:ilvl w:val="0"/>
        <w:numId w:val="0"/>
      </w:numPr>
      <w:tabs>
        <w:tab w:val="left" w:pos="1440"/>
        <w:tab w:val="clear" w:pos="480"/>
        <w:tab w:val="clear" w:pos="840"/>
      </w:tabs>
      <w:spacing w:before="156" w:after="156" w:line="400" w:lineRule="exact"/>
      <w:ind w:left="1440" w:hanging="720"/>
      <w:outlineLvl w:val="9"/>
    </w:pPr>
    <w:rPr>
      <w:rFonts w:hint="eastAsia" w:ascii="Times New Roman" w:hAnsi="宋体" w:eastAsia="宋体"/>
      <w:b w:val="0"/>
      <w:bCs w:val="0"/>
      <w:sz w:val="24"/>
      <w:szCs w:val="20"/>
    </w:rPr>
  </w:style>
  <w:style w:type="paragraph" w:customStyle="1" w:styleId="1655">
    <w:name w:val="样式 标题 1 + 浅蓝 首行缩进:  0 厘米"/>
    <w:basedOn w:val="3"/>
    <w:qFormat/>
    <w:uiPriority w:val="0"/>
    <w:pPr>
      <w:numPr>
        <w:numId w:val="0"/>
      </w:numPr>
      <w:tabs>
        <w:tab w:val="clear" w:pos="480"/>
      </w:tabs>
      <w:spacing w:beforeLines="50" w:afterLines="50" w:line="576" w:lineRule="auto"/>
    </w:pPr>
    <w:rPr>
      <w:rFonts w:hint="eastAsia" w:ascii="Times New Roman" w:eastAsia="宋体"/>
      <w:bCs w:val="0"/>
      <w:sz w:val="32"/>
      <w:szCs w:val="20"/>
    </w:rPr>
  </w:style>
  <w:style w:type="paragraph" w:customStyle="1" w:styleId="1656">
    <w:name w:val="表格用字 +  六号"/>
    <w:basedOn w:val="1"/>
    <w:semiHidden/>
    <w:qFormat/>
    <w:uiPriority w:val="0"/>
    <w:pPr>
      <w:tabs>
        <w:tab w:val="clear" w:pos="480"/>
      </w:tabs>
      <w:spacing w:line="0" w:lineRule="atLeast"/>
    </w:pPr>
    <w:rPr>
      <w:rFonts w:hint="eastAsia" w:eastAsia="仿宋_GB2312"/>
      <w:sz w:val="15"/>
      <w:szCs w:val="20"/>
    </w:rPr>
  </w:style>
  <w:style w:type="paragraph" w:customStyle="1" w:styleId="1657">
    <w:name w:val="表格内正文"/>
    <w:semiHidden/>
    <w:qFormat/>
    <w:uiPriority w:val="0"/>
    <w:pPr>
      <w:widowControl w:val="0"/>
      <w:spacing w:line="360" w:lineRule="exact"/>
      <w:ind w:firstLine="420" w:firstLineChars="200"/>
      <w:jc w:val="both"/>
    </w:pPr>
    <w:rPr>
      <w:rFonts w:hint="eastAsia" w:ascii="Times New Roman" w:hAnsi="Times New Roman" w:eastAsia="宋体" w:cs="Times New Roman"/>
      <w:kern w:val="2"/>
      <w:sz w:val="21"/>
      <w:szCs w:val="24"/>
      <w:lang w:val="en-US" w:eastAsia="zh-CN" w:bidi="ar-SA"/>
    </w:rPr>
  </w:style>
  <w:style w:type="paragraph" w:customStyle="1" w:styleId="1658">
    <w:name w:val="样式 节 + 段前: 0.5 行 段后: 0.5 行"/>
    <w:basedOn w:val="4"/>
    <w:qFormat/>
    <w:uiPriority w:val="0"/>
    <w:pPr>
      <w:numPr>
        <w:ilvl w:val="0"/>
        <w:numId w:val="0"/>
      </w:numPr>
      <w:tabs>
        <w:tab w:val="left" w:pos="840"/>
        <w:tab w:val="clear" w:pos="480"/>
        <w:tab w:val="clear" w:pos="630"/>
      </w:tabs>
      <w:spacing w:before="360" w:after="156" w:line="240" w:lineRule="auto"/>
      <w:ind w:left="839" w:hanging="839"/>
      <w:outlineLvl w:val="2"/>
    </w:pPr>
    <w:rPr>
      <w:rFonts w:hint="eastAsia" w:hAnsi="宋体"/>
      <w:b w:val="0"/>
      <w:bCs w:val="0"/>
      <w:sz w:val="28"/>
      <w:szCs w:val="20"/>
    </w:rPr>
  </w:style>
  <w:style w:type="paragraph" w:customStyle="1" w:styleId="1659">
    <w:name w:val="样式 标题 2 + 浅蓝 段前: 1 行"/>
    <w:basedOn w:val="4"/>
    <w:qFormat/>
    <w:uiPriority w:val="0"/>
    <w:pPr>
      <w:numPr>
        <w:ilvl w:val="0"/>
        <w:numId w:val="0"/>
      </w:numPr>
      <w:tabs>
        <w:tab w:val="clear" w:pos="480"/>
        <w:tab w:val="clear" w:pos="630"/>
      </w:tabs>
      <w:spacing w:before="320" w:after="160"/>
      <w:ind w:firstLine="567"/>
    </w:pPr>
    <w:rPr>
      <w:rFonts w:hint="eastAsia" w:ascii="Arial" w:hAnsi="Arial" w:eastAsia="黑体"/>
      <w:b w:val="0"/>
      <w:bCs w:val="0"/>
      <w:sz w:val="28"/>
      <w:szCs w:val="20"/>
    </w:rPr>
  </w:style>
  <w:style w:type="paragraph" w:customStyle="1" w:styleId="1660">
    <w:name w:val="说明-标题3"/>
    <w:basedOn w:val="5"/>
    <w:qFormat/>
    <w:uiPriority w:val="0"/>
    <w:pPr>
      <w:numPr>
        <w:ilvl w:val="0"/>
        <w:numId w:val="0"/>
      </w:numPr>
      <w:tabs>
        <w:tab w:val="clear" w:pos="480"/>
        <w:tab w:val="clear" w:pos="840"/>
      </w:tabs>
      <w:spacing w:before="312" w:after="156" w:line="416" w:lineRule="atLeast"/>
    </w:pPr>
    <w:rPr>
      <w:rFonts w:hint="eastAsia" w:ascii="Times New Roman" w:eastAsia="黑体"/>
      <w:b w:val="0"/>
      <w:bCs w:val="0"/>
      <w:szCs w:val="20"/>
    </w:rPr>
  </w:style>
  <w:style w:type="paragraph" w:customStyle="1" w:styleId="1661">
    <w:name w:val="样式 首行缩进:  2 字符 行距: 固定值 26 磅"/>
    <w:basedOn w:val="1"/>
    <w:qFormat/>
    <w:uiPriority w:val="0"/>
    <w:pPr>
      <w:tabs>
        <w:tab w:val="clear" w:pos="480"/>
      </w:tabs>
      <w:spacing w:line="480" w:lineRule="exact"/>
    </w:pPr>
    <w:rPr>
      <w:rFonts w:hint="eastAsia"/>
      <w:sz w:val="21"/>
      <w:szCs w:val="20"/>
    </w:rPr>
  </w:style>
  <w:style w:type="paragraph" w:customStyle="1" w:styleId="1662">
    <w:name w:val="说明-表格用字"/>
    <w:basedOn w:val="1"/>
    <w:qFormat/>
    <w:uiPriority w:val="0"/>
    <w:pPr>
      <w:tabs>
        <w:tab w:val="clear" w:pos="480"/>
      </w:tabs>
      <w:spacing w:line="240" w:lineRule="auto"/>
      <w:jc w:val="center"/>
    </w:pPr>
    <w:rPr>
      <w:rFonts w:hint="eastAsia" w:hAnsi="宋体"/>
      <w:sz w:val="21"/>
      <w:szCs w:val="20"/>
    </w:rPr>
  </w:style>
  <w:style w:type="paragraph" w:customStyle="1" w:styleId="1663">
    <w:name w:val="表格用字"/>
    <w:basedOn w:val="2"/>
    <w:semiHidden/>
    <w:qFormat/>
    <w:uiPriority w:val="0"/>
    <w:pPr>
      <w:spacing w:before="156" w:line="0" w:lineRule="atLeast"/>
      <w:jc w:val="both"/>
    </w:pPr>
    <w:rPr>
      <w:rFonts w:hint="eastAsia" w:eastAsia="仿宋_GB2312"/>
      <w:color w:val="auto"/>
      <w:sz w:val="21"/>
    </w:rPr>
  </w:style>
  <w:style w:type="paragraph" w:customStyle="1" w:styleId="1664">
    <w:name w:val="样式 小五 居中 首行缩进:  2 字符"/>
    <w:basedOn w:val="1"/>
    <w:qFormat/>
    <w:uiPriority w:val="0"/>
    <w:pPr>
      <w:tabs>
        <w:tab w:val="clear" w:pos="480"/>
      </w:tabs>
      <w:spacing w:line="240" w:lineRule="auto"/>
      <w:jc w:val="center"/>
    </w:pPr>
    <w:rPr>
      <w:rFonts w:hint="eastAsia"/>
      <w:sz w:val="18"/>
      <w:szCs w:val="20"/>
    </w:rPr>
  </w:style>
  <w:style w:type="paragraph" w:customStyle="1" w:styleId="1665">
    <w:name w:val="样式 样式 标题 2 + 加粗 段前: 1 行 + 四号 首行缩进:  0 厘米"/>
    <w:basedOn w:val="1"/>
    <w:qFormat/>
    <w:uiPriority w:val="0"/>
    <w:pPr>
      <w:keepNext/>
      <w:keepLines/>
      <w:tabs>
        <w:tab w:val="clear" w:pos="480"/>
      </w:tabs>
      <w:spacing w:before="320" w:after="200" w:line="240" w:lineRule="auto"/>
      <w:ind w:firstLine="567"/>
      <w:jc w:val="left"/>
    </w:pPr>
    <w:rPr>
      <w:rFonts w:hint="eastAsia"/>
      <w:b/>
      <w:sz w:val="28"/>
      <w:szCs w:val="20"/>
    </w:rPr>
  </w:style>
  <w:style w:type="paragraph" w:customStyle="1" w:styleId="1666">
    <w:name w:val="样式 标题 3 + 首行缩进:  0 厘米"/>
    <w:basedOn w:val="5"/>
    <w:qFormat/>
    <w:uiPriority w:val="0"/>
    <w:pPr>
      <w:numPr>
        <w:ilvl w:val="0"/>
        <w:numId w:val="0"/>
      </w:numPr>
      <w:tabs>
        <w:tab w:val="clear" w:pos="480"/>
        <w:tab w:val="clear" w:pos="840"/>
      </w:tabs>
      <w:spacing w:before="260" w:line="413" w:lineRule="auto"/>
    </w:pPr>
    <w:rPr>
      <w:rFonts w:hint="eastAsia" w:ascii="Times New Roman" w:eastAsia="宋体"/>
      <w:bCs w:val="0"/>
      <w:sz w:val="24"/>
      <w:szCs w:val="20"/>
    </w:rPr>
  </w:style>
  <w:style w:type="paragraph" w:customStyle="1" w:styleId="1667">
    <w:name w:val="样式 样式7 + 小四"/>
    <w:basedOn w:val="1"/>
    <w:qFormat/>
    <w:uiPriority w:val="0"/>
    <w:pPr>
      <w:keepNext/>
      <w:keepLines/>
      <w:tabs>
        <w:tab w:val="left" w:pos="560"/>
        <w:tab w:val="clear" w:pos="480"/>
      </w:tabs>
      <w:snapToGrid w:val="0"/>
      <w:spacing w:before="260" w:after="260" w:line="480" w:lineRule="exact"/>
      <w:outlineLvl w:val="2"/>
    </w:pPr>
    <w:rPr>
      <w:rFonts w:hint="eastAsia" w:hAnsi="宋体"/>
      <w:b/>
      <w:color w:val="000000"/>
      <w:szCs w:val="20"/>
    </w:rPr>
  </w:style>
  <w:style w:type="paragraph" w:customStyle="1" w:styleId="1668">
    <w:name w:val="样式 标题 2 + 段前: 1 行"/>
    <w:basedOn w:val="4"/>
    <w:qFormat/>
    <w:uiPriority w:val="0"/>
    <w:pPr>
      <w:numPr>
        <w:ilvl w:val="0"/>
        <w:numId w:val="0"/>
      </w:numPr>
      <w:tabs>
        <w:tab w:val="clear" w:pos="480"/>
        <w:tab w:val="clear" w:pos="630"/>
      </w:tabs>
      <w:spacing w:before="320" w:after="160"/>
      <w:ind w:firstLine="567"/>
      <w:jc w:val="left"/>
    </w:pPr>
    <w:rPr>
      <w:rFonts w:hint="eastAsia" w:ascii="Arial" w:hAnsi="Arial" w:eastAsia="黑体"/>
      <w:b w:val="0"/>
      <w:bCs w:val="0"/>
      <w:sz w:val="28"/>
      <w:szCs w:val="20"/>
    </w:rPr>
  </w:style>
  <w:style w:type="paragraph" w:customStyle="1" w:styleId="1669">
    <w:name w:val="样式 左侧:  0.85 厘米 首行缩进:  2 字符"/>
    <w:basedOn w:val="1"/>
    <w:qFormat/>
    <w:uiPriority w:val="0"/>
    <w:pPr>
      <w:tabs>
        <w:tab w:val="clear" w:pos="480"/>
      </w:tabs>
      <w:spacing w:line="480" w:lineRule="exact"/>
    </w:pPr>
    <w:rPr>
      <w:rFonts w:hint="eastAsia"/>
      <w:sz w:val="21"/>
      <w:szCs w:val="20"/>
    </w:rPr>
  </w:style>
  <w:style w:type="paragraph" w:customStyle="1" w:styleId="1670">
    <w:name w:val="样式 小五 首行缩进:  2 字符"/>
    <w:basedOn w:val="1"/>
    <w:qFormat/>
    <w:uiPriority w:val="0"/>
    <w:pPr>
      <w:tabs>
        <w:tab w:val="clear" w:pos="480"/>
      </w:tabs>
      <w:spacing w:line="240" w:lineRule="auto"/>
    </w:pPr>
    <w:rPr>
      <w:rFonts w:hint="eastAsia"/>
      <w:sz w:val="18"/>
      <w:szCs w:val="20"/>
    </w:rPr>
  </w:style>
  <w:style w:type="paragraph" w:customStyle="1" w:styleId="1671">
    <w:name w:val="说明-表格用字1"/>
    <w:basedOn w:val="1662"/>
    <w:qFormat/>
    <w:uiPriority w:val="0"/>
    <w:pPr/>
  </w:style>
  <w:style w:type="paragraph" w:customStyle="1" w:styleId="1672">
    <w:name w:val="样式 样式 标题 3 + 宋体 小四 加粗 + 首行缩进:  0 厘米"/>
    <w:basedOn w:val="1"/>
    <w:qFormat/>
    <w:uiPriority w:val="0"/>
    <w:pPr>
      <w:keepNext/>
      <w:keepLines/>
      <w:tabs>
        <w:tab w:val="clear" w:pos="480"/>
      </w:tabs>
      <w:spacing w:before="240" w:after="120" w:line="240" w:lineRule="auto"/>
      <w:ind w:firstLine="567"/>
    </w:pPr>
    <w:rPr>
      <w:rFonts w:hint="eastAsia" w:hAnsi="宋体"/>
      <w:b/>
      <w:sz w:val="21"/>
      <w:szCs w:val="20"/>
    </w:rPr>
  </w:style>
  <w:style w:type="paragraph" w:customStyle="1" w:styleId="1673">
    <w:name w:val="In Table"/>
    <w:basedOn w:val="1"/>
    <w:semiHidden/>
    <w:qFormat/>
    <w:uiPriority w:val="0"/>
    <w:pPr>
      <w:tabs>
        <w:tab w:val="left" w:pos="2200"/>
        <w:tab w:val="left" w:pos="3960"/>
        <w:tab w:val="left" w:pos="5280"/>
        <w:tab w:val="clear" w:pos="480"/>
      </w:tabs>
      <w:spacing w:before="96" w:after="96" w:line="0" w:lineRule="atLeast"/>
      <w:jc w:val="center"/>
    </w:pPr>
    <w:rPr>
      <w:rFonts w:ascii="Tahoma" w:hAnsi="Tahoma" w:eastAsia="华文中宋"/>
      <w:sz w:val="21"/>
      <w:szCs w:val="20"/>
    </w:rPr>
  </w:style>
  <w:style w:type="paragraph" w:customStyle="1" w:styleId="1674">
    <w:name w:val="样式 红色 首行缩进:  2 字符"/>
    <w:basedOn w:val="1"/>
    <w:qFormat/>
    <w:uiPriority w:val="0"/>
    <w:pPr>
      <w:tabs>
        <w:tab w:val="clear" w:pos="480"/>
      </w:tabs>
      <w:spacing w:line="480" w:lineRule="exact"/>
      <w:ind w:firstLine="480"/>
    </w:pPr>
    <w:rPr>
      <w:color w:val="FF0000"/>
      <w:szCs w:val="20"/>
    </w:rPr>
  </w:style>
  <w:style w:type="paragraph" w:customStyle="1" w:styleId="1675">
    <w:name w:val="样式 五号 居中 行距: 最小值 18 磅"/>
    <w:basedOn w:val="1"/>
    <w:qFormat/>
    <w:uiPriority w:val="0"/>
    <w:pPr>
      <w:tabs>
        <w:tab w:val="clear" w:pos="480"/>
      </w:tabs>
      <w:spacing w:line="360" w:lineRule="atLeast"/>
      <w:jc w:val="center"/>
    </w:pPr>
    <w:rPr>
      <w:sz w:val="21"/>
      <w:szCs w:val="20"/>
    </w:rPr>
  </w:style>
  <w:style w:type="paragraph" w:customStyle="1" w:styleId="1676">
    <w:name w:val="样式 (中文) 黑体"/>
    <w:basedOn w:val="1"/>
    <w:qFormat/>
    <w:uiPriority w:val="0"/>
    <w:pPr>
      <w:tabs>
        <w:tab w:val="clear" w:pos="480"/>
      </w:tabs>
      <w:spacing w:line="480" w:lineRule="exact"/>
      <w:ind w:firstLine="567"/>
    </w:pPr>
    <w:rPr>
      <w:rFonts w:eastAsia="黑体"/>
      <w:kern w:val="0"/>
      <w:szCs w:val="20"/>
    </w:rPr>
  </w:style>
  <w:style w:type="paragraph" w:customStyle="1" w:styleId="1677">
    <w:name w:val="热电厂正文"/>
    <w:basedOn w:val="1"/>
    <w:qFormat/>
    <w:uiPriority w:val="0"/>
    <w:pPr>
      <w:tabs>
        <w:tab w:val="clear" w:pos="480"/>
      </w:tabs>
      <w:spacing w:line="440" w:lineRule="exact"/>
      <w:ind w:firstLine="480"/>
    </w:pPr>
  </w:style>
  <w:style w:type="paragraph" w:customStyle="1" w:styleId="1678">
    <w:name w:val="标题后正文"/>
    <w:basedOn w:val="1"/>
    <w:semiHidden/>
    <w:qFormat/>
    <w:uiPriority w:val="0"/>
    <w:pPr>
      <w:tabs>
        <w:tab w:val="clear" w:pos="480"/>
      </w:tabs>
      <w:adjustRightInd w:val="0"/>
      <w:textAlignment w:val="baseline"/>
    </w:pPr>
    <w:rPr>
      <w:rFonts w:ascii="Arial" w:hAnsi="Arial"/>
      <w:snapToGrid w:val="0"/>
      <w:kern w:val="28"/>
      <w:szCs w:val="20"/>
    </w:rPr>
  </w:style>
  <w:style w:type="paragraph" w:customStyle="1" w:styleId="1679">
    <w:name w:val="样式 小四 行距: 固定值 24 磅 首行缩进:  2 字符"/>
    <w:basedOn w:val="1"/>
    <w:qFormat/>
    <w:uiPriority w:val="0"/>
    <w:pPr>
      <w:tabs>
        <w:tab w:val="clear" w:pos="480"/>
      </w:tabs>
      <w:spacing w:line="440" w:lineRule="exact"/>
    </w:pPr>
  </w:style>
  <w:style w:type="paragraph" w:customStyle="1" w:styleId="1680">
    <w:name w:val="样式 标题 3 + 小四 黑色1 Char Char Char"/>
    <w:basedOn w:val="5"/>
    <w:qFormat/>
    <w:uiPriority w:val="0"/>
    <w:pPr>
      <w:numPr>
        <w:ilvl w:val="0"/>
        <w:numId w:val="0"/>
      </w:numPr>
      <w:tabs>
        <w:tab w:val="clear" w:pos="480"/>
        <w:tab w:val="clear" w:pos="840"/>
      </w:tabs>
      <w:spacing w:before="0" w:after="0" w:line="480" w:lineRule="exact"/>
      <w:ind w:firstLine="420"/>
    </w:pPr>
    <w:rPr>
      <w:rFonts w:ascii="Times New Roman" w:eastAsia="宋体"/>
      <w:color w:val="000000"/>
      <w:sz w:val="24"/>
      <w:szCs w:val="28"/>
    </w:rPr>
  </w:style>
  <w:style w:type="paragraph" w:customStyle="1" w:styleId="1681">
    <w:name w:val="样式 标题 3 + 小四 黑色1 Char Char"/>
    <w:basedOn w:val="5"/>
    <w:qFormat/>
    <w:uiPriority w:val="0"/>
    <w:pPr>
      <w:numPr>
        <w:ilvl w:val="0"/>
        <w:numId w:val="0"/>
      </w:numPr>
      <w:tabs>
        <w:tab w:val="clear" w:pos="480"/>
        <w:tab w:val="clear" w:pos="840"/>
      </w:tabs>
      <w:spacing w:before="0" w:after="0" w:line="480" w:lineRule="exact"/>
      <w:ind w:firstLine="420"/>
    </w:pPr>
    <w:rPr>
      <w:rFonts w:ascii="Times New Roman" w:eastAsia="宋体"/>
      <w:color w:val="000000"/>
      <w:sz w:val="24"/>
      <w:szCs w:val="28"/>
    </w:rPr>
  </w:style>
  <w:style w:type="paragraph" w:customStyle="1" w:styleId="1682">
    <w:name w:val="样式 小四 行距: 固定值 22 磅"/>
    <w:basedOn w:val="1"/>
    <w:next w:val="6"/>
    <w:qFormat/>
    <w:uiPriority w:val="0"/>
    <w:pPr>
      <w:tabs>
        <w:tab w:val="clear" w:pos="480"/>
      </w:tabs>
      <w:spacing w:line="440" w:lineRule="exact"/>
      <w:ind w:firstLine="454"/>
    </w:pPr>
    <w:rPr>
      <w:rFonts w:eastAsia="黑体"/>
      <w:sz w:val="28"/>
      <w:szCs w:val="28"/>
    </w:rPr>
  </w:style>
  <w:style w:type="paragraph" w:customStyle="1" w:styleId="1683">
    <w:name w:val="样式 标题 4 + Times New Roman"/>
    <w:basedOn w:val="6"/>
    <w:qFormat/>
    <w:uiPriority w:val="0"/>
    <w:pPr>
      <w:numPr>
        <w:ilvl w:val="0"/>
        <w:numId w:val="0"/>
      </w:numPr>
      <w:tabs>
        <w:tab w:val="clear" w:pos="480"/>
      </w:tabs>
      <w:spacing w:before="0" w:afterLines="50" w:line="440" w:lineRule="exact"/>
      <w:ind w:firstLine="454"/>
    </w:pPr>
    <w:rPr>
      <w:rFonts w:ascii="Times New Roman" w:hAnsi="Times New Roman" w:eastAsia="黑体"/>
      <w:b w:val="0"/>
      <w:bCs w:val="0"/>
      <w:kern w:val="0"/>
      <w:sz w:val="24"/>
      <w:szCs w:val="24"/>
    </w:rPr>
  </w:style>
  <w:style w:type="paragraph" w:customStyle="1" w:styleId="1684">
    <w:name w:val="样式 小四 首行缩进:  0.74 厘米 行距: 固定值 20 磅"/>
    <w:basedOn w:val="1"/>
    <w:qFormat/>
    <w:uiPriority w:val="0"/>
    <w:pPr>
      <w:tabs>
        <w:tab w:val="clear" w:pos="480"/>
      </w:tabs>
      <w:spacing w:line="440" w:lineRule="exact"/>
      <w:ind w:firstLine="454"/>
    </w:pPr>
    <w:rPr>
      <w:szCs w:val="20"/>
    </w:rPr>
  </w:style>
  <w:style w:type="paragraph" w:customStyle="1" w:styleId="1685">
    <w:name w:val="样式 宋体 小四 首行缩进:  0.74 厘米 行距: 固定值 20 磅"/>
    <w:basedOn w:val="1"/>
    <w:qFormat/>
    <w:uiPriority w:val="0"/>
    <w:pPr>
      <w:tabs>
        <w:tab w:val="clear" w:pos="480"/>
      </w:tabs>
      <w:spacing w:line="440" w:lineRule="exact"/>
      <w:ind w:firstLine="454"/>
    </w:pPr>
    <w:rPr>
      <w:rFonts w:ascii="宋体" w:hAnsi="宋体"/>
      <w:szCs w:val="20"/>
    </w:rPr>
  </w:style>
  <w:style w:type="paragraph" w:customStyle="1" w:styleId="1686">
    <w:name w:val="样式 小四 黑色 首行缩进:  0.74 厘米 行距: 固定值 20 磅"/>
    <w:basedOn w:val="1"/>
    <w:qFormat/>
    <w:uiPriority w:val="0"/>
    <w:pPr>
      <w:tabs>
        <w:tab w:val="clear" w:pos="480"/>
      </w:tabs>
      <w:spacing w:line="440" w:lineRule="exact"/>
      <w:ind w:firstLine="454"/>
    </w:pPr>
    <w:rPr>
      <w:color w:val="000000"/>
      <w:szCs w:val="20"/>
    </w:rPr>
  </w:style>
  <w:style w:type="paragraph" w:customStyle="1" w:styleId="1687">
    <w:name w:val="样式 正文文本缩进 + 小四 非加粗 非倾斜 行距: 固定值 20 磅"/>
    <w:basedOn w:val="35"/>
    <w:qFormat/>
    <w:uiPriority w:val="0"/>
    <w:pPr>
      <w:tabs>
        <w:tab w:val="clear" w:pos="480"/>
      </w:tabs>
      <w:spacing w:line="440" w:lineRule="exact"/>
      <w:ind w:firstLine="454" w:firstLineChars="0"/>
    </w:pPr>
    <w:rPr>
      <w:kern w:val="0"/>
      <w:szCs w:val="20"/>
    </w:rPr>
  </w:style>
  <w:style w:type="paragraph" w:customStyle="1" w:styleId="1688">
    <w:name w:val="表1"/>
    <w:basedOn w:val="1"/>
    <w:semiHidden/>
    <w:qFormat/>
    <w:uiPriority w:val="0"/>
    <w:pPr>
      <w:tabs>
        <w:tab w:val="clear" w:pos="480"/>
      </w:tabs>
      <w:spacing w:before="40" w:line="0" w:lineRule="atLeast"/>
      <w:jc w:val="center"/>
    </w:pPr>
    <w:rPr>
      <w:sz w:val="21"/>
      <w:szCs w:val="20"/>
    </w:rPr>
  </w:style>
  <w:style w:type="paragraph" w:customStyle="1" w:styleId="1689">
    <w:name w:val="正文宋体四号字"/>
    <w:basedOn w:val="1"/>
    <w:qFormat/>
    <w:uiPriority w:val="0"/>
    <w:pPr>
      <w:tabs>
        <w:tab w:val="clear" w:pos="480"/>
      </w:tabs>
      <w:adjustRightInd w:val="0"/>
      <w:spacing w:line="560" w:lineRule="exact"/>
      <w:ind w:firstLine="567"/>
      <w:textAlignment w:val="baseline"/>
    </w:pPr>
    <w:rPr>
      <w:rFonts w:ascii="Arial" w:hAnsi="Arial"/>
      <w:spacing w:val="2"/>
      <w:kern w:val="0"/>
      <w:sz w:val="28"/>
      <w:szCs w:val="20"/>
    </w:rPr>
  </w:style>
  <w:style w:type="paragraph" w:customStyle="1" w:styleId="1690">
    <w:name w:val="样式 标题 4标题 4 Char Char标题 4 Char + 小四 加粗"/>
    <w:basedOn w:val="6"/>
    <w:qFormat/>
    <w:uiPriority w:val="0"/>
    <w:pPr>
      <w:numPr>
        <w:ilvl w:val="0"/>
        <w:numId w:val="0"/>
      </w:numPr>
      <w:tabs>
        <w:tab w:val="clear" w:pos="480"/>
      </w:tabs>
      <w:spacing w:beforeLines="50" w:afterLines="50" w:line="520" w:lineRule="atLeast"/>
    </w:pPr>
    <w:rPr>
      <w:rFonts w:hint="eastAsia" w:ascii="Times New Roman" w:hAnsi="Times New Roman" w:eastAsia="宋体"/>
      <w:kern w:val="0"/>
      <w:sz w:val="24"/>
      <w:szCs w:val="20"/>
    </w:rPr>
  </w:style>
  <w:style w:type="paragraph" w:customStyle="1" w:styleId="1691">
    <w:name w:val="样式 标题 4标题 4 Char Char标题 4 Char + 小四 加粗1"/>
    <w:basedOn w:val="6"/>
    <w:qFormat/>
    <w:uiPriority w:val="0"/>
    <w:pPr>
      <w:numPr>
        <w:ilvl w:val="0"/>
        <w:numId w:val="0"/>
      </w:numPr>
      <w:tabs>
        <w:tab w:val="clear" w:pos="480"/>
      </w:tabs>
      <w:spacing w:before="0" w:afterLines="50" w:line="520" w:lineRule="atLeast"/>
    </w:pPr>
    <w:rPr>
      <w:rFonts w:hint="eastAsia" w:ascii="Times New Roman" w:hAnsi="Times New Roman" w:eastAsia="宋体"/>
      <w:kern w:val="0"/>
      <w:sz w:val="24"/>
      <w:szCs w:val="20"/>
    </w:rPr>
  </w:style>
  <w:style w:type="paragraph" w:customStyle="1" w:styleId="1692">
    <w:name w:val="样式 标题 4标题 4 Char Char标题 4 Char + 小四 加粗2"/>
    <w:basedOn w:val="6"/>
    <w:qFormat/>
    <w:uiPriority w:val="0"/>
    <w:pPr>
      <w:numPr>
        <w:ilvl w:val="0"/>
        <w:numId w:val="0"/>
      </w:numPr>
      <w:tabs>
        <w:tab w:val="clear" w:pos="480"/>
      </w:tabs>
      <w:spacing w:before="0" w:afterLines="50" w:line="520" w:lineRule="atLeast"/>
    </w:pPr>
    <w:rPr>
      <w:rFonts w:hint="eastAsia" w:ascii="Times New Roman" w:hAnsi="Times New Roman" w:eastAsia="宋体"/>
      <w:kern w:val="0"/>
      <w:sz w:val="24"/>
      <w:szCs w:val="20"/>
    </w:rPr>
  </w:style>
  <w:style w:type="paragraph" w:customStyle="1" w:styleId="1693">
    <w:name w:val="我的样式（正文）"/>
    <w:basedOn w:val="1"/>
    <w:qFormat/>
    <w:uiPriority w:val="0"/>
    <w:pPr>
      <w:tabs>
        <w:tab w:val="clear" w:pos="480"/>
      </w:tabs>
      <w:spacing w:line="440" w:lineRule="exact"/>
    </w:pPr>
    <w:rPr>
      <w:rFonts w:ascii="宋体"/>
      <w:sz w:val="28"/>
      <w:szCs w:val="20"/>
    </w:rPr>
  </w:style>
  <w:style w:type="paragraph" w:customStyle="1" w:styleId="1694">
    <w:name w:val="样式 首行缩进:  0.80 厘米 段前: 7.8 磅"/>
    <w:basedOn w:val="1"/>
    <w:qFormat/>
    <w:uiPriority w:val="0"/>
    <w:pPr>
      <w:tabs>
        <w:tab w:val="clear" w:pos="480"/>
      </w:tabs>
      <w:adjustRightInd w:val="0"/>
      <w:snapToGrid w:val="0"/>
      <w:spacing w:before="156" w:line="312" w:lineRule="auto"/>
      <w:ind w:firstLine="480"/>
    </w:pPr>
    <w:rPr>
      <w:szCs w:val="20"/>
    </w:rPr>
  </w:style>
  <w:style w:type="character" w:customStyle="1" w:styleId="1695">
    <w:name w:val="表格用字 +  六号 Char"/>
    <w:semiHidden/>
    <w:qFormat/>
    <w:uiPriority w:val="0"/>
    <w:rPr>
      <w:rFonts w:ascii="宋体" w:eastAsia="仿宋_GB2312" w:cs="宋体"/>
      <w:bCs/>
      <w:kern w:val="2"/>
      <w:sz w:val="15"/>
      <w:szCs w:val="21"/>
      <w:lang w:val="en-US" w:eastAsia="zh-CN" w:bidi="ar-SA"/>
    </w:rPr>
  </w:style>
  <w:style w:type="character" w:customStyle="1" w:styleId="1696">
    <w:name w:val="条-成果 Char Char"/>
    <w:qFormat/>
    <w:uiPriority w:val="0"/>
    <w:rPr>
      <w:rFonts w:ascii="宋体" w:hAnsi="宋体" w:eastAsia="宋体" w:cs="宋体"/>
      <w:bCs/>
      <w:kern w:val="2"/>
      <w:sz w:val="24"/>
      <w:szCs w:val="30"/>
      <w:lang w:val="en-US" w:eastAsia="zh-CN" w:bidi="ar-SA"/>
    </w:rPr>
  </w:style>
  <w:style w:type="character" w:customStyle="1" w:styleId="1697">
    <w:name w:val="sbody1"/>
    <w:semiHidden/>
    <w:qFormat/>
    <w:uiPriority w:val="0"/>
    <w:rPr>
      <w:spacing w:val="360"/>
      <w:sz w:val="14"/>
      <w:szCs w:val="14"/>
    </w:rPr>
  </w:style>
  <w:style w:type="character" w:customStyle="1" w:styleId="1698">
    <w:name w:val="main1"/>
    <w:semiHidden/>
    <w:qFormat/>
    <w:uiPriority w:val="0"/>
    <w:rPr>
      <w:rFonts w:hint="default"/>
      <w:color w:val="0033CC"/>
      <w:spacing w:val="240"/>
      <w:sz w:val="18"/>
      <w:szCs w:val="18"/>
    </w:rPr>
  </w:style>
  <w:style w:type="character" w:customStyle="1" w:styleId="1699">
    <w:name w:val="text_l1"/>
    <w:semiHidden/>
    <w:qFormat/>
    <w:uiPriority w:val="0"/>
    <w:rPr>
      <w:color w:val="000066"/>
      <w:sz w:val="18"/>
      <w:szCs w:val="18"/>
    </w:rPr>
  </w:style>
  <w:style w:type="character" w:customStyle="1" w:styleId="1700">
    <w:name w:val="样式 正文文本缩进 2正文文字缩进 2 + 四号 蓝色 Char"/>
    <w:qFormat/>
    <w:uiPriority w:val="0"/>
    <w:rPr>
      <w:rFonts w:eastAsia="宋体"/>
      <w:color w:val="0000FF"/>
      <w:kern w:val="2"/>
      <w:sz w:val="24"/>
      <w:szCs w:val="24"/>
      <w:lang w:val="en-US" w:eastAsia="zh-CN" w:bidi="ar-SA"/>
    </w:rPr>
  </w:style>
  <w:style w:type="paragraph" w:customStyle="1" w:styleId="1701">
    <w:name w:val="表格用字 Char"/>
    <w:basedOn w:val="2"/>
    <w:semiHidden/>
    <w:qFormat/>
    <w:uiPriority w:val="0"/>
    <w:pPr>
      <w:spacing w:line="0" w:lineRule="atLeast"/>
      <w:jc w:val="both"/>
    </w:pPr>
    <w:rPr>
      <w:rFonts w:ascii="宋体" w:eastAsia="仿宋_GB2312"/>
      <w:bCs/>
      <w:color w:val="auto"/>
      <w:szCs w:val="21"/>
    </w:rPr>
  </w:style>
  <w:style w:type="character" w:customStyle="1" w:styleId="1702">
    <w:name w:val="表格用字 Char Char1"/>
    <w:semiHidden/>
    <w:qFormat/>
    <w:uiPriority w:val="0"/>
    <w:rPr>
      <w:rFonts w:ascii="宋体" w:eastAsia="仿宋_GB2312" w:cs="宋体"/>
      <w:bCs/>
      <w:kern w:val="2"/>
      <w:sz w:val="24"/>
      <w:szCs w:val="21"/>
      <w:lang w:val="en-US" w:eastAsia="zh-CN" w:bidi="ar-SA"/>
    </w:rPr>
  </w:style>
  <w:style w:type="paragraph" w:customStyle="1" w:styleId="1703">
    <w:name w:val="普通(网站)11"/>
    <w:basedOn w:val="1"/>
    <w:qFormat/>
    <w:uiPriority w:val="0"/>
    <w:pPr>
      <w:widowControl/>
      <w:tabs>
        <w:tab w:val="clear" w:pos="480"/>
      </w:tabs>
      <w:spacing w:before="100" w:beforeAutospacing="1" w:after="100" w:afterAutospacing="1" w:line="240" w:lineRule="auto"/>
      <w:jc w:val="left"/>
    </w:pPr>
    <w:rPr>
      <w:rFonts w:hint="eastAsia" w:hAnsi="宋体"/>
      <w:sz w:val="21"/>
      <w:szCs w:val="20"/>
    </w:rPr>
  </w:style>
  <w:style w:type="paragraph" w:customStyle="1" w:styleId="1704">
    <w:name w:val="Char Char Char Char Char Char Char1"/>
    <w:basedOn w:val="1"/>
    <w:semiHidden/>
    <w:qFormat/>
    <w:uiPriority w:val="0"/>
    <w:pPr>
      <w:tabs>
        <w:tab w:val="clear" w:pos="480"/>
      </w:tabs>
      <w:spacing w:line="240" w:lineRule="auto"/>
    </w:pPr>
    <w:rPr>
      <w:sz w:val="21"/>
      <w:szCs w:val="21"/>
    </w:rPr>
  </w:style>
  <w:style w:type="paragraph" w:customStyle="1" w:styleId="1705">
    <w:name w:val="Char Char Char Char Char Char Char Char Char1"/>
    <w:basedOn w:val="1"/>
    <w:semiHidden/>
    <w:qFormat/>
    <w:uiPriority w:val="0"/>
    <w:pPr>
      <w:tabs>
        <w:tab w:val="clear" w:pos="480"/>
      </w:tabs>
      <w:spacing w:line="240" w:lineRule="auto"/>
    </w:pPr>
  </w:style>
  <w:style w:type="paragraph" w:customStyle="1" w:styleId="1706">
    <w:name w:val="正文文本 21"/>
    <w:basedOn w:val="1"/>
    <w:qFormat/>
    <w:uiPriority w:val="0"/>
    <w:pPr>
      <w:tabs>
        <w:tab w:val="clear" w:pos="480"/>
      </w:tabs>
      <w:adjustRightInd w:val="0"/>
      <w:snapToGrid w:val="0"/>
      <w:spacing w:line="480" w:lineRule="exact"/>
      <w:ind w:firstLine="510"/>
      <w:textAlignment w:val="baseline"/>
    </w:pPr>
    <w:rPr>
      <w:rFonts w:eastAsia="仿宋_GB2312"/>
      <w:kern w:val="0"/>
      <w:sz w:val="28"/>
      <w:szCs w:val="20"/>
    </w:rPr>
  </w:style>
  <w:style w:type="paragraph" w:customStyle="1" w:styleId="1707">
    <w:name w:val="样式 首行缩进:  0.77 厘米 行距: 固定值 20 磅"/>
    <w:basedOn w:val="1"/>
    <w:qFormat/>
    <w:uiPriority w:val="0"/>
    <w:pPr>
      <w:tabs>
        <w:tab w:val="clear" w:pos="480"/>
      </w:tabs>
      <w:ind w:firstLine="435"/>
    </w:pPr>
    <w:rPr>
      <w:szCs w:val="20"/>
    </w:rPr>
  </w:style>
  <w:style w:type="paragraph" w:customStyle="1" w:styleId="1708">
    <w:name w:val="CM3"/>
    <w:basedOn w:val="1"/>
    <w:next w:val="1"/>
    <w:semiHidden/>
    <w:qFormat/>
    <w:uiPriority w:val="0"/>
    <w:pPr>
      <w:tabs>
        <w:tab w:val="clear" w:pos="480"/>
      </w:tabs>
      <w:autoSpaceDE w:val="0"/>
      <w:autoSpaceDN w:val="0"/>
      <w:adjustRightInd w:val="0"/>
      <w:spacing w:line="463" w:lineRule="atLeast"/>
      <w:jc w:val="left"/>
    </w:pPr>
    <w:rPr>
      <w:kern w:val="0"/>
    </w:rPr>
  </w:style>
  <w:style w:type="paragraph" w:customStyle="1" w:styleId="1709">
    <w:name w:val="CM58"/>
    <w:basedOn w:val="150"/>
    <w:next w:val="150"/>
    <w:semiHidden/>
    <w:qFormat/>
    <w:uiPriority w:val="0"/>
    <w:pPr>
      <w:spacing w:after="155" w:line="360" w:lineRule="auto"/>
      <w:ind w:firstLine="200" w:firstLineChars="200"/>
      <w:jc w:val="both"/>
    </w:pPr>
    <w:rPr>
      <w:rFonts w:ascii="Times New Roman" w:eastAsia="宋体" w:cs="Times New Roman"/>
      <w:color w:val="auto"/>
    </w:rPr>
  </w:style>
  <w:style w:type="paragraph" w:customStyle="1" w:styleId="1710">
    <w:name w:val="表 头 Char"/>
    <w:basedOn w:val="1"/>
    <w:semiHidden/>
    <w:qFormat/>
    <w:uiPriority w:val="0"/>
    <w:pPr>
      <w:tabs>
        <w:tab w:val="clear" w:pos="480"/>
      </w:tabs>
      <w:adjustRightInd w:val="0"/>
      <w:spacing w:before="120" w:after="120" w:line="360" w:lineRule="atLeast"/>
      <w:jc w:val="center"/>
    </w:pPr>
    <w:rPr>
      <w:rFonts w:eastAsia="黑体"/>
      <w:spacing w:val="10"/>
      <w:kern w:val="0"/>
      <w:szCs w:val="20"/>
    </w:rPr>
  </w:style>
  <w:style w:type="paragraph" w:customStyle="1" w:styleId="1711">
    <w:name w:val="表文5号"/>
    <w:basedOn w:val="1"/>
    <w:qFormat/>
    <w:uiPriority w:val="0"/>
    <w:pPr>
      <w:tabs>
        <w:tab w:val="clear" w:pos="480"/>
      </w:tabs>
      <w:snapToGrid w:val="0"/>
      <w:spacing w:line="240" w:lineRule="auto"/>
      <w:jc w:val="center"/>
    </w:pPr>
    <w:rPr>
      <w:sz w:val="21"/>
      <w:szCs w:val="21"/>
    </w:rPr>
  </w:style>
  <w:style w:type="paragraph" w:customStyle="1" w:styleId="1712">
    <w:name w:val="表格内容5"/>
    <w:basedOn w:val="1"/>
    <w:next w:val="1"/>
    <w:semiHidden/>
    <w:qFormat/>
    <w:uiPriority w:val="0"/>
    <w:pPr>
      <w:tabs>
        <w:tab w:val="clear" w:pos="480"/>
      </w:tabs>
      <w:spacing w:before="40" w:after="60" w:line="200" w:lineRule="atLeast"/>
      <w:jc w:val="left"/>
      <w:textAlignment w:val="baseline"/>
    </w:pPr>
    <w:rPr>
      <w:rFonts w:ascii="Arial" w:hAnsi="Arial" w:eastAsia="仿宋_GB2312"/>
      <w:kern w:val="0"/>
      <w:sz w:val="21"/>
    </w:rPr>
  </w:style>
  <w:style w:type="paragraph" w:customStyle="1" w:styleId="1713">
    <w:name w:val="题注图"/>
    <w:basedOn w:val="22"/>
    <w:qFormat/>
    <w:uiPriority w:val="0"/>
    <w:pPr>
      <w:adjustRightInd/>
      <w:snapToGrid/>
      <w:spacing w:before="0" w:after="360" w:line="300" w:lineRule="auto"/>
      <w:ind w:firstLine="0" w:firstLineChars="0"/>
    </w:pPr>
    <w:rPr>
      <w:rFonts w:ascii="Times New Roman" w:hAnsi="Times New Roman" w:eastAsia="仿宋_GB2312" w:cs="Times New Roman"/>
      <w:b/>
      <w:color w:val="auto"/>
      <w:kern w:val="0"/>
      <w:szCs w:val="24"/>
    </w:rPr>
  </w:style>
  <w:style w:type="paragraph" w:customStyle="1" w:styleId="1714">
    <w:name w:val="样式 标题 3Char + 字距调整四号1"/>
    <w:basedOn w:val="5"/>
    <w:qFormat/>
    <w:uiPriority w:val="0"/>
    <w:pPr>
      <w:numPr>
        <w:ilvl w:val="0"/>
        <w:numId w:val="0"/>
      </w:numPr>
      <w:tabs>
        <w:tab w:val="left" w:pos="1080"/>
        <w:tab w:val="clear" w:pos="480"/>
      </w:tabs>
      <w:adjustRightInd w:val="0"/>
      <w:snapToGrid w:val="0"/>
      <w:spacing w:before="240" w:after="120" w:line="360" w:lineRule="auto"/>
      <w:ind w:left="720" w:hanging="720"/>
    </w:pPr>
    <w:rPr>
      <w:rFonts w:ascii="Times New Roman" w:eastAsia="楷体_GB2312"/>
      <w:color w:val="000000"/>
      <w:kern w:val="28"/>
      <w:sz w:val="24"/>
      <w:szCs w:val="24"/>
    </w:rPr>
  </w:style>
  <w:style w:type="character" w:customStyle="1" w:styleId="1715">
    <w:name w:val="neiwen1"/>
    <w:semiHidden/>
    <w:qFormat/>
    <w:uiPriority w:val="0"/>
    <w:rPr>
      <w:color w:val="000000"/>
      <w:spacing w:val="320"/>
      <w:sz w:val="20"/>
      <w:szCs w:val="20"/>
    </w:rPr>
  </w:style>
  <w:style w:type="character" w:customStyle="1" w:styleId="1716">
    <w:name w:val="H1 Char1"/>
    <w:semiHidden/>
    <w:qFormat/>
    <w:uiPriority w:val="0"/>
    <w:rPr>
      <w:rFonts w:eastAsia="宋体"/>
      <w:b/>
      <w:bCs/>
      <w:kern w:val="44"/>
      <w:sz w:val="44"/>
      <w:szCs w:val="44"/>
      <w:lang w:val="en-US" w:eastAsia="zh-CN" w:bidi="ar-SA"/>
    </w:rPr>
  </w:style>
  <w:style w:type="character" w:customStyle="1" w:styleId="1717">
    <w:name w:val="可研-标题 9 Char"/>
    <w:qFormat/>
    <w:locked/>
    <w:uiPriority w:val="0"/>
    <w:rPr>
      <w:rFonts w:ascii="Arial" w:hAnsi="Arial" w:eastAsia="黑体"/>
      <w:snapToGrid w:val="0"/>
      <w:kern w:val="2"/>
      <w:sz w:val="21"/>
      <w:szCs w:val="21"/>
      <w:lang w:val="eu-ES" w:eastAsia="zh-CN" w:bidi="ar-SA"/>
    </w:rPr>
  </w:style>
  <w:style w:type="paragraph" w:customStyle="1" w:styleId="1718">
    <w:name w:val="注解文字"/>
    <w:basedOn w:val="1"/>
    <w:qFormat/>
    <w:uiPriority w:val="0"/>
    <w:pPr>
      <w:tabs>
        <w:tab w:val="clear" w:pos="480"/>
      </w:tabs>
      <w:spacing w:afterLines="50" w:line="300" w:lineRule="auto"/>
    </w:pPr>
    <w:rPr>
      <w:rFonts w:hAnsi="Arial"/>
      <w:bCs/>
      <w:snapToGrid w:val="0"/>
      <w:kern w:val="0"/>
      <w:sz w:val="18"/>
      <w:szCs w:val="18"/>
      <w:lang w:val="eu-ES"/>
    </w:rPr>
  </w:style>
  <w:style w:type="paragraph" w:customStyle="1" w:styleId="1719">
    <w:name w:val="表后间隔"/>
    <w:basedOn w:val="1"/>
    <w:semiHidden/>
    <w:qFormat/>
    <w:uiPriority w:val="0"/>
    <w:pPr>
      <w:tabs>
        <w:tab w:val="center" w:pos="4153"/>
        <w:tab w:val="right" w:pos="8306"/>
        <w:tab w:val="clear" w:pos="480"/>
      </w:tabs>
      <w:snapToGrid w:val="0"/>
      <w:spacing w:line="240" w:lineRule="auto"/>
    </w:pPr>
    <w:rPr>
      <w:rFonts w:ascii="Arial" w:hAnsi="Arial"/>
      <w:bCs/>
      <w:snapToGrid w:val="0"/>
      <w:kern w:val="0"/>
      <w:sz w:val="18"/>
      <w:szCs w:val="27"/>
      <w:lang w:val="eu-ES"/>
    </w:rPr>
  </w:style>
  <w:style w:type="paragraph" w:customStyle="1" w:styleId="1720">
    <w:name w:val="标题 1文章"/>
    <w:basedOn w:val="3"/>
    <w:next w:val="1"/>
    <w:semiHidden/>
    <w:qFormat/>
    <w:uiPriority w:val="0"/>
    <w:pPr>
      <w:keepNext w:val="0"/>
      <w:keepLines w:val="0"/>
      <w:numPr>
        <w:numId w:val="0"/>
      </w:numPr>
      <w:autoSpaceDN w:val="0"/>
      <w:adjustRightInd w:val="0"/>
      <w:spacing w:beforeLines="50" w:afterLines="50" w:line="520" w:lineRule="exact"/>
      <w:contextualSpacing/>
      <w:jc w:val="left"/>
      <w:textAlignment w:val="baseline"/>
    </w:pPr>
    <w:rPr>
      <w:rFonts w:ascii="黑体" w:hAnsi="Arial" w:eastAsia="黑体" w:cs="宋体"/>
      <w:b w:val="0"/>
      <w:bCs w:val="0"/>
      <w:snapToGrid w:val="0"/>
      <w:kern w:val="2"/>
      <w:szCs w:val="36"/>
      <w:lang w:val="eu-ES"/>
    </w:rPr>
  </w:style>
  <w:style w:type="character" w:customStyle="1" w:styleId="1721">
    <w:name w:val="标题 2 Char Char1"/>
    <w:semiHidden/>
    <w:qFormat/>
    <w:uiPriority w:val="0"/>
    <w:rPr>
      <w:rFonts w:ascii="黑体" w:hAnsi="Arial" w:eastAsia="黑体" w:cs="宋体"/>
      <w:bCs/>
      <w:snapToGrid w:val="0"/>
      <w:kern w:val="2"/>
      <w:sz w:val="28"/>
      <w:szCs w:val="28"/>
      <w:lang w:val="eu-ES" w:eastAsia="zh-CN" w:bidi="ar-SA"/>
    </w:rPr>
  </w:style>
  <w:style w:type="character" w:customStyle="1" w:styleId="1722">
    <w:name w:val="表格名称 Char Char"/>
    <w:semiHidden/>
    <w:qFormat/>
    <w:uiPriority w:val="0"/>
    <w:rPr>
      <w:rFonts w:ascii="黑体" w:hAnsi="宋体" w:eastAsia="黑体" w:cs="宋体"/>
      <w:bCs/>
      <w:snapToGrid w:val="0"/>
      <w:kern w:val="18"/>
      <w:sz w:val="24"/>
      <w:szCs w:val="24"/>
      <w:lang w:val="eu-ES" w:eastAsia="zh-CN" w:bidi="ar-SA"/>
    </w:rPr>
  </w:style>
  <w:style w:type="paragraph" w:customStyle="1" w:styleId="1723">
    <w:name w:val="图片名称"/>
    <w:basedOn w:val="1"/>
    <w:link w:val="1880"/>
    <w:qFormat/>
    <w:uiPriority w:val="0"/>
    <w:pPr>
      <w:tabs>
        <w:tab w:val="clear" w:pos="480"/>
      </w:tabs>
      <w:wordWrap w:val="0"/>
      <w:spacing w:line="240" w:lineRule="auto"/>
      <w:jc w:val="center"/>
    </w:pPr>
    <w:rPr>
      <w:rFonts w:ascii="黑体" w:hAnsi="宋体" w:eastAsia="黑体"/>
      <w:bCs/>
      <w:snapToGrid w:val="0"/>
      <w:color w:val="000000"/>
      <w:spacing w:val="-4"/>
      <w:kern w:val="0"/>
      <w:lang w:val="eu-ES"/>
    </w:rPr>
  </w:style>
  <w:style w:type="character" w:customStyle="1" w:styleId="1724">
    <w:name w:val="Char Char1"/>
    <w:semiHidden/>
    <w:qFormat/>
    <w:locked/>
    <w:uiPriority w:val="0"/>
    <w:rPr>
      <w:rFonts w:ascii="Arial" w:hAnsi="Arial" w:eastAsia="宋体"/>
      <w:bCs/>
      <w:snapToGrid w:val="0"/>
      <w:kern w:val="2"/>
      <w:sz w:val="18"/>
      <w:szCs w:val="18"/>
      <w:lang w:val="eu-ES" w:eastAsia="zh-CN" w:bidi="ar-SA"/>
    </w:rPr>
  </w:style>
  <w:style w:type="paragraph" w:customStyle="1" w:styleId="1725">
    <w:name w:val="表格文字3"/>
    <w:basedOn w:val="197"/>
    <w:semiHidden/>
    <w:qFormat/>
    <w:uiPriority w:val="0"/>
    <w:pPr>
      <w:tabs>
        <w:tab w:val="clear" w:pos="277"/>
        <w:tab w:val="clear" w:pos="600"/>
        <w:tab w:val="clear" w:pos="780"/>
        <w:tab w:val="clear" w:pos="2517"/>
      </w:tabs>
      <w:autoSpaceDE w:val="0"/>
      <w:autoSpaceDN w:val="0"/>
      <w:spacing w:beforeLines="10" w:afterLines="10"/>
      <w:jc w:val="both"/>
      <w:textAlignment w:val="auto"/>
    </w:pPr>
    <w:rPr>
      <w:bCs/>
      <w:szCs w:val="24"/>
    </w:rPr>
  </w:style>
  <w:style w:type="paragraph" w:customStyle="1" w:styleId="1726">
    <w:name w:val="标 题 2"/>
    <w:basedOn w:val="4"/>
    <w:semiHidden/>
    <w:qFormat/>
    <w:uiPriority w:val="0"/>
    <w:pPr>
      <w:keepNext w:val="0"/>
      <w:keepLines w:val="0"/>
      <w:numPr>
        <w:ilvl w:val="0"/>
        <w:numId w:val="0"/>
      </w:numPr>
      <w:tabs>
        <w:tab w:val="clear" w:pos="480"/>
        <w:tab w:val="clear" w:pos="630"/>
      </w:tabs>
      <w:autoSpaceDE w:val="0"/>
      <w:autoSpaceDN w:val="0"/>
      <w:adjustRightInd w:val="0"/>
      <w:snapToGrid w:val="0"/>
      <w:spacing w:before="163" w:after="163" w:line="520" w:lineRule="exact"/>
      <w:textAlignment w:val="baseline"/>
    </w:pPr>
    <w:rPr>
      <w:rFonts w:ascii="黑体" w:hAnsi="Arial" w:eastAsia="黑体"/>
      <w:b w:val="0"/>
      <w:snapToGrid w:val="0"/>
      <w:sz w:val="30"/>
      <w:szCs w:val="20"/>
      <w:lang w:val="eu-ES"/>
    </w:rPr>
  </w:style>
  <w:style w:type="character" w:customStyle="1" w:styleId="1727">
    <w:name w:val="表头 Char"/>
    <w:qFormat/>
    <w:uiPriority w:val="0"/>
    <w:rPr>
      <w:rFonts w:ascii="黑体" w:hAnsi="Arial" w:eastAsia="黑体" w:cs="Arial"/>
      <w:bCs/>
      <w:kern w:val="2"/>
      <w:sz w:val="24"/>
      <w:szCs w:val="24"/>
      <w:lang w:val="en-US" w:eastAsia="zh-CN" w:bidi="ar-SA"/>
    </w:rPr>
  </w:style>
  <w:style w:type="character" w:customStyle="1" w:styleId="1728">
    <w:name w:val="样式 正文首行缩进 + 宋体 小四 行距: 1.5 倍行距 Char1"/>
    <w:qFormat/>
    <w:uiPriority w:val="0"/>
    <w:rPr>
      <w:rFonts w:ascii="黑体" w:hAnsi="Arial" w:eastAsia="黑体" w:cs="Arial"/>
      <w:bCs/>
      <w:kern w:val="2"/>
      <w:sz w:val="24"/>
      <w:szCs w:val="24"/>
      <w:lang w:val="en-US" w:eastAsia="zh-CN" w:bidi="ar-SA"/>
    </w:rPr>
  </w:style>
  <w:style w:type="paragraph" w:customStyle="1" w:styleId="1729">
    <w:name w:val="样式 表格 + 宋体 五号"/>
    <w:basedOn w:val="1"/>
    <w:qFormat/>
    <w:uiPriority w:val="0"/>
    <w:pPr>
      <w:tabs>
        <w:tab w:val="clear" w:pos="480"/>
      </w:tabs>
      <w:adjustRightInd w:val="0"/>
      <w:snapToGrid w:val="0"/>
      <w:textAlignment w:val="center"/>
    </w:pPr>
    <w:rPr>
      <w:rFonts w:ascii="宋体" w:hAnsi="宋体"/>
      <w:snapToGrid w:val="0"/>
      <w:kern w:val="0"/>
      <w:sz w:val="21"/>
      <w:szCs w:val="20"/>
      <w:lang w:val="eu-ES"/>
    </w:rPr>
  </w:style>
  <w:style w:type="character" w:customStyle="1" w:styleId="1730">
    <w:name w:val="样式 仿宋_GB2312 四号1"/>
    <w:qFormat/>
    <w:uiPriority w:val="0"/>
    <w:rPr>
      <w:rFonts w:ascii="黑体" w:hAnsi="Arial" w:eastAsia="黑体" w:cs="Arial"/>
      <w:bCs/>
      <w:kern w:val="2"/>
      <w:sz w:val="24"/>
      <w:szCs w:val="24"/>
      <w:lang w:val="en-US" w:eastAsia="zh-CN" w:bidi="ar-SA"/>
    </w:rPr>
  </w:style>
  <w:style w:type="paragraph" w:customStyle="1" w:styleId="1731">
    <w:name w:val="样式 标题 1文章标题一、章节H1Otsikko 1Eia标题1－1 + 段前: 0.5 行 段后: 0.5 行"/>
    <w:basedOn w:val="3"/>
    <w:next w:val="1"/>
    <w:qFormat/>
    <w:uiPriority w:val="0"/>
    <w:pPr>
      <w:keepNext w:val="0"/>
      <w:keepLines w:val="0"/>
      <w:numPr>
        <w:numId w:val="0"/>
      </w:numPr>
      <w:tabs>
        <w:tab w:val="clear" w:pos="480"/>
      </w:tabs>
      <w:autoSpaceDN w:val="0"/>
      <w:spacing w:beforeLines="50" w:afterLines="50" w:line="520" w:lineRule="exact"/>
      <w:ind w:firstLine="471"/>
      <w:contextualSpacing/>
      <w:jc w:val="left"/>
      <w:textAlignment w:val="baseline"/>
    </w:pPr>
    <w:rPr>
      <w:rFonts w:ascii="黑体" w:hAnsi="Arial" w:eastAsia="黑体" w:cs="宋体"/>
      <w:b w:val="0"/>
      <w:bCs w:val="0"/>
      <w:snapToGrid w:val="0"/>
      <w:kern w:val="2"/>
      <w:szCs w:val="20"/>
      <w:lang w:val="eu-ES"/>
    </w:rPr>
  </w:style>
  <w:style w:type="paragraph" w:customStyle="1" w:styleId="1732">
    <w:name w:val="样式 标题 1文章标题一、章节H1Otsikko 1Eia标题1－1 + 首行缩进:  0 厘米"/>
    <w:basedOn w:val="3"/>
    <w:next w:val="1"/>
    <w:qFormat/>
    <w:uiPriority w:val="0"/>
    <w:pPr>
      <w:keepNext w:val="0"/>
      <w:keepLines w:val="0"/>
      <w:numPr>
        <w:numId w:val="0"/>
      </w:numPr>
      <w:autoSpaceDN w:val="0"/>
      <w:spacing w:beforeLines="50" w:afterLines="50" w:line="520" w:lineRule="exact"/>
      <w:contextualSpacing/>
      <w:textAlignment w:val="baseline"/>
    </w:pPr>
    <w:rPr>
      <w:rFonts w:ascii="黑体" w:hAnsi="Arial" w:eastAsia="黑体" w:cs="宋体"/>
      <w:b w:val="0"/>
      <w:bCs w:val="0"/>
      <w:snapToGrid w:val="0"/>
      <w:kern w:val="2"/>
      <w:szCs w:val="20"/>
      <w:lang w:val="eu-ES"/>
    </w:rPr>
  </w:style>
  <w:style w:type="paragraph" w:customStyle="1" w:styleId="1733">
    <w:name w:val="样式 标题 1文章 + 段前: 0.5 行 段后: 0.5 行"/>
    <w:basedOn w:val="1720"/>
    <w:next w:val="1"/>
    <w:qFormat/>
    <w:uiPriority w:val="0"/>
    <w:pPr>
      <w:ind w:firstLine="720" w:firstLineChars="200"/>
    </w:pPr>
    <w:rPr>
      <w:szCs w:val="20"/>
    </w:rPr>
  </w:style>
  <w:style w:type="paragraph" w:customStyle="1" w:styleId="1734">
    <w:name w:val="样式 样式 标题 1文章 + 段前: 0.5 行 段后: 0.5 行 + 段前: 0.5 行 段后: 0.5 行"/>
    <w:basedOn w:val="1733"/>
    <w:qFormat/>
    <w:uiPriority w:val="0"/>
    <w:pPr>
      <w:spacing w:before="50" w:after="50"/>
      <w:ind w:firstLine="0" w:firstLineChars="0"/>
    </w:pPr>
  </w:style>
  <w:style w:type="paragraph" w:customStyle="1" w:styleId="1735">
    <w:name w:val="样式 标题 + 首行缩进:  0.83 厘米"/>
    <w:basedOn w:val="83"/>
    <w:qFormat/>
    <w:uiPriority w:val="0"/>
    <w:pPr>
      <w:widowControl w:val="0"/>
      <w:tabs>
        <w:tab w:val="left" w:pos="480"/>
      </w:tabs>
      <w:autoSpaceDN w:val="0"/>
      <w:snapToGrid/>
      <w:spacing w:beforeLines="50" w:afterLines="50" w:line="520" w:lineRule="exact"/>
      <w:ind w:firstLine="471" w:firstLineChars="0"/>
      <w:contextualSpacing/>
      <w:textAlignment w:val="baseline"/>
    </w:pPr>
    <w:rPr>
      <w:rFonts w:ascii="黑体" w:eastAsia="黑体" w:cs="宋体"/>
      <w:snapToGrid w:val="0"/>
      <w:color w:val="auto"/>
      <w:sz w:val="36"/>
      <w:szCs w:val="36"/>
      <w:lang w:val="eu-ES"/>
    </w:rPr>
  </w:style>
  <w:style w:type="paragraph" w:customStyle="1" w:styleId="1736">
    <w:name w:val="标题111"/>
    <w:basedOn w:val="3"/>
    <w:next w:val="1"/>
    <w:semiHidden/>
    <w:qFormat/>
    <w:uiPriority w:val="0"/>
    <w:pPr>
      <w:keepNext w:val="0"/>
      <w:keepLines w:val="0"/>
      <w:numPr>
        <w:numId w:val="0"/>
      </w:numPr>
      <w:tabs>
        <w:tab w:val="clear" w:pos="480"/>
      </w:tabs>
      <w:autoSpaceDN w:val="0"/>
      <w:adjustRightInd w:val="0"/>
      <w:snapToGrid w:val="0"/>
      <w:spacing w:beforeLines="50" w:afterLines="50" w:line="520" w:lineRule="exact"/>
      <w:ind w:firstLine="471"/>
      <w:contextualSpacing/>
      <w:textAlignment w:val="baseline"/>
    </w:pPr>
    <w:rPr>
      <w:rFonts w:ascii="黑体" w:hAnsi="Arial" w:eastAsia="黑体"/>
      <w:b w:val="0"/>
      <w:bCs w:val="0"/>
      <w:snapToGrid w:val="0"/>
      <w:kern w:val="2"/>
      <w:szCs w:val="20"/>
      <w:lang w:val="eu-ES"/>
    </w:rPr>
  </w:style>
  <w:style w:type="paragraph" w:customStyle="1" w:styleId="1737">
    <w:name w:val="样式 标题 3 + (西文) 宋体"/>
    <w:basedOn w:val="5"/>
    <w:next w:val="1"/>
    <w:qFormat/>
    <w:uiPriority w:val="0"/>
    <w:pPr>
      <w:numPr>
        <w:numId w:val="0"/>
      </w:numPr>
      <w:tabs>
        <w:tab w:val="clear" w:pos="480"/>
        <w:tab w:val="clear" w:pos="840"/>
      </w:tabs>
      <w:autoSpaceDN w:val="0"/>
      <w:adjustRightInd w:val="0"/>
      <w:spacing w:beforeLines="50" w:afterLines="50" w:line="520" w:lineRule="exact"/>
      <w:ind w:firstLine="471"/>
      <w:contextualSpacing/>
      <w:textAlignment w:val="baseline"/>
    </w:pPr>
    <w:rPr>
      <w:rFonts w:ascii="宋体" w:hAnsi="宋体" w:eastAsia="黑体" w:cs="宋体"/>
      <w:b w:val="0"/>
      <w:bCs w:val="0"/>
      <w:snapToGrid w:val="0"/>
      <w:sz w:val="24"/>
      <w:szCs w:val="24"/>
      <w:lang w:val="eu-ES"/>
    </w:rPr>
  </w:style>
  <w:style w:type="character" w:customStyle="1" w:styleId="1738">
    <w:name w:val="标题 1文章 Char"/>
    <w:semiHidden/>
    <w:qFormat/>
    <w:uiPriority w:val="0"/>
    <w:rPr>
      <w:rFonts w:ascii="黑体" w:hAnsi="Arial" w:eastAsia="黑体" w:cs="宋体"/>
      <w:bCs/>
      <w:kern w:val="2"/>
      <w:sz w:val="36"/>
      <w:szCs w:val="36"/>
      <w:lang w:val="en-US" w:eastAsia="zh-CN" w:bidi="ar-SA"/>
    </w:rPr>
  </w:style>
  <w:style w:type="character" w:customStyle="1" w:styleId="1739">
    <w:name w:val="样式 标题 3 + (西文) 宋体 Char"/>
    <w:qFormat/>
    <w:uiPriority w:val="0"/>
    <w:rPr>
      <w:rFonts w:ascii="宋体" w:hAnsi="宋体" w:eastAsia="黑体" w:cs="宋体"/>
      <w:b/>
      <w:bCs/>
      <w:snapToGrid w:val="0"/>
      <w:kern w:val="2"/>
      <w:sz w:val="24"/>
      <w:szCs w:val="24"/>
      <w:lang w:val="eu-ES" w:eastAsia="zh-CN" w:bidi="ar-SA"/>
    </w:rPr>
  </w:style>
  <w:style w:type="paragraph" w:customStyle="1" w:styleId="1740">
    <w:name w:val="text1"/>
    <w:basedOn w:val="1"/>
    <w:semiHidden/>
    <w:qFormat/>
    <w:uiPriority w:val="0"/>
    <w:pPr>
      <w:widowControl/>
      <w:tabs>
        <w:tab w:val="clear" w:pos="480"/>
      </w:tabs>
      <w:spacing w:before="100" w:beforeAutospacing="1" w:after="100" w:afterAutospacing="1" w:line="240" w:lineRule="auto"/>
      <w:jc w:val="left"/>
    </w:pPr>
    <w:rPr>
      <w:rFonts w:ascii="宋体" w:hAnsi="宋体" w:cs="宋体"/>
      <w:snapToGrid w:val="0"/>
      <w:kern w:val="0"/>
      <w:lang w:val="eu-ES"/>
    </w:rPr>
  </w:style>
  <w:style w:type="paragraph" w:customStyle="1" w:styleId="1741">
    <w:name w:val="夏1，正文仿3"/>
    <w:basedOn w:val="1"/>
    <w:qFormat/>
    <w:uiPriority w:val="0"/>
    <w:pPr>
      <w:tabs>
        <w:tab w:val="clear" w:pos="480"/>
      </w:tabs>
      <w:snapToGrid w:val="0"/>
      <w:spacing w:before="20" w:line="288" w:lineRule="auto"/>
      <w:ind w:firstLine="675"/>
    </w:pPr>
    <w:rPr>
      <w:rFonts w:ascii="仿宋_GB2312" w:eastAsia="仿宋_GB2312"/>
      <w:snapToGrid w:val="0"/>
      <w:spacing w:val="4"/>
      <w:kern w:val="0"/>
      <w:sz w:val="32"/>
      <w:lang w:val="eu-ES"/>
    </w:rPr>
  </w:style>
  <w:style w:type="paragraph" w:customStyle="1" w:styleId="1742">
    <w:name w:val="华2，标题2，黑体3号"/>
    <w:basedOn w:val="1741"/>
    <w:next w:val="1741"/>
    <w:qFormat/>
    <w:uiPriority w:val="0"/>
    <w:pPr>
      <w:spacing w:before="60"/>
      <w:jc w:val="left"/>
      <w:outlineLvl w:val="1"/>
    </w:pPr>
    <w:rPr>
      <w:rFonts w:ascii="黑体" w:hAnsi="Arial" w:eastAsia="黑体"/>
      <w:lang w:val="en-US"/>
    </w:rPr>
  </w:style>
  <w:style w:type="paragraph" w:customStyle="1" w:styleId="1743">
    <w:name w:val="华1，标题1，标宋"/>
    <w:basedOn w:val="1741"/>
    <w:next w:val="1741"/>
    <w:qFormat/>
    <w:uiPriority w:val="0"/>
    <w:pPr>
      <w:spacing w:before="360" w:after="300"/>
      <w:ind w:firstLine="0"/>
      <w:jc w:val="center"/>
      <w:outlineLvl w:val="0"/>
    </w:pPr>
    <w:rPr>
      <w:rFonts w:ascii="方正大标宋_GBK" w:hAnsi="Arial" w:eastAsia="方正大标宋_GBK"/>
      <w:spacing w:val="20"/>
      <w:sz w:val="44"/>
      <w:lang w:val="en-US"/>
    </w:rPr>
  </w:style>
  <w:style w:type="character" w:customStyle="1" w:styleId="1744">
    <w:name w:val="样式 正文首行缩进 2 + 首行缩进:  2 字符1 Char1"/>
    <w:qFormat/>
    <w:uiPriority w:val="0"/>
    <w:rPr>
      <w:rFonts w:ascii="黑体" w:hAnsi="Arial" w:eastAsia="宋体" w:cs="宋体"/>
      <w:bCs/>
      <w:kern w:val="2"/>
      <w:sz w:val="24"/>
      <w:szCs w:val="24"/>
      <w:lang w:val="en-US" w:eastAsia="zh-CN" w:bidi="ar-SA"/>
    </w:rPr>
  </w:style>
  <w:style w:type="character" w:customStyle="1" w:styleId="1745">
    <w:name w:val="ZX 2标题 Char"/>
    <w:link w:val="453"/>
    <w:qFormat/>
    <w:uiPriority w:val="0"/>
    <w:rPr>
      <w:rFonts w:ascii="宋体" w:cs="宋体"/>
      <w:b/>
      <w:bCs/>
      <w:kern w:val="2"/>
      <w:sz w:val="32"/>
      <w:lang w:val="zh-CN"/>
    </w:rPr>
  </w:style>
  <w:style w:type="character" w:customStyle="1" w:styleId="1746">
    <w:name w:val="样式 小四 首行缩进:  0.85 厘米 行距: 1.5 倍行距 Char"/>
    <w:link w:val="462"/>
    <w:qFormat/>
    <w:uiPriority w:val="0"/>
    <w:rPr>
      <w:rFonts w:ascii="黑体" w:hAnsi="Arial" w:eastAsia="宋体" w:cs="宋体"/>
      <w:bCs/>
      <w:kern w:val="2"/>
      <w:sz w:val="24"/>
      <w:szCs w:val="24"/>
      <w:lang w:val="en-US" w:eastAsia="zh-CN" w:bidi="ar-SA"/>
    </w:rPr>
  </w:style>
  <w:style w:type="paragraph" w:customStyle="1" w:styleId="1747">
    <w:name w:val="银洲湖石化基地表"/>
    <w:basedOn w:val="1"/>
    <w:qFormat/>
    <w:uiPriority w:val="0"/>
    <w:pPr>
      <w:tabs>
        <w:tab w:val="clear" w:pos="480"/>
      </w:tabs>
      <w:autoSpaceDE w:val="0"/>
      <w:autoSpaceDN w:val="0"/>
      <w:adjustRightInd w:val="0"/>
      <w:spacing w:line="0" w:lineRule="atLeast"/>
      <w:jc w:val="center"/>
      <w:textAlignment w:val="center"/>
    </w:pPr>
    <w:rPr>
      <w:kern w:val="0"/>
      <w:sz w:val="21"/>
      <w:szCs w:val="21"/>
    </w:rPr>
  </w:style>
  <w:style w:type="paragraph" w:customStyle="1" w:styleId="1748">
    <w:name w:val="银洲湖规划表标题"/>
    <w:basedOn w:val="1"/>
    <w:qFormat/>
    <w:uiPriority w:val="0"/>
    <w:pPr>
      <w:tabs>
        <w:tab w:val="clear" w:pos="480"/>
      </w:tabs>
      <w:spacing w:line="312" w:lineRule="auto"/>
      <w:jc w:val="center"/>
    </w:pPr>
    <w:rPr>
      <w:b/>
      <w:bCs/>
      <w:kern w:val="0"/>
      <w:lang w:val="en-GB"/>
    </w:rPr>
  </w:style>
  <w:style w:type="character" w:customStyle="1" w:styleId="1749">
    <w:name w:val="p12grey"/>
    <w:basedOn w:val="132"/>
    <w:semiHidden/>
    <w:qFormat/>
    <w:uiPriority w:val="0"/>
  </w:style>
  <w:style w:type="paragraph" w:customStyle="1" w:styleId="1750">
    <w:name w:val="正文31"/>
    <w:basedOn w:val="35"/>
    <w:qFormat/>
    <w:uiPriority w:val="0"/>
    <w:pPr>
      <w:tabs>
        <w:tab w:val="clear" w:pos="480"/>
      </w:tabs>
      <w:spacing w:after="120" w:line="324" w:lineRule="auto"/>
    </w:pPr>
    <w:rPr>
      <w:rFonts w:ascii="Arial" w:hAnsi="Arial"/>
      <w:bCs/>
      <w:snapToGrid w:val="0"/>
      <w:kern w:val="0"/>
      <w:lang w:val="eu-ES"/>
    </w:rPr>
  </w:style>
  <w:style w:type="paragraph" w:customStyle="1" w:styleId="1751">
    <w:name w:val="char"/>
    <w:basedOn w:val="1"/>
    <w:semiHidden/>
    <w:qFormat/>
    <w:uiPriority w:val="0"/>
    <w:pPr>
      <w:widowControl/>
      <w:tabs>
        <w:tab w:val="clear" w:pos="480"/>
      </w:tabs>
      <w:spacing w:after="160" w:line="240" w:lineRule="exact"/>
      <w:jc w:val="left"/>
    </w:pPr>
    <w:rPr>
      <w:rFonts w:ascii="Verdana" w:hAnsi="Verdana" w:eastAsia="仿宋_GB2312" w:cs="”“Times New Roman”“"/>
      <w:kern w:val="0"/>
      <w:szCs w:val="20"/>
      <w:lang w:eastAsia="en-US"/>
    </w:rPr>
  </w:style>
  <w:style w:type="paragraph" w:customStyle="1" w:styleId="1752">
    <w:name w:val="新丰产业转移园表"/>
    <w:basedOn w:val="1"/>
    <w:qFormat/>
    <w:uiPriority w:val="0"/>
    <w:pPr>
      <w:tabs>
        <w:tab w:val="clear" w:pos="480"/>
      </w:tabs>
      <w:autoSpaceDE w:val="0"/>
      <w:autoSpaceDN w:val="0"/>
      <w:adjustRightInd w:val="0"/>
      <w:spacing w:line="0" w:lineRule="atLeast"/>
      <w:textAlignment w:val="center"/>
    </w:pPr>
    <w:rPr>
      <w:rFonts w:ascii="宋体" w:hAnsi="宋体"/>
      <w:kern w:val="0"/>
      <w:sz w:val="21"/>
      <w:szCs w:val="21"/>
    </w:rPr>
  </w:style>
  <w:style w:type="paragraph" w:customStyle="1" w:styleId="1753">
    <w:name w:val="正文  规划"/>
    <w:basedOn w:val="1"/>
    <w:qFormat/>
    <w:uiPriority w:val="0"/>
    <w:pPr>
      <w:tabs>
        <w:tab w:val="clear" w:pos="480"/>
      </w:tabs>
      <w:adjustRightInd w:val="0"/>
      <w:spacing w:before="120" w:after="120"/>
      <w:ind w:firstLine="480"/>
    </w:pPr>
    <w:rPr>
      <w:rFonts w:cs="宋体"/>
      <w:szCs w:val="20"/>
    </w:rPr>
  </w:style>
  <w:style w:type="character" w:customStyle="1" w:styleId="1754">
    <w:name w:val="表文 Char"/>
    <w:link w:val="571"/>
    <w:qFormat/>
    <w:uiPriority w:val="0"/>
    <w:rPr>
      <w:rFonts w:eastAsia="宋体"/>
      <w:spacing w:val="-2"/>
      <w:kern w:val="2"/>
      <w:sz w:val="24"/>
      <w:szCs w:val="24"/>
      <w:lang w:val="en-US" w:eastAsia="zh-CN" w:bidi="ar-SA"/>
    </w:rPr>
  </w:style>
  <w:style w:type="paragraph" w:customStyle="1" w:styleId="1755">
    <w:name w:val="框图文字1"/>
    <w:basedOn w:val="1"/>
    <w:qFormat/>
    <w:uiPriority w:val="0"/>
    <w:pPr>
      <w:tabs>
        <w:tab w:val="left" w:pos="780"/>
        <w:tab w:val="clear" w:pos="480"/>
      </w:tabs>
      <w:adjustRightInd w:val="0"/>
      <w:snapToGrid w:val="0"/>
      <w:spacing w:beforeLines="25" w:line="240" w:lineRule="auto"/>
      <w:ind w:left="200" w:leftChars="200" w:hanging="200" w:hangingChars="200"/>
      <w:jc w:val="center"/>
    </w:pPr>
    <w:rPr>
      <w:sz w:val="18"/>
      <w:szCs w:val="18"/>
    </w:rPr>
  </w:style>
  <w:style w:type="paragraph" w:customStyle="1" w:styleId="1756">
    <w:name w:val="样式 海南化工城正文 + Times New Roman"/>
    <w:basedOn w:val="784"/>
    <w:link w:val="1757"/>
    <w:qFormat/>
    <w:uiPriority w:val="0"/>
    <w:pPr>
      <w:numPr>
        <w:ilvl w:val="0"/>
        <w:numId w:val="0"/>
      </w:numPr>
      <w:adjustRightInd/>
      <w:snapToGrid/>
      <w:spacing w:line="312" w:lineRule="auto"/>
      <w:ind w:firstLine="200" w:firstLineChars="200"/>
    </w:pPr>
    <w:rPr>
      <w:rFonts w:ascii="Times New Roman" w:hAnsi="Times New Roman"/>
    </w:rPr>
  </w:style>
  <w:style w:type="character" w:customStyle="1" w:styleId="1757">
    <w:name w:val="样式 海南化工城正文 + Times New Roman Char"/>
    <w:link w:val="1756"/>
    <w:qFormat/>
    <w:uiPriority w:val="0"/>
    <w:rPr>
      <w:rFonts w:eastAsia="宋体"/>
      <w:sz w:val="24"/>
      <w:lang w:bidi="ar-SA"/>
    </w:rPr>
  </w:style>
  <w:style w:type="paragraph" w:customStyle="1" w:styleId="1758">
    <w:name w:val="海南椰岛正文"/>
    <w:basedOn w:val="21"/>
    <w:link w:val="1759"/>
    <w:qFormat/>
    <w:uiPriority w:val="0"/>
    <w:pPr>
      <w:tabs>
        <w:tab w:val="clear" w:pos="480"/>
      </w:tabs>
      <w:spacing w:line="312" w:lineRule="auto"/>
      <w:ind w:firstLine="200"/>
    </w:pPr>
    <w:rPr>
      <w:rFonts w:ascii="宋体" w:hAnsi="宋体"/>
      <w:kern w:val="0"/>
      <w:lang w:val="zh-CN"/>
    </w:rPr>
  </w:style>
  <w:style w:type="character" w:customStyle="1" w:styleId="1759">
    <w:name w:val="海南椰岛正文 Char"/>
    <w:link w:val="1758"/>
    <w:qFormat/>
    <w:uiPriority w:val="0"/>
    <w:rPr>
      <w:rFonts w:ascii="宋体" w:hAnsi="宋体" w:eastAsia="宋体"/>
      <w:sz w:val="24"/>
      <w:szCs w:val="24"/>
      <w:lang w:bidi="ar-SA"/>
    </w:rPr>
  </w:style>
  <w:style w:type="paragraph" w:customStyle="1" w:styleId="1760">
    <w:name w:val="东方工业区"/>
    <w:basedOn w:val="784"/>
    <w:link w:val="1761"/>
    <w:qFormat/>
    <w:uiPriority w:val="0"/>
    <w:pPr>
      <w:numPr>
        <w:numId w:val="0"/>
      </w:numPr>
      <w:adjustRightInd/>
      <w:snapToGrid/>
      <w:ind w:firstLine="480" w:firstLineChars="200"/>
    </w:pPr>
  </w:style>
  <w:style w:type="character" w:customStyle="1" w:styleId="1761">
    <w:name w:val="东方工业区 Char"/>
    <w:link w:val="1760"/>
    <w:qFormat/>
    <w:uiPriority w:val="0"/>
    <w:rPr>
      <w:rFonts w:ascii="宋体" w:hAnsi="宋体"/>
      <w:sz w:val="24"/>
    </w:rPr>
  </w:style>
  <w:style w:type="paragraph" w:customStyle="1" w:styleId="1762">
    <w:name w:val="样式 海南化工城正文 + 加宽量  1 磅"/>
    <w:basedOn w:val="784"/>
    <w:link w:val="1763"/>
    <w:qFormat/>
    <w:uiPriority w:val="0"/>
    <w:pPr>
      <w:numPr>
        <w:ilvl w:val="0"/>
        <w:numId w:val="0"/>
      </w:numPr>
      <w:adjustRightInd/>
      <w:snapToGrid/>
      <w:spacing w:line="312" w:lineRule="auto"/>
      <w:ind w:firstLine="200" w:firstLineChars="200"/>
    </w:pPr>
    <w:rPr>
      <w:spacing w:val="20"/>
      <w:szCs w:val="24"/>
    </w:rPr>
  </w:style>
  <w:style w:type="character" w:customStyle="1" w:styleId="1763">
    <w:name w:val="样式 海南化工城正文 + 加宽量  1 磅 Char"/>
    <w:link w:val="1762"/>
    <w:qFormat/>
    <w:uiPriority w:val="0"/>
    <w:rPr>
      <w:rFonts w:ascii="宋体" w:hAnsi="宋体" w:eastAsia="宋体"/>
      <w:spacing w:val="20"/>
      <w:sz w:val="24"/>
      <w:szCs w:val="24"/>
      <w:lang w:bidi="ar-SA"/>
    </w:rPr>
  </w:style>
  <w:style w:type="paragraph" w:customStyle="1" w:styleId="1764">
    <w:name w:val="表标题41"/>
    <w:basedOn w:val="1"/>
    <w:semiHidden/>
    <w:qFormat/>
    <w:uiPriority w:val="0"/>
    <w:pPr>
      <w:tabs>
        <w:tab w:val="left" w:pos="1200"/>
        <w:tab w:val="clear" w:pos="480"/>
      </w:tabs>
      <w:spacing w:beforeLines="100" w:line="0" w:lineRule="atLeast"/>
      <w:ind w:left="1200" w:leftChars="400" w:hanging="360" w:hangingChars="200"/>
      <w:jc w:val="center"/>
    </w:pPr>
    <w:rPr>
      <w:rFonts w:eastAsia="黑体"/>
      <w:b/>
      <w:szCs w:val="20"/>
    </w:rPr>
  </w:style>
  <w:style w:type="paragraph" w:customStyle="1" w:styleId="1765">
    <w:name w:val="目录1"/>
    <w:basedOn w:val="1"/>
    <w:next w:val="1"/>
    <w:qFormat/>
    <w:uiPriority w:val="0"/>
    <w:pPr>
      <w:tabs>
        <w:tab w:val="clear" w:pos="480"/>
      </w:tabs>
      <w:spacing w:beforeLines="30" w:afterLines="30" w:line="400" w:lineRule="exact"/>
    </w:pPr>
    <w:rPr>
      <w:rFonts w:ascii="Arial" w:hAnsi="Arial" w:eastAsia="黑体"/>
      <w:spacing w:val="10"/>
      <w:w w:val="90"/>
      <w:kern w:val="21"/>
      <w:szCs w:val="20"/>
    </w:rPr>
  </w:style>
  <w:style w:type="paragraph" w:customStyle="1" w:styleId="1766">
    <w:name w:val="样式 标题 2 + 左侧:  0 厘米 悬挂缩进: 5.76 字符 段前: 6 磅 段后: 6 磅 行距: 固定值 20..."/>
    <w:basedOn w:val="4"/>
    <w:qFormat/>
    <w:uiPriority w:val="0"/>
    <w:pPr>
      <w:numPr>
        <w:ilvl w:val="0"/>
        <w:numId w:val="0"/>
      </w:numPr>
      <w:tabs>
        <w:tab w:val="clear" w:pos="480"/>
        <w:tab w:val="clear" w:pos="630"/>
      </w:tabs>
      <w:adjustRightInd w:val="0"/>
      <w:snapToGrid w:val="0"/>
      <w:spacing w:before="0" w:line="400" w:lineRule="exact"/>
      <w:ind w:left="576" w:hanging="576"/>
    </w:pPr>
    <w:rPr>
      <w:rFonts w:ascii="Arial" w:hAnsi="Arial" w:eastAsia="黑体"/>
      <w:b w:val="0"/>
      <w:bCs w:val="0"/>
      <w:szCs w:val="20"/>
    </w:rPr>
  </w:style>
  <w:style w:type="character" w:customStyle="1" w:styleId="1767">
    <w:name w:val="样式 题注 + 首行缩进:  2 字符2 Char"/>
    <w:link w:val="1768"/>
    <w:qFormat/>
    <w:locked/>
    <w:uiPriority w:val="0"/>
    <w:rPr>
      <w:rFonts w:ascii="黑体" w:hAnsi="宋体" w:eastAsia="黑体"/>
      <w:sz w:val="24"/>
      <w:lang w:bidi="ar-SA"/>
    </w:rPr>
  </w:style>
  <w:style w:type="paragraph" w:customStyle="1" w:styleId="1768">
    <w:name w:val="样式 题注 + 首行缩进:  2 字符2"/>
    <w:basedOn w:val="22"/>
    <w:link w:val="1767"/>
    <w:qFormat/>
    <w:uiPriority w:val="0"/>
    <w:pPr>
      <w:keepNext/>
      <w:widowControl w:val="0"/>
      <w:spacing w:before="0" w:after="0" w:line="240" w:lineRule="auto"/>
      <w:ind w:firstLine="0" w:firstLineChars="0"/>
    </w:pPr>
    <w:rPr>
      <w:rFonts w:ascii="黑体" w:hAnsi="宋体" w:eastAsia="黑体" w:cs="Times New Roman"/>
      <w:color w:val="auto"/>
      <w:kern w:val="0"/>
      <w:lang w:val="zh-CN"/>
    </w:rPr>
  </w:style>
  <w:style w:type="paragraph" w:customStyle="1" w:styleId="1769">
    <w:name w:val="In Table (II)"/>
    <w:basedOn w:val="1673"/>
    <w:semiHidden/>
    <w:qFormat/>
    <w:uiPriority w:val="0"/>
    <w:pPr>
      <w:spacing w:beforeLines="25" w:afterLines="25"/>
      <w:ind w:left="20" w:leftChars="20"/>
      <w:jc w:val="left"/>
    </w:pPr>
  </w:style>
  <w:style w:type="paragraph" w:customStyle="1" w:styleId="1770">
    <w:name w:val="样式 标题 31.1.1条标题 3 Char Char标题 3 Char标3§1.1.1.. (1.1.1)- ...1"/>
    <w:basedOn w:val="1"/>
    <w:qFormat/>
    <w:uiPriority w:val="0"/>
    <w:pPr>
      <w:tabs>
        <w:tab w:val="left" w:pos="0"/>
        <w:tab w:val="left" w:pos="1260"/>
        <w:tab w:val="clear" w:pos="480"/>
      </w:tabs>
      <w:spacing w:line="312" w:lineRule="auto"/>
      <w:ind w:left="1260" w:hanging="420"/>
    </w:pPr>
    <w:rPr>
      <w:szCs w:val="20"/>
    </w:rPr>
  </w:style>
  <w:style w:type="paragraph" w:customStyle="1" w:styleId="1771">
    <w:name w:val="表－居中列"/>
    <w:basedOn w:val="1"/>
    <w:semiHidden/>
    <w:qFormat/>
    <w:uiPriority w:val="0"/>
    <w:pPr>
      <w:suppressLineNumbers/>
      <w:tabs>
        <w:tab w:val="clear" w:pos="480"/>
      </w:tabs>
      <w:suppressAutoHyphens/>
      <w:snapToGrid w:val="0"/>
      <w:spacing w:before="60" w:after="60" w:line="240" w:lineRule="auto"/>
      <w:jc w:val="center"/>
    </w:pPr>
    <w:rPr>
      <w:kern w:val="0"/>
      <w:sz w:val="21"/>
      <w:szCs w:val="20"/>
      <w:lang w:eastAsia="ja-JP"/>
    </w:rPr>
  </w:style>
  <w:style w:type="paragraph" w:customStyle="1" w:styleId="1772">
    <w:name w:val="8.2.2.1"/>
    <w:basedOn w:val="1"/>
    <w:semiHidden/>
    <w:qFormat/>
    <w:uiPriority w:val="0"/>
    <w:pPr>
      <w:tabs>
        <w:tab w:val="left" w:pos="0"/>
        <w:tab w:val="left" w:pos="720"/>
        <w:tab w:val="clear" w:pos="480"/>
      </w:tabs>
      <w:spacing w:line="312" w:lineRule="auto"/>
    </w:pPr>
    <w:rPr>
      <w:szCs w:val="20"/>
    </w:rPr>
  </w:style>
  <w:style w:type="paragraph" w:customStyle="1" w:styleId="1773">
    <w:name w:val="表格中"/>
    <w:basedOn w:val="66"/>
    <w:semiHidden/>
    <w:qFormat/>
    <w:uiPriority w:val="0"/>
    <w:pPr>
      <w:spacing w:beforeLines="50"/>
      <w:ind w:left="0" w:firstLine="0" w:firstLineChars="0"/>
      <w:jc w:val="center"/>
      <w:outlineLvl w:val="5"/>
    </w:pPr>
    <w:rPr>
      <w:rFonts w:ascii="黑体" w:eastAsia="黑体"/>
      <w:sz w:val="24"/>
      <w:szCs w:val="20"/>
    </w:rPr>
  </w:style>
  <w:style w:type="paragraph" w:customStyle="1" w:styleId="1774">
    <w:name w:val="样式 标题 3 + 左侧:  0 厘米 悬挂缩进: 7.2 字符 段前: 4.65 磅 段后: 6 磅 行距: 固定值 ..."/>
    <w:basedOn w:val="5"/>
    <w:qFormat/>
    <w:uiPriority w:val="0"/>
    <w:pPr>
      <w:numPr>
        <w:ilvl w:val="0"/>
        <w:numId w:val="0"/>
      </w:numPr>
      <w:tabs>
        <w:tab w:val="clear" w:pos="480"/>
        <w:tab w:val="clear" w:pos="840"/>
      </w:tabs>
      <w:spacing w:before="93" w:after="120" w:line="440" w:lineRule="exact"/>
      <w:ind w:left="720" w:hanging="720"/>
    </w:pPr>
    <w:rPr>
      <w:rFonts w:ascii="Times New Roman" w:eastAsia="黑体"/>
      <w:b w:val="0"/>
      <w:bCs w:val="0"/>
      <w:sz w:val="26"/>
      <w:szCs w:val="20"/>
    </w:rPr>
  </w:style>
  <w:style w:type="character" w:customStyle="1" w:styleId="1775">
    <w:name w:val="标准条文 Char Char"/>
    <w:link w:val="1776"/>
    <w:semiHidden/>
    <w:qFormat/>
    <w:locked/>
    <w:uiPriority w:val="0"/>
    <w:rPr>
      <w:rFonts w:eastAsia="Times New Roman"/>
      <w:kern w:val="2"/>
      <w:sz w:val="21"/>
      <w:szCs w:val="22"/>
      <w:lang w:val="en-US" w:eastAsia="zh-CN" w:bidi="ar-SA"/>
    </w:rPr>
  </w:style>
  <w:style w:type="paragraph" w:customStyle="1" w:styleId="1776">
    <w:name w:val="标准条文"/>
    <w:link w:val="1775"/>
    <w:semiHidden/>
    <w:qFormat/>
    <w:uiPriority w:val="0"/>
    <w:pPr>
      <w:spacing w:beforeLines="20" w:afterLines="20" w:line="360" w:lineRule="auto"/>
      <w:ind w:firstLine="200" w:firstLineChars="200"/>
      <w:jc w:val="both"/>
    </w:pPr>
    <w:rPr>
      <w:rFonts w:ascii="Times New Roman" w:hAnsi="Times New Roman" w:eastAsia="Times New Roman" w:cs="Times New Roman"/>
      <w:kern w:val="2"/>
      <w:sz w:val="21"/>
      <w:szCs w:val="22"/>
      <w:lang w:val="en-US" w:eastAsia="zh-CN" w:bidi="ar-SA"/>
    </w:rPr>
  </w:style>
  <w:style w:type="paragraph" w:customStyle="1" w:styleId="1777">
    <w:name w:val="列项及编号"/>
    <w:basedOn w:val="1776"/>
    <w:qFormat/>
    <w:uiPriority w:val="0"/>
    <w:pPr>
      <w:adjustRightInd w:val="0"/>
      <w:snapToGrid w:val="0"/>
      <w:spacing w:line="288" w:lineRule="auto"/>
      <w:ind w:firstLine="0" w:firstLineChars="0"/>
    </w:pPr>
  </w:style>
  <w:style w:type="paragraph" w:customStyle="1" w:styleId="1778">
    <w:name w:val="附图"/>
    <w:basedOn w:val="1"/>
    <w:qFormat/>
    <w:uiPriority w:val="0"/>
    <w:pPr>
      <w:tabs>
        <w:tab w:val="clear" w:pos="480"/>
      </w:tabs>
      <w:spacing w:line="0" w:lineRule="atLeast"/>
      <w:jc w:val="center"/>
    </w:pPr>
    <w:rPr>
      <w:sz w:val="21"/>
      <w:szCs w:val="20"/>
    </w:rPr>
  </w:style>
  <w:style w:type="paragraph" w:customStyle="1" w:styleId="1779">
    <w:name w:val="表8.1-1"/>
    <w:basedOn w:val="1"/>
    <w:semiHidden/>
    <w:qFormat/>
    <w:uiPriority w:val="0"/>
    <w:pPr>
      <w:tabs>
        <w:tab w:val="left" w:pos="425"/>
        <w:tab w:val="left" w:pos="3480"/>
        <w:tab w:val="clear" w:pos="480"/>
      </w:tabs>
      <w:adjustRightInd w:val="0"/>
      <w:snapToGrid w:val="0"/>
      <w:spacing w:beforeLines="100" w:line="0" w:lineRule="atLeast"/>
      <w:ind w:left="3240" w:hanging="425"/>
      <w:jc w:val="center"/>
    </w:pPr>
    <w:rPr>
      <w:rFonts w:ascii="黑体" w:eastAsia="黑体"/>
      <w:b/>
      <w:szCs w:val="20"/>
    </w:rPr>
  </w:style>
  <w:style w:type="paragraph" w:customStyle="1" w:styleId="1780">
    <w:name w:val="样式 四号 行距: 固定值 24 磅"/>
    <w:basedOn w:val="1"/>
    <w:qFormat/>
    <w:uiPriority w:val="0"/>
    <w:pPr>
      <w:tabs>
        <w:tab w:val="clear" w:pos="480"/>
      </w:tabs>
      <w:spacing w:line="480" w:lineRule="exact"/>
      <w:ind w:firstLine="560"/>
    </w:pPr>
    <w:rPr>
      <w:szCs w:val="20"/>
    </w:rPr>
  </w:style>
  <w:style w:type="paragraph" w:customStyle="1" w:styleId="1781">
    <w:name w:val="8.2.1.1 标题 31.1.1条标题 3 Char Char标题 3 Char标3§1.1.1.. (1.1.1)- ...1"/>
    <w:basedOn w:val="1"/>
    <w:semiHidden/>
    <w:qFormat/>
    <w:uiPriority w:val="0"/>
    <w:pPr>
      <w:tabs>
        <w:tab w:val="left" w:pos="0"/>
        <w:tab w:val="left" w:pos="1571"/>
        <w:tab w:val="clear" w:pos="480"/>
      </w:tabs>
      <w:spacing w:line="312" w:lineRule="auto"/>
      <w:ind w:left="1418" w:hanging="567"/>
    </w:pPr>
    <w:rPr>
      <w:szCs w:val="20"/>
    </w:rPr>
  </w:style>
  <w:style w:type="paragraph" w:customStyle="1" w:styleId="1782">
    <w:name w:val="图注、图的脚注"/>
    <w:basedOn w:val="1776"/>
    <w:qFormat/>
    <w:uiPriority w:val="0"/>
    <w:rPr>
      <w:sz w:val="18"/>
    </w:rPr>
  </w:style>
  <w:style w:type="character" w:customStyle="1" w:styleId="1783">
    <w:name w:val="样式 标题 4 + 左侧:  0 厘米 悬挂缩进: 8.64 字符 段前: 6 磅 段后: 6 磅 行距: 单倍行距 Char Char"/>
    <w:link w:val="1784"/>
    <w:qFormat/>
    <w:locked/>
    <w:uiPriority w:val="0"/>
    <w:rPr>
      <w:rFonts w:ascii="Arial" w:hAnsi="Arial" w:eastAsia="黑体"/>
      <w:b/>
      <w:sz w:val="24"/>
      <w:lang w:bidi="ar-SA"/>
    </w:rPr>
  </w:style>
  <w:style w:type="paragraph" w:customStyle="1" w:styleId="1784">
    <w:name w:val="样式 标题 4 + 左侧:  0 厘米 悬挂缩进: 8.64 字符 段前: 6 磅 段后: 6 磅 行距: 单倍行距"/>
    <w:basedOn w:val="6"/>
    <w:link w:val="1783"/>
    <w:qFormat/>
    <w:uiPriority w:val="0"/>
    <w:pPr>
      <w:numPr>
        <w:ilvl w:val="0"/>
        <w:numId w:val="0"/>
      </w:numPr>
      <w:tabs>
        <w:tab w:val="left" w:pos="0"/>
        <w:tab w:val="left" w:pos="2356"/>
        <w:tab w:val="clear" w:pos="480"/>
      </w:tabs>
      <w:adjustRightInd w:val="0"/>
      <w:snapToGrid w:val="0"/>
      <w:spacing w:before="120" w:after="120" w:line="312" w:lineRule="auto"/>
      <w:ind w:left="1984" w:hanging="708"/>
    </w:pPr>
    <w:rPr>
      <w:rFonts w:ascii="Arial" w:hAnsi="Arial" w:eastAsia="黑体"/>
      <w:bCs w:val="0"/>
      <w:kern w:val="0"/>
      <w:sz w:val="24"/>
      <w:szCs w:val="20"/>
    </w:rPr>
  </w:style>
  <w:style w:type="paragraph" w:customStyle="1" w:styleId="1785">
    <w:name w:val="标题 4(1).H41.1.1.1标题 4.1.1.1.1标题 4 Char款四级标题，黑粗，小四，序号h..."/>
    <w:basedOn w:val="6"/>
    <w:semiHidden/>
    <w:qFormat/>
    <w:uiPriority w:val="0"/>
    <w:pPr>
      <w:keepNext w:val="0"/>
      <w:keepLines w:val="0"/>
      <w:numPr>
        <w:ilvl w:val="0"/>
        <w:numId w:val="0"/>
      </w:numPr>
      <w:tabs>
        <w:tab w:val="clear" w:pos="480"/>
      </w:tabs>
      <w:adjustRightInd w:val="0"/>
      <w:snapToGrid w:val="0"/>
      <w:spacing w:before="120" w:after="120"/>
    </w:pPr>
    <w:rPr>
      <w:rFonts w:ascii="Times New Roman" w:hAnsi="Times New Roman" w:eastAsia="华文楷体"/>
      <w:bCs w:val="0"/>
      <w:kern w:val="0"/>
      <w:szCs w:val="20"/>
    </w:rPr>
  </w:style>
  <w:style w:type="paragraph" w:customStyle="1" w:styleId="1786">
    <w:name w:val="标题4."/>
    <w:basedOn w:val="6"/>
    <w:semiHidden/>
    <w:qFormat/>
    <w:uiPriority w:val="0"/>
    <w:pPr>
      <w:numPr>
        <w:ilvl w:val="0"/>
        <w:numId w:val="0"/>
      </w:numPr>
      <w:tabs>
        <w:tab w:val="left" w:pos="1800"/>
        <w:tab w:val="clear" w:pos="480"/>
      </w:tabs>
      <w:adjustRightInd w:val="0"/>
      <w:snapToGrid w:val="0"/>
      <w:spacing w:before="120" w:after="120" w:line="312" w:lineRule="auto"/>
      <w:ind w:left="851" w:hanging="851"/>
    </w:pPr>
    <w:rPr>
      <w:rFonts w:ascii="Times New Roman" w:hAnsi="Times New Roman" w:eastAsia="黑体"/>
      <w:bCs w:val="0"/>
      <w:kern w:val="0"/>
      <w:szCs w:val="20"/>
    </w:rPr>
  </w:style>
  <w:style w:type="paragraph" w:customStyle="1" w:styleId="1787">
    <w:name w:val="调研内容"/>
    <w:basedOn w:val="1"/>
    <w:qFormat/>
    <w:uiPriority w:val="0"/>
    <w:pPr>
      <w:tabs>
        <w:tab w:val="clear" w:pos="480"/>
      </w:tabs>
    </w:pPr>
    <w:rPr>
      <w:sz w:val="21"/>
      <w:szCs w:val="20"/>
    </w:rPr>
  </w:style>
  <w:style w:type="paragraph" w:customStyle="1" w:styleId="1788">
    <w:name w:val="T表格"/>
    <w:qFormat/>
    <w:uiPriority w:val="0"/>
    <w:pPr>
      <w:widowControl w:val="0"/>
      <w:jc w:val="center"/>
    </w:pPr>
    <w:rPr>
      <w:rFonts w:ascii="仿宋_GB2312" w:hAnsi="Times New Roman" w:eastAsia="仿宋_GB2312" w:cs="Times New Roman"/>
      <w:color w:val="000000"/>
      <w:kern w:val="2"/>
      <w:sz w:val="24"/>
      <w:szCs w:val="24"/>
      <w:lang w:val="en-US" w:eastAsia="zh-CN" w:bidi="ar-SA"/>
    </w:rPr>
  </w:style>
  <w:style w:type="paragraph" w:customStyle="1" w:styleId="1789">
    <w:name w:val="表格文字居中 Char"/>
    <w:basedOn w:val="85"/>
    <w:semiHidden/>
    <w:qFormat/>
    <w:uiPriority w:val="0"/>
    <w:pPr>
      <w:tabs>
        <w:tab w:val="left" w:pos="628"/>
        <w:tab w:val="left" w:pos="1727"/>
        <w:tab w:val="left" w:pos="1884"/>
        <w:tab w:val="left" w:pos="2660"/>
        <w:tab w:val="left" w:pos="5460"/>
      </w:tabs>
      <w:snapToGrid w:val="0"/>
      <w:spacing w:after="0" w:line="320" w:lineRule="exact"/>
      <w:ind w:firstLine="0" w:firstLineChars="0"/>
    </w:pPr>
    <w:rPr>
      <w:rFonts w:ascii="宋体" w:hAnsi="宋体"/>
      <w:color w:val="FF0000"/>
      <w:kern w:val="0"/>
      <w:szCs w:val="20"/>
    </w:rPr>
  </w:style>
  <w:style w:type="character" w:customStyle="1" w:styleId="1790">
    <w:name w:val="样式 表标8.2 + 黑体 四号 Char"/>
    <w:link w:val="1791"/>
    <w:qFormat/>
    <w:locked/>
    <w:uiPriority w:val="0"/>
    <w:rPr>
      <w:rFonts w:ascii="黑体" w:hAnsi="黑体" w:eastAsia="黑体"/>
      <w:b/>
      <w:color w:val="000000"/>
      <w:sz w:val="28"/>
      <w:lang w:bidi="ar-SA"/>
    </w:rPr>
  </w:style>
  <w:style w:type="paragraph" w:customStyle="1" w:styleId="1791">
    <w:name w:val="样式 表标8.2 + 黑体 四号"/>
    <w:basedOn w:val="1"/>
    <w:link w:val="1790"/>
    <w:qFormat/>
    <w:uiPriority w:val="0"/>
    <w:pPr>
      <w:widowControl/>
      <w:tabs>
        <w:tab w:val="left" w:pos="360"/>
        <w:tab w:val="left" w:pos="8207"/>
        <w:tab w:val="clear" w:pos="480"/>
      </w:tabs>
      <w:adjustRightInd w:val="0"/>
      <w:snapToGrid w:val="0"/>
      <w:spacing w:before="120" w:line="0" w:lineRule="atLeast"/>
      <w:ind w:left="360" w:hanging="200" w:hangingChars="200"/>
      <w:jc w:val="center"/>
    </w:pPr>
    <w:rPr>
      <w:rFonts w:ascii="黑体" w:hAnsi="黑体" w:eastAsia="黑体"/>
      <w:b/>
      <w:color w:val="000000"/>
      <w:kern w:val="0"/>
      <w:sz w:val="28"/>
      <w:szCs w:val="20"/>
      <w:lang w:val="zh-CN"/>
    </w:rPr>
  </w:style>
  <w:style w:type="character" w:customStyle="1" w:styleId="1792">
    <w:name w:val="Char Char13"/>
    <w:semiHidden/>
    <w:qFormat/>
    <w:uiPriority w:val="0"/>
    <w:rPr>
      <w:b/>
      <w:kern w:val="44"/>
      <w:sz w:val="44"/>
    </w:rPr>
  </w:style>
  <w:style w:type="character" w:customStyle="1" w:styleId="1793">
    <w:name w:val="bt1"/>
    <w:semiHidden/>
    <w:qFormat/>
    <w:uiPriority w:val="0"/>
    <w:rPr>
      <w:color w:val="000000"/>
    </w:rPr>
  </w:style>
  <w:style w:type="paragraph" w:customStyle="1" w:styleId="1794">
    <w:name w:val="样式 表格文字居中 Char + 自动设置"/>
    <w:basedOn w:val="1789"/>
    <w:qFormat/>
    <w:uiPriority w:val="0"/>
    <w:rPr>
      <w:color w:val="000000"/>
    </w:rPr>
  </w:style>
  <w:style w:type="paragraph" w:customStyle="1" w:styleId="1795">
    <w:name w:val="报告书正文"/>
    <w:basedOn w:val="1"/>
    <w:link w:val="3608"/>
    <w:qFormat/>
    <w:uiPriority w:val="0"/>
    <w:pPr>
      <w:tabs>
        <w:tab w:val="clear" w:pos="480"/>
      </w:tabs>
      <w:adjustRightInd w:val="0"/>
      <w:snapToGrid w:val="0"/>
      <w:spacing w:line="300" w:lineRule="auto"/>
    </w:pPr>
    <w:rPr>
      <w:rFonts w:ascii="宋体"/>
      <w:sz w:val="28"/>
    </w:rPr>
  </w:style>
  <w:style w:type="paragraph" w:customStyle="1" w:styleId="1796">
    <w:name w:val="zw"/>
    <w:basedOn w:val="1"/>
    <w:semiHidden/>
    <w:qFormat/>
    <w:uiPriority w:val="0"/>
    <w:pPr>
      <w:widowControl/>
      <w:tabs>
        <w:tab w:val="clear" w:pos="480"/>
      </w:tabs>
      <w:spacing w:before="30" w:line="240" w:lineRule="auto"/>
      <w:ind w:left="100" w:right="100"/>
    </w:pPr>
    <w:rPr>
      <w:rFonts w:ascii="方正书宋简体" w:hAnsi="宋体" w:eastAsia="方正书宋简体"/>
      <w:color w:val="000000"/>
      <w:kern w:val="0"/>
      <w:sz w:val="21"/>
      <w:szCs w:val="21"/>
    </w:rPr>
  </w:style>
  <w:style w:type="table" w:customStyle="1" w:styleId="1797">
    <w:name w:val="表格样式2"/>
    <w:basedOn w:val="87"/>
    <w:semiHidden/>
    <w:qFormat/>
    <w:uiPriority w:val="0"/>
    <w:pPr>
      <w:snapToGrid w:val="0"/>
      <w:spacing w:beforeLines="50" w:afterLines="25" w:line="312" w:lineRule="auto"/>
      <w:ind w:firstLine="200" w:firstLineChars="200"/>
    </w:pPr>
    <w:rPr>
      <w:rFonts w:hAnsi="宋体" w:cs="宋体"/>
      <w:b/>
    </w:rPr>
  </w:style>
  <w:style w:type="table" w:customStyle="1" w:styleId="1798">
    <w:name w:val="三线表1"/>
    <w:basedOn w:val="87"/>
    <w:qFormat/>
    <w:uiPriority w:val="0"/>
    <w:pPr>
      <w:widowControl w:val="0"/>
      <w:spacing w:before="60" w:after="60" w:line="340" w:lineRule="exact"/>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799">
    <w:name w:val="t_tag"/>
    <w:basedOn w:val="132"/>
    <w:semiHidden/>
    <w:qFormat/>
    <w:uiPriority w:val="0"/>
  </w:style>
  <w:style w:type="paragraph" w:customStyle="1" w:styleId="1800">
    <w:name w:val="表标题4"/>
    <w:basedOn w:val="1"/>
    <w:semiHidden/>
    <w:qFormat/>
    <w:uiPriority w:val="0"/>
    <w:pPr>
      <w:tabs>
        <w:tab w:val="clear" w:pos="480"/>
      </w:tabs>
      <w:autoSpaceDE w:val="0"/>
      <w:autoSpaceDN w:val="0"/>
      <w:adjustRightInd w:val="0"/>
      <w:snapToGrid w:val="0"/>
      <w:spacing w:before="180" w:after="120" w:line="408" w:lineRule="atLeast"/>
      <w:jc w:val="center"/>
      <w:textAlignment w:val="baseline"/>
    </w:pPr>
    <w:rPr>
      <w:b/>
      <w:spacing w:val="2"/>
      <w:kern w:val="0"/>
      <w:sz w:val="28"/>
      <w:szCs w:val="20"/>
    </w:rPr>
  </w:style>
  <w:style w:type="paragraph" w:customStyle="1" w:styleId="1801">
    <w:name w:val="表标题3"/>
    <w:basedOn w:val="1"/>
    <w:semiHidden/>
    <w:qFormat/>
    <w:uiPriority w:val="0"/>
    <w:pPr>
      <w:tabs>
        <w:tab w:val="clear" w:pos="480"/>
      </w:tabs>
      <w:autoSpaceDE w:val="0"/>
      <w:autoSpaceDN w:val="0"/>
      <w:adjustRightInd w:val="0"/>
      <w:snapToGrid w:val="0"/>
      <w:spacing w:before="180" w:after="120" w:line="408" w:lineRule="atLeast"/>
      <w:jc w:val="center"/>
      <w:textAlignment w:val="baseline"/>
    </w:pPr>
    <w:rPr>
      <w:b/>
      <w:spacing w:val="2"/>
      <w:kern w:val="0"/>
      <w:sz w:val="28"/>
      <w:szCs w:val="20"/>
    </w:rPr>
  </w:style>
  <w:style w:type="paragraph" w:customStyle="1" w:styleId="1802">
    <w:name w:val="Char Char Char12"/>
    <w:basedOn w:val="1"/>
    <w:semiHidden/>
    <w:qFormat/>
    <w:uiPriority w:val="0"/>
    <w:pPr>
      <w:tabs>
        <w:tab w:val="clear" w:pos="480"/>
      </w:tabs>
      <w:adjustRightInd w:val="0"/>
      <w:snapToGrid w:val="0"/>
      <w:spacing w:line="400" w:lineRule="exact"/>
    </w:pPr>
    <w:rPr>
      <w:szCs w:val="20"/>
    </w:rPr>
  </w:style>
  <w:style w:type="paragraph" w:customStyle="1" w:styleId="1803">
    <w:name w:val="Char Char3"/>
    <w:basedOn w:val="1"/>
    <w:semiHidden/>
    <w:qFormat/>
    <w:uiPriority w:val="0"/>
    <w:pPr>
      <w:tabs>
        <w:tab w:val="clear" w:pos="480"/>
      </w:tabs>
      <w:adjustRightInd w:val="0"/>
      <w:snapToGrid w:val="0"/>
      <w:spacing w:line="400" w:lineRule="exact"/>
    </w:pPr>
    <w:rPr>
      <w:szCs w:val="20"/>
    </w:rPr>
  </w:style>
  <w:style w:type="paragraph" w:customStyle="1" w:styleId="1804">
    <w:name w:val="Char Char Char Char2"/>
    <w:basedOn w:val="1"/>
    <w:qFormat/>
    <w:uiPriority w:val="0"/>
    <w:pPr>
      <w:tabs>
        <w:tab w:val="clear" w:pos="480"/>
      </w:tabs>
      <w:spacing w:line="240" w:lineRule="auto"/>
    </w:pPr>
    <w:rPr>
      <w:sz w:val="21"/>
    </w:rPr>
  </w:style>
  <w:style w:type="paragraph" w:customStyle="1" w:styleId="1805">
    <w:name w:val="Char Char Char2 Char Char Char1"/>
    <w:basedOn w:val="1"/>
    <w:semiHidden/>
    <w:qFormat/>
    <w:uiPriority w:val="0"/>
    <w:pPr>
      <w:tabs>
        <w:tab w:val="clear" w:pos="480"/>
      </w:tabs>
      <w:spacing w:line="240" w:lineRule="auto"/>
    </w:pPr>
  </w:style>
  <w:style w:type="paragraph" w:customStyle="1" w:styleId="1806">
    <w:name w:val="Char1 Char Char1"/>
    <w:basedOn w:val="1"/>
    <w:semiHidden/>
    <w:qFormat/>
    <w:uiPriority w:val="0"/>
    <w:pPr>
      <w:tabs>
        <w:tab w:val="clear" w:pos="480"/>
      </w:tabs>
    </w:pPr>
    <w:rPr>
      <w:rFonts w:ascii="宋体" w:hAnsi="宋体" w:cs="宋体"/>
    </w:rPr>
  </w:style>
  <w:style w:type="paragraph" w:customStyle="1" w:styleId="1807">
    <w:name w:val="Char Char Char Char Char Char Char2"/>
    <w:basedOn w:val="1"/>
    <w:semiHidden/>
    <w:qFormat/>
    <w:uiPriority w:val="0"/>
    <w:pPr>
      <w:tabs>
        <w:tab w:val="clear" w:pos="480"/>
      </w:tabs>
      <w:spacing w:line="240" w:lineRule="auto"/>
    </w:pPr>
    <w:rPr>
      <w:sz w:val="21"/>
    </w:rPr>
  </w:style>
  <w:style w:type="paragraph" w:customStyle="1" w:styleId="1808">
    <w:name w:val="Char Char Char Char Char Char1"/>
    <w:basedOn w:val="1"/>
    <w:semiHidden/>
    <w:qFormat/>
    <w:uiPriority w:val="0"/>
    <w:pPr>
      <w:tabs>
        <w:tab w:val="clear" w:pos="480"/>
      </w:tabs>
      <w:spacing w:line="240" w:lineRule="auto"/>
    </w:pPr>
    <w:rPr>
      <w:sz w:val="21"/>
    </w:rPr>
  </w:style>
  <w:style w:type="paragraph" w:customStyle="1" w:styleId="1809">
    <w:name w:val="zwb-正文"/>
    <w:basedOn w:val="1"/>
    <w:link w:val="1813"/>
    <w:semiHidden/>
    <w:qFormat/>
    <w:uiPriority w:val="0"/>
    <w:pPr>
      <w:tabs>
        <w:tab w:val="clear" w:pos="480"/>
      </w:tabs>
      <w:ind w:firstLine="480"/>
    </w:pPr>
    <w:rPr>
      <w:kern w:val="0"/>
      <w:lang w:val="zh-CN"/>
    </w:rPr>
  </w:style>
  <w:style w:type="paragraph" w:customStyle="1" w:styleId="1810">
    <w:name w:val="zwb-图表标题"/>
    <w:basedOn w:val="1"/>
    <w:semiHidden/>
    <w:qFormat/>
    <w:uiPriority w:val="0"/>
    <w:pPr>
      <w:tabs>
        <w:tab w:val="clear" w:pos="480"/>
      </w:tabs>
      <w:jc w:val="center"/>
    </w:pPr>
    <w:rPr>
      <w:b/>
    </w:rPr>
  </w:style>
  <w:style w:type="table" w:customStyle="1" w:styleId="1811">
    <w:name w:val="zwb-表格"/>
    <w:basedOn w:val="87"/>
    <w:semiHidden/>
    <w:qFormat/>
    <w:uiPriority w:val="0"/>
    <w:pPr>
      <w:widowControl w:val="0"/>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28" w:type="dxa"/>
        <w:right w:w="28" w:type="dxa"/>
      </w:tblCellMar>
    </w:tblPr>
    <w:tcPr>
      <w:vAlign w:val="center"/>
    </w:tcPr>
  </w:style>
  <w:style w:type="paragraph" w:customStyle="1" w:styleId="1812">
    <w:name w:val="Char Char Char1 Char Char Char Char Char Char Char Char Char Char Char Char Char Char Char Char Char Char Char"/>
    <w:basedOn w:val="1"/>
    <w:semiHidden/>
    <w:qFormat/>
    <w:uiPriority w:val="0"/>
    <w:pPr>
      <w:tabs>
        <w:tab w:val="left" w:pos="360"/>
        <w:tab w:val="clear" w:pos="480"/>
      </w:tabs>
      <w:spacing w:afterLines="20" w:line="324" w:lineRule="auto"/>
    </w:pPr>
    <w:rPr>
      <w:rFonts w:ascii="Verdana" w:hAnsi="Verdana" w:eastAsia="黑体"/>
      <w:b/>
      <w:kern w:val="0"/>
      <w:sz w:val="32"/>
      <w:szCs w:val="20"/>
      <w:lang w:eastAsia="en-US"/>
    </w:rPr>
  </w:style>
  <w:style w:type="character" w:customStyle="1" w:styleId="1813">
    <w:name w:val="zwb-正文 Char"/>
    <w:link w:val="1809"/>
    <w:qFormat/>
    <w:uiPriority w:val="0"/>
    <w:rPr>
      <w:rFonts w:eastAsia="宋体"/>
      <w:sz w:val="24"/>
      <w:szCs w:val="24"/>
      <w:lang w:bidi="ar-SA"/>
    </w:rPr>
  </w:style>
  <w:style w:type="paragraph" w:customStyle="1" w:styleId="1814">
    <w:name w:val="丽洁表头"/>
    <w:basedOn w:val="1596"/>
    <w:link w:val="1815"/>
    <w:qFormat/>
    <w:uiPriority w:val="0"/>
  </w:style>
  <w:style w:type="character" w:customStyle="1" w:styleId="1815">
    <w:name w:val="丽洁表头 Char"/>
    <w:link w:val="1814"/>
    <w:qFormat/>
    <w:uiPriority w:val="0"/>
    <w:rPr>
      <w:rFonts w:eastAsia="黑体"/>
      <w:b/>
      <w:spacing w:val="10"/>
      <w:sz w:val="24"/>
      <w:lang w:bidi="ar-SA"/>
    </w:rPr>
  </w:style>
  <w:style w:type="paragraph" w:customStyle="1" w:styleId="1816">
    <w:name w:val="Char Char Char Char Char Char Char Char Char Char Char Char Char Char Char Char Char Char Char Char Char Char Char Char Char Char Char Char"/>
    <w:semiHidden/>
    <w:qFormat/>
    <w:uiPriority w:val="0"/>
    <w:pPr>
      <w:spacing w:line="360" w:lineRule="auto"/>
      <w:ind w:firstLine="200" w:firstLineChars="200"/>
      <w:jc w:val="both"/>
    </w:pPr>
    <w:rPr>
      <w:rFonts w:ascii="宋体" w:hAnsi="宋体" w:eastAsia="宋体" w:cs="宋体"/>
      <w:kern w:val="2"/>
      <w:sz w:val="24"/>
      <w:szCs w:val="24"/>
      <w:lang w:val="en-US" w:eastAsia="zh-CN" w:bidi="ar-SA"/>
    </w:rPr>
  </w:style>
  <w:style w:type="character" w:customStyle="1" w:styleId="1817">
    <w:name w:val="佛表 Char"/>
    <w:link w:val="221"/>
    <w:qFormat/>
    <w:uiPriority w:val="0"/>
    <w:rPr>
      <w:rFonts w:eastAsia="宋体"/>
      <w:color w:val="000000"/>
      <w:kern w:val="2"/>
      <w:sz w:val="21"/>
      <w:szCs w:val="21"/>
      <w:lang w:val="en-US" w:eastAsia="zh-CN" w:bidi="ar-SA"/>
    </w:rPr>
  </w:style>
  <w:style w:type="paragraph" w:customStyle="1" w:styleId="1818">
    <w:name w:val="样式 标题 4标题 4 Char Char Char Char Char Char Char Char Char Char C..."/>
    <w:basedOn w:val="6"/>
    <w:qFormat/>
    <w:uiPriority w:val="0"/>
    <w:pPr>
      <w:keepNext w:val="0"/>
      <w:keepLines w:val="0"/>
      <w:numPr>
        <w:ilvl w:val="0"/>
        <w:numId w:val="0"/>
      </w:numPr>
      <w:tabs>
        <w:tab w:val="clear" w:pos="480"/>
      </w:tabs>
      <w:spacing w:before="0" w:after="0" w:line="312" w:lineRule="auto"/>
      <w:jc w:val="center"/>
      <w:outlineLvl w:val="9"/>
    </w:pPr>
    <w:rPr>
      <w:rFonts w:ascii="Times New Roman" w:hAnsi="Times New Roman" w:eastAsia="宋体"/>
      <w:b w:val="0"/>
      <w:bCs w:val="0"/>
      <w:kern w:val="0"/>
      <w:sz w:val="21"/>
      <w:szCs w:val="24"/>
    </w:rPr>
  </w:style>
  <w:style w:type="paragraph" w:customStyle="1" w:styleId="1819">
    <w:name w:val="正文小四首缩1.3行距"/>
    <w:basedOn w:val="1"/>
    <w:link w:val="1820"/>
    <w:qFormat/>
    <w:uiPriority w:val="0"/>
    <w:pPr>
      <w:tabs>
        <w:tab w:val="clear" w:pos="480"/>
      </w:tabs>
      <w:spacing w:line="312" w:lineRule="auto"/>
      <w:ind w:firstLine="420"/>
    </w:pPr>
    <w:rPr>
      <w:rFonts w:ascii="Calibri" w:hAnsi="Calibri"/>
      <w:kern w:val="0"/>
      <w:lang w:val="zh-CN"/>
    </w:rPr>
  </w:style>
  <w:style w:type="character" w:customStyle="1" w:styleId="1820">
    <w:name w:val="正文小四首缩1.3行距 Char"/>
    <w:link w:val="1819"/>
    <w:qFormat/>
    <w:uiPriority w:val="0"/>
    <w:rPr>
      <w:rFonts w:ascii="Calibri" w:hAnsi="Calibri" w:eastAsia="宋体"/>
      <w:sz w:val="24"/>
      <w:szCs w:val="24"/>
      <w:lang w:bidi="ar-SA"/>
    </w:rPr>
  </w:style>
  <w:style w:type="character" w:customStyle="1" w:styleId="1821">
    <w:name w:val="表格new Char"/>
    <w:link w:val="797"/>
    <w:qFormat/>
    <w:uiPriority w:val="0"/>
    <w:rPr>
      <w:rFonts w:eastAsia="宋体"/>
      <w:szCs w:val="21"/>
      <w:lang w:bidi="ar-SA"/>
    </w:rPr>
  </w:style>
  <w:style w:type="paragraph" w:customStyle="1" w:styleId="1822">
    <w:name w:val="Char5"/>
    <w:basedOn w:val="1"/>
    <w:semiHidden/>
    <w:qFormat/>
    <w:uiPriority w:val="0"/>
    <w:pPr>
      <w:tabs>
        <w:tab w:val="clear" w:pos="480"/>
      </w:tabs>
      <w:spacing w:line="240" w:lineRule="auto"/>
    </w:pPr>
    <w:rPr>
      <w:sz w:val="21"/>
    </w:rPr>
  </w:style>
  <w:style w:type="paragraph" w:customStyle="1" w:styleId="1823">
    <w:name w:val="正文7"/>
    <w:basedOn w:val="1"/>
    <w:semiHidden/>
    <w:qFormat/>
    <w:uiPriority w:val="0"/>
    <w:pPr>
      <w:widowControl/>
      <w:tabs>
        <w:tab w:val="clear" w:pos="480"/>
      </w:tabs>
      <w:overflowPunct w:val="0"/>
      <w:autoSpaceDE w:val="0"/>
      <w:autoSpaceDN w:val="0"/>
      <w:adjustRightInd w:val="0"/>
      <w:textAlignment w:val="baseline"/>
    </w:pPr>
    <w:rPr>
      <w:rFonts w:ascii="楷体" w:eastAsia="楷体"/>
      <w:kern w:val="0"/>
      <w:sz w:val="28"/>
      <w:szCs w:val="20"/>
      <w:lang w:val="en-GB"/>
    </w:rPr>
  </w:style>
  <w:style w:type="paragraph" w:customStyle="1" w:styleId="1824">
    <w:name w:val="表头 1"/>
    <w:basedOn w:val="3"/>
    <w:next w:val="1"/>
    <w:qFormat/>
    <w:uiPriority w:val="0"/>
    <w:pPr>
      <w:numPr>
        <w:numId w:val="0"/>
      </w:numPr>
      <w:tabs>
        <w:tab w:val="left" w:pos="3600"/>
        <w:tab w:val="clear" w:pos="480"/>
      </w:tabs>
      <w:adjustRightInd w:val="0"/>
      <w:spacing w:before="0" w:after="0" w:line="240" w:lineRule="auto"/>
      <w:ind w:right="-108"/>
      <w:textAlignment w:val="baseline"/>
      <w:outlineLvl w:val="9"/>
    </w:pPr>
    <w:rPr>
      <w:rFonts w:ascii="Times New Roman" w:eastAsia="长城仿宋"/>
      <w:b w:val="0"/>
      <w:bCs w:val="0"/>
      <w:color w:val="008080"/>
      <w:sz w:val="28"/>
      <w:szCs w:val="20"/>
    </w:rPr>
  </w:style>
  <w:style w:type="paragraph" w:customStyle="1" w:styleId="1825">
    <w:name w:val="正文报告"/>
    <w:basedOn w:val="1"/>
    <w:qFormat/>
    <w:uiPriority w:val="0"/>
    <w:pPr>
      <w:tabs>
        <w:tab w:val="left" w:pos="510"/>
        <w:tab w:val="clear" w:pos="480"/>
      </w:tabs>
      <w:adjustRightInd w:val="0"/>
      <w:spacing w:line="460" w:lineRule="exact"/>
      <w:ind w:firstLine="482"/>
      <w:textAlignment w:val="baseline"/>
    </w:pPr>
    <w:rPr>
      <w:kern w:val="0"/>
      <w:szCs w:val="20"/>
    </w:rPr>
  </w:style>
  <w:style w:type="paragraph" w:customStyle="1" w:styleId="1826">
    <w:name w:val="biao"/>
    <w:basedOn w:val="1"/>
    <w:semiHidden/>
    <w:qFormat/>
    <w:uiPriority w:val="0"/>
    <w:pPr>
      <w:tabs>
        <w:tab w:val="left" w:pos="720"/>
        <w:tab w:val="left" w:pos="2340"/>
        <w:tab w:val="clear" w:pos="480"/>
      </w:tabs>
      <w:autoSpaceDE w:val="0"/>
      <w:autoSpaceDN w:val="0"/>
      <w:adjustRightInd w:val="0"/>
      <w:spacing w:line="240" w:lineRule="atLeast"/>
      <w:jc w:val="center"/>
    </w:pPr>
    <w:rPr>
      <w:rFonts w:hint="eastAsia" w:ascii="黑体" w:hAnsi="Tms Rmn" w:eastAsia="黑体"/>
      <w:kern w:val="0"/>
      <w:sz w:val="30"/>
      <w:szCs w:val="20"/>
    </w:rPr>
  </w:style>
  <w:style w:type="paragraph" w:customStyle="1" w:styleId="1827">
    <w:name w:val="样式  + 宋体"/>
    <w:basedOn w:val="1"/>
    <w:qFormat/>
    <w:uiPriority w:val="0"/>
    <w:pPr>
      <w:tabs>
        <w:tab w:val="left" w:pos="600"/>
        <w:tab w:val="clear" w:pos="480"/>
      </w:tabs>
    </w:pPr>
    <w:rPr>
      <w:rFonts w:ascii="宋体" w:hAnsi="宋体"/>
      <w:color w:val="000000"/>
    </w:rPr>
  </w:style>
  <w:style w:type="paragraph" w:customStyle="1" w:styleId="1828">
    <w:name w:val="质量手册小标题"/>
    <w:basedOn w:val="1"/>
    <w:qFormat/>
    <w:uiPriority w:val="0"/>
    <w:pPr>
      <w:tabs>
        <w:tab w:val="left" w:pos="425"/>
        <w:tab w:val="clear" w:pos="480"/>
      </w:tabs>
      <w:spacing w:line="240" w:lineRule="auto"/>
    </w:pPr>
    <w:rPr>
      <w:rFonts w:ascii="宋体" w:hAnsi="Courier New" w:cs="Courier New"/>
      <w:sz w:val="21"/>
      <w:szCs w:val="21"/>
    </w:rPr>
  </w:style>
  <w:style w:type="paragraph" w:customStyle="1" w:styleId="1829">
    <w:name w:val="组织设计正文"/>
    <w:basedOn w:val="1"/>
    <w:qFormat/>
    <w:uiPriority w:val="0"/>
    <w:pPr>
      <w:tabs>
        <w:tab w:val="clear" w:pos="480"/>
      </w:tabs>
      <w:spacing w:after="100" w:afterAutospacing="1" w:line="240" w:lineRule="auto"/>
    </w:pPr>
    <w:rPr>
      <w:rFonts w:ascii="宋体" w:hAnsi="宋体"/>
      <w:szCs w:val="28"/>
    </w:rPr>
  </w:style>
  <w:style w:type="paragraph" w:customStyle="1" w:styleId="1830">
    <w:name w:val="二级标题T2"/>
    <w:basedOn w:val="4"/>
    <w:qFormat/>
    <w:uiPriority w:val="0"/>
    <w:pPr>
      <w:spacing w:before="0" w:after="0"/>
    </w:pPr>
    <w:rPr>
      <w:rFonts w:cs="宋体"/>
      <w:color w:val="000000"/>
      <w:szCs w:val="20"/>
    </w:rPr>
  </w:style>
  <w:style w:type="paragraph" w:customStyle="1" w:styleId="1831">
    <w:name w:val="三级标题T3"/>
    <w:basedOn w:val="5"/>
    <w:link w:val="1832"/>
    <w:qFormat/>
    <w:uiPriority w:val="0"/>
    <w:pPr>
      <w:spacing w:before="0" w:after="0" w:line="360" w:lineRule="auto"/>
    </w:pPr>
    <w:rPr>
      <w:rFonts w:ascii="Times New Roman" w:eastAsia="宋体"/>
      <w:color w:val="000000"/>
    </w:rPr>
  </w:style>
  <w:style w:type="character" w:customStyle="1" w:styleId="1832">
    <w:name w:val="三级标题T3 Char"/>
    <w:link w:val="1831"/>
    <w:qFormat/>
    <w:uiPriority w:val="0"/>
    <w:rPr>
      <w:b/>
      <w:bCs/>
      <w:color w:val="000000"/>
      <w:kern w:val="2"/>
      <w:sz w:val="30"/>
      <w:szCs w:val="32"/>
      <w:lang w:val="zh-CN"/>
    </w:rPr>
  </w:style>
  <w:style w:type="paragraph" w:customStyle="1" w:styleId="1833">
    <w:name w:val="正文 首行缩进:  2 字符 Char"/>
    <w:basedOn w:val="1"/>
    <w:link w:val="1834"/>
    <w:semiHidden/>
    <w:qFormat/>
    <w:uiPriority w:val="0"/>
    <w:pPr>
      <w:tabs>
        <w:tab w:val="clear" w:pos="480"/>
      </w:tabs>
      <w:spacing w:line="520" w:lineRule="exact"/>
    </w:pPr>
    <w:rPr>
      <w:rFonts w:cs="宋体"/>
      <w:kern w:val="44"/>
      <w:szCs w:val="20"/>
    </w:rPr>
  </w:style>
  <w:style w:type="character" w:customStyle="1" w:styleId="1834">
    <w:name w:val="正文 首行缩进:  2 字符 Char Char1"/>
    <w:link w:val="1833"/>
    <w:qFormat/>
    <w:uiPriority w:val="0"/>
    <w:rPr>
      <w:rFonts w:eastAsia="宋体" w:cs="宋体"/>
      <w:kern w:val="44"/>
      <w:sz w:val="24"/>
      <w:lang w:val="en-US" w:eastAsia="zh-CN" w:bidi="ar-SA"/>
    </w:rPr>
  </w:style>
  <w:style w:type="character" w:customStyle="1" w:styleId="1835">
    <w:name w:val="c1"/>
    <w:qFormat/>
    <w:uiPriority w:val="0"/>
    <w:rPr>
      <w:rFonts w:hint="default" w:ascii="ˎ̥" w:hAnsi="ˎ̥"/>
      <w:color w:val="000000"/>
      <w:sz w:val="21"/>
      <w:szCs w:val="21"/>
      <w:u w:val="none"/>
    </w:rPr>
  </w:style>
  <w:style w:type="character" w:customStyle="1" w:styleId="1836">
    <w:name w:val="缩进 Char1"/>
    <w:link w:val="204"/>
    <w:qFormat/>
    <w:uiPriority w:val="0"/>
    <w:rPr>
      <w:rFonts w:eastAsia="宋体"/>
      <w:sz w:val="24"/>
      <w:lang w:val="en-US" w:eastAsia="zh-CN" w:bidi="ar-SA"/>
    </w:rPr>
  </w:style>
  <w:style w:type="paragraph" w:customStyle="1" w:styleId="1837">
    <w:name w:val="样式 黑体 左 行距: 固定值 23 磅"/>
    <w:basedOn w:val="1"/>
    <w:semiHidden/>
    <w:qFormat/>
    <w:uiPriority w:val="0"/>
    <w:pPr>
      <w:tabs>
        <w:tab w:val="clear" w:pos="480"/>
      </w:tabs>
      <w:spacing w:line="520" w:lineRule="exact"/>
      <w:jc w:val="left"/>
    </w:pPr>
    <w:rPr>
      <w:rFonts w:ascii="黑体" w:eastAsia="黑体"/>
      <w:kern w:val="44"/>
      <w:szCs w:val="20"/>
    </w:rPr>
  </w:style>
  <w:style w:type="character" w:customStyle="1" w:styleId="1838">
    <w:name w:val="表格内文字 Char1"/>
    <w:link w:val="794"/>
    <w:qFormat/>
    <w:uiPriority w:val="0"/>
    <w:rPr>
      <w:sz w:val="21"/>
      <w:szCs w:val="21"/>
      <w:lang w:val="zh-CN" w:eastAsia="zh-CN" w:bidi="ar-SA"/>
    </w:rPr>
  </w:style>
  <w:style w:type="paragraph" w:customStyle="1" w:styleId="1839">
    <w:name w:val="【表头】"/>
    <w:next w:val="1"/>
    <w:qFormat/>
    <w:uiPriority w:val="0"/>
    <w:pPr>
      <w:spacing w:before="100" w:beforeAutospacing="1" w:line="360" w:lineRule="exact"/>
      <w:jc w:val="center"/>
    </w:pPr>
    <w:rPr>
      <w:rFonts w:ascii="Times New Roman" w:hAnsi="Times New Roman" w:eastAsia="黑体" w:cs="Times New Roman"/>
      <w:bCs/>
      <w:color w:val="000000"/>
      <w:kern w:val="2"/>
      <w:sz w:val="24"/>
      <w:szCs w:val="24"/>
      <w:lang w:val="en-US" w:eastAsia="zh-CN" w:bidi="ar-SA"/>
    </w:rPr>
  </w:style>
  <w:style w:type="paragraph" w:customStyle="1" w:styleId="1840">
    <w:name w:val="五级标题"/>
    <w:basedOn w:val="1"/>
    <w:semiHidden/>
    <w:qFormat/>
    <w:uiPriority w:val="0"/>
    <w:pPr>
      <w:tabs>
        <w:tab w:val="clear" w:pos="480"/>
      </w:tabs>
      <w:spacing w:before="156" w:after="156" w:line="240" w:lineRule="auto"/>
    </w:pPr>
    <w:rPr>
      <w:sz w:val="28"/>
      <w:szCs w:val="20"/>
    </w:rPr>
  </w:style>
  <w:style w:type="paragraph" w:customStyle="1" w:styleId="1841">
    <w:name w:val="表底说明"/>
    <w:basedOn w:val="1"/>
    <w:semiHidden/>
    <w:qFormat/>
    <w:uiPriority w:val="0"/>
    <w:pPr>
      <w:tabs>
        <w:tab w:val="clear" w:pos="480"/>
      </w:tabs>
      <w:spacing w:line="240" w:lineRule="auto"/>
    </w:pPr>
    <w:rPr>
      <w:sz w:val="18"/>
    </w:rPr>
  </w:style>
  <w:style w:type="character" w:customStyle="1" w:styleId="1842">
    <w:name w:val="表底说明 Char"/>
    <w:semiHidden/>
    <w:qFormat/>
    <w:uiPriority w:val="0"/>
    <w:rPr>
      <w:rFonts w:eastAsia="宋体"/>
      <w:kern w:val="2"/>
      <w:sz w:val="18"/>
      <w:szCs w:val="24"/>
      <w:lang w:val="en-US" w:eastAsia="zh-CN" w:bidi="ar-SA"/>
    </w:rPr>
  </w:style>
  <w:style w:type="paragraph" w:customStyle="1" w:styleId="1843">
    <w:name w:val="我的表头"/>
    <w:basedOn w:val="1"/>
    <w:semiHidden/>
    <w:qFormat/>
    <w:uiPriority w:val="0"/>
    <w:pPr>
      <w:tabs>
        <w:tab w:val="clear" w:pos="480"/>
      </w:tabs>
      <w:spacing w:before="156" w:line="240" w:lineRule="auto"/>
      <w:jc w:val="center"/>
    </w:pPr>
    <w:rPr>
      <w:rFonts w:ascii="黑体" w:eastAsia="黑体" w:cs="宋体"/>
      <w:b/>
      <w:bCs/>
      <w:szCs w:val="20"/>
    </w:rPr>
  </w:style>
  <w:style w:type="paragraph" w:customStyle="1" w:styleId="1844">
    <w:name w:val="表头格式"/>
    <w:basedOn w:val="1"/>
    <w:semiHidden/>
    <w:qFormat/>
    <w:uiPriority w:val="0"/>
    <w:pPr>
      <w:tabs>
        <w:tab w:val="clear" w:pos="480"/>
      </w:tabs>
      <w:spacing w:beforeLines="100" w:line="240" w:lineRule="auto"/>
    </w:pPr>
    <w:rPr>
      <w:rFonts w:ascii="宋体" w:hAnsi="宋体"/>
      <w:b/>
      <w:sz w:val="21"/>
    </w:rPr>
  </w:style>
  <w:style w:type="paragraph" w:customStyle="1" w:styleId="1845">
    <w:name w:val="报告表格"/>
    <w:basedOn w:val="1"/>
    <w:qFormat/>
    <w:uiPriority w:val="0"/>
    <w:pPr>
      <w:tabs>
        <w:tab w:val="clear" w:pos="480"/>
      </w:tabs>
      <w:autoSpaceDE w:val="0"/>
      <w:autoSpaceDN w:val="0"/>
      <w:adjustRightInd w:val="0"/>
      <w:spacing w:before="40" w:after="40" w:line="240" w:lineRule="auto"/>
      <w:jc w:val="center"/>
      <w:textAlignment w:val="bottom"/>
    </w:pPr>
    <w:rPr>
      <w:kern w:val="0"/>
      <w:sz w:val="21"/>
      <w:szCs w:val="20"/>
    </w:rPr>
  </w:style>
  <w:style w:type="paragraph" w:customStyle="1" w:styleId="1846">
    <w:name w:val="首行缩进 Char Char"/>
    <w:basedOn w:val="1"/>
    <w:semiHidden/>
    <w:qFormat/>
    <w:uiPriority w:val="0"/>
    <w:pPr>
      <w:tabs>
        <w:tab w:val="clear" w:pos="480"/>
      </w:tabs>
      <w:snapToGrid w:val="0"/>
      <w:ind w:firstLine="499"/>
    </w:pPr>
    <w:rPr>
      <w:szCs w:val="20"/>
    </w:rPr>
  </w:style>
  <w:style w:type="paragraph" w:customStyle="1" w:styleId="1847">
    <w:name w:val="样式 题注 + 黑色"/>
    <w:basedOn w:val="22"/>
    <w:link w:val="1848"/>
    <w:semiHidden/>
    <w:qFormat/>
    <w:uiPriority w:val="0"/>
    <w:pPr>
      <w:widowControl w:val="0"/>
      <w:tabs>
        <w:tab w:val="center" w:pos="10467"/>
        <w:tab w:val="left" w:pos="13095"/>
      </w:tabs>
      <w:adjustRightInd/>
      <w:snapToGrid/>
      <w:spacing w:before="0" w:afterLines="50" w:line="240" w:lineRule="auto"/>
      <w:ind w:firstLine="0" w:firstLineChars="0"/>
    </w:pPr>
    <w:rPr>
      <w:b/>
      <w:bCs/>
    </w:rPr>
  </w:style>
  <w:style w:type="character" w:customStyle="1" w:styleId="1848">
    <w:name w:val="样式 题注 + 黑色 Char"/>
    <w:link w:val="1847"/>
    <w:qFormat/>
    <w:uiPriority w:val="0"/>
    <w:rPr>
      <w:rFonts w:ascii="Arial" w:hAnsi="Arial" w:eastAsia="宋体" w:cs="Arial"/>
      <w:b/>
      <w:bCs/>
      <w:color w:val="000000"/>
      <w:kern w:val="2"/>
      <w:sz w:val="24"/>
      <w:lang w:val="en-US" w:eastAsia="zh-CN" w:bidi="ar-SA"/>
    </w:rPr>
  </w:style>
  <w:style w:type="paragraph" w:customStyle="1" w:styleId="1849">
    <w:name w:val="样式 行距: 固定值 25 磅1"/>
    <w:basedOn w:val="1"/>
    <w:semiHidden/>
    <w:qFormat/>
    <w:uiPriority w:val="0"/>
    <w:pPr>
      <w:tabs>
        <w:tab w:val="clear" w:pos="480"/>
      </w:tabs>
      <w:adjustRightInd w:val="0"/>
      <w:spacing w:after="120" w:line="240" w:lineRule="auto"/>
      <w:ind w:firstLine="560"/>
      <w:textAlignment w:val="baseline"/>
    </w:pPr>
    <w:rPr>
      <w:rFonts w:ascii="宋体" w:hAnsi="宋体" w:cs="宋体"/>
      <w:color w:val="0000FF"/>
      <w:kern w:val="0"/>
      <w:sz w:val="28"/>
      <w:szCs w:val="28"/>
    </w:rPr>
  </w:style>
  <w:style w:type="paragraph" w:customStyle="1" w:styleId="1850">
    <w:name w:val="样式 (符号) 宋体 小四 加粗"/>
    <w:basedOn w:val="1"/>
    <w:link w:val="1851"/>
    <w:semiHidden/>
    <w:qFormat/>
    <w:uiPriority w:val="0"/>
    <w:pPr>
      <w:tabs>
        <w:tab w:val="clear" w:pos="480"/>
      </w:tabs>
      <w:jc w:val="center"/>
    </w:pPr>
    <w:rPr>
      <w:b/>
      <w:bCs/>
    </w:rPr>
  </w:style>
  <w:style w:type="character" w:customStyle="1" w:styleId="1851">
    <w:name w:val="样式 (符号) 宋体 小四 加粗 Char"/>
    <w:link w:val="1850"/>
    <w:qFormat/>
    <w:uiPriority w:val="0"/>
    <w:rPr>
      <w:rFonts w:eastAsia="宋体"/>
      <w:b/>
      <w:bCs/>
      <w:kern w:val="2"/>
      <w:sz w:val="24"/>
      <w:szCs w:val="24"/>
      <w:lang w:val="en-US" w:eastAsia="zh-CN" w:bidi="ar-SA"/>
    </w:rPr>
  </w:style>
  <w:style w:type="paragraph" w:customStyle="1" w:styleId="1852">
    <w:name w:val="表头格式1"/>
    <w:basedOn w:val="1"/>
    <w:link w:val="1854"/>
    <w:semiHidden/>
    <w:qFormat/>
    <w:uiPriority w:val="0"/>
    <w:pPr>
      <w:tabs>
        <w:tab w:val="clear" w:pos="480"/>
      </w:tabs>
      <w:jc w:val="center"/>
    </w:pPr>
    <w:rPr>
      <w:rFonts w:hAnsi="宋体"/>
      <w:b/>
      <w:bCs/>
    </w:rPr>
  </w:style>
  <w:style w:type="paragraph" w:customStyle="1" w:styleId="1853">
    <w:name w:val="表内内容"/>
    <w:basedOn w:val="195"/>
    <w:semiHidden/>
    <w:qFormat/>
    <w:uiPriority w:val="0"/>
    <w:pPr>
      <w:spacing w:line="240" w:lineRule="auto"/>
      <w:ind w:firstLine="0" w:firstLineChars="0"/>
      <w:jc w:val="center"/>
    </w:pPr>
    <w:rPr>
      <w:sz w:val="21"/>
      <w:lang w:val="zh-CN"/>
    </w:rPr>
  </w:style>
  <w:style w:type="character" w:customStyle="1" w:styleId="1854">
    <w:name w:val="表头格式1 Char"/>
    <w:link w:val="1852"/>
    <w:qFormat/>
    <w:uiPriority w:val="0"/>
    <w:rPr>
      <w:rFonts w:hAnsi="宋体" w:eastAsia="宋体"/>
      <w:b/>
      <w:bCs/>
      <w:kern w:val="2"/>
      <w:sz w:val="24"/>
      <w:szCs w:val="24"/>
      <w:lang w:val="en-US" w:eastAsia="zh-CN" w:bidi="ar-SA"/>
    </w:rPr>
  </w:style>
  <w:style w:type="paragraph" w:customStyle="1" w:styleId="1855">
    <w:name w:val="A_GZ表格"/>
    <w:basedOn w:val="161"/>
    <w:semiHidden/>
    <w:qFormat/>
    <w:uiPriority w:val="0"/>
    <w:pPr/>
    <w:rPr>
      <w:sz w:val="21"/>
      <w:szCs w:val="21"/>
    </w:rPr>
  </w:style>
  <w:style w:type="character" w:customStyle="1" w:styleId="1856">
    <w:name w:val="px14"/>
    <w:basedOn w:val="132"/>
    <w:semiHidden/>
    <w:qFormat/>
    <w:uiPriority w:val="0"/>
  </w:style>
  <w:style w:type="paragraph" w:customStyle="1" w:styleId="1857">
    <w:name w:val="GZ表格：样式 缩进 + 五号 居中 首行缩进:  0 厘米 行距: 单倍行距"/>
    <w:basedOn w:val="204"/>
    <w:semiHidden/>
    <w:qFormat/>
    <w:uiPriority w:val="0"/>
    <w:pPr>
      <w:spacing w:line="240" w:lineRule="auto"/>
      <w:ind w:firstLine="0"/>
      <w:jc w:val="center"/>
    </w:pPr>
    <w:rPr>
      <w:rFonts w:cs="宋体"/>
      <w:sz w:val="21"/>
    </w:rPr>
  </w:style>
  <w:style w:type="paragraph" w:customStyle="1" w:styleId="1858">
    <w:name w:val="样式 四号 行距: 1.5 倍行距 首行缩进:  2 字符"/>
    <w:basedOn w:val="1"/>
    <w:semiHidden/>
    <w:qFormat/>
    <w:uiPriority w:val="0"/>
    <w:pPr>
      <w:tabs>
        <w:tab w:val="clear" w:pos="480"/>
      </w:tabs>
      <w:ind w:firstLine="560"/>
    </w:pPr>
    <w:rPr>
      <w:rFonts w:cs="宋体"/>
      <w:sz w:val="28"/>
      <w:szCs w:val="20"/>
    </w:rPr>
  </w:style>
  <w:style w:type="paragraph" w:customStyle="1" w:styleId="1859">
    <w:name w:val="样式 样式 宋体 段前: 0.5 行 行距: 固定值 18 磅 + 首行缩进:  2 字符"/>
    <w:basedOn w:val="1"/>
    <w:link w:val="1860"/>
    <w:qFormat/>
    <w:uiPriority w:val="0"/>
    <w:pPr>
      <w:tabs>
        <w:tab w:val="clear" w:pos="480"/>
      </w:tabs>
      <w:ind w:firstLine="562"/>
      <w:jc w:val="left"/>
    </w:pPr>
    <w:rPr>
      <w:rFonts w:ascii="仿宋_GB2312" w:hAnsi="宋体" w:eastAsia="仿宋_GB2312"/>
      <w:b/>
      <w:bCs/>
      <w:sz w:val="28"/>
      <w:szCs w:val="28"/>
    </w:rPr>
  </w:style>
  <w:style w:type="character" w:customStyle="1" w:styleId="1860">
    <w:name w:val="样式 样式 宋体 段前: 0.5 行 行距: 固定值 18 磅 + 首行缩进:  2 字符 Char"/>
    <w:link w:val="1859"/>
    <w:qFormat/>
    <w:uiPriority w:val="0"/>
    <w:rPr>
      <w:rFonts w:ascii="仿宋_GB2312" w:hAnsi="宋体" w:eastAsia="仿宋_GB2312"/>
      <w:b/>
      <w:bCs/>
      <w:kern w:val="2"/>
      <w:sz w:val="28"/>
      <w:szCs w:val="28"/>
      <w:lang w:val="en-US" w:eastAsia="zh-CN" w:bidi="ar-SA"/>
    </w:rPr>
  </w:style>
  <w:style w:type="paragraph" w:customStyle="1" w:styleId="1861">
    <w:name w:val="样式 标题 3 + 段前: 0.5 行"/>
    <w:basedOn w:val="5"/>
    <w:qFormat/>
    <w:uiPriority w:val="0"/>
    <w:pPr>
      <w:numPr>
        <w:ilvl w:val="0"/>
        <w:numId w:val="0"/>
      </w:numPr>
      <w:tabs>
        <w:tab w:val="clear" w:pos="480"/>
        <w:tab w:val="clear" w:pos="840"/>
      </w:tabs>
      <w:spacing w:beforeLines="50" w:after="0" w:line="240" w:lineRule="auto"/>
      <w:jc w:val="left"/>
    </w:pPr>
    <w:rPr>
      <w:rFonts w:ascii="黑体" w:hAnsi="宋体" w:eastAsia="黑体" w:cs="宋体"/>
      <w:b w:val="0"/>
      <w:sz w:val="24"/>
      <w:szCs w:val="24"/>
    </w:rPr>
  </w:style>
  <w:style w:type="character" w:customStyle="1" w:styleId="1862">
    <w:name w:val="style23"/>
    <w:basedOn w:val="132"/>
    <w:qFormat/>
    <w:uiPriority w:val="0"/>
  </w:style>
  <w:style w:type="paragraph" w:customStyle="1" w:styleId="1863">
    <w:name w:val="样式 宋体 小四 黑色 首行缩进:  2字符 行距: 1.5 倍行距1"/>
    <w:basedOn w:val="1"/>
    <w:qFormat/>
    <w:uiPriority w:val="0"/>
    <w:pPr>
      <w:tabs>
        <w:tab w:val="clear" w:pos="480"/>
      </w:tabs>
    </w:pPr>
    <w:rPr>
      <w:rFonts w:ascii="宋体" w:hAnsi="宋体"/>
      <w:color w:val="000000"/>
      <w:szCs w:val="20"/>
    </w:rPr>
  </w:style>
  <w:style w:type="character" w:customStyle="1" w:styleId="1864">
    <w:name w:val="标题 2 字符"/>
    <w:link w:val="4"/>
    <w:qFormat/>
    <w:uiPriority w:val="9"/>
    <w:rPr>
      <w:b/>
      <w:bCs/>
      <w:kern w:val="2"/>
      <w:sz w:val="32"/>
      <w:szCs w:val="32"/>
      <w:lang w:val="zh-CN"/>
    </w:rPr>
  </w:style>
  <w:style w:type="paragraph" w:customStyle="1" w:styleId="1865">
    <w:name w:val="6级标题"/>
    <w:basedOn w:val="1"/>
    <w:link w:val="1867"/>
    <w:qFormat/>
    <w:uiPriority w:val="0"/>
    <w:pPr>
      <w:numPr>
        <w:ilvl w:val="0"/>
        <w:numId w:val="20"/>
      </w:numPr>
      <w:tabs>
        <w:tab w:val="left" w:pos="425"/>
        <w:tab w:val="clear" w:pos="480"/>
      </w:tabs>
      <w:ind w:left="0" w:firstLine="0"/>
      <w:jc w:val="left"/>
    </w:pPr>
    <w:rPr>
      <w:szCs w:val="22"/>
    </w:rPr>
  </w:style>
  <w:style w:type="paragraph" w:customStyle="1" w:styleId="1866">
    <w:name w:val="7级标题"/>
    <w:basedOn w:val="1"/>
    <w:link w:val="1869"/>
    <w:qFormat/>
    <w:uiPriority w:val="0"/>
    <w:pPr>
      <w:numPr>
        <w:ilvl w:val="0"/>
        <w:numId w:val="21"/>
      </w:numPr>
      <w:tabs>
        <w:tab w:val="clear" w:pos="480"/>
      </w:tabs>
      <w:ind w:left="0" w:firstLine="425" w:firstLineChars="177"/>
    </w:pPr>
    <w:rPr>
      <w:szCs w:val="22"/>
      <w:lang w:val="zh-CN"/>
    </w:rPr>
  </w:style>
  <w:style w:type="character" w:customStyle="1" w:styleId="1867">
    <w:name w:val="6级标题 Char"/>
    <w:basedOn w:val="132"/>
    <w:link w:val="1865"/>
    <w:qFormat/>
    <w:uiPriority w:val="0"/>
    <w:rPr>
      <w:kern w:val="2"/>
      <w:sz w:val="24"/>
      <w:szCs w:val="22"/>
    </w:rPr>
  </w:style>
  <w:style w:type="paragraph" w:customStyle="1" w:styleId="1868">
    <w:name w:val="8级标题"/>
    <w:basedOn w:val="1866"/>
    <w:link w:val="1870"/>
    <w:qFormat/>
    <w:uiPriority w:val="0"/>
    <w:pPr>
      <w:numPr>
        <w:numId w:val="22"/>
      </w:numPr>
      <w:tabs>
        <w:tab w:val="left" w:pos="360"/>
        <w:tab w:val="left" w:pos="680"/>
      </w:tabs>
      <w:ind w:left="360" w:hanging="360" w:firstLineChars="0"/>
    </w:pPr>
  </w:style>
  <w:style w:type="character" w:customStyle="1" w:styleId="1869">
    <w:name w:val="7级标题 Char"/>
    <w:link w:val="1866"/>
    <w:qFormat/>
    <w:uiPriority w:val="0"/>
    <w:rPr>
      <w:kern w:val="2"/>
      <w:sz w:val="24"/>
      <w:szCs w:val="22"/>
      <w:lang w:val="zh-CN"/>
    </w:rPr>
  </w:style>
  <w:style w:type="character" w:customStyle="1" w:styleId="1870">
    <w:name w:val="8级标题 Char"/>
    <w:basedOn w:val="1869"/>
    <w:link w:val="1868"/>
    <w:qFormat/>
    <w:uiPriority w:val="0"/>
    <w:rPr>
      <w:kern w:val="2"/>
      <w:sz w:val="24"/>
      <w:szCs w:val="22"/>
      <w:lang w:val="zh-CN"/>
    </w:rPr>
  </w:style>
  <w:style w:type="character" w:customStyle="1" w:styleId="1871">
    <w:name w:val="正文 Char"/>
    <w:qFormat/>
    <w:uiPriority w:val="0"/>
    <w:rPr>
      <w:rFonts w:eastAsia="宋体"/>
      <w:kern w:val="2"/>
      <w:sz w:val="24"/>
      <w:szCs w:val="22"/>
      <w:lang w:val="en-US" w:eastAsia="zh-CN" w:bidi="ar-SA"/>
    </w:rPr>
  </w:style>
  <w:style w:type="paragraph" w:customStyle="1" w:styleId="1872">
    <w:name w:val="【图片标题】"/>
    <w:next w:val="1"/>
    <w:qFormat/>
    <w:uiPriority w:val="0"/>
    <w:pPr>
      <w:numPr>
        <w:ilvl w:val="1"/>
        <w:numId w:val="23"/>
      </w:numPr>
      <w:tabs>
        <w:tab w:val="clear" w:pos="576"/>
      </w:tabs>
      <w:spacing w:after="100" w:afterAutospacing="1" w:line="360" w:lineRule="exact"/>
      <w:ind w:left="0" w:firstLine="0"/>
      <w:jc w:val="center"/>
    </w:pPr>
    <w:rPr>
      <w:rFonts w:ascii="Times New Roman" w:hAnsi="Times New Roman" w:eastAsia="黑体" w:cs="Times New Roman"/>
      <w:b/>
      <w:bCs/>
      <w:kern w:val="2"/>
      <w:sz w:val="24"/>
      <w:szCs w:val="24"/>
      <w:lang w:val="en-US" w:eastAsia="zh-CN" w:bidi="ar-SA"/>
    </w:rPr>
  </w:style>
  <w:style w:type="paragraph" w:customStyle="1" w:styleId="1873">
    <w:name w:val="样式 标题 1 + 仿宋_GB2312 小三 行距: 单倍行距"/>
    <w:basedOn w:val="3"/>
    <w:qFormat/>
    <w:uiPriority w:val="0"/>
    <w:pPr>
      <w:numPr>
        <w:numId w:val="10"/>
      </w:numPr>
      <w:tabs>
        <w:tab w:val="left" w:pos="711"/>
        <w:tab w:val="clear" w:pos="480"/>
      </w:tabs>
      <w:adjustRightInd w:val="0"/>
      <w:spacing w:line="240" w:lineRule="auto"/>
      <w:textAlignment w:val="baseline"/>
    </w:pPr>
    <w:rPr>
      <w:rFonts w:cs="宋体"/>
      <w:szCs w:val="36"/>
    </w:rPr>
  </w:style>
  <w:style w:type="paragraph" w:customStyle="1" w:styleId="1874">
    <w:name w:val="第2级标题"/>
    <w:basedOn w:val="4"/>
    <w:next w:val="1"/>
    <w:link w:val="2268"/>
    <w:qFormat/>
    <w:uiPriority w:val="0"/>
    <w:pPr>
      <w:numPr>
        <w:ilvl w:val="0"/>
        <w:numId w:val="0"/>
      </w:numPr>
      <w:tabs>
        <w:tab w:val="clear" w:pos="480"/>
        <w:tab w:val="clear" w:pos="630"/>
      </w:tabs>
      <w:spacing w:before="100" w:beforeAutospacing="1" w:after="100" w:afterAutospacing="1" w:line="500" w:lineRule="exact"/>
      <w:ind w:left="864" w:hanging="864"/>
    </w:pPr>
    <w:rPr>
      <w:rFonts w:eastAsia="华文中宋"/>
      <w:smallCaps/>
      <w:lang w:val="en-US"/>
    </w:rPr>
  </w:style>
  <w:style w:type="paragraph" w:customStyle="1" w:styleId="1875">
    <w:name w:val="第3级标题"/>
    <w:basedOn w:val="5"/>
    <w:next w:val="1"/>
    <w:link w:val="2015"/>
    <w:qFormat/>
    <w:uiPriority w:val="0"/>
    <w:pPr>
      <w:numPr>
        <w:numId w:val="23"/>
      </w:numPr>
      <w:tabs>
        <w:tab w:val="left" w:pos="432"/>
        <w:tab w:val="left" w:pos="720"/>
        <w:tab w:val="clear" w:pos="480"/>
        <w:tab w:val="clear" w:pos="840"/>
      </w:tabs>
      <w:spacing w:beforeLines="50" w:beforeAutospacing="1" w:after="100" w:afterAutospacing="1" w:line="440" w:lineRule="exact"/>
      <w:jc w:val="left"/>
    </w:pPr>
    <w:rPr>
      <w:rFonts w:ascii="Times New Roman" w:eastAsia="华文中宋"/>
      <w:szCs w:val="30"/>
    </w:rPr>
  </w:style>
  <w:style w:type="paragraph" w:customStyle="1" w:styleId="1876">
    <w:name w:val="样式 第3级标题 + (中文) 宋体"/>
    <w:basedOn w:val="1875"/>
    <w:link w:val="1877"/>
    <w:qFormat/>
    <w:uiPriority w:val="0"/>
    <w:pPr>
      <w:spacing w:before="50" w:beforeAutospacing="0" w:afterLines="50" w:afterAutospacing="0"/>
    </w:pPr>
    <w:rPr>
      <w:rFonts w:eastAsia="宋体"/>
    </w:rPr>
  </w:style>
  <w:style w:type="character" w:customStyle="1" w:styleId="1877">
    <w:name w:val="样式 第3级标题 + (中文) 宋体 Char"/>
    <w:link w:val="1876"/>
    <w:qFormat/>
    <w:uiPriority w:val="0"/>
    <w:rPr>
      <w:b/>
      <w:bCs/>
      <w:kern w:val="2"/>
      <w:sz w:val="30"/>
      <w:szCs w:val="30"/>
      <w:lang w:val="zh-CN"/>
    </w:rPr>
  </w:style>
  <w:style w:type="paragraph" w:customStyle="1" w:styleId="1878">
    <w:name w:val="样式 第1级标题 + (中文) 宋体"/>
    <w:basedOn w:val="1"/>
    <w:qFormat/>
    <w:uiPriority w:val="0"/>
    <w:pPr>
      <w:keepNext/>
      <w:keepLines/>
      <w:numPr>
        <w:ilvl w:val="0"/>
        <w:numId w:val="23"/>
      </w:numPr>
      <w:tabs>
        <w:tab w:val="clear" w:pos="480"/>
      </w:tabs>
      <w:spacing w:before="100" w:beforeAutospacing="1" w:after="100" w:afterAutospacing="1" w:line="560" w:lineRule="exact"/>
      <w:jc w:val="center"/>
      <w:outlineLvl w:val="0"/>
    </w:pPr>
    <w:rPr>
      <w:b/>
      <w:bCs/>
      <w:kern w:val="44"/>
      <w:sz w:val="36"/>
      <w:szCs w:val="36"/>
    </w:rPr>
  </w:style>
  <w:style w:type="paragraph" w:customStyle="1" w:styleId="1879">
    <w:name w:val="三级标题"/>
    <w:basedOn w:val="5"/>
    <w:qFormat/>
    <w:uiPriority w:val="0"/>
    <w:pPr>
      <w:tabs>
        <w:tab w:val="left" w:pos="720"/>
        <w:tab w:val="clear" w:pos="480"/>
        <w:tab w:val="clear" w:pos="840"/>
      </w:tabs>
      <w:spacing w:before="0" w:after="0" w:line="720" w:lineRule="exact"/>
      <w:ind w:left="720" w:hanging="720"/>
    </w:pPr>
    <w:rPr>
      <w:rFonts w:ascii="Arial" w:hAnsi="Arial" w:eastAsia="黑体"/>
      <w:b w:val="0"/>
      <w:snapToGrid w:val="0"/>
      <w:kern w:val="0"/>
      <w:sz w:val="28"/>
      <w:szCs w:val="28"/>
    </w:rPr>
  </w:style>
  <w:style w:type="character" w:customStyle="1" w:styleId="1880">
    <w:name w:val="图片名称 Char"/>
    <w:link w:val="1723"/>
    <w:qFormat/>
    <w:uiPriority w:val="0"/>
    <w:rPr>
      <w:rFonts w:ascii="黑体" w:hAnsi="宋体" w:eastAsia="黑体"/>
      <w:bCs/>
      <w:snapToGrid w:val="0"/>
      <w:color w:val="000000"/>
      <w:spacing w:val="-4"/>
      <w:sz w:val="24"/>
      <w:szCs w:val="24"/>
      <w:lang w:val="eu-ES" w:eastAsia="zh-CN" w:bidi="ar-SA"/>
    </w:rPr>
  </w:style>
  <w:style w:type="paragraph" w:customStyle="1" w:styleId="1881">
    <w:name w:val="法规"/>
    <w:basedOn w:val="1"/>
    <w:qFormat/>
    <w:uiPriority w:val="0"/>
    <w:pPr>
      <w:tabs>
        <w:tab w:val="left" w:pos="360"/>
        <w:tab w:val="clear" w:pos="480"/>
      </w:tabs>
      <w:spacing w:line="440" w:lineRule="exact"/>
      <w:ind w:left="-40" w:firstLine="400"/>
    </w:pPr>
    <w:rPr>
      <w:sz w:val="25"/>
      <w:szCs w:val="20"/>
    </w:rPr>
  </w:style>
  <w:style w:type="paragraph" w:customStyle="1" w:styleId="1882">
    <w:name w:val="表格小字"/>
    <w:basedOn w:val="219"/>
    <w:qFormat/>
    <w:uiPriority w:val="0"/>
    <w:pPr>
      <w:wordWrap w:val="0"/>
      <w:topLinePunct/>
    </w:pPr>
    <w:rPr>
      <w:rFonts w:ascii="Arial" w:hAnsi="Arial" w:cs="Arial Unicode MS"/>
      <w:kern w:val="0"/>
      <w:sz w:val="18"/>
      <w:szCs w:val="21"/>
      <w:lang w:val="zh-CN"/>
    </w:rPr>
  </w:style>
  <w:style w:type="paragraph" w:customStyle="1" w:styleId="1883">
    <w:name w:val="样式 1表格头 + 段前: 0.5 行 段后: 0.5 行"/>
    <w:basedOn w:val="1"/>
    <w:qFormat/>
    <w:uiPriority w:val="0"/>
    <w:pPr>
      <w:tabs>
        <w:tab w:val="clear" w:pos="480"/>
      </w:tabs>
      <w:ind w:firstLine="471"/>
    </w:pPr>
    <w:rPr>
      <w:rFonts w:ascii="Arial" w:hAnsi="Arial" w:eastAsia="黑体" w:cs="宋体"/>
      <w:b/>
      <w:szCs w:val="20"/>
    </w:rPr>
  </w:style>
  <w:style w:type="paragraph" w:customStyle="1" w:styleId="1884">
    <w:name w:val="样式 标题 1文章标题一、章节H1Otsikko 1Eia标题1－1Head 1wsah1Part'Docu...1"/>
    <w:basedOn w:val="3"/>
    <w:qFormat/>
    <w:uiPriority w:val="0"/>
    <w:pPr>
      <w:keepLines w:val="0"/>
      <w:pageBreakBefore/>
      <w:numPr>
        <w:numId w:val="0"/>
      </w:numPr>
      <w:tabs>
        <w:tab w:val="clear" w:pos="480"/>
      </w:tabs>
      <w:autoSpaceDN w:val="0"/>
      <w:adjustRightInd w:val="0"/>
      <w:spacing w:beforeLines="50" w:afterLines="50" w:line="520" w:lineRule="exact"/>
      <w:jc w:val="center"/>
      <w:textAlignment w:val="baseline"/>
    </w:pPr>
    <w:rPr>
      <w:rFonts w:ascii="Times New Roman" w:hAnsi="Arial" w:eastAsia="黑体"/>
      <w:b w:val="0"/>
      <w:snapToGrid w:val="0"/>
      <w:color w:val="FF0000"/>
      <w:kern w:val="2"/>
      <w:szCs w:val="36"/>
      <w:lang w:val="en-GB"/>
    </w:rPr>
  </w:style>
  <w:style w:type="paragraph" w:customStyle="1" w:styleId="1885">
    <w:name w:val="样式 小四 行距: 1.5 倍行距"/>
    <w:basedOn w:val="1"/>
    <w:qFormat/>
    <w:uiPriority w:val="0"/>
    <w:pPr>
      <w:tabs>
        <w:tab w:val="clear" w:pos="480"/>
      </w:tabs>
      <w:spacing w:line="480" w:lineRule="exact"/>
      <w:ind w:firstLine="471"/>
    </w:pPr>
    <w:rPr>
      <w:rFonts w:cs="宋体"/>
      <w:bCs/>
      <w:szCs w:val="20"/>
    </w:rPr>
  </w:style>
  <w:style w:type="paragraph" w:customStyle="1" w:styleId="1886">
    <w:name w:val="样式 标题 1文章标题一、章节H1Otsikko 1Eia标题1－1Head 1wsah1Part'Docu...2"/>
    <w:basedOn w:val="3"/>
    <w:qFormat/>
    <w:uiPriority w:val="0"/>
    <w:pPr>
      <w:pageBreakBefore/>
      <w:numPr>
        <w:numId w:val="0"/>
      </w:numPr>
      <w:tabs>
        <w:tab w:val="clear" w:pos="480"/>
      </w:tabs>
      <w:spacing w:beforeLines="150" w:after="156" w:line="480" w:lineRule="exact"/>
      <w:jc w:val="center"/>
    </w:pPr>
    <w:rPr>
      <w:rFonts w:ascii="Times New Roman" w:hAnsi="Arial" w:eastAsia="黑体"/>
      <w:b w:val="0"/>
      <w:bCs w:val="0"/>
      <w:color w:val="FF0000"/>
      <w:kern w:val="2"/>
      <w:sz w:val="44"/>
      <w:szCs w:val="20"/>
      <w:lang w:val="en-GB"/>
    </w:rPr>
  </w:style>
  <w:style w:type="paragraph" w:customStyle="1" w:styleId="1887">
    <w:name w:val="样式 纯文本纯文本 Char普通文字 Char普通文字 Char Char Char普通文字 Char Char Cha..."/>
    <w:basedOn w:val="45"/>
    <w:qFormat/>
    <w:uiPriority w:val="0"/>
    <w:pPr>
      <w:jc w:val="center"/>
    </w:pPr>
    <w:rPr>
      <w:rFonts w:ascii="Arial" w:hAnsi="Arial" w:cs="宋体"/>
      <w:kern w:val="0"/>
      <w:szCs w:val="21"/>
    </w:rPr>
  </w:style>
  <w:style w:type="paragraph" w:customStyle="1" w:styleId="1888">
    <w:name w:val="样式 标题 2标题 2 Char Char Char Char Char Char Char Char Char Char C..."/>
    <w:basedOn w:val="83"/>
    <w:next w:val="83"/>
    <w:qFormat/>
    <w:uiPriority w:val="0"/>
    <w:pPr>
      <w:widowControl w:val="0"/>
      <w:adjustRightInd/>
      <w:snapToGrid/>
      <w:spacing w:beforeLines="50" w:afterLines="50" w:line="480" w:lineRule="exact"/>
      <w:ind w:firstLine="471" w:firstLineChars="0"/>
      <w:jc w:val="both"/>
      <w:outlineLvl w:val="1"/>
    </w:pPr>
    <w:rPr>
      <w:rFonts w:ascii="黑体" w:hAnsi="宋体" w:eastAsia="黑体"/>
      <w:color w:val="auto"/>
      <w:kern w:val="0"/>
      <w:szCs w:val="20"/>
    </w:rPr>
  </w:style>
  <w:style w:type="paragraph" w:customStyle="1" w:styleId="1889">
    <w:name w:val="样式 标题 1文章标题一、章节H1Otsikko 1Eia标题1－1Head 1wsah1Part'Docu..."/>
    <w:basedOn w:val="83"/>
    <w:next w:val="1"/>
    <w:qFormat/>
    <w:uiPriority w:val="0"/>
    <w:pPr>
      <w:widowControl w:val="0"/>
      <w:adjustRightInd/>
      <w:snapToGrid/>
      <w:spacing w:beforeLines="50" w:afterLines="50" w:line="480" w:lineRule="exact"/>
      <w:ind w:firstLine="0" w:firstLineChars="0"/>
    </w:pPr>
    <w:rPr>
      <w:rFonts w:ascii="黑体" w:hAnsi="ˎ̥" w:eastAsia="黑体"/>
      <w:bCs w:val="0"/>
      <w:color w:val="auto"/>
      <w:kern w:val="0"/>
      <w:szCs w:val="20"/>
    </w:rPr>
  </w:style>
  <w:style w:type="paragraph" w:customStyle="1" w:styleId="1890">
    <w:name w:val="样式 标题 2SeHead wsa2ChapterChapter TitleH21标题 1.1节标题 1.1标..."/>
    <w:basedOn w:val="4"/>
    <w:qFormat/>
    <w:uiPriority w:val="0"/>
    <w:pPr>
      <w:numPr>
        <w:ilvl w:val="0"/>
        <w:numId w:val="0"/>
      </w:numPr>
      <w:tabs>
        <w:tab w:val="left" w:pos="420"/>
        <w:tab w:val="clear" w:pos="480"/>
        <w:tab w:val="clear" w:pos="630"/>
      </w:tabs>
      <w:spacing w:beforeLines="50" w:afterLines="50" w:line="480" w:lineRule="exact"/>
      <w:ind w:firstLine="471"/>
      <w:jc w:val="left"/>
    </w:pPr>
    <w:rPr>
      <w:rFonts w:eastAsia="黑体"/>
      <w:szCs w:val="20"/>
    </w:rPr>
  </w:style>
  <w:style w:type="paragraph" w:customStyle="1" w:styleId="1891">
    <w:name w:val="样式 标题 3ReHead 3 WSAh3h3 Charh3 Char Char条标题1.1.1标题3H33r..."/>
    <w:basedOn w:val="5"/>
    <w:qFormat/>
    <w:uiPriority w:val="0"/>
    <w:pPr>
      <w:keepLines w:val="0"/>
      <w:numPr>
        <w:ilvl w:val="0"/>
        <w:numId w:val="0"/>
      </w:numPr>
      <w:tabs>
        <w:tab w:val="clear" w:pos="480"/>
        <w:tab w:val="clear" w:pos="840"/>
      </w:tabs>
      <w:spacing w:after="50" w:line="480" w:lineRule="exact"/>
      <w:ind w:firstLine="471"/>
    </w:pPr>
    <w:rPr>
      <w:rFonts w:ascii="黑体" w:eastAsia="黑体" w:cs="宋体"/>
      <w:b w:val="0"/>
      <w:sz w:val="24"/>
      <w:szCs w:val="20"/>
    </w:rPr>
  </w:style>
  <w:style w:type="paragraph" w:customStyle="1" w:styleId="1892">
    <w:name w:val="样式 表格文字 + (中文) 黑体 小四 加粗 左侧:  0.83 厘米 段前: 7.8 磅 行距: 固定值 24 磅"/>
    <w:basedOn w:val="219"/>
    <w:qFormat/>
    <w:uiPriority w:val="0"/>
    <w:pPr>
      <w:wordWrap w:val="0"/>
      <w:topLinePunct/>
    </w:pPr>
    <w:rPr>
      <w:rFonts w:ascii="Arial" w:hAnsi="Arial" w:cs="宋体"/>
      <w:bCs/>
      <w:color w:val="000000"/>
      <w:kern w:val="0"/>
      <w:szCs w:val="21"/>
      <w:lang w:val="eu-ES"/>
    </w:rPr>
  </w:style>
  <w:style w:type="paragraph" w:customStyle="1" w:styleId="1893">
    <w:name w:val="样式 楷体_GB2312 三号 行距: 固定值 24 磅"/>
    <w:basedOn w:val="1"/>
    <w:qFormat/>
    <w:uiPriority w:val="0"/>
    <w:pPr>
      <w:tabs>
        <w:tab w:val="clear" w:pos="480"/>
      </w:tabs>
      <w:spacing w:line="480" w:lineRule="exact"/>
      <w:ind w:firstLine="358" w:firstLineChars="112"/>
    </w:pPr>
    <w:rPr>
      <w:rFonts w:ascii="楷体_GB2312" w:hAnsi="Calibri" w:eastAsia="楷体_GB2312" w:cs="宋体"/>
      <w:bCs/>
      <w:sz w:val="28"/>
      <w:szCs w:val="20"/>
    </w:rPr>
  </w:style>
  <w:style w:type="paragraph" w:customStyle="1" w:styleId="1894">
    <w:name w:val="样式 标题 2 + 首行缩进:  2 字符2"/>
    <w:basedOn w:val="4"/>
    <w:qFormat/>
    <w:uiPriority w:val="0"/>
    <w:pPr>
      <w:numPr>
        <w:ilvl w:val="0"/>
        <w:numId w:val="0"/>
      </w:numPr>
      <w:tabs>
        <w:tab w:val="left" w:pos="420"/>
        <w:tab w:val="clear" w:pos="480"/>
        <w:tab w:val="clear" w:pos="630"/>
      </w:tabs>
      <w:spacing w:beforeLines="50" w:afterLines="50" w:line="480" w:lineRule="exact"/>
      <w:ind w:firstLine="200"/>
    </w:pPr>
    <w:rPr>
      <w:rFonts w:ascii="黑体" w:hAnsi="Arial" w:eastAsia="黑体" w:cs="宋体"/>
      <w:b w:val="0"/>
      <w:sz w:val="28"/>
      <w:szCs w:val="20"/>
    </w:rPr>
  </w:style>
  <w:style w:type="paragraph" w:customStyle="1" w:styleId="1895">
    <w:name w:val="样式 标题 2 + 首行缩进:  2 字符3"/>
    <w:basedOn w:val="4"/>
    <w:qFormat/>
    <w:uiPriority w:val="0"/>
    <w:pPr>
      <w:numPr>
        <w:ilvl w:val="0"/>
        <w:numId w:val="0"/>
      </w:numPr>
      <w:tabs>
        <w:tab w:val="left" w:pos="420"/>
        <w:tab w:val="clear" w:pos="480"/>
        <w:tab w:val="clear" w:pos="630"/>
      </w:tabs>
      <w:spacing w:beforeLines="50" w:afterLines="50" w:line="480" w:lineRule="exact"/>
      <w:ind w:firstLine="200"/>
      <w:jc w:val="left"/>
    </w:pPr>
    <w:rPr>
      <w:rFonts w:ascii="黑体" w:hAnsi="Arial" w:eastAsia="黑体" w:cs="宋体"/>
      <w:b w:val="0"/>
      <w:sz w:val="28"/>
      <w:szCs w:val="20"/>
    </w:rPr>
  </w:style>
  <w:style w:type="paragraph" w:customStyle="1" w:styleId="1896">
    <w:name w:val="样式 样式 标题 2 + 首行缩进:  2 字符3 + 首行缩进:  2 字符"/>
    <w:basedOn w:val="1895"/>
    <w:qFormat/>
    <w:uiPriority w:val="0"/>
    <w:pPr>
      <w:jc w:val="both"/>
    </w:pPr>
  </w:style>
  <w:style w:type="paragraph" w:customStyle="1" w:styleId="1897">
    <w:name w:val="样式 要点 + 黑体 非加粗"/>
    <w:basedOn w:val="1"/>
    <w:qFormat/>
    <w:uiPriority w:val="0"/>
    <w:pPr>
      <w:keepNext/>
      <w:keepLines/>
      <w:tabs>
        <w:tab w:val="clear" w:pos="480"/>
      </w:tabs>
      <w:wordWrap w:val="0"/>
      <w:topLinePunct/>
      <w:autoSpaceDE w:val="0"/>
      <w:autoSpaceDN w:val="0"/>
      <w:snapToGrid w:val="0"/>
      <w:spacing w:line="440" w:lineRule="exact"/>
      <w:ind w:firstLine="454"/>
    </w:pPr>
    <w:rPr>
      <w:rFonts w:ascii="黑体" w:hAnsi="Arial" w:eastAsia="黑体"/>
    </w:rPr>
  </w:style>
  <w:style w:type="paragraph" w:customStyle="1" w:styleId="1898">
    <w:name w:val="样式 报告表文字01 + Arial 小四 首行缩进:  2 字符"/>
    <w:basedOn w:val="1"/>
    <w:qFormat/>
    <w:uiPriority w:val="0"/>
    <w:pPr>
      <w:tabs>
        <w:tab w:val="clear" w:pos="480"/>
      </w:tabs>
      <w:spacing w:line="480" w:lineRule="exact"/>
      <w:ind w:firstLine="471"/>
    </w:pPr>
    <w:rPr>
      <w:rFonts w:ascii="Arial" w:hAnsi="宋体" w:cs="宋体"/>
      <w:bCs/>
      <w:szCs w:val="20"/>
    </w:rPr>
  </w:style>
  <w:style w:type="paragraph" w:customStyle="1" w:styleId="1899">
    <w:name w:val="样式 报告表文字01 + Arial 小四 首行缩进:  2 字符1"/>
    <w:basedOn w:val="1"/>
    <w:qFormat/>
    <w:uiPriority w:val="0"/>
    <w:pPr>
      <w:tabs>
        <w:tab w:val="clear" w:pos="480"/>
      </w:tabs>
      <w:spacing w:line="480" w:lineRule="exact"/>
      <w:ind w:firstLine="471"/>
    </w:pPr>
    <w:rPr>
      <w:rFonts w:ascii="Arial" w:hAnsi="宋体" w:cs="宋体"/>
      <w:bCs/>
      <w:szCs w:val="20"/>
    </w:rPr>
  </w:style>
  <w:style w:type="paragraph" w:customStyle="1" w:styleId="1900">
    <w:name w:val="表头名称"/>
    <w:basedOn w:val="1"/>
    <w:qFormat/>
    <w:uiPriority w:val="0"/>
    <w:pPr>
      <w:tabs>
        <w:tab w:val="clear" w:pos="480"/>
      </w:tabs>
      <w:spacing w:line="480" w:lineRule="exact"/>
    </w:pPr>
    <w:rPr>
      <w:rFonts w:eastAsia="黑体"/>
      <w:sz w:val="28"/>
    </w:rPr>
  </w:style>
  <w:style w:type="paragraph" w:customStyle="1" w:styleId="1901">
    <w:name w:val="样式 加粗 黑色 首行缩进:  0.83 厘米 行距: 固定值 24 磅"/>
    <w:basedOn w:val="1"/>
    <w:qFormat/>
    <w:uiPriority w:val="0"/>
    <w:pPr>
      <w:tabs>
        <w:tab w:val="clear" w:pos="480"/>
      </w:tabs>
      <w:spacing w:line="480" w:lineRule="exact"/>
      <w:ind w:firstLine="471"/>
    </w:pPr>
    <w:rPr>
      <w:rFonts w:ascii="Arial" w:hAnsi="Arial" w:cs="宋体"/>
      <w:b/>
      <w:color w:val="000000"/>
      <w:kern w:val="0"/>
    </w:rPr>
  </w:style>
  <w:style w:type="paragraph" w:customStyle="1" w:styleId="1902">
    <w:name w:val="样式 表格文字 + 字符缩放: 90%"/>
    <w:basedOn w:val="219"/>
    <w:qFormat/>
    <w:uiPriority w:val="0"/>
    <w:pPr>
      <w:wordWrap w:val="0"/>
      <w:topLinePunct/>
    </w:pPr>
    <w:rPr>
      <w:rFonts w:hAnsi="Arial" w:cs="Arial Unicode MS"/>
      <w:color w:val="000000"/>
      <w:kern w:val="0"/>
      <w:szCs w:val="20"/>
      <w:lang w:val="eu-ES"/>
    </w:rPr>
  </w:style>
  <w:style w:type="paragraph" w:customStyle="1" w:styleId="1903">
    <w:name w:val="样式 标题 2 + 段后: 12 磅"/>
    <w:basedOn w:val="4"/>
    <w:qFormat/>
    <w:uiPriority w:val="0"/>
    <w:pPr>
      <w:numPr>
        <w:ilvl w:val="0"/>
        <w:numId w:val="0"/>
      </w:numPr>
      <w:tabs>
        <w:tab w:val="left" w:pos="420"/>
        <w:tab w:val="clear" w:pos="480"/>
        <w:tab w:val="clear" w:pos="630"/>
      </w:tabs>
      <w:spacing w:beforeLines="50" w:afterLines="50" w:line="480" w:lineRule="exact"/>
      <w:jc w:val="center"/>
    </w:pPr>
    <w:rPr>
      <w:rFonts w:ascii="黑体" w:hAnsi="Arial" w:eastAsia="黑体" w:cs="宋体"/>
      <w:b w:val="0"/>
      <w:bCs w:val="0"/>
      <w:sz w:val="30"/>
      <w:szCs w:val="30"/>
    </w:rPr>
  </w:style>
  <w:style w:type="paragraph" w:customStyle="1" w:styleId="1904">
    <w:name w:val="样式 标题 3 + 段后: 12 磅"/>
    <w:basedOn w:val="5"/>
    <w:qFormat/>
    <w:uiPriority w:val="0"/>
    <w:pPr>
      <w:keepLines w:val="0"/>
      <w:numPr>
        <w:ilvl w:val="1"/>
        <w:numId w:val="0"/>
      </w:numPr>
      <w:tabs>
        <w:tab w:val="clear" w:pos="480"/>
        <w:tab w:val="clear" w:pos="840"/>
      </w:tabs>
      <w:spacing w:beforeLines="50" w:after="240" w:line="480" w:lineRule="exact"/>
      <w:jc w:val="center"/>
    </w:pPr>
    <w:rPr>
      <w:rFonts w:ascii="黑体" w:hAnsi="黑体" w:eastAsia="黑体" w:cs="宋体"/>
      <w:sz w:val="24"/>
      <w:szCs w:val="24"/>
    </w:rPr>
  </w:style>
  <w:style w:type="paragraph" w:customStyle="1" w:styleId="1905">
    <w:name w:val="样式 宋体 行距: 固定值 21 磅"/>
    <w:basedOn w:val="1"/>
    <w:qFormat/>
    <w:uiPriority w:val="0"/>
    <w:pPr>
      <w:tabs>
        <w:tab w:val="clear" w:pos="480"/>
      </w:tabs>
      <w:spacing w:line="480" w:lineRule="exact"/>
      <w:ind w:firstLine="471"/>
    </w:pPr>
    <w:rPr>
      <w:rFonts w:ascii="Arial" w:hAnsi="Arial" w:cs="宋体"/>
      <w:bCs/>
    </w:rPr>
  </w:style>
  <w:style w:type="paragraph" w:customStyle="1" w:styleId="1906">
    <w:name w:val="样式 样式 表格文字 + (中文) 黑体 小四 加粗 左侧:  0.83 厘米 段前: 7.8 磅 行距: 固定值 24 磅 +..."/>
    <w:basedOn w:val="219"/>
    <w:qFormat/>
    <w:uiPriority w:val="0"/>
    <w:pPr>
      <w:wordWrap w:val="0"/>
      <w:topLinePunct/>
    </w:pPr>
    <w:rPr>
      <w:rFonts w:ascii="Arial" w:hAnsi="Arial" w:eastAsia="黑体" w:cs="Arial Unicode MS"/>
      <w:b/>
      <w:color w:val="000000"/>
      <w:kern w:val="0"/>
      <w:sz w:val="24"/>
      <w:szCs w:val="20"/>
      <w:lang w:val="eu-ES"/>
    </w:rPr>
  </w:style>
  <w:style w:type="paragraph" w:customStyle="1" w:styleId="1907">
    <w:name w:val="样式 表格文字 + (中文) 黑体 加粗 左侧:  0.83 厘米 段前: 7.8 磅 行距: 固定值 24 磅"/>
    <w:basedOn w:val="219"/>
    <w:qFormat/>
    <w:uiPriority w:val="0"/>
    <w:pPr>
      <w:wordWrap w:val="0"/>
      <w:topLinePunct/>
    </w:pPr>
    <w:rPr>
      <w:rFonts w:ascii="Arial" w:hAnsi="Arial" w:eastAsia="黑体" w:cs="宋体"/>
      <w:b/>
      <w:bCs/>
      <w:snapToGrid w:val="0"/>
      <w:color w:val="000000"/>
      <w:kern w:val="0"/>
      <w:szCs w:val="21"/>
      <w:lang w:val="eu-ES"/>
    </w:rPr>
  </w:style>
  <w:style w:type="paragraph" w:customStyle="1" w:styleId="1908">
    <w:name w:val="样式 报告表文字01 + 首行缩进:  2 字符"/>
    <w:basedOn w:val="1"/>
    <w:qFormat/>
    <w:uiPriority w:val="0"/>
    <w:pPr>
      <w:tabs>
        <w:tab w:val="clear" w:pos="480"/>
      </w:tabs>
      <w:spacing w:line="240" w:lineRule="auto"/>
      <w:jc w:val="center"/>
    </w:pPr>
    <w:rPr>
      <w:rFonts w:ascii="Arial" w:hAnsi="Arial" w:cs="宋体"/>
      <w:bCs/>
    </w:rPr>
  </w:style>
  <w:style w:type="paragraph" w:customStyle="1" w:styleId="1909">
    <w:name w:val="样式 标题 11"/>
    <w:basedOn w:val="83"/>
    <w:next w:val="1"/>
    <w:qFormat/>
    <w:uiPriority w:val="0"/>
    <w:pPr>
      <w:keepNext/>
      <w:pageBreakBefore/>
      <w:widowControl w:val="0"/>
      <w:adjustRightInd/>
      <w:snapToGrid/>
      <w:spacing w:before="120" w:after="120"/>
      <w:ind w:firstLine="0" w:firstLineChars="0"/>
    </w:pPr>
    <w:rPr>
      <w:rFonts w:ascii="黑体" w:eastAsia="黑体" w:cs="宋体"/>
      <w:color w:val="auto"/>
      <w:sz w:val="36"/>
      <w:szCs w:val="36"/>
    </w:rPr>
  </w:style>
  <w:style w:type="paragraph" w:customStyle="1" w:styleId="1910">
    <w:name w:val="样式 标题 1 + 段前: 0.5 行 段后: 0.5 行1"/>
    <w:basedOn w:val="3"/>
    <w:next w:val="1"/>
    <w:qFormat/>
    <w:uiPriority w:val="0"/>
    <w:pPr>
      <w:pageBreakBefore/>
      <w:numPr>
        <w:numId w:val="0"/>
      </w:numPr>
      <w:tabs>
        <w:tab w:val="clear" w:pos="480"/>
      </w:tabs>
      <w:spacing w:beforeLines="150" w:after="163" w:line="480" w:lineRule="exact"/>
      <w:jc w:val="center"/>
    </w:pPr>
    <w:rPr>
      <w:rFonts w:ascii="Times New Roman" w:hAnsi="Arial" w:eastAsia="黑体" w:cs="宋体"/>
      <w:b w:val="0"/>
      <w:color w:val="FF0000"/>
      <w:kern w:val="2"/>
      <w:szCs w:val="20"/>
      <w:lang w:val="en-GB"/>
    </w:rPr>
  </w:style>
  <w:style w:type="paragraph" w:customStyle="1" w:styleId="1911">
    <w:name w:val="样式 标题 1 + 段前: 0.5 行 段后: 0.5 行2"/>
    <w:basedOn w:val="3"/>
    <w:qFormat/>
    <w:uiPriority w:val="0"/>
    <w:pPr>
      <w:pageBreakBefore/>
      <w:numPr>
        <w:numId w:val="0"/>
      </w:numPr>
      <w:tabs>
        <w:tab w:val="clear" w:pos="480"/>
      </w:tabs>
      <w:spacing w:beforeLines="150" w:after="50" w:line="480" w:lineRule="exact"/>
      <w:jc w:val="center"/>
    </w:pPr>
    <w:rPr>
      <w:rFonts w:ascii="Times New Roman" w:hAnsi="Arial" w:eastAsia="黑体" w:cs="宋体"/>
      <w:b w:val="0"/>
      <w:color w:val="FF0000"/>
      <w:kern w:val="2"/>
      <w:szCs w:val="20"/>
      <w:lang w:val="en-GB"/>
    </w:rPr>
  </w:style>
  <w:style w:type="paragraph" w:customStyle="1" w:styleId="1912">
    <w:name w:val="样式 样式 纯文本 + + Arial 五号"/>
    <w:basedOn w:val="1"/>
    <w:qFormat/>
    <w:uiPriority w:val="0"/>
    <w:pPr>
      <w:tabs>
        <w:tab w:val="clear" w:pos="480"/>
      </w:tabs>
      <w:spacing w:line="240" w:lineRule="auto"/>
      <w:jc w:val="center"/>
    </w:pPr>
    <w:rPr>
      <w:rFonts w:ascii="Arial" w:hAnsi="Arial"/>
      <w:bCs/>
      <w:kern w:val="0"/>
      <w:sz w:val="21"/>
      <w:szCs w:val="21"/>
    </w:rPr>
  </w:style>
  <w:style w:type="paragraph" w:customStyle="1" w:styleId="1913">
    <w:name w:val="样式 首行缩进:  0 字符"/>
    <w:basedOn w:val="1"/>
    <w:qFormat/>
    <w:uiPriority w:val="0"/>
    <w:pPr>
      <w:tabs>
        <w:tab w:val="clear" w:pos="480"/>
      </w:tabs>
      <w:spacing w:line="480" w:lineRule="exact"/>
      <w:ind w:firstLine="471"/>
    </w:pPr>
    <w:rPr>
      <w:rFonts w:ascii="Arial" w:hAnsi="Arial" w:cs="宋体"/>
      <w:bCs/>
      <w:szCs w:val="20"/>
    </w:rPr>
  </w:style>
  <w:style w:type="paragraph" w:customStyle="1" w:styleId="1914">
    <w:name w:val="报告表名字"/>
    <w:basedOn w:val="1"/>
    <w:next w:val="1"/>
    <w:qFormat/>
    <w:uiPriority w:val="0"/>
    <w:pPr>
      <w:tabs>
        <w:tab w:val="clear" w:pos="480"/>
      </w:tabs>
      <w:spacing w:line="480" w:lineRule="exact"/>
      <w:ind w:firstLine="480"/>
    </w:pPr>
    <w:rPr>
      <w:rFonts w:ascii="Arial" w:hAnsi="Arial"/>
      <w:bCs/>
    </w:rPr>
  </w:style>
  <w:style w:type="paragraph" w:customStyle="1" w:styleId="1915">
    <w:name w:val="样式 标题 1 + 首行缩进:  0.5 字符"/>
    <w:basedOn w:val="3"/>
    <w:qFormat/>
    <w:uiPriority w:val="0"/>
    <w:pPr>
      <w:keepNext w:val="0"/>
      <w:numPr>
        <w:numId w:val="0"/>
      </w:numPr>
      <w:tabs>
        <w:tab w:val="clear" w:pos="480"/>
      </w:tabs>
      <w:spacing w:beforeLines="150" w:after="120" w:line="480" w:lineRule="exact"/>
      <w:jc w:val="center"/>
    </w:pPr>
    <w:rPr>
      <w:rFonts w:ascii="Times New Roman" w:hAnsi="Arial" w:eastAsia="黑体" w:cs="宋体"/>
      <w:b w:val="0"/>
      <w:color w:val="FF0000"/>
      <w:kern w:val="0"/>
      <w:szCs w:val="20"/>
      <w:lang w:val="en-GB"/>
    </w:rPr>
  </w:style>
  <w:style w:type="paragraph" w:customStyle="1" w:styleId="1916">
    <w:name w:val="编号文字"/>
    <w:basedOn w:val="1"/>
    <w:qFormat/>
    <w:uiPriority w:val="0"/>
    <w:pPr>
      <w:tabs>
        <w:tab w:val="clear" w:pos="480"/>
      </w:tabs>
      <w:spacing w:line="480" w:lineRule="exact"/>
      <w:ind w:firstLine="471"/>
    </w:pPr>
    <w:rPr>
      <w:rFonts w:ascii="Arial" w:hAnsi="Arial"/>
      <w:bCs/>
    </w:rPr>
  </w:style>
  <w:style w:type="paragraph" w:customStyle="1" w:styleId="1917">
    <w:name w:val="样式 题注 + 黑色 居中"/>
    <w:basedOn w:val="22"/>
    <w:qFormat/>
    <w:uiPriority w:val="0"/>
    <w:pPr>
      <w:widowControl w:val="0"/>
      <w:adjustRightInd/>
      <w:snapToGrid/>
      <w:spacing w:before="0" w:after="0" w:line="240" w:lineRule="auto"/>
      <w:ind w:firstLine="0" w:firstLineChars="0"/>
    </w:pPr>
    <w:rPr>
      <w:rFonts w:ascii="黑体" w:eastAsia="黑体" w:cs="宋体"/>
      <w:bCs/>
      <w:szCs w:val="24"/>
    </w:rPr>
  </w:style>
  <w:style w:type="paragraph" w:customStyle="1" w:styleId="1918">
    <w:name w:val="样式 标题 3 + 黑体 小四"/>
    <w:basedOn w:val="5"/>
    <w:qFormat/>
    <w:uiPriority w:val="0"/>
    <w:pPr>
      <w:keepLines w:val="0"/>
      <w:numPr>
        <w:ilvl w:val="1"/>
        <w:numId w:val="0"/>
      </w:numPr>
      <w:tabs>
        <w:tab w:val="clear" w:pos="480"/>
        <w:tab w:val="clear" w:pos="840"/>
      </w:tabs>
      <w:spacing w:before="260" w:line="413" w:lineRule="auto"/>
    </w:pPr>
    <w:rPr>
      <w:rFonts w:ascii="黑体" w:hAnsi="黑体" w:eastAsia="黑体"/>
      <w:sz w:val="24"/>
      <w:szCs w:val="24"/>
    </w:rPr>
  </w:style>
  <w:style w:type="paragraph" w:customStyle="1" w:styleId="1919">
    <w:name w:val="样式 标题 1 + (中文) 黑体"/>
    <w:basedOn w:val="3"/>
    <w:qFormat/>
    <w:uiPriority w:val="0"/>
    <w:pPr>
      <w:pageBreakBefore/>
      <w:numPr>
        <w:numId w:val="0"/>
      </w:numPr>
      <w:tabs>
        <w:tab w:val="clear" w:pos="480"/>
      </w:tabs>
      <w:spacing w:beforeLines="150" w:after="120" w:line="576" w:lineRule="auto"/>
      <w:jc w:val="center"/>
    </w:pPr>
    <w:rPr>
      <w:rFonts w:ascii="Times New Roman" w:eastAsia="黑体"/>
      <w:b w:val="0"/>
      <w:bCs w:val="0"/>
      <w:color w:val="FF0000"/>
      <w:kern w:val="2"/>
      <w:szCs w:val="36"/>
      <w:lang w:val="en-GB"/>
    </w:rPr>
  </w:style>
  <w:style w:type="paragraph" w:customStyle="1" w:styleId="1920">
    <w:name w:val="样式 普通(网站) + ˎ̥ 11.5 磅 黑色 首行缩进:  0.81 厘米 段前: 自动 段后: 自动 行距: ..."/>
    <w:basedOn w:val="80"/>
    <w:qFormat/>
    <w:uiPriority w:val="0"/>
    <w:pPr>
      <w:spacing w:before="190" w:after="190" w:line="375" w:lineRule="atLeast"/>
      <w:ind w:firstLine="460"/>
    </w:pPr>
    <w:rPr>
      <w:rFonts w:ascii="ˎ̥" w:hAnsi="ˎ̥" w:eastAsia="宋体" w:cs="宋体"/>
      <w:bCs/>
      <w:color w:val="000000"/>
      <w:sz w:val="23"/>
      <w:szCs w:val="20"/>
    </w:rPr>
  </w:style>
  <w:style w:type="paragraph" w:customStyle="1" w:styleId="1921">
    <w:name w:val="样式 标题 2 + 首行缩进:  2 字符4"/>
    <w:basedOn w:val="4"/>
    <w:qFormat/>
    <w:uiPriority w:val="0"/>
    <w:pPr>
      <w:numPr>
        <w:ilvl w:val="0"/>
        <w:numId w:val="0"/>
      </w:numPr>
      <w:tabs>
        <w:tab w:val="left" w:pos="420"/>
        <w:tab w:val="clear" w:pos="480"/>
        <w:tab w:val="clear" w:pos="630"/>
      </w:tabs>
      <w:spacing w:beforeLines="50" w:afterLines="50" w:line="480" w:lineRule="exact"/>
      <w:ind w:firstLine="471"/>
      <w:jc w:val="left"/>
    </w:pPr>
    <w:rPr>
      <w:rFonts w:ascii="黑体" w:hAnsi="Arial" w:eastAsia="黑体" w:cs="宋体"/>
      <w:b w:val="0"/>
      <w:kern w:val="0"/>
      <w:sz w:val="24"/>
      <w:szCs w:val="24"/>
    </w:rPr>
  </w:style>
  <w:style w:type="paragraph" w:customStyle="1" w:styleId="1922">
    <w:name w:val="样式 表格名称 +"/>
    <w:basedOn w:val="1541"/>
    <w:qFormat/>
    <w:uiPriority w:val="0"/>
    <w:pPr>
      <w:keepNext/>
      <w:keepLines/>
      <w:wordWrap w:val="0"/>
      <w:topLinePunct/>
      <w:spacing w:line="240" w:lineRule="auto"/>
      <w:ind w:firstLine="471" w:firstLineChars="0"/>
    </w:pPr>
    <w:rPr>
      <w:rFonts w:ascii="黑体" w:hAnsi="宋体" w:eastAsia="黑体"/>
      <w:b w:val="0"/>
      <w:szCs w:val="24"/>
    </w:rPr>
  </w:style>
  <w:style w:type="paragraph" w:customStyle="1" w:styleId="1923">
    <w:name w:val="样式 报告表标题02 + 首行缩进:  2 字符"/>
    <w:basedOn w:val="1"/>
    <w:qFormat/>
    <w:uiPriority w:val="0"/>
    <w:pPr>
      <w:tabs>
        <w:tab w:val="clear" w:pos="480"/>
      </w:tabs>
      <w:spacing w:afterLines="50" w:line="480" w:lineRule="exact"/>
    </w:pPr>
    <w:rPr>
      <w:rFonts w:ascii="Arial" w:hAnsi="Arial" w:cs="宋体"/>
      <w:b/>
    </w:rPr>
  </w:style>
  <w:style w:type="paragraph" w:customStyle="1" w:styleId="1924">
    <w:name w:val="样式 标题 1"/>
    <w:basedOn w:val="83"/>
    <w:next w:val="1"/>
    <w:qFormat/>
    <w:uiPriority w:val="0"/>
    <w:pPr>
      <w:keepNext/>
      <w:pageBreakBefore/>
      <w:widowControl w:val="0"/>
      <w:adjustRightInd/>
      <w:snapToGrid/>
      <w:spacing w:before="120" w:after="120" w:line="520" w:lineRule="exact"/>
      <w:ind w:firstLine="471" w:firstLineChars="0"/>
    </w:pPr>
    <w:rPr>
      <w:rFonts w:ascii="黑体" w:eastAsia="黑体" w:cs="宋体"/>
      <w:color w:val="auto"/>
      <w:sz w:val="36"/>
      <w:szCs w:val="36"/>
    </w:rPr>
  </w:style>
  <w:style w:type="paragraph" w:customStyle="1" w:styleId="1925">
    <w:name w:val="样式 环评1 + 段前: 6 磅 段后: 6 磅 行距: 单倍行距"/>
    <w:basedOn w:val="1"/>
    <w:qFormat/>
    <w:uiPriority w:val="0"/>
    <w:pPr>
      <w:keepNext/>
      <w:keepLines/>
      <w:widowControl/>
      <w:tabs>
        <w:tab w:val="clear" w:pos="480"/>
      </w:tabs>
      <w:spacing w:before="120" w:after="120" w:line="240" w:lineRule="auto"/>
      <w:ind w:firstLine="471"/>
      <w:outlineLvl w:val="0"/>
    </w:pPr>
    <w:rPr>
      <w:rFonts w:ascii="黑体" w:hAnsi="Arial Rounded MT Bold" w:eastAsia="黑体" w:cs="宋体"/>
      <w:spacing w:val="20"/>
      <w:kern w:val="44"/>
      <w:sz w:val="48"/>
      <w:szCs w:val="48"/>
    </w:rPr>
  </w:style>
  <w:style w:type="paragraph" w:customStyle="1" w:styleId="1926">
    <w:name w:val="样式 标题 3 + 首行缩进:  0.5 字符"/>
    <w:basedOn w:val="5"/>
    <w:qFormat/>
    <w:uiPriority w:val="0"/>
    <w:pPr>
      <w:keepLines w:val="0"/>
      <w:widowControl/>
      <w:numPr>
        <w:ilvl w:val="1"/>
        <w:numId w:val="0"/>
      </w:numPr>
      <w:tabs>
        <w:tab w:val="left" w:pos="420"/>
        <w:tab w:val="clear" w:pos="480"/>
        <w:tab w:val="clear" w:pos="840"/>
      </w:tabs>
      <w:spacing w:beforeLines="50" w:after="50" w:line="480" w:lineRule="exact"/>
      <w:ind w:firstLine="471"/>
    </w:pPr>
    <w:rPr>
      <w:rFonts w:ascii="黑体" w:hAnsi="黑体" w:eastAsia="黑体" w:cs="宋体"/>
      <w:bCs w:val="0"/>
      <w:kern w:val="0"/>
      <w:sz w:val="24"/>
      <w:szCs w:val="24"/>
    </w:rPr>
  </w:style>
  <w:style w:type="paragraph" w:customStyle="1" w:styleId="1927">
    <w:name w:val="样式 标题 3ReHead 3 WSAh3B HeadH3Section小标题小节标题H31H32H33..."/>
    <w:basedOn w:val="5"/>
    <w:qFormat/>
    <w:uiPriority w:val="0"/>
    <w:pPr>
      <w:keepLines w:val="0"/>
      <w:numPr>
        <w:ilvl w:val="1"/>
        <w:numId w:val="0"/>
      </w:numPr>
      <w:tabs>
        <w:tab w:val="clear" w:pos="480"/>
        <w:tab w:val="clear" w:pos="840"/>
      </w:tabs>
      <w:spacing w:after="0" w:line="240" w:lineRule="auto"/>
      <w:ind w:firstLine="471"/>
    </w:pPr>
    <w:rPr>
      <w:rFonts w:ascii="黑体" w:hAnsi="黑体" w:eastAsia="黑体" w:cs="宋体"/>
      <w:b w:val="0"/>
      <w:bCs w:val="0"/>
      <w:sz w:val="24"/>
      <w:szCs w:val="24"/>
    </w:rPr>
  </w:style>
  <w:style w:type="paragraph" w:customStyle="1" w:styleId="1928">
    <w:name w:val="法律法规文字"/>
    <w:basedOn w:val="1"/>
    <w:qFormat/>
    <w:uiPriority w:val="0"/>
    <w:pPr>
      <w:numPr>
        <w:ilvl w:val="0"/>
        <w:numId w:val="24"/>
      </w:numPr>
      <w:tabs>
        <w:tab w:val="clear" w:pos="480"/>
      </w:tabs>
      <w:spacing w:line="480" w:lineRule="exact"/>
    </w:pPr>
    <w:rPr>
      <w:rFonts w:ascii="Arial" w:hAnsi="Arial"/>
      <w:bCs/>
      <w:szCs w:val="20"/>
    </w:rPr>
  </w:style>
  <w:style w:type="paragraph" w:customStyle="1" w:styleId="1929">
    <w:name w:val="样式 标题 1Head 1ws标题 1标1章..."/>
    <w:basedOn w:val="3"/>
    <w:qFormat/>
    <w:uiPriority w:val="0"/>
    <w:pPr>
      <w:pageBreakBefore/>
      <w:numPr>
        <w:numId w:val="0"/>
      </w:numPr>
      <w:tabs>
        <w:tab w:val="clear" w:pos="480"/>
      </w:tabs>
      <w:adjustRightInd w:val="0"/>
      <w:spacing w:beforeLines="50" w:after="120" w:line="480" w:lineRule="exact"/>
      <w:jc w:val="center"/>
      <w:textAlignment w:val="baseline"/>
    </w:pPr>
    <w:rPr>
      <w:rFonts w:ascii="Times New Roman" w:hAnsi="Arial" w:eastAsia="黑体" w:cs="宋体"/>
      <w:b w:val="0"/>
      <w:color w:val="FF0000"/>
      <w:sz w:val="30"/>
      <w:szCs w:val="20"/>
    </w:rPr>
  </w:style>
  <w:style w:type="paragraph" w:customStyle="1" w:styleId="1930">
    <w:name w:val="样式 首行缩进:  2 字符3"/>
    <w:basedOn w:val="1"/>
    <w:qFormat/>
    <w:uiPriority w:val="0"/>
    <w:pPr>
      <w:tabs>
        <w:tab w:val="clear" w:pos="480"/>
      </w:tabs>
      <w:spacing w:line="480" w:lineRule="exact"/>
      <w:ind w:firstLine="471"/>
    </w:pPr>
    <w:rPr>
      <w:rFonts w:ascii="Arial" w:hAnsi="Arial" w:cs="宋体"/>
      <w:bCs/>
    </w:rPr>
  </w:style>
  <w:style w:type="paragraph" w:customStyle="1" w:styleId="1931">
    <w:name w:val="样式 标题 1标题 1 Char Char标题 1 CharH1Heading 11level 1Level 1 H..."/>
    <w:basedOn w:val="3"/>
    <w:qFormat/>
    <w:uiPriority w:val="0"/>
    <w:pPr>
      <w:keepLines w:val="0"/>
      <w:pageBreakBefore/>
      <w:widowControl/>
      <w:numPr>
        <w:numId w:val="0"/>
      </w:numPr>
      <w:tabs>
        <w:tab w:val="right" w:pos="8640"/>
        <w:tab w:val="clear" w:pos="480"/>
      </w:tabs>
      <w:overflowPunct w:val="0"/>
      <w:autoSpaceDE w:val="0"/>
      <w:autoSpaceDN w:val="0"/>
      <w:adjustRightInd w:val="0"/>
      <w:spacing w:beforeLines="150" w:after="120"/>
      <w:jc w:val="center"/>
      <w:textAlignment w:val="baseline"/>
    </w:pPr>
    <w:rPr>
      <w:rFonts w:ascii="Times New Roman" w:eastAsia="黑体" w:cs="宋体"/>
      <w:b w:val="0"/>
      <w:bCs w:val="0"/>
      <w:color w:val="FF0000"/>
      <w:kern w:val="28"/>
      <w:szCs w:val="36"/>
    </w:rPr>
  </w:style>
  <w:style w:type="paragraph" w:customStyle="1" w:styleId="1932">
    <w:name w:val="样式 环评1.1.1.1 + 左侧:  1 字符 右侧:  1 字符"/>
    <w:basedOn w:val="1"/>
    <w:qFormat/>
    <w:uiPriority w:val="0"/>
    <w:pPr>
      <w:keepNext/>
      <w:keepLines/>
      <w:tabs>
        <w:tab w:val="clear" w:pos="480"/>
      </w:tabs>
      <w:spacing w:line="480" w:lineRule="exact"/>
      <w:ind w:firstLine="471"/>
      <w:outlineLvl w:val="3"/>
    </w:pPr>
    <w:rPr>
      <w:rFonts w:ascii="Arial" w:hAnsi="Arial" w:cs="宋体"/>
      <w:b/>
    </w:rPr>
  </w:style>
  <w:style w:type="paragraph" w:customStyle="1" w:styleId="1933">
    <w:name w:val="样式 标题 2标题 2 Char CharH2Heading 2 HiddenHeading 2 CCBSHD2节..."/>
    <w:basedOn w:val="4"/>
    <w:qFormat/>
    <w:uiPriority w:val="0"/>
    <w:pPr>
      <w:keepLines w:val="0"/>
      <w:widowControl/>
      <w:numPr>
        <w:ilvl w:val="0"/>
        <w:numId w:val="0"/>
      </w:numPr>
      <w:tabs>
        <w:tab w:val="left" w:pos="420"/>
        <w:tab w:val="right" w:pos="8640"/>
        <w:tab w:val="clear" w:pos="480"/>
        <w:tab w:val="clear" w:pos="630"/>
      </w:tabs>
      <w:overflowPunct w:val="0"/>
      <w:autoSpaceDE w:val="0"/>
      <w:autoSpaceDN w:val="0"/>
      <w:spacing w:beforeLines="50" w:afterLines="50"/>
      <w:ind w:firstLine="470"/>
      <w:jc w:val="left"/>
    </w:pPr>
    <w:rPr>
      <w:rFonts w:ascii="黑体" w:eastAsia="黑体" w:cs="宋体"/>
      <w:b w:val="0"/>
      <w:bCs w:val="0"/>
      <w:kern w:val="28"/>
      <w:sz w:val="28"/>
      <w:szCs w:val="28"/>
    </w:rPr>
  </w:style>
  <w:style w:type="paragraph" w:customStyle="1" w:styleId="1934">
    <w:name w:val="样式 标题 3标题 3 Char Char Char标题 3 Char Char Char Char Char Char标...1"/>
    <w:basedOn w:val="5"/>
    <w:qFormat/>
    <w:uiPriority w:val="0"/>
    <w:pPr>
      <w:keepLines w:val="0"/>
      <w:numPr>
        <w:ilvl w:val="1"/>
        <w:numId w:val="0"/>
      </w:numPr>
      <w:tabs>
        <w:tab w:val="clear" w:pos="480"/>
        <w:tab w:val="clear" w:pos="840"/>
      </w:tabs>
      <w:adjustRightInd w:val="0"/>
      <w:spacing w:after="0" w:line="360" w:lineRule="auto"/>
      <w:ind w:firstLine="471"/>
    </w:pPr>
    <w:rPr>
      <w:rFonts w:ascii="黑体" w:eastAsia="黑体" w:cs="宋体"/>
      <w:b w:val="0"/>
      <w:bCs w:val="0"/>
      <w:kern w:val="28"/>
      <w:sz w:val="24"/>
      <w:szCs w:val="24"/>
    </w:rPr>
  </w:style>
  <w:style w:type="paragraph" w:customStyle="1" w:styleId="1935">
    <w:name w:val="样式 (符号) 宋体 小四 行距: 1.5 倍行距"/>
    <w:basedOn w:val="1"/>
    <w:qFormat/>
    <w:uiPriority w:val="0"/>
    <w:pPr>
      <w:tabs>
        <w:tab w:val="clear" w:pos="480"/>
      </w:tabs>
      <w:ind w:firstLine="471"/>
    </w:pPr>
    <w:rPr>
      <w:rFonts w:hAnsi="宋体" w:cs="宋体"/>
      <w:bCs/>
      <w:szCs w:val="20"/>
    </w:rPr>
  </w:style>
  <w:style w:type="paragraph" w:customStyle="1" w:styleId="1936">
    <w:name w:val="分标题"/>
    <w:basedOn w:val="1"/>
    <w:semiHidden/>
    <w:qFormat/>
    <w:uiPriority w:val="0"/>
    <w:pPr>
      <w:keepNext/>
      <w:keepLines/>
      <w:suppressLineNumbers/>
      <w:tabs>
        <w:tab w:val="clear" w:pos="480"/>
      </w:tabs>
      <w:autoSpaceDE w:val="0"/>
      <w:autoSpaceDN w:val="0"/>
      <w:adjustRightInd w:val="0"/>
      <w:spacing w:after="120" w:line="400" w:lineRule="atLeast"/>
      <w:textAlignment w:val="baseline"/>
    </w:pPr>
    <w:rPr>
      <w:rFonts w:ascii="宋体" w:hAnsi="Tms Rmn" w:cs="宋体"/>
      <w:b/>
      <w:kern w:val="0"/>
      <w:u w:val="single"/>
      <w:lang w:val="en-GB"/>
    </w:rPr>
  </w:style>
  <w:style w:type="paragraph" w:customStyle="1" w:styleId="1937">
    <w:name w:val="条目"/>
    <w:basedOn w:val="1"/>
    <w:semiHidden/>
    <w:qFormat/>
    <w:uiPriority w:val="0"/>
    <w:pPr>
      <w:widowControl/>
      <w:tabs>
        <w:tab w:val="left" w:pos="1620"/>
        <w:tab w:val="clear" w:pos="480"/>
      </w:tabs>
      <w:overflowPunct w:val="0"/>
      <w:autoSpaceDE w:val="0"/>
      <w:autoSpaceDN w:val="0"/>
      <w:adjustRightInd w:val="0"/>
      <w:spacing w:before="60" w:after="60" w:line="400" w:lineRule="atLeast"/>
      <w:ind w:left="709"/>
      <w:textAlignment w:val="baseline"/>
    </w:pPr>
    <w:rPr>
      <w:rFonts w:ascii="宋体" w:hAnsi="Tms Rmn" w:cs="宋体"/>
      <w:bCs/>
      <w:kern w:val="0"/>
    </w:rPr>
  </w:style>
  <w:style w:type="character" w:customStyle="1" w:styleId="1938">
    <w:name w:val="小标题 Char Char"/>
    <w:semiHidden/>
    <w:qFormat/>
    <w:uiPriority w:val="0"/>
    <w:rPr>
      <w:rFonts w:ascii="Arial" w:hAnsi="Arial" w:eastAsia="宋体"/>
      <w:b/>
      <w:bCs/>
      <w:kern w:val="2"/>
      <w:sz w:val="24"/>
      <w:szCs w:val="24"/>
      <w:u w:val="words"/>
      <w:lang w:val="en-US" w:eastAsia="zh-CN" w:bidi="ar-SA"/>
    </w:rPr>
  </w:style>
  <w:style w:type="character" w:customStyle="1" w:styleId="1939">
    <w:name w:val="小标题1"/>
    <w:semiHidden/>
    <w:qFormat/>
    <w:uiPriority w:val="0"/>
    <w:rPr>
      <w:rFonts w:ascii="Arial" w:hAnsi="Arial" w:eastAsia="宋体"/>
      <w:b/>
      <w:bCs/>
      <w:kern w:val="2"/>
      <w:sz w:val="24"/>
      <w:szCs w:val="24"/>
      <w:u w:val="single"/>
      <w:lang w:val="en-US" w:eastAsia="zh-CN" w:bidi="ar-SA"/>
    </w:rPr>
  </w:style>
  <w:style w:type="paragraph" w:customStyle="1" w:styleId="1940">
    <w:name w:val="样式 报告 + 段前: 0.2 行 段后: 0.2 行 左  0 字符 首行缩进:  2 字符"/>
    <w:basedOn w:val="1"/>
    <w:semiHidden/>
    <w:qFormat/>
    <w:uiPriority w:val="0"/>
    <w:pPr>
      <w:tabs>
        <w:tab w:val="clear" w:pos="480"/>
      </w:tabs>
      <w:overflowPunct w:val="0"/>
      <w:autoSpaceDE w:val="0"/>
      <w:autoSpaceDN w:val="0"/>
      <w:adjustRightInd w:val="0"/>
      <w:spacing w:beforeLines="20" w:afterLines="20" w:line="440" w:lineRule="atLeast"/>
      <w:ind w:firstLine="480"/>
      <w:textAlignment w:val="baseline"/>
    </w:pPr>
    <w:rPr>
      <w:rFonts w:ascii="Arial" w:hAnsi="Arial"/>
      <w:bCs/>
      <w:kern w:val="0"/>
    </w:rPr>
  </w:style>
  <w:style w:type="paragraph" w:customStyle="1" w:styleId="1941">
    <w:name w:val="样式 报告 + 段前: 0.3 行 段后: 0.3 行1"/>
    <w:basedOn w:val="1"/>
    <w:semiHidden/>
    <w:qFormat/>
    <w:uiPriority w:val="0"/>
    <w:pPr>
      <w:tabs>
        <w:tab w:val="clear" w:pos="480"/>
      </w:tabs>
      <w:overflowPunct w:val="0"/>
      <w:autoSpaceDE w:val="0"/>
      <w:autoSpaceDN w:val="0"/>
      <w:adjustRightInd w:val="0"/>
      <w:spacing w:beforeLines="30" w:afterLines="30" w:line="440" w:lineRule="atLeast"/>
      <w:ind w:firstLine="540" w:firstLineChars="225"/>
      <w:textAlignment w:val="baseline"/>
    </w:pPr>
    <w:rPr>
      <w:rFonts w:ascii="Arial" w:hAnsi="Arial"/>
      <w:bCs/>
      <w:kern w:val="0"/>
    </w:rPr>
  </w:style>
  <w:style w:type="paragraph" w:customStyle="1" w:styleId="1942">
    <w:name w:val="样式 报告 + 首行缩进:  0.58 字符 Char"/>
    <w:basedOn w:val="1"/>
    <w:semiHidden/>
    <w:qFormat/>
    <w:uiPriority w:val="0"/>
    <w:pPr>
      <w:tabs>
        <w:tab w:val="clear" w:pos="480"/>
      </w:tabs>
      <w:overflowPunct w:val="0"/>
      <w:autoSpaceDE w:val="0"/>
      <w:autoSpaceDN w:val="0"/>
      <w:adjustRightInd w:val="0"/>
      <w:spacing w:beforeLines="10" w:afterLines="10" w:line="440" w:lineRule="atLeast"/>
      <w:textAlignment w:val="baseline"/>
    </w:pPr>
    <w:rPr>
      <w:rFonts w:ascii="Arial" w:hAnsi="Arial"/>
      <w:bCs/>
      <w:kern w:val="0"/>
    </w:rPr>
  </w:style>
  <w:style w:type="character" w:customStyle="1" w:styleId="1943">
    <w:name w:val="样式 报告 + 首行缩进:  0.58 字符 Char Char"/>
    <w:semiHidden/>
    <w:qFormat/>
    <w:uiPriority w:val="0"/>
    <w:rPr>
      <w:rFonts w:ascii="Arial" w:hAnsi="Arial" w:eastAsia="宋体"/>
      <w:kern w:val="2"/>
      <w:sz w:val="24"/>
      <w:szCs w:val="24"/>
      <w:lang w:val="en-US" w:eastAsia="zh-CN" w:bidi="ar-SA"/>
    </w:rPr>
  </w:style>
  <w:style w:type="paragraph" w:customStyle="1" w:styleId="1944">
    <w:name w:val="样式 报告 + 首行缩进:  2 字符"/>
    <w:basedOn w:val="1"/>
    <w:semiHidden/>
    <w:qFormat/>
    <w:uiPriority w:val="0"/>
    <w:pPr>
      <w:widowControl/>
      <w:tabs>
        <w:tab w:val="clear" w:pos="480"/>
      </w:tabs>
      <w:overflowPunct w:val="0"/>
      <w:autoSpaceDE w:val="0"/>
      <w:autoSpaceDN w:val="0"/>
      <w:adjustRightInd w:val="0"/>
      <w:spacing w:before="120" w:after="120" w:line="400" w:lineRule="atLeast"/>
      <w:ind w:firstLine="480"/>
      <w:textAlignment w:val="baseline"/>
    </w:pPr>
    <w:rPr>
      <w:rFonts w:ascii="Arial" w:hAnsi="Arial"/>
      <w:bCs/>
      <w:kern w:val="0"/>
    </w:rPr>
  </w:style>
  <w:style w:type="character" w:customStyle="1" w:styleId="1945">
    <w:name w:val="样式 报告 + 首行缩进:  2 字符 Char"/>
    <w:semiHidden/>
    <w:qFormat/>
    <w:uiPriority w:val="0"/>
    <w:rPr>
      <w:rFonts w:ascii="Arial" w:hAnsi="Arial" w:eastAsia="宋体"/>
      <w:kern w:val="2"/>
      <w:sz w:val="24"/>
      <w:szCs w:val="24"/>
      <w:lang w:val="en-US" w:eastAsia="zh-CN" w:bidi="ar-SA"/>
    </w:rPr>
  </w:style>
  <w:style w:type="paragraph" w:customStyle="1" w:styleId="1946">
    <w:name w:val="样式 报告 + 首行缩进:  2 字符 段前: 0.1 行 段后: 0.1 行"/>
    <w:basedOn w:val="1"/>
    <w:semiHidden/>
    <w:qFormat/>
    <w:uiPriority w:val="0"/>
    <w:pPr>
      <w:tabs>
        <w:tab w:val="clear" w:pos="480"/>
      </w:tabs>
      <w:overflowPunct w:val="0"/>
      <w:autoSpaceDE w:val="0"/>
      <w:autoSpaceDN w:val="0"/>
      <w:adjustRightInd w:val="0"/>
      <w:spacing w:beforeLines="10" w:afterLines="10" w:line="440" w:lineRule="atLeast"/>
      <w:ind w:firstLine="497" w:firstLineChars="207"/>
      <w:textAlignment w:val="baseline"/>
    </w:pPr>
    <w:rPr>
      <w:rFonts w:ascii="Arial" w:hAnsi="Arial"/>
      <w:bCs/>
      <w:kern w:val="0"/>
      <w:lang w:val="zh-CN"/>
    </w:rPr>
  </w:style>
  <w:style w:type="paragraph" w:customStyle="1" w:styleId="1947">
    <w:name w:val="样式 报告 + 首行缩进:  2 字符 段前: 0.3 行 段后: 0.3 行"/>
    <w:basedOn w:val="1"/>
    <w:semiHidden/>
    <w:qFormat/>
    <w:uiPriority w:val="0"/>
    <w:pPr>
      <w:tabs>
        <w:tab w:val="clear" w:pos="480"/>
      </w:tabs>
      <w:spacing w:before="93" w:after="93"/>
      <w:ind w:firstLine="480"/>
    </w:pPr>
    <w:rPr>
      <w:rFonts w:ascii="Arial" w:hAnsi="Arial"/>
      <w:bCs/>
      <w:color w:val="FF0000"/>
      <w:lang w:val="en-GB"/>
    </w:rPr>
  </w:style>
  <w:style w:type="paragraph" w:customStyle="1" w:styleId="1948">
    <w:name w:val="样式 报告 + 小四 段前: 0.3 行 段后: 0.3 行"/>
    <w:basedOn w:val="1"/>
    <w:semiHidden/>
    <w:qFormat/>
    <w:uiPriority w:val="0"/>
    <w:pPr>
      <w:tabs>
        <w:tab w:val="clear" w:pos="480"/>
      </w:tabs>
      <w:overflowPunct w:val="0"/>
      <w:autoSpaceDE w:val="0"/>
      <w:autoSpaceDN w:val="0"/>
      <w:adjustRightInd w:val="0"/>
      <w:spacing w:beforeLines="30" w:afterLines="30" w:line="440" w:lineRule="atLeast"/>
      <w:ind w:firstLine="540" w:firstLineChars="225"/>
      <w:textAlignment w:val="baseline"/>
    </w:pPr>
    <w:rPr>
      <w:rFonts w:ascii="Arial" w:hAnsi="Arial"/>
      <w:bCs/>
      <w:kern w:val="0"/>
    </w:rPr>
  </w:style>
  <w:style w:type="paragraph" w:customStyle="1" w:styleId="1949">
    <w:name w:val="样式 报告 Char + 首行缩进:  2 字符"/>
    <w:basedOn w:val="1"/>
    <w:semiHidden/>
    <w:qFormat/>
    <w:uiPriority w:val="0"/>
    <w:pPr>
      <w:widowControl/>
      <w:tabs>
        <w:tab w:val="clear" w:pos="480"/>
      </w:tabs>
      <w:overflowPunct w:val="0"/>
      <w:autoSpaceDE w:val="0"/>
      <w:autoSpaceDN w:val="0"/>
      <w:adjustRightInd w:val="0"/>
      <w:spacing w:before="120" w:after="120" w:line="400" w:lineRule="atLeast"/>
      <w:ind w:firstLine="480"/>
      <w:textAlignment w:val="baseline"/>
    </w:pPr>
    <w:rPr>
      <w:rFonts w:ascii="Arial" w:hAnsi="Arial"/>
      <w:bCs/>
    </w:rPr>
  </w:style>
  <w:style w:type="paragraph" w:customStyle="1" w:styleId="1950">
    <w:name w:val="样式 标题 2标题 2 CharH2título 2h2RN chapter段节 + 左侧:  0 厘米 首行缩..."/>
    <w:basedOn w:val="4"/>
    <w:semiHidden/>
    <w:qFormat/>
    <w:uiPriority w:val="0"/>
    <w:pPr>
      <w:keepNext w:val="0"/>
      <w:keepLines w:val="0"/>
      <w:numPr>
        <w:numId w:val="0"/>
      </w:numPr>
      <w:tabs>
        <w:tab w:val="left" w:pos="420"/>
        <w:tab w:val="left" w:pos="992"/>
        <w:tab w:val="clear" w:pos="480"/>
        <w:tab w:val="clear" w:pos="630"/>
      </w:tabs>
      <w:adjustRightInd w:val="0"/>
      <w:spacing w:beforeLines="100" w:afterLines="100" w:line="416" w:lineRule="atLeast"/>
      <w:ind w:left="992" w:hanging="567"/>
      <w:jc w:val="left"/>
      <w:textAlignment w:val="baseline"/>
    </w:pPr>
    <w:rPr>
      <w:rFonts w:ascii="黑体" w:hAnsi="Arial" w:eastAsia="黑体"/>
      <w:b w:val="0"/>
      <w:kern w:val="0"/>
      <w:sz w:val="28"/>
      <w:szCs w:val="28"/>
    </w:rPr>
  </w:style>
  <w:style w:type="paragraph" w:customStyle="1" w:styleId="1951">
    <w:name w:val="样式 标题 3标题3H3h33rd level第二层条标题 3 Char Char标题 31标题 3 Char ..."/>
    <w:basedOn w:val="5"/>
    <w:semiHidden/>
    <w:qFormat/>
    <w:uiPriority w:val="0"/>
    <w:pPr>
      <w:keepLines w:val="0"/>
      <w:numPr>
        <w:ilvl w:val="1"/>
        <w:numId w:val="0"/>
      </w:numPr>
      <w:tabs>
        <w:tab w:val="clear" w:pos="480"/>
        <w:tab w:val="clear" w:pos="840"/>
      </w:tabs>
      <w:adjustRightInd w:val="0"/>
      <w:spacing w:beforeLines="50" w:after="0" w:line="416" w:lineRule="atLeast"/>
      <w:ind w:firstLine="471"/>
      <w:textAlignment w:val="baseline"/>
    </w:pPr>
    <w:rPr>
      <w:rFonts w:ascii="Arial" w:hAnsi="Arial" w:eastAsia="黑体" w:cs="Arial"/>
      <w:b w:val="0"/>
      <w:color w:val="000000"/>
      <w:kern w:val="0"/>
      <w:sz w:val="24"/>
      <w:szCs w:val="24"/>
    </w:rPr>
  </w:style>
  <w:style w:type="paragraph" w:customStyle="1" w:styleId="1952">
    <w:name w:val="样式 标题 4 + 段前: 7.8 磅 段后: 0 磅 行距: 单倍行距"/>
    <w:basedOn w:val="6"/>
    <w:semiHidden/>
    <w:qFormat/>
    <w:uiPriority w:val="0"/>
    <w:pPr>
      <w:numPr>
        <w:numId w:val="0"/>
      </w:numPr>
      <w:tabs>
        <w:tab w:val="left" w:pos="864"/>
        <w:tab w:val="clear" w:pos="480"/>
      </w:tabs>
      <w:spacing w:beforeLines="50" w:after="0" w:line="240" w:lineRule="auto"/>
      <w:ind w:left="864" w:hanging="864"/>
    </w:pPr>
    <w:rPr>
      <w:rFonts w:ascii="Arial" w:hAnsi="Arial" w:eastAsia="宋体" w:cs="宋体"/>
      <w:b w:val="0"/>
      <w:bCs w:val="0"/>
      <w:i/>
      <w:sz w:val="24"/>
      <w:szCs w:val="20"/>
    </w:rPr>
  </w:style>
  <w:style w:type="paragraph" w:customStyle="1" w:styleId="1953">
    <w:name w:val="样式 表格标题 + 首行缩进:  0.61 字符"/>
    <w:basedOn w:val="167"/>
    <w:semiHidden/>
    <w:qFormat/>
    <w:uiPriority w:val="0"/>
    <w:pPr>
      <w:widowControl w:val="0"/>
      <w:wordWrap w:val="0"/>
      <w:snapToGrid w:val="0"/>
      <w:ind w:left="-143" w:leftChars="-68" w:firstLine="128" w:firstLineChars="61"/>
      <w:jc w:val="both"/>
    </w:pPr>
    <w:rPr>
      <w:rFonts w:ascii="Times New Roman" w:eastAsia="宋体" w:cs="宋体"/>
      <w:b w:val="0"/>
      <w:bCs/>
      <w:color w:val="auto"/>
      <w:sz w:val="21"/>
      <w:lang w:val="en-US"/>
    </w:rPr>
  </w:style>
  <w:style w:type="paragraph" w:customStyle="1" w:styleId="1954">
    <w:name w:val="样式 表格标题 + 五号 左侧:  -0.45 字符"/>
    <w:basedOn w:val="1"/>
    <w:qFormat/>
    <w:uiPriority w:val="0"/>
    <w:pPr>
      <w:tabs>
        <w:tab w:val="clear" w:pos="480"/>
      </w:tabs>
      <w:wordWrap w:val="0"/>
      <w:adjustRightInd w:val="0"/>
      <w:snapToGrid w:val="0"/>
      <w:spacing w:line="240" w:lineRule="auto"/>
      <w:ind w:left="105"/>
    </w:pPr>
    <w:rPr>
      <w:rFonts w:ascii="Arial" w:hAnsi="宋体"/>
      <w:b/>
      <w:sz w:val="21"/>
      <w:szCs w:val="21"/>
    </w:rPr>
  </w:style>
  <w:style w:type="paragraph" w:customStyle="1" w:styleId="1955">
    <w:name w:val="样式 表格标题 + 左侧:  -0.45 字符"/>
    <w:basedOn w:val="1"/>
    <w:qFormat/>
    <w:uiPriority w:val="0"/>
    <w:pPr>
      <w:tabs>
        <w:tab w:val="clear" w:pos="480"/>
      </w:tabs>
      <w:adjustRightInd w:val="0"/>
      <w:snapToGrid w:val="0"/>
      <w:spacing w:before="120" w:after="60" w:line="400" w:lineRule="exact"/>
      <w:ind w:left="-45" w:leftChars="-45"/>
      <w:jc w:val="center"/>
    </w:pPr>
    <w:rPr>
      <w:rFonts w:ascii="Times" w:hAnsi="Arial" w:eastAsia="仿宋_GB2312" w:cs="宋体"/>
      <w:b/>
      <w:szCs w:val="20"/>
    </w:rPr>
  </w:style>
  <w:style w:type="paragraph" w:customStyle="1" w:styleId="1956">
    <w:name w:val="样式 表格正文 + 五号"/>
    <w:qFormat/>
    <w:uiPriority w:val="0"/>
    <w:pPr>
      <w:jc w:val="center"/>
    </w:pPr>
    <w:rPr>
      <w:rFonts w:ascii="Times New Roman" w:hAnsi="Times New Roman" w:eastAsia="宋体" w:cs="Times New Roman"/>
      <w:kern w:val="2"/>
      <w:sz w:val="24"/>
      <w:szCs w:val="24"/>
      <w:lang w:val="en-US" w:eastAsia="zh-CN" w:bidi="ar-SA"/>
    </w:rPr>
  </w:style>
  <w:style w:type="paragraph" w:customStyle="1" w:styleId="1957">
    <w:name w:val="样式 段前: 0.3 行 段后: 0.3 行"/>
    <w:basedOn w:val="1"/>
    <w:semiHidden/>
    <w:qFormat/>
    <w:uiPriority w:val="0"/>
    <w:pPr>
      <w:tabs>
        <w:tab w:val="clear" w:pos="480"/>
      </w:tabs>
      <w:spacing w:before="93" w:after="93"/>
    </w:pPr>
    <w:rPr>
      <w:rFonts w:ascii="Arial" w:hAnsi="Arial"/>
      <w:bCs/>
    </w:rPr>
  </w:style>
  <w:style w:type="paragraph" w:customStyle="1" w:styleId="1958">
    <w:name w:val="样式 样式 样式 报告 + 首行缩进:  0.58 字符 Char + 黑色 首行缩进:  2 字符 段前: 0.1 行 段后:...1"/>
    <w:basedOn w:val="1"/>
    <w:semiHidden/>
    <w:qFormat/>
    <w:uiPriority w:val="0"/>
    <w:pPr>
      <w:tabs>
        <w:tab w:val="clear" w:pos="480"/>
      </w:tabs>
      <w:overflowPunct w:val="0"/>
      <w:autoSpaceDE w:val="0"/>
      <w:autoSpaceDN w:val="0"/>
      <w:adjustRightInd w:val="0"/>
      <w:spacing w:before="93" w:after="93"/>
      <w:ind w:firstLine="540" w:firstLineChars="225"/>
      <w:textAlignment w:val="baseline"/>
    </w:pPr>
    <w:rPr>
      <w:rFonts w:ascii="Arial" w:hAnsi="Arial" w:cs="Arial"/>
      <w:bCs/>
      <w:color w:val="000000"/>
      <w:kern w:val="0"/>
    </w:rPr>
  </w:style>
  <w:style w:type="paragraph" w:customStyle="1" w:styleId="1959">
    <w:name w:val="正文图五"/>
    <w:basedOn w:val="1"/>
    <w:semiHidden/>
    <w:qFormat/>
    <w:uiPriority w:val="0"/>
    <w:pPr>
      <w:tabs>
        <w:tab w:val="clear" w:pos="480"/>
      </w:tabs>
      <w:spacing w:line="240" w:lineRule="auto"/>
      <w:ind w:firstLine="471"/>
      <w:jc w:val="center"/>
    </w:pPr>
    <w:rPr>
      <w:rFonts w:ascii="Arial" w:hAnsi="Arial"/>
      <w:bCs/>
    </w:rPr>
  </w:style>
  <w:style w:type="paragraph" w:customStyle="1" w:styleId="1960">
    <w:name w:val="样式 表标题 + 首行缩进:  2 字符"/>
    <w:basedOn w:val="1"/>
    <w:qFormat/>
    <w:uiPriority w:val="0"/>
    <w:pPr>
      <w:tabs>
        <w:tab w:val="clear" w:pos="480"/>
      </w:tabs>
      <w:adjustRightInd w:val="0"/>
      <w:spacing w:line="480" w:lineRule="exact"/>
      <w:ind w:firstLine="471"/>
      <w:textAlignment w:val="baseline"/>
    </w:pPr>
    <w:rPr>
      <w:rFonts w:ascii="Arial" w:hAnsi="Arial" w:cs="宋体"/>
      <w:bCs/>
      <w:kern w:val="0"/>
      <w:szCs w:val="20"/>
    </w:rPr>
  </w:style>
  <w:style w:type="paragraph" w:customStyle="1" w:styleId="1961">
    <w:name w:val="样式 表格正文 + 首行缩进:  2 字符"/>
    <w:basedOn w:val="179"/>
    <w:qFormat/>
    <w:uiPriority w:val="0"/>
    <w:pPr/>
    <w:rPr>
      <w:rFonts w:ascii="Arial" w:hAnsi="Arial" w:eastAsia="宋体" w:cs="宋体"/>
      <w:bCs/>
      <w:snapToGrid w:val="0"/>
      <w:kern w:val="0"/>
      <w:sz w:val="24"/>
    </w:rPr>
  </w:style>
  <w:style w:type="paragraph" w:customStyle="1" w:styleId="1962">
    <w:name w:val="样式 纯文本 + 首行缩进:  2 字符"/>
    <w:basedOn w:val="45"/>
    <w:qFormat/>
    <w:uiPriority w:val="0"/>
    <w:pPr/>
    <w:rPr>
      <w:rFonts w:hint="eastAsia" w:ascii="Times New Roman" w:hAnsi="Times New Roman" w:cs="宋体"/>
      <w:bCs/>
      <w:szCs w:val="21"/>
    </w:rPr>
  </w:style>
  <w:style w:type="paragraph" w:customStyle="1" w:styleId="1963">
    <w:name w:val="样式 表标题 +"/>
    <w:basedOn w:val="7"/>
    <w:qFormat/>
    <w:uiPriority w:val="0"/>
    <w:pPr>
      <w:keepNext w:val="0"/>
      <w:keepLines w:val="0"/>
      <w:numPr>
        <w:ilvl w:val="0"/>
        <w:numId w:val="0"/>
      </w:numPr>
      <w:tabs>
        <w:tab w:val="clear" w:pos="480"/>
      </w:tabs>
      <w:adjustRightInd w:val="0"/>
      <w:spacing w:before="0" w:after="0" w:line="240" w:lineRule="auto"/>
      <w:textAlignment w:val="baseline"/>
      <w:outlineLvl w:val="9"/>
    </w:pPr>
    <w:rPr>
      <w:rFonts w:ascii="Times New Roman" w:hAnsi="Times New Roman" w:eastAsia="宋体" w:cs="宋体"/>
      <w:bCs/>
      <w:kern w:val="0"/>
    </w:rPr>
  </w:style>
  <w:style w:type="paragraph" w:customStyle="1" w:styleId="1964">
    <w:name w:val="样式 样式 纯文本 + 首行缩进:  2 字符 +"/>
    <w:basedOn w:val="1962"/>
    <w:qFormat/>
    <w:uiPriority w:val="0"/>
    <w:pPr/>
    <w:rPr>
      <w:szCs w:val="20"/>
    </w:rPr>
  </w:style>
  <w:style w:type="paragraph" w:customStyle="1" w:styleId="1965">
    <w:name w:val="样式 标题 4Subsection标题 14标题 4 Char款标题1.1.1.1H4四 + 加粗"/>
    <w:basedOn w:val="6"/>
    <w:link w:val="1990"/>
    <w:qFormat/>
    <w:uiPriority w:val="0"/>
    <w:pPr>
      <w:numPr>
        <w:ilvl w:val="0"/>
        <w:numId w:val="0"/>
      </w:numPr>
      <w:tabs>
        <w:tab w:val="clear" w:pos="480"/>
      </w:tabs>
      <w:spacing w:beforeLines="50" w:after="0" w:line="480" w:lineRule="exact"/>
      <w:ind w:firstLine="471"/>
      <w:textAlignment w:val="baseline"/>
    </w:pPr>
    <w:rPr>
      <w:rFonts w:ascii="Arial" w:hAnsi="Arial" w:eastAsia="宋体"/>
      <w:b w:val="0"/>
      <w:kern w:val="0"/>
      <w:sz w:val="24"/>
      <w:szCs w:val="24"/>
      <w:lang w:val="en-US"/>
    </w:rPr>
  </w:style>
  <w:style w:type="paragraph" w:customStyle="1" w:styleId="1966">
    <w:name w:val="样式 标题 4Subsection标题 14标题 4 Char款标题1.1.1.1H4四 + 加粗1"/>
    <w:basedOn w:val="6"/>
    <w:link w:val="1991"/>
    <w:qFormat/>
    <w:uiPriority w:val="0"/>
    <w:pPr>
      <w:numPr>
        <w:ilvl w:val="0"/>
        <w:numId w:val="0"/>
      </w:numPr>
      <w:tabs>
        <w:tab w:val="clear" w:pos="480"/>
      </w:tabs>
      <w:spacing w:beforeLines="50" w:after="0"/>
      <w:ind w:firstLine="471"/>
      <w:textAlignment w:val="baseline"/>
    </w:pPr>
    <w:rPr>
      <w:rFonts w:ascii="Arial" w:hAnsi="Arial" w:eastAsia="宋体"/>
      <w:b w:val="0"/>
      <w:kern w:val="0"/>
      <w:sz w:val="24"/>
      <w:szCs w:val="24"/>
      <w:lang w:val="en-US"/>
    </w:rPr>
  </w:style>
  <w:style w:type="paragraph" w:customStyle="1" w:styleId="1967">
    <w:name w:val="编号文字1"/>
    <w:basedOn w:val="1"/>
    <w:qFormat/>
    <w:uiPriority w:val="0"/>
    <w:pPr>
      <w:numPr>
        <w:ilvl w:val="0"/>
        <w:numId w:val="25"/>
      </w:numPr>
      <w:tabs>
        <w:tab w:val="clear" w:pos="480"/>
      </w:tabs>
      <w:spacing w:line="480" w:lineRule="exact"/>
    </w:pPr>
    <w:rPr>
      <w:rFonts w:ascii="Arial" w:hAnsi="Arial"/>
      <w:bCs/>
    </w:rPr>
  </w:style>
  <w:style w:type="paragraph" w:customStyle="1" w:styleId="1968">
    <w:name w:val="编号文字2"/>
    <w:basedOn w:val="1967"/>
    <w:qFormat/>
    <w:uiPriority w:val="0"/>
    <w:pPr>
      <w:numPr>
        <w:numId w:val="26"/>
      </w:numPr>
      <w:tabs>
        <w:tab w:val="left" w:pos="471"/>
      </w:tabs>
    </w:pPr>
  </w:style>
  <w:style w:type="paragraph" w:customStyle="1" w:styleId="1969">
    <w:name w:val="编号文字3"/>
    <w:basedOn w:val="1916"/>
    <w:qFormat/>
    <w:uiPriority w:val="0"/>
    <w:pPr>
      <w:numPr>
        <w:ilvl w:val="0"/>
        <w:numId w:val="27"/>
      </w:numPr>
    </w:pPr>
  </w:style>
  <w:style w:type="paragraph" w:customStyle="1" w:styleId="1970">
    <w:name w:val="编号文字4"/>
    <w:basedOn w:val="1916"/>
    <w:qFormat/>
    <w:uiPriority w:val="0"/>
    <w:pPr>
      <w:numPr>
        <w:ilvl w:val="0"/>
        <w:numId w:val="28"/>
      </w:numPr>
    </w:pPr>
  </w:style>
  <w:style w:type="paragraph" w:customStyle="1" w:styleId="1971">
    <w:name w:val="环评1.1"/>
    <w:basedOn w:val="4"/>
    <w:next w:val="1"/>
    <w:qFormat/>
    <w:uiPriority w:val="0"/>
    <w:pPr>
      <w:numPr>
        <w:ilvl w:val="0"/>
        <w:numId w:val="0"/>
      </w:numPr>
      <w:tabs>
        <w:tab w:val="left" w:pos="420"/>
        <w:tab w:val="clear" w:pos="480"/>
        <w:tab w:val="clear" w:pos="630"/>
      </w:tabs>
      <w:spacing w:beforeLines="50" w:afterLines="50" w:line="480" w:lineRule="exact"/>
      <w:ind w:firstLine="470"/>
      <w:jc w:val="left"/>
      <w:outlineLvl w:val="2"/>
    </w:pPr>
    <w:rPr>
      <w:rFonts w:ascii="黑体" w:hAnsi="Arial Rounded MT Bold" w:eastAsia="黑体"/>
      <w:b w:val="0"/>
      <w:bCs w:val="0"/>
      <w:sz w:val="28"/>
      <w:szCs w:val="28"/>
    </w:rPr>
  </w:style>
  <w:style w:type="paragraph" w:customStyle="1" w:styleId="1972">
    <w:name w:val="环评1.1.1"/>
    <w:basedOn w:val="5"/>
    <w:next w:val="1"/>
    <w:qFormat/>
    <w:uiPriority w:val="0"/>
    <w:pPr>
      <w:keepLines w:val="0"/>
      <w:numPr>
        <w:ilvl w:val="1"/>
        <w:numId w:val="0"/>
      </w:numPr>
      <w:tabs>
        <w:tab w:val="clear" w:pos="480"/>
        <w:tab w:val="clear" w:pos="840"/>
      </w:tabs>
      <w:spacing w:after="0" w:line="480" w:lineRule="exact"/>
      <w:ind w:firstLine="471"/>
    </w:pPr>
    <w:rPr>
      <w:rFonts w:ascii="黑体" w:hAnsi="黑体" w:eastAsia="黑体"/>
      <w:b w:val="0"/>
      <w:bCs w:val="0"/>
      <w:sz w:val="24"/>
      <w:szCs w:val="24"/>
    </w:rPr>
  </w:style>
  <w:style w:type="paragraph" w:customStyle="1" w:styleId="1973">
    <w:name w:val="样式 公式 + 段前: 0.3 行 段后: 0.3 行1"/>
    <w:basedOn w:val="286"/>
    <w:qFormat/>
    <w:uiPriority w:val="0"/>
    <w:pPr>
      <w:keepLines/>
      <w:wordWrap w:val="0"/>
      <w:topLinePunct/>
      <w:adjustRightInd/>
      <w:snapToGrid w:val="0"/>
      <w:spacing w:beforeLines="30" w:afterLines="30" w:line="240" w:lineRule="auto"/>
      <w:ind w:firstLine="482"/>
      <w:jc w:val="both"/>
      <w:textAlignment w:val="auto"/>
    </w:pPr>
    <w:rPr>
      <w:rFonts w:cs="宋体"/>
      <w:color w:val="000000"/>
      <w:spacing w:val="-4"/>
      <w:kern w:val="2"/>
      <w:szCs w:val="20"/>
    </w:rPr>
  </w:style>
  <w:style w:type="paragraph" w:customStyle="1" w:styleId="1974">
    <w:name w:val="样式 公式 + 段前: 0.3 行 段后: 0.3 行2"/>
    <w:basedOn w:val="286"/>
    <w:qFormat/>
    <w:uiPriority w:val="0"/>
    <w:pPr>
      <w:keepLines/>
      <w:wordWrap w:val="0"/>
      <w:topLinePunct/>
      <w:adjustRightInd/>
      <w:snapToGrid w:val="0"/>
      <w:spacing w:beforeLines="30" w:afterLines="30" w:line="240" w:lineRule="auto"/>
      <w:ind w:firstLine="482"/>
      <w:jc w:val="both"/>
      <w:textAlignment w:val="auto"/>
    </w:pPr>
    <w:rPr>
      <w:rFonts w:cs="宋体"/>
      <w:color w:val="000000"/>
      <w:spacing w:val="-4"/>
      <w:kern w:val="2"/>
      <w:szCs w:val="20"/>
    </w:rPr>
  </w:style>
  <w:style w:type="paragraph" w:customStyle="1" w:styleId="1975">
    <w:name w:val="样式 公式 + 段前: 0.3 行 段后: 0.3 行3"/>
    <w:basedOn w:val="286"/>
    <w:qFormat/>
    <w:uiPriority w:val="0"/>
    <w:pPr>
      <w:keepLines/>
      <w:wordWrap w:val="0"/>
      <w:topLinePunct/>
      <w:adjustRightInd/>
      <w:snapToGrid w:val="0"/>
      <w:spacing w:line="240" w:lineRule="auto"/>
      <w:ind w:firstLine="482"/>
      <w:jc w:val="both"/>
      <w:textAlignment w:val="auto"/>
    </w:pPr>
    <w:rPr>
      <w:rFonts w:cs="宋体"/>
      <w:color w:val="000000"/>
      <w:spacing w:val="-4"/>
      <w:kern w:val="2"/>
      <w:szCs w:val="20"/>
    </w:rPr>
  </w:style>
  <w:style w:type="paragraph" w:customStyle="1" w:styleId="1976">
    <w:name w:val="样式 表格名称 + 首行缩进:  11.95 字符"/>
    <w:basedOn w:val="1541"/>
    <w:qFormat/>
    <w:uiPriority w:val="0"/>
    <w:pPr>
      <w:keepLines/>
      <w:widowControl/>
      <w:wordWrap w:val="0"/>
      <w:topLinePunct/>
      <w:spacing w:line="240" w:lineRule="auto"/>
      <w:ind w:firstLine="471" w:firstLineChars="0"/>
    </w:pPr>
    <w:rPr>
      <w:rFonts w:ascii="黑体" w:hAnsi="Arial" w:eastAsia="黑体" w:cs="宋体"/>
      <w:b w:val="0"/>
      <w:snapToGrid w:val="0"/>
      <w:lang w:val="eu-ES"/>
    </w:rPr>
  </w:style>
  <w:style w:type="paragraph" w:customStyle="1" w:styleId="1977">
    <w:name w:val="样式 标题 2H21 + 左侧:  0.83 厘米 首行缩进:  0 厘米"/>
    <w:basedOn w:val="4"/>
    <w:qFormat/>
    <w:uiPriority w:val="0"/>
    <w:pPr>
      <w:numPr>
        <w:ilvl w:val="0"/>
        <w:numId w:val="0"/>
      </w:numPr>
      <w:tabs>
        <w:tab w:val="left" w:pos="420"/>
        <w:tab w:val="clear" w:pos="480"/>
        <w:tab w:val="clear" w:pos="630"/>
      </w:tabs>
      <w:spacing w:beforeLines="50" w:afterLines="50" w:line="480" w:lineRule="exact"/>
      <w:ind w:firstLine="470"/>
      <w:jc w:val="left"/>
    </w:pPr>
    <w:rPr>
      <w:rFonts w:ascii="黑体" w:hAnsi="Arial" w:eastAsia="黑体" w:cs="宋体"/>
      <w:b w:val="0"/>
      <w:bCs w:val="0"/>
      <w:sz w:val="28"/>
      <w:szCs w:val="20"/>
    </w:rPr>
  </w:style>
  <w:style w:type="paragraph" w:customStyle="1" w:styleId="1978">
    <w:name w:val="样式 四号 右"/>
    <w:basedOn w:val="1"/>
    <w:qFormat/>
    <w:uiPriority w:val="0"/>
    <w:pPr>
      <w:tabs>
        <w:tab w:val="clear" w:pos="480"/>
      </w:tabs>
      <w:spacing w:line="480" w:lineRule="exact"/>
      <w:jc w:val="right"/>
    </w:pPr>
    <w:rPr>
      <w:rFonts w:ascii="Arial" w:hAnsi="Arial" w:cs="宋体"/>
      <w:bCs/>
    </w:rPr>
  </w:style>
  <w:style w:type="paragraph" w:customStyle="1" w:styleId="1979">
    <w:name w:val="样式 首行缩进:  0.74 厘米"/>
    <w:basedOn w:val="1"/>
    <w:qFormat/>
    <w:uiPriority w:val="0"/>
    <w:pPr>
      <w:tabs>
        <w:tab w:val="clear" w:pos="480"/>
      </w:tabs>
      <w:spacing w:line="480" w:lineRule="exact"/>
      <w:ind w:firstLine="420"/>
    </w:pPr>
    <w:rPr>
      <w:rFonts w:ascii="Arial" w:hAnsi="Arial" w:cs="宋体"/>
      <w:bCs/>
    </w:rPr>
  </w:style>
  <w:style w:type="paragraph" w:customStyle="1" w:styleId="1980">
    <w:name w:val="样式 图片 + 两端对齐 段前: 0.5 行 段后: 0.5 行"/>
    <w:basedOn w:val="8"/>
    <w:qFormat/>
    <w:uiPriority w:val="0"/>
    <w:pPr>
      <w:keepNext w:val="0"/>
      <w:keepLines w:val="0"/>
      <w:numPr>
        <w:ilvl w:val="0"/>
        <w:numId w:val="0"/>
      </w:numPr>
      <w:tabs>
        <w:tab w:val="clear" w:pos="480"/>
      </w:tabs>
      <w:wordWrap w:val="0"/>
      <w:topLinePunct/>
      <w:autoSpaceDE/>
      <w:autoSpaceDN/>
      <w:snapToGrid w:val="0"/>
      <w:spacing w:beforeLines="50" w:afterLines="50" w:line="240" w:lineRule="auto"/>
      <w:jc w:val="center"/>
      <w:textAlignment w:val="auto"/>
      <w:outlineLvl w:val="9"/>
    </w:pPr>
    <w:rPr>
      <w:rFonts w:ascii="黑体" w:hAnsi="Times New Roman" w:eastAsia="黑体" w:cs="宋体"/>
      <w:b w:val="0"/>
      <w:bCs/>
      <w:color w:val="000000"/>
      <w:kern w:val="2"/>
      <w:szCs w:val="24"/>
      <w:lang w:val="eu-ES"/>
    </w:rPr>
  </w:style>
  <w:style w:type="paragraph" w:customStyle="1" w:styleId="1981">
    <w:name w:val="样式 标题 1文章标题章标题H1H11H12一、 + 首行缩进:  1.55 厘米 段前: 7.8 磅 段后: ..."/>
    <w:basedOn w:val="3"/>
    <w:qFormat/>
    <w:uiPriority w:val="0"/>
    <w:pPr>
      <w:pageBreakBefore/>
      <w:numPr>
        <w:numId w:val="0"/>
      </w:numPr>
      <w:tabs>
        <w:tab w:val="clear" w:pos="480"/>
      </w:tabs>
      <w:spacing w:beforeLines="150" w:after="120" w:line="480" w:lineRule="exact"/>
      <w:jc w:val="center"/>
    </w:pPr>
    <w:rPr>
      <w:rFonts w:ascii="Times New Roman" w:hAnsi="Arial" w:eastAsia="黑体" w:cs="宋体"/>
      <w:b w:val="0"/>
      <w:color w:val="FF0000"/>
      <w:sz w:val="44"/>
    </w:rPr>
  </w:style>
  <w:style w:type="paragraph" w:customStyle="1" w:styleId="1982">
    <w:name w:val="样式 标题 2H21节标题H21 + 两端对齐 左侧:  0.83 厘米 悬挂缩进: 4.71 字符 段前: 0...."/>
    <w:basedOn w:val="4"/>
    <w:qFormat/>
    <w:uiPriority w:val="0"/>
    <w:pPr>
      <w:numPr>
        <w:ilvl w:val="0"/>
        <w:numId w:val="0"/>
      </w:numPr>
      <w:tabs>
        <w:tab w:val="left" w:pos="420"/>
        <w:tab w:val="clear" w:pos="480"/>
        <w:tab w:val="clear" w:pos="630"/>
      </w:tabs>
      <w:spacing w:beforeLines="50" w:afterLines="50" w:line="480" w:lineRule="exact"/>
      <w:ind w:left="471" w:hanging="471"/>
      <w:jc w:val="left"/>
    </w:pPr>
    <w:rPr>
      <w:rFonts w:ascii="Arial" w:hAnsi="Arial" w:eastAsia="黑体" w:cs="宋体"/>
      <w:b w:val="0"/>
      <w:bCs w:val="0"/>
      <w:sz w:val="28"/>
      <w:szCs w:val="28"/>
    </w:rPr>
  </w:style>
  <w:style w:type="paragraph" w:customStyle="1" w:styleId="1983">
    <w:name w:val="样式 样式 标题 2H21节标题H21 + 两端对齐 左侧:  0.83 厘米 悬挂缩进: 4.71 字符 段前: 0.... ..."/>
    <w:basedOn w:val="1982"/>
    <w:qFormat/>
    <w:uiPriority w:val="0"/>
    <w:pPr>
      <w:ind w:left="0" w:firstLine="0"/>
    </w:pPr>
    <w:rPr>
      <w:szCs w:val="20"/>
    </w:rPr>
  </w:style>
  <w:style w:type="paragraph" w:customStyle="1" w:styleId="1984">
    <w:name w:val="样式 表头 + 行距: 固定值 24 磅"/>
    <w:basedOn w:val="1"/>
    <w:qFormat/>
    <w:uiPriority w:val="0"/>
    <w:pPr>
      <w:tabs>
        <w:tab w:val="clear" w:pos="480"/>
      </w:tabs>
      <w:spacing w:line="480" w:lineRule="exact"/>
      <w:ind w:firstLine="471"/>
      <w:jc w:val="left"/>
    </w:pPr>
    <w:rPr>
      <w:rFonts w:eastAsia="黑体" w:cs="宋体"/>
      <w:bCs/>
      <w:szCs w:val="20"/>
    </w:rPr>
  </w:style>
  <w:style w:type="paragraph" w:customStyle="1" w:styleId="1985">
    <w:name w:val="样式 表格文字 + 楷体_GB2312 四号 橙色"/>
    <w:basedOn w:val="219"/>
    <w:qFormat/>
    <w:uiPriority w:val="0"/>
    <w:pPr>
      <w:wordWrap w:val="0"/>
      <w:topLinePunct/>
    </w:pPr>
    <w:rPr>
      <w:rFonts w:ascii="Arial" w:hAnsi="Arial" w:eastAsia="楷体_GB2312" w:cs="Arial Unicode MS"/>
      <w:b/>
      <w:szCs w:val="21"/>
      <w:lang w:val="eu-ES"/>
    </w:rPr>
  </w:style>
  <w:style w:type="paragraph" w:customStyle="1" w:styleId="1986">
    <w:name w:val="样式 标题 3H3B Head小节标题H31H32H33u3标题 3 Char Char Char标题 3 C..."/>
    <w:basedOn w:val="5"/>
    <w:next w:val="213"/>
    <w:qFormat/>
    <w:uiPriority w:val="0"/>
    <w:pPr>
      <w:keepLines w:val="0"/>
      <w:numPr>
        <w:ilvl w:val="1"/>
        <w:numId w:val="0"/>
      </w:numPr>
      <w:tabs>
        <w:tab w:val="clear" w:pos="480"/>
        <w:tab w:val="clear" w:pos="840"/>
      </w:tabs>
      <w:spacing w:after="0" w:line="480" w:lineRule="exact"/>
      <w:ind w:firstLine="471"/>
    </w:pPr>
    <w:rPr>
      <w:rFonts w:ascii="黑体" w:hAnsi="黑体" w:eastAsia="黑体" w:cs="宋体"/>
      <w:b w:val="0"/>
      <w:bCs w:val="0"/>
      <w:sz w:val="24"/>
      <w:szCs w:val="20"/>
    </w:rPr>
  </w:style>
  <w:style w:type="character" w:customStyle="1" w:styleId="1987">
    <w:name w:val="公式 Char"/>
    <w:link w:val="286"/>
    <w:qFormat/>
    <w:uiPriority w:val="0"/>
    <w:rPr>
      <w:rFonts w:eastAsia="宋体"/>
      <w:sz w:val="24"/>
      <w:szCs w:val="24"/>
      <w:lang w:val="en-US" w:eastAsia="zh-CN" w:bidi="ar-SA"/>
    </w:rPr>
  </w:style>
  <w:style w:type="paragraph" w:customStyle="1" w:styleId="1988">
    <w:name w:val="样式 标题 3H3B Head小节标题H31H32H33u3标题 3 Char Char Char标题 3 C...1"/>
    <w:basedOn w:val="5"/>
    <w:next w:val="213"/>
    <w:qFormat/>
    <w:uiPriority w:val="0"/>
    <w:pPr>
      <w:keepLines w:val="0"/>
      <w:numPr>
        <w:ilvl w:val="1"/>
        <w:numId w:val="0"/>
      </w:numPr>
      <w:tabs>
        <w:tab w:val="clear" w:pos="480"/>
        <w:tab w:val="clear" w:pos="840"/>
      </w:tabs>
      <w:spacing w:after="0" w:line="480" w:lineRule="exact"/>
      <w:ind w:firstLine="471"/>
    </w:pPr>
    <w:rPr>
      <w:rFonts w:ascii="黑体" w:hAnsi="黑体" w:eastAsia="黑体" w:cs="宋体"/>
      <w:b w:val="0"/>
      <w:bCs w:val="0"/>
      <w:sz w:val="24"/>
      <w:szCs w:val="20"/>
    </w:rPr>
  </w:style>
  <w:style w:type="character" w:customStyle="1" w:styleId="1989">
    <w:name w:val="图片 Char"/>
    <w:qFormat/>
    <w:uiPriority w:val="0"/>
    <w:rPr>
      <w:rFonts w:ascii="Arial" w:hAnsi="Arial" w:eastAsia="黑体"/>
      <w:b/>
      <w:kern w:val="2"/>
      <w:sz w:val="24"/>
      <w:lang w:val="en-US" w:eastAsia="zh-CN" w:bidi="ar-SA"/>
    </w:rPr>
  </w:style>
  <w:style w:type="character" w:customStyle="1" w:styleId="1990">
    <w:name w:val="样式 标题 4Subsection标题 14标题 4 Char款标题1.1.1.1H4四 + 加粗 Char"/>
    <w:link w:val="1965"/>
    <w:qFormat/>
    <w:uiPriority w:val="0"/>
    <w:rPr>
      <w:rFonts w:ascii="Arial" w:hAnsi="Arial" w:eastAsia="宋体"/>
      <w:bCs/>
      <w:sz w:val="24"/>
      <w:szCs w:val="24"/>
      <w:lang w:val="en-US" w:eastAsia="zh-CN" w:bidi="ar-SA"/>
    </w:rPr>
  </w:style>
  <w:style w:type="character" w:customStyle="1" w:styleId="1991">
    <w:name w:val="样式 标题 4Subsection标题 14标题 4 Char款标题1.1.1.1H4四 + 加粗1 Char"/>
    <w:link w:val="1966"/>
    <w:qFormat/>
    <w:uiPriority w:val="0"/>
    <w:rPr>
      <w:rFonts w:ascii="Arial" w:hAnsi="Arial" w:eastAsia="宋体"/>
      <w:bCs/>
      <w:sz w:val="24"/>
      <w:szCs w:val="24"/>
      <w:lang w:val="en-US" w:eastAsia="zh-CN" w:bidi="ar-SA"/>
    </w:rPr>
  </w:style>
  <w:style w:type="paragraph" w:customStyle="1" w:styleId="1992">
    <w:name w:val="样式 标题 4Subsection标题 14标题 4 Char款标题1.1.1.1H4四 + (西文) Times ..."/>
    <w:basedOn w:val="6"/>
    <w:next w:val="1"/>
    <w:link w:val="1993"/>
    <w:qFormat/>
    <w:uiPriority w:val="0"/>
    <w:pPr>
      <w:numPr>
        <w:ilvl w:val="0"/>
        <w:numId w:val="0"/>
      </w:numPr>
      <w:tabs>
        <w:tab w:val="clear" w:pos="480"/>
      </w:tabs>
      <w:spacing w:beforeLines="50" w:after="0" w:line="480" w:lineRule="exact"/>
      <w:ind w:firstLine="471"/>
      <w:textAlignment w:val="baseline"/>
    </w:pPr>
    <w:rPr>
      <w:rFonts w:ascii="Arial" w:hAnsi="Arial" w:eastAsia="宋体" w:cs="Arial"/>
      <w:bCs w:val="0"/>
      <w:kern w:val="0"/>
      <w:sz w:val="24"/>
      <w:szCs w:val="24"/>
      <w:lang w:val="en-US"/>
    </w:rPr>
  </w:style>
  <w:style w:type="character" w:customStyle="1" w:styleId="1993">
    <w:name w:val="样式 标题 4Subsection标题 14标题 4 Char款标题1.1.1.1H4四 + (西文) Times ... Char"/>
    <w:link w:val="1992"/>
    <w:qFormat/>
    <w:uiPriority w:val="0"/>
    <w:rPr>
      <w:rFonts w:ascii="Arial" w:hAnsi="Arial" w:eastAsia="宋体" w:cs="Arial"/>
      <w:b/>
      <w:sz w:val="24"/>
      <w:szCs w:val="24"/>
      <w:lang w:val="en-US" w:eastAsia="zh-CN" w:bidi="ar-SA"/>
    </w:rPr>
  </w:style>
  <w:style w:type="paragraph" w:customStyle="1" w:styleId="1994">
    <w:name w:val="样式 仿宋_GB2312 四号"/>
    <w:basedOn w:val="1"/>
    <w:qFormat/>
    <w:uiPriority w:val="0"/>
    <w:pPr>
      <w:tabs>
        <w:tab w:val="clear" w:pos="480"/>
      </w:tabs>
      <w:adjustRightInd w:val="0"/>
      <w:spacing w:line="480" w:lineRule="exact"/>
      <w:ind w:firstLine="480"/>
      <w:textAlignment w:val="baseline"/>
    </w:pPr>
    <w:rPr>
      <w:rFonts w:ascii="宋体" w:hAnsi="宋体"/>
      <w:szCs w:val="20"/>
    </w:rPr>
  </w:style>
  <w:style w:type="paragraph" w:customStyle="1" w:styleId="1995">
    <w:name w:val="样式 表格文字 + 段后: 6 磅"/>
    <w:basedOn w:val="219"/>
    <w:qFormat/>
    <w:uiPriority w:val="0"/>
    <w:pPr>
      <w:wordWrap w:val="0"/>
      <w:topLinePunct/>
      <w:spacing w:after="120"/>
      <w:ind w:firstLine="210" w:firstLineChars="100"/>
    </w:pPr>
    <w:rPr>
      <w:rFonts w:ascii="Arial" w:hAnsi="Arial" w:cs="宋体"/>
      <w:color w:val="000000"/>
      <w:kern w:val="0"/>
      <w:szCs w:val="20"/>
      <w:lang w:val="eu-ES"/>
    </w:rPr>
  </w:style>
  <w:style w:type="paragraph" w:customStyle="1" w:styleId="1996">
    <w:name w:val="麦志勤标题四"/>
    <w:basedOn w:val="1"/>
    <w:qFormat/>
    <w:uiPriority w:val="0"/>
    <w:pPr>
      <w:tabs>
        <w:tab w:val="clear" w:pos="480"/>
      </w:tabs>
      <w:adjustRightInd w:val="0"/>
      <w:snapToGrid w:val="0"/>
      <w:spacing w:beforeLines="100" w:line="300" w:lineRule="auto"/>
      <w:outlineLvl w:val="3"/>
    </w:pPr>
    <w:rPr>
      <w:rFonts w:ascii="黑体" w:eastAsia="黑体"/>
      <w:snapToGrid w:val="0"/>
      <w:kern w:val="0"/>
      <w:sz w:val="30"/>
    </w:rPr>
  </w:style>
  <w:style w:type="paragraph" w:customStyle="1" w:styleId="1997">
    <w:name w:val="麦志勤正文"/>
    <w:basedOn w:val="1"/>
    <w:qFormat/>
    <w:uiPriority w:val="0"/>
    <w:pPr>
      <w:tabs>
        <w:tab w:val="clear" w:pos="480"/>
      </w:tabs>
      <w:adjustRightInd w:val="0"/>
      <w:snapToGrid w:val="0"/>
      <w:spacing w:beforeLines="20" w:line="300" w:lineRule="auto"/>
    </w:pPr>
    <w:rPr>
      <w:rFonts w:ascii="宋体" w:hAnsi="宋体" w:cs="Courier New"/>
      <w:snapToGrid w:val="0"/>
      <w:kern w:val="0"/>
      <w:szCs w:val="21"/>
      <w:lang w:val="en-GB"/>
    </w:rPr>
  </w:style>
  <w:style w:type="paragraph" w:customStyle="1" w:styleId="1998">
    <w:name w:val="样式 表格文字 + 段后: 6 磅1"/>
    <w:basedOn w:val="219"/>
    <w:qFormat/>
    <w:uiPriority w:val="0"/>
    <w:pPr>
      <w:wordWrap w:val="0"/>
      <w:topLinePunct/>
    </w:pPr>
    <w:rPr>
      <w:rFonts w:ascii="Arial" w:hAnsi="Arial" w:cs="宋体"/>
      <w:color w:val="000000"/>
      <w:szCs w:val="20"/>
      <w:lang w:val="eu-ES"/>
    </w:rPr>
  </w:style>
  <w:style w:type="character" w:customStyle="1" w:styleId="1999">
    <w:name w:val="正文（首行缩进两字） Char3"/>
    <w:qFormat/>
    <w:uiPriority w:val="0"/>
    <w:rPr>
      <w:rFonts w:eastAsia="仿宋_GB2312"/>
      <w:kern w:val="2"/>
      <w:sz w:val="24"/>
      <w:lang w:val="en-US" w:eastAsia="zh-CN" w:bidi="ar-SA"/>
    </w:rPr>
  </w:style>
  <w:style w:type="paragraph" w:customStyle="1" w:styleId="2000">
    <w:name w:val="样式 zhang正文 + (中文) 宋体"/>
    <w:basedOn w:val="1"/>
    <w:qFormat/>
    <w:uiPriority w:val="0"/>
    <w:pPr>
      <w:tabs>
        <w:tab w:val="clear" w:pos="480"/>
      </w:tabs>
      <w:autoSpaceDE w:val="0"/>
      <w:autoSpaceDN w:val="0"/>
      <w:adjustRightInd w:val="0"/>
      <w:snapToGrid w:val="0"/>
      <w:ind w:firstLine="539"/>
      <w:textAlignment w:val="baseline"/>
    </w:pPr>
    <w:rPr>
      <w:color w:val="000000"/>
      <w:kern w:val="0"/>
      <w:szCs w:val="20"/>
    </w:rPr>
  </w:style>
  <w:style w:type="character" w:customStyle="1" w:styleId="2001">
    <w:name w:val="毕一级 Char"/>
    <w:link w:val="2002"/>
    <w:qFormat/>
    <w:uiPriority w:val="0"/>
    <w:rPr>
      <w:rFonts w:eastAsia="黑体"/>
      <w:kern w:val="2"/>
      <w:sz w:val="36"/>
      <w:szCs w:val="24"/>
      <w:lang w:val="en-US" w:eastAsia="zh-CN" w:bidi="ar-SA"/>
    </w:rPr>
  </w:style>
  <w:style w:type="paragraph" w:customStyle="1" w:styleId="2002">
    <w:name w:val="毕一级"/>
    <w:basedOn w:val="1"/>
    <w:link w:val="2001"/>
    <w:qFormat/>
    <w:uiPriority w:val="0"/>
    <w:pPr>
      <w:tabs>
        <w:tab w:val="left" w:pos="0"/>
        <w:tab w:val="clear" w:pos="480"/>
      </w:tabs>
      <w:spacing w:before="300" w:after="300" w:line="520" w:lineRule="exact"/>
      <w:jc w:val="center"/>
    </w:pPr>
    <w:rPr>
      <w:rFonts w:eastAsia="黑体"/>
      <w:sz w:val="36"/>
    </w:rPr>
  </w:style>
  <w:style w:type="character" w:customStyle="1" w:styleId="2003">
    <w:name w:val="d1"/>
    <w:qFormat/>
    <w:uiPriority w:val="0"/>
    <w:rPr>
      <w:rFonts w:hint="default" w:ascii="ˎ̥" w:hAnsi="ˎ̥" w:eastAsia="宋体" w:cs="宋体"/>
      <w:color w:val="5C5C5C"/>
      <w:kern w:val="2"/>
      <w:sz w:val="23"/>
      <w:szCs w:val="23"/>
      <w:u w:val="none"/>
      <w:lang w:val="en-US" w:eastAsia="zh-CN" w:bidi="ar-SA"/>
    </w:rPr>
  </w:style>
  <w:style w:type="character" w:customStyle="1" w:styleId="2004">
    <w:name w:val="osx285"/>
    <w:qFormat/>
    <w:uiPriority w:val="0"/>
    <w:rPr>
      <w:rFonts w:ascii="宋体" w:hAnsi="宋体" w:eastAsia="宋体" w:cs="宋体"/>
      <w:kern w:val="2"/>
      <w:sz w:val="24"/>
      <w:szCs w:val="24"/>
      <w:lang w:val="en-US" w:eastAsia="zh-CN" w:bidi="ar-SA"/>
    </w:rPr>
  </w:style>
  <w:style w:type="character" w:customStyle="1" w:styleId="2005">
    <w:name w:val="图片（杨） Char"/>
    <w:link w:val="2006"/>
    <w:qFormat/>
    <w:uiPriority w:val="0"/>
    <w:rPr>
      <w:rFonts w:eastAsia="宋体"/>
      <w:kern w:val="2"/>
      <w:sz w:val="24"/>
      <w:szCs w:val="24"/>
      <w:lang w:val="en-US" w:eastAsia="zh-CN" w:bidi="ar-SA"/>
    </w:rPr>
  </w:style>
  <w:style w:type="paragraph" w:customStyle="1" w:styleId="2006">
    <w:name w:val="图片（杨）"/>
    <w:basedOn w:val="2007"/>
    <w:link w:val="2005"/>
    <w:qFormat/>
    <w:uiPriority w:val="0"/>
    <w:pPr>
      <w:spacing w:beforeLines="50"/>
    </w:pPr>
    <w:rPr>
      <w:rFonts w:eastAsia="宋体"/>
    </w:rPr>
  </w:style>
  <w:style w:type="paragraph" w:customStyle="1" w:styleId="2007">
    <w:name w:val="图名（杨）"/>
    <w:basedOn w:val="1"/>
    <w:link w:val="2014"/>
    <w:qFormat/>
    <w:uiPriority w:val="0"/>
    <w:pPr>
      <w:tabs>
        <w:tab w:val="clear" w:pos="480"/>
      </w:tabs>
      <w:spacing w:line="240" w:lineRule="auto"/>
      <w:jc w:val="center"/>
    </w:pPr>
    <w:rPr>
      <w:rFonts w:eastAsia="黑体"/>
    </w:rPr>
  </w:style>
  <w:style w:type="character" w:customStyle="1" w:styleId="2008">
    <w:name w:val="顺德-正文 Char"/>
    <w:link w:val="2009"/>
    <w:qFormat/>
    <w:uiPriority w:val="0"/>
    <w:rPr>
      <w:rFonts w:ascii="宋体" w:hAnsi="宋体" w:eastAsia="宋体" w:cs="宋体"/>
      <w:color w:val="000000"/>
      <w:kern w:val="2"/>
      <w:sz w:val="24"/>
      <w:lang w:val="en-US" w:eastAsia="zh-CN" w:bidi="ar-SA"/>
    </w:rPr>
  </w:style>
  <w:style w:type="paragraph" w:customStyle="1" w:styleId="2009">
    <w:name w:val="顺德-正文"/>
    <w:basedOn w:val="1"/>
    <w:link w:val="2008"/>
    <w:qFormat/>
    <w:uiPriority w:val="0"/>
    <w:pPr>
      <w:tabs>
        <w:tab w:val="clear" w:pos="480"/>
      </w:tabs>
      <w:ind w:firstLine="480"/>
      <w:jc w:val="left"/>
    </w:pPr>
    <w:rPr>
      <w:rFonts w:ascii="宋体" w:hAnsi="宋体" w:cs="宋体"/>
      <w:color w:val="000000"/>
      <w:szCs w:val="20"/>
    </w:rPr>
  </w:style>
  <w:style w:type="character" w:customStyle="1" w:styleId="2010">
    <w:name w:val="中气附件 Char"/>
    <w:link w:val="2011"/>
    <w:qFormat/>
    <w:uiPriority w:val="0"/>
    <w:rPr>
      <w:rFonts w:eastAsia="黑体"/>
      <w:b/>
      <w:bCs/>
      <w:smallCaps/>
      <w:kern w:val="44"/>
      <w:sz w:val="32"/>
      <w:szCs w:val="44"/>
      <w:lang w:val="en-US" w:eastAsia="zh-CN" w:bidi="ar-SA"/>
    </w:rPr>
  </w:style>
  <w:style w:type="paragraph" w:customStyle="1" w:styleId="2011">
    <w:name w:val="中气附件"/>
    <w:basedOn w:val="3"/>
    <w:link w:val="2010"/>
    <w:qFormat/>
    <w:uiPriority w:val="0"/>
    <w:pPr>
      <w:numPr>
        <w:numId w:val="0"/>
      </w:numPr>
      <w:tabs>
        <w:tab w:val="clear" w:pos="480"/>
      </w:tabs>
      <w:spacing w:before="0" w:after="0"/>
      <w:jc w:val="right"/>
    </w:pPr>
    <w:rPr>
      <w:rFonts w:ascii="Times New Roman" w:eastAsia="黑体"/>
      <w:smallCaps/>
      <w:sz w:val="32"/>
      <w:lang w:val="en-US"/>
    </w:rPr>
  </w:style>
  <w:style w:type="character" w:customStyle="1" w:styleId="2012">
    <w:name w:val="表格内容1 Char"/>
    <w:qFormat/>
    <w:uiPriority w:val="0"/>
    <w:rPr>
      <w:rFonts w:ascii="宋体" w:hAnsi="宋体" w:eastAsia="宋体" w:cs="宋体"/>
      <w:kern w:val="2"/>
      <w:sz w:val="21"/>
      <w:szCs w:val="24"/>
      <w:lang w:val="en-US" w:eastAsia="zh-CN" w:bidi="ar-SA"/>
    </w:rPr>
  </w:style>
  <w:style w:type="character" w:customStyle="1" w:styleId="2013">
    <w:name w:val="表头 Char Char Char"/>
    <w:qFormat/>
    <w:uiPriority w:val="0"/>
    <w:rPr>
      <w:rFonts w:ascii="楷体_GB2312" w:hAnsi="宋体" w:eastAsia="宋体"/>
      <w:b/>
      <w:snapToGrid w:val="0"/>
      <w:sz w:val="24"/>
      <w:szCs w:val="24"/>
      <w:lang w:val="en-US" w:eastAsia="zh-CN" w:bidi="ar-SA"/>
    </w:rPr>
  </w:style>
  <w:style w:type="character" w:customStyle="1" w:styleId="2014">
    <w:name w:val="图名（杨） Char Char"/>
    <w:link w:val="2007"/>
    <w:qFormat/>
    <w:uiPriority w:val="0"/>
    <w:rPr>
      <w:rFonts w:eastAsia="黑体"/>
      <w:kern w:val="2"/>
      <w:sz w:val="24"/>
      <w:szCs w:val="24"/>
      <w:lang w:val="en-US" w:eastAsia="zh-CN" w:bidi="ar-SA"/>
    </w:rPr>
  </w:style>
  <w:style w:type="character" w:customStyle="1" w:styleId="2015">
    <w:name w:val="第3级标题 Char"/>
    <w:link w:val="1875"/>
    <w:qFormat/>
    <w:uiPriority w:val="0"/>
    <w:rPr>
      <w:rFonts w:eastAsia="华文中宋"/>
      <w:b/>
      <w:bCs/>
      <w:kern w:val="2"/>
      <w:sz w:val="30"/>
      <w:szCs w:val="30"/>
      <w:lang w:val="zh-CN"/>
    </w:rPr>
  </w:style>
  <w:style w:type="character" w:customStyle="1" w:styleId="2016">
    <w:name w:val="样式 段落 Char + Char"/>
    <w:qFormat/>
    <w:uiPriority w:val="0"/>
    <w:rPr>
      <w:rFonts w:ascii="宋体" w:hAnsi="宋体" w:eastAsia="宋体" w:cs="宋体"/>
      <w:kern w:val="2"/>
      <w:sz w:val="24"/>
      <w:szCs w:val="24"/>
      <w:lang w:val="en-US" w:eastAsia="zh-CN" w:bidi="ar-SA"/>
    </w:rPr>
  </w:style>
  <w:style w:type="character" w:customStyle="1" w:styleId="2017">
    <w:name w:val="表头（杨） Char"/>
    <w:link w:val="2018"/>
    <w:qFormat/>
    <w:uiPriority w:val="0"/>
    <w:rPr>
      <w:rFonts w:ascii="宋体" w:hAnsi="宋体" w:eastAsia="宋体"/>
      <w:spacing w:val="10"/>
      <w:sz w:val="24"/>
      <w:szCs w:val="24"/>
      <w:lang w:val="en-US" w:eastAsia="zh-CN" w:bidi="ar-SA"/>
    </w:rPr>
  </w:style>
  <w:style w:type="paragraph" w:customStyle="1" w:styleId="2018">
    <w:name w:val="表头（杨）"/>
    <w:basedOn w:val="1"/>
    <w:link w:val="2017"/>
    <w:qFormat/>
    <w:uiPriority w:val="0"/>
    <w:pPr>
      <w:tabs>
        <w:tab w:val="clear" w:pos="480"/>
      </w:tabs>
      <w:spacing w:line="440" w:lineRule="exact"/>
      <w:jc w:val="center"/>
    </w:pPr>
    <w:rPr>
      <w:rFonts w:ascii="宋体" w:hAnsi="宋体"/>
      <w:spacing w:val="10"/>
      <w:kern w:val="0"/>
    </w:rPr>
  </w:style>
  <w:style w:type="character" w:customStyle="1" w:styleId="2019">
    <w:name w:val="段落 Char Char Char"/>
    <w:qFormat/>
    <w:uiPriority w:val="0"/>
    <w:rPr>
      <w:rFonts w:ascii="宋体" w:hAnsi="宋体" w:eastAsia="宋体" w:cs="宋体"/>
      <w:kern w:val="2"/>
      <w:sz w:val="24"/>
      <w:szCs w:val="24"/>
      <w:lang w:val="en-US" w:eastAsia="zh-CN" w:bidi="ar-SA"/>
    </w:rPr>
  </w:style>
  <w:style w:type="character" w:customStyle="1" w:styleId="2020">
    <w:name w:val="文章正文格式 Char"/>
    <w:link w:val="2021"/>
    <w:qFormat/>
    <w:uiPriority w:val="0"/>
    <w:rPr>
      <w:rFonts w:ascii="宋体" w:eastAsia="宋体"/>
      <w:spacing w:val="8"/>
      <w:kern w:val="2"/>
      <w:sz w:val="28"/>
      <w:szCs w:val="28"/>
      <w:lang w:val="en-US" w:eastAsia="zh-CN" w:bidi="ar-SA"/>
    </w:rPr>
  </w:style>
  <w:style w:type="paragraph" w:customStyle="1" w:styleId="2021">
    <w:name w:val="文章正文格式"/>
    <w:basedOn w:val="1"/>
    <w:link w:val="2020"/>
    <w:qFormat/>
    <w:uiPriority w:val="0"/>
    <w:pPr>
      <w:tabs>
        <w:tab w:val="clear" w:pos="480"/>
      </w:tabs>
      <w:snapToGrid w:val="0"/>
      <w:spacing w:line="540" w:lineRule="atLeast"/>
      <w:ind w:firstLine="578"/>
    </w:pPr>
    <w:rPr>
      <w:rFonts w:ascii="宋体"/>
      <w:spacing w:val="8"/>
      <w:sz w:val="28"/>
      <w:szCs w:val="28"/>
    </w:rPr>
  </w:style>
  <w:style w:type="character" w:customStyle="1" w:styleId="2022">
    <w:name w:val="t10l201"/>
    <w:qFormat/>
    <w:uiPriority w:val="0"/>
    <w:rPr>
      <w:rFonts w:ascii="宋体" w:hAnsi="宋体" w:eastAsia="宋体" w:cs="宋体"/>
      <w:kern w:val="2"/>
      <w:sz w:val="21"/>
      <w:szCs w:val="21"/>
      <w:lang w:val="en-US" w:eastAsia="zh-CN" w:bidi="ar-SA"/>
    </w:rPr>
  </w:style>
  <w:style w:type="character" w:customStyle="1" w:styleId="2023">
    <w:name w:val="引用 字符"/>
    <w:link w:val="2024"/>
    <w:qFormat/>
    <w:uiPriority w:val="0"/>
    <w:rPr>
      <w:rFonts w:eastAsia="宋体"/>
      <w:i/>
      <w:iCs/>
      <w:color w:val="000000"/>
      <w:kern w:val="2"/>
      <w:sz w:val="24"/>
      <w:szCs w:val="24"/>
      <w:lang w:val="en-US" w:eastAsia="zh-CN" w:bidi="ar-SA"/>
    </w:rPr>
  </w:style>
  <w:style w:type="paragraph" w:styleId="2024">
    <w:name w:val="Quote"/>
    <w:basedOn w:val="1"/>
    <w:next w:val="1"/>
    <w:link w:val="2023"/>
    <w:qFormat/>
    <w:uiPriority w:val="0"/>
    <w:pPr>
      <w:tabs>
        <w:tab w:val="left" w:pos="1830"/>
        <w:tab w:val="clear" w:pos="480"/>
      </w:tabs>
      <w:ind w:left="1830"/>
    </w:pPr>
    <w:rPr>
      <w:i/>
      <w:iCs/>
      <w:color w:val="000000"/>
    </w:rPr>
  </w:style>
  <w:style w:type="character" w:customStyle="1" w:styleId="2025">
    <w:name w:val="ily663"/>
    <w:qFormat/>
    <w:uiPriority w:val="0"/>
    <w:rPr>
      <w:rFonts w:ascii="宋体" w:hAnsi="宋体" w:eastAsia="宋体" w:cs="宋体"/>
      <w:kern w:val="2"/>
      <w:sz w:val="24"/>
      <w:szCs w:val="24"/>
      <w:lang w:val="en-US" w:eastAsia="zh-CN" w:bidi="ar-SA"/>
    </w:rPr>
  </w:style>
  <w:style w:type="character" w:customStyle="1" w:styleId="2026">
    <w:name w:val="样式 0 + 加粗 Char"/>
    <w:link w:val="2027"/>
    <w:qFormat/>
    <w:uiPriority w:val="0"/>
    <w:rPr>
      <w:rFonts w:eastAsia="宋体"/>
      <w:b/>
      <w:bCs/>
      <w:sz w:val="21"/>
      <w:szCs w:val="21"/>
      <w:lang w:val="en-US" w:eastAsia="zh-CN" w:bidi="ar-SA"/>
    </w:rPr>
  </w:style>
  <w:style w:type="paragraph" w:customStyle="1" w:styleId="2027">
    <w:name w:val="样式 0 + 加粗"/>
    <w:basedOn w:val="1"/>
    <w:link w:val="2026"/>
    <w:qFormat/>
    <w:uiPriority w:val="0"/>
    <w:pPr>
      <w:tabs>
        <w:tab w:val="clear" w:pos="480"/>
      </w:tabs>
      <w:spacing w:line="440" w:lineRule="exact"/>
    </w:pPr>
    <w:rPr>
      <w:b/>
      <w:bCs/>
      <w:kern w:val="0"/>
      <w:sz w:val="21"/>
      <w:szCs w:val="21"/>
    </w:rPr>
  </w:style>
  <w:style w:type="character" w:customStyle="1" w:styleId="2028">
    <w:name w:val="样式 zhang正文 + (中文) 宋体 Char"/>
    <w:qFormat/>
    <w:uiPriority w:val="0"/>
    <w:rPr>
      <w:rFonts w:ascii="宋体" w:hAnsi="宋体" w:eastAsia="宋体" w:cs="宋体"/>
      <w:kern w:val="2"/>
      <w:sz w:val="24"/>
      <w:szCs w:val="24"/>
      <w:lang w:val="en-US" w:eastAsia="zh-CN" w:bidi="ar-SA"/>
    </w:rPr>
  </w:style>
  <w:style w:type="character" w:customStyle="1" w:styleId="2029">
    <w:name w:val="本文标题2 Char"/>
    <w:qFormat/>
    <w:uiPriority w:val="0"/>
    <w:rPr>
      <w:rFonts w:eastAsia="宋体"/>
      <w:b/>
      <w:bCs/>
      <w:smallCaps/>
      <w:kern w:val="2"/>
      <w:sz w:val="32"/>
      <w:szCs w:val="32"/>
      <w:lang w:val="en-US" w:eastAsia="zh-CN" w:bidi="ar-SA"/>
    </w:rPr>
  </w:style>
  <w:style w:type="paragraph" w:customStyle="1" w:styleId="2030">
    <w:name w:val="第1级标题"/>
    <w:basedOn w:val="3"/>
    <w:next w:val="1"/>
    <w:qFormat/>
    <w:uiPriority w:val="0"/>
    <w:pPr>
      <w:numPr>
        <w:numId w:val="0"/>
      </w:numPr>
      <w:tabs>
        <w:tab w:val="clear" w:pos="480"/>
      </w:tabs>
      <w:spacing w:before="100" w:beforeAutospacing="1" w:after="100" w:afterAutospacing="1" w:line="560" w:lineRule="exact"/>
      <w:jc w:val="center"/>
    </w:pPr>
    <w:rPr>
      <w:rFonts w:ascii="Times New Roman" w:eastAsia="华文中宋"/>
      <w:color w:val="FF0000"/>
      <w:szCs w:val="36"/>
    </w:rPr>
  </w:style>
  <w:style w:type="paragraph" w:customStyle="1" w:styleId="2031">
    <w:name w:val="中气附图"/>
    <w:basedOn w:val="83"/>
    <w:qFormat/>
    <w:uiPriority w:val="0"/>
    <w:pPr>
      <w:widowControl w:val="0"/>
      <w:tabs>
        <w:tab w:val="left" w:pos="360"/>
        <w:tab w:val="left" w:pos="1188"/>
      </w:tabs>
      <w:adjustRightInd/>
      <w:snapToGrid/>
      <w:spacing w:before="0" w:after="0"/>
      <w:ind w:left="1188" w:hanging="720" w:firstLineChars="0"/>
    </w:pPr>
    <w:rPr>
      <w:rFonts w:eastAsia="黑体"/>
      <w:color w:val="auto"/>
      <w:sz w:val="32"/>
    </w:rPr>
  </w:style>
  <w:style w:type="paragraph" w:customStyle="1" w:styleId="2032">
    <w:name w:val="条文"/>
    <w:basedOn w:val="21"/>
    <w:qFormat/>
    <w:uiPriority w:val="0"/>
    <w:pPr>
      <w:tabs>
        <w:tab w:val="left" w:pos="1287"/>
        <w:tab w:val="left" w:pos="1472"/>
        <w:tab w:val="clear" w:pos="480"/>
      </w:tabs>
      <w:spacing w:beforeLines="50"/>
      <w:ind w:firstLine="567" w:firstLineChars="0"/>
    </w:pPr>
    <w:rPr>
      <w:sz w:val="28"/>
    </w:rPr>
  </w:style>
  <w:style w:type="paragraph" w:customStyle="1" w:styleId="2033">
    <w:name w:val="样式 [正文格式] + 小四 首行缩进:  2 字符"/>
    <w:basedOn w:val="1"/>
    <w:qFormat/>
    <w:uiPriority w:val="0"/>
    <w:pPr>
      <w:ind w:firstLine="480"/>
    </w:pPr>
  </w:style>
  <w:style w:type="paragraph" w:customStyle="1" w:styleId="2034">
    <w:name w:val="样式 样式 正文格式 + 段前: 0.5 行 + 首行缩进:  2 字符 段前: 0.5 行"/>
    <w:basedOn w:val="1"/>
    <w:qFormat/>
    <w:uiPriority w:val="0"/>
    <w:pPr>
      <w:widowControl/>
      <w:tabs>
        <w:tab w:val="clear" w:pos="480"/>
      </w:tabs>
      <w:spacing w:beforeLines="50" w:line="440" w:lineRule="exact"/>
      <w:ind w:firstLine="560"/>
      <w:jc w:val="left"/>
    </w:pPr>
    <w:rPr>
      <w:rFonts w:eastAsia="仿宋_GB2312" w:cs="宋体"/>
      <w:sz w:val="28"/>
      <w:szCs w:val="20"/>
    </w:rPr>
  </w:style>
  <w:style w:type="paragraph" w:customStyle="1" w:styleId="2035">
    <w:name w:val="样式 标题 1Head 1wsa一、h1标题2标题 1 CharPart'Document1.标题 1标1章..."/>
    <w:basedOn w:val="3"/>
    <w:qFormat/>
    <w:uiPriority w:val="0"/>
    <w:pPr>
      <w:numPr>
        <w:numId w:val="0"/>
      </w:numPr>
      <w:tabs>
        <w:tab w:val="clear" w:pos="480"/>
      </w:tabs>
      <w:adjustRightInd w:val="0"/>
      <w:spacing w:before="156" w:after="156" w:line="440" w:lineRule="exact"/>
      <w:textAlignment w:val="baseline"/>
    </w:pPr>
    <w:rPr>
      <w:rFonts w:ascii="Times New Roman" w:eastAsia="方正大标宋简体" w:cs="宋体"/>
      <w:color w:val="FF0000"/>
      <w:sz w:val="32"/>
      <w:szCs w:val="20"/>
    </w:rPr>
  </w:style>
  <w:style w:type="paragraph" w:customStyle="1" w:styleId="2036">
    <w:name w:val="编制依据"/>
    <w:basedOn w:val="21"/>
    <w:qFormat/>
    <w:uiPriority w:val="0"/>
    <w:pPr>
      <w:tabs>
        <w:tab w:val="left" w:pos="1304"/>
        <w:tab w:val="clear" w:pos="480"/>
      </w:tabs>
      <w:spacing w:line="500" w:lineRule="exact"/>
      <w:ind w:left="1304" w:hanging="850" w:firstLineChars="0"/>
    </w:pPr>
    <w:rPr>
      <w:spacing w:val="-4"/>
      <w:sz w:val="28"/>
    </w:rPr>
  </w:style>
  <w:style w:type="paragraph" w:customStyle="1" w:styleId="2037">
    <w:name w:val="Char Char Char Char Char Char Char Char Char Char Char Char1 Char Char Char Char Char Char Char"/>
    <w:basedOn w:val="1"/>
    <w:qFormat/>
    <w:uiPriority w:val="0"/>
    <w:pPr>
      <w:tabs>
        <w:tab w:val="clear" w:pos="480"/>
      </w:tabs>
      <w:spacing w:line="240" w:lineRule="auto"/>
    </w:pPr>
    <w:rPr>
      <w:sz w:val="21"/>
    </w:rPr>
  </w:style>
  <w:style w:type="paragraph" w:customStyle="1" w:styleId="2038">
    <w:name w:val="标题 23"/>
    <w:basedOn w:val="1"/>
    <w:qFormat/>
    <w:uiPriority w:val="0"/>
    <w:pPr>
      <w:tabs>
        <w:tab w:val="clear" w:pos="480"/>
      </w:tabs>
      <w:spacing w:line="240" w:lineRule="auto"/>
    </w:pPr>
    <w:rPr>
      <w:sz w:val="21"/>
    </w:rPr>
  </w:style>
  <w:style w:type="paragraph" w:customStyle="1" w:styleId="2039">
    <w:name w:val="标题 21"/>
    <w:basedOn w:val="1"/>
    <w:qFormat/>
    <w:uiPriority w:val="0"/>
    <w:pPr>
      <w:tabs>
        <w:tab w:val="clear" w:pos="480"/>
      </w:tabs>
      <w:spacing w:line="240" w:lineRule="auto"/>
    </w:pPr>
    <w:rPr>
      <w:sz w:val="21"/>
    </w:rPr>
  </w:style>
  <w:style w:type="paragraph" w:customStyle="1" w:styleId="2040">
    <w:name w:val="毕二级"/>
    <w:basedOn w:val="1"/>
    <w:qFormat/>
    <w:uiPriority w:val="0"/>
    <w:pPr>
      <w:tabs>
        <w:tab w:val="clear" w:pos="480"/>
      </w:tabs>
      <w:spacing w:beforeLines="50" w:afterLines="50"/>
      <w:jc w:val="left"/>
    </w:pPr>
    <w:rPr>
      <w:rFonts w:eastAsia="黑体"/>
      <w:sz w:val="30"/>
    </w:rPr>
  </w:style>
  <w:style w:type="paragraph" w:customStyle="1" w:styleId="2041">
    <w:name w:val="样式 [正文格式] + 12.5 磅"/>
    <w:basedOn w:val="1"/>
    <w:next w:val="1"/>
    <w:qFormat/>
    <w:uiPriority w:val="0"/>
  </w:style>
  <w:style w:type="paragraph" w:customStyle="1" w:styleId="2042">
    <w:name w:val="【图片格式】"/>
    <w:next w:val="1872"/>
    <w:qFormat/>
    <w:uiPriority w:val="0"/>
    <w:pPr>
      <w:tabs>
        <w:tab w:val="left" w:pos="576"/>
      </w:tabs>
      <w:ind w:left="576" w:hanging="576"/>
      <w:jc w:val="center"/>
    </w:pPr>
    <w:rPr>
      <w:rFonts w:ascii="Times New Roman" w:hAnsi="Times New Roman" w:eastAsia="宋体" w:cs="Times New Roman"/>
      <w:kern w:val="2"/>
      <w:sz w:val="25"/>
      <w:szCs w:val="24"/>
      <w:lang w:val="en-US" w:eastAsia="zh-CN" w:bidi="ar-SA"/>
    </w:rPr>
  </w:style>
  <w:style w:type="paragraph" w:customStyle="1" w:styleId="2043">
    <w:name w:val="样式 0 + 黑体 加粗 紫罗兰"/>
    <w:basedOn w:val="1"/>
    <w:qFormat/>
    <w:uiPriority w:val="0"/>
    <w:pPr>
      <w:tabs>
        <w:tab w:val="clear" w:pos="480"/>
      </w:tabs>
      <w:spacing w:line="440" w:lineRule="exact"/>
    </w:pPr>
    <w:rPr>
      <w:rFonts w:ascii="黑体" w:hAnsi="黑体" w:eastAsia="黑体" w:cs="宋体"/>
      <w:b/>
      <w:bCs/>
      <w:color w:val="800080"/>
      <w:spacing w:val="10"/>
      <w:kern w:val="0"/>
      <w:szCs w:val="20"/>
    </w:rPr>
  </w:style>
  <w:style w:type="paragraph" w:customStyle="1" w:styleId="2044">
    <w:name w:val="第4级标题"/>
    <w:basedOn w:val="6"/>
    <w:next w:val="1"/>
    <w:qFormat/>
    <w:uiPriority w:val="0"/>
    <w:pPr>
      <w:numPr>
        <w:ilvl w:val="0"/>
        <w:numId w:val="0"/>
      </w:numPr>
      <w:tabs>
        <w:tab w:val="left" w:pos="864"/>
        <w:tab w:val="clear" w:pos="480"/>
      </w:tabs>
      <w:spacing w:beforeLines="50" w:beforeAutospacing="1" w:after="100" w:afterAutospacing="1" w:line="460" w:lineRule="exact"/>
      <w:ind w:left="864" w:hanging="864"/>
    </w:pPr>
    <w:rPr>
      <w:rFonts w:ascii="Times New Roman" w:hAnsi="Times New Roman" w:eastAsia="华文中宋"/>
    </w:rPr>
  </w:style>
  <w:style w:type="paragraph" w:customStyle="1" w:styleId="2045">
    <w:name w:val="样式 第2级标题 + (中文) 宋体"/>
    <w:basedOn w:val="1"/>
    <w:qFormat/>
    <w:uiPriority w:val="0"/>
    <w:pPr>
      <w:tabs>
        <w:tab w:val="left" w:pos="1800"/>
        <w:tab w:val="left" w:pos="1984"/>
      </w:tabs>
      <w:spacing w:before="156" w:after="156"/>
      <w:ind w:left="1984" w:hanging="708"/>
    </w:pPr>
    <w:rPr>
      <w:smallCaps/>
    </w:rPr>
  </w:style>
  <w:style w:type="paragraph" w:customStyle="1" w:styleId="2046">
    <w:name w:val="样式 [正文格式] + 首行缩进:  2 字符"/>
    <w:basedOn w:val="1"/>
    <w:qFormat/>
    <w:uiPriority w:val="0"/>
    <w:pPr>
      <w:ind w:firstLine="480"/>
    </w:pPr>
  </w:style>
  <w:style w:type="paragraph" w:customStyle="1" w:styleId="2047">
    <w:name w:val="默认段落字体 Para Char Char Char1 Char Char Char Char"/>
    <w:basedOn w:val="1"/>
    <w:qFormat/>
    <w:uiPriority w:val="0"/>
    <w:pPr>
      <w:tabs>
        <w:tab w:val="clear" w:pos="480"/>
      </w:tabs>
      <w:spacing w:line="240" w:lineRule="auto"/>
    </w:pPr>
  </w:style>
  <w:style w:type="paragraph" w:customStyle="1" w:styleId="2048">
    <w:name w:val="样式 小四 黑色 首行缩进:  0.85 厘米 行距: 固定值 22 磅"/>
    <w:basedOn w:val="1"/>
    <w:qFormat/>
    <w:uiPriority w:val="0"/>
    <w:pPr>
      <w:tabs>
        <w:tab w:val="clear" w:pos="480"/>
      </w:tabs>
      <w:spacing w:line="440" w:lineRule="exact"/>
      <w:ind w:firstLine="482"/>
    </w:pPr>
    <w:rPr>
      <w:rFonts w:cs="宋体"/>
      <w:color w:val="000000"/>
      <w:szCs w:val="20"/>
    </w:rPr>
  </w:style>
  <w:style w:type="paragraph" w:customStyle="1" w:styleId="2049">
    <w:name w:val="标题 11"/>
    <w:basedOn w:val="1"/>
    <w:qFormat/>
    <w:uiPriority w:val="0"/>
    <w:pPr>
      <w:tabs>
        <w:tab w:val="clear" w:pos="480"/>
      </w:tabs>
      <w:spacing w:line="240" w:lineRule="auto"/>
    </w:pPr>
    <w:rPr>
      <w:sz w:val="21"/>
    </w:rPr>
  </w:style>
  <w:style w:type="paragraph" w:customStyle="1" w:styleId="2050">
    <w:name w:val="本文标题1"/>
    <w:basedOn w:val="2035"/>
    <w:qFormat/>
    <w:uiPriority w:val="0"/>
    <w:pPr>
      <w:spacing w:before="0" w:after="0"/>
      <w:jc w:val="center"/>
    </w:pPr>
    <w:rPr>
      <w:rFonts w:ascii="方正大标宋简体" w:cs="Times New Roman"/>
      <w:sz w:val="36"/>
      <w:szCs w:val="36"/>
    </w:rPr>
  </w:style>
  <w:style w:type="paragraph" w:customStyle="1" w:styleId="2051">
    <w:name w:val="样式 标题 2 + 段前: 7.8 磅"/>
    <w:basedOn w:val="4"/>
    <w:qFormat/>
    <w:uiPriority w:val="0"/>
    <w:pPr>
      <w:keepNext w:val="0"/>
      <w:keepLines w:val="0"/>
      <w:numPr>
        <w:numId w:val="0"/>
      </w:numPr>
      <w:tabs>
        <w:tab w:val="left" w:pos="697"/>
        <w:tab w:val="clear" w:pos="480"/>
        <w:tab w:val="clear" w:pos="630"/>
      </w:tabs>
      <w:spacing w:before="0" w:after="0"/>
      <w:ind w:left="360" w:hanging="360"/>
    </w:pPr>
    <w:rPr>
      <w:rFonts w:eastAsia="黑体" w:cs="宋体"/>
      <w:sz w:val="30"/>
      <w:szCs w:val="20"/>
    </w:rPr>
  </w:style>
  <w:style w:type="paragraph" w:customStyle="1" w:styleId="2052">
    <w:name w:val="段落 Char Char"/>
    <w:basedOn w:val="1"/>
    <w:qFormat/>
    <w:uiPriority w:val="0"/>
    <w:pPr>
      <w:tabs>
        <w:tab w:val="clear" w:pos="480"/>
      </w:tabs>
      <w:topLinePunct/>
      <w:snapToGrid w:val="0"/>
    </w:pPr>
  </w:style>
  <w:style w:type="paragraph" w:customStyle="1" w:styleId="2053">
    <w:name w:val="标题 32"/>
    <w:basedOn w:val="1"/>
    <w:qFormat/>
    <w:uiPriority w:val="0"/>
    <w:pPr>
      <w:tabs>
        <w:tab w:val="clear" w:pos="480"/>
      </w:tabs>
      <w:spacing w:line="240" w:lineRule="auto"/>
    </w:pPr>
    <w:rPr>
      <w:sz w:val="21"/>
    </w:rPr>
  </w:style>
  <w:style w:type="paragraph" w:customStyle="1" w:styleId="2054">
    <w:name w:val="样式 首行缩进 Char + 首行缩进:  2.57 字符"/>
    <w:basedOn w:val="1"/>
    <w:qFormat/>
    <w:uiPriority w:val="0"/>
    <w:pPr>
      <w:tabs>
        <w:tab w:val="clear" w:pos="480"/>
      </w:tabs>
      <w:spacing w:beforeLines="50" w:afterLines="50"/>
      <w:ind w:firstLine="480"/>
    </w:pPr>
    <w:rPr>
      <w:color w:val="000000"/>
    </w:rPr>
  </w:style>
  <w:style w:type="paragraph" w:customStyle="1" w:styleId="2055">
    <w:name w:val="本文标题 3"/>
    <w:basedOn w:val="1"/>
    <w:qFormat/>
    <w:uiPriority w:val="0"/>
    <w:pPr>
      <w:tabs>
        <w:tab w:val="left" w:pos="0"/>
        <w:tab w:val="clear" w:pos="480"/>
      </w:tabs>
      <w:spacing w:line="240" w:lineRule="auto"/>
    </w:pPr>
    <w:rPr>
      <w:sz w:val="21"/>
    </w:rPr>
  </w:style>
  <w:style w:type="paragraph" w:customStyle="1" w:styleId="2056">
    <w:name w:val="文本框10号"/>
    <w:basedOn w:val="1"/>
    <w:qFormat/>
    <w:uiPriority w:val="0"/>
    <w:pPr>
      <w:tabs>
        <w:tab w:val="clear" w:pos="480"/>
      </w:tabs>
      <w:spacing w:line="240" w:lineRule="auto"/>
    </w:pPr>
    <w:rPr>
      <w:sz w:val="20"/>
      <w:szCs w:val="20"/>
    </w:rPr>
  </w:style>
  <w:style w:type="paragraph" w:customStyle="1" w:styleId="2057">
    <w:name w:val="图表"/>
    <w:basedOn w:val="1"/>
    <w:link w:val="3626"/>
    <w:qFormat/>
    <w:uiPriority w:val="0"/>
    <w:pPr>
      <w:tabs>
        <w:tab w:val="clear" w:pos="480"/>
      </w:tabs>
      <w:spacing w:afterLines="50" w:line="240" w:lineRule="auto"/>
      <w:jc w:val="center"/>
    </w:pPr>
    <w:rPr>
      <w:bCs/>
    </w:rPr>
  </w:style>
  <w:style w:type="paragraph" w:customStyle="1" w:styleId="2058">
    <w:name w:val="wpsplain"/>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059">
    <w:name w:val="仿宋体"/>
    <w:basedOn w:val="1"/>
    <w:qFormat/>
    <w:uiPriority w:val="0"/>
    <w:pPr>
      <w:widowControl/>
      <w:tabs>
        <w:tab w:val="clear" w:pos="480"/>
      </w:tabs>
      <w:spacing w:line="844" w:lineRule="atLeast"/>
      <w:ind w:firstLine="419"/>
      <w:textAlignment w:val="baseline"/>
    </w:pPr>
    <w:rPr>
      <w:rFonts w:eastAsia="仿宋_GB2312"/>
      <w:color w:val="000000"/>
      <w:kern w:val="0"/>
      <w:sz w:val="31"/>
      <w:szCs w:val="20"/>
      <w:u w:color="000000"/>
    </w:rPr>
  </w:style>
  <w:style w:type="paragraph" w:customStyle="1" w:styleId="2060">
    <w:name w:val="表内小四中"/>
    <w:basedOn w:val="1"/>
    <w:qFormat/>
    <w:uiPriority w:val="0"/>
    <w:pPr>
      <w:tabs>
        <w:tab w:val="clear" w:pos="480"/>
      </w:tabs>
      <w:adjustRightInd w:val="0"/>
      <w:snapToGrid w:val="0"/>
      <w:spacing w:line="240" w:lineRule="auto"/>
      <w:ind w:left="-131" w:right="-132"/>
      <w:jc w:val="center"/>
      <w:textAlignment w:val="baseline"/>
    </w:pPr>
    <w:rPr>
      <w:kern w:val="0"/>
      <w:szCs w:val="20"/>
    </w:rPr>
  </w:style>
  <w:style w:type="paragraph" w:customStyle="1" w:styleId="2061">
    <w:name w:val="正文 + 首行缩进:  2 字符"/>
    <w:basedOn w:val="1"/>
    <w:qFormat/>
    <w:uiPriority w:val="0"/>
    <w:pPr>
      <w:tabs>
        <w:tab w:val="clear" w:pos="480"/>
      </w:tabs>
      <w:spacing w:line="460" w:lineRule="exact"/>
      <w:ind w:firstLine="480"/>
    </w:pPr>
    <w:rPr>
      <w:szCs w:val="20"/>
    </w:rPr>
  </w:style>
  <w:style w:type="paragraph" w:customStyle="1" w:styleId="2062">
    <w:name w:val="样式 毕二级 + 段前: 0.5 行 段后: 0.5 行"/>
    <w:basedOn w:val="1"/>
    <w:qFormat/>
    <w:uiPriority w:val="0"/>
    <w:pPr>
      <w:tabs>
        <w:tab w:val="left" w:pos="900"/>
        <w:tab w:val="clear" w:pos="480"/>
      </w:tabs>
      <w:spacing w:before="120" w:after="120"/>
      <w:ind w:left="480" w:firstLine="567"/>
    </w:pPr>
    <w:rPr>
      <w:rFonts w:cs="宋体"/>
      <w:bCs/>
      <w:szCs w:val="20"/>
    </w:rPr>
  </w:style>
  <w:style w:type="paragraph" w:customStyle="1" w:styleId="2063">
    <w:name w:val="表（杨）"/>
    <w:basedOn w:val="1"/>
    <w:qFormat/>
    <w:uiPriority w:val="0"/>
    <w:pPr>
      <w:tabs>
        <w:tab w:val="clear" w:pos="480"/>
      </w:tabs>
      <w:overflowPunct w:val="0"/>
      <w:autoSpaceDE w:val="0"/>
      <w:autoSpaceDN w:val="0"/>
      <w:spacing w:line="240" w:lineRule="auto"/>
      <w:jc w:val="center"/>
    </w:pPr>
    <w:rPr>
      <w:rFonts w:ascii="宋体" w:hAnsi="宋体"/>
      <w:color w:val="FF0000"/>
      <w:kern w:val="0"/>
      <w:sz w:val="21"/>
    </w:rPr>
  </w:style>
  <w:style w:type="paragraph" w:customStyle="1" w:styleId="2064">
    <w:name w:val="样式 正文缩进正文（首行缩进两字）正文（首行缩进两字） Char Char Char Char Char Char Char..."/>
    <w:basedOn w:val="21"/>
    <w:qFormat/>
    <w:uiPriority w:val="0"/>
    <w:pPr>
      <w:tabs>
        <w:tab w:val="left" w:pos="3360"/>
        <w:tab w:val="clear" w:pos="480"/>
      </w:tabs>
      <w:adjustRightInd w:val="0"/>
      <w:snapToGrid w:val="0"/>
      <w:ind w:firstLine="480"/>
      <w:textAlignment w:val="baseline"/>
    </w:pPr>
    <w:rPr>
      <w:rFonts w:ascii="宋体" w:hAnsi="宋体" w:cs="宋体"/>
      <w:snapToGrid w:val="0"/>
      <w:kern w:val="0"/>
    </w:rPr>
  </w:style>
  <w:style w:type="paragraph" w:customStyle="1" w:styleId="2065">
    <w:name w:val="本文标题 2"/>
    <w:basedOn w:val="1"/>
    <w:qFormat/>
    <w:uiPriority w:val="0"/>
    <w:pPr>
      <w:tabs>
        <w:tab w:val="left" w:pos="0"/>
        <w:tab w:val="clear" w:pos="480"/>
      </w:tabs>
      <w:spacing w:line="240" w:lineRule="auto"/>
    </w:pPr>
    <w:rPr>
      <w:sz w:val="21"/>
    </w:rPr>
  </w:style>
  <w:style w:type="paragraph" w:customStyle="1" w:styleId="2066">
    <w:name w:val="本文标题4"/>
    <w:basedOn w:val="6"/>
    <w:qFormat/>
    <w:uiPriority w:val="0"/>
    <w:pPr>
      <w:numPr>
        <w:ilvl w:val="0"/>
        <w:numId w:val="0"/>
      </w:numPr>
      <w:tabs>
        <w:tab w:val="left" w:pos="0"/>
        <w:tab w:val="clear" w:pos="480"/>
      </w:tabs>
      <w:adjustRightInd w:val="0"/>
      <w:spacing w:beforeLines="50" w:after="0" w:line="440" w:lineRule="exact"/>
      <w:jc w:val="left"/>
      <w:textAlignment w:val="baseline"/>
    </w:pPr>
    <w:rPr>
      <w:rFonts w:ascii="Times New Roman" w:hAnsi="Times New Roman" w:eastAsia="宋体"/>
      <w:b w:val="0"/>
      <w:bCs w:val="0"/>
      <w:kern w:val="0"/>
      <w:sz w:val="24"/>
      <w:szCs w:val="24"/>
    </w:rPr>
  </w:style>
  <w:style w:type="paragraph" w:customStyle="1" w:styleId="2067">
    <w:name w:val="图例"/>
    <w:basedOn w:val="1"/>
    <w:qFormat/>
    <w:uiPriority w:val="0"/>
    <w:pPr>
      <w:tabs>
        <w:tab w:val="clear" w:pos="480"/>
      </w:tabs>
      <w:spacing w:line="240" w:lineRule="auto"/>
      <w:jc w:val="center"/>
    </w:pPr>
    <w:rPr>
      <w:b/>
      <w:sz w:val="21"/>
    </w:rPr>
  </w:style>
  <w:style w:type="paragraph" w:customStyle="1" w:styleId="2068">
    <w:name w:val="标题 22"/>
    <w:basedOn w:val="1"/>
    <w:qFormat/>
    <w:uiPriority w:val="0"/>
    <w:pPr>
      <w:tabs>
        <w:tab w:val="clear" w:pos="480"/>
      </w:tabs>
      <w:spacing w:line="240" w:lineRule="auto"/>
    </w:pPr>
    <w:rPr>
      <w:sz w:val="21"/>
    </w:rPr>
  </w:style>
  <w:style w:type="paragraph" w:customStyle="1" w:styleId="2069">
    <w:name w:val="样式 宋体 小四 行距: 固定值 20 磅"/>
    <w:basedOn w:val="1"/>
    <w:qFormat/>
    <w:uiPriority w:val="0"/>
    <w:pPr>
      <w:tabs>
        <w:tab w:val="clear" w:pos="480"/>
      </w:tabs>
    </w:pPr>
    <w:rPr>
      <w:rFonts w:ascii="宋体" w:hAnsi="宋体" w:cs="宋体"/>
      <w:szCs w:val="20"/>
    </w:rPr>
  </w:style>
  <w:style w:type="paragraph" w:customStyle="1" w:styleId="2070">
    <w:name w:val="样式 (西文) 楷体_GB2312 (中文) 楷体_GB2312 (符号) 宋体 小四 首行缩进:  0.8 厘米 行..."/>
    <w:basedOn w:val="1"/>
    <w:qFormat/>
    <w:uiPriority w:val="0"/>
    <w:pPr>
      <w:tabs>
        <w:tab w:val="clear" w:pos="480"/>
      </w:tabs>
      <w:ind w:firstLine="559" w:firstLineChars="233"/>
    </w:pPr>
    <w:rPr>
      <w:rFonts w:ascii="宋体" w:hAnsi="宋体"/>
    </w:rPr>
  </w:style>
  <w:style w:type="paragraph" w:customStyle="1" w:styleId="2071">
    <w:name w:val="样式 表（杨） + 两端对齐"/>
    <w:basedOn w:val="2063"/>
    <w:qFormat/>
    <w:uiPriority w:val="0"/>
    <w:pPr/>
    <w:rPr>
      <w:rFonts w:cs="宋体"/>
      <w:szCs w:val="20"/>
    </w:rPr>
  </w:style>
  <w:style w:type="paragraph" w:customStyle="1" w:styleId="2072">
    <w:name w:val="样式 五号 左侧:  0.99 厘米"/>
    <w:basedOn w:val="1"/>
    <w:qFormat/>
    <w:uiPriority w:val="0"/>
    <w:pPr>
      <w:tabs>
        <w:tab w:val="left" w:pos="378"/>
        <w:tab w:val="clear" w:pos="480"/>
      </w:tabs>
      <w:adjustRightInd w:val="0"/>
      <w:snapToGrid w:val="0"/>
      <w:spacing w:line="240" w:lineRule="auto"/>
      <w:jc w:val="center"/>
    </w:pPr>
    <w:rPr>
      <w:rFonts w:cs="宋体"/>
      <w:sz w:val="21"/>
      <w:szCs w:val="20"/>
    </w:rPr>
  </w:style>
  <w:style w:type="paragraph" w:customStyle="1" w:styleId="2073">
    <w:name w:val="样式 12.5 磅 行距: 固定值 23 磅"/>
    <w:basedOn w:val="1"/>
    <w:qFormat/>
    <w:uiPriority w:val="0"/>
    <w:pPr>
      <w:tabs>
        <w:tab w:val="clear" w:pos="480"/>
      </w:tabs>
      <w:spacing w:line="460" w:lineRule="exact"/>
      <w:ind w:firstLine="500"/>
    </w:pPr>
    <w:rPr>
      <w:rFonts w:cs="宋体"/>
      <w:sz w:val="25"/>
      <w:szCs w:val="20"/>
    </w:rPr>
  </w:style>
  <w:style w:type="paragraph" w:customStyle="1" w:styleId="2074">
    <w:name w:val="样式 标题 4 + 段前: 1 行"/>
    <w:basedOn w:val="6"/>
    <w:qFormat/>
    <w:uiPriority w:val="0"/>
    <w:pPr>
      <w:keepNext w:val="0"/>
      <w:numPr>
        <w:ilvl w:val="0"/>
        <w:numId w:val="0"/>
      </w:numPr>
      <w:tabs>
        <w:tab w:val="left" w:pos="864"/>
        <w:tab w:val="clear" w:pos="480"/>
      </w:tabs>
      <w:spacing w:beforeLines="100" w:after="0" w:line="500" w:lineRule="atLeast"/>
    </w:pPr>
    <w:rPr>
      <w:rFonts w:ascii="Times New Roman" w:hAnsi="Times New Roman" w:cs="宋体"/>
    </w:rPr>
  </w:style>
  <w:style w:type="paragraph" w:customStyle="1" w:styleId="2075">
    <w:name w:val="样式 表头 + 小四"/>
    <w:basedOn w:val="73"/>
    <w:qFormat/>
    <w:uiPriority w:val="0"/>
    <w:pPr>
      <w:ind w:left="420" w:leftChars="0" w:firstLine="0" w:firstLineChars="0"/>
      <w:jc w:val="center"/>
    </w:pPr>
    <w:rPr>
      <w:b/>
      <w:bCs/>
      <w:sz w:val="24"/>
      <w:szCs w:val="20"/>
    </w:rPr>
  </w:style>
  <w:style w:type="paragraph" w:customStyle="1" w:styleId="2076">
    <w:name w:val="Y表格_正文"/>
    <w:qFormat/>
    <w:uiPriority w:val="0"/>
    <w:pPr>
      <w:widowControl w:val="0"/>
      <w:spacing w:line="0" w:lineRule="atLeast"/>
      <w:jc w:val="center"/>
    </w:pPr>
    <w:rPr>
      <w:rFonts w:ascii="Times New Roman" w:hAnsi="Times New Roman" w:eastAsia="宋体" w:cs="Times New Roman"/>
      <w:kern w:val="2"/>
      <w:sz w:val="21"/>
      <w:szCs w:val="21"/>
      <w:lang w:val="en-US" w:eastAsia="zh-CN" w:bidi="ar-SA"/>
    </w:rPr>
  </w:style>
  <w:style w:type="paragraph" w:customStyle="1" w:styleId="2077">
    <w:name w:val="标题二"/>
    <w:basedOn w:val="1"/>
    <w:next w:val="85"/>
    <w:semiHidden/>
    <w:qFormat/>
    <w:uiPriority w:val="0"/>
    <w:pPr>
      <w:tabs>
        <w:tab w:val="clear" w:pos="480"/>
      </w:tabs>
      <w:spacing w:line="960" w:lineRule="exact"/>
      <w:outlineLvl w:val="1"/>
    </w:pPr>
    <w:rPr>
      <w:rFonts w:ascii="Arial" w:hAnsi="Arial" w:eastAsia="黑体"/>
      <w:sz w:val="32"/>
      <w:szCs w:val="32"/>
    </w:rPr>
  </w:style>
  <w:style w:type="character" w:customStyle="1" w:styleId="2078">
    <w:name w:val="编号 Char"/>
    <w:qFormat/>
    <w:uiPriority w:val="0"/>
    <w:rPr>
      <w:rFonts w:eastAsia="宋体"/>
      <w:kern w:val="2"/>
      <w:sz w:val="24"/>
      <w:szCs w:val="24"/>
      <w:lang w:val="en-US" w:eastAsia="zh-CN" w:bidi="ar-SA"/>
    </w:rPr>
  </w:style>
  <w:style w:type="paragraph" w:customStyle="1" w:styleId="2079">
    <w:name w:val="表格（小）"/>
    <w:basedOn w:val="1"/>
    <w:qFormat/>
    <w:uiPriority w:val="0"/>
    <w:pPr>
      <w:tabs>
        <w:tab w:val="clear" w:pos="480"/>
      </w:tabs>
      <w:adjustRightInd w:val="0"/>
      <w:snapToGrid w:val="0"/>
      <w:spacing w:line="240" w:lineRule="auto"/>
      <w:jc w:val="center"/>
    </w:pPr>
    <w:rPr>
      <w:rFonts w:ascii="宋体" w:hAnsi="宋体"/>
      <w:snapToGrid w:val="0"/>
      <w:spacing w:val="6"/>
      <w:kern w:val="0"/>
      <w:sz w:val="21"/>
      <w:szCs w:val="20"/>
    </w:rPr>
  </w:style>
  <w:style w:type="character" w:customStyle="1" w:styleId="2080">
    <w:name w:val="公式 Char Char"/>
    <w:semiHidden/>
    <w:qFormat/>
    <w:uiPriority w:val="0"/>
    <w:rPr>
      <w:rFonts w:eastAsia="宋体"/>
      <w:kern w:val="2"/>
      <w:sz w:val="24"/>
      <w:szCs w:val="24"/>
      <w:lang w:val="en-US" w:eastAsia="zh-CN" w:bidi="ar-SA"/>
    </w:rPr>
  </w:style>
  <w:style w:type="character" w:customStyle="1" w:styleId="2081">
    <w:name w:val="正文 首行缩进:  2 字符 Char Char"/>
    <w:semiHidden/>
    <w:qFormat/>
    <w:uiPriority w:val="0"/>
    <w:rPr>
      <w:rFonts w:eastAsia="宋体" w:cs="宋体"/>
      <w:kern w:val="44"/>
      <w:sz w:val="24"/>
      <w:lang w:val="en-US" w:eastAsia="zh-CN" w:bidi="ar-SA"/>
    </w:rPr>
  </w:style>
  <w:style w:type="paragraph" w:customStyle="1" w:styleId="2082">
    <w:name w:val="Char Char Char Char Char Char Char Char Char Char Char Char Char Char Char Char"/>
    <w:basedOn w:val="1"/>
    <w:qFormat/>
    <w:uiPriority w:val="0"/>
    <w:pPr>
      <w:tabs>
        <w:tab w:val="clear" w:pos="480"/>
      </w:tabs>
      <w:spacing w:line="240" w:lineRule="auto"/>
    </w:pPr>
    <w:rPr>
      <w:sz w:val="21"/>
    </w:rPr>
  </w:style>
  <w:style w:type="paragraph" w:customStyle="1" w:styleId="2083">
    <w:name w:val="表格项目"/>
    <w:basedOn w:val="1"/>
    <w:semiHidden/>
    <w:qFormat/>
    <w:uiPriority w:val="0"/>
    <w:pPr>
      <w:tabs>
        <w:tab w:val="clear" w:pos="480"/>
      </w:tabs>
      <w:spacing w:beforeLines="30" w:afterLines="30" w:line="240" w:lineRule="auto"/>
    </w:pPr>
  </w:style>
  <w:style w:type="paragraph" w:customStyle="1" w:styleId="2084">
    <w:name w:val="网格"/>
    <w:next w:val="1"/>
    <w:semiHidden/>
    <w:qFormat/>
    <w:uiPriority w:val="0"/>
    <w:pPr>
      <w:pBdr>
        <w:top w:val="single" w:color="auto" w:sz="12" w:space="1"/>
        <w:bottom w:val="single" w:color="auto" w:sz="12" w:space="1"/>
        <w:between w:val="single" w:color="auto" w:sz="4" w:space="1"/>
      </w:pBdr>
      <w:jc w:val="center"/>
    </w:pPr>
    <w:rPr>
      <w:rFonts w:ascii="Times New Roman" w:hAnsi="Times New Roman" w:eastAsia="宋体" w:cs="Times New Roman"/>
      <w:kern w:val="2"/>
      <w:sz w:val="21"/>
      <w:szCs w:val="24"/>
      <w:lang w:val="en-US" w:eastAsia="zh-CN" w:bidi="ar-SA"/>
    </w:rPr>
  </w:style>
  <w:style w:type="paragraph" w:customStyle="1" w:styleId="2085">
    <w:name w:val="Char Char Char Char Char Char Char Char Char Char Char Char Char Char Char Char Char Char Char Char Char Char"/>
    <w:basedOn w:val="1"/>
    <w:semiHidden/>
    <w:qFormat/>
    <w:uiPriority w:val="0"/>
    <w:pPr>
      <w:tabs>
        <w:tab w:val="clear" w:pos="480"/>
      </w:tabs>
      <w:spacing w:line="240" w:lineRule="auto"/>
      <w:ind w:firstLine="468" w:firstLineChars="195"/>
    </w:pPr>
    <w:rPr>
      <w:sz w:val="21"/>
    </w:rPr>
  </w:style>
  <w:style w:type="paragraph" w:customStyle="1" w:styleId="2086">
    <w:name w:val="样式 标题 3 + 黑体 四号 非加粗 行距: 固定值 36 磅"/>
    <w:basedOn w:val="5"/>
    <w:semiHidden/>
    <w:qFormat/>
    <w:uiPriority w:val="0"/>
    <w:pPr>
      <w:numPr>
        <w:ilvl w:val="0"/>
        <w:numId w:val="0"/>
      </w:numPr>
      <w:tabs>
        <w:tab w:val="clear" w:pos="480"/>
        <w:tab w:val="clear" w:pos="840"/>
      </w:tabs>
      <w:spacing w:before="0" w:after="0" w:line="720" w:lineRule="exact"/>
    </w:pPr>
    <w:rPr>
      <w:rFonts w:ascii="黑体" w:hAnsi="黑体" w:eastAsia="黑体"/>
      <w:b w:val="0"/>
      <w:bCs w:val="0"/>
      <w:kern w:val="0"/>
      <w:sz w:val="28"/>
      <w:szCs w:val="20"/>
    </w:rPr>
  </w:style>
  <w:style w:type="paragraph" w:customStyle="1" w:styleId="2087">
    <w:name w:val="表格内文字 Char"/>
    <w:basedOn w:val="1"/>
    <w:semiHidden/>
    <w:qFormat/>
    <w:uiPriority w:val="0"/>
    <w:pPr>
      <w:tabs>
        <w:tab w:val="clear" w:pos="480"/>
      </w:tabs>
      <w:kinsoku w:val="0"/>
      <w:wordWrap w:val="0"/>
      <w:overflowPunct w:val="0"/>
      <w:spacing w:line="360" w:lineRule="exact"/>
      <w:jc w:val="center"/>
    </w:pPr>
    <w:rPr>
      <w:rFonts w:ascii="宋体" w:hAnsi="宋体" w:cs="Arial"/>
      <w:snapToGrid w:val="0"/>
      <w:kern w:val="44"/>
      <w:szCs w:val="48"/>
    </w:rPr>
  </w:style>
  <w:style w:type="paragraph" w:customStyle="1" w:styleId="2088">
    <w:name w:val="样式 标题 1 + 华文新魏 小一 非加粗 居中 段前: 0 磅 段后: 0 磅 行距: 固定值 60 磅"/>
    <w:basedOn w:val="3"/>
    <w:semiHidden/>
    <w:qFormat/>
    <w:uiPriority w:val="0"/>
    <w:pPr>
      <w:numPr>
        <w:numId w:val="0"/>
      </w:numPr>
      <w:tabs>
        <w:tab w:val="left" w:pos="420"/>
        <w:tab w:val="left" w:pos="1440"/>
        <w:tab w:val="clear" w:pos="480"/>
      </w:tabs>
      <w:adjustRightInd w:val="0"/>
      <w:spacing w:before="180" w:after="120" w:line="1200" w:lineRule="exact"/>
      <w:ind w:left="1440" w:hanging="1440"/>
      <w:jc w:val="center"/>
      <w:textAlignment w:val="baseline"/>
    </w:pPr>
    <w:rPr>
      <w:rFonts w:ascii="华文新魏" w:eastAsia="华文新魏"/>
      <w:b w:val="0"/>
      <w:bCs w:val="0"/>
      <w:sz w:val="48"/>
      <w:szCs w:val="48"/>
    </w:rPr>
  </w:style>
  <w:style w:type="paragraph" w:customStyle="1" w:styleId="2089">
    <w:name w:val="样式 标题 3 Char Char + 黑体 四号 非加粗 段前: 0 磅 段后: 0 磅 行距: 固定值 36 磅"/>
    <w:basedOn w:val="5"/>
    <w:semiHidden/>
    <w:qFormat/>
    <w:uiPriority w:val="0"/>
    <w:pPr>
      <w:numPr>
        <w:ilvl w:val="0"/>
        <w:numId w:val="0"/>
      </w:numPr>
      <w:tabs>
        <w:tab w:val="clear" w:pos="480"/>
        <w:tab w:val="clear" w:pos="840"/>
      </w:tabs>
      <w:spacing w:before="0" w:after="0" w:line="720" w:lineRule="exact"/>
    </w:pPr>
    <w:rPr>
      <w:rFonts w:ascii="黑体" w:eastAsia="黑体"/>
      <w:b w:val="0"/>
      <w:bCs w:val="0"/>
      <w:sz w:val="28"/>
      <w:szCs w:val="28"/>
    </w:rPr>
  </w:style>
  <w:style w:type="paragraph" w:customStyle="1" w:styleId="2090">
    <w:name w:val="样式 居中"/>
    <w:basedOn w:val="1"/>
    <w:semiHidden/>
    <w:qFormat/>
    <w:uiPriority w:val="0"/>
    <w:pPr>
      <w:tabs>
        <w:tab w:val="clear" w:pos="480"/>
      </w:tabs>
      <w:spacing w:line="520" w:lineRule="exact"/>
      <w:jc w:val="center"/>
    </w:pPr>
    <w:rPr>
      <w:kern w:val="44"/>
      <w:szCs w:val="20"/>
    </w:rPr>
  </w:style>
  <w:style w:type="paragraph" w:customStyle="1" w:styleId="2091">
    <w:name w:val="样式 正文 首行缩进:  2 字符 + 加粗 首行缩进:  2 字符"/>
    <w:basedOn w:val="1833"/>
    <w:semiHidden/>
    <w:qFormat/>
    <w:uiPriority w:val="0"/>
    <w:pPr>
      <w:ind w:firstLine="482"/>
    </w:pPr>
    <w:rPr>
      <w:bCs/>
      <w:szCs w:val="24"/>
    </w:rPr>
  </w:style>
  <w:style w:type="paragraph" w:customStyle="1" w:styleId="2092">
    <w:name w:val="样式 正文 首行缩进:  2 字符 + 加粗 首行缩进:  2 字符1"/>
    <w:basedOn w:val="1833"/>
    <w:semiHidden/>
    <w:qFormat/>
    <w:uiPriority w:val="0"/>
    <w:pPr>
      <w:ind w:firstLine="482"/>
    </w:pPr>
    <w:rPr>
      <w:bCs/>
      <w:szCs w:val="24"/>
    </w:rPr>
  </w:style>
  <w:style w:type="paragraph" w:customStyle="1" w:styleId="2093">
    <w:name w:val="样式 样式 样式 首行缩进:  2 字符 + 首行缩进:  2 字符 + 首行缩进:  2 字符"/>
    <w:basedOn w:val="1"/>
    <w:semiHidden/>
    <w:qFormat/>
    <w:uiPriority w:val="0"/>
    <w:pPr>
      <w:tabs>
        <w:tab w:val="clear" w:pos="480"/>
      </w:tabs>
      <w:spacing w:line="520" w:lineRule="exact"/>
    </w:pPr>
    <w:rPr>
      <w:szCs w:val="20"/>
    </w:rPr>
  </w:style>
  <w:style w:type="paragraph" w:customStyle="1" w:styleId="2094">
    <w:name w:val="样式 五号 居中"/>
    <w:basedOn w:val="1"/>
    <w:semiHidden/>
    <w:qFormat/>
    <w:uiPriority w:val="0"/>
    <w:pPr>
      <w:tabs>
        <w:tab w:val="clear" w:pos="480"/>
      </w:tabs>
      <w:spacing w:line="360" w:lineRule="exact"/>
      <w:jc w:val="center"/>
    </w:pPr>
    <w:rPr>
      <w:kern w:val="44"/>
      <w:szCs w:val="20"/>
    </w:rPr>
  </w:style>
  <w:style w:type="paragraph" w:customStyle="1" w:styleId="2095">
    <w:name w:val="样式 五号 居中 行距: 固定值 18 磅"/>
    <w:basedOn w:val="1"/>
    <w:semiHidden/>
    <w:qFormat/>
    <w:uiPriority w:val="0"/>
    <w:pPr>
      <w:tabs>
        <w:tab w:val="clear" w:pos="480"/>
      </w:tabs>
      <w:spacing w:line="360" w:lineRule="exact"/>
      <w:jc w:val="center"/>
    </w:pPr>
    <w:rPr>
      <w:kern w:val="44"/>
      <w:szCs w:val="20"/>
    </w:rPr>
  </w:style>
  <w:style w:type="paragraph" w:customStyle="1" w:styleId="2096">
    <w:name w:val="样式 五号 行距: 固定值 18 磅"/>
    <w:basedOn w:val="1"/>
    <w:semiHidden/>
    <w:qFormat/>
    <w:uiPriority w:val="0"/>
    <w:pPr>
      <w:tabs>
        <w:tab w:val="clear" w:pos="480"/>
      </w:tabs>
      <w:spacing w:line="360" w:lineRule="exact"/>
    </w:pPr>
    <w:rPr>
      <w:kern w:val="44"/>
      <w:szCs w:val="21"/>
    </w:rPr>
  </w:style>
  <w:style w:type="character" w:customStyle="1" w:styleId="2097">
    <w:name w:val="样式 五号"/>
    <w:semiHidden/>
    <w:qFormat/>
    <w:uiPriority w:val="0"/>
    <w:rPr>
      <w:rFonts w:eastAsia="宋体"/>
      <w:sz w:val="21"/>
    </w:rPr>
  </w:style>
  <w:style w:type="paragraph" w:customStyle="1" w:styleId="2098">
    <w:name w:val="样式 正文 首行缩进:  2 字符 Char + 黑体 首行缩进:  0 字符2"/>
    <w:basedOn w:val="1"/>
    <w:semiHidden/>
    <w:qFormat/>
    <w:uiPriority w:val="0"/>
    <w:pPr>
      <w:tabs>
        <w:tab w:val="clear" w:pos="480"/>
      </w:tabs>
      <w:spacing w:line="520" w:lineRule="exact"/>
    </w:pPr>
    <w:rPr>
      <w:rFonts w:ascii="黑体" w:eastAsia="黑体" w:cs="Arial"/>
      <w:kern w:val="44"/>
      <w:szCs w:val="48"/>
    </w:rPr>
  </w:style>
  <w:style w:type="character" w:customStyle="1" w:styleId="2099">
    <w:name w:val="表格内文字 Char Char"/>
    <w:qFormat/>
    <w:uiPriority w:val="0"/>
    <w:rPr>
      <w:rFonts w:ascii="宋体" w:hAnsi="宋体" w:eastAsia="宋体" w:cs="Arial"/>
      <w:snapToGrid w:val="0"/>
      <w:kern w:val="44"/>
      <w:sz w:val="21"/>
      <w:szCs w:val="48"/>
      <w:lang w:val="en-US" w:eastAsia="zh-CN" w:bidi="ar-SA"/>
    </w:rPr>
  </w:style>
  <w:style w:type="paragraph" w:customStyle="1" w:styleId="2100">
    <w:name w:val="图表文字"/>
    <w:basedOn w:val="1"/>
    <w:qFormat/>
    <w:uiPriority w:val="0"/>
    <w:pPr>
      <w:tabs>
        <w:tab w:val="clear" w:pos="480"/>
      </w:tabs>
      <w:spacing w:line="320" w:lineRule="exact"/>
      <w:jc w:val="center"/>
    </w:pPr>
    <w:rPr>
      <w:bCs/>
    </w:rPr>
  </w:style>
  <w:style w:type="paragraph" w:customStyle="1" w:styleId="2101">
    <w:name w:val="正文 首行缩进:  2 字符"/>
    <w:basedOn w:val="1"/>
    <w:qFormat/>
    <w:uiPriority w:val="0"/>
    <w:pPr>
      <w:tabs>
        <w:tab w:val="clear" w:pos="480"/>
      </w:tabs>
      <w:spacing w:line="520" w:lineRule="exact"/>
      <w:ind w:firstLine="480"/>
    </w:pPr>
    <w:rPr>
      <w:kern w:val="44"/>
      <w:szCs w:val="20"/>
    </w:rPr>
  </w:style>
  <w:style w:type="paragraph" w:customStyle="1" w:styleId="2102">
    <w:name w:val="样式 正文 首行缩进:  2 字符 Char + 黑体 首行缩进:  0 字符"/>
    <w:basedOn w:val="1"/>
    <w:semiHidden/>
    <w:qFormat/>
    <w:uiPriority w:val="0"/>
    <w:pPr>
      <w:tabs>
        <w:tab w:val="clear" w:pos="480"/>
      </w:tabs>
      <w:spacing w:line="520" w:lineRule="exact"/>
    </w:pPr>
    <w:rPr>
      <w:rFonts w:ascii="黑体" w:hAnsi="黑体" w:eastAsia="黑体" w:cs="Arial"/>
      <w:kern w:val="44"/>
      <w:szCs w:val="48"/>
    </w:rPr>
  </w:style>
  <w:style w:type="paragraph" w:customStyle="1" w:styleId="2103">
    <w:name w:val="样式 正文 首行缩进:  2 字符 Char + 黑体 首行缩进:  0 字符1"/>
    <w:basedOn w:val="1"/>
    <w:semiHidden/>
    <w:qFormat/>
    <w:uiPriority w:val="0"/>
    <w:pPr>
      <w:tabs>
        <w:tab w:val="clear" w:pos="480"/>
      </w:tabs>
      <w:spacing w:line="520" w:lineRule="exact"/>
    </w:pPr>
    <w:rPr>
      <w:rFonts w:ascii="黑体" w:hAnsi="黑体" w:eastAsia="黑体" w:cs="Arial"/>
      <w:kern w:val="0"/>
      <w:szCs w:val="48"/>
    </w:rPr>
  </w:style>
  <w:style w:type="paragraph" w:customStyle="1" w:styleId="2104">
    <w:name w:val="样式 正文 首行缩进:  2 字符 Char + (中文) 黑体"/>
    <w:basedOn w:val="1"/>
    <w:semiHidden/>
    <w:qFormat/>
    <w:uiPriority w:val="0"/>
    <w:pPr>
      <w:tabs>
        <w:tab w:val="clear" w:pos="480"/>
      </w:tabs>
      <w:spacing w:line="520" w:lineRule="exact"/>
    </w:pPr>
    <w:rPr>
      <w:rFonts w:eastAsia="黑体" w:cs="Arial"/>
      <w:kern w:val="44"/>
      <w:szCs w:val="48"/>
    </w:rPr>
  </w:style>
  <w:style w:type="character" w:customStyle="1" w:styleId="2105">
    <w:name w:val="样式 正文 首行缩进:  2 字符 Char + (中文) 黑体 Char"/>
    <w:semiHidden/>
    <w:qFormat/>
    <w:uiPriority w:val="0"/>
    <w:rPr>
      <w:rFonts w:eastAsia="黑体" w:cs="Arial"/>
      <w:kern w:val="44"/>
      <w:sz w:val="24"/>
      <w:szCs w:val="48"/>
      <w:lang w:val="en-US" w:eastAsia="zh-CN" w:bidi="ar-SA"/>
    </w:rPr>
  </w:style>
  <w:style w:type="paragraph" w:customStyle="1" w:styleId="2106">
    <w:name w:val="样式 正文 首行缩进:  2 字符 Char + 红色"/>
    <w:basedOn w:val="1"/>
    <w:semiHidden/>
    <w:qFormat/>
    <w:uiPriority w:val="0"/>
    <w:pPr>
      <w:tabs>
        <w:tab w:val="clear" w:pos="480"/>
      </w:tabs>
      <w:spacing w:line="520" w:lineRule="exact"/>
    </w:pPr>
    <w:rPr>
      <w:rFonts w:cs="Arial"/>
      <w:color w:val="FF0000"/>
      <w:szCs w:val="48"/>
    </w:rPr>
  </w:style>
  <w:style w:type="character" w:customStyle="1" w:styleId="2107">
    <w:name w:val="样式 正文 首行缩进:  2 字符 Char + 红色 Char"/>
    <w:semiHidden/>
    <w:qFormat/>
    <w:uiPriority w:val="0"/>
    <w:rPr>
      <w:rFonts w:eastAsia="宋体" w:cs="Arial"/>
      <w:color w:val="FF0000"/>
      <w:kern w:val="2"/>
      <w:sz w:val="24"/>
      <w:szCs w:val="48"/>
      <w:lang w:val="en-US" w:eastAsia="zh-CN" w:bidi="ar-SA"/>
    </w:rPr>
  </w:style>
  <w:style w:type="paragraph" w:customStyle="1" w:styleId="2108">
    <w:name w:val="样式 正文 首行缩进:  2 字符 Char + 黑体"/>
    <w:basedOn w:val="1833"/>
    <w:semiHidden/>
    <w:qFormat/>
    <w:uiPriority w:val="0"/>
    <w:pPr>
      <w:ind w:firstLine="0" w:firstLineChars="0"/>
    </w:pPr>
    <w:rPr>
      <w:rFonts w:ascii="黑体" w:hAnsi="黑体" w:eastAsia="黑体"/>
    </w:rPr>
  </w:style>
  <w:style w:type="paragraph" w:customStyle="1" w:styleId="2109">
    <w:name w:val="样式 黑体"/>
    <w:basedOn w:val="1"/>
    <w:semiHidden/>
    <w:qFormat/>
    <w:uiPriority w:val="0"/>
    <w:pPr>
      <w:tabs>
        <w:tab w:val="clear" w:pos="480"/>
      </w:tabs>
      <w:spacing w:line="520" w:lineRule="exact"/>
    </w:pPr>
    <w:rPr>
      <w:rFonts w:ascii="黑体" w:hAnsi="黑体" w:eastAsia="黑体" w:cs="Arial"/>
      <w:kern w:val="0"/>
      <w:szCs w:val="48"/>
    </w:rPr>
  </w:style>
  <w:style w:type="character" w:customStyle="1" w:styleId="2110">
    <w:name w:val="样式 黑体 Char"/>
    <w:semiHidden/>
    <w:qFormat/>
    <w:uiPriority w:val="0"/>
    <w:rPr>
      <w:rFonts w:ascii="黑体" w:hAnsi="黑体" w:eastAsia="黑体" w:cs="Arial"/>
      <w:sz w:val="24"/>
      <w:szCs w:val="48"/>
      <w:lang w:val="en-US" w:eastAsia="zh-CN" w:bidi="ar-SA"/>
    </w:rPr>
  </w:style>
  <w:style w:type="paragraph" w:customStyle="1" w:styleId="2111">
    <w:name w:val="样式 样式 正文 首行缩进:  2 字符 Char + 黑体 首行缩进:  0 字符2 +"/>
    <w:basedOn w:val="1"/>
    <w:semiHidden/>
    <w:qFormat/>
    <w:uiPriority w:val="0"/>
    <w:pPr>
      <w:tabs>
        <w:tab w:val="clear" w:pos="480"/>
      </w:tabs>
      <w:spacing w:line="520" w:lineRule="exact"/>
    </w:pPr>
    <w:rPr>
      <w:rFonts w:cs="Arial"/>
      <w:kern w:val="0"/>
      <w:szCs w:val="48"/>
    </w:rPr>
  </w:style>
  <w:style w:type="character" w:customStyle="1" w:styleId="2112">
    <w:name w:val="样式 正文 首行缩进:  2 字符 Char + 黑体 首行缩进:  0 字符 Char"/>
    <w:semiHidden/>
    <w:qFormat/>
    <w:uiPriority w:val="0"/>
    <w:rPr>
      <w:rFonts w:ascii="黑体" w:hAnsi="黑体" w:eastAsia="黑体" w:cs="Arial"/>
      <w:kern w:val="44"/>
      <w:sz w:val="24"/>
      <w:szCs w:val="48"/>
      <w:lang w:val="en-US" w:eastAsia="zh-CN" w:bidi="ar-SA"/>
    </w:rPr>
  </w:style>
  <w:style w:type="paragraph" w:customStyle="1" w:styleId="2113">
    <w:name w:val="样式 五号 居中1"/>
    <w:basedOn w:val="1"/>
    <w:semiHidden/>
    <w:qFormat/>
    <w:uiPriority w:val="0"/>
    <w:pPr>
      <w:tabs>
        <w:tab w:val="clear" w:pos="480"/>
      </w:tabs>
      <w:spacing w:line="360" w:lineRule="exact"/>
      <w:jc w:val="center"/>
    </w:pPr>
    <w:rPr>
      <w:kern w:val="0"/>
      <w:szCs w:val="20"/>
    </w:rPr>
  </w:style>
  <w:style w:type="paragraph" w:customStyle="1" w:styleId="2114">
    <w:name w:val="样式 正文 首行缩进:  2 字符 Char + 居中"/>
    <w:basedOn w:val="1833"/>
    <w:semiHidden/>
    <w:qFormat/>
    <w:uiPriority w:val="0"/>
    <w:pPr>
      <w:ind w:firstLine="0" w:firstLineChars="0"/>
      <w:jc w:val="center"/>
    </w:pPr>
  </w:style>
  <w:style w:type="character" w:customStyle="1" w:styleId="2115">
    <w:name w:val="f241"/>
    <w:semiHidden/>
    <w:qFormat/>
    <w:uiPriority w:val="0"/>
    <w:rPr>
      <w:sz w:val="48"/>
      <w:szCs w:val="48"/>
    </w:rPr>
  </w:style>
  <w:style w:type="character" w:customStyle="1" w:styleId="2116">
    <w:name w:val="MTEquationSection"/>
    <w:semiHidden/>
    <w:qFormat/>
    <w:uiPriority w:val="0"/>
    <w:rPr>
      <w:vanish/>
      <w:color w:val="FF0000"/>
    </w:rPr>
  </w:style>
  <w:style w:type="paragraph" w:customStyle="1" w:styleId="2117">
    <w:name w:val="Char Char Char Char Char Char Char Char Char Char Char Char Char Char Char Char Char Char Char Char Char Char Char Char Char Char Char Char Char Char Char Char Char Char"/>
    <w:basedOn w:val="1"/>
    <w:semiHidden/>
    <w:qFormat/>
    <w:uiPriority w:val="0"/>
    <w:pPr>
      <w:tabs>
        <w:tab w:val="clear" w:pos="480"/>
      </w:tabs>
      <w:spacing w:line="240" w:lineRule="auto"/>
    </w:pPr>
    <w:rPr>
      <w:sz w:val="21"/>
    </w:rPr>
  </w:style>
  <w:style w:type="paragraph" w:customStyle="1" w:styleId="2118">
    <w:name w:val="Char Char Char Char Char Char Char Char Char Char Char Char Char Char Char Char Char Char Char Char Char Char Char Char Char Char Char Char Char Char Char"/>
    <w:basedOn w:val="1"/>
    <w:semiHidden/>
    <w:qFormat/>
    <w:uiPriority w:val="0"/>
    <w:pPr>
      <w:tabs>
        <w:tab w:val="clear" w:pos="480"/>
      </w:tabs>
      <w:spacing w:line="240" w:lineRule="auto"/>
    </w:pPr>
    <w:rPr>
      <w:sz w:val="21"/>
    </w:rPr>
  </w:style>
  <w:style w:type="paragraph" w:customStyle="1" w:styleId="2119">
    <w:name w:val="Char Char Char1 Char Char Char Char Char"/>
    <w:basedOn w:val="1"/>
    <w:semiHidden/>
    <w:qFormat/>
    <w:uiPriority w:val="0"/>
    <w:pPr>
      <w:tabs>
        <w:tab w:val="clear" w:pos="480"/>
      </w:tabs>
      <w:spacing w:line="240" w:lineRule="auto"/>
    </w:pPr>
    <w:rPr>
      <w:sz w:val="21"/>
    </w:rPr>
  </w:style>
  <w:style w:type="paragraph" w:customStyle="1" w:styleId="2120">
    <w:name w:val="水专题1"/>
    <w:basedOn w:val="1"/>
    <w:semiHidden/>
    <w:qFormat/>
    <w:uiPriority w:val="0"/>
    <w:pPr>
      <w:tabs>
        <w:tab w:val="clear" w:pos="480"/>
      </w:tabs>
      <w:autoSpaceDE w:val="0"/>
      <w:autoSpaceDN w:val="0"/>
      <w:adjustRightInd w:val="0"/>
      <w:spacing w:line="240" w:lineRule="auto"/>
      <w:textAlignment w:val="baseline"/>
    </w:pPr>
    <w:rPr>
      <w:sz w:val="21"/>
      <w:szCs w:val="20"/>
    </w:rPr>
  </w:style>
  <w:style w:type="paragraph" w:customStyle="1" w:styleId="2121">
    <w:name w:val="样式 正文缩进"/>
    <w:basedOn w:val="21"/>
    <w:semiHidden/>
    <w:qFormat/>
    <w:uiPriority w:val="0"/>
    <w:pPr>
      <w:tabs>
        <w:tab w:val="clear" w:pos="480"/>
      </w:tabs>
      <w:ind w:firstLine="480"/>
      <w:jc w:val="left"/>
    </w:pPr>
    <w:rPr>
      <w:rFonts w:cs="宋体"/>
      <w:kern w:val="0"/>
      <w:szCs w:val="20"/>
    </w:rPr>
  </w:style>
  <w:style w:type="paragraph" w:customStyle="1" w:styleId="2122">
    <w:name w:val="Char Char Char Char Char Char Char Char Char1 Char"/>
    <w:basedOn w:val="1"/>
    <w:qFormat/>
    <w:uiPriority w:val="0"/>
    <w:pPr>
      <w:tabs>
        <w:tab w:val="clear" w:pos="480"/>
      </w:tabs>
      <w:spacing w:line="240" w:lineRule="auto"/>
    </w:pPr>
  </w:style>
  <w:style w:type="character" w:customStyle="1" w:styleId="2123">
    <w:name w:val="样式9 Char"/>
    <w:link w:val="624"/>
    <w:qFormat/>
    <w:uiPriority w:val="0"/>
    <w:rPr>
      <w:rFonts w:ascii="宋体" w:eastAsia="宋体"/>
      <w:snapToGrid w:val="0"/>
      <w:kern w:val="2"/>
      <w:sz w:val="24"/>
      <w:szCs w:val="24"/>
      <w:lang w:val="en-US" w:eastAsia="zh-CN" w:bidi="ar-SA"/>
    </w:rPr>
  </w:style>
  <w:style w:type="paragraph" w:customStyle="1" w:styleId="2124">
    <w:name w:val="Char Char Char Char Char Char Char Char Char Char Char Char Char Char Char Char Char Char Char Char Char Char Char Char Char Char Char Char Char Char Char Char Char Char Char Char Char Char Char Char Char Char Char Char Char Char Char Char"/>
    <w:basedOn w:val="1"/>
    <w:semiHidden/>
    <w:qFormat/>
    <w:uiPriority w:val="0"/>
    <w:pPr>
      <w:tabs>
        <w:tab w:val="clear" w:pos="480"/>
      </w:tabs>
      <w:spacing w:line="240" w:lineRule="auto"/>
    </w:pPr>
    <w:rPr>
      <w:sz w:val="21"/>
    </w:rPr>
  </w:style>
  <w:style w:type="character" w:customStyle="1" w:styleId="2125">
    <w:name w:val="fontstyle01"/>
    <w:qFormat/>
    <w:uiPriority w:val="0"/>
    <w:rPr>
      <w:rFonts w:hint="eastAsia" w:ascii="宋体" w:hAnsi="宋体" w:eastAsia="宋体"/>
      <w:color w:val="000000"/>
      <w:sz w:val="24"/>
      <w:szCs w:val="24"/>
    </w:rPr>
  </w:style>
  <w:style w:type="paragraph" w:customStyle="1" w:styleId="2126">
    <w:name w:val="公式段落 Char"/>
    <w:basedOn w:val="1"/>
    <w:semiHidden/>
    <w:qFormat/>
    <w:uiPriority w:val="0"/>
    <w:pPr>
      <w:tabs>
        <w:tab w:val="clear" w:pos="480"/>
      </w:tabs>
      <w:adjustRightInd w:val="0"/>
      <w:snapToGrid w:val="0"/>
      <w:spacing w:beforeLines="50"/>
      <w:ind w:firstLine="480"/>
      <w:textAlignment w:val="baseline"/>
    </w:pPr>
    <w:rPr>
      <w:snapToGrid w:val="0"/>
      <w:color w:val="000000"/>
      <w:kern w:val="0"/>
      <w:szCs w:val="21"/>
    </w:rPr>
  </w:style>
  <w:style w:type="paragraph" w:customStyle="1" w:styleId="2127">
    <w:name w:val="样式 公式段落 Char + 段前: 0.5 行1"/>
    <w:basedOn w:val="2126"/>
    <w:semiHidden/>
    <w:qFormat/>
    <w:uiPriority w:val="0"/>
    <w:pPr>
      <w:spacing w:beforeLines="0" w:line="520" w:lineRule="exact"/>
      <w:textAlignment w:val="center"/>
    </w:pPr>
    <w:rPr>
      <w:rFonts w:ascii="宋体" w:hAnsi="宋体"/>
      <w:bCs/>
      <w:szCs w:val="24"/>
    </w:rPr>
  </w:style>
  <w:style w:type="character" w:customStyle="1" w:styleId="2128">
    <w:name w:val="纯文本 字符"/>
    <w:link w:val="45"/>
    <w:qFormat/>
    <w:uiPriority w:val="0"/>
    <w:rPr>
      <w:rFonts w:ascii="宋体" w:hAnsi="Courier New" w:eastAsia="宋体"/>
      <w:kern w:val="2"/>
      <w:sz w:val="21"/>
      <w:lang w:val="en-US" w:eastAsia="zh-CN" w:bidi="ar-SA"/>
    </w:rPr>
  </w:style>
  <w:style w:type="paragraph" w:customStyle="1" w:styleId="2129">
    <w:name w:val="要点2"/>
    <w:basedOn w:val="1"/>
    <w:qFormat/>
    <w:uiPriority w:val="0"/>
    <w:pPr>
      <w:tabs>
        <w:tab w:val="clear" w:pos="480"/>
      </w:tabs>
      <w:adjustRightInd w:val="0"/>
      <w:snapToGrid w:val="0"/>
      <w:spacing w:beforeLines="20" w:line="360" w:lineRule="exact"/>
      <w:ind w:right="567" w:rightChars="270"/>
    </w:pPr>
    <w:rPr>
      <w:sz w:val="21"/>
      <w:szCs w:val="20"/>
    </w:rPr>
  </w:style>
  <w:style w:type="character" w:customStyle="1" w:styleId="2130">
    <w:name w:val="fontstyle21"/>
    <w:qFormat/>
    <w:uiPriority w:val="0"/>
    <w:rPr>
      <w:rFonts w:hint="default" w:ascii="TimesNewRomanPS-BoldMT" w:hAnsi="TimesNewRomanPS-BoldMT"/>
      <w:b/>
      <w:bCs/>
      <w:color w:val="000000"/>
      <w:sz w:val="28"/>
      <w:szCs w:val="28"/>
    </w:rPr>
  </w:style>
  <w:style w:type="paragraph" w:customStyle="1" w:styleId="2131">
    <w:name w:val="TTT3"/>
    <w:basedOn w:val="5"/>
    <w:qFormat/>
    <w:uiPriority w:val="0"/>
    <w:pPr>
      <w:spacing w:before="60" w:after="60" w:line="360" w:lineRule="auto"/>
    </w:pPr>
    <w:rPr>
      <w:rFonts w:ascii="宋体" w:hAnsi="宋体" w:eastAsia="宋体" w:cs="宋体"/>
      <w:szCs w:val="20"/>
    </w:rPr>
  </w:style>
  <w:style w:type="paragraph" w:customStyle="1" w:styleId="2132">
    <w:name w:val="样式 标题 2SeHead wsa2标题 1.1节H21Chapter TitleChapter节标题 1.1...1"/>
    <w:basedOn w:val="4"/>
    <w:qFormat/>
    <w:uiPriority w:val="0"/>
    <w:pPr>
      <w:numPr>
        <w:numId w:val="10"/>
      </w:numPr>
      <w:tabs>
        <w:tab w:val="left" w:pos="711"/>
        <w:tab w:val="left" w:pos="855"/>
        <w:tab w:val="clear" w:pos="480"/>
        <w:tab w:val="clear" w:pos="630"/>
      </w:tabs>
      <w:adjustRightInd w:val="0"/>
      <w:spacing w:before="120"/>
      <w:textAlignment w:val="baseline"/>
    </w:pPr>
    <w:rPr>
      <w:rFonts w:ascii="Arial" w:eastAsia="仿宋_GB2312" w:cs="Arial"/>
      <w:sz w:val="30"/>
      <w:szCs w:val="30"/>
    </w:rPr>
  </w:style>
  <w:style w:type="paragraph" w:customStyle="1" w:styleId="2133">
    <w:name w:val="样式 宋体 小四 行距: 固定值 26 磅"/>
    <w:basedOn w:val="1"/>
    <w:link w:val="2134"/>
    <w:qFormat/>
    <w:uiPriority w:val="0"/>
    <w:pPr>
      <w:tabs>
        <w:tab w:val="clear" w:pos="480"/>
      </w:tabs>
      <w:spacing w:line="520" w:lineRule="exact"/>
      <w:ind w:firstLine="480"/>
    </w:pPr>
    <w:rPr>
      <w:rFonts w:cs="宋体"/>
    </w:rPr>
  </w:style>
  <w:style w:type="character" w:customStyle="1" w:styleId="2134">
    <w:name w:val="样式 宋体 小四 行距: 固定值 26 磅 Char"/>
    <w:link w:val="2133"/>
    <w:qFormat/>
    <w:uiPriority w:val="0"/>
    <w:rPr>
      <w:rFonts w:eastAsia="宋体" w:cs="宋体"/>
      <w:kern w:val="2"/>
      <w:sz w:val="24"/>
      <w:szCs w:val="24"/>
      <w:lang w:val="en-US" w:eastAsia="zh-CN" w:bidi="ar-SA"/>
    </w:rPr>
  </w:style>
  <w:style w:type="character" w:customStyle="1" w:styleId="2135">
    <w:name w:val="fontstyle11"/>
    <w:qFormat/>
    <w:uiPriority w:val="0"/>
    <w:rPr>
      <w:rFonts w:hint="default" w:ascii="TimesNewRomanPSMT" w:hAnsi="TimesNewRomanPSMT"/>
      <w:color w:val="000000"/>
      <w:sz w:val="24"/>
      <w:szCs w:val="24"/>
    </w:rPr>
  </w:style>
  <w:style w:type="paragraph" w:customStyle="1" w:styleId="2136">
    <w:name w:val="样式 标题 44级标题 + 段前: 0 磅 段后: 0 磅 行距: 固定值 26 磅"/>
    <w:basedOn w:val="6"/>
    <w:qFormat/>
    <w:uiPriority w:val="0"/>
    <w:pPr>
      <w:numPr>
        <w:ilvl w:val="0"/>
        <w:numId w:val="0"/>
      </w:numPr>
      <w:tabs>
        <w:tab w:val="clear" w:pos="480"/>
      </w:tabs>
      <w:spacing w:before="0" w:after="0" w:line="520" w:lineRule="exact"/>
    </w:pPr>
    <w:rPr>
      <w:rFonts w:ascii="Arial" w:hAnsi="Arial" w:eastAsia="黑体" w:cs="宋体"/>
      <w:sz w:val="24"/>
      <w:szCs w:val="20"/>
    </w:rPr>
  </w:style>
  <w:style w:type="paragraph" w:customStyle="1" w:styleId="2137">
    <w:name w:val="样式 标题 5 + 首行缩进:  0.85 厘米"/>
    <w:basedOn w:val="7"/>
    <w:semiHidden/>
    <w:qFormat/>
    <w:uiPriority w:val="0"/>
    <w:pPr>
      <w:numPr>
        <w:ilvl w:val="0"/>
        <w:numId w:val="0"/>
      </w:numPr>
      <w:tabs>
        <w:tab w:val="clear" w:pos="480"/>
      </w:tabs>
      <w:adjustRightInd w:val="0"/>
      <w:snapToGrid w:val="0"/>
      <w:spacing w:beforeLines="50" w:after="0"/>
      <w:ind w:firstLine="482"/>
    </w:pPr>
    <w:rPr>
      <w:rFonts w:ascii="黑体" w:hAnsi="Times New Roman" w:eastAsia="黑体"/>
      <w:b w:val="0"/>
      <w:bCs/>
      <w:sz w:val="30"/>
    </w:rPr>
  </w:style>
  <w:style w:type="paragraph" w:customStyle="1" w:styleId="2138">
    <w:name w:val="样式 样式 样式 样式 标题 3 + 右侧:  1 字符 + 左侧:  1 字符 + 左  0 字符 + 左侧:  1 字符 ..."/>
    <w:basedOn w:val="6"/>
    <w:qFormat/>
    <w:uiPriority w:val="0"/>
    <w:pPr>
      <w:numPr>
        <w:ilvl w:val="0"/>
        <w:numId w:val="0"/>
      </w:numPr>
      <w:tabs>
        <w:tab w:val="left" w:pos="1680"/>
        <w:tab w:val="clear" w:pos="480"/>
      </w:tabs>
      <w:spacing w:before="0" w:after="0" w:line="240" w:lineRule="auto"/>
      <w:ind w:left="1680" w:right="100" w:rightChars="100" w:hanging="420"/>
      <w:jc w:val="left"/>
    </w:pPr>
    <w:rPr>
      <w:rFonts w:ascii="Arial" w:hAnsi="Arial" w:eastAsia="黑体"/>
      <w:bCs w:val="0"/>
      <w:sz w:val="21"/>
      <w:szCs w:val="20"/>
    </w:rPr>
  </w:style>
  <w:style w:type="paragraph" w:customStyle="1" w:styleId="2139">
    <w:name w:val="正文LA"/>
    <w:qFormat/>
    <w:uiPriority w:val="0"/>
    <w:pPr>
      <w:tabs>
        <w:tab w:val="left" w:pos="0"/>
      </w:tabs>
      <w:adjustRightInd w:val="0"/>
      <w:spacing w:beforeLines="50" w:line="360" w:lineRule="auto"/>
      <w:ind w:firstLine="225" w:firstLineChars="225"/>
      <w:jc w:val="both"/>
    </w:pPr>
    <w:rPr>
      <w:rFonts w:ascii="宋体" w:hAnsi="宋体" w:eastAsia="宋体" w:cs="Times New Roman"/>
      <w:snapToGrid w:val="0"/>
      <w:kern w:val="2"/>
      <w:sz w:val="24"/>
      <w:szCs w:val="24"/>
      <w:lang w:val="en-US" w:eastAsia="zh-CN" w:bidi="ar-SA"/>
    </w:rPr>
  </w:style>
  <w:style w:type="character" w:customStyle="1" w:styleId="2140">
    <w:name w:val="h5 Char"/>
    <w:qFormat/>
    <w:uiPriority w:val="0"/>
    <w:rPr>
      <w:rFonts w:eastAsia="宋体"/>
      <w:b/>
      <w:bCs/>
      <w:kern w:val="2"/>
      <w:sz w:val="28"/>
      <w:szCs w:val="28"/>
      <w:lang w:val="en-US" w:eastAsia="zh-CN" w:bidi="ar-SA"/>
    </w:rPr>
  </w:style>
  <w:style w:type="paragraph" w:customStyle="1" w:styleId="2141">
    <w:name w:val="Char Char Char Char Char Char Char Char Char Char Char Char Char Char Char Char2"/>
    <w:basedOn w:val="1"/>
    <w:semiHidden/>
    <w:qFormat/>
    <w:uiPriority w:val="0"/>
    <w:pPr>
      <w:tabs>
        <w:tab w:val="clear" w:pos="480"/>
      </w:tabs>
      <w:spacing w:line="240" w:lineRule="auto"/>
    </w:pPr>
    <w:rPr>
      <w:sz w:val="21"/>
    </w:rPr>
  </w:style>
  <w:style w:type="paragraph" w:customStyle="1" w:styleId="2142">
    <w:name w:val="Char Char Char Char Char Char Char Char Char Char Char Char Char Char Char Char Char Char Char Char Char Char3"/>
    <w:basedOn w:val="1"/>
    <w:semiHidden/>
    <w:qFormat/>
    <w:uiPriority w:val="0"/>
    <w:pPr>
      <w:tabs>
        <w:tab w:val="clear" w:pos="480"/>
      </w:tabs>
      <w:spacing w:line="240" w:lineRule="auto"/>
      <w:ind w:firstLine="468" w:firstLineChars="195"/>
    </w:pPr>
    <w:rPr>
      <w:sz w:val="21"/>
    </w:rPr>
  </w:style>
  <w:style w:type="paragraph" w:customStyle="1" w:styleId="2143">
    <w:name w:val="Char Char Char Char Char Char Char Char Char Char Char Char Char Char Char Char Char Char Char Char Char Char Char Char Char Char Char Char Char Char Char Char Char Char3"/>
    <w:basedOn w:val="1"/>
    <w:semiHidden/>
    <w:qFormat/>
    <w:uiPriority w:val="0"/>
    <w:pPr>
      <w:tabs>
        <w:tab w:val="clear" w:pos="480"/>
      </w:tabs>
      <w:spacing w:line="240" w:lineRule="auto"/>
    </w:pPr>
    <w:rPr>
      <w:sz w:val="21"/>
    </w:rPr>
  </w:style>
  <w:style w:type="paragraph" w:customStyle="1" w:styleId="2144">
    <w:name w:val="Char Char Char Char Char Char Char Char Char Char Char Char Char Char Char Char Char Char Char Char Char Char Char Char Char Char Char Char Char Char Char3"/>
    <w:basedOn w:val="1"/>
    <w:semiHidden/>
    <w:qFormat/>
    <w:uiPriority w:val="0"/>
    <w:pPr>
      <w:tabs>
        <w:tab w:val="clear" w:pos="480"/>
      </w:tabs>
      <w:spacing w:line="240" w:lineRule="auto"/>
    </w:pPr>
    <w:rPr>
      <w:sz w:val="21"/>
    </w:rPr>
  </w:style>
  <w:style w:type="paragraph" w:customStyle="1" w:styleId="2145">
    <w:name w:val="Char Char Char1 Char Char Char Char Char2"/>
    <w:basedOn w:val="1"/>
    <w:semiHidden/>
    <w:qFormat/>
    <w:uiPriority w:val="0"/>
    <w:pPr>
      <w:tabs>
        <w:tab w:val="clear" w:pos="480"/>
      </w:tabs>
      <w:spacing w:line="240" w:lineRule="auto"/>
    </w:pPr>
    <w:rPr>
      <w:sz w:val="21"/>
    </w:rPr>
  </w:style>
  <w:style w:type="paragraph" w:customStyle="1" w:styleId="2146">
    <w:name w:val="Char Char Char Char Char Char Char Char Char Char Char Char Char Char Char Char Char Char Char3"/>
    <w:basedOn w:val="1"/>
    <w:semiHidden/>
    <w:qFormat/>
    <w:uiPriority w:val="0"/>
    <w:pPr>
      <w:tabs>
        <w:tab w:val="clear" w:pos="480"/>
      </w:tabs>
      <w:adjustRightInd w:val="0"/>
      <w:spacing w:line="360" w:lineRule="atLeast"/>
      <w:textAlignment w:val="baseline"/>
    </w:pPr>
  </w:style>
  <w:style w:type="paragraph" w:customStyle="1" w:styleId="2147">
    <w:name w:val="Char Char Char Char Char Char Char Char Char1 Char2"/>
    <w:basedOn w:val="1"/>
    <w:semiHidden/>
    <w:qFormat/>
    <w:uiPriority w:val="0"/>
    <w:pPr>
      <w:tabs>
        <w:tab w:val="clear" w:pos="480"/>
      </w:tabs>
      <w:spacing w:line="240" w:lineRule="auto"/>
    </w:pPr>
  </w:style>
  <w:style w:type="paragraph" w:customStyle="1" w:styleId="2148">
    <w:name w:val="Char Char Char Char Char Char Char Char Char Char Char Char Char Char Char Char Char Char Char Char Char Char Char Char Char Char Char Char Char Char Char Char Char Char Char Char Char Char Char Char Char Char Char Char Char Char Char Char2"/>
    <w:basedOn w:val="1"/>
    <w:semiHidden/>
    <w:qFormat/>
    <w:uiPriority w:val="0"/>
    <w:pPr>
      <w:tabs>
        <w:tab w:val="clear" w:pos="480"/>
      </w:tabs>
      <w:spacing w:line="240" w:lineRule="auto"/>
    </w:pPr>
    <w:rPr>
      <w:sz w:val="21"/>
    </w:rPr>
  </w:style>
  <w:style w:type="paragraph" w:customStyle="1" w:styleId="2149">
    <w:name w:val="Char1 Char Char Char1 Char Char Char2"/>
    <w:basedOn w:val="1"/>
    <w:qFormat/>
    <w:uiPriority w:val="0"/>
    <w:pPr>
      <w:tabs>
        <w:tab w:val="clear" w:pos="480"/>
      </w:tabs>
    </w:pPr>
    <w:rPr>
      <w:rFonts w:ascii="宋体" w:hAnsi="宋体" w:cs="宋体"/>
    </w:rPr>
  </w:style>
  <w:style w:type="character" w:customStyle="1" w:styleId="2150">
    <w:name w:val="表头 Char Char"/>
    <w:qFormat/>
    <w:uiPriority w:val="0"/>
    <w:rPr>
      <w:rFonts w:ascii="黑体" w:hAnsi="宋体" w:eastAsia="黑体"/>
      <w:kern w:val="2"/>
      <w:sz w:val="24"/>
      <w:lang w:val="en-US" w:eastAsia="zh-CN"/>
    </w:rPr>
  </w:style>
  <w:style w:type="character" w:customStyle="1" w:styleId="2151">
    <w:name w:val="表格内文字 Char Char Char"/>
    <w:qFormat/>
    <w:uiPriority w:val="0"/>
    <w:rPr>
      <w:rFonts w:ascii="宋体" w:hAnsi="宋体" w:eastAsia="宋体"/>
      <w:snapToGrid w:val="0"/>
      <w:kern w:val="44"/>
    </w:rPr>
  </w:style>
  <w:style w:type="character" w:customStyle="1" w:styleId="2152">
    <w:name w:val="表格标题 Char Char"/>
    <w:link w:val="2153"/>
    <w:qFormat/>
    <w:uiPriority w:val="0"/>
    <w:rPr>
      <w:rFonts w:ascii="幼圆" w:hAnsi="宋体" w:eastAsia="黑体"/>
      <w:sz w:val="24"/>
      <w:lang w:bidi="ar-SA"/>
    </w:rPr>
  </w:style>
  <w:style w:type="paragraph" w:customStyle="1" w:styleId="2153">
    <w:name w:val="表格标题 Char"/>
    <w:basedOn w:val="1"/>
    <w:link w:val="2152"/>
    <w:qFormat/>
    <w:uiPriority w:val="0"/>
    <w:pPr>
      <w:tabs>
        <w:tab w:val="clear" w:pos="480"/>
      </w:tabs>
      <w:spacing w:after="60" w:line="520" w:lineRule="exact"/>
      <w:ind w:left="482"/>
      <w:jc w:val="center"/>
    </w:pPr>
    <w:rPr>
      <w:rFonts w:ascii="幼圆" w:hAnsi="宋体" w:eastAsia="黑体"/>
      <w:kern w:val="0"/>
      <w:szCs w:val="20"/>
      <w:lang w:val="zh-CN"/>
    </w:rPr>
  </w:style>
  <w:style w:type="character" w:customStyle="1" w:styleId="2154">
    <w:name w:val="表格样式 Char"/>
    <w:link w:val="271"/>
    <w:qFormat/>
    <w:uiPriority w:val="0"/>
    <w:rPr>
      <w:rFonts w:ascii="宋体" w:eastAsia="宋体"/>
      <w:bCs/>
      <w:snapToGrid w:val="0"/>
      <w:kern w:val="2"/>
      <w:sz w:val="21"/>
      <w:szCs w:val="24"/>
      <w:lang w:val="en-US" w:eastAsia="zh-CN" w:bidi="ar-SA"/>
    </w:rPr>
  </w:style>
  <w:style w:type="paragraph" w:customStyle="1" w:styleId="2155">
    <w:name w:val="正文一"/>
    <w:basedOn w:val="45"/>
    <w:qFormat/>
    <w:uiPriority w:val="0"/>
    <w:pPr>
      <w:ind w:firstLine="425"/>
    </w:pPr>
    <w:rPr>
      <w:sz w:val="24"/>
    </w:rPr>
  </w:style>
  <w:style w:type="paragraph" w:customStyle="1" w:styleId="2156">
    <w:name w:val="Char Char Char1 Char Char Char Char1"/>
    <w:basedOn w:val="1"/>
    <w:qFormat/>
    <w:uiPriority w:val="0"/>
    <w:pPr>
      <w:tabs>
        <w:tab w:val="clear" w:pos="480"/>
      </w:tabs>
      <w:spacing w:line="240" w:lineRule="auto"/>
    </w:pPr>
    <w:rPr>
      <w:sz w:val="21"/>
      <w:szCs w:val="20"/>
    </w:rPr>
  </w:style>
  <w:style w:type="character" w:customStyle="1" w:styleId="2157">
    <w:name w:val="样式11 Char"/>
    <w:link w:val="627"/>
    <w:qFormat/>
    <w:uiPriority w:val="0"/>
    <w:rPr>
      <w:rFonts w:ascii="宋体" w:eastAsia="宋体"/>
      <w:bCs/>
      <w:snapToGrid w:val="0"/>
      <w:kern w:val="2"/>
      <w:sz w:val="21"/>
      <w:szCs w:val="24"/>
      <w:lang w:val="en-US" w:eastAsia="zh-CN" w:bidi="ar-SA"/>
    </w:rPr>
  </w:style>
  <w:style w:type="character" w:customStyle="1" w:styleId="2158">
    <w:name w:val="图表头 Char"/>
    <w:link w:val="2159"/>
    <w:qFormat/>
    <w:uiPriority w:val="0"/>
    <w:rPr>
      <w:rFonts w:ascii="黑体" w:eastAsia="黑体"/>
      <w:spacing w:val="5"/>
      <w:sz w:val="21"/>
      <w:szCs w:val="24"/>
    </w:rPr>
  </w:style>
  <w:style w:type="paragraph" w:customStyle="1" w:styleId="2159">
    <w:name w:val="图表头"/>
    <w:basedOn w:val="1"/>
    <w:link w:val="2158"/>
    <w:qFormat/>
    <w:uiPriority w:val="0"/>
    <w:pPr>
      <w:tabs>
        <w:tab w:val="clear" w:pos="480"/>
      </w:tabs>
      <w:adjustRightInd w:val="0"/>
      <w:jc w:val="center"/>
      <w:textAlignment w:val="baseline"/>
    </w:pPr>
    <w:rPr>
      <w:rFonts w:ascii="黑体" w:eastAsia="黑体"/>
      <w:spacing w:val="5"/>
      <w:kern w:val="0"/>
      <w:sz w:val="21"/>
      <w:lang w:val="zh-CN"/>
    </w:rPr>
  </w:style>
  <w:style w:type="paragraph" w:customStyle="1" w:styleId="2160">
    <w:name w:val="Char Char Char Char Char Char Char Char Char Char Char Char Char Char Char Char Char Char Char Char Char Char Char Char Char Char Char Char Char Char Char2"/>
    <w:basedOn w:val="1"/>
    <w:qFormat/>
    <w:uiPriority w:val="0"/>
    <w:pPr>
      <w:tabs>
        <w:tab w:val="clear" w:pos="480"/>
      </w:tabs>
      <w:spacing w:line="240" w:lineRule="auto"/>
    </w:pPr>
    <w:rPr>
      <w:sz w:val="21"/>
      <w:szCs w:val="20"/>
    </w:rPr>
  </w:style>
  <w:style w:type="paragraph" w:customStyle="1" w:styleId="2161">
    <w:name w:val="Char Char Char Char Char Char Char Char Char Char Char Char Char Char Char Char Char Char Char Char Char Char Char Char Char Char Char Char Char Char Char Char Char Char2"/>
    <w:basedOn w:val="1"/>
    <w:qFormat/>
    <w:uiPriority w:val="0"/>
    <w:pPr>
      <w:tabs>
        <w:tab w:val="clear" w:pos="480"/>
      </w:tabs>
      <w:spacing w:line="240" w:lineRule="auto"/>
    </w:pPr>
    <w:rPr>
      <w:sz w:val="21"/>
      <w:szCs w:val="20"/>
    </w:rPr>
  </w:style>
  <w:style w:type="paragraph" w:customStyle="1" w:styleId="2162">
    <w:name w:val="Char Char Char Char Char Char Char Char Char Char Char Char Char Char Char Char Char Char Char Char Char Char2"/>
    <w:basedOn w:val="1"/>
    <w:qFormat/>
    <w:uiPriority w:val="0"/>
    <w:pPr>
      <w:tabs>
        <w:tab w:val="clear" w:pos="480"/>
      </w:tabs>
      <w:spacing w:line="240" w:lineRule="auto"/>
      <w:ind w:firstLine="468" w:firstLineChars="195"/>
    </w:pPr>
    <w:rPr>
      <w:sz w:val="21"/>
      <w:szCs w:val="20"/>
    </w:rPr>
  </w:style>
  <w:style w:type="paragraph" w:customStyle="1" w:styleId="2163">
    <w:name w:val="Char22"/>
    <w:basedOn w:val="1"/>
    <w:semiHidden/>
    <w:qFormat/>
    <w:uiPriority w:val="0"/>
    <w:pPr>
      <w:tabs>
        <w:tab w:val="clear" w:pos="480"/>
      </w:tabs>
    </w:pPr>
    <w:rPr>
      <w:rFonts w:ascii="宋体" w:hAnsi="宋体" w:cs="宋体"/>
    </w:rPr>
  </w:style>
  <w:style w:type="character" w:customStyle="1" w:styleId="2164">
    <w:name w:val="Char Char11"/>
    <w:qFormat/>
    <w:uiPriority w:val="0"/>
    <w:rPr>
      <w:sz w:val="18"/>
      <w:szCs w:val="18"/>
    </w:rPr>
  </w:style>
  <w:style w:type="paragraph" w:customStyle="1" w:styleId="2165">
    <w:name w:val="Char Char Char Char Char Char Char Char Char Char Char Char Char1"/>
    <w:basedOn w:val="1"/>
    <w:semiHidden/>
    <w:qFormat/>
    <w:uiPriority w:val="0"/>
    <w:pPr>
      <w:tabs>
        <w:tab w:val="clear" w:pos="480"/>
      </w:tabs>
      <w:spacing w:line="240" w:lineRule="auto"/>
    </w:pPr>
  </w:style>
  <w:style w:type="paragraph" w:customStyle="1" w:styleId="2166">
    <w:name w:val="Char Char Char Char Char Char Char Char Char Char Char Char Char Char Char Char1"/>
    <w:basedOn w:val="1"/>
    <w:semiHidden/>
    <w:qFormat/>
    <w:uiPriority w:val="0"/>
    <w:pPr>
      <w:tabs>
        <w:tab w:val="clear" w:pos="480"/>
      </w:tabs>
      <w:spacing w:line="240" w:lineRule="auto"/>
    </w:pPr>
    <w:rPr>
      <w:sz w:val="21"/>
    </w:rPr>
  </w:style>
  <w:style w:type="paragraph" w:customStyle="1" w:styleId="2167">
    <w:name w:val="Char Char Char Char Char Char Char Char Char Char Char Char Char Char Char Char Char Char Char Char Char Char1"/>
    <w:basedOn w:val="1"/>
    <w:semiHidden/>
    <w:qFormat/>
    <w:uiPriority w:val="0"/>
    <w:pPr>
      <w:tabs>
        <w:tab w:val="clear" w:pos="480"/>
      </w:tabs>
      <w:spacing w:line="240" w:lineRule="auto"/>
      <w:ind w:firstLine="468" w:firstLineChars="195"/>
    </w:pPr>
    <w:rPr>
      <w:sz w:val="21"/>
    </w:rPr>
  </w:style>
  <w:style w:type="paragraph" w:customStyle="1" w:styleId="2168">
    <w:name w:val="Char Char Char Char Char Char Char Char Char Char Char Char Char Char Char Char Char Char Char Char Char Char Char Char Char Char Char Char Char Char Char Char Char Char1"/>
    <w:basedOn w:val="1"/>
    <w:semiHidden/>
    <w:qFormat/>
    <w:uiPriority w:val="0"/>
    <w:pPr>
      <w:tabs>
        <w:tab w:val="clear" w:pos="480"/>
      </w:tabs>
      <w:spacing w:line="240" w:lineRule="auto"/>
    </w:pPr>
    <w:rPr>
      <w:sz w:val="21"/>
    </w:rPr>
  </w:style>
  <w:style w:type="paragraph" w:customStyle="1" w:styleId="2169">
    <w:name w:val="Char Char Char Char Char Char Char Char Char Char Char Char Char Char Char Char Char Char Char Char Char Char Char Char Char Char Char Char Char Char Char1"/>
    <w:basedOn w:val="1"/>
    <w:semiHidden/>
    <w:qFormat/>
    <w:uiPriority w:val="0"/>
    <w:pPr>
      <w:tabs>
        <w:tab w:val="clear" w:pos="480"/>
      </w:tabs>
      <w:spacing w:line="240" w:lineRule="auto"/>
    </w:pPr>
    <w:rPr>
      <w:sz w:val="21"/>
    </w:rPr>
  </w:style>
  <w:style w:type="paragraph" w:customStyle="1" w:styleId="2170">
    <w:name w:val="Char Char Char1 Char Char Char Char Char1"/>
    <w:basedOn w:val="1"/>
    <w:semiHidden/>
    <w:qFormat/>
    <w:uiPriority w:val="0"/>
    <w:pPr>
      <w:tabs>
        <w:tab w:val="clear" w:pos="480"/>
      </w:tabs>
      <w:spacing w:line="240" w:lineRule="auto"/>
    </w:pPr>
    <w:rPr>
      <w:sz w:val="21"/>
    </w:rPr>
  </w:style>
  <w:style w:type="paragraph" w:customStyle="1" w:styleId="2171">
    <w:name w:val="Char Char Char Char Char Char Char Char Char Char Char Char Char Char Char Char Char Char Char1"/>
    <w:basedOn w:val="1"/>
    <w:semiHidden/>
    <w:qFormat/>
    <w:uiPriority w:val="0"/>
    <w:pPr>
      <w:tabs>
        <w:tab w:val="clear" w:pos="480"/>
      </w:tabs>
      <w:adjustRightInd w:val="0"/>
      <w:spacing w:line="360" w:lineRule="atLeast"/>
      <w:textAlignment w:val="baseline"/>
    </w:pPr>
  </w:style>
  <w:style w:type="paragraph" w:customStyle="1" w:styleId="2172">
    <w:name w:val="Char Char Char Char Char Char Char Char Char1 Char1"/>
    <w:basedOn w:val="1"/>
    <w:semiHidden/>
    <w:qFormat/>
    <w:uiPriority w:val="0"/>
    <w:pPr>
      <w:tabs>
        <w:tab w:val="clear" w:pos="480"/>
      </w:tabs>
      <w:spacing w:line="240" w:lineRule="auto"/>
    </w:pPr>
  </w:style>
  <w:style w:type="paragraph" w:customStyle="1" w:styleId="2173">
    <w:name w:val="Char Char Char Char Char Char Char Char Char Char Char Char Char Char Char Char Char Char Char Char Char Char Char Char Char Char Char Char Char Char Char Char Char Char Char Char Char Char Char Char Char Char Char Char Char Char Char Char1"/>
    <w:basedOn w:val="1"/>
    <w:semiHidden/>
    <w:qFormat/>
    <w:uiPriority w:val="0"/>
    <w:pPr>
      <w:tabs>
        <w:tab w:val="clear" w:pos="480"/>
      </w:tabs>
      <w:spacing w:line="240" w:lineRule="auto"/>
    </w:pPr>
    <w:rPr>
      <w:sz w:val="21"/>
    </w:rPr>
  </w:style>
  <w:style w:type="paragraph" w:customStyle="1" w:styleId="2174">
    <w:name w:val="Char1 Char Char Char1 Char Char Char1"/>
    <w:basedOn w:val="1"/>
    <w:qFormat/>
    <w:uiPriority w:val="0"/>
    <w:pPr>
      <w:tabs>
        <w:tab w:val="clear" w:pos="480"/>
      </w:tabs>
    </w:pPr>
    <w:rPr>
      <w:rFonts w:ascii="宋体" w:hAnsi="宋体" w:cs="宋体"/>
    </w:rPr>
  </w:style>
  <w:style w:type="paragraph" w:customStyle="1" w:styleId="2175">
    <w:name w:val="修订1"/>
    <w:hidden/>
    <w:semiHidden/>
    <w:qFormat/>
    <w:uiPriority w:val="99"/>
    <w:pPr>
      <w:jc w:val="center"/>
    </w:pPr>
    <w:rPr>
      <w:rFonts w:ascii="Times New Roman" w:hAnsi="Times New Roman" w:eastAsia="宋体" w:cs="Times New Roman"/>
      <w:kern w:val="2"/>
      <w:sz w:val="21"/>
      <w:szCs w:val="24"/>
      <w:lang w:val="en-US" w:eastAsia="zh-CN" w:bidi="ar-SA"/>
    </w:rPr>
  </w:style>
  <w:style w:type="character" w:customStyle="1" w:styleId="2176">
    <w:name w:val="样式 楷体_GB2312 黑色"/>
    <w:qFormat/>
    <w:uiPriority w:val="0"/>
    <w:rPr>
      <w:rFonts w:ascii="楷体_GB2312" w:hAnsi="宋体" w:eastAsia="楷体_GB2312"/>
      <w:b/>
      <w:color w:val="000000"/>
      <w:sz w:val="24"/>
      <w:lang w:val="en-US" w:eastAsia="zh-CN"/>
    </w:rPr>
  </w:style>
  <w:style w:type="paragraph" w:customStyle="1" w:styleId="2177">
    <w:name w:val="Char Char Char Char Char Char1 Char Char Char Char"/>
    <w:basedOn w:val="1"/>
    <w:qFormat/>
    <w:uiPriority w:val="0"/>
    <w:pPr>
      <w:tabs>
        <w:tab w:val="clear" w:pos="480"/>
      </w:tabs>
      <w:spacing w:line="240" w:lineRule="auto"/>
    </w:pPr>
    <w:rPr>
      <w:sz w:val="21"/>
    </w:rPr>
  </w:style>
  <w:style w:type="paragraph" w:customStyle="1" w:styleId="2178">
    <w:name w:val="表格，内容"/>
    <w:basedOn w:val="1"/>
    <w:qFormat/>
    <w:uiPriority w:val="0"/>
    <w:pPr>
      <w:tabs>
        <w:tab w:val="clear" w:pos="480"/>
      </w:tabs>
      <w:spacing w:line="240" w:lineRule="auto"/>
      <w:jc w:val="center"/>
    </w:pPr>
    <w:rPr>
      <w:spacing w:val="10"/>
      <w:kern w:val="44"/>
      <w:sz w:val="21"/>
    </w:rPr>
  </w:style>
  <w:style w:type="paragraph" w:customStyle="1" w:styleId="2179">
    <w:name w:val="样式 标题 33级标题小节名小节Char Char标题 33标题 13条标题1.1.1(F4)标题 3 Cha...1"/>
    <w:basedOn w:val="5"/>
    <w:qFormat/>
    <w:uiPriority w:val="0"/>
    <w:pPr>
      <w:tabs>
        <w:tab w:val="left" w:pos="720"/>
        <w:tab w:val="clear" w:pos="480"/>
        <w:tab w:val="clear" w:pos="840"/>
      </w:tabs>
      <w:spacing w:before="0" w:after="0" w:line="720" w:lineRule="exact"/>
      <w:ind w:left="720" w:hanging="720"/>
    </w:pPr>
    <w:rPr>
      <w:rFonts w:ascii="Times New Roman" w:eastAsia="黑体"/>
      <w:b w:val="0"/>
      <w:bCs w:val="0"/>
      <w:snapToGrid w:val="0"/>
      <w:color w:val="0000FF"/>
      <w:kern w:val="0"/>
      <w:sz w:val="28"/>
      <w:szCs w:val="28"/>
    </w:rPr>
  </w:style>
  <w:style w:type="paragraph" w:customStyle="1" w:styleId="2180">
    <w:name w:val="样式 标题 1章标题-*+！标题 1章 + (中文) 宋体 (符号) 宋体 蓝色"/>
    <w:basedOn w:val="3"/>
    <w:qFormat/>
    <w:uiPriority w:val="0"/>
    <w:pPr>
      <w:tabs>
        <w:tab w:val="left" w:pos="1200"/>
        <w:tab w:val="clear" w:pos="480"/>
      </w:tabs>
      <w:adjustRightInd w:val="0"/>
      <w:spacing w:before="0" w:after="0" w:line="1200" w:lineRule="exact"/>
      <w:jc w:val="center"/>
    </w:pPr>
    <w:rPr>
      <w:rFonts w:ascii="Times New Roman" w:eastAsia="黑体"/>
      <w:b w:val="0"/>
      <w:bCs w:val="0"/>
      <w:color w:val="0000FF"/>
      <w:sz w:val="48"/>
      <w:szCs w:val="36"/>
    </w:rPr>
  </w:style>
  <w:style w:type="paragraph" w:customStyle="1" w:styleId="2181">
    <w:name w:val="样式 标题 22级标题节标题 1.1H2（一）Underrubrik1prop2Heading 2 Hidden..."/>
    <w:basedOn w:val="4"/>
    <w:qFormat/>
    <w:uiPriority w:val="0"/>
    <w:pPr>
      <w:tabs>
        <w:tab w:val="clear" w:pos="480"/>
        <w:tab w:val="clear" w:pos="630"/>
      </w:tabs>
      <w:spacing w:before="0" w:after="0" w:line="960" w:lineRule="exact"/>
    </w:pPr>
    <w:rPr>
      <w:rFonts w:eastAsia="黑体"/>
      <w:b w:val="0"/>
      <w:bCs w:val="0"/>
      <w:color w:val="0000FF"/>
    </w:rPr>
  </w:style>
  <w:style w:type="paragraph" w:customStyle="1" w:styleId="2182">
    <w:name w:val="样式 标题 33级标题小节名小节Char Char标题 33标题 13条标题1.1.1(F4)标题 3 Cha..."/>
    <w:basedOn w:val="5"/>
    <w:qFormat/>
    <w:uiPriority w:val="0"/>
    <w:pPr>
      <w:tabs>
        <w:tab w:val="left" w:pos="720"/>
        <w:tab w:val="clear" w:pos="480"/>
        <w:tab w:val="clear" w:pos="840"/>
      </w:tabs>
      <w:spacing w:before="0" w:after="0" w:line="720" w:lineRule="exact"/>
      <w:ind w:left="720" w:hanging="720"/>
    </w:pPr>
    <w:rPr>
      <w:rFonts w:ascii="Times New Roman" w:eastAsia="黑体"/>
      <w:b w:val="0"/>
      <w:bCs w:val="0"/>
      <w:snapToGrid w:val="0"/>
      <w:color w:val="0000FF"/>
      <w:kern w:val="0"/>
      <w:sz w:val="28"/>
      <w:szCs w:val="28"/>
    </w:rPr>
  </w:style>
  <w:style w:type="paragraph" w:customStyle="1" w:styleId="2183">
    <w:name w:val="样式 标题 4四style4标题 4 Char款标题1.1.1.1h4H4Fab-4T5PIM 4Ref H..."/>
    <w:basedOn w:val="6"/>
    <w:qFormat/>
    <w:uiPriority w:val="0"/>
    <w:pPr>
      <w:tabs>
        <w:tab w:val="left" w:pos="1177"/>
        <w:tab w:val="clear" w:pos="480"/>
      </w:tabs>
      <w:adjustRightInd w:val="0"/>
      <w:spacing w:before="0" w:after="0" w:line="520" w:lineRule="exact"/>
      <w:ind w:left="1177" w:hanging="862"/>
    </w:pPr>
    <w:rPr>
      <w:rFonts w:ascii="Times New Roman" w:hAnsi="Times New Roman" w:eastAsia="黑体"/>
      <w:b w:val="0"/>
      <w:bCs w:val="0"/>
      <w:color w:val="0000FF"/>
      <w:sz w:val="24"/>
      <w:szCs w:val="24"/>
    </w:rPr>
  </w:style>
  <w:style w:type="paragraph" w:customStyle="1" w:styleId="2184">
    <w:name w:val="顺德 图题注 + 居中"/>
    <w:basedOn w:val="22"/>
    <w:qFormat/>
    <w:uiPriority w:val="0"/>
    <w:pPr>
      <w:widowControl w:val="0"/>
      <w:tabs>
        <w:tab w:val="left" w:pos="5660"/>
      </w:tabs>
      <w:adjustRightInd/>
      <w:snapToGrid/>
      <w:spacing w:line="240" w:lineRule="auto"/>
      <w:ind w:firstLine="0" w:firstLineChars="0"/>
    </w:pPr>
    <w:rPr>
      <w:rFonts w:ascii="宋体" w:hAnsi="宋体"/>
      <w:sz w:val="21"/>
      <w:szCs w:val="21"/>
    </w:rPr>
  </w:style>
  <w:style w:type="character" w:customStyle="1" w:styleId="2185">
    <w:name w:val="文字缩进 Char Char"/>
    <w:qFormat/>
    <w:uiPriority w:val="0"/>
    <w:rPr>
      <w:rFonts w:ascii="宋体" w:hAnsi="Courier New" w:eastAsia="宋体"/>
      <w:kern w:val="2"/>
      <w:sz w:val="28"/>
      <w:lang w:val="en-US" w:eastAsia="zh-CN" w:bidi="ar-SA"/>
    </w:rPr>
  </w:style>
  <w:style w:type="paragraph" w:customStyle="1" w:styleId="2186">
    <w:name w:val="文字主体 Char"/>
    <w:link w:val="2187"/>
    <w:qFormat/>
    <w:uiPriority w:val="0"/>
    <w:pPr>
      <w:spacing w:line="432" w:lineRule="auto"/>
      <w:ind w:firstLine="480" w:firstLineChars="200"/>
    </w:pPr>
    <w:rPr>
      <w:rFonts w:ascii="Times New Roman" w:hAnsi="Times New Roman" w:eastAsia="宋体" w:cs="Times New Roman"/>
      <w:kern w:val="2"/>
      <w:sz w:val="24"/>
      <w:szCs w:val="24"/>
      <w:lang w:val="en-US" w:eastAsia="zh-CN" w:bidi="ar-SA"/>
    </w:rPr>
  </w:style>
  <w:style w:type="character" w:customStyle="1" w:styleId="2187">
    <w:name w:val="文字主体 Char Char"/>
    <w:link w:val="2186"/>
    <w:qFormat/>
    <w:uiPriority w:val="0"/>
    <w:rPr>
      <w:sz w:val="24"/>
      <w:szCs w:val="24"/>
      <w:lang w:val="en-US" w:eastAsia="zh-CN" w:bidi="ar-SA"/>
    </w:rPr>
  </w:style>
  <w:style w:type="paragraph" w:customStyle="1" w:styleId="2188">
    <w:name w:val="Char Char Char1 Char Char Char Char Char Char Char Char Char Char Char Char Char Char Char Char Char Char Char1"/>
    <w:basedOn w:val="1"/>
    <w:qFormat/>
    <w:uiPriority w:val="0"/>
    <w:pPr>
      <w:tabs>
        <w:tab w:val="clear" w:pos="480"/>
      </w:tabs>
      <w:spacing w:line="240" w:lineRule="auto"/>
    </w:pPr>
  </w:style>
  <w:style w:type="character" w:customStyle="1" w:styleId="2189">
    <w:name w:val="表头1 Char"/>
    <w:link w:val="911"/>
    <w:qFormat/>
    <w:uiPriority w:val="0"/>
    <w:rPr>
      <w:rFonts w:ascii="黑体" w:eastAsia="黑体"/>
      <w:sz w:val="24"/>
      <w:lang w:val="en-US" w:eastAsia="zh-CN" w:bidi="ar-SA"/>
    </w:rPr>
  </w:style>
  <w:style w:type="paragraph" w:customStyle="1" w:styleId="2190">
    <w:name w:val="正文新 Char"/>
    <w:basedOn w:val="1"/>
    <w:qFormat/>
    <w:uiPriority w:val="0"/>
    <w:pPr>
      <w:tabs>
        <w:tab w:val="clear" w:pos="480"/>
      </w:tabs>
    </w:pPr>
    <w:rPr>
      <w:szCs w:val="20"/>
    </w:rPr>
  </w:style>
  <w:style w:type="paragraph" w:customStyle="1" w:styleId="2191">
    <w:name w:val="表序号"/>
    <w:basedOn w:val="3"/>
    <w:next w:val="1"/>
    <w:qFormat/>
    <w:uiPriority w:val="0"/>
    <w:pPr>
      <w:numPr>
        <w:numId w:val="0"/>
      </w:numPr>
      <w:tabs>
        <w:tab w:val="left" w:pos="360"/>
        <w:tab w:val="clear" w:pos="480"/>
      </w:tabs>
      <w:spacing w:before="0" w:after="0"/>
      <w:ind w:left="1134" w:hanging="1134"/>
      <w:jc w:val="center"/>
    </w:pPr>
    <w:rPr>
      <w:rFonts w:hAnsi="宋体"/>
      <w:b w:val="0"/>
      <w:bCs w:val="0"/>
      <w:sz w:val="28"/>
      <w:szCs w:val="24"/>
    </w:rPr>
  </w:style>
  <w:style w:type="paragraph" w:customStyle="1" w:styleId="2192">
    <w:name w:val="小四表文左齐"/>
    <w:basedOn w:val="1"/>
    <w:qFormat/>
    <w:uiPriority w:val="0"/>
    <w:pPr>
      <w:tabs>
        <w:tab w:val="clear" w:pos="480"/>
      </w:tabs>
      <w:spacing w:line="240" w:lineRule="auto"/>
      <w:jc w:val="center"/>
    </w:pPr>
    <w:rPr>
      <w:rFonts w:ascii="仿宋_GB2312" w:eastAsia="仿宋_GB2312"/>
      <w:sz w:val="21"/>
    </w:rPr>
  </w:style>
  <w:style w:type="paragraph" w:customStyle="1" w:styleId="2193">
    <w:name w:val="公式样式1"/>
    <w:basedOn w:val="1"/>
    <w:qFormat/>
    <w:uiPriority w:val="0"/>
    <w:pPr>
      <w:tabs>
        <w:tab w:val="clear" w:pos="480"/>
      </w:tabs>
      <w:ind w:firstLine="235" w:firstLineChars="100"/>
    </w:pPr>
    <w:rPr>
      <w:rFonts w:ascii="宋体" w:hAnsi="Arial Black"/>
      <w:szCs w:val="20"/>
    </w:rPr>
  </w:style>
  <w:style w:type="paragraph" w:customStyle="1" w:styleId="2194">
    <w:name w:val="hc 正文"/>
    <w:basedOn w:val="1"/>
    <w:link w:val="2195"/>
    <w:qFormat/>
    <w:uiPriority w:val="0"/>
    <w:pPr>
      <w:tabs>
        <w:tab w:val="clear" w:pos="480"/>
      </w:tabs>
      <w:spacing w:before="156"/>
      <w:ind w:firstLine="560"/>
    </w:pPr>
    <w:rPr>
      <w:rFonts w:ascii="宋体" w:cs="宋体"/>
      <w:sz w:val="28"/>
      <w:szCs w:val="20"/>
    </w:rPr>
  </w:style>
  <w:style w:type="character" w:customStyle="1" w:styleId="2195">
    <w:name w:val="hc 正文 Char"/>
    <w:link w:val="2194"/>
    <w:qFormat/>
    <w:uiPriority w:val="0"/>
    <w:rPr>
      <w:rFonts w:ascii="宋体" w:eastAsia="宋体" w:cs="宋体"/>
      <w:kern w:val="2"/>
      <w:sz w:val="28"/>
      <w:lang w:val="en-US" w:eastAsia="zh-CN" w:bidi="ar-SA"/>
    </w:rPr>
  </w:style>
  <w:style w:type="paragraph" w:customStyle="1" w:styleId="2196">
    <w:name w:val="样式 样式 正文首行缩进 + 首行缩进:  2 字符 + 首行缩进:  2 字符"/>
    <w:basedOn w:val="1"/>
    <w:qFormat/>
    <w:uiPriority w:val="0"/>
    <w:pPr>
      <w:tabs>
        <w:tab w:val="clear" w:pos="480"/>
      </w:tabs>
      <w:topLinePunct/>
      <w:adjustRightInd w:val="0"/>
      <w:snapToGrid w:val="0"/>
      <w:ind w:firstLine="480"/>
      <w:textAlignment w:val="baseline"/>
    </w:pPr>
    <w:rPr>
      <w:rFonts w:hAnsi="宋体" w:eastAsia="Times New Roman"/>
      <w:kern w:val="0"/>
      <w:szCs w:val="20"/>
    </w:rPr>
  </w:style>
  <w:style w:type="paragraph" w:customStyle="1" w:styleId="2197">
    <w:name w:val="表头（铸造）3"/>
    <w:basedOn w:val="1"/>
    <w:qFormat/>
    <w:uiPriority w:val="0"/>
    <w:pPr>
      <w:tabs>
        <w:tab w:val="clear" w:pos="480"/>
      </w:tabs>
      <w:jc w:val="center"/>
    </w:pPr>
    <w:rPr>
      <w:rFonts w:eastAsia="方正宋黑简体"/>
      <w:b/>
    </w:rPr>
  </w:style>
  <w:style w:type="paragraph" w:customStyle="1" w:styleId="2198">
    <w:name w:val="样式 正文新 Char + 首行缩进:  2 字符"/>
    <w:basedOn w:val="1"/>
    <w:qFormat/>
    <w:uiPriority w:val="0"/>
    <w:pPr>
      <w:tabs>
        <w:tab w:val="clear" w:pos="480"/>
      </w:tabs>
      <w:ind w:firstLine="480"/>
    </w:pPr>
    <w:rPr>
      <w:szCs w:val="20"/>
    </w:rPr>
  </w:style>
  <w:style w:type="paragraph" w:customStyle="1" w:styleId="2199">
    <w:name w:val="样式 标题 2节 + (符号) Arial Black 小四"/>
    <w:basedOn w:val="5"/>
    <w:qFormat/>
    <w:uiPriority w:val="0"/>
    <w:pPr>
      <w:numPr>
        <w:ilvl w:val="0"/>
        <w:numId w:val="0"/>
      </w:numPr>
      <w:tabs>
        <w:tab w:val="clear" w:pos="480"/>
        <w:tab w:val="clear" w:pos="840"/>
      </w:tabs>
      <w:spacing w:beforeLines="50" w:after="0" w:line="360" w:lineRule="auto"/>
      <w:ind w:left="142"/>
    </w:pPr>
    <w:rPr>
      <w:rFonts w:ascii="黑体" w:hAnsi="Arial Black" w:eastAsia="黑体"/>
      <w:bCs w:val="0"/>
      <w:kern w:val="21"/>
      <w:sz w:val="24"/>
      <w:szCs w:val="20"/>
    </w:rPr>
  </w:style>
  <w:style w:type="paragraph" w:customStyle="1" w:styleId="2200">
    <w:name w:val="小五表文"/>
    <w:qFormat/>
    <w:uiPriority w:val="0"/>
    <w:pPr>
      <w:widowControl w:val="0"/>
      <w:jc w:val="center"/>
    </w:pPr>
    <w:rPr>
      <w:rFonts w:ascii="Times New Roman" w:hAnsi="Times New Roman" w:eastAsia="宋体" w:cs="Times New Roman"/>
      <w:kern w:val="2"/>
      <w:sz w:val="21"/>
      <w:szCs w:val="24"/>
      <w:lang w:val="en-US" w:eastAsia="zh-CN" w:bidi="ar-SA"/>
    </w:rPr>
  </w:style>
  <w:style w:type="paragraph" w:customStyle="1" w:styleId="2201">
    <w:name w:val="图框文"/>
    <w:basedOn w:val="1"/>
    <w:qFormat/>
    <w:uiPriority w:val="0"/>
    <w:pPr>
      <w:tabs>
        <w:tab w:val="clear" w:pos="480"/>
      </w:tabs>
      <w:kinsoku w:val="0"/>
      <w:wordWrap w:val="0"/>
      <w:overflowPunct w:val="0"/>
      <w:autoSpaceDE w:val="0"/>
      <w:autoSpaceDN w:val="0"/>
      <w:spacing w:line="0" w:lineRule="atLeast"/>
      <w:jc w:val="center"/>
    </w:pPr>
    <w:rPr>
      <w:rFonts w:ascii="仿宋_GB2312"/>
      <w:szCs w:val="20"/>
    </w:rPr>
  </w:style>
  <w:style w:type="paragraph" w:customStyle="1" w:styleId="2202">
    <w:name w:val="普通(Web)"/>
    <w:basedOn w:val="1"/>
    <w:qFormat/>
    <w:uiPriority w:val="0"/>
    <w:pPr>
      <w:widowControl/>
      <w:tabs>
        <w:tab w:val="clear" w:pos="480"/>
      </w:tabs>
      <w:spacing w:before="100" w:beforeAutospacing="1" w:after="100" w:afterAutospacing="1" w:line="240" w:lineRule="auto"/>
      <w:jc w:val="left"/>
    </w:pPr>
    <w:rPr>
      <w:rFonts w:ascii="宋体" w:hAnsi="宋体" w:cs="Century"/>
      <w:kern w:val="0"/>
    </w:rPr>
  </w:style>
  <w:style w:type="character" w:customStyle="1" w:styleId="2203">
    <w:name w:val="unnamed11"/>
    <w:qFormat/>
    <w:uiPriority w:val="0"/>
    <w:rPr>
      <w:sz w:val="18"/>
      <w:szCs w:val="18"/>
    </w:rPr>
  </w:style>
  <w:style w:type="paragraph" w:customStyle="1" w:styleId="2204">
    <w:name w:val="小四宋居中1.0"/>
    <w:basedOn w:val="1"/>
    <w:next w:val="1"/>
    <w:qFormat/>
    <w:uiPriority w:val="0"/>
    <w:pPr>
      <w:tabs>
        <w:tab w:val="clear" w:pos="480"/>
      </w:tabs>
      <w:adjustRightInd w:val="0"/>
      <w:ind w:firstLine="425"/>
      <w:jc w:val="center"/>
      <w:textAlignment w:val="baseline"/>
    </w:pPr>
    <w:rPr>
      <w:rFonts w:ascii="宋体" w:hAnsi="Arial Black"/>
      <w:szCs w:val="20"/>
    </w:rPr>
  </w:style>
  <w:style w:type="paragraph" w:customStyle="1" w:styleId="2205">
    <w:name w:val="正文2002"/>
    <w:basedOn w:val="1"/>
    <w:qFormat/>
    <w:uiPriority w:val="0"/>
    <w:pPr>
      <w:tabs>
        <w:tab w:val="clear" w:pos="480"/>
      </w:tabs>
      <w:spacing w:line="240" w:lineRule="auto"/>
    </w:pPr>
    <w:rPr>
      <w:sz w:val="21"/>
    </w:rPr>
  </w:style>
  <w:style w:type="paragraph" w:customStyle="1" w:styleId="2206">
    <w:name w:val="正文宋体小四"/>
    <w:basedOn w:val="1"/>
    <w:qFormat/>
    <w:uiPriority w:val="0"/>
    <w:pPr>
      <w:tabs>
        <w:tab w:val="clear" w:pos="480"/>
      </w:tabs>
      <w:ind w:firstLine="480"/>
    </w:pPr>
  </w:style>
  <w:style w:type="paragraph" w:customStyle="1" w:styleId="2207">
    <w:name w:val="正文新 Char Char1"/>
    <w:basedOn w:val="1"/>
    <w:qFormat/>
    <w:uiPriority w:val="0"/>
    <w:pPr>
      <w:tabs>
        <w:tab w:val="clear" w:pos="480"/>
      </w:tabs>
      <w:ind w:firstLine="480"/>
    </w:pPr>
    <w:rPr>
      <w:szCs w:val="20"/>
    </w:rPr>
  </w:style>
  <w:style w:type="character" w:customStyle="1" w:styleId="2208">
    <w:name w:val="标题 6 Char Char"/>
    <w:qFormat/>
    <w:uiPriority w:val="0"/>
    <w:rPr>
      <w:rFonts w:eastAsia="楷体_GB2312"/>
      <w:sz w:val="24"/>
      <w:lang w:val="en-US" w:eastAsia="zh-CN" w:bidi="ar-SA"/>
    </w:rPr>
  </w:style>
  <w:style w:type="character" w:customStyle="1" w:styleId="2209">
    <w:name w:val="正文新 Char Char"/>
    <w:qFormat/>
    <w:uiPriority w:val="0"/>
    <w:rPr>
      <w:rFonts w:eastAsia="宋体" w:cs="宋体"/>
      <w:kern w:val="2"/>
      <w:sz w:val="24"/>
      <w:lang w:val="en-US" w:eastAsia="zh-CN" w:bidi="ar-SA"/>
    </w:rPr>
  </w:style>
  <w:style w:type="character" w:customStyle="1" w:styleId="2210">
    <w:name w:val="样式 正文（首行缩进两字） + (符号) 宋体 Char"/>
    <w:qFormat/>
    <w:uiPriority w:val="0"/>
    <w:rPr>
      <w:rFonts w:ascii="宋体" w:eastAsia="宋体"/>
      <w:kern w:val="2"/>
      <w:sz w:val="24"/>
      <w:szCs w:val="24"/>
      <w:lang w:val="en-US" w:eastAsia="zh-CN" w:bidi="ar-SA"/>
    </w:rPr>
  </w:style>
  <w:style w:type="paragraph" w:customStyle="1" w:styleId="2211">
    <w:name w:val="Table Title Char1 Char"/>
    <w:basedOn w:val="1"/>
    <w:qFormat/>
    <w:uiPriority w:val="0"/>
    <w:pPr>
      <w:widowControl/>
      <w:tabs>
        <w:tab w:val="clear" w:pos="480"/>
      </w:tabs>
      <w:snapToGrid w:val="0"/>
      <w:spacing w:beforeLines="50" w:afterLines="50" w:line="400" w:lineRule="exact"/>
      <w:jc w:val="center"/>
    </w:pPr>
    <w:rPr>
      <w:rFonts w:eastAsia="Times New Roman"/>
      <w:lang w:eastAsia="en-US"/>
    </w:rPr>
  </w:style>
  <w:style w:type="character" w:customStyle="1" w:styleId="2212">
    <w:name w:val="Table Title Char1 Char Char"/>
    <w:qFormat/>
    <w:uiPriority w:val="0"/>
    <w:rPr>
      <w:rFonts w:eastAsia="宋体"/>
      <w:kern w:val="2"/>
      <w:sz w:val="24"/>
      <w:szCs w:val="24"/>
      <w:lang w:val="en-US" w:eastAsia="en-US" w:bidi="ar-SA"/>
    </w:rPr>
  </w:style>
  <w:style w:type="character" w:customStyle="1" w:styleId="2213">
    <w:name w:val="Table Title Char3"/>
    <w:qFormat/>
    <w:uiPriority w:val="0"/>
    <w:rPr>
      <w:rFonts w:eastAsia="宋体"/>
      <w:kern w:val="2"/>
      <w:sz w:val="24"/>
      <w:szCs w:val="24"/>
      <w:lang w:val="en-US" w:eastAsia="en-US" w:bidi="ar-SA"/>
    </w:rPr>
  </w:style>
  <w:style w:type="paragraph" w:customStyle="1" w:styleId="2214">
    <w:name w:val="Table Title Char1 Char1"/>
    <w:basedOn w:val="1"/>
    <w:qFormat/>
    <w:uiPriority w:val="0"/>
    <w:pPr>
      <w:widowControl/>
      <w:tabs>
        <w:tab w:val="clear" w:pos="480"/>
      </w:tabs>
      <w:snapToGrid w:val="0"/>
      <w:spacing w:beforeLines="50" w:afterLines="50" w:line="400" w:lineRule="exact"/>
      <w:jc w:val="center"/>
    </w:pPr>
    <w:rPr>
      <w:lang w:eastAsia="en-US"/>
    </w:rPr>
  </w:style>
  <w:style w:type="paragraph" w:customStyle="1" w:styleId="2215">
    <w:name w:val="Table Title"/>
    <w:basedOn w:val="1"/>
    <w:qFormat/>
    <w:uiPriority w:val="0"/>
    <w:pPr>
      <w:widowControl/>
      <w:tabs>
        <w:tab w:val="clear" w:pos="480"/>
      </w:tabs>
      <w:snapToGrid w:val="0"/>
      <w:spacing w:beforeLines="50" w:afterLines="50" w:line="400" w:lineRule="exact"/>
      <w:jc w:val="center"/>
    </w:pPr>
  </w:style>
  <w:style w:type="character" w:customStyle="1" w:styleId="2216">
    <w:name w:val="Table Title Char6"/>
    <w:qFormat/>
    <w:uiPriority w:val="0"/>
    <w:rPr>
      <w:rFonts w:eastAsia="宋体"/>
      <w:kern w:val="2"/>
      <w:sz w:val="24"/>
      <w:szCs w:val="24"/>
      <w:lang w:val="en-US" w:eastAsia="zh-CN" w:bidi="ar-SA"/>
    </w:rPr>
  </w:style>
  <w:style w:type="paragraph" w:customStyle="1" w:styleId="2217">
    <w:name w:val="样式 标题 3 + 段前: 0 磅 段后: 0 磅 行距: 单倍行距"/>
    <w:basedOn w:val="5"/>
    <w:qFormat/>
    <w:uiPriority w:val="0"/>
    <w:pPr>
      <w:numPr>
        <w:ilvl w:val="0"/>
        <w:numId w:val="0"/>
      </w:numPr>
      <w:tabs>
        <w:tab w:val="clear" w:pos="480"/>
        <w:tab w:val="clear" w:pos="840"/>
      </w:tabs>
      <w:spacing w:beforeLines="50" w:after="0" w:line="240" w:lineRule="auto"/>
    </w:pPr>
    <w:rPr>
      <w:rFonts w:ascii="Times New Roman" w:eastAsia="黑体"/>
      <w:b w:val="0"/>
      <w:sz w:val="32"/>
      <w:szCs w:val="20"/>
    </w:rPr>
  </w:style>
  <w:style w:type="paragraph" w:customStyle="1" w:styleId="2218">
    <w:name w:val="括号标题"/>
    <w:basedOn w:val="3"/>
    <w:qFormat/>
    <w:uiPriority w:val="0"/>
    <w:pPr>
      <w:numPr>
        <w:numId w:val="0"/>
      </w:numPr>
      <w:tabs>
        <w:tab w:val="clear" w:pos="480"/>
      </w:tabs>
      <w:spacing w:beforeLines="50" w:afterLines="50"/>
      <w:ind w:firstLine="200" w:firstLineChars="200"/>
    </w:pPr>
    <w:rPr>
      <w:rFonts w:ascii="Times New Roman" w:eastAsia="黑体"/>
      <w:sz w:val="24"/>
    </w:rPr>
  </w:style>
  <w:style w:type="paragraph" w:customStyle="1" w:styleId="2219">
    <w:name w:val="样式 标题 2节H2Heading 2 HiddenHeading 2 CCBSheading 2h2 + 段前: ..."/>
    <w:basedOn w:val="4"/>
    <w:qFormat/>
    <w:uiPriority w:val="0"/>
    <w:pPr>
      <w:numPr>
        <w:ilvl w:val="0"/>
        <w:numId w:val="0"/>
      </w:numPr>
      <w:tabs>
        <w:tab w:val="clear" w:pos="480"/>
        <w:tab w:val="clear" w:pos="630"/>
      </w:tabs>
      <w:spacing w:beforeLines="50" w:after="0"/>
    </w:pPr>
    <w:rPr>
      <w:rFonts w:eastAsia="黑体"/>
      <w:sz w:val="28"/>
      <w:szCs w:val="20"/>
    </w:rPr>
  </w:style>
  <w:style w:type="paragraph" w:customStyle="1" w:styleId="2220">
    <w:name w:val="正文新"/>
    <w:basedOn w:val="1"/>
    <w:qFormat/>
    <w:uiPriority w:val="0"/>
    <w:pPr>
      <w:tabs>
        <w:tab w:val="clear" w:pos="480"/>
      </w:tabs>
      <w:ind w:firstLine="480"/>
    </w:pPr>
    <w:rPr>
      <w:szCs w:val="20"/>
    </w:rPr>
  </w:style>
  <w:style w:type="paragraph" w:customStyle="1" w:styleId="2221">
    <w:name w:val="正文新 Char Char Char"/>
    <w:basedOn w:val="1"/>
    <w:qFormat/>
    <w:uiPriority w:val="0"/>
    <w:pPr>
      <w:tabs>
        <w:tab w:val="clear" w:pos="480"/>
      </w:tabs>
      <w:ind w:firstLine="480"/>
    </w:pPr>
  </w:style>
  <w:style w:type="character" w:customStyle="1" w:styleId="2222">
    <w:name w:val="Table Title Char2"/>
    <w:qFormat/>
    <w:uiPriority w:val="0"/>
    <w:rPr>
      <w:rFonts w:eastAsia="宋体"/>
      <w:kern w:val="2"/>
      <w:sz w:val="24"/>
      <w:szCs w:val="24"/>
      <w:lang w:val="en-US" w:eastAsia="zh-CN" w:bidi="ar-SA"/>
    </w:rPr>
  </w:style>
  <w:style w:type="paragraph" w:customStyle="1" w:styleId="2223">
    <w:name w:val="样式 标题 2节H2Heading 2 HiddenHeading 2 CCBSheading 2h2节标题 + ..."/>
    <w:basedOn w:val="4"/>
    <w:qFormat/>
    <w:uiPriority w:val="0"/>
    <w:pPr>
      <w:numPr>
        <w:ilvl w:val="0"/>
        <w:numId w:val="0"/>
      </w:numPr>
      <w:tabs>
        <w:tab w:val="clear" w:pos="480"/>
        <w:tab w:val="clear" w:pos="630"/>
      </w:tabs>
      <w:spacing w:beforeLines="50" w:after="0"/>
    </w:pPr>
    <w:rPr>
      <w:rFonts w:eastAsia="黑体"/>
      <w:sz w:val="28"/>
      <w:szCs w:val="20"/>
    </w:rPr>
  </w:style>
  <w:style w:type="paragraph" w:customStyle="1" w:styleId="2224">
    <w:name w:val="样式 标题 3小标题 + (中文) 楷体_GB2312 四号 段前: 0 磅 段后: 0 磅 行距: 1.5 倍行距"/>
    <w:basedOn w:val="5"/>
    <w:qFormat/>
    <w:uiPriority w:val="0"/>
    <w:pPr>
      <w:numPr>
        <w:ilvl w:val="0"/>
        <w:numId w:val="0"/>
      </w:numPr>
      <w:tabs>
        <w:tab w:val="clear" w:pos="480"/>
        <w:tab w:val="clear" w:pos="840"/>
      </w:tabs>
      <w:spacing w:beforeLines="50" w:after="0" w:line="360" w:lineRule="auto"/>
    </w:pPr>
    <w:rPr>
      <w:rFonts w:ascii="Times New Roman" w:eastAsia="黑体"/>
      <w:sz w:val="24"/>
      <w:szCs w:val="20"/>
    </w:rPr>
  </w:style>
  <w:style w:type="paragraph" w:customStyle="1" w:styleId="2225">
    <w:name w:val="样式 标题 4 + (西文) Times New Roman (中文) 宋体 小四 非加粗 段前: 7.8 磅 段后:..."/>
    <w:basedOn w:val="6"/>
    <w:qFormat/>
    <w:uiPriority w:val="0"/>
    <w:pPr>
      <w:numPr>
        <w:ilvl w:val="0"/>
        <w:numId w:val="0"/>
      </w:numPr>
      <w:tabs>
        <w:tab w:val="clear" w:pos="480"/>
      </w:tabs>
      <w:spacing w:before="0" w:after="0"/>
    </w:pPr>
    <w:rPr>
      <w:rFonts w:ascii="Times New Roman" w:hAnsi="Times New Roman" w:eastAsia="宋体"/>
      <w:bCs w:val="0"/>
      <w:sz w:val="24"/>
      <w:szCs w:val="20"/>
    </w:rPr>
  </w:style>
  <w:style w:type="paragraph" w:customStyle="1" w:styleId="2226">
    <w:name w:val="Main Para no Chapter #"/>
    <w:basedOn w:val="1"/>
    <w:qFormat/>
    <w:uiPriority w:val="0"/>
    <w:pPr>
      <w:widowControl/>
      <w:tabs>
        <w:tab w:val="clear" w:pos="480"/>
      </w:tabs>
      <w:spacing w:after="240" w:line="240" w:lineRule="auto"/>
      <w:jc w:val="left"/>
      <w:outlineLvl w:val="1"/>
    </w:pPr>
    <w:rPr>
      <w:rFonts w:eastAsia="Times New Roman"/>
      <w:kern w:val="0"/>
      <w:szCs w:val="20"/>
    </w:rPr>
  </w:style>
  <w:style w:type="character" w:customStyle="1" w:styleId="2227">
    <w:name w:val="正文新 Char Char Char Char"/>
    <w:qFormat/>
    <w:uiPriority w:val="0"/>
    <w:rPr>
      <w:rFonts w:eastAsia="宋体" w:cs="宋体"/>
      <w:kern w:val="2"/>
      <w:sz w:val="24"/>
      <w:szCs w:val="24"/>
      <w:lang w:val="en-US" w:eastAsia="zh-CN" w:bidi="ar-SA"/>
    </w:rPr>
  </w:style>
  <w:style w:type="character" w:customStyle="1" w:styleId="2228">
    <w:name w:val="正文新 Char Char Char1"/>
    <w:qFormat/>
    <w:uiPriority w:val="0"/>
    <w:rPr>
      <w:rFonts w:eastAsia="宋体" w:cs="宋体"/>
      <w:kern w:val="2"/>
      <w:sz w:val="24"/>
      <w:lang w:val="en-US" w:eastAsia="zh-CN" w:bidi="ar-SA"/>
    </w:rPr>
  </w:style>
  <w:style w:type="paragraph" w:customStyle="1" w:styleId="2229">
    <w:name w:val="图表内容"/>
    <w:basedOn w:val="1"/>
    <w:qFormat/>
    <w:uiPriority w:val="0"/>
    <w:pPr>
      <w:tabs>
        <w:tab w:val="left" w:pos="7200"/>
        <w:tab w:val="clear" w:pos="480"/>
      </w:tabs>
      <w:spacing w:line="240" w:lineRule="auto"/>
      <w:jc w:val="center"/>
    </w:pPr>
    <w:rPr>
      <w:color w:val="000000"/>
      <w:kern w:val="0"/>
      <w:sz w:val="21"/>
    </w:rPr>
  </w:style>
  <w:style w:type="paragraph" w:customStyle="1" w:styleId="2230">
    <w:name w:val="样式 标题 4 + 首行缩进:  2 字符"/>
    <w:basedOn w:val="6"/>
    <w:qFormat/>
    <w:uiPriority w:val="0"/>
    <w:pPr>
      <w:numPr>
        <w:ilvl w:val="0"/>
        <w:numId w:val="0"/>
      </w:numPr>
      <w:tabs>
        <w:tab w:val="clear" w:pos="480"/>
      </w:tabs>
      <w:spacing w:before="0" w:after="0"/>
    </w:pPr>
    <w:rPr>
      <w:rFonts w:ascii="Times New Roman" w:hAnsi="Times New Roman" w:eastAsia="宋体"/>
      <w:bCs w:val="0"/>
      <w:sz w:val="24"/>
      <w:szCs w:val="20"/>
    </w:rPr>
  </w:style>
  <w:style w:type="paragraph" w:customStyle="1" w:styleId="2231">
    <w:name w:val="小4黑居中行1"/>
    <w:qFormat/>
    <w:uiPriority w:val="0"/>
    <w:pPr>
      <w:spacing w:line="360" w:lineRule="auto"/>
      <w:jc w:val="center"/>
    </w:pPr>
    <w:rPr>
      <w:rFonts w:ascii="Times New Roman" w:hAnsi="Times New Roman" w:eastAsia="宋体" w:cs="Times New Roman"/>
      <w:kern w:val="2"/>
      <w:sz w:val="21"/>
      <w:szCs w:val="24"/>
      <w:lang w:val="en-US" w:eastAsia="zh-CN" w:bidi="ar-SA"/>
    </w:rPr>
  </w:style>
  <w:style w:type="paragraph" w:customStyle="1" w:styleId="2232">
    <w:name w:val="大纲封面"/>
    <w:basedOn w:val="1"/>
    <w:qFormat/>
    <w:uiPriority w:val="0"/>
    <w:pPr>
      <w:tabs>
        <w:tab w:val="clear" w:pos="480"/>
      </w:tabs>
      <w:jc w:val="center"/>
    </w:pPr>
    <w:rPr>
      <w:rFonts w:ascii="宋体" w:eastAsia="楷体_GB2312"/>
      <w:b/>
      <w:spacing w:val="100"/>
      <w:sz w:val="72"/>
      <w:szCs w:val="20"/>
    </w:rPr>
  </w:style>
  <w:style w:type="paragraph" w:customStyle="1" w:styleId="2233">
    <w:name w:val="封面单位"/>
    <w:basedOn w:val="1"/>
    <w:qFormat/>
    <w:uiPriority w:val="0"/>
    <w:pPr>
      <w:tabs>
        <w:tab w:val="right" w:leader="middleDot" w:pos="8222"/>
        <w:tab w:val="clear" w:pos="480"/>
      </w:tabs>
      <w:jc w:val="center"/>
    </w:pPr>
    <w:rPr>
      <w:rFonts w:ascii="楷体_GB2312" w:eastAsia="楷体_GB2312"/>
      <w:b/>
      <w:sz w:val="36"/>
      <w:szCs w:val="20"/>
    </w:rPr>
  </w:style>
  <w:style w:type="paragraph" w:customStyle="1" w:styleId="2234">
    <w:name w:val="我的样式（正文） Char"/>
    <w:basedOn w:val="1"/>
    <w:qFormat/>
    <w:uiPriority w:val="0"/>
    <w:pPr>
      <w:tabs>
        <w:tab w:val="clear" w:pos="480"/>
      </w:tabs>
      <w:spacing w:line="440" w:lineRule="exact"/>
    </w:pPr>
    <w:rPr>
      <w:rFonts w:ascii="宋体" w:hAnsi="华文楷体"/>
      <w:sz w:val="28"/>
      <w:szCs w:val="20"/>
    </w:rPr>
  </w:style>
  <w:style w:type="character" w:customStyle="1" w:styleId="2235">
    <w:name w:val="我的样式（正文） Char Char"/>
    <w:qFormat/>
    <w:uiPriority w:val="0"/>
    <w:rPr>
      <w:rFonts w:ascii="宋体" w:hAnsi="华文楷体" w:eastAsia="宋体"/>
      <w:kern w:val="2"/>
      <w:sz w:val="24"/>
      <w:szCs w:val="24"/>
      <w:lang w:val="en-US" w:eastAsia="zh-CN"/>
    </w:rPr>
  </w:style>
  <w:style w:type="paragraph" w:customStyle="1" w:styleId="2236">
    <w:name w:val="样式 首行缩进:  2 字符 Char Char"/>
    <w:basedOn w:val="1"/>
    <w:qFormat/>
    <w:uiPriority w:val="0"/>
    <w:pPr>
      <w:tabs>
        <w:tab w:val="clear" w:pos="480"/>
      </w:tabs>
      <w:spacing w:line="480" w:lineRule="exact"/>
      <w:ind w:firstLine="560"/>
    </w:pPr>
    <w:rPr>
      <w:kern w:val="28"/>
      <w:sz w:val="28"/>
    </w:rPr>
  </w:style>
  <w:style w:type="paragraph" w:customStyle="1" w:styleId="2237">
    <w:name w:val="dir"/>
    <w:basedOn w:val="1"/>
    <w:qFormat/>
    <w:uiPriority w:val="0"/>
    <w:pPr>
      <w:widowControl/>
      <w:tabs>
        <w:tab w:val="clear" w:pos="480"/>
      </w:tabs>
      <w:spacing w:before="100" w:beforeAutospacing="1" w:after="100" w:afterAutospacing="1" w:line="240" w:lineRule="auto"/>
      <w:jc w:val="left"/>
    </w:pPr>
    <w:rPr>
      <w:rFonts w:hint="eastAsia" w:ascii="宋体" w:hAnsi="宋体"/>
      <w:b/>
      <w:bCs/>
      <w:kern w:val="0"/>
      <w:sz w:val="22"/>
      <w:szCs w:val="22"/>
    </w:rPr>
  </w:style>
  <w:style w:type="paragraph" w:customStyle="1" w:styleId="2238">
    <w:name w:val="标题 3 + 首行缩进:  2 字符"/>
    <w:basedOn w:val="5"/>
    <w:qFormat/>
    <w:uiPriority w:val="0"/>
    <w:pPr>
      <w:numPr>
        <w:ilvl w:val="0"/>
        <w:numId w:val="0"/>
      </w:numPr>
      <w:tabs>
        <w:tab w:val="clear" w:pos="480"/>
        <w:tab w:val="clear" w:pos="840"/>
      </w:tabs>
      <w:snapToGrid w:val="0"/>
      <w:spacing w:after="120" w:line="420" w:lineRule="atLeast"/>
    </w:pPr>
    <w:rPr>
      <w:rFonts w:ascii="Times New Roman" w:eastAsia="楷体_GB2312"/>
      <w:spacing w:val="4"/>
      <w:sz w:val="24"/>
      <w:szCs w:val="20"/>
    </w:rPr>
  </w:style>
  <w:style w:type="paragraph" w:customStyle="1" w:styleId="2239">
    <w:name w:val="样式 标题 2 + (西文) 黑体"/>
    <w:basedOn w:val="4"/>
    <w:qFormat/>
    <w:uiPriority w:val="0"/>
    <w:pPr>
      <w:numPr>
        <w:ilvl w:val="0"/>
        <w:numId w:val="0"/>
      </w:numPr>
      <w:tabs>
        <w:tab w:val="left" w:pos="567"/>
        <w:tab w:val="left" w:pos="840"/>
        <w:tab w:val="left" w:pos="1380"/>
        <w:tab w:val="clear" w:pos="480"/>
        <w:tab w:val="clear" w:pos="630"/>
      </w:tabs>
      <w:snapToGrid w:val="0"/>
      <w:spacing w:before="240" w:line="360" w:lineRule="atLeast"/>
      <w:ind w:left="840" w:hanging="420"/>
      <w:jc w:val="left"/>
    </w:pPr>
    <w:rPr>
      <w:rFonts w:eastAsia="黑体"/>
      <w:spacing w:val="4"/>
      <w:sz w:val="28"/>
      <w:szCs w:val="20"/>
    </w:rPr>
  </w:style>
  <w:style w:type="paragraph" w:customStyle="1" w:styleId="2240">
    <w:name w:val="条题"/>
    <w:basedOn w:val="1"/>
    <w:qFormat/>
    <w:uiPriority w:val="0"/>
    <w:pPr>
      <w:tabs>
        <w:tab w:val="clear" w:pos="480"/>
      </w:tabs>
      <w:spacing w:line="420" w:lineRule="exact"/>
      <w:ind w:firstLine="480"/>
    </w:pPr>
    <w:rPr>
      <w:bCs/>
    </w:rPr>
  </w:style>
  <w:style w:type="paragraph" w:customStyle="1" w:styleId="2241">
    <w:name w:val="表格001"/>
    <w:basedOn w:val="1"/>
    <w:qFormat/>
    <w:uiPriority w:val="0"/>
    <w:pPr>
      <w:tabs>
        <w:tab w:val="clear" w:pos="480"/>
      </w:tabs>
      <w:spacing w:line="240" w:lineRule="auto"/>
      <w:jc w:val="center"/>
    </w:pPr>
    <w:rPr>
      <w:sz w:val="21"/>
      <w:szCs w:val="20"/>
    </w:rPr>
  </w:style>
  <w:style w:type="character" w:customStyle="1" w:styleId="2242">
    <w:name w:val="p141"/>
    <w:qFormat/>
    <w:uiPriority w:val="0"/>
    <w:rPr>
      <w:color w:val="1B1B1B"/>
      <w:sz w:val="21"/>
      <w:szCs w:val="21"/>
    </w:rPr>
  </w:style>
  <w:style w:type="paragraph" w:customStyle="1" w:styleId="2243">
    <w:name w:val="Char Char Char Char Char Char Char Char Char Char Char Char Char Char Char Char Char Char Char Char Char Char Char Char Char Char Char Char1"/>
    <w:basedOn w:val="1"/>
    <w:qFormat/>
    <w:uiPriority w:val="0"/>
    <w:pPr>
      <w:tabs>
        <w:tab w:val="clear" w:pos="480"/>
      </w:tabs>
      <w:spacing w:line="240" w:lineRule="auto"/>
    </w:pPr>
    <w:rPr>
      <w:rFonts w:ascii="Plotter" w:hAnsi="Plotter"/>
      <w:sz w:val="21"/>
      <w:szCs w:val="20"/>
    </w:rPr>
  </w:style>
  <w:style w:type="paragraph" w:customStyle="1" w:styleId="2244">
    <w:name w:val="默认段落字体 Para Char Char Char1 Char Char Char Char Char Char Char Char Char Char"/>
    <w:basedOn w:val="1"/>
    <w:qFormat/>
    <w:uiPriority w:val="0"/>
    <w:pPr>
      <w:tabs>
        <w:tab w:val="clear" w:pos="480"/>
      </w:tabs>
      <w:spacing w:line="240" w:lineRule="auto"/>
    </w:pPr>
  </w:style>
  <w:style w:type="paragraph" w:customStyle="1" w:styleId="2245">
    <w:name w:val="表格内字体"/>
    <w:basedOn w:val="1"/>
    <w:qFormat/>
    <w:uiPriority w:val="0"/>
    <w:pPr>
      <w:tabs>
        <w:tab w:val="clear" w:pos="480"/>
      </w:tabs>
      <w:spacing w:line="240" w:lineRule="exact"/>
      <w:jc w:val="center"/>
    </w:pPr>
    <w:rPr>
      <w:rFonts w:ascii="宋体" w:hAnsi="宋体"/>
      <w:color w:val="000000"/>
      <w:kern w:val="0"/>
      <w:sz w:val="21"/>
      <w:szCs w:val="20"/>
    </w:rPr>
  </w:style>
  <w:style w:type="character" w:customStyle="1" w:styleId="2246">
    <w:name w:val="new_content"/>
    <w:basedOn w:val="132"/>
    <w:qFormat/>
    <w:uiPriority w:val="0"/>
  </w:style>
  <w:style w:type="paragraph" w:customStyle="1" w:styleId="2247">
    <w:name w:val="样式 黑体 居中"/>
    <w:basedOn w:val="1"/>
    <w:qFormat/>
    <w:uiPriority w:val="0"/>
    <w:pPr>
      <w:tabs>
        <w:tab w:val="clear" w:pos="480"/>
      </w:tabs>
      <w:spacing w:line="520" w:lineRule="exact"/>
      <w:jc w:val="center"/>
      <w:textAlignment w:val="center"/>
    </w:pPr>
    <w:rPr>
      <w:rFonts w:ascii="黑体" w:eastAsia="黑体"/>
      <w:snapToGrid w:val="0"/>
      <w:szCs w:val="20"/>
    </w:rPr>
  </w:style>
  <w:style w:type="character" w:customStyle="1" w:styleId="2248">
    <w:name w:val="奇数页眉 Char"/>
    <w:qFormat/>
    <w:uiPriority w:val="0"/>
    <w:rPr>
      <w:rFonts w:ascii="幼圆" w:eastAsia="幼圆"/>
      <w:kern w:val="2"/>
      <w:sz w:val="18"/>
      <w:szCs w:val="18"/>
      <w:lang w:val="en-US" w:eastAsia="zh-CN" w:bidi="ar-SA"/>
    </w:rPr>
  </w:style>
  <w:style w:type="paragraph" w:customStyle="1" w:styleId="2249">
    <w:name w:val="Char Char Char Char Char Char Char Char Char Char Char Char Char Char Char Char Char Char Char Char Char Char Char Char Char Char Char Char Char Char Char Char Char Char Char Char"/>
    <w:basedOn w:val="1"/>
    <w:qFormat/>
    <w:uiPriority w:val="0"/>
    <w:pPr>
      <w:tabs>
        <w:tab w:val="clear" w:pos="480"/>
      </w:tabs>
      <w:spacing w:line="240" w:lineRule="auto"/>
    </w:pPr>
    <w:rPr>
      <w:sz w:val="21"/>
    </w:rPr>
  </w:style>
  <w:style w:type="paragraph" w:customStyle="1" w:styleId="2250">
    <w:name w:val="Char Char1 Char1"/>
    <w:basedOn w:val="1"/>
    <w:qFormat/>
    <w:uiPriority w:val="0"/>
    <w:pPr>
      <w:tabs>
        <w:tab w:val="clear" w:pos="480"/>
      </w:tabs>
      <w:spacing w:before="100" w:beforeAutospacing="1" w:after="100" w:afterAutospacing="1"/>
      <w:ind w:firstLine="480"/>
      <w:jc w:val="left"/>
    </w:pPr>
    <w:rPr>
      <w:rFonts w:ascii="Arial" w:hAnsi="Arial"/>
      <w:kern w:val="0"/>
      <w:lang w:eastAsia="en-US"/>
    </w:rPr>
  </w:style>
  <w:style w:type="paragraph" w:customStyle="1" w:styleId="2251">
    <w:name w:val="Char Char1 Char Char1 Char"/>
    <w:basedOn w:val="1"/>
    <w:qFormat/>
    <w:uiPriority w:val="0"/>
    <w:pPr>
      <w:tabs>
        <w:tab w:val="clear" w:pos="480"/>
      </w:tabs>
      <w:spacing w:line="240" w:lineRule="auto"/>
    </w:pPr>
    <w:rPr>
      <w:sz w:val="21"/>
      <w:szCs w:val="21"/>
    </w:rPr>
  </w:style>
  <w:style w:type="paragraph" w:customStyle="1" w:styleId="2252">
    <w:name w:val="样式 正文缩进图表标题identication图表表正文正文非缩进特点ALT+Z标题4段1正文（首行缩进两字..."/>
    <w:basedOn w:val="21"/>
    <w:link w:val="2253"/>
    <w:qFormat/>
    <w:uiPriority w:val="0"/>
    <w:pPr>
      <w:tabs>
        <w:tab w:val="clear" w:pos="480"/>
      </w:tabs>
      <w:ind w:firstLine="200"/>
    </w:pPr>
    <w:rPr>
      <w:rFonts w:cs="宋体"/>
      <w:szCs w:val="20"/>
      <w:u w:color="000000"/>
    </w:rPr>
  </w:style>
  <w:style w:type="character" w:customStyle="1" w:styleId="2253">
    <w:name w:val="样式 正文缩进图表标题identication图表表正文正文非缩进特点ALT+Z标题4段1正文（首行缩进两字... Char"/>
    <w:link w:val="2252"/>
    <w:qFormat/>
    <w:uiPriority w:val="0"/>
    <w:rPr>
      <w:rFonts w:eastAsia="宋体" w:cs="宋体"/>
      <w:kern w:val="2"/>
      <w:sz w:val="24"/>
      <w:u w:color="000000"/>
      <w:lang w:val="en-US" w:eastAsia="zh-CN" w:bidi="ar-SA"/>
    </w:rPr>
  </w:style>
  <w:style w:type="paragraph" w:customStyle="1" w:styleId="2254">
    <w:name w:val="样式 标题 33级标题小节名小节Char Char标题 33标题 13条标题1.1.1(F4)标题 3 Cha...2"/>
    <w:basedOn w:val="5"/>
    <w:qFormat/>
    <w:uiPriority w:val="0"/>
    <w:pPr>
      <w:tabs>
        <w:tab w:val="left" w:pos="720"/>
        <w:tab w:val="clear" w:pos="480"/>
        <w:tab w:val="clear" w:pos="840"/>
      </w:tabs>
      <w:spacing w:before="180" w:after="120" w:line="240" w:lineRule="auto"/>
      <w:ind w:left="720" w:hanging="720"/>
    </w:pPr>
    <w:rPr>
      <w:rFonts w:ascii="Times New Roman" w:hAnsi="宋体" w:eastAsia="黑体" w:cs="宋体"/>
      <w:b w:val="0"/>
      <w:bCs w:val="0"/>
      <w:snapToGrid w:val="0"/>
      <w:color w:val="0000FF"/>
      <w:kern w:val="0"/>
      <w:sz w:val="28"/>
      <w:szCs w:val="20"/>
    </w:rPr>
  </w:style>
  <w:style w:type="character" w:customStyle="1" w:styleId="2255">
    <w:name w:val="html_txt1"/>
    <w:qFormat/>
    <w:uiPriority w:val="0"/>
    <w:rPr>
      <w:color w:val="000000"/>
    </w:rPr>
  </w:style>
  <w:style w:type="character" w:customStyle="1" w:styleId="2256">
    <w:name w:val="html_cha1"/>
    <w:qFormat/>
    <w:uiPriority w:val="0"/>
    <w:rPr>
      <w:color w:val="FF0000"/>
    </w:rPr>
  </w:style>
  <w:style w:type="character" w:customStyle="1" w:styleId="2257">
    <w:name w:val="html_tag1"/>
    <w:qFormat/>
    <w:uiPriority w:val="0"/>
    <w:rPr>
      <w:color w:val="0000FF"/>
    </w:rPr>
  </w:style>
  <w:style w:type="character" w:customStyle="1" w:styleId="2258">
    <w:name w:val="html_elm1"/>
    <w:qFormat/>
    <w:uiPriority w:val="0"/>
    <w:rPr>
      <w:color w:val="800000"/>
    </w:rPr>
  </w:style>
  <w:style w:type="paragraph" w:customStyle="1" w:styleId="2259">
    <w:name w:val="表格，表号"/>
    <w:basedOn w:val="1"/>
    <w:qFormat/>
    <w:uiPriority w:val="0"/>
    <w:pPr>
      <w:tabs>
        <w:tab w:val="clear" w:pos="480"/>
      </w:tabs>
      <w:spacing w:line="240" w:lineRule="auto"/>
      <w:jc w:val="left"/>
    </w:pPr>
    <w:rPr>
      <w:rFonts w:ascii="宋体" w:hAnsi="宋体"/>
      <w:snapToGrid w:val="0"/>
      <w:spacing w:val="6"/>
      <w:kern w:val="0"/>
      <w:sz w:val="21"/>
    </w:rPr>
  </w:style>
  <w:style w:type="paragraph" w:customStyle="1" w:styleId="2260">
    <w:name w:val="正文（有空格）"/>
    <w:qFormat/>
    <w:uiPriority w:val="0"/>
    <w:pPr>
      <w:widowControl w:val="0"/>
      <w:adjustRightInd w:val="0"/>
      <w:snapToGrid w:val="0"/>
      <w:spacing w:line="360" w:lineRule="auto"/>
      <w:ind w:firstLine="200" w:firstLineChars="200"/>
      <w:jc w:val="center"/>
    </w:pPr>
    <w:rPr>
      <w:rFonts w:ascii="Times New Roman" w:hAnsi="Times New Roman" w:eastAsia="宋体" w:cs="Times New Roman"/>
      <w:kern w:val="2"/>
      <w:sz w:val="28"/>
      <w:szCs w:val="28"/>
      <w:lang w:val="en-US" w:eastAsia="zh-CN" w:bidi="ar-SA"/>
    </w:rPr>
  </w:style>
  <w:style w:type="paragraph" w:customStyle="1" w:styleId="2261">
    <w:name w:val="图表标题"/>
    <w:basedOn w:val="1"/>
    <w:qFormat/>
    <w:uiPriority w:val="0"/>
    <w:pPr>
      <w:tabs>
        <w:tab w:val="clear" w:pos="480"/>
      </w:tabs>
      <w:ind w:firstLine="480"/>
      <w:jc w:val="center"/>
    </w:pPr>
  </w:style>
  <w:style w:type="paragraph" w:customStyle="1" w:styleId="2262">
    <w:name w:val="南联小四宋体"/>
    <w:link w:val="2263"/>
    <w:qFormat/>
    <w:uiPriority w:val="0"/>
    <w:pPr>
      <w:widowControl w:val="0"/>
      <w:spacing w:line="360" w:lineRule="auto"/>
      <w:jc w:val="both"/>
    </w:pPr>
    <w:rPr>
      <w:rFonts w:ascii="Times New Roman" w:hAnsi="Times New Roman" w:eastAsia="宋体" w:cs="Times New Roman"/>
      <w:kern w:val="2"/>
      <w:sz w:val="24"/>
      <w:szCs w:val="30"/>
      <w:lang w:val="en-US" w:eastAsia="zh-CN" w:bidi="ar-SA"/>
    </w:rPr>
  </w:style>
  <w:style w:type="character" w:customStyle="1" w:styleId="2263">
    <w:name w:val="南联小四宋体 Char"/>
    <w:link w:val="2262"/>
    <w:qFormat/>
    <w:uiPriority w:val="0"/>
    <w:rPr>
      <w:sz w:val="24"/>
      <w:szCs w:val="30"/>
      <w:lang w:val="en-US" w:eastAsia="zh-CN" w:bidi="ar-SA"/>
    </w:rPr>
  </w:style>
  <w:style w:type="paragraph" w:customStyle="1" w:styleId="2264">
    <w:name w:val="cc四级标题"/>
    <w:basedOn w:val="1"/>
    <w:qFormat/>
    <w:uiPriority w:val="0"/>
    <w:pPr>
      <w:keepNext/>
      <w:keepLines/>
      <w:tabs>
        <w:tab w:val="left" w:pos="1680"/>
        <w:tab w:val="clear" w:pos="480"/>
      </w:tabs>
      <w:ind w:left="1680" w:hanging="420"/>
      <w:outlineLvl w:val="3"/>
    </w:pPr>
    <w:rPr>
      <w:rFonts w:hAnsi="宋体"/>
      <w:b/>
      <w:bCs/>
      <w:color w:val="0000FF"/>
    </w:rPr>
  </w:style>
  <w:style w:type="paragraph" w:customStyle="1" w:styleId="2265">
    <w:name w:val="z-catalog-i1"/>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266">
    <w:name w:val="表格1 Char"/>
    <w:qFormat/>
    <w:uiPriority w:val="0"/>
    <w:rPr>
      <w:rFonts w:ascii="宋体" w:hAnsi="宋体" w:eastAsia="宋体"/>
      <w:snapToGrid w:val="0"/>
      <w:sz w:val="21"/>
      <w:szCs w:val="24"/>
      <w:lang w:val="en-US" w:eastAsia="zh-CN" w:bidi="ar-SA"/>
    </w:rPr>
  </w:style>
  <w:style w:type="character" w:customStyle="1" w:styleId="2267">
    <w:name w:val="catalog-item-index1"/>
    <w:basedOn w:val="132"/>
    <w:qFormat/>
    <w:uiPriority w:val="0"/>
  </w:style>
  <w:style w:type="character" w:customStyle="1" w:styleId="2268">
    <w:name w:val="第2级标题 Char"/>
    <w:link w:val="1874"/>
    <w:qFormat/>
    <w:uiPriority w:val="0"/>
    <w:rPr>
      <w:rFonts w:eastAsia="华文中宋"/>
      <w:b/>
      <w:bCs/>
      <w:smallCaps/>
      <w:kern w:val="2"/>
      <w:sz w:val="32"/>
      <w:szCs w:val="32"/>
      <w:lang w:val="en-US" w:eastAsia="zh-CN" w:bidi="ar-SA"/>
    </w:rPr>
  </w:style>
  <w:style w:type="paragraph" w:customStyle="1" w:styleId="2269">
    <w:name w:val="本文标题31"/>
    <w:basedOn w:val="1"/>
    <w:qFormat/>
    <w:uiPriority w:val="0"/>
    <w:pPr>
      <w:tabs>
        <w:tab w:val="clear" w:pos="480"/>
      </w:tabs>
      <w:spacing w:line="240" w:lineRule="auto"/>
    </w:pPr>
    <w:rPr>
      <w:sz w:val="21"/>
    </w:rPr>
  </w:style>
  <w:style w:type="character" w:customStyle="1" w:styleId="2270">
    <w:name w:val="正文01 Char2"/>
    <w:link w:val="542"/>
    <w:qFormat/>
    <w:uiPriority w:val="0"/>
    <w:rPr>
      <w:rFonts w:eastAsia="宋体"/>
      <w:kern w:val="2"/>
      <w:sz w:val="27"/>
      <w:lang w:val="en-US" w:eastAsia="zh-CN" w:bidi="ar-SA"/>
    </w:rPr>
  </w:style>
  <w:style w:type="paragraph" w:customStyle="1" w:styleId="2271">
    <w:name w:val="样式 标题2 + 小三"/>
    <w:basedOn w:val="1"/>
    <w:qFormat/>
    <w:uiPriority w:val="0"/>
    <w:pPr>
      <w:keepNext/>
      <w:keepLines/>
      <w:widowControl/>
      <w:numPr>
        <w:ilvl w:val="0"/>
        <w:numId w:val="29"/>
      </w:numPr>
      <w:tabs>
        <w:tab w:val="clear" w:pos="480"/>
      </w:tabs>
      <w:overflowPunct w:val="0"/>
      <w:autoSpaceDE w:val="0"/>
      <w:autoSpaceDN w:val="0"/>
      <w:adjustRightInd w:val="0"/>
      <w:spacing w:line="200" w:lineRule="atLeast"/>
      <w:textAlignment w:val="baseline"/>
      <w:outlineLvl w:val="1"/>
    </w:pPr>
    <w:rPr>
      <w:rFonts w:ascii="宋体" w:hAnsi="宋体"/>
      <w:b/>
      <w:color w:val="0000FF"/>
      <w:spacing w:val="-10"/>
      <w:kern w:val="0"/>
      <w:sz w:val="30"/>
      <w:szCs w:val="32"/>
    </w:rPr>
  </w:style>
  <w:style w:type="paragraph" w:customStyle="1" w:styleId="2272">
    <w:name w:val="whs1"/>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273">
    <w:name w:val="d11"/>
    <w:qFormat/>
    <w:uiPriority w:val="0"/>
    <w:rPr>
      <w:spacing w:val="440"/>
      <w:sz w:val="24"/>
      <w:szCs w:val="24"/>
    </w:rPr>
  </w:style>
  <w:style w:type="paragraph" w:customStyle="1" w:styleId="2274">
    <w:name w:val="6'"/>
    <w:basedOn w:val="1"/>
    <w:qFormat/>
    <w:uiPriority w:val="0"/>
    <w:pPr>
      <w:tabs>
        <w:tab w:val="clear" w:pos="480"/>
      </w:tabs>
      <w:autoSpaceDE w:val="0"/>
      <w:autoSpaceDN w:val="0"/>
      <w:adjustRightInd w:val="0"/>
      <w:snapToGrid w:val="0"/>
      <w:spacing w:line="320" w:lineRule="exact"/>
      <w:jc w:val="center"/>
      <w:textAlignment w:val="baseline"/>
    </w:pPr>
    <w:rPr>
      <w:spacing w:val="20"/>
      <w:kern w:val="28"/>
      <w:sz w:val="21"/>
      <w:szCs w:val="20"/>
    </w:rPr>
  </w:style>
  <w:style w:type="paragraph" w:customStyle="1" w:styleId="2275">
    <w:name w:val="标注"/>
    <w:basedOn w:val="1"/>
    <w:qFormat/>
    <w:uiPriority w:val="0"/>
    <w:pPr>
      <w:tabs>
        <w:tab w:val="clear" w:pos="480"/>
      </w:tabs>
      <w:spacing w:line="320" w:lineRule="exact"/>
    </w:pPr>
    <w:rPr>
      <w:color w:val="008080"/>
      <w:sz w:val="21"/>
      <w:szCs w:val="20"/>
    </w:rPr>
  </w:style>
  <w:style w:type="paragraph" w:customStyle="1" w:styleId="2276">
    <w:name w:val="表格11"/>
    <w:basedOn w:val="1"/>
    <w:link w:val="2277"/>
    <w:qFormat/>
    <w:uiPriority w:val="0"/>
    <w:pPr>
      <w:tabs>
        <w:tab w:val="clear" w:pos="480"/>
      </w:tabs>
      <w:snapToGrid w:val="0"/>
      <w:spacing w:line="240" w:lineRule="auto"/>
      <w:jc w:val="center"/>
    </w:pPr>
    <w:rPr>
      <w:kern w:val="0"/>
      <w:sz w:val="21"/>
    </w:rPr>
  </w:style>
  <w:style w:type="character" w:customStyle="1" w:styleId="2277">
    <w:name w:val="表格11 Char"/>
    <w:link w:val="2276"/>
    <w:qFormat/>
    <w:uiPriority w:val="0"/>
    <w:rPr>
      <w:rFonts w:eastAsia="宋体"/>
      <w:sz w:val="21"/>
      <w:szCs w:val="24"/>
      <w:lang w:val="en-US" w:eastAsia="zh-CN" w:bidi="ar-SA"/>
    </w:rPr>
  </w:style>
  <w:style w:type="paragraph" w:customStyle="1" w:styleId="2278">
    <w:name w:val="小四"/>
    <w:basedOn w:val="1"/>
    <w:link w:val="2279"/>
    <w:qFormat/>
    <w:uiPriority w:val="0"/>
    <w:pPr>
      <w:widowControl/>
      <w:tabs>
        <w:tab w:val="clear" w:pos="480"/>
      </w:tabs>
      <w:jc w:val="left"/>
    </w:pPr>
    <w:rPr>
      <w:rFonts w:cs="宋体"/>
      <w:szCs w:val="20"/>
    </w:rPr>
  </w:style>
  <w:style w:type="character" w:customStyle="1" w:styleId="2279">
    <w:name w:val="小四 Char"/>
    <w:link w:val="2278"/>
    <w:qFormat/>
    <w:uiPriority w:val="0"/>
    <w:rPr>
      <w:rFonts w:eastAsia="宋体" w:cs="宋体"/>
      <w:kern w:val="2"/>
      <w:sz w:val="24"/>
      <w:lang w:val="en-US" w:eastAsia="zh-CN" w:bidi="ar-SA"/>
    </w:rPr>
  </w:style>
  <w:style w:type="character" w:customStyle="1" w:styleId="2280">
    <w:name w:val="正文文字 Char Char Char Char Char Char Char Char1"/>
    <w:qFormat/>
    <w:uiPriority w:val="0"/>
    <w:rPr>
      <w:rFonts w:ascii="宋体" w:hAnsi="宋体" w:eastAsia="宋体"/>
      <w:kern w:val="2"/>
      <w:sz w:val="21"/>
      <w:lang w:val="en-US" w:eastAsia="zh-CN" w:bidi="ar-SA"/>
    </w:rPr>
  </w:style>
  <w:style w:type="character" w:customStyle="1" w:styleId="2281">
    <w:name w:val="T3标题 Char Char1"/>
    <w:qFormat/>
    <w:uiPriority w:val="0"/>
    <w:rPr>
      <w:rFonts w:hAnsi="宋体" w:eastAsia="宋体"/>
      <w:b/>
      <w:bCs/>
      <w:kern w:val="18"/>
      <w:sz w:val="30"/>
      <w:szCs w:val="30"/>
      <w:lang w:val="en-US" w:eastAsia="zh-CN" w:bidi="ar-SA"/>
    </w:rPr>
  </w:style>
  <w:style w:type="character" w:customStyle="1" w:styleId="2282">
    <w:name w:val="实德题注 Char1"/>
    <w:qFormat/>
    <w:uiPriority w:val="0"/>
    <w:rPr>
      <w:rFonts w:ascii="Arial" w:hAnsi="Arial" w:eastAsia="宋体" w:cs="Arial"/>
      <w:color w:val="000000"/>
      <w:kern w:val="2"/>
      <w:sz w:val="24"/>
      <w:lang w:val="en-US" w:eastAsia="zh-CN" w:bidi="ar-SA"/>
    </w:rPr>
  </w:style>
  <w:style w:type="paragraph" w:customStyle="1" w:styleId="2283">
    <w:name w:val="表格标题TTTT"/>
    <w:basedOn w:val="204"/>
    <w:link w:val="2284"/>
    <w:qFormat/>
    <w:uiPriority w:val="0"/>
    <w:pPr>
      <w:spacing w:line="240" w:lineRule="auto"/>
      <w:ind w:firstLine="0"/>
      <w:jc w:val="center"/>
    </w:pPr>
    <w:rPr>
      <w:rFonts w:cs="宋体"/>
      <w:b/>
      <w:bCs/>
      <w:kern w:val="2"/>
    </w:rPr>
  </w:style>
  <w:style w:type="character" w:customStyle="1" w:styleId="2284">
    <w:name w:val="表格标题TTTT Char"/>
    <w:link w:val="2283"/>
    <w:qFormat/>
    <w:uiPriority w:val="0"/>
    <w:rPr>
      <w:rFonts w:eastAsia="宋体" w:cs="宋体"/>
      <w:b/>
      <w:bCs/>
      <w:kern w:val="2"/>
      <w:sz w:val="24"/>
      <w:lang w:val="en-US" w:eastAsia="zh-CN" w:bidi="ar-SA"/>
    </w:rPr>
  </w:style>
  <w:style w:type="paragraph" w:customStyle="1" w:styleId="2285">
    <w:name w:val="ZX 2 表标题"/>
    <w:basedOn w:val="1"/>
    <w:qFormat/>
    <w:uiPriority w:val="0"/>
    <w:pPr>
      <w:numPr>
        <w:ilvl w:val="0"/>
        <w:numId w:val="30"/>
      </w:numPr>
      <w:spacing w:line="240" w:lineRule="auto"/>
      <w:ind w:firstLine="0" w:firstLineChars="0"/>
      <w:jc w:val="center"/>
    </w:pPr>
    <w:rPr>
      <w:rFonts w:cs="宋体"/>
      <w:b/>
      <w:sz w:val="21"/>
      <w:szCs w:val="20"/>
    </w:rPr>
  </w:style>
  <w:style w:type="paragraph" w:customStyle="1" w:styleId="2286">
    <w:name w:val="表前文字"/>
    <w:basedOn w:val="1"/>
    <w:semiHidden/>
    <w:qFormat/>
    <w:uiPriority w:val="0"/>
    <w:pPr>
      <w:tabs>
        <w:tab w:val="clear" w:pos="480"/>
      </w:tabs>
      <w:adjustRightInd w:val="0"/>
      <w:snapToGrid w:val="0"/>
      <w:spacing w:line="300" w:lineRule="auto"/>
      <w:jc w:val="center"/>
    </w:pPr>
    <w:rPr>
      <w:rFonts w:ascii="宋体" w:hAnsi="宋体"/>
      <w:snapToGrid w:val="0"/>
      <w:color w:val="000000"/>
      <w:kern w:val="0"/>
      <w:sz w:val="21"/>
      <w:szCs w:val="21"/>
    </w:rPr>
  </w:style>
  <w:style w:type="character" w:customStyle="1" w:styleId="2287">
    <w:name w:val="正文无缩进 Char Char"/>
    <w:qFormat/>
    <w:uiPriority w:val="0"/>
    <w:rPr>
      <w:rFonts w:ascii="宋体" w:hAnsi="宋体" w:eastAsia="宋体"/>
      <w:snapToGrid w:val="0"/>
      <w:color w:val="000000"/>
      <w:sz w:val="21"/>
      <w:szCs w:val="24"/>
      <w:lang w:val="en-US" w:eastAsia="zh-CN" w:bidi="ar-SA"/>
    </w:rPr>
  </w:style>
  <w:style w:type="character" w:customStyle="1" w:styleId="2288">
    <w:name w:val="正文小四 Char"/>
    <w:link w:val="1299"/>
    <w:qFormat/>
    <w:uiPriority w:val="0"/>
    <w:rPr>
      <w:rFonts w:ascii="宋体" w:hAnsi="宋体" w:eastAsia="宋体"/>
      <w:kern w:val="2"/>
      <w:sz w:val="24"/>
      <w:szCs w:val="28"/>
      <w:lang w:val="en-US" w:eastAsia="zh-CN" w:bidi="ar-SA"/>
    </w:rPr>
  </w:style>
  <w:style w:type="character" w:customStyle="1" w:styleId="2289">
    <w:name w:val="T3标题 Char Char"/>
    <w:qFormat/>
    <w:uiPriority w:val="0"/>
    <w:rPr>
      <w:rFonts w:eastAsia="宋体"/>
      <w:b/>
      <w:bCs/>
      <w:kern w:val="18"/>
      <w:sz w:val="30"/>
      <w:szCs w:val="24"/>
      <w:lang w:val="en-US" w:eastAsia="zh-CN" w:bidi="ar-SA"/>
    </w:rPr>
  </w:style>
  <w:style w:type="character" w:customStyle="1" w:styleId="2290">
    <w:name w:val="表格题注 Char Char"/>
    <w:qFormat/>
    <w:uiPriority w:val="0"/>
    <w:rPr>
      <w:rFonts w:eastAsia="宋体" w:cs="仿宋_GB2312"/>
      <w:b/>
      <w:bCs/>
      <w:kern w:val="2"/>
      <w:sz w:val="24"/>
      <w:szCs w:val="21"/>
      <w:lang w:val="en-US" w:eastAsia="zh-CN" w:bidi="ar-SA"/>
    </w:rPr>
  </w:style>
  <w:style w:type="paragraph" w:customStyle="1" w:styleId="2291">
    <w:name w:val="reader-word-layer reader-word-s1-3"/>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292">
    <w:name w:val="reader-word-layer reader-word-s1-4"/>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293">
    <w:name w:val="标题 7 表 Char1"/>
    <w:qFormat/>
    <w:uiPriority w:val="0"/>
    <w:rPr>
      <w:rFonts w:ascii="宋体" w:hAnsi="Impact" w:eastAsia="楷体_GB2312" w:cs="宋体"/>
      <w:b/>
      <w:kern w:val="24"/>
      <w:sz w:val="24"/>
      <w:lang w:val="en-US" w:eastAsia="zh-CN" w:bidi="ar-SA"/>
    </w:rPr>
  </w:style>
  <w:style w:type="character" w:customStyle="1" w:styleId="2294">
    <w:name w:val="无节款 Char1"/>
    <w:qFormat/>
    <w:uiPriority w:val="0"/>
    <w:rPr>
      <w:rFonts w:ascii="Arial" w:hAnsi="Arial" w:eastAsia="黑体" w:cs="宋体"/>
      <w:kern w:val="24"/>
      <w:sz w:val="24"/>
      <w:lang w:val="en-US" w:eastAsia="zh-CN" w:bidi="ar-SA"/>
    </w:rPr>
  </w:style>
  <w:style w:type="character" w:customStyle="1" w:styleId="2295">
    <w:name w:val="干标题(a) Char2"/>
    <w:qFormat/>
    <w:uiPriority w:val="0"/>
    <w:rPr>
      <w:rFonts w:ascii="Arial" w:hAnsi="Arial" w:eastAsia="黑体" w:cs="宋体"/>
      <w:kern w:val="24"/>
      <w:sz w:val="28"/>
      <w:lang w:val="en-US" w:eastAsia="zh-CN" w:bidi="ar-SA"/>
    </w:rPr>
  </w:style>
  <w:style w:type="character" w:customStyle="1" w:styleId="2296">
    <w:name w:val="正文文字缩进 3 Char3"/>
    <w:qFormat/>
    <w:uiPriority w:val="0"/>
    <w:rPr>
      <w:rFonts w:eastAsia="宋体"/>
      <w:kern w:val="2"/>
      <w:sz w:val="24"/>
      <w:szCs w:val="24"/>
      <w:lang w:val="en-US" w:eastAsia="zh-CN" w:bidi="ar-SA"/>
    </w:rPr>
  </w:style>
  <w:style w:type="character" w:customStyle="1" w:styleId="2297">
    <w:name w:val="落款 Char1"/>
    <w:qFormat/>
    <w:uiPriority w:val="0"/>
    <w:rPr>
      <w:rFonts w:eastAsia="宋体"/>
      <w:kern w:val="2"/>
      <w:sz w:val="21"/>
      <w:szCs w:val="24"/>
      <w:lang w:val="en-US" w:eastAsia="zh-CN" w:bidi="ar-SA"/>
    </w:rPr>
  </w:style>
  <w:style w:type="character" w:customStyle="1" w:styleId="2298">
    <w:name w:val="bt Char1"/>
    <w:qFormat/>
    <w:uiPriority w:val="0"/>
    <w:rPr>
      <w:rFonts w:eastAsia="宋体"/>
      <w:spacing w:val="-18"/>
      <w:kern w:val="11"/>
      <w:sz w:val="30"/>
      <w:szCs w:val="24"/>
      <w:lang w:val="en-US" w:eastAsia="zh-CN" w:bidi="ar-SA"/>
    </w:rPr>
  </w:style>
  <w:style w:type="character" w:customStyle="1" w:styleId="2299">
    <w:name w:val="正文文字 2 Char4"/>
    <w:qFormat/>
    <w:uiPriority w:val="0"/>
    <w:rPr>
      <w:rFonts w:eastAsia="宋体"/>
      <w:color w:val="000000"/>
      <w:kern w:val="2"/>
      <w:sz w:val="24"/>
      <w:lang w:val="en-US" w:eastAsia="zh-CN" w:bidi="ar-SA"/>
    </w:rPr>
  </w:style>
  <w:style w:type="paragraph" w:customStyle="1" w:styleId="2300">
    <w:name w:val="标题1级章标题"/>
    <w:semiHidden/>
    <w:qFormat/>
    <w:uiPriority w:val="0"/>
    <w:pPr>
      <w:spacing w:before="300" w:after="300" w:line="360" w:lineRule="auto"/>
      <w:jc w:val="center"/>
      <w:outlineLvl w:val="0"/>
    </w:pPr>
    <w:rPr>
      <w:rFonts w:ascii="Times New Roman" w:hAnsi="Times New Roman" w:eastAsia="宋体" w:cs="宋体"/>
      <w:b/>
      <w:bCs/>
      <w:kern w:val="44"/>
      <w:sz w:val="36"/>
      <w:szCs w:val="24"/>
      <w:lang w:val="en-US" w:eastAsia="zh-CN" w:bidi="ar-SA"/>
    </w:rPr>
  </w:style>
  <w:style w:type="paragraph" w:customStyle="1" w:styleId="2301">
    <w:name w:val="标题2—张"/>
    <w:semiHidden/>
    <w:qFormat/>
    <w:uiPriority w:val="0"/>
    <w:pPr>
      <w:spacing w:beforeLines="50" w:afterLines="50" w:line="360" w:lineRule="auto"/>
      <w:jc w:val="center"/>
      <w:outlineLvl w:val="1"/>
    </w:pPr>
    <w:rPr>
      <w:rFonts w:ascii="宋体" w:hAnsi="Arial" w:eastAsia="宋体" w:cs="宋体"/>
      <w:bCs/>
      <w:kern w:val="2"/>
      <w:sz w:val="30"/>
      <w:szCs w:val="24"/>
      <w:lang w:val="en-US" w:eastAsia="zh-CN" w:bidi="ar-SA"/>
    </w:rPr>
  </w:style>
  <w:style w:type="paragraph" w:customStyle="1" w:styleId="2302">
    <w:name w:val="标题3-张"/>
    <w:semiHidden/>
    <w:qFormat/>
    <w:uiPriority w:val="0"/>
    <w:pPr>
      <w:spacing w:beforeLines="50" w:afterLines="50" w:line="360" w:lineRule="auto"/>
      <w:jc w:val="both"/>
    </w:pPr>
    <w:rPr>
      <w:rFonts w:ascii="Times New Roman" w:hAnsi="Times New Roman" w:eastAsia="宋体" w:cs="宋体"/>
      <w:b/>
      <w:bCs/>
      <w:kern w:val="2"/>
      <w:sz w:val="24"/>
      <w:szCs w:val="24"/>
      <w:lang w:val="en-US" w:eastAsia="zh-CN" w:bidi="ar-SA"/>
    </w:rPr>
  </w:style>
  <w:style w:type="paragraph" w:customStyle="1" w:styleId="2303">
    <w:name w:val="标题4-张"/>
    <w:semiHidden/>
    <w:qFormat/>
    <w:uiPriority w:val="0"/>
    <w:pPr>
      <w:spacing w:line="360" w:lineRule="auto"/>
      <w:jc w:val="center"/>
      <w:outlineLvl w:val="3"/>
    </w:pPr>
    <w:rPr>
      <w:rFonts w:ascii="Times New Roman" w:hAnsi="Times New Roman" w:eastAsia="宋体" w:cs="宋体"/>
      <w:kern w:val="2"/>
      <w:sz w:val="24"/>
      <w:szCs w:val="24"/>
      <w:lang w:val="en-US" w:eastAsia="zh-CN" w:bidi="ar-SA"/>
    </w:rPr>
  </w:style>
  <w:style w:type="paragraph" w:customStyle="1" w:styleId="2304">
    <w:name w:val="标题1-张"/>
    <w:next w:val="2301"/>
    <w:semiHidden/>
    <w:qFormat/>
    <w:uiPriority w:val="0"/>
    <w:pPr>
      <w:spacing w:before="300" w:after="300" w:line="360" w:lineRule="auto"/>
      <w:jc w:val="center"/>
      <w:outlineLvl w:val="0"/>
    </w:pPr>
    <w:rPr>
      <w:rFonts w:ascii="宋体" w:hAnsi="Arial" w:eastAsia="宋体" w:cs="宋体"/>
      <w:bCs/>
      <w:kern w:val="2"/>
      <w:sz w:val="30"/>
      <w:szCs w:val="24"/>
      <w:lang w:val="en-US" w:eastAsia="zh-CN" w:bidi="ar-SA"/>
    </w:rPr>
  </w:style>
  <w:style w:type="paragraph" w:customStyle="1" w:styleId="2305">
    <w:name w:val="样式 题注题注 Char实德题注 + 两端对齐"/>
    <w:basedOn w:val="22"/>
    <w:semiHidden/>
    <w:qFormat/>
    <w:uiPriority w:val="0"/>
    <w:pPr>
      <w:widowControl w:val="0"/>
      <w:tabs>
        <w:tab w:val="left" w:pos="480"/>
      </w:tabs>
      <w:adjustRightInd/>
      <w:snapToGrid/>
      <w:spacing w:before="0" w:after="0"/>
      <w:ind w:firstLine="0" w:firstLineChars="0"/>
    </w:pPr>
    <w:rPr>
      <w:rFonts w:cs="宋体"/>
      <w:bCs/>
      <w:color w:val="auto"/>
      <w:sz w:val="21"/>
      <w:szCs w:val="24"/>
    </w:rPr>
  </w:style>
  <w:style w:type="paragraph" w:customStyle="1" w:styleId="2306">
    <w:name w:val="样式 题注题注 Char实德题注Char Char Char + 两端对齐1"/>
    <w:basedOn w:val="22"/>
    <w:semiHidden/>
    <w:qFormat/>
    <w:uiPriority w:val="0"/>
    <w:pPr>
      <w:keepNext/>
      <w:widowControl w:val="0"/>
      <w:tabs>
        <w:tab w:val="left" w:pos="480"/>
      </w:tabs>
      <w:adjustRightInd/>
      <w:snapToGrid/>
      <w:spacing w:before="0" w:after="0"/>
      <w:ind w:firstLine="0" w:firstLineChars="0"/>
    </w:pPr>
    <w:rPr>
      <w:rFonts w:ascii="Times New Roman" w:hAnsi="Times New Roman" w:cs="宋体"/>
      <w:bCs/>
      <w:color w:val="auto"/>
      <w:sz w:val="21"/>
      <w:szCs w:val="24"/>
    </w:rPr>
  </w:style>
  <w:style w:type="paragraph" w:customStyle="1" w:styleId="2307">
    <w:name w:val="样式 题注表头z图表注实德题注 + (符号) 宋体 左"/>
    <w:basedOn w:val="22"/>
    <w:semiHidden/>
    <w:qFormat/>
    <w:uiPriority w:val="0"/>
    <w:pPr>
      <w:widowControl w:val="0"/>
      <w:tabs>
        <w:tab w:val="left" w:pos="480"/>
      </w:tabs>
      <w:adjustRightInd/>
      <w:snapToGrid/>
      <w:spacing w:before="0" w:after="0"/>
      <w:ind w:firstLine="0" w:firstLineChars="0"/>
    </w:pPr>
    <w:rPr>
      <w:rFonts w:hAnsi="宋体" w:cs="宋体"/>
      <w:bCs/>
      <w:color w:val="auto"/>
      <w:szCs w:val="24"/>
    </w:rPr>
  </w:style>
  <w:style w:type="paragraph" w:customStyle="1" w:styleId="2308">
    <w:name w:val="样式 题注表头z题注 Char实德题注Char Char Char + (符号) 宋体 两端对齐"/>
    <w:basedOn w:val="22"/>
    <w:semiHidden/>
    <w:qFormat/>
    <w:uiPriority w:val="0"/>
    <w:pPr>
      <w:widowControl w:val="0"/>
      <w:tabs>
        <w:tab w:val="left" w:pos="480"/>
      </w:tabs>
      <w:adjustRightInd/>
      <w:snapToGrid/>
      <w:spacing w:before="0" w:after="0"/>
      <w:ind w:firstLine="0" w:firstLineChars="0"/>
    </w:pPr>
    <w:rPr>
      <w:rFonts w:hAnsi="宋体" w:cs="宋体"/>
      <w:b/>
      <w:color w:val="auto"/>
      <w:sz w:val="21"/>
      <w:szCs w:val="24"/>
    </w:rPr>
  </w:style>
  <w:style w:type="paragraph" w:customStyle="1" w:styleId="2309">
    <w:name w:val="样式 题注表头z图表注实德题注 + 左"/>
    <w:basedOn w:val="22"/>
    <w:semiHidden/>
    <w:qFormat/>
    <w:uiPriority w:val="0"/>
    <w:pPr>
      <w:widowControl w:val="0"/>
      <w:tabs>
        <w:tab w:val="left" w:pos="480"/>
      </w:tabs>
      <w:adjustRightInd/>
      <w:snapToGrid/>
      <w:spacing w:before="0" w:after="0"/>
      <w:ind w:firstLine="0" w:firstLineChars="0"/>
    </w:pPr>
    <w:rPr>
      <w:rFonts w:cs="宋体"/>
      <w:bCs/>
      <w:color w:val="auto"/>
      <w:szCs w:val="24"/>
    </w:rPr>
  </w:style>
  <w:style w:type="character" w:customStyle="1" w:styleId="2310">
    <w:name w:val="表头z Char1"/>
    <w:semiHidden/>
    <w:qFormat/>
    <w:uiPriority w:val="0"/>
    <w:rPr>
      <w:rFonts w:ascii="Arial" w:hAnsi="Arial" w:eastAsia="宋体" w:cs="Arial"/>
      <w:b/>
      <w:kern w:val="2"/>
      <w:sz w:val="21"/>
      <w:szCs w:val="24"/>
      <w:lang w:val="en-US" w:eastAsia="zh-CN" w:bidi="ar-SA"/>
    </w:rPr>
  </w:style>
  <w:style w:type="character" w:customStyle="1" w:styleId="2311">
    <w:name w:val="Se Char1"/>
    <w:qFormat/>
    <w:uiPriority w:val="0"/>
    <w:rPr>
      <w:rFonts w:eastAsia="宋体"/>
      <w:b/>
      <w:bCs/>
      <w:kern w:val="2"/>
      <w:sz w:val="32"/>
      <w:szCs w:val="32"/>
      <w:lang w:val="en-US" w:eastAsia="zh-CN" w:bidi="ar-SA"/>
    </w:rPr>
  </w:style>
  <w:style w:type="character" w:customStyle="1" w:styleId="2312">
    <w:name w:val="Char Char21"/>
    <w:semiHidden/>
    <w:qFormat/>
    <w:uiPriority w:val="0"/>
    <w:rPr>
      <w:rFonts w:ascii="Times New Roman" w:hAnsi="Times New Roman" w:eastAsia="宋体" w:cs="Times New Roman"/>
      <w:szCs w:val="24"/>
      <w:shd w:val="clear" w:color="auto" w:fill="000080"/>
    </w:rPr>
  </w:style>
  <w:style w:type="character" w:customStyle="1" w:styleId="2313">
    <w:name w:val="脚注文本 字符"/>
    <w:link w:val="67"/>
    <w:qFormat/>
    <w:uiPriority w:val="0"/>
    <w:rPr>
      <w:rFonts w:eastAsia="宋体"/>
      <w:kern w:val="2"/>
      <w:sz w:val="18"/>
      <w:szCs w:val="18"/>
      <w:lang w:val="en-US" w:eastAsia="zh-CN" w:bidi="ar-SA"/>
    </w:rPr>
  </w:style>
  <w:style w:type="character" w:customStyle="1" w:styleId="2314">
    <w:name w:val="注释标题 字符"/>
    <w:link w:val="16"/>
    <w:semiHidden/>
    <w:qFormat/>
    <w:uiPriority w:val="0"/>
    <w:rPr>
      <w:rFonts w:ascii="黑体" w:hAnsi="宋体" w:eastAsia="黑体"/>
      <w:kern w:val="2"/>
      <w:sz w:val="21"/>
      <w:lang w:val="en-US" w:eastAsia="zh-CN" w:bidi="ar-SA"/>
    </w:rPr>
  </w:style>
  <w:style w:type="paragraph" w:customStyle="1" w:styleId="2315">
    <w:name w:val="表格文字（M）"/>
    <w:basedOn w:val="1"/>
    <w:semiHidden/>
    <w:qFormat/>
    <w:uiPriority w:val="0"/>
    <w:pPr>
      <w:tabs>
        <w:tab w:val="clear" w:pos="480"/>
      </w:tabs>
      <w:autoSpaceDE w:val="0"/>
      <w:autoSpaceDN w:val="0"/>
      <w:adjustRightInd w:val="0"/>
      <w:spacing w:line="240" w:lineRule="auto"/>
      <w:jc w:val="center"/>
      <w:textAlignment w:val="baseline"/>
    </w:pPr>
    <w:rPr>
      <w:bCs/>
      <w:kern w:val="0"/>
      <w:sz w:val="21"/>
      <w:szCs w:val="21"/>
    </w:rPr>
  </w:style>
  <w:style w:type="paragraph" w:customStyle="1" w:styleId="2316">
    <w:name w:val="CM135"/>
    <w:basedOn w:val="150"/>
    <w:next w:val="150"/>
    <w:semiHidden/>
    <w:qFormat/>
    <w:uiPriority w:val="0"/>
    <w:pPr>
      <w:spacing w:after="815"/>
    </w:pPr>
    <w:rPr>
      <w:rFonts w:ascii="黑体" w:eastAsia="黑体" w:cs="Times New Roman"/>
      <w:color w:val="auto"/>
    </w:rPr>
  </w:style>
  <w:style w:type="paragraph" w:customStyle="1" w:styleId="2317">
    <w:name w:val="CM136"/>
    <w:basedOn w:val="150"/>
    <w:next w:val="150"/>
    <w:semiHidden/>
    <w:qFormat/>
    <w:uiPriority w:val="0"/>
    <w:pPr>
      <w:spacing w:after="393"/>
    </w:pPr>
    <w:rPr>
      <w:rFonts w:ascii="黑体" w:eastAsia="黑体" w:cs="Times New Roman"/>
      <w:color w:val="auto"/>
    </w:rPr>
  </w:style>
  <w:style w:type="paragraph" w:customStyle="1" w:styleId="2318">
    <w:name w:val="CM137"/>
    <w:basedOn w:val="150"/>
    <w:next w:val="150"/>
    <w:semiHidden/>
    <w:qFormat/>
    <w:uiPriority w:val="0"/>
    <w:pPr>
      <w:spacing w:after="190"/>
    </w:pPr>
    <w:rPr>
      <w:rFonts w:ascii="黑体" w:eastAsia="黑体" w:cs="Times New Roman"/>
      <w:color w:val="auto"/>
    </w:rPr>
  </w:style>
  <w:style w:type="paragraph" w:customStyle="1" w:styleId="2319">
    <w:name w:val="CM140"/>
    <w:basedOn w:val="150"/>
    <w:next w:val="150"/>
    <w:semiHidden/>
    <w:qFormat/>
    <w:uiPriority w:val="0"/>
    <w:pPr>
      <w:spacing w:after="720"/>
    </w:pPr>
    <w:rPr>
      <w:rFonts w:ascii="黑体" w:eastAsia="黑体" w:cs="Times New Roman"/>
      <w:color w:val="auto"/>
    </w:rPr>
  </w:style>
  <w:style w:type="paragraph" w:customStyle="1" w:styleId="2320">
    <w:name w:val="CM2"/>
    <w:basedOn w:val="150"/>
    <w:next w:val="150"/>
    <w:semiHidden/>
    <w:qFormat/>
    <w:uiPriority w:val="0"/>
    <w:pPr>
      <w:spacing w:line="478" w:lineRule="atLeast"/>
    </w:pPr>
    <w:rPr>
      <w:rFonts w:ascii="黑体" w:eastAsia="黑体" w:cs="Times New Roman"/>
      <w:color w:val="auto"/>
    </w:rPr>
  </w:style>
  <w:style w:type="paragraph" w:customStyle="1" w:styleId="2321">
    <w:name w:val="CM162"/>
    <w:basedOn w:val="150"/>
    <w:next w:val="150"/>
    <w:semiHidden/>
    <w:qFormat/>
    <w:uiPriority w:val="0"/>
    <w:pPr>
      <w:spacing w:after="893"/>
    </w:pPr>
    <w:rPr>
      <w:rFonts w:ascii="黑体" w:eastAsia="黑体" w:cs="Times New Roman"/>
      <w:color w:val="auto"/>
    </w:rPr>
  </w:style>
  <w:style w:type="paragraph" w:customStyle="1" w:styleId="2322">
    <w:name w:val="CM142"/>
    <w:basedOn w:val="150"/>
    <w:next w:val="150"/>
    <w:semiHidden/>
    <w:qFormat/>
    <w:uiPriority w:val="0"/>
    <w:pPr>
      <w:spacing w:after="497"/>
    </w:pPr>
    <w:rPr>
      <w:rFonts w:ascii="黑体" w:eastAsia="黑体" w:cs="Times New Roman"/>
      <w:color w:val="auto"/>
    </w:rPr>
  </w:style>
  <w:style w:type="paragraph" w:customStyle="1" w:styleId="2323">
    <w:name w:val="CM141"/>
    <w:basedOn w:val="150"/>
    <w:next w:val="150"/>
    <w:semiHidden/>
    <w:qFormat/>
    <w:uiPriority w:val="0"/>
    <w:pPr>
      <w:spacing w:after="270"/>
    </w:pPr>
    <w:rPr>
      <w:rFonts w:ascii="黑体" w:eastAsia="黑体" w:cs="Times New Roman"/>
      <w:color w:val="auto"/>
    </w:rPr>
  </w:style>
  <w:style w:type="paragraph" w:customStyle="1" w:styleId="2324">
    <w:name w:val="CM144"/>
    <w:basedOn w:val="150"/>
    <w:next w:val="150"/>
    <w:semiHidden/>
    <w:qFormat/>
    <w:uiPriority w:val="0"/>
    <w:pPr>
      <w:spacing w:after="78"/>
    </w:pPr>
    <w:rPr>
      <w:rFonts w:ascii="黑体" w:eastAsia="黑体" w:cs="Times New Roman"/>
      <w:color w:val="auto"/>
    </w:rPr>
  </w:style>
  <w:style w:type="paragraph" w:customStyle="1" w:styleId="2325">
    <w:name w:val="CM15"/>
    <w:basedOn w:val="150"/>
    <w:next w:val="150"/>
    <w:semiHidden/>
    <w:qFormat/>
    <w:uiPriority w:val="0"/>
    <w:pPr>
      <w:spacing w:line="468" w:lineRule="atLeast"/>
    </w:pPr>
    <w:rPr>
      <w:rFonts w:ascii="黑体" w:eastAsia="黑体" w:cs="Times New Roman"/>
      <w:color w:val="auto"/>
    </w:rPr>
  </w:style>
  <w:style w:type="paragraph" w:customStyle="1" w:styleId="2326">
    <w:name w:val="CM11"/>
    <w:basedOn w:val="150"/>
    <w:next w:val="150"/>
    <w:qFormat/>
    <w:uiPriority w:val="0"/>
    <w:pPr>
      <w:spacing w:line="468" w:lineRule="atLeast"/>
    </w:pPr>
    <w:rPr>
      <w:rFonts w:ascii="黑体" w:eastAsia="黑体" w:cs="Times New Roman"/>
      <w:color w:val="auto"/>
    </w:rPr>
  </w:style>
  <w:style w:type="paragraph" w:customStyle="1" w:styleId="2327">
    <w:name w:val="CM18"/>
    <w:basedOn w:val="150"/>
    <w:next w:val="150"/>
    <w:semiHidden/>
    <w:qFormat/>
    <w:uiPriority w:val="0"/>
    <w:pPr>
      <w:spacing w:line="468" w:lineRule="atLeast"/>
    </w:pPr>
    <w:rPr>
      <w:rFonts w:ascii="黑体" w:eastAsia="黑体" w:cs="Times New Roman"/>
      <w:color w:val="auto"/>
    </w:rPr>
  </w:style>
  <w:style w:type="paragraph" w:customStyle="1" w:styleId="2328">
    <w:name w:val="CM145"/>
    <w:basedOn w:val="150"/>
    <w:next w:val="150"/>
    <w:semiHidden/>
    <w:qFormat/>
    <w:uiPriority w:val="0"/>
    <w:pPr>
      <w:spacing w:after="638"/>
    </w:pPr>
    <w:rPr>
      <w:rFonts w:ascii="黑体" w:eastAsia="黑体" w:cs="Times New Roman"/>
      <w:color w:val="auto"/>
    </w:rPr>
  </w:style>
  <w:style w:type="paragraph" w:customStyle="1" w:styleId="2329">
    <w:name w:val="CM146"/>
    <w:basedOn w:val="150"/>
    <w:next w:val="150"/>
    <w:semiHidden/>
    <w:qFormat/>
    <w:uiPriority w:val="0"/>
    <w:pPr>
      <w:spacing w:after="473"/>
    </w:pPr>
    <w:rPr>
      <w:rFonts w:ascii="黑体" w:eastAsia="黑体" w:cs="Times New Roman"/>
      <w:color w:val="auto"/>
    </w:rPr>
  </w:style>
  <w:style w:type="paragraph" w:customStyle="1" w:styleId="2330">
    <w:name w:val="CM20"/>
    <w:basedOn w:val="150"/>
    <w:next w:val="150"/>
    <w:semiHidden/>
    <w:qFormat/>
    <w:uiPriority w:val="0"/>
    <w:pPr>
      <w:spacing w:line="466" w:lineRule="atLeast"/>
    </w:pPr>
    <w:rPr>
      <w:rFonts w:ascii="黑体" w:eastAsia="黑体" w:cs="Times New Roman"/>
      <w:color w:val="auto"/>
    </w:rPr>
  </w:style>
  <w:style w:type="paragraph" w:customStyle="1" w:styleId="2331">
    <w:name w:val="CM27"/>
    <w:basedOn w:val="150"/>
    <w:next w:val="150"/>
    <w:semiHidden/>
    <w:qFormat/>
    <w:uiPriority w:val="0"/>
    <w:pPr>
      <w:spacing w:line="468" w:lineRule="atLeast"/>
    </w:pPr>
    <w:rPr>
      <w:rFonts w:ascii="黑体" w:eastAsia="黑体" w:cs="Times New Roman"/>
      <w:color w:val="auto"/>
    </w:rPr>
  </w:style>
  <w:style w:type="paragraph" w:customStyle="1" w:styleId="2332">
    <w:name w:val="CM28"/>
    <w:basedOn w:val="150"/>
    <w:next w:val="150"/>
    <w:semiHidden/>
    <w:qFormat/>
    <w:uiPriority w:val="0"/>
    <w:pPr>
      <w:spacing w:line="468" w:lineRule="atLeast"/>
    </w:pPr>
    <w:rPr>
      <w:rFonts w:ascii="黑体" w:eastAsia="黑体" w:cs="Times New Roman"/>
      <w:color w:val="auto"/>
    </w:rPr>
  </w:style>
  <w:style w:type="paragraph" w:customStyle="1" w:styleId="2333">
    <w:name w:val="CM29"/>
    <w:basedOn w:val="150"/>
    <w:next w:val="150"/>
    <w:semiHidden/>
    <w:qFormat/>
    <w:uiPriority w:val="0"/>
    <w:pPr>
      <w:spacing w:line="468" w:lineRule="atLeast"/>
    </w:pPr>
    <w:rPr>
      <w:rFonts w:ascii="黑体" w:eastAsia="黑体" w:cs="Times New Roman"/>
      <w:color w:val="auto"/>
    </w:rPr>
  </w:style>
  <w:style w:type="paragraph" w:customStyle="1" w:styleId="2334">
    <w:name w:val="CM31"/>
    <w:basedOn w:val="150"/>
    <w:next w:val="150"/>
    <w:semiHidden/>
    <w:qFormat/>
    <w:uiPriority w:val="0"/>
    <w:pPr>
      <w:spacing w:line="533" w:lineRule="atLeast"/>
    </w:pPr>
    <w:rPr>
      <w:rFonts w:ascii="黑体" w:eastAsia="黑体" w:cs="Times New Roman"/>
      <w:color w:val="auto"/>
    </w:rPr>
  </w:style>
  <w:style w:type="paragraph" w:customStyle="1" w:styleId="2335">
    <w:name w:val="CM32"/>
    <w:basedOn w:val="150"/>
    <w:next w:val="150"/>
    <w:semiHidden/>
    <w:qFormat/>
    <w:uiPriority w:val="0"/>
    <w:pPr>
      <w:spacing w:line="456" w:lineRule="atLeast"/>
    </w:pPr>
    <w:rPr>
      <w:rFonts w:ascii="黑体" w:eastAsia="黑体" w:cs="Times New Roman"/>
      <w:color w:val="auto"/>
    </w:rPr>
  </w:style>
  <w:style w:type="paragraph" w:customStyle="1" w:styleId="2336">
    <w:name w:val="CM147"/>
    <w:basedOn w:val="150"/>
    <w:next w:val="150"/>
    <w:semiHidden/>
    <w:qFormat/>
    <w:uiPriority w:val="0"/>
    <w:pPr>
      <w:spacing w:after="1515"/>
    </w:pPr>
    <w:rPr>
      <w:rFonts w:ascii="黑体" w:eastAsia="黑体" w:cs="Times New Roman"/>
      <w:color w:val="auto"/>
    </w:rPr>
  </w:style>
  <w:style w:type="paragraph" w:customStyle="1" w:styleId="2337">
    <w:name w:val="CM143"/>
    <w:basedOn w:val="150"/>
    <w:next w:val="150"/>
    <w:semiHidden/>
    <w:qFormat/>
    <w:uiPriority w:val="0"/>
    <w:pPr>
      <w:spacing w:after="1043"/>
    </w:pPr>
    <w:rPr>
      <w:rFonts w:ascii="黑体" w:eastAsia="黑体" w:cs="Times New Roman"/>
      <w:color w:val="auto"/>
    </w:rPr>
  </w:style>
  <w:style w:type="paragraph" w:customStyle="1" w:styleId="2338">
    <w:name w:val="CM148"/>
    <w:basedOn w:val="150"/>
    <w:next w:val="150"/>
    <w:semiHidden/>
    <w:qFormat/>
    <w:uiPriority w:val="0"/>
    <w:pPr>
      <w:spacing w:after="140"/>
    </w:pPr>
    <w:rPr>
      <w:rFonts w:ascii="黑体" w:eastAsia="黑体" w:cs="Times New Roman"/>
      <w:color w:val="auto"/>
    </w:rPr>
  </w:style>
  <w:style w:type="paragraph" w:customStyle="1" w:styleId="2339">
    <w:name w:val="CM138"/>
    <w:basedOn w:val="150"/>
    <w:next w:val="150"/>
    <w:semiHidden/>
    <w:qFormat/>
    <w:uiPriority w:val="0"/>
    <w:pPr>
      <w:spacing w:after="553"/>
    </w:pPr>
    <w:rPr>
      <w:rFonts w:ascii="黑体" w:eastAsia="黑体" w:cs="Times New Roman"/>
      <w:color w:val="auto"/>
    </w:rPr>
  </w:style>
  <w:style w:type="paragraph" w:customStyle="1" w:styleId="2340">
    <w:name w:val="CM149"/>
    <w:basedOn w:val="150"/>
    <w:next w:val="150"/>
    <w:semiHidden/>
    <w:qFormat/>
    <w:uiPriority w:val="0"/>
    <w:pPr>
      <w:spacing w:after="5838"/>
    </w:pPr>
    <w:rPr>
      <w:rFonts w:ascii="黑体" w:eastAsia="黑体" w:cs="Times New Roman"/>
      <w:color w:val="auto"/>
    </w:rPr>
  </w:style>
  <w:style w:type="paragraph" w:customStyle="1" w:styleId="2341">
    <w:name w:val="CM33"/>
    <w:basedOn w:val="150"/>
    <w:next w:val="150"/>
    <w:semiHidden/>
    <w:qFormat/>
    <w:uiPriority w:val="0"/>
    <w:rPr>
      <w:rFonts w:ascii="黑体" w:eastAsia="黑体" w:cs="Times New Roman"/>
      <w:color w:val="auto"/>
    </w:rPr>
  </w:style>
  <w:style w:type="paragraph" w:customStyle="1" w:styleId="2342">
    <w:name w:val="CM34"/>
    <w:basedOn w:val="150"/>
    <w:next w:val="150"/>
    <w:semiHidden/>
    <w:qFormat/>
    <w:uiPriority w:val="0"/>
    <w:rPr>
      <w:rFonts w:ascii="黑体" w:eastAsia="黑体" w:cs="Times New Roman"/>
      <w:color w:val="auto"/>
    </w:rPr>
  </w:style>
  <w:style w:type="paragraph" w:customStyle="1" w:styleId="2343">
    <w:name w:val="CM35"/>
    <w:basedOn w:val="150"/>
    <w:next w:val="150"/>
    <w:semiHidden/>
    <w:qFormat/>
    <w:uiPriority w:val="0"/>
    <w:pPr>
      <w:spacing w:line="288" w:lineRule="atLeast"/>
    </w:pPr>
    <w:rPr>
      <w:rFonts w:ascii="黑体" w:eastAsia="黑体" w:cs="Times New Roman"/>
      <w:color w:val="auto"/>
    </w:rPr>
  </w:style>
  <w:style w:type="paragraph" w:customStyle="1" w:styleId="2344">
    <w:name w:val="CM150"/>
    <w:basedOn w:val="150"/>
    <w:next w:val="150"/>
    <w:semiHidden/>
    <w:qFormat/>
    <w:uiPriority w:val="0"/>
    <w:pPr>
      <w:spacing w:after="2050"/>
    </w:pPr>
    <w:rPr>
      <w:rFonts w:ascii="黑体" w:eastAsia="黑体" w:cs="Times New Roman"/>
      <w:color w:val="auto"/>
    </w:rPr>
  </w:style>
  <w:style w:type="paragraph" w:customStyle="1" w:styleId="2345">
    <w:name w:val="CM36"/>
    <w:basedOn w:val="150"/>
    <w:next w:val="150"/>
    <w:semiHidden/>
    <w:qFormat/>
    <w:uiPriority w:val="0"/>
    <w:pPr>
      <w:spacing w:line="468" w:lineRule="atLeast"/>
    </w:pPr>
    <w:rPr>
      <w:rFonts w:ascii="黑体" w:eastAsia="黑体" w:cs="Times New Roman"/>
      <w:color w:val="auto"/>
    </w:rPr>
  </w:style>
  <w:style w:type="paragraph" w:customStyle="1" w:styleId="2346">
    <w:name w:val="CM37"/>
    <w:basedOn w:val="150"/>
    <w:next w:val="150"/>
    <w:semiHidden/>
    <w:qFormat/>
    <w:uiPriority w:val="0"/>
    <w:pPr>
      <w:spacing w:line="478" w:lineRule="atLeast"/>
    </w:pPr>
    <w:rPr>
      <w:rFonts w:ascii="黑体" w:eastAsia="黑体" w:cs="Times New Roman"/>
      <w:color w:val="auto"/>
    </w:rPr>
  </w:style>
  <w:style w:type="paragraph" w:customStyle="1" w:styleId="2347">
    <w:name w:val="CM39"/>
    <w:basedOn w:val="150"/>
    <w:next w:val="150"/>
    <w:semiHidden/>
    <w:qFormat/>
    <w:uiPriority w:val="0"/>
    <w:pPr>
      <w:spacing w:line="468" w:lineRule="atLeast"/>
    </w:pPr>
    <w:rPr>
      <w:rFonts w:ascii="黑体" w:eastAsia="黑体" w:cs="Times New Roman"/>
      <w:color w:val="auto"/>
    </w:rPr>
  </w:style>
  <w:style w:type="paragraph" w:customStyle="1" w:styleId="2348">
    <w:name w:val="CM40"/>
    <w:basedOn w:val="150"/>
    <w:next w:val="150"/>
    <w:semiHidden/>
    <w:qFormat/>
    <w:uiPriority w:val="0"/>
    <w:rPr>
      <w:rFonts w:ascii="黑体" w:eastAsia="黑体" w:cs="Times New Roman"/>
      <w:color w:val="auto"/>
    </w:rPr>
  </w:style>
  <w:style w:type="paragraph" w:customStyle="1" w:styleId="2349">
    <w:name w:val="CM139"/>
    <w:basedOn w:val="150"/>
    <w:next w:val="150"/>
    <w:semiHidden/>
    <w:qFormat/>
    <w:uiPriority w:val="0"/>
    <w:pPr>
      <w:spacing w:after="953"/>
    </w:pPr>
    <w:rPr>
      <w:rFonts w:ascii="黑体" w:eastAsia="黑体" w:cs="Times New Roman"/>
      <w:color w:val="auto"/>
    </w:rPr>
  </w:style>
  <w:style w:type="paragraph" w:customStyle="1" w:styleId="2350">
    <w:name w:val="CM41"/>
    <w:basedOn w:val="150"/>
    <w:next w:val="150"/>
    <w:semiHidden/>
    <w:qFormat/>
    <w:uiPriority w:val="0"/>
    <w:pPr>
      <w:spacing w:line="480" w:lineRule="atLeast"/>
    </w:pPr>
    <w:rPr>
      <w:rFonts w:ascii="黑体" w:eastAsia="黑体" w:cs="Times New Roman"/>
      <w:color w:val="auto"/>
    </w:rPr>
  </w:style>
  <w:style w:type="paragraph" w:customStyle="1" w:styleId="2351">
    <w:name w:val="CM151"/>
    <w:basedOn w:val="150"/>
    <w:next w:val="150"/>
    <w:semiHidden/>
    <w:qFormat/>
    <w:uiPriority w:val="0"/>
    <w:pPr>
      <w:spacing w:after="1288"/>
    </w:pPr>
    <w:rPr>
      <w:rFonts w:ascii="黑体" w:eastAsia="黑体" w:cs="Times New Roman"/>
      <w:color w:val="auto"/>
    </w:rPr>
  </w:style>
  <w:style w:type="paragraph" w:customStyle="1" w:styleId="2352">
    <w:name w:val="CM42"/>
    <w:basedOn w:val="150"/>
    <w:next w:val="150"/>
    <w:semiHidden/>
    <w:qFormat/>
    <w:uiPriority w:val="0"/>
    <w:pPr>
      <w:spacing w:line="480" w:lineRule="atLeast"/>
    </w:pPr>
    <w:rPr>
      <w:rFonts w:ascii="黑体" w:eastAsia="黑体" w:cs="Times New Roman"/>
      <w:color w:val="auto"/>
    </w:rPr>
  </w:style>
  <w:style w:type="paragraph" w:customStyle="1" w:styleId="2353">
    <w:name w:val="CM43"/>
    <w:basedOn w:val="150"/>
    <w:next w:val="150"/>
    <w:semiHidden/>
    <w:qFormat/>
    <w:uiPriority w:val="0"/>
    <w:pPr>
      <w:spacing w:line="496" w:lineRule="atLeast"/>
    </w:pPr>
    <w:rPr>
      <w:rFonts w:ascii="黑体" w:eastAsia="黑体" w:cs="Times New Roman"/>
      <w:color w:val="auto"/>
    </w:rPr>
  </w:style>
  <w:style w:type="paragraph" w:customStyle="1" w:styleId="2354">
    <w:name w:val="CM44"/>
    <w:basedOn w:val="150"/>
    <w:next w:val="150"/>
    <w:semiHidden/>
    <w:qFormat/>
    <w:uiPriority w:val="0"/>
    <w:pPr>
      <w:spacing w:line="468" w:lineRule="atLeast"/>
    </w:pPr>
    <w:rPr>
      <w:rFonts w:ascii="黑体" w:eastAsia="黑体" w:cs="Times New Roman"/>
      <w:color w:val="auto"/>
    </w:rPr>
  </w:style>
  <w:style w:type="paragraph" w:customStyle="1" w:styleId="2355">
    <w:name w:val="CM47"/>
    <w:basedOn w:val="150"/>
    <w:next w:val="150"/>
    <w:semiHidden/>
    <w:qFormat/>
    <w:uiPriority w:val="0"/>
    <w:pPr>
      <w:spacing w:line="468" w:lineRule="atLeast"/>
    </w:pPr>
    <w:rPr>
      <w:rFonts w:ascii="黑体" w:eastAsia="黑体" w:cs="Times New Roman"/>
      <w:color w:val="auto"/>
    </w:rPr>
  </w:style>
  <w:style w:type="paragraph" w:customStyle="1" w:styleId="2356">
    <w:name w:val="CM48"/>
    <w:basedOn w:val="150"/>
    <w:next w:val="150"/>
    <w:semiHidden/>
    <w:qFormat/>
    <w:uiPriority w:val="0"/>
    <w:rPr>
      <w:rFonts w:ascii="黑体" w:eastAsia="黑体" w:cs="Times New Roman"/>
      <w:color w:val="auto"/>
    </w:rPr>
  </w:style>
  <w:style w:type="paragraph" w:customStyle="1" w:styleId="2357">
    <w:name w:val="CM152"/>
    <w:basedOn w:val="150"/>
    <w:next w:val="150"/>
    <w:semiHidden/>
    <w:qFormat/>
    <w:uiPriority w:val="0"/>
    <w:pPr>
      <w:spacing w:after="125"/>
    </w:pPr>
    <w:rPr>
      <w:rFonts w:ascii="黑体" w:eastAsia="黑体" w:cs="Times New Roman"/>
      <w:color w:val="auto"/>
    </w:rPr>
  </w:style>
  <w:style w:type="paragraph" w:customStyle="1" w:styleId="2358">
    <w:name w:val="CM49"/>
    <w:basedOn w:val="150"/>
    <w:next w:val="150"/>
    <w:semiHidden/>
    <w:qFormat/>
    <w:uiPriority w:val="0"/>
    <w:pPr>
      <w:spacing w:line="486" w:lineRule="atLeast"/>
    </w:pPr>
    <w:rPr>
      <w:rFonts w:ascii="黑体" w:eastAsia="黑体" w:cs="Times New Roman"/>
      <w:color w:val="auto"/>
    </w:rPr>
  </w:style>
  <w:style w:type="paragraph" w:customStyle="1" w:styleId="2359">
    <w:name w:val="CM50"/>
    <w:basedOn w:val="150"/>
    <w:next w:val="150"/>
    <w:qFormat/>
    <w:uiPriority w:val="0"/>
    <w:rPr>
      <w:rFonts w:ascii="黑体" w:eastAsia="黑体" w:cs="Times New Roman"/>
      <w:color w:val="auto"/>
    </w:rPr>
  </w:style>
  <w:style w:type="paragraph" w:customStyle="1" w:styleId="2360">
    <w:name w:val="CM51"/>
    <w:basedOn w:val="150"/>
    <w:next w:val="150"/>
    <w:semiHidden/>
    <w:qFormat/>
    <w:uiPriority w:val="0"/>
    <w:pPr>
      <w:spacing w:line="463" w:lineRule="atLeast"/>
    </w:pPr>
    <w:rPr>
      <w:rFonts w:ascii="黑体" w:eastAsia="黑体" w:cs="Times New Roman"/>
      <w:color w:val="auto"/>
    </w:rPr>
  </w:style>
  <w:style w:type="paragraph" w:customStyle="1" w:styleId="2361">
    <w:name w:val="CM52"/>
    <w:basedOn w:val="150"/>
    <w:next w:val="150"/>
    <w:semiHidden/>
    <w:qFormat/>
    <w:uiPriority w:val="0"/>
    <w:rPr>
      <w:rFonts w:ascii="黑体" w:eastAsia="黑体" w:cs="Times New Roman"/>
      <w:color w:val="auto"/>
    </w:rPr>
  </w:style>
  <w:style w:type="paragraph" w:customStyle="1" w:styleId="2362">
    <w:name w:val="CM53"/>
    <w:basedOn w:val="150"/>
    <w:next w:val="150"/>
    <w:qFormat/>
    <w:uiPriority w:val="0"/>
    <w:rPr>
      <w:rFonts w:ascii="黑体" w:eastAsia="黑体" w:cs="Times New Roman"/>
      <w:color w:val="auto"/>
    </w:rPr>
  </w:style>
  <w:style w:type="paragraph" w:customStyle="1" w:styleId="2363">
    <w:name w:val="CM54"/>
    <w:basedOn w:val="150"/>
    <w:next w:val="150"/>
    <w:semiHidden/>
    <w:qFormat/>
    <w:uiPriority w:val="0"/>
    <w:rPr>
      <w:rFonts w:ascii="黑体" w:eastAsia="黑体" w:cs="Times New Roman"/>
      <w:color w:val="auto"/>
    </w:rPr>
  </w:style>
  <w:style w:type="paragraph" w:customStyle="1" w:styleId="2364">
    <w:name w:val="CM56"/>
    <w:basedOn w:val="150"/>
    <w:next w:val="150"/>
    <w:semiHidden/>
    <w:qFormat/>
    <w:uiPriority w:val="0"/>
    <w:pPr>
      <w:spacing w:line="466" w:lineRule="atLeast"/>
    </w:pPr>
    <w:rPr>
      <w:rFonts w:ascii="黑体" w:eastAsia="黑体" w:cs="Times New Roman"/>
      <w:color w:val="auto"/>
    </w:rPr>
  </w:style>
  <w:style w:type="paragraph" w:customStyle="1" w:styleId="2365">
    <w:name w:val="CM57"/>
    <w:basedOn w:val="150"/>
    <w:next w:val="150"/>
    <w:semiHidden/>
    <w:qFormat/>
    <w:uiPriority w:val="0"/>
    <w:rPr>
      <w:rFonts w:ascii="黑体" w:eastAsia="黑体" w:cs="Times New Roman"/>
      <w:color w:val="auto"/>
    </w:rPr>
  </w:style>
  <w:style w:type="paragraph" w:customStyle="1" w:styleId="2366">
    <w:name w:val="CM154"/>
    <w:basedOn w:val="150"/>
    <w:next w:val="150"/>
    <w:semiHidden/>
    <w:qFormat/>
    <w:uiPriority w:val="0"/>
    <w:pPr>
      <w:spacing w:after="70"/>
    </w:pPr>
    <w:rPr>
      <w:rFonts w:ascii="黑体" w:eastAsia="黑体" w:cs="Times New Roman"/>
      <w:color w:val="auto"/>
    </w:rPr>
  </w:style>
  <w:style w:type="paragraph" w:customStyle="1" w:styleId="2367">
    <w:name w:val="CM155"/>
    <w:basedOn w:val="150"/>
    <w:next w:val="150"/>
    <w:semiHidden/>
    <w:qFormat/>
    <w:uiPriority w:val="0"/>
    <w:pPr>
      <w:spacing w:after="1173"/>
    </w:pPr>
    <w:rPr>
      <w:rFonts w:ascii="黑体" w:eastAsia="黑体" w:cs="Times New Roman"/>
      <w:color w:val="auto"/>
    </w:rPr>
  </w:style>
  <w:style w:type="paragraph" w:customStyle="1" w:styleId="2368">
    <w:name w:val="CM59"/>
    <w:basedOn w:val="150"/>
    <w:next w:val="150"/>
    <w:semiHidden/>
    <w:qFormat/>
    <w:uiPriority w:val="0"/>
    <w:pPr>
      <w:spacing w:line="468" w:lineRule="atLeast"/>
    </w:pPr>
    <w:rPr>
      <w:rFonts w:ascii="黑体" w:eastAsia="黑体" w:cs="Times New Roman"/>
      <w:color w:val="auto"/>
    </w:rPr>
  </w:style>
  <w:style w:type="paragraph" w:customStyle="1" w:styleId="2369">
    <w:name w:val="CM60"/>
    <w:basedOn w:val="150"/>
    <w:next w:val="150"/>
    <w:semiHidden/>
    <w:qFormat/>
    <w:uiPriority w:val="0"/>
    <w:pPr>
      <w:spacing w:line="468" w:lineRule="atLeast"/>
    </w:pPr>
    <w:rPr>
      <w:rFonts w:ascii="黑体" w:eastAsia="黑体" w:cs="Times New Roman"/>
      <w:color w:val="auto"/>
    </w:rPr>
  </w:style>
  <w:style w:type="paragraph" w:customStyle="1" w:styleId="2370">
    <w:name w:val="CM61"/>
    <w:basedOn w:val="150"/>
    <w:next w:val="150"/>
    <w:semiHidden/>
    <w:qFormat/>
    <w:uiPriority w:val="0"/>
    <w:pPr>
      <w:spacing w:line="463" w:lineRule="atLeast"/>
    </w:pPr>
    <w:rPr>
      <w:rFonts w:ascii="黑体" w:eastAsia="黑体" w:cs="Times New Roman"/>
      <w:color w:val="auto"/>
    </w:rPr>
  </w:style>
  <w:style w:type="paragraph" w:customStyle="1" w:styleId="2371">
    <w:name w:val="CM62"/>
    <w:basedOn w:val="150"/>
    <w:next w:val="150"/>
    <w:semiHidden/>
    <w:qFormat/>
    <w:uiPriority w:val="0"/>
    <w:rPr>
      <w:rFonts w:ascii="黑体" w:eastAsia="黑体" w:cs="Times New Roman"/>
      <w:color w:val="auto"/>
    </w:rPr>
  </w:style>
  <w:style w:type="paragraph" w:customStyle="1" w:styleId="2372">
    <w:name w:val="CM156"/>
    <w:basedOn w:val="150"/>
    <w:next w:val="150"/>
    <w:semiHidden/>
    <w:qFormat/>
    <w:uiPriority w:val="0"/>
    <w:pPr>
      <w:spacing w:after="315"/>
    </w:pPr>
    <w:rPr>
      <w:rFonts w:ascii="黑体" w:eastAsia="黑体" w:cs="Times New Roman"/>
      <w:color w:val="auto"/>
    </w:rPr>
  </w:style>
  <w:style w:type="paragraph" w:customStyle="1" w:styleId="2373">
    <w:name w:val="CM157"/>
    <w:basedOn w:val="150"/>
    <w:next w:val="150"/>
    <w:semiHidden/>
    <w:qFormat/>
    <w:uiPriority w:val="0"/>
    <w:pPr>
      <w:spacing w:after="420"/>
    </w:pPr>
    <w:rPr>
      <w:rFonts w:ascii="黑体" w:eastAsia="黑体" w:cs="Times New Roman"/>
      <w:color w:val="auto"/>
    </w:rPr>
  </w:style>
  <w:style w:type="paragraph" w:customStyle="1" w:styleId="2374">
    <w:name w:val="CM153"/>
    <w:basedOn w:val="150"/>
    <w:next w:val="150"/>
    <w:semiHidden/>
    <w:qFormat/>
    <w:uiPriority w:val="0"/>
    <w:pPr>
      <w:spacing w:after="338"/>
    </w:pPr>
    <w:rPr>
      <w:rFonts w:ascii="黑体" w:eastAsia="黑体" w:cs="Times New Roman"/>
      <w:color w:val="auto"/>
    </w:rPr>
  </w:style>
  <w:style w:type="paragraph" w:customStyle="1" w:styleId="2375">
    <w:name w:val="CM158"/>
    <w:basedOn w:val="150"/>
    <w:next w:val="150"/>
    <w:semiHidden/>
    <w:qFormat/>
    <w:uiPriority w:val="0"/>
    <w:pPr>
      <w:spacing w:after="1813"/>
    </w:pPr>
    <w:rPr>
      <w:rFonts w:ascii="黑体" w:eastAsia="黑体" w:cs="Times New Roman"/>
      <w:color w:val="auto"/>
    </w:rPr>
  </w:style>
  <w:style w:type="paragraph" w:customStyle="1" w:styleId="2376">
    <w:name w:val="CM65"/>
    <w:basedOn w:val="150"/>
    <w:next w:val="150"/>
    <w:semiHidden/>
    <w:qFormat/>
    <w:uiPriority w:val="0"/>
    <w:rPr>
      <w:rFonts w:ascii="黑体" w:eastAsia="黑体" w:cs="Times New Roman"/>
      <w:color w:val="auto"/>
    </w:rPr>
  </w:style>
  <w:style w:type="paragraph" w:customStyle="1" w:styleId="2377">
    <w:name w:val="CM159"/>
    <w:basedOn w:val="150"/>
    <w:next w:val="150"/>
    <w:semiHidden/>
    <w:qFormat/>
    <w:uiPriority w:val="0"/>
    <w:pPr>
      <w:spacing w:after="1338"/>
    </w:pPr>
    <w:rPr>
      <w:rFonts w:ascii="黑体" w:eastAsia="黑体" w:cs="Times New Roman"/>
      <w:color w:val="auto"/>
    </w:rPr>
  </w:style>
  <w:style w:type="paragraph" w:customStyle="1" w:styleId="2378">
    <w:name w:val="CM66"/>
    <w:basedOn w:val="150"/>
    <w:next w:val="150"/>
    <w:semiHidden/>
    <w:qFormat/>
    <w:uiPriority w:val="0"/>
    <w:pPr>
      <w:spacing w:line="463" w:lineRule="atLeast"/>
    </w:pPr>
    <w:rPr>
      <w:rFonts w:ascii="黑体" w:eastAsia="黑体" w:cs="Times New Roman"/>
      <w:color w:val="auto"/>
    </w:rPr>
  </w:style>
  <w:style w:type="paragraph" w:customStyle="1" w:styleId="2379">
    <w:name w:val="CM67"/>
    <w:basedOn w:val="150"/>
    <w:next w:val="150"/>
    <w:semiHidden/>
    <w:qFormat/>
    <w:uiPriority w:val="0"/>
    <w:pPr>
      <w:spacing w:line="466" w:lineRule="atLeast"/>
    </w:pPr>
    <w:rPr>
      <w:rFonts w:ascii="黑体" w:eastAsia="黑体" w:cs="Times New Roman"/>
      <w:color w:val="auto"/>
    </w:rPr>
  </w:style>
  <w:style w:type="paragraph" w:customStyle="1" w:styleId="2380">
    <w:name w:val="CM70"/>
    <w:basedOn w:val="150"/>
    <w:next w:val="150"/>
    <w:semiHidden/>
    <w:qFormat/>
    <w:uiPriority w:val="0"/>
    <w:rPr>
      <w:rFonts w:ascii="黑体" w:eastAsia="黑体" w:cs="Times New Roman"/>
      <w:color w:val="auto"/>
    </w:rPr>
  </w:style>
  <w:style w:type="paragraph" w:customStyle="1" w:styleId="2381">
    <w:name w:val="CM75"/>
    <w:basedOn w:val="150"/>
    <w:next w:val="150"/>
    <w:semiHidden/>
    <w:qFormat/>
    <w:uiPriority w:val="0"/>
    <w:pPr>
      <w:spacing w:line="456" w:lineRule="atLeast"/>
    </w:pPr>
    <w:rPr>
      <w:rFonts w:ascii="黑体" w:eastAsia="黑体" w:cs="Times New Roman"/>
      <w:color w:val="auto"/>
    </w:rPr>
  </w:style>
  <w:style w:type="paragraph" w:customStyle="1" w:styleId="2382">
    <w:name w:val="CM76"/>
    <w:basedOn w:val="150"/>
    <w:next w:val="150"/>
    <w:semiHidden/>
    <w:qFormat/>
    <w:uiPriority w:val="0"/>
    <w:pPr>
      <w:spacing w:line="483" w:lineRule="atLeast"/>
    </w:pPr>
    <w:rPr>
      <w:rFonts w:ascii="黑体" w:eastAsia="黑体" w:cs="Times New Roman"/>
      <w:color w:val="auto"/>
    </w:rPr>
  </w:style>
  <w:style w:type="paragraph" w:customStyle="1" w:styleId="2383">
    <w:name w:val="CM77"/>
    <w:basedOn w:val="150"/>
    <w:next w:val="150"/>
    <w:semiHidden/>
    <w:qFormat/>
    <w:uiPriority w:val="0"/>
    <w:pPr>
      <w:spacing w:line="468" w:lineRule="atLeast"/>
    </w:pPr>
    <w:rPr>
      <w:rFonts w:ascii="黑体" w:eastAsia="黑体" w:cs="Times New Roman"/>
      <w:color w:val="auto"/>
    </w:rPr>
  </w:style>
  <w:style w:type="paragraph" w:customStyle="1" w:styleId="2384">
    <w:name w:val="CM78"/>
    <w:basedOn w:val="150"/>
    <w:next w:val="150"/>
    <w:semiHidden/>
    <w:qFormat/>
    <w:uiPriority w:val="0"/>
    <w:rPr>
      <w:rFonts w:ascii="黑体" w:eastAsia="黑体" w:cs="Times New Roman"/>
      <w:color w:val="auto"/>
    </w:rPr>
  </w:style>
  <w:style w:type="paragraph" w:customStyle="1" w:styleId="2385">
    <w:name w:val="CM79"/>
    <w:basedOn w:val="150"/>
    <w:next w:val="150"/>
    <w:semiHidden/>
    <w:qFormat/>
    <w:uiPriority w:val="0"/>
    <w:rPr>
      <w:rFonts w:ascii="黑体" w:eastAsia="黑体" w:cs="Times New Roman"/>
      <w:color w:val="auto"/>
    </w:rPr>
  </w:style>
  <w:style w:type="paragraph" w:customStyle="1" w:styleId="2386">
    <w:name w:val="CM80"/>
    <w:basedOn w:val="150"/>
    <w:next w:val="150"/>
    <w:semiHidden/>
    <w:qFormat/>
    <w:uiPriority w:val="0"/>
    <w:rPr>
      <w:rFonts w:ascii="黑体" w:eastAsia="黑体" w:cs="Times New Roman"/>
      <w:color w:val="auto"/>
    </w:rPr>
  </w:style>
  <w:style w:type="paragraph" w:customStyle="1" w:styleId="2387">
    <w:name w:val="CM81"/>
    <w:basedOn w:val="150"/>
    <w:next w:val="150"/>
    <w:semiHidden/>
    <w:qFormat/>
    <w:uiPriority w:val="0"/>
    <w:rPr>
      <w:rFonts w:ascii="黑体" w:eastAsia="黑体" w:cs="Times New Roman"/>
      <w:color w:val="auto"/>
    </w:rPr>
  </w:style>
  <w:style w:type="paragraph" w:customStyle="1" w:styleId="2388">
    <w:name w:val="CM82"/>
    <w:basedOn w:val="150"/>
    <w:next w:val="150"/>
    <w:semiHidden/>
    <w:qFormat/>
    <w:uiPriority w:val="0"/>
    <w:rPr>
      <w:rFonts w:ascii="黑体" w:eastAsia="黑体" w:cs="Times New Roman"/>
      <w:color w:val="auto"/>
    </w:rPr>
  </w:style>
  <w:style w:type="paragraph" w:customStyle="1" w:styleId="2389">
    <w:name w:val="CM83"/>
    <w:basedOn w:val="150"/>
    <w:next w:val="150"/>
    <w:semiHidden/>
    <w:qFormat/>
    <w:uiPriority w:val="0"/>
    <w:rPr>
      <w:rFonts w:ascii="黑体" w:eastAsia="黑体" w:cs="Times New Roman"/>
      <w:color w:val="auto"/>
    </w:rPr>
  </w:style>
  <w:style w:type="paragraph" w:customStyle="1" w:styleId="2390">
    <w:name w:val="CM84"/>
    <w:basedOn w:val="150"/>
    <w:next w:val="150"/>
    <w:semiHidden/>
    <w:qFormat/>
    <w:uiPriority w:val="0"/>
    <w:rPr>
      <w:rFonts w:ascii="黑体" w:eastAsia="黑体" w:cs="Times New Roman"/>
      <w:color w:val="auto"/>
    </w:rPr>
  </w:style>
  <w:style w:type="paragraph" w:customStyle="1" w:styleId="2391">
    <w:name w:val="CM85"/>
    <w:basedOn w:val="150"/>
    <w:next w:val="150"/>
    <w:semiHidden/>
    <w:qFormat/>
    <w:uiPriority w:val="0"/>
    <w:rPr>
      <w:rFonts w:ascii="黑体" w:eastAsia="黑体" w:cs="Times New Roman"/>
      <w:color w:val="auto"/>
    </w:rPr>
  </w:style>
  <w:style w:type="paragraph" w:customStyle="1" w:styleId="2392">
    <w:name w:val="CM86"/>
    <w:basedOn w:val="150"/>
    <w:next w:val="150"/>
    <w:semiHidden/>
    <w:qFormat/>
    <w:uiPriority w:val="0"/>
    <w:rPr>
      <w:rFonts w:ascii="黑体" w:eastAsia="黑体" w:cs="Times New Roman"/>
      <w:color w:val="auto"/>
    </w:rPr>
  </w:style>
  <w:style w:type="paragraph" w:customStyle="1" w:styleId="2393">
    <w:name w:val="CM88"/>
    <w:basedOn w:val="150"/>
    <w:next w:val="150"/>
    <w:semiHidden/>
    <w:qFormat/>
    <w:uiPriority w:val="0"/>
    <w:rPr>
      <w:rFonts w:ascii="黑体" w:eastAsia="黑体" w:cs="Times New Roman"/>
      <w:color w:val="auto"/>
    </w:rPr>
  </w:style>
  <w:style w:type="paragraph" w:customStyle="1" w:styleId="2394">
    <w:name w:val="CM89"/>
    <w:basedOn w:val="150"/>
    <w:next w:val="150"/>
    <w:semiHidden/>
    <w:qFormat/>
    <w:uiPriority w:val="0"/>
    <w:rPr>
      <w:rFonts w:ascii="黑体" w:eastAsia="黑体" w:cs="Times New Roman"/>
      <w:color w:val="auto"/>
    </w:rPr>
  </w:style>
  <w:style w:type="paragraph" w:customStyle="1" w:styleId="2395">
    <w:name w:val="CM90"/>
    <w:basedOn w:val="150"/>
    <w:next w:val="150"/>
    <w:semiHidden/>
    <w:qFormat/>
    <w:uiPriority w:val="0"/>
    <w:rPr>
      <w:rFonts w:ascii="黑体" w:eastAsia="黑体" w:cs="Times New Roman"/>
      <w:color w:val="auto"/>
    </w:rPr>
  </w:style>
  <w:style w:type="paragraph" w:customStyle="1" w:styleId="2396">
    <w:name w:val="CM91"/>
    <w:basedOn w:val="150"/>
    <w:next w:val="150"/>
    <w:semiHidden/>
    <w:qFormat/>
    <w:uiPriority w:val="0"/>
    <w:rPr>
      <w:rFonts w:ascii="黑体" w:eastAsia="黑体" w:cs="Times New Roman"/>
      <w:color w:val="auto"/>
    </w:rPr>
  </w:style>
  <w:style w:type="paragraph" w:customStyle="1" w:styleId="2397">
    <w:name w:val="CM92"/>
    <w:basedOn w:val="150"/>
    <w:next w:val="150"/>
    <w:semiHidden/>
    <w:qFormat/>
    <w:uiPriority w:val="0"/>
    <w:rPr>
      <w:rFonts w:ascii="黑体" w:eastAsia="黑体" w:cs="Times New Roman"/>
      <w:color w:val="auto"/>
    </w:rPr>
  </w:style>
  <w:style w:type="paragraph" w:customStyle="1" w:styleId="2398">
    <w:name w:val="CM160"/>
    <w:basedOn w:val="150"/>
    <w:next w:val="150"/>
    <w:semiHidden/>
    <w:qFormat/>
    <w:uiPriority w:val="0"/>
    <w:pPr>
      <w:spacing w:after="210"/>
    </w:pPr>
    <w:rPr>
      <w:rFonts w:ascii="黑体" w:eastAsia="黑体" w:cs="Times New Roman"/>
      <w:color w:val="auto"/>
    </w:rPr>
  </w:style>
  <w:style w:type="paragraph" w:customStyle="1" w:styleId="2399">
    <w:name w:val="CM161"/>
    <w:basedOn w:val="150"/>
    <w:next w:val="150"/>
    <w:semiHidden/>
    <w:qFormat/>
    <w:uiPriority w:val="0"/>
    <w:pPr>
      <w:spacing w:after="1650"/>
    </w:pPr>
    <w:rPr>
      <w:rFonts w:ascii="黑体" w:eastAsia="黑体" w:cs="Times New Roman"/>
      <w:color w:val="auto"/>
    </w:rPr>
  </w:style>
  <w:style w:type="paragraph" w:customStyle="1" w:styleId="2400">
    <w:name w:val="CM93"/>
    <w:basedOn w:val="150"/>
    <w:next w:val="150"/>
    <w:semiHidden/>
    <w:qFormat/>
    <w:uiPriority w:val="0"/>
    <w:rPr>
      <w:rFonts w:ascii="黑体" w:eastAsia="黑体" w:cs="Times New Roman"/>
      <w:color w:val="auto"/>
    </w:rPr>
  </w:style>
  <w:style w:type="paragraph" w:customStyle="1" w:styleId="2401">
    <w:name w:val="CM94"/>
    <w:basedOn w:val="150"/>
    <w:next w:val="150"/>
    <w:semiHidden/>
    <w:qFormat/>
    <w:uiPriority w:val="0"/>
    <w:rPr>
      <w:rFonts w:ascii="黑体" w:eastAsia="黑体" w:cs="Times New Roman"/>
      <w:color w:val="auto"/>
    </w:rPr>
  </w:style>
  <w:style w:type="paragraph" w:customStyle="1" w:styleId="2402">
    <w:name w:val="CM95"/>
    <w:basedOn w:val="150"/>
    <w:next w:val="150"/>
    <w:semiHidden/>
    <w:qFormat/>
    <w:uiPriority w:val="0"/>
    <w:pPr>
      <w:spacing w:line="313" w:lineRule="atLeast"/>
    </w:pPr>
    <w:rPr>
      <w:rFonts w:ascii="黑体" w:eastAsia="黑体" w:cs="Times New Roman"/>
      <w:color w:val="auto"/>
    </w:rPr>
  </w:style>
  <w:style w:type="paragraph" w:customStyle="1" w:styleId="2403">
    <w:name w:val="CM96"/>
    <w:basedOn w:val="150"/>
    <w:next w:val="150"/>
    <w:semiHidden/>
    <w:qFormat/>
    <w:uiPriority w:val="0"/>
    <w:rPr>
      <w:rFonts w:ascii="黑体" w:eastAsia="黑体" w:cs="Times New Roman"/>
      <w:color w:val="auto"/>
    </w:rPr>
  </w:style>
  <w:style w:type="paragraph" w:customStyle="1" w:styleId="2404">
    <w:name w:val="CM97"/>
    <w:basedOn w:val="150"/>
    <w:next w:val="150"/>
    <w:semiHidden/>
    <w:qFormat/>
    <w:uiPriority w:val="0"/>
    <w:pPr>
      <w:spacing w:line="456" w:lineRule="atLeast"/>
    </w:pPr>
    <w:rPr>
      <w:rFonts w:ascii="黑体" w:eastAsia="黑体" w:cs="Times New Roman"/>
      <w:color w:val="auto"/>
    </w:rPr>
  </w:style>
  <w:style w:type="paragraph" w:customStyle="1" w:styleId="2405">
    <w:name w:val="CM98"/>
    <w:basedOn w:val="150"/>
    <w:next w:val="150"/>
    <w:semiHidden/>
    <w:qFormat/>
    <w:uiPriority w:val="0"/>
    <w:pPr>
      <w:spacing w:line="151" w:lineRule="atLeast"/>
    </w:pPr>
    <w:rPr>
      <w:rFonts w:ascii="黑体" w:eastAsia="黑体" w:cs="Times New Roman"/>
      <w:color w:val="auto"/>
    </w:rPr>
  </w:style>
  <w:style w:type="paragraph" w:customStyle="1" w:styleId="2406">
    <w:name w:val="CM99"/>
    <w:basedOn w:val="150"/>
    <w:next w:val="150"/>
    <w:semiHidden/>
    <w:qFormat/>
    <w:uiPriority w:val="0"/>
    <w:pPr>
      <w:spacing w:line="506" w:lineRule="atLeast"/>
    </w:pPr>
    <w:rPr>
      <w:rFonts w:ascii="黑体" w:eastAsia="黑体" w:cs="Times New Roman"/>
      <w:color w:val="auto"/>
    </w:rPr>
  </w:style>
  <w:style w:type="paragraph" w:customStyle="1" w:styleId="2407">
    <w:name w:val="CM102"/>
    <w:basedOn w:val="150"/>
    <w:next w:val="150"/>
    <w:semiHidden/>
    <w:qFormat/>
    <w:uiPriority w:val="0"/>
    <w:pPr>
      <w:spacing w:line="506" w:lineRule="atLeast"/>
    </w:pPr>
    <w:rPr>
      <w:rFonts w:ascii="黑体" w:eastAsia="黑体" w:cs="Times New Roman"/>
      <w:color w:val="auto"/>
    </w:rPr>
  </w:style>
  <w:style w:type="paragraph" w:customStyle="1" w:styleId="2408">
    <w:name w:val="CM103"/>
    <w:basedOn w:val="150"/>
    <w:next w:val="150"/>
    <w:semiHidden/>
    <w:qFormat/>
    <w:uiPriority w:val="0"/>
    <w:pPr>
      <w:spacing w:line="508" w:lineRule="atLeast"/>
    </w:pPr>
    <w:rPr>
      <w:rFonts w:ascii="黑体" w:eastAsia="黑体" w:cs="Times New Roman"/>
      <w:color w:val="auto"/>
    </w:rPr>
  </w:style>
  <w:style w:type="paragraph" w:customStyle="1" w:styleId="2409">
    <w:name w:val="CM163"/>
    <w:basedOn w:val="150"/>
    <w:next w:val="150"/>
    <w:semiHidden/>
    <w:qFormat/>
    <w:uiPriority w:val="0"/>
    <w:pPr>
      <w:spacing w:after="2548"/>
    </w:pPr>
    <w:rPr>
      <w:rFonts w:ascii="黑体" w:eastAsia="黑体" w:cs="Times New Roman"/>
      <w:color w:val="auto"/>
    </w:rPr>
  </w:style>
  <w:style w:type="paragraph" w:customStyle="1" w:styleId="2410">
    <w:name w:val="CM164"/>
    <w:basedOn w:val="150"/>
    <w:next w:val="150"/>
    <w:semiHidden/>
    <w:qFormat/>
    <w:uiPriority w:val="0"/>
    <w:pPr>
      <w:spacing w:after="1108"/>
    </w:pPr>
    <w:rPr>
      <w:rFonts w:ascii="黑体" w:eastAsia="黑体" w:cs="Times New Roman"/>
      <w:color w:val="auto"/>
    </w:rPr>
  </w:style>
  <w:style w:type="paragraph" w:customStyle="1" w:styleId="2411">
    <w:name w:val="CM104"/>
    <w:basedOn w:val="150"/>
    <w:next w:val="150"/>
    <w:semiHidden/>
    <w:qFormat/>
    <w:uiPriority w:val="0"/>
    <w:pPr>
      <w:spacing w:line="506" w:lineRule="atLeast"/>
    </w:pPr>
    <w:rPr>
      <w:rFonts w:ascii="黑体" w:eastAsia="黑体" w:cs="Times New Roman"/>
      <w:color w:val="auto"/>
    </w:rPr>
  </w:style>
  <w:style w:type="paragraph" w:customStyle="1" w:styleId="2412">
    <w:name w:val="CM165"/>
    <w:basedOn w:val="150"/>
    <w:next w:val="150"/>
    <w:semiHidden/>
    <w:qFormat/>
    <w:uiPriority w:val="0"/>
    <w:pPr>
      <w:spacing w:after="2625"/>
    </w:pPr>
    <w:rPr>
      <w:rFonts w:ascii="黑体" w:eastAsia="黑体" w:cs="Times New Roman"/>
      <w:color w:val="auto"/>
    </w:rPr>
  </w:style>
  <w:style w:type="paragraph" w:customStyle="1" w:styleId="2413">
    <w:name w:val="CM105"/>
    <w:basedOn w:val="150"/>
    <w:next w:val="150"/>
    <w:semiHidden/>
    <w:qFormat/>
    <w:uiPriority w:val="0"/>
    <w:pPr>
      <w:spacing w:line="233" w:lineRule="atLeast"/>
    </w:pPr>
    <w:rPr>
      <w:rFonts w:ascii="黑体" w:eastAsia="黑体" w:cs="Times New Roman"/>
      <w:color w:val="auto"/>
    </w:rPr>
  </w:style>
  <w:style w:type="paragraph" w:customStyle="1" w:styleId="2414">
    <w:name w:val="CM106"/>
    <w:basedOn w:val="150"/>
    <w:next w:val="150"/>
    <w:semiHidden/>
    <w:qFormat/>
    <w:uiPriority w:val="0"/>
    <w:rPr>
      <w:rFonts w:ascii="黑体" w:eastAsia="黑体" w:cs="Times New Roman"/>
      <w:color w:val="auto"/>
    </w:rPr>
  </w:style>
  <w:style w:type="paragraph" w:customStyle="1" w:styleId="2415">
    <w:name w:val="CM108"/>
    <w:basedOn w:val="150"/>
    <w:next w:val="150"/>
    <w:semiHidden/>
    <w:qFormat/>
    <w:uiPriority w:val="0"/>
    <w:pPr>
      <w:spacing w:line="468" w:lineRule="atLeast"/>
    </w:pPr>
    <w:rPr>
      <w:rFonts w:ascii="黑体" w:eastAsia="黑体" w:cs="Times New Roman"/>
      <w:color w:val="auto"/>
    </w:rPr>
  </w:style>
  <w:style w:type="paragraph" w:customStyle="1" w:styleId="2416">
    <w:name w:val="CM109"/>
    <w:basedOn w:val="150"/>
    <w:next w:val="150"/>
    <w:semiHidden/>
    <w:qFormat/>
    <w:uiPriority w:val="0"/>
    <w:pPr>
      <w:spacing w:line="488" w:lineRule="atLeast"/>
    </w:pPr>
    <w:rPr>
      <w:rFonts w:ascii="黑体" w:eastAsia="黑体" w:cs="Times New Roman"/>
      <w:color w:val="auto"/>
    </w:rPr>
  </w:style>
  <w:style w:type="paragraph" w:customStyle="1" w:styleId="2417">
    <w:name w:val="CM110"/>
    <w:basedOn w:val="150"/>
    <w:next w:val="150"/>
    <w:semiHidden/>
    <w:qFormat/>
    <w:uiPriority w:val="0"/>
    <w:pPr>
      <w:spacing w:line="468" w:lineRule="atLeast"/>
    </w:pPr>
    <w:rPr>
      <w:rFonts w:ascii="黑体" w:eastAsia="黑体" w:cs="Times New Roman"/>
      <w:color w:val="auto"/>
    </w:rPr>
  </w:style>
  <w:style w:type="paragraph" w:customStyle="1" w:styleId="2418">
    <w:name w:val="CM113"/>
    <w:basedOn w:val="150"/>
    <w:next w:val="150"/>
    <w:semiHidden/>
    <w:qFormat/>
    <w:uiPriority w:val="0"/>
    <w:rPr>
      <w:rFonts w:ascii="黑体" w:eastAsia="黑体" w:cs="Times New Roman"/>
      <w:color w:val="auto"/>
    </w:rPr>
  </w:style>
  <w:style w:type="paragraph" w:customStyle="1" w:styleId="2419">
    <w:name w:val="CM114"/>
    <w:basedOn w:val="150"/>
    <w:next w:val="150"/>
    <w:semiHidden/>
    <w:qFormat/>
    <w:uiPriority w:val="0"/>
    <w:pPr>
      <w:spacing w:line="468" w:lineRule="atLeast"/>
    </w:pPr>
    <w:rPr>
      <w:rFonts w:ascii="黑体" w:eastAsia="黑体" w:cs="Times New Roman"/>
      <w:color w:val="auto"/>
    </w:rPr>
  </w:style>
  <w:style w:type="paragraph" w:customStyle="1" w:styleId="2420">
    <w:name w:val="CM122"/>
    <w:basedOn w:val="150"/>
    <w:next w:val="150"/>
    <w:semiHidden/>
    <w:qFormat/>
    <w:uiPriority w:val="0"/>
    <w:pPr>
      <w:spacing w:line="478" w:lineRule="atLeast"/>
    </w:pPr>
    <w:rPr>
      <w:rFonts w:ascii="黑体" w:eastAsia="黑体" w:cs="Times New Roman"/>
      <w:color w:val="auto"/>
    </w:rPr>
  </w:style>
  <w:style w:type="paragraph" w:customStyle="1" w:styleId="2421">
    <w:name w:val="CM124"/>
    <w:basedOn w:val="150"/>
    <w:next w:val="150"/>
    <w:semiHidden/>
    <w:qFormat/>
    <w:uiPriority w:val="0"/>
    <w:rPr>
      <w:rFonts w:ascii="黑体" w:eastAsia="黑体" w:cs="Times New Roman"/>
      <w:color w:val="auto"/>
    </w:rPr>
  </w:style>
  <w:style w:type="paragraph" w:customStyle="1" w:styleId="2422">
    <w:name w:val="CM72"/>
    <w:basedOn w:val="150"/>
    <w:next w:val="150"/>
    <w:semiHidden/>
    <w:qFormat/>
    <w:uiPriority w:val="0"/>
    <w:pPr>
      <w:spacing w:line="468" w:lineRule="atLeast"/>
    </w:pPr>
    <w:rPr>
      <w:rFonts w:ascii="黑体" w:eastAsia="黑体" w:cs="Times New Roman"/>
      <w:color w:val="auto"/>
    </w:rPr>
  </w:style>
  <w:style w:type="paragraph" w:customStyle="1" w:styleId="2423">
    <w:name w:val="CM166"/>
    <w:basedOn w:val="150"/>
    <w:next w:val="150"/>
    <w:semiHidden/>
    <w:qFormat/>
    <w:uiPriority w:val="0"/>
    <w:pPr>
      <w:spacing w:after="10073"/>
    </w:pPr>
    <w:rPr>
      <w:rFonts w:ascii="黑体" w:eastAsia="黑体" w:cs="Times New Roman"/>
      <w:color w:val="auto"/>
    </w:rPr>
  </w:style>
  <w:style w:type="paragraph" w:customStyle="1" w:styleId="2424">
    <w:name w:val="正文lly"/>
    <w:next w:val="1"/>
    <w:link w:val="2459"/>
    <w:semiHidden/>
    <w:qFormat/>
    <w:uiPriority w:val="0"/>
    <w:pPr>
      <w:jc w:val="center"/>
    </w:pPr>
    <w:rPr>
      <w:rFonts w:ascii="Times New Roman" w:hAnsi="Times New Roman" w:eastAsia="宋体" w:cs="Times New Roman"/>
      <w:bCs/>
      <w:kern w:val="2"/>
      <w:sz w:val="24"/>
      <w:szCs w:val="21"/>
      <w:lang w:val="en-US" w:eastAsia="zh-CN" w:bidi="ar-SA"/>
    </w:rPr>
  </w:style>
  <w:style w:type="character" w:customStyle="1" w:styleId="2425">
    <w:name w:val="search_content1"/>
    <w:qFormat/>
    <w:uiPriority w:val="0"/>
    <w:rPr>
      <w:sz w:val="20"/>
      <w:szCs w:val="20"/>
    </w:rPr>
  </w:style>
  <w:style w:type="character" w:customStyle="1" w:styleId="2426">
    <w:name w:val="style25"/>
    <w:basedOn w:val="132"/>
    <w:qFormat/>
    <w:uiPriority w:val="0"/>
  </w:style>
  <w:style w:type="paragraph" w:customStyle="1" w:styleId="2427">
    <w:name w:val="样式 标题 2节标题节second classSeH2H21标题 2XW标题 2 Char标题 2 Char ..."/>
    <w:basedOn w:val="4"/>
    <w:next w:val="4"/>
    <w:semiHidden/>
    <w:qFormat/>
    <w:uiPriority w:val="0"/>
    <w:pPr>
      <w:numPr>
        <w:ilvl w:val="0"/>
        <w:numId w:val="0"/>
      </w:numPr>
      <w:tabs>
        <w:tab w:val="clear" w:pos="480"/>
        <w:tab w:val="clear" w:pos="630"/>
      </w:tabs>
      <w:spacing w:before="120" w:line="600" w:lineRule="exact"/>
    </w:pPr>
    <w:rPr>
      <w:bCs w:val="0"/>
      <w:spacing w:val="4"/>
      <w:sz w:val="30"/>
      <w:szCs w:val="20"/>
    </w:rPr>
  </w:style>
  <w:style w:type="paragraph" w:customStyle="1" w:styleId="2428">
    <w:name w:val="表格标题TTT"/>
    <w:basedOn w:val="204"/>
    <w:semiHidden/>
    <w:qFormat/>
    <w:uiPriority w:val="0"/>
    <w:pPr>
      <w:spacing w:line="240" w:lineRule="auto"/>
      <w:ind w:firstLine="0"/>
      <w:jc w:val="center"/>
    </w:pPr>
    <w:rPr>
      <w:rFonts w:cs="宋体"/>
      <w:b/>
      <w:bCs/>
      <w:color w:val="000000"/>
    </w:rPr>
  </w:style>
  <w:style w:type="paragraph" w:customStyle="1" w:styleId="2429">
    <w:name w:val="正文111111111"/>
    <w:basedOn w:val="1"/>
    <w:link w:val="2456"/>
    <w:semiHidden/>
    <w:qFormat/>
    <w:uiPriority w:val="0"/>
    <w:rPr>
      <w:rFonts w:cs="宋体"/>
      <w:szCs w:val="20"/>
    </w:rPr>
  </w:style>
  <w:style w:type="paragraph" w:customStyle="1" w:styleId="2430">
    <w:name w:val="样式 标题 1章标题 1h11st levelSection Headl1-*+标题 1 Char + 宋体 四..."/>
    <w:basedOn w:val="3"/>
    <w:semiHidden/>
    <w:qFormat/>
    <w:uiPriority w:val="0"/>
    <w:pPr>
      <w:widowControl/>
      <w:numPr>
        <w:numId w:val="31"/>
      </w:numPr>
      <w:tabs>
        <w:tab w:val="left" w:pos="360"/>
        <w:tab w:val="clear" w:pos="480"/>
      </w:tabs>
      <w:spacing w:before="0" w:after="0" w:line="480" w:lineRule="exact"/>
    </w:pPr>
    <w:rPr>
      <w:rFonts w:ascii="宋体" w:hAnsi="宋体" w:eastAsia="宋体" w:cs="宋体"/>
      <w:b w:val="0"/>
      <w:bCs w:val="0"/>
      <w:kern w:val="0"/>
      <w:sz w:val="28"/>
      <w:szCs w:val="20"/>
    </w:rPr>
  </w:style>
  <w:style w:type="character" w:customStyle="1" w:styleId="2431">
    <w:name w:val="8 Char Char"/>
    <w:link w:val="680"/>
    <w:qFormat/>
    <w:uiPriority w:val="0"/>
    <w:rPr>
      <w:rFonts w:ascii="Tahoma" w:hAnsi="Tahoma" w:eastAsia="宋体"/>
      <w:kern w:val="2"/>
      <w:sz w:val="24"/>
      <w:lang w:val="en-US" w:eastAsia="zh-CN" w:bidi="ar-SA"/>
    </w:rPr>
  </w:style>
  <w:style w:type="paragraph" w:customStyle="1" w:styleId="2432">
    <w:name w:val="环正文"/>
    <w:basedOn w:val="1"/>
    <w:qFormat/>
    <w:uiPriority w:val="0"/>
    <w:pPr>
      <w:widowControl/>
      <w:tabs>
        <w:tab w:val="clear" w:pos="480"/>
      </w:tabs>
      <w:suppressAutoHyphens/>
      <w:adjustRightInd w:val="0"/>
      <w:snapToGrid w:val="0"/>
      <w:ind w:firstLine="550"/>
      <w:textAlignment w:val="baseline"/>
    </w:pPr>
    <w:rPr>
      <w:rFonts w:ascii="宋体" w:hAnsi="宋体"/>
      <w:bCs/>
      <w:kern w:val="0"/>
    </w:rPr>
  </w:style>
  <w:style w:type="character" w:customStyle="1" w:styleId="2433">
    <w:name w:val="8 Char1 Char Char"/>
    <w:link w:val="2434"/>
    <w:qFormat/>
    <w:locked/>
    <w:uiPriority w:val="0"/>
    <w:rPr>
      <w:rFonts w:ascii="宋体" w:hAnsi="宋体" w:eastAsia="宋体"/>
      <w:kern w:val="10"/>
      <w:sz w:val="24"/>
      <w:szCs w:val="24"/>
      <w:lang w:val="en-US" w:eastAsia="zh-CN" w:bidi="ar-SA"/>
    </w:rPr>
  </w:style>
  <w:style w:type="paragraph" w:customStyle="1" w:styleId="2434">
    <w:name w:val="8 Char1 Char"/>
    <w:basedOn w:val="1"/>
    <w:link w:val="2433"/>
    <w:semiHidden/>
    <w:qFormat/>
    <w:uiPriority w:val="0"/>
    <w:pPr>
      <w:tabs>
        <w:tab w:val="clear" w:pos="480"/>
      </w:tabs>
      <w:ind w:firstLine="480"/>
    </w:pPr>
    <w:rPr>
      <w:rFonts w:ascii="宋体" w:hAnsi="宋体"/>
      <w:kern w:val="10"/>
    </w:rPr>
  </w:style>
  <w:style w:type="character" w:customStyle="1" w:styleId="2435">
    <w:name w:val="8 Char1"/>
    <w:link w:val="515"/>
    <w:qFormat/>
    <w:uiPriority w:val="0"/>
    <w:rPr>
      <w:rFonts w:eastAsia="宋体"/>
      <w:kern w:val="2"/>
      <w:sz w:val="24"/>
      <w:lang w:val="en-US" w:eastAsia="zh-CN" w:bidi="ar-SA"/>
    </w:rPr>
  </w:style>
  <w:style w:type="paragraph" w:customStyle="1" w:styleId="2436">
    <w:name w:val="封面标准号1"/>
    <w:semiHidden/>
    <w:qFormat/>
    <w:uiPriority w:val="0"/>
    <w:pPr>
      <w:widowControl w:val="0"/>
      <w:kinsoku w:val="0"/>
      <w:overflowPunct w:val="0"/>
      <w:autoSpaceDE w:val="0"/>
      <w:autoSpaceDN w:val="0"/>
      <w:spacing w:before="308"/>
      <w:jc w:val="right"/>
      <w:textAlignment w:val="center"/>
    </w:pPr>
    <w:rPr>
      <w:rFonts w:ascii="Times New Roman" w:hAnsi="Times New Roman" w:eastAsia="宋体" w:cs="Times New Roman"/>
      <w:kern w:val="2"/>
      <w:sz w:val="28"/>
      <w:szCs w:val="24"/>
      <w:lang w:val="en-US" w:eastAsia="zh-CN" w:bidi="ar-SA"/>
    </w:rPr>
  </w:style>
  <w:style w:type="character" w:customStyle="1" w:styleId="2437">
    <w:name w:val="样式5 Char"/>
    <w:link w:val="160"/>
    <w:qFormat/>
    <w:uiPriority w:val="0"/>
    <w:rPr>
      <w:rFonts w:eastAsia="宋体"/>
      <w:kern w:val="2"/>
      <w:sz w:val="21"/>
      <w:szCs w:val="24"/>
      <w:lang w:val="en-US" w:eastAsia="zh-CN" w:bidi="ar-SA"/>
    </w:rPr>
  </w:style>
  <w:style w:type="paragraph" w:customStyle="1" w:styleId="2438">
    <w:name w:val="Char Char Char Char11"/>
    <w:basedOn w:val="1"/>
    <w:semiHidden/>
    <w:qFormat/>
    <w:uiPriority w:val="0"/>
    <w:pPr>
      <w:tabs>
        <w:tab w:val="clear" w:pos="480"/>
      </w:tabs>
      <w:spacing w:line="240" w:lineRule="auto"/>
    </w:pPr>
  </w:style>
  <w:style w:type="paragraph" w:customStyle="1" w:styleId="2439">
    <w:name w:val="湛江生物质发电正文"/>
    <w:basedOn w:val="1"/>
    <w:link w:val="2440"/>
    <w:semiHidden/>
    <w:qFormat/>
    <w:uiPriority w:val="0"/>
    <w:pPr>
      <w:tabs>
        <w:tab w:val="clear" w:pos="480"/>
      </w:tabs>
      <w:spacing w:line="324" w:lineRule="auto"/>
      <w:ind w:firstLine="480"/>
    </w:pPr>
    <w:rPr>
      <w:rFonts w:ascii="宋体" w:hAnsi="宋体" w:cs="宋体"/>
      <w:szCs w:val="20"/>
    </w:rPr>
  </w:style>
  <w:style w:type="character" w:customStyle="1" w:styleId="2440">
    <w:name w:val="湛江生物质发电正文 Char Char"/>
    <w:link w:val="2439"/>
    <w:qFormat/>
    <w:uiPriority w:val="0"/>
    <w:rPr>
      <w:rFonts w:ascii="宋体" w:hAnsi="宋体" w:eastAsia="宋体" w:cs="宋体"/>
      <w:kern w:val="2"/>
      <w:sz w:val="24"/>
      <w:lang w:val="en-US" w:eastAsia="zh-CN" w:bidi="ar-SA"/>
    </w:rPr>
  </w:style>
  <w:style w:type="paragraph" w:customStyle="1" w:styleId="2441">
    <w:name w:val="样式 题注 +"/>
    <w:basedOn w:val="22"/>
    <w:link w:val="2442"/>
    <w:semiHidden/>
    <w:qFormat/>
    <w:uiPriority w:val="0"/>
    <w:pPr>
      <w:keepNext/>
      <w:widowControl w:val="0"/>
      <w:spacing w:before="0" w:after="0"/>
      <w:ind w:firstLine="0" w:firstLineChars="0"/>
    </w:pPr>
    <w:rPr>
      <w:rFonts w:ascii="宋体" w:hAnsi="宋体" w:cs="Times New Roman"/>
      <w:b/>
      <w:color w:val="auto"/>
      <w:kern w:val="0"/>
      <w:szCs w:val="24"/>
      <w:u w:color="000000"/>
    </w:rPr>
  </w:style>
  <w:style w:type="character" w:customStyle="1" w:styleId="2442">
    <w:name w:val="样式 题注 + Char"/>
    <w:link w:val="2441"/>
    <w:qFormat/>
    <w:uiPriority w:val="0"/>
    <w:rPr>
      <w:rFonts w:ascii="宋体" w:hAnsi="宋体" w:eastAsia="宋体"/>
      <w:b/>
      <w:sz w:val="24"/>
      <w:szCs w:val="24"/>
      <w:u w:color="000000"/>
      <w:lang w:val="en-US" w:eastAsia="zh-CN" w:bidi="ar-SA"/>
    </w:rPr>
  </w:style>
  <w:style w:type="paragraph" w:customStyle="1" w:styleId="2443">
    <w:name w:val="标准标题 1..."/>
    <w:basedOn w:val="3"/>
    <w:semiHidden/>
    <w:qFormat/>
    <w:uiPriority w:val="0"/>
    <w:pPr>
      <w:numPr>
        <w:numId w:val="0"/>
      </w:numPr>
      <w:tabs>
        <w:tab w:val="clear" w:pos="480"/>
      </w:tabs>
      <w:adjustRightInd w:val="0"/>
      <w:snapToGrid w:val="0"/>
      <w:spacing w:before="300" w:after="300"/>
      <w:jc w:val="center"/>
    </w:pPr>
    <w:rPr>
      <w:rFonts w:ascii="Times New Roman" w:hAnsi="宋体" w:eastAsia="宋体"/>
      <w:kern w:val="2"/>
      <w:szCs w:val="30"/>
    </w:rPr>
  </w:style>
  <w:style w:type="paragraph" w:customStyle="1" w:styleId="2444">
    <w:name w:val="标准标题2"/>
    <w:basedOn w:val="4"/>
    <w:semiHidden/>
    <w:qFormat/>
    <w:uiPriority w:val="0"/>
    <w:pPr>
      <w:numPr>
        <w:numId w:val="0"/>
      </w:numPr>
      <w:tabs>
        <w:tab w:val="clear" w:pos="480"/>
        <w:tab w:val="clear" w:pos="630"/>
      </w:tabs>
      <w:adjustRightInd w:val="0"/>
      <w:snapToGrid w:val="0"/>
      <w:spacing w:beforeLines="50" w:afterLines="50"/>
      <w:jc w:val="left"/>
    </w:pPr>
    <w:rPr>
      <w:rFonts w:cs="Arial"/>
      <w:sz w:val="30"/>
      <w:szCs w:val="30"/>
    </w:rPr>
  </w:style>
  <w:style w:type="paragraph" w:customStyle="1" w:styleId="2445">
    <w:name w:val="我的正文 Char Char Char"/>
    <w:basedOn w:val="1"/>
    <w:next w:val="1"/>
    <w:semiHidden/>
    <w:qFormat/>
    <w:uiPriority w:val="0"/>
    <w:pPr>
      <w:tabs>
        <w:tab w:val="clear" w:pos="480"/>
      </w:tabs>
      <w:spacing w:line="520" w:lineRule="exact"/>
      <w:ind w:firstLine="540" w:firstLineChars="225"/>
    </w:pPr>
  </w:style>
  <w:style w:type="paragraph" w:customStyle="1" w:styleId="2446">
    <w:name w:val="样式 首行缩进:  2 字符4"/>
    <w:basedOn w:val="1"/>
    <w:link w:val="2887"/>
    <w:semiHidden/>
    <w:qFormat/>
    <w:uiPriority w:val="0"/>
    <w:pPr>
      <w:tabs>
        <w:tab w:val="clear" w:pos="480"/>
      </w:tabs>
      <w:spacing w:line="500" w:lineRule="exact"/>
      <w:ind w:firstLine="560"/>
    </w:pPr>
    <w:rPr>
      <w:rFonts w:ascii="宋体" w:hAnsi="宋体"/>
    </w:rPr>
  </w:style>
  <w:style w:type="paragraph" w:customStyle="1" w:styleId="2447">
    <w:name w:val="样式 题注 + 两端对齐"/>
    <w:basedOn w:val="22"/>
    <w:semiHidden/>
    <w:qFormat/>
    <w:uiPriority w:val="0"/>
    <w:pPr>
      <w:keepNext/>
      <w:widowControl w:val="0"/>
      <w:adjustRightInd/>
      <w:snapToGrid/>
      <w:ind w:left="482" w:leftChars="172" w:firstLine="0" w:firstLineChars="0"/>
      <w:jc w:val="both"/>
    </w:pPr>
    <w:rPr>
      <w:rFonts w:ascii="宋体" w:hAnsi="宋体" w:cs="Times New Roman"/>
      <w:b/>
      <w:color w:val="auto"/>
      <w:szCs w:val="24"/>
    </w:rPr>
  </w:style>
  <w:style w:type="character" w:customStyle="1" w:styleId="2448">
    <w:name w:val="css-text3"/>
    <w:basedOn w:val="132"/>
    <w:semiHidden/>
    <w:qFormat/>
    <w:uiPriority w:val="0"/>
  </w:style>
  <w:style w:type="character" w:customStyle="1" w:styleId="2449">
    <w:name w:val="p181"/>
    <w:semiHidden/>
    <w:qFormat/>
    <w:uiPriority w:val="0"/>
    <w:rPr>
      <w:b/>
      <w:bCs/>
      <w:color w:val="000066"/>
      <w:spacing w:val="31680"/>
      <w:sz w:val="34"/>
      <w:szCs w:val="34"/>
    </w:rPr>
  </w:style>
  <w:style w:type="character" w:customStyle="1" w:styleId="2450">
    <w:name w:val="p4"/>
    <w:basedOn w:val="132"/>
    <w:semiHidden/>
    <w:qFormat/>
    <w:uiPriority w:val="0"/>
  </w:style>
  <w:style w:type="paragraph" w:customStyle="1" w:styleId="2451">
    <w:name w:val="样式 标题 3 + 自动设置"/>
    <w:basedOn w:val="5"/>
    <w:link w:val="2452"/>
    <w:semiHidden/>
    <w:qFormat/>
    <w:uiPriority w:val="0"/>
    <w:pPr>
      <w:numPr>
        <w:ilvl w:val="0"/>
        <w:numId w:val="0"/>
      </w:numPr>
      <w:tabs>
        <w:tab w:val="left" w:pos="720"/>
        <w:tab w:val="clear" w:pos="480"/>
        <w:tab w:val="clear" w:pos="840"/>
      </w:tabs>
      <w:spacing w:before="0" w:after="0" w:line="360" w:lineRule="auto"/>
      <w:jc w:val="left"/>
    </w:pPr>
    <w:rPr>
      <w:rFonts w:ascii="Times New Roman" w:eastAsia="宋体"/>
      <w:sz w:val="24"/>
      <w:szCs w:val="24"/>
      <w:lang w:val="en-US"/>
    </w:rPr>
  </w:style>
  <w:style w:type="character" w:customStyle="1" w:styleId="2452">
    <w:name w:val="样式 标题 3 + 自动设置 Char"/>
    <w:link w:val="2451"/>
    <w:qFormat/>
    <w:uiPriority w:val="0"/>
    <w:rPr>
      <w:rFonts w:eastAsia="宋体"/>
      <w:b/>
      <w:bCs/>
      <w:kern w:val="2"/>
      <w:sz w:val="24"/>
      <w:szCs w:val="24"/>
      <w:lang w:val="en-US" w:eastAsia="zh-CN" w:bidi="ar-SA"/>
    </w:rPr>
  </w:style>
  <w:style w:type="paragraph" w:customStyle="1" w:styleId="2453">
    <w:name w:val="样式 标题 3 + 自动设置1"/>
    <w:basedOn w:val="5"/>
    <w:link w:val="2454"/>
    <w:semiHidden/>
    <w:qFormat/>
    <w:uiPriority w:val="0"/>
    <w:pPr>
      <w:numPr>
        <w:ilvl w:val="0"/>
        <w:numId w:val="0"/>
      </w:numPr>
      <w:tabs>
        <w:tab w:val="left" w:pos="720"/>
        <w:tab w:val="clear" w:pos="480"/>
        <w:tab w:val="clear" w:pos="840"/>
      </w:tabs>
      <w:spacing w:before="0" w:after="0" w:line="360" w:lineRule="auto"/>
      <w:ind w:left="720" w:hanging="720"/>
      <w:jc w:val="left"/>
    </w:pPr>
    <w:rPr>
      <w:rFonts w:ascii="Times New Roman" w:eastAsia="宋体"/>
      <w:kern w:val="0"/>
      <w:sz w:val="24"/>
      <w:szCs w:val="24"/>
      <w:lang w:val="en-US"/>
    </w:rPr>
  </w:style>
  <w:style w:type="character" w:customStyle="1" w:styleId="2454">
    <w:name w:val="样式 标题 3 + 自动设置1 Char"/>
    <w:link w:val="2453"/>
    <w:qFormat/>
    <w:uiPriority w:val="0"/>
    <w:rPr>
      <w:rFonts w:eastAsia="宋体"/>
      <w:b/>
      <w:bCs/>
      <w:sz w:val="24"/>
      <w:szCs w:val="24"/>
      <w:lang w:val="en-US" w:eastAsia="zh-CN" w:bidi="ar-SA"/>
    </w:rPr>
  </w:style>
  <w:style w:type="character" w:customStyle="1" w:styleId="2455">
    <w:name w:val="中气正文 Char"/>
    <w:link w:val="477"/>
    <w:qFormat/>
    <w:uiPriority w:val="0"/>
    <w:rPr>
      <w:rFonts w:eastAsia="宋体"/>
      <w:kern w:val="2"/>
      <w:sz w:val="24"/>
      <w:szCs w:val="24"/>
      <w:lang w:val="en-US" w:eastAsia="zh-CN" w:bidi="ar-SA"/>
    </w:rPr>
  </w:style>
  <w:style w:type="character" w:customStyle="1" w:styleId="2456">
    <w:name w:val="正文111111111 Char"/>
    <w:link w:val="2429"/>
    <w:qFormat/>
    <w:uiPriority w:val="0"/>
    <w:rPr>
      <w:rFonts w:eastAsia="宋体" w:cs="宋体"/>
      <w:kern w:val="2"/>
      <w:sz w:val="24"/>
      <w:lang w:val="en-US" w:eastAsia="zh-CN" w:bidi="ar-SA"/>
    </w:rPr>
  </w:style>
  <w:style w:type="character" w:customStyle="1" w:styleId="2457">
    <w:name w:val="正文11 Char Char"/>
    <w:link w:val="2458"/>
    <w:qFormat/>
    <w:uiPriority w:val="0"/>
    <w:rPr>
      <w:rFonts w:eastAsia="宋体"/>
      <w:sz w:val="24"/>
      <w:lang w:bidi="ar-SA"/>
    </w:rPr>
  </w:style>
  <w:style w:type="paragraph" w:customStyle="1" w:styleId="2458">
    <w:name w:val="正文11"/>
    <w:basedOn w:val="1"/>
    <w:link w:val="2457"/>
    <w:semiHidden/>
    <w:qFormat/>
    <w:uiPriority w:val="0"/>
    <w:pPr>
      <w:tabs>
        <w:tab w:val="clear" w:pos="480"/>
      </w:tabs>
    </w:pPr>
    <w:rPr>
      <w:kern w:val="0"/>
      <w:szCs w:val="20"/>
      <w:lang w:val="zh-CN"/>
    </w:rPr>
  </w:style>
  <w:style w:type="character" w:customStyle="1" w:styleId="2459">
    <w:name w:val="正文lly Char Char"/>
    <w:link w:val="2424"/>
    <w:semiHidden/>
    <w:qFormat/>
    <w:uiPriority w:val="0"/>
    <w:rPr>
      <w:bCs/>
      <w:kern w:val="2"/>
      <w:sz w:val="24"/>
      <w:szCs w:val="21"/>
      <w:lang w:val="en-US" w:eastAsia="zh-CN" w:bidi="ar-SA"/>
    </w:rPr>
  </w:style>
  <w:style w:type="paragraph" w:customStyle="1" w:styleId="2460">
    <w:name w:val="C 4级标题"/>
    <w:basedOn w:val="6"/>
    <w:semiHidden/>
    <w:qFormat/>
    <w:uiPriority w:val="0"/>
    <w:pPr>
      <w:keepNext w:val="0"/>
      <w:keepLines w:val="0"/>
      <w:numPr>
        <w:ilvl w:val="0"/>
        <w:numId w:val="0"/>
      </w:numPr>
      <w:tabs>
        <w:tab w:val="left" w:pos="720"/>
        <w:tab w:val="clear" w:pos="480"/>
      </w:tabs>
      <w:spacing w:before="0" w:after="0"/>
    </w:pPr>
    <w:rPr>
      <w:rFonts w:ascii="Times New Roman" w:eastAsia="宋体"/>
    </w:rPr>
  </w:style>
  <w:style w:type="paragraph" w:customStyle="1" w:styleId="2461">
    <w:name w:val="款项"/>
    <w:basedOn w:val="1"/>
    <w:semiHidden/>
    <w:qFormat/>
    <w:uiPriority w:val="0"/>
    <w:pPr>
      <w:tabs>
        <w:tab w:val="clear" w:pos="480"/>
      </w:tabs>
      <w:spacing w:beforeLines="50" w:afterLines="50" w:line="240" w:lineRule="auto"/>
    </w:pPr>
    <w:rPr>
      <w:rFonts w:ascii="黑体" w:eastAsia="黑体"/>
    </w:rPr>
  </w:style>
  <w:style w:type="character" w:customStyle="1" w:styleId="2462">
    <w:name w:val="正文文本 311"/>
    <w:semiHidden/>
    <w:qFormat/>
    <w:uiPriority w:val="0"/>
    <w:rPr>
      <w:rFonts w:eastAsia="宋体"/>
      <w:sz w:val="18"/>
      <w:lang w:val="en-US" w:eastAsia="zh-CN" w:bidi="ar-SA"/>
    </w:rPr>
  </w:style>
  <w:style w:type="paragraph" w:customStyle="1" w:styleId="2463">
    <w:name w:val="表题 1"/>
    <w:semiHidden/>
    <w:qFormat/>
    <w:uiPriority w:val="0"/>
    <w:pPr>
      <w:widowControl w:val="0"/>
      <w:adjustRightInd w:val="0"/>
      <w:spacing w:before="120" w:after="120"/>
      <w:jc w:val="center"/>
      <w:textAlignment w:val="baseline"/>
    </w:pPr>
    <w:rPr>
      <w:rFonts w:ascii="Times New Roman" w:hAnsi="Times New Roman" w:eastAsia="宋体" w:cs="Times New Roman"/>
      <w:kern w:val="2"/>
      <w:sz w:val="30"/>
      <w:szCs w:val="24"/>
      <w:lang w:val="en-US" w:eastAsia="zh-CN" w:bidi="ar-SA"/>
    </w:rPr>
  </w:style>
  <w:style w:type="paragraph" w:customStyle="1" w:styleId="2464">
    <w:name w:val="表格 21"/>
    <w:semiHidden/>
    <w:qFormat/>
    <w:uiPriority w:val="0"/>
    <w:pPr>
      <w:widowControl w:val="0"/>
      <w:autoSpaceDE w:val="0"/>
      <w:autoSpaceDN w:val="0"/>
      <w:adjustRightInd w:val="0"/>
      <w:jc w:val="center"/>
      <w:textAlignment w:val="baseline"/>
    </w:pPr>
    <w:rPr>
      <w:rFonts w:ascii="Times New Roman" w:hAnsi="Times New Roman" w:eastAsia="仿宋体" w:cs="Times New Roman"/>
      <w:kern w:val="2"/>
      <w:sz w:val="28"/>
      <w:szCs w:val="24"/>
      <w:lang w:val="en-US" w:eastAsia="zh-CN" w:bidi="ar-SA"/>
    </w:rPr>
  </w:style>
  <w:style w:type="paragraph" w:customStyle="1" w:styleId="2465">
    <w:name w:val="表题 12"/>
    <w:basedOn w:val="1"/>
    <w:semiHidden/>
    <w:qFormat/>
    <w:uiPriority w:val="0"/>
    <w:pPr>
      <w:tabs>
        <w:tab w:val="clear" w:pos="480"/>
      </w:tabs>
      <w:adjustRightInd w:val="0"/>
      <w:snapToGrid w:val="0"/>
      <w:spacing w:before="120" w:after="120" w:line="240" w:lineRule="auto"/>
      <w:jc w:val="center"/>
      <w:textAlignment w:val="baseline"/>
    </w:pPr>
    <w:rPr>
      <w:kern w:val="0"/>
      <w:szCs w:val="20"/>
    </w:rPr>
  </w:style>
  <w:style w:type="paragraph" w:customStyle="1" w:styleId="2466">
    <w:name w:val="正文 32"/>
    <w:basedOn w:val="1"/>
    <w:link w:val="2730"/>
    <w:semiHidden/>
    <w:qFormat/>
    <w:uiPriority w:val="0"/>
    <w:pPr>
      <w:tabs>
        <w:tab w:val="clear" w:pos="480"/>
      </w:tabs>
      <w:autoSpaceDE w:val="0"/>
      <w:autoSpaceDN w:val="0"/>
      <w:adjustRightInd w:val="0"/>
      <w:snapToGrid w:val="0"/>
      <w:ind w:firstLine="567"/>
      <w:jc w:val="left"/>
      <w:textAlignment w:val="baseline"/>
    </w:pPr>
    <w:rPr>
      <w:rFonts w:eastAsia="楷体"/>
      <w:kern w:val="0"/>
      <w:szCs w:val="20"/>
    </w:rPr>
  </w:style>
  <w:style w:type="character" w:customStyle="1" w:styleId="2467">
    <w:name w:val="f31"/>
    <w:semiHidden/>
    <w:qFormat/>
    <w:uiPriority w:val="0"/>
    <w:rPr>
      <w:spacing w:val="360"/>
      <w:sz w:val="28"/>
      <w:szCs w:val="28"/>
    </w:rPr>
  </w:style>
  <w:style w:type="paragraph" w:customStyle="1" w:styleId="2468">
    <w:name w:val="表格 1"/>
    <w:basedOn w:val="158"/>
    <w:semiHidden/>
    <w:qFormat/>
    <w:uiPriority w:val="0"/>
    <w:pPr>
      <w:autoSpaceDE w:val="0"/>
      <w:autoSpaceDN w:val="0"/>
      <w:spacing w:line="240" w:lineRule="auto"/>
      <w:jc w:val="center"/>
      <w:textAlignment w:val="auto"/>
    </w:pPr>
    <w:rPr>
      <w:kern w:val="0"/>
      <w:sz w:val="28"/>
    </w:rPr>
  </w:style>
  <w:style w:type="paragraph" w:customStyle="1" w:styleId="2469">
    <w:name w:val="页面"/>
    <w:semiHidden/>
    <w:qFormat/>
    <w:uiPriority w:val="0"/>
    <w:pPr>
      <w:widowControl w:val="0"/>
      <w:adjustRightInd w:val="0"/>
      <w:jc w:val="center"/>
    </w:pPr>
    <w:rPr>
      <w:rFonts w:ascii="Times New Roman" w:hAnsi="Times New Roman" w:eastAsia="宋体" w:cs="Times New Roman"/>
      <w:kern w:val="2"/>
      <w:sz w:val="28"/>
      <w:szCs w:val="24"/>
      <w:lang w:val="en-US" w:eastAsia="zh-CN" w:bidi="ar-SA"/>
    </w:rPr>
  </w:style>
  <w:style w:type="paragraph" w:customStyle="1" w:styleId="2470">
    <w:name w:val="页面 2"/>
    <w:basedOn w:val="2469"/>
    <w:semiHidden/>
    <w:qFormat/>
    <w:uiPriority w:val="0"/>
    <w:rPr>
      <w:sz w:val="72"/>
    </w:rPr>
  </w:style>
  <w:style w:type="paragraph" w:customStyle="1" w:styleId="2471">
    <w:name w:val="页面 7"/>
    <w:basedOn w:val="1"/>
    <w:semiHidden/>
    <w:qFormat/>
    <w:uiPriority w:val="0"/>
    <w:pPr>
      <w:tabs>
        <w:tab w:val="clear" w:pos="480"/>
      </w:tabs>
      <w:autoSpaceDE w:val="0"/>
      <w:autoSpaceDN w:val="0"/>
      <w:adjustRightInd w:val="0"/>
      <w:spacing w:before="120" w:after="120"/>
      <w:ind w:firstLine="425"/>
      <w:jc w:val="center"/>
      <w:textAlignment w:val="baseline"/>
    </w:pPr>
    <w:rPr>
      <w:rFonts w:eastAsia="楷体_GB2312"/>
      <w:kern w:val="0"/>
      <w:sz w:val="32"/>
      <w:szCs w:val="20"/>
    </w:rPr>
  </w:style>
  <w:style w:type="paragraph" w:customStyle="1" w:styleId="2472">
    <w:name w:val="正文 1"/>
    <w:semiHidden/>
    <w:qFormat/>
    <w:uiPriority w:val="0"/>
    <w:pPr>
      <w:keepNext/>
      <w:widowControl w:val="0"/>
      <w:topLinePunct/>
      <w:autoSpaceDE w:val="0"/>
      <w:autoSpaceDN w:val="0"/>
      <w:adjustRightInd w:val="0"/>
      <w:ind w:firstLine="454"/>
      <w:jc w:val="center"/>
      <w:textAlignment w:val="baseline"/>
    </w:pPr>
    <w:rPr>
      <w:rFonts w:ascii="Times New Roman" w:hAnsi="Times New Roman" w:eastAsia="宋体" w:cs="Times New Roman"/>
      <w:kern w:val="2"/>
      <w:sz w:val="24"/>
      <w:szCs w:val="24"/>
      <w:lang w:val="en-US" w:eastAsia="zh-CN" w:bidi="ar-SA"/>
    </w:rPr>
  </w:style>
  <w:style w:type="paragraph" w:customStyle="1" w:styleId="2473">
    <w:name w:val="正文 2"/>
    <w:basedOn w:val="1"/>
    <w:semiHidden/>
    <w:qFormat/>
    <w:uiPriority w:val="0"/>
    <w:pPr>
      <w:tabs>
        <w:tab w:val="clear" w:pos="480"/>
      </w:tabs>
      <w:autoSpaceDE w:val="0"/>
      <w:autoSpaceDN w:val="0"/>
      <w:adjustRightInd w:val="0"/>
      <w:spacing w:line="300" w:lineRule="auto"/>
      <w:ind w:firstLine="510"/>
      <w:textAlignment w:val="baseline"/>
    </w:pPr>
    <w:rPr>
      <w:rFonts w:eastAsia="楷体_GB2312"/>
      <w:kern w:val="0"/>
      <w:szCs w:val="20"/>
    </w:rPr>
  </w:style>
  <w:style w:type="paragraph" w:customStyle="1" w:styleId="2474">
    <w:name w:val="页面 3"/>
    <w:basedOn w:val="1"/>
    <w:semiHidden/>
    <w:qFormat/>
    <w:uiPriority w:val="0"/>
    <w:pPr>
      <w:tabs>
        <w:tab w:val="clear" w:pos="480"/>
      </w:tabs>
      <w:adjustRightInd w:val="0"/>
      <w:spacing w:line="240" w:lineRule="auto"/>
      <w:jc w:val="center"/>
    </w:pPr>
    <w:rPr>
      <w:rFonts w:eastAsia="隶书"/>
      <w:kern w:val="0"/>
      <w:sz w:val="52"/>
      <w:szCs w:val="20"/>
    </w:rPr>
  </w:style>
  <w:style w:type="paragraph" w:customStyle="1" w:styleId="2475">
    <w:name w:val="表格 22"/>
    <w:basedOn w:val="2464"/>
    <w:semiHidden/>
    <w:qFormat/>
    <w:uiPriority w:val="0"/>
    <w:rPr>
      <w:sz w:val="24"/>
    </w:rPr>
  </w:style>
  <w:style w:type="paragraph" w:customStyle="1" w:styleId="2476">
    <w:name w:val="ident"/>
    <w:basedOn w:val="1"/>
    <w:semiHidden/>
    <w:qFormat/>
    <w:uiPriority w:val="0"/>
    <w:pPr>
      <w:widowControl/>
      <w:tabs>
        <w:tab w:val="clear" w:pos="480"/>
      </w:tabs>
      <w:spacing w:after="100" w:afterAutospacing="1" w:line="280" w:lineRule="atLeast"/>
      <w:ind w:left="150"/>
      <w:jc w:val="left"/>
    </w:pPr>
    <w:rPr>
      <w:rFonts w:ascii="宋体" w:hAnsi="宋体"/>
      <w:kern w:val="0"/>
    </w:rPr>
  </w:style>
  <w:style w:type="paragraph" w:customStyle="1" w:styleId="2477">
    <w:name w:val="正文1111"/>
    <w:basedOn w:val="1"/>
    <w:link w:val="2531"/>
    <w:qFormat/>
    <w:uiPriority w:val="0"/>
    <w:pPr>
      <w:tabs>
        <w:tab w:val="clear" w:pos="480"/>
      </w:tabs>
      <w:ind w:firstLine="482"/>
    </w:pPr>
    <w:rPr>
      <w:b/>
    </w:rPr>
  </w:style>
  <w:style w:type="paragraph" w:customStyle="1" w:styleId="2478">
    <w:name w:val="xl179"/>
    <w:basedOn w:val="1"/>
    <w:semiHidden/>
    <w:qFormat/>
    <w:uiPriority w:val="0"/>
    <w:pPr>
      <w:widowControl/>
      <w:pBdr>
        <w:top w:val="single" w:color="auto" w:sz="4" w:space="0"/>
        <w:left w:val="single" w:color="auto" w:sz="4" w:space="0"/>
        <w:bottom w:val="single" w:color="auto" w:sz="4" w:space="0"/>
        <w:right w:val="single" w:color="auto" w:sz="4" w:space="0"/>
      </w:pBdr>
      <w:shd w:val="clear" w:color="auto" w:fill="FFFF99"/>
      <w:tabs>
        <w:tab w:val="clear" w:pos="480"/>
      </w:tabs>
      <w:spacing w:before="100" w:beforeAutospacing="1" w:after="100" w:afterAutospacing="1" w:line="240" w:lineRule="auto"/>
      <w:jc w:val="center"/>
    </w:pPr>
    <w:rPr>
      <w:rFonts w:ascii="Arial Unicode MS" w:hAnsi="Arial Unicode MS" w:eastAsia="Arial Unicode MS" w:cs="Arial Unicode MS"/>
      <w:kern w:val="0"/>
      <w:sz w:val="20"/>
      <w:szCs w:val="20"/>
    </w:rPr>
  </w:style>
  <w:style w:type="paragraph" w:customStyle="1" w:styleId="2479">
    <w:name w:val="xl180"/>
    <w:basedOn w:val="1"/>
    <w:semiHidden/>
    <w:qFormat/>
    <w:uiPriority w:val="0"/>
    <w:pPr>
      <w:widowControl/>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480">
    <w:name w:val="xl181"/>
    <w:basedOn w:val="1"/>
    <w:semiHidden/>
    <w:qFormat/>
    <w:uiPriority w:val="0"/>
    <w:pPr>
      <w:widowControl/>
      <w:pBdr>
        <w:top w:val="single" w:color="auto" w:sz="4" w:space="0"/>
        <w:left w:val="single" w:color="auto" w:sz="4" w:space="0"/>
        <w:right w:val="single" w:color="auto" w:sz="4" w:space="0"/>
      </w:pBdr>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481">
    <w:name w:val="xl182"/>
    <w:basedOn w:val="1"/>
    <w:semiHidden/>
    <w:qFormat/>
    <w:uiPriority w:val="0"/>
    <w:pPr>
      <w:widowControl/>
      <w:pBdr>
        <w:left w:val="single" w:color="auto" w:sz="4" w:space="0"/>
        <w:right w:val="single" w:color="auto" w:sz="4" w:space="0"/>
      </w:pBdr>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482">
    <w:name w:val="xl183"/>
    <w:basedOn w:val="1"/>
    <w:semiHidden/>
    <w:qFormat/>
    <w:uiPriority w:val="0"/>
    <w:pPr>
      <w:widowControl/>
      <w:pBdr>
        <w:left w:val="single" w:color="auto" w:sz="4" w:space="0"/>
        <w:bottom w:val="single" w:color="auto" w:sz="4" w:space="0"/>
        <w:right w:val="single" w:color="auto" w:sz="4" w:space="0"/>
      </w:pBdr>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483">
    <w:name w:val="xl184"/>
    <w:basedOn w:val="1"/>
    <w:semiHidden/>
    <w:qFormat/>
    <w:uiPriority w:val="0"/>
    <w:pPr>
      <w:widowControl/>
      <w:pBdr>
        <w:top w:val="single" w:color="auto" w:sz="4" w:space="0"/>
        <w:left w:val="single" w:color="auto" w:sz="4" w:space="0"/>
        <w:right w:val="single" w:color="auto" w:sz="4" w:space="0"/>
      </w:pBdr>
      <w:tabs>
        <w:tab w:val="clear" w:pos="480"/>
      </w:tabs>
      <w:spacing w:before="100" w:beforeAutospacing="1" w:after="100" w:afterAutospacing="1" w:line="240" w:lineRule="auto"/>
      <w:jc w:val="left"/>
      <w:textAlignment w:val="center"/>
    </w:pPr>
    <w:rPr>
      <w:rFonts w:ascii="Tahoma" w:hAnsi="Tahoma" w:eastAsia="Arial Unicode MS" w:cs="Tahoma"/>
      <w:kern w:val="0"/>
      <w:sz w:val="20"/>
      <w:szCs w:val="20"/>
    </w:rPr>
  </w:style>
  <w:style w:type="paragraph" w:customStyle="1" w:styleId="2484">
    <w:name w:val="xl185"/>
    <w:basedOn w:val="1"/>
    <w:semiHidden/>
    <w:qFormat/>
    <w:uiPriority w:val="0"/>
    <w:pPr>
      <w:widowControl/>
      <w:pBdr>
        <w:left w:val="single" w:color="auto" w:sz="4" w:space="0"/>
        <w:bottom w:val="single" w:color="auto" w:sz="4" w:space="0"/>
        <w:right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485">
    <w:name w:val="xl186"/>
    <w:basedOn w:val="1"/>
    <w:semiHidden/>
    <w:qFormat/>
    <w:uiPriority w:val="0"/>
    <w:pPr>
      <w:widowControl/>
      <w:pBdr>
        <w:left w:val="single" w:color="auto" w:sz="4" w:space="0"/>
        <w:bottom w:val="single" w:color="auto" w:sz="4" w:space="0"/>
        <w:right w:val="single" w:color="auto" w:sz="4" w:space="0"/>
      </w:pBdr>
      <w:tabs>
        <w:tab w:val="clear" w:pos="480"/>
      </w:tabs>
      <w:spacing w:before="100" w:beforeAutospacing="1" w:after="100" w:afterAutospacing="1" w:line="240" w:lineRule="auto"/>
      <w:jc w:val="left"/>
      <w:textAlignment w:val="center"/>
    </w:pPr>
    <w:rPr>
      <w:rFonts w:ascii="Tahoma" w:hAnsi="Tahoma" w:eastAsia="Arial Unicode MS" w:cs="Tahoma"/>
      <w:kern w:val="0"/>
      <w:sz w:val="20"/>
      <w:szCs w:val="20"/>
    </w:rPr>
  </w:style>
  <w:style w:type="paragraph" w:customStyle="1" w:styleId="2486">
    <w:name w:val="xl187"/>
    <w:basedOn w:val="1"/>
    <w:semiHidden/>
    <w:qFormat/>
    <w:uiPriority w:val="0"/>
    <w:pPr>
      <w:widowControl/>
      <w:pBdr>
        <w:left w:val="single" w:color="auto" w:sz="4" w:space="0"/>
        <w:right w:val="single" w:color="auto" w:sz="4" w:space="0"/>
      </w:pBdr>
      <w:tabs>
        <w:tab w:val="clear" w:pos="480"/>
      </w:tabs>
      <w:spacing w:before="100" w:beforeAutospacing="1" w:after="100" w:afterAutospacing="1" w:line="240" w:lineRule="auto"/>
      <w:jc w:val="left"/>
      <w:textAlignment w:val="center"/>
    </w:pPr>
    <w:rPr>
      <w:rFonts w:ascii="Tahoma" w:hAnsi="Tahoma" w:eastAsia="Arial Unicode MS" w:cs="Tahoma"/>
      <w:kern w:val="0"/>
      <w:sz w:val="20"/>
      <w:szCs w:val="20"/>
    </w:rPr>
  </w:style>
  <w:style w:type="paragraph" w:customStyle="1" w:styleId="2487">
    <w:name w:val="xl188"/>
    <w:basedOn w:val="1"/>
    <w:semiHidden/>
    <w:qFormat/>
    <w:uiPriority w:val="0"/>
    <w:pPr>
      <w:widowControl/>
      <w:pBdr>
        <w:left w:val="single" w:color="auto" w:sz="4" w:space="0"/>
        <w:right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488">
    <w:name w:val="xl189"/>
    <w:basedOn w:val="1"/>
    <w:semiHidden/>
    <w:qFormat/>
    <w:uiPriority w:val="0"/>
    <w:pPr>
      <w:widowControl/>
      <w:pBdr>
        <w:top w:val="single" w:color="auto" w:sz="4" w:space="0"/>
        <w:left w:val="single" w:color="auto" w:sz="4" w:space="0"/>
        <w:right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489">
    <w:name w:val="xl190"/>
    <w:basedOn w:val="1"/>
    <w:semiHidden/>
    <w:qFormat/>
    <w:uiPriority w:val="0"/>
    <w:pPr>
      <w:widowControl/>
      <w:pBdr>
        <w:top w:val="single" w:color="auto" w:sz="4" w:space="0"/>
        <w:left w:val="single" w:color="auto" w:sz="4" w:space="0"/>
        <w:right w:val="single" w:color="auto" w:sz="4" w:space="0"/>
      </w:pBdr>
      <w:tabs>
        <w:tab w:val="clear" w:pos="480"/>
      </w:tabs>
      <w:spacing w:before="100" w:beforeAutospacing="1" w:after="100" w:afterAutospacing="1" w:line="240" w:lineRule="auto"/>
      <w:jc w:val="center"/>
      <w:textAlignment w:val="center"/>
    </w:pPr>
    <w:rPr>
      <w:rFonts w:ascii="Tahoma" w:hAnsi="Tahoma" w:eastAsia="Arial Unicode MS" w:cs="Tahoma"/>
      <w:kern w:val="0"/>
      <w:sz w:val="20"/>
      <w:szCs w:val="20"/>
    </w:rPr>
  </w:style>
  <w:style w:type="paragraph" w:customStyle="1" w:styleId="2490">
    <w:name w:val="xl191"/>
    <w:basedOn w:val="1"/>
    <w:semiHidden/>
    <w:qFormat/>
    <w:uiPriority w:val="0"/>
    <w:pPr>
      <w:widowControl/>
      <w:pBdr>
        <w:left w:val="single" w:color="auto" w:sz="4" w:space="0"/>
        <w:bottom w:val="single" w:color="auto" w:sz="4" w:space="0"/>
        <w:right w:val="single" w:color="auto" w:sz="4" w:space="0"/>
      </w:pBdr>
      <w:tabs>
        <w:tab w:val="clear" w:pos="480"/>
      </w:tabs>
      <w:spacing w:before="100" w:beforeAutospacing="1" w:after="100" w:afterAutospacing="1" w:line="240" w:lineRule="auto"/>
      <w:jc w:val="center"/>
      <w:textAlignment w:val="center"/>
    </w:pPr>
    <w:rPr>
      <w:rFonts w:ascii="Tahoma" w:hAnsi="Tahoma" w:eastAsia="Arial Unicode MS" w:cs="Tahoma"/>
      <w:kern w:val="0"/>
      <w:sz w:val="20"/>
      <w:szCs w:val="20"/>
    </w:rPr>
  </w:style>
  <w:style w:type="paragraph" w:customStyle="1" w:styleId="2491">
    <w:name w:val="xl192"/>
    <w:basedOn w:val="1"/>
    <w:semiHidden/>
    <w:qFormat/>
    <w:uiPriority w:val="0"/>
    <w:pPr>
      <w:widowControl/>
      <w:pBdr>
        <w:left w:val="single" w:color="auto" w:sz="4" w:space="0"/>
        <w:right w:val="single" w:color="auto" w:sz="4" w:space="0"/>
      </w:pBdr>
      <w:tabs>
        <w:tab w:val="clear" w:pos="480"/>
      </w:tabs>
      <w:spacing w:before="100" w:beforeAutospacing="1" w:after="100" w:afterAutospacing="1" w:line="240" w:lineRule="auto"/>
      <w:jc w:val="center"/>
      <w:textAlignment w:val="center"/>
    </w:pPr>
    <w:rPr>
      <w:rFonts w:ascii="Tahoma" w:hAnsi="Tahoma" w:eastAsia="Arial Unicode MS" w:cs="Tahoma"/>
      <w:kern w:val="0"/>
      <w:sz w:val="20"/>
      <w:szCs w:val="20"/>
    </w:rPr>
  </w:style>
  <w:style w:type="paragraph" w:customStyle="1" w:styleId="2492">
    <w:name w:val="xl193"/>
    <w:basedOn w:val="1"/>
    <w:semiHidden/>
    <w:qFormat/>
    <w:uiPriority w:val="0"/>
    <w:pPr>
      <w:widowControl/>
      <w:pBdr>
        <w:top w:val="single" w:color="auto" w:sz="4" w:space="0"/>
        <w:left w:val="single" w:color="auto" w:sz="4" w:space="0"/>
        <w:bottom w:val="single" w:color="auto" w:sz="4" w:space="0"/>
      </w:pBdr>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493">
    <w:name w:val="xl194"/>
    <w:basedOn w:val="1"/>
    <w:semiHidden/>
    <w:qFormat/>
    <w:uiPriority w:val="0"/>
    <w:pPr>
      <w:widowControl/>
      <w:pBdr>
        <w:top w:val="single" w:color="auto" w:sz="4" w:space="0"/>
        <w:bottom w:val="single" w:color="auto" w:sz="4" w:space="0"/>
      </w:pBdr>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494">
    <w:name w:val="xl195"/>
    <w:basedOn w:val="1"/>
    <w:semiHidden/>
    <w:qFormat/>
    <w:uiPriority w:val="0"/>
    <w:pPr>
      <w:widowControl/>
      <w:pBdr>
        <w:top w:val="single" w:color="auto" w:sz="4" w:space="0"/>
        <w:bottom w:val="single" w:color="auto" w:sz="4" w:space="0"/>
        <w:right w:val="single" w:color="auto" w:sz="4" w:space="0"/>
      </w:pBdr>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495">
    <w:name w:val="xl196"/>
    <w:basedOn w:val="1"/>
    <w:semiHidden/>
    <w:qFormat/>
    <w:uiPriority w:val="0"/>
    <w:pPr>
      <w:widowControl/>
      <w:pBdr>
        <w:top w:val="single" w:color="auto" w:sz="4" w:space="0"/>
        <w:left w:val="single" w:color="auto" w:sz="4" w:space="0"/>
        <w:right w:val="single" w:color="auto" w:sz="4" w:space="0"/>
      </w:pBdr>
      <w:tabs>
        <w:tab w:val="clear" w:pos="480"/>
      </w:tabs>
      <w:spacing w:before="100" w:beforeAutospacing="1" w:after="100" w:afterAutospacing="1" w:line="240" w:lineRule="auto"/>
      <w:jc w:val="left"/>
      <w:textAlignment w:val="center"/>
    </w:pPr>
    <w:rPr>
      <w:rFonts w:ascii="Tahoma" w:hAnsi="Tahoma" w:eastAsia="Arial Unicode MS" w:cs="Tahoma"/>
      <w:kern w:val="0"/>
      <w:sz w:val="20"/>
      <w:szCs w:val="20"/>
    </w:rPr>
  </w:style>
  <w:style w:type="paragraph" w:customStyle="1" w:styleId="2496">
    <w:name w:val="xl197"/>
    <w:basedOn w:val="1"/>
    <w:semiHidden/>
    <w:qFormat/>
    <w:uiPriority w:val="0"/>
    <w:pPr>
      <w:widowControl/>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497">
    <w:name w:val="xl198"/>
    <w:basedOn w:val="1"/>
    <w:semiHidden/>
    <w:qFormat/>
    <w:uiPriority w:val="0"/>
    <w:pPr>
      <w:widowControl/>
      <w:pBdr>
        <w:top w:val="single" w:color="auto" w:sz="4" w:space="0"/>
        <w:left w:val="single" w:color="auto" w:sz="4" w:space="0"/>
        <w:right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498">
    <w:name w:val="xl199"/>
    <w:basedOn w:val="1"/>
    <w:semiHidden/>
    <w:qFormat/>
    <w:uiPriority w:val="0"/>
    <w:pPr>
      <w:widowControl/>
      <w:pBdr>
        <w:left w:val="single" w:color="auto" w:sz="4" w:space="0"/>
        <w:right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499">
    <w:name w:val="xl200"/>
    <w:basedOn w:val="1"/>
    <w:semiHidden/>
    <w:qFormat/>
    <w:uiPriority w:val="0"/>
    <w:pPr>
      <w:widowControl/>
      <w:pBdr>
        <w:top w:val="single" w:color="auto" w:sz="4" w:space="0"/>
        <w:left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500">
    <w:name w:val="xl201"/>
    <w:basedOn w:val="1"/>
    <w:semiHidden/>
    <w:qFormat/>
    <w:uiPriority w:val="0"/>
    <w:pPr>
      <w:widowControl/>
      <w:pBdr>
        <w:left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501">
    <w:name w:val="xl202"/>
    <w:basedOn w:val="1"/>
    <w:semiHidden/>
    <w:qFormat/>
    <w:uiPriority w:val="0"/>
    <w:pPr>
      <w:widowControl/>
      <w:pBdr>
        <w:left w:val="single" w:color="auto" w:sz="4" w:space="0"/>
        <w:bottom w:val="single" w:color="auto" w:sz="4" w:space="0"/>
      </w:pBdr>
      <w:tabs>
        <w:tab w:val="clear" w:pos="480"/>
      </w:tabs>
      <w:spacing w:before="100" w:beforeAutospacing="1" w:after="100" w:afterAutospacing="1" w:line="240" w:lineRule="auto"/>
      <w:jc w:val="left"/>
    </w:pPr>
    <w:rPr>
      <w:rFonts w:ascii="Tahoma" w:hAnsi="Tahoma" w:eastAsia="Arial Unicode MS" w:cs="Tahoma"/>
      <w:kern w:val="0"/>
      <w:sz w:val="20"/>
      <w:szCs w:val="20"/>
    </w:rPr>
  </w:style>
  <w:style w:type="paragraph" w:customStyle="1" w:styleId="2502">
    <w:name w:val="xl203"/>
    <w:basedOn w:val="1"/>
    <w:semiHidden/>
    <w:qFormat/>
    <w:uiPriority w:val="0"/>
    <w:pPr>
      <w:widowControl/>
      <w:pBdr>
        <w:left w:val="single" w:color="auto" w:sz="4" w:space="0"/>
        <w:right w:val="single" w:color="auto" w:sz="4" w:space="0"/>
      </w:pBdr>
      <w:shd w:val="clear" w:color="auto" w:fill="FFFF99"/>
      <w:tabs>
        <w:tab w:val="clear" w:pos="480"/>
      </w:tabs>
      <w:spacing w:before="100" w:beforeAutospacing="1" w:after="100" w:afterAutospacing="1" w:line="240" w:lineRule="auto"/>
      <w:jc w:val="left"/>
      <w:textAlignment w:val="center"/>
    </w:pPr>
    <w:rPr>
      <w:rFonts w:ascii="Tahoma" w:hAnsi="Tahoma" w:eastAsia="Arial Unicode MS" w:cs="Tahoma"/>
      <w:kern w:val="0"/>
      <w:sz w:val="20"/>
      <w:szCs w:val="20"/>
    </w:rPr>
  </w:style>
  <w:style w:type="paragraph" w:customStyle="1" w:styleId="2503">
    <w:name w:val="xl204"/>
    <w:basedOn w:val="1"/>
    <w:semiHidden/>
    <w:qFormat/>
    <w:uiPriority w:val="0"/>
    <w:pPr>
      <w:widowControl/>
      <w:pBdr>
        <w:top w:val="single" w:color="auto" w:sz="4" w:space="0"/>
        <w:left w:val="single" w:color="auto" w:sz="4" w:space="0"/>
        <w:right w:val="single" w:color="auto" w:sz="4" w:space="0"/>
      </w:pBdr>
      <w:shd w:val="clear" w:color="auto" w:fill="99CC00"/>
      <w:tabs>
        <w:tab w:val="clear" w:pos="480"/>
      </w:tabs>
      <w:spacing w:before="100" w:beforeAutospacing="1" w:after="100" w:afterAutospacing="1" w:line="240" w:lineRule="auto"/>
      <w:jc w:val="center"/>
      <w:textAlignment w:val="center"/>
    </w:pPr>
    <w:rPr>
      <w:rFonts w:ascii="Tahoma" w:hAnsi="Tahoma" w:eastAsia="Arial Unicode MS" w:cs="Tahoma"/>
      <w:kern w:val="0"/>
      <w:sz w:val="20"/>
      <w:szCs w:val="20"/>
    </w:rPr>
  </w:style>
  <w:style w:type="paragraph" w:customStyle="1" w:styleId="2504">
    <w:name w:val="xl205"/>
    <w:basedOn w:val="1"/>
    <w:semiHidden/>
    <w:qFormat/>
    <w:uiPriority w:val="0"/>
    <w:pPr>
      <w:widowControl/>
      <w:pBdr>
        <w:left w:val="single" w:color="auto" w:sz="4" w:space="0"/>
        <w:right w:val="single" w:color="auto" w:sz="4" w:space="0"/>
      </w:pBdr>
      <w:shd w:val="clear" w:color="auto" w:fill="99CC00"/>
      <w:tabs>
        <w:tab w:val="clear" w:pos="480"/>
      </w:tabs>
      <w:spacing w:before="100" w:beforeAutospacing="1" w:after="100" w:afterAutospacing="1" w:line="240" w:lineRule="auto"/>
      <w:jc w:val="center"/>
      <w:textAlignment w:val="center"/>
    </w:pPr>
    <w:rPr>
      <w:rFonts w:ascii="Tahoma" w:hAnsi="Tahoma" w:eastAsia="Arial Unicode MS" w:cs="Tahoma"/>
      <w:kern w:val="0"/>
      <w:sz w:val="20"/>
      <w:szCs w:val="20"/>
    </w:rPr>
  </w:style>
  <w:style w:type="paragraph" w:customStyle="1" w:styleId="2505">
    <w:name w:val="xl206"/>
    <w:basedOn w:val="1"/>
    <w:semiHidden/>
    <w:qFormat/>
    <w:uiPriority w:val="0"/>
    <w:pPr>
      <w:widowControl/>
      <w:pBdr>
        <w:left w:val="single" w:color="auto" w:sz="4" w:space="0"/>
        <w:bottom w:val="single" w:color="auto" w:sz="4" w:space="0"/>
        <w:right w:val="single" w:color="auto" w:sz="4" w:space="0"/>
      </w:pBdr>
      <w:shd w:val="clear" w:color="auto" w:fill="99CC00"/>
      <w:tabs>
        <w:tab w:val="clear" w:pos="480"/>
      </w:tabs>
      <w:spacing w:before="100" w:beforeAutospacing="1" w:after="100" w:afterAutospacing="1" w:line="240" w:lineRule="auto"/>
      <w:jc w:val="center"/>
      <w:textAlignment w:val="center"/>
    </w:pPr>
    <w:rPr>
      <w:rFonts w:ascii="Tahoma" w:hAnsi="Tahoma" w:eastAsia="Arial Unicode MS" w:cs="Tahoma"/>
      <w:kern w:val="0"/>
      <w:sz w:val="20"/>
      <w:szCs w:val="20"/>
    </w:rPr>
  </w:style>
  <w:style w:type="paragraph" w:customStyle="1" w:styleId="2506">
    <w:name w:val="xl207"/>
    <w:basedOn w:val="1"/>
    <w:semiHidden/>
    <w:qFormat/>
    <w:uiPriority w:val="0"/>
    <w:pPr>
      <w:widowControl/>
      <w:shd w:val="clear" w:color="auto" w:fill="99CC00"/>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507">
    <w:name w:val="xl208"/>
    <w:basedOn w:val="1"/>
    <w:semiHidden/>
    <w:qFormat/>
    <w:uiPriority w:val="0"/>
    <w:pPr>
      <w:widowControl/>
      <w:pBdr>
        <w:top w:val="single" w:color="auto" w:sz="4" w:space="0"/>
        <w:left w:val="single" w:color="auto" w:sz="4" w:space="0"/>
        <w:right w:val="single" w:color="auto" w:sz="4" w:space="0"/>
      </w:pBdr>
      <w:shd w:val="clear" w:color="auto" w:fill="99CC00"/>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508">
    <w:name w:val="xl209"/>
    <w:basedOn w:val="1"/>
    <w:semiHidden/>
    <w:qFormat/>
    <w:uiPriority w:val="0"/>
    <w:pPr>
      <w:widowControl/>
      <w:pBdr>
        <w:left w:val="single" w:color="auto" w:sz="4" w:space="0"/>
        <w:right w:val="single" w:color="auto" w:sz="4" w:space="0"/>
      </w:pBdr>
      <w:shd w:val="clear" w:color="auto" w:fill="99CC00"/>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2509">
    <w:name w:val="9bold"/>
    <w:basedOn w:val="1"/>
    <w:semiHidden/>
    <w:qFormat/>
    <w:uiPriority w:val="0"/>
    <w:pPr>
      <w:widowControl/>
      <w:tabs>
        <w:tab w:val="clear" w:pos="480"/>
      </w:tabs>
      <w:spacing w:before="100" w:beforeAutospacing="1" w:after="100" w:afterAutospacing="1" w:line="240" w:lineRule="auto"/>
      <w:jc w:val="left"/>
    </w:pPr>
    <w:rPr>
      <w:rFonts w:ascii="Arial Unicode MS" w:hAnsi="Arial Unicode MS" w:eastAsia="Arial Unicode MS" w:cs="Arial Unicode MS"/>
      <w:kern w:val="0"/>
    </w:rPr>
  </w:style>
  <w:style w:type="paragraph" w:customStyle="1" w:styleId="2510">
    <w:name w:val="hei12"/>
    <w:basedOn w:val="1"/>
    <w:semiHidden/>
    <w:qFormat/>
    <w:uiPriority w:val="0"/>
    <w:pPr>
      <w:widowControl/>
      <w:tabs>
        <w:tab w:val="clear" w:pos="480"/>
      </w:tabs>
      <w:spacing w:before="100" w:beforeAutospacing="1" w:after="100" w:afterAutospacing="1" w:line="240" w:lineRule="auto"/>
      <w:jc w:val="left"/>
    </w:pPr>
    <w:rPr>
      <w:rFonts w:hint="eastAsia" w:ascii="黑体" w:hAnsi="Arial Unicode MS" w:eastAsia="黑体" w:cs="Arial Unicode MS"/>
      <w:color w:val="666666"/>
      <w:kern w:val="0"/>
    </w:rPr>
  </w:style>
  <w:style w:type="paragraph" w:customStyle="1" w:styleId="2511">
    <w:name w:val="黑点"/>
    <w:basedOn w:val="1"/>
    <w:semiHidden/>
    <w:qFormat/>
    <w:uiPriority w:val="0"/>
    <w:pPr>
      <w:tabs>
        <w:tab w:val="left" w:pos="600"/>
        <w:tab w:val="left" w:pos="2100"/>
        <w:tab w:val="clear" w:pos="480"/>
      </w:tabs>
      <w:adjustRightInd w:val="0"/>
      <w:ind w:left="2100" w:hanging="420"/>
      <w:jc w:val="left"/>
      <w:textAlignment w:val="baseline"/>
    </w:pPr>
    <w:rPr>
      <w:rFonts w:ascii="宋体" w:hAnsi="宋体"/>
      <w:color w:val="000000"/>
      <w:kern w:val="0"/>
      <w:szCs w:val="20"/>
    </w:rPr>
  </w:style>
  <w:style w:type="paragraph" w:customStyle="1" w:styleId="2512">
    <w:name w:val="样式38"/>
    <w:basedOn w:val="1"/>
    <w:semiHidden/>
    <w:qFormat/>
    <w:uiPriority w:val="0"/>
    <w:pPr>
      <w:widowControl/>
      <w:tabs>
        <w:tab w:val="clear" w:pos="480"/>
      </w:tabs>
      <w:spacing w:before="100" w:after="100" w:line="320" w:lineRule="atLeast"/>
      <w:jc w:val="left"/>
    </w:pPr>
    <w:rPr>
      <w:rFonts w:ascii="宋体" w:hAnsi="宋体"/>
      <w:color w:val="800080"/>
      <w:kern w:val="0"/>
      <w:sz w:val="21"/>
    </w:rPr>
  </w:style>
  <w:style w:type="character" w:customStyle="1" w:styleId="2513">
    <w:name w:val="lineheight 样式37 样式47"/>
    <w:basedOn w:val="132"/>
    <w:semiHidden/>
    <w:qFormat/>
    <w:uiPriority w:val="0"/>
  </w:style>
  <w:style w:type="character" w:customStyle="1" w:styleId="2514">
    <w:name w:val="样式211"/>
    <w:semiHidden/>
    <w:qFormat/>
    <w:uiPriority w:val="0"/>
    <w:rPr>
      <w:sz w:val="21"/>
      <w:szCs w:val="21"/>
    </w:rPr>
  </w:style>
  <w:style w:type="character" w:customStyle="1" w:styleId="2515">
    <w:name w:val="hanggao1"/>
    <w:semiHidden/>
    <w:qFormat/>
    <w:uiPriority w:val="0"/>
    <w:rPr>
      <w:spacing w:val="300"/>
      <w:sz w:val="18"/>
      <w:szCs w:val="18"/>
    </w:rPr>
  </w:style>
  <w:style w:type="paragraph" w:customStyle="1" w:styleId="2516">
    <w:name w:val="奇页页眉样式"/>
    <w:basedOn w:val="1"/>
    <w:semiHidden/>
    <w:qFormat/>
    <w:uiPriority w:val="0"/>
    <w:pPr>
      <w:tabs>
        <w:tab w:val="clear" w:pos="480"/>
      </w:tabs>
      <w:snapToGrid w:val="0"/>
      <w:spacing w:line="288" w:lineRule="auto"/>
      <w:jc w:val="center"/>
    </w:pPr>
    <w:rPr>
      <w:color w:val="0000FF"/>
      <w:sz w:val="21"/>
    </w:rPr>
  </w:style>
  <w:style w:type="character" w:customStyle="1" w:styleId="2517">
    <w:name w:val="正文文字 3 Char Char Char Char"/>
    <w:semiHidden/>
    <w:qFormat/>
    <w:uiPriority w:val="0"/>
    <w:rPr>
      <w:rFonts w:eastAsia="宋体"/>
      <w:sz w:val="18"/>
      <w:lang w:val="en-US" w:eastAsia="zh-CN" w:bidi="ar-SA"/>
    </w:rPr>
  </w:style>
  <w:style w:type="paragraph" w:customStyle="1" w:styleId="2518">
    <w:name w:val="样式 样式1 Char + 首行缩进:  1 字符"/>
    <w:basedOn w:val="1"/>
    <w:semiHidden/>
    <w:qFormat/>
    <w:uiPriority w:val="0"/>
    <w:pPr>
      <w:tabs>
        <w:tab w:val="left" w:pos="6321"/>
        <w:tab w:val="clear" w:pos="480"/>
      </w:tabs>
      <w:spacing w:line="498" w:lineRule="atLeast"/>
      <w:ind w:firstLine="100" w:firstLineChars="100"/>
    </w:pPr>
    <w:rPr>
      <w:rFonts w:ascii="楷体_GB2312" w:eastAsia="楷体_GB2312" w:cs="宋体"/>
      <w:sz w:val="28"/>
      <w:szCs w:val="20"/>
    </w:rPr>
  </w:style>
  <w:style w:type="paragraph" w:customStyle="1" w:styleId="2519">
    <w:name w:val="gao"/>
    <w:basedOn w:val="1"/>
    <w:semiHidden/>
    <w:qFormat/>
    <w:uiPriority w:val="0"/>
    <w:pPr>
      <w:tabs>
        <w:tab w:val="clear" w:pos="480"/>
      </w:tabs>
      <w:autoSpaceDE w:val="0"/>
      <w:autoSpaceDN w:val="0"/>
      <w:adjustRightInd w:val="0"/>
    </w:pPr>
    <w:rPr>
      <w:rFonts w:ascii="宋体"/>
      <w:kern w:val="0"/>
      <w:sz w:val="28"/>
      <w:szCs w:val="20"/>
    </w:rPr>
  </w:style>
  <w:style w:type="paragraph" w:customStyle="1" w:styleId="2520">
    <w:name w:val="Char Char1 Char Char Char Char Char Char Char Char Char Char Char Char Char Char Char Char Char Char Char Char1 Char"/>
    <w:basedOn w:val="1"/>
    <w:semiHidden/>
    <w:qFormat/>
    <w:uiPriority w:val="0"/>
    <w:pPr>
      <w:tabs>
        <w:tab w:val="clear" w:pos="480"/>
      </w:tabs>
    </w:pPr>
    <w:rPr>
      <w:rFonts w:ascii="宋体" w:hAnsi="宋体" w:cs="宋体"/>
    </w:rPr>
  </w:style>
  <w:style w:type="paragraph" w:customStyle="1" w:styleId="2521">
    <w:name w:val="表格2 Char"/>
    <w:basedOn w:val="1"/>
    <w:semiHidden/>
    <w:qFormat/>
    <w:uiPriority w:val="0"/>
    <w:pPr>
      <w:tabs>
        <w:tab w:val="clear" w:pos="480"/>
      </w:tabs>
      <w:spacing w:line="280" w:lineRule="exact"/>
      <w:jc w:val="center"/>
    </w:pPr>
    <w:rPr>
      <w:rFonts w:ascii="宋体" w:hAnsi="宋体"/>
      <w:bCs/>
      <w:color w:val="000000"/>
      <w:sz w:val="21"/>
      <w:szCs w:val="20"/>
    </w:rPr>
  </w:style>
  <w:style w:type="character" w:customStyle="1" w:styleId="2522">
    <w:name w:val="正文文本缩进 2 Char"/>
    <w:qFormat/>
    <w:uiPriority w:val="0"/>
    <w:rPr>
      <w:rFonts w:ascii="楷体_GB2312" w:hAnsi="宋体" w:eastAsia="宋体"/>
      <w:b/>
      <w:color w:val="000000"/>
      <w:kern w:val="2"/>
      <w:sz w:val="24"/>
      <w:szCs w:val="28"/>
      <w:lang w:val="en-US" w:eastAsia="zh-CN" w:bidi="ar-SA"/>
    </w:rPr>
  </w:style>
  <w:style w:type="character" w:customStyle="1" w:styleId="2523">
    <w:name w:val="表标题  Char1"/>
    <w:semiHidden/>
    <w:qFormat/>
    <w:uiPriority w:val="0"/>
    <w:rPr>
      <w:rFonts w:ascii="楷体_GB2312" w:hAnsi="宋体" w:eastAsia="宋体"/>
      <w:b/>
      <w:color w:val="000000"/>
      <w:kern w:val="24"/>
      <w:sz w:val="24"/>
      <w:szCs w:val="28"/>
      <w:lang w:val="en-US" w:eastAsia="zh-CN" w:bidi="ar-SA"/>
    </w:rPr>
  </w:style>
  <w:style w:type="paragraph" w:customStyle="1" w:styleId="2524">
    <w:name w:val="样式 正文缩进正文（首行缩进两字）表正文正文非缩进正文（首行缩进两字） Char Char Char Char正文（首..."/>
    <w:basedOn w:val="21"/>
    <w:semiHidden/>
    <w:qFormat/>
    <w:uiPriority w:val="0"/>
    <w:pPr>
      <w:tabs>
        <w:tab w:val="clear" w:pos="480"/>
      </w:tabs>
      <w:adjustRightInd w:val="0"/>
      <w:snapToGrid w:val="0"/>
      <w:spacing w:beforeLines="100" w:afterLines="50" w:line="312" w:lineRule="auto"/>
      <w:ind w:left="-119" w:firstLine="600" w:firstLineChars="250"/>
    </w:pPr>
    <w:rPr>
      <w:szCs w:val="20"/>
    </w:rPr>
  </w:style>
  <w:style w:type="character" w:customStyle="1" w:styleId="2525">
    <w:name w:val="样式 表格2 + (符号) 宋体 Char Char"/>
    <w:semiHidden/>
    <w:qFormat/>
    <w:uiPriority w:val="0"/>
    <w:rPr>
      <w:rFonts w:ascii="宋体" w:hAnsi="宋体" w:eastAsia="宋体"/>
      <w:b/>
      <w:bCs/>
      <w:color w:val="000000"/>
      <w:kern w:val="2"/>
      <w:sz w:val="21"/>
      <w:szCs w:val="28"/>
      <w:lang w:val="en-US" w:eastAsia="zh-CN" w:bidi="ar-SA"/>
    </w:rPr>
  </w:style>
  <w:style w:type="paragraph" w:customStyle="1" w:styleId="2526">
    <w:name w:val="表头文字（五号）"/>
    <w:basedOn w:val="1"/>
    <w:semiHidden/>
    <w:qFormat/>
    <w:uiPriority w:val="0"/>
    <w:pPr>
      <w:widowControl/>
      <w:tabs>
        <w:tab w:val="clear" w:pos="480"/>
      </w:tabs>
      <w:adjustRightInd w:val="0"/>
      <w:jc w:val="center"/>
      <w:textAlignment w:val="baseline"/>
    </w:pPr>
    <w:rPr>
      <w:b/>
      <w:kern w:val="0"/>
      <w:sz w:val="21"/>
      <w:szCs w:val="21"/>
    </w:rPr>
  </w:style>
  <w:style w:type="paragraph" w:customStyle="1" w:styleId="2527">
    <w:name w:val="表格-五号"/>
    <w:basedOn w:val="1"/>
    <w:semiHidden/>
    <w:qFormat/>
    <w:uiPriority w:val="0"/>
    <w:pPr>
      <w:tabs>
        <w:tab w:val="clear" w:pos="480"/>
      </w:tabs>
      <w:adjustRightInd w:val="0"/>
      <w:spacing w:before="100" w:beforeAutospacing="1" w:after="100" w:afterAutospacing="1" w:line="312" w:lineRule="auto"/>
      <w:jc w:val="center"/>
      <w:textAlignment w:val="baseline"/>
    </w:pPr>
    <w:rPr>
      <w:rFonts w:ascii="宋体"/>
      <w:kern w:val="0"/>
      <w:sz w:val="21"/>
    </w:rPr>
  </w:style>
  <w:style w:type="paragraph" w:customStyle="1" w:styleId="2528">
    <w:name w:val="宗兴正文"/>
    <w:basedOn w:val="1"/>
    <w:link w:val="2529"/>
    <w:semiHidden/>
    <w:qFormat/>
    <w:uiPriority w:val="0"/>
    <w:pPr>
      <w:tabs>
        <w:tab w:val="clear" w:pos="480"/>
      </w:tabs>
      <w:spacing w:before="93" w:after="93"/>
      <w:ind w:firstLine="480"/>
    </w:pPr>
    <w:rPr>
      <w:snapToGrid w:val="0"/>
    </w:rPr>
  </w:style>
  <w:style w:type="character" w:customStyle="1" w:styleId="2529">
    <w:name w:val="宗兴正文 Char"/>
    <w:link w:val="2528"/>
    <w:qFormat/>
    <w:uiPriority w:val="0"/>
    <w:rPr>
      <w:rFonts w:eastAsia="宋体"/>
      <w:snapToGrid w:val="0"/>
      <w:kern w:val="2"/>
      <w:sz w:val="24"/>
      <w:szCs w:val="24"/>
      <w:lang w:val="en-US" w:eastAsia="zh-CN" w:bidi="ar-SA"/>
    </w:rPr>
  </w:style>
  <w:style w:type="paragraph" w:customStyle="1" w:styleId="2530">
    <w:name w:val="Char Char Char Char Char1"/>
    <w:basedOn w:val="1"/>
    <w:semiHidden/>
    <w:qFormat/>
    <w:uiPriority w:val="0"/>
    <w:pPr>
      <w:widowControl/>
      <w:tabs>
        <w:tab w:val="clear" w:pos="480"/>
      </w:tabs>
      <w:spacing w:after="160" w:line="240" w:lineRule="exact"/>
      <w:jc w:val="left"/>
    </w:pPr>
    <w:rPr>
      <w:rFonts w:ascii="Verdana" w:hAnsi="Verdana"/>
      <w:kern w:val="0"/>
      <w:sz w:val="21"/>
      <w:szCs w:val="20"/>
      <w:lang w:eastAsia="en-US"/>
    </w:rPr>
  </w:style>
  <w:style w:type="character" w:customStyle="1" w:styleId="2531">
    <w:name w:val="正文1111 Char"/>
    <w:link w:val="2477"/>
    <w:qFormat/>
    <w:uiPriority w:val="0"/>
    <w:rPr>
      <w:rFonts w:eastAsia="宋体"/>
      <w:b/>
      <w:kern w:val="2"/>
      <w:sz w:val="24"/>
      <w:szCs w:val="24"/>
      <w:lang w:val="en-US" w:eastAsia="zh-CN" w:bidi="ar-SA"/>
    </w:rPr>
  </w:style>
  <w:style w:type="character" w:customStyle="1" w:styleId="2532">
    <w:name w:val="yiyuan21"/>
    <w:semiHidden/>
    <w:qFormat/>
    <w:uiPriority w:val="0"/>
    <w:rPr>
      <w:rFonts w:hint="default" w:ascii="Hei" w:hAnsi="Hei"/>
      <w:sz w:val="21"/>
    </w:rPr>
  </w:style>
  <w:style w:type="paragraph" w:customStyle="1" w:styleId="2533">
    <w:name w:val="列表(L)"/>
    <w:basedOn w:val="66"/>
    <w:link w:val="2534"/>
    <w:semiHidden/>
    <w:qFormat/>
    <w:uiPriority w:val="0"/>
    <w:pPr>
      <w:snapToGrid w:val="0"/>
      <w:ind w:left="0" w:firstLine="0" w:firstLineChars="0"/>
    </w:pPr>
    <w:rPr>
      <w:rFonts w:cs="宋体"/>
      <w:szCs w:val="20"/>
    </w:rPr>
  </w:style>
  <w:style w:type="character" w:customStyle="1" w:styleId="2534">
    <w:name w:val="列表(L) Char"/>
    <w:link w:val="2533"/>
    <w:qFormat/>
    <w:uiPriority w:val="0"/>
    <w:rPr>
      <w:rFonts w:eastAsia="宋体" w:cs="宋体"/>
      <w:kern w:val="2"/>
      <w:sz w:val="21"/>
      <w:lang w:val="en-US" w:eastAsia="zh-CN" w:bidi="ar-SA"/>
    </w:rPr>
  </w:style>
  <w:style w:type="paragraph" w:customStyle="1" w:styleId="2535">
    <w:name w:val="Char Char Char Char Char Char Char Char Char Char Char Char1 Char Char Char Char Char Char Char Char Char Char"/>
    <w:basedOn w:val="1"/>
    <w:semiHidden/>
    <w:qFormat/>
    <w:uiPriority w:val="0"/>
    <w:pPr>
      <w:tabs>
        <w:tab w:val="clear" w:pos="480"/>
      </w:tabs>
    </w:pPr>
    <w:rPr>
      <w:rFonts w:ascii="宋体" w:hAnsi="宋体"/>
      <w:szCs w:val="20"/>
    </w:rPr>
  </w:style>
  <w:style w:type="character" w:customStyle="1" w:styleId="2536">
    <w:name w:val="font141"/>
    <w:semiHidden/>
    <w:qFormat/>
    <w:uiPriority w:val="0"/>
    <w:rPr>
      <w:rFonts w:hint="default" w:ascii="Arial" w:hAnsi="Arial" w:cs="Arial"/>
      <w:color w:val="000000"/>
      <w:sz w:val="23"/>
      <w:szCs w:val="23"/>
    </w:rPr>
  </w:style>
  <w:style w:type="character" w:customStyle="1" w:styleId="2537">
    <w:name w:val="style121"/>
    <w:semiHidden/>
    <w:qFormat/>
    <w:uiPriority w:val="0"/>
    <w:rPr>
      <w:sz w:val="20"/>
      <w:szCs w:val="20"/>
    </w:rPr>
  </w:style>
  <w:style w:type="character" w:customStyle="1" w:styleId="2538">
    <w:name w:val="列表项目符号 Char"/>
    <w:semiHidden/>
    <w:qFormat/>
    <w:uiPriority w:val="0"/>
    <w:rPr>
      <w:rFonts w:eastAsia="宋体"/>
      <w:kern w:val="2"/>
      <w:sz w:val="21"/>
      <w:szCs w:val="24"/>
      <w:lang w:val="en-US" w:eastAsia="zh-CN" w:bidi="ar-SA"/>
    </w:rPr>
  </w:style>
  <w:style w:type="character" w:customStyle="1" w:styleId="2539">
    <w:name w:val="gary101"/>
    <w:semiHidden/>
    <w:qFormat/>
    <w:uiPriority w:val="0"/>
    <w:rPr>
      <w:color w:val="000000"/>
      <w:sz w:val="21"/>
      <w:szCs w:val="21"/>
      <w:u w:val="none"/>
    </w:rPr>
  </w:style>
  <w:style w:type="paragraph" w:customStyle="1" w:styleId="2540">
    <w:name w:val="Date1"/>
    <w:basedOn w:val="1"/>
    <w:next w:val="1"/>
    <w:qFormat/>
    <w:uiPriority w:val="0"/>
    <w:pPr>
      <w:tabs>
        <w:tab w:val="clear" w:pos="480"/>
      </w:tabs>
      <w:adjustRightInd w:val="0"/>
      <w:spacing w:line="240" w:lineRule="auto"/>
      <w:textAlignment w:val="baseline"/>
    </w:pPr>
    <w:rPr>
      <w:sz w:val="21"/>
      <w:szCs w:val="20"/>
    </w:rPr>
  </w:style>
  <w:style w:type="character" w:customStyle="1" w:styleId="2541">
    <w:name w:val="main_tdbg_760"/>
    <w:basedOn w:val="132"/>
    <w:semiHidden/>
    <w:qFormat/>
    <w:uiPriority w:val="0"/>
  </w:style>
  <w:style w:type="character" w:customStyle="1" w:styleId="2542">
    <w:name w:val="zhou11"/>
    <w:basedOn w:val="132"/>
    <w:semiHidden/>
    <w:qFormat/>
    <w:uiPriority w:val="0"/>
  </w:style>
  <w:style w:type="paragraph" w:customStyle="1" w:styleId="2543">
    <w:name w:val="K4"/>
    <w:basedOn w:val="6"/>
    <w:qFormat/>
    <w:uiPriority w:val="0"/>
    <w:pPr>
      <w:tabs>
        <w:tab w:val="left" w:pos="720"/>
        <w:tab w:val="clear" w:pos="480"/>
      </w:tabs>
      <w:spacing w:before="0" w:after="0"/>
    </w:pPr>
    <w:rPr>
      <w:rFonts w:ascii="Times New Roman" w:hAnsi="Times New Roman" w:eastAsia="宋体"/>
      <w:kern w:val="0"/>
      <w:szCs w:val="24"/>
    </w:rPr>
  </w:style>
  <w:style w:type="character" w:customStyle="1" w:styleId="2544">
    <w:name w:val="TT表格标题 Char Char"/>
    <w:qFormat/>
    <w:uiPriority w:val="0"/>
    <w:rPr>
      <w:rFonts w:eastAsia="宋体"/>
      <w:b/>
      <w:sz w:val="24"/>
      <w:lang w:val="en-US" w:eastAsia="zh-CN" w:bidi="ar-SA"/>
    </w:rPr>
  </w:style>
  <w:style w:type="paragraph" w:customStyle="1" w:styleId="2545">
    <w:name w:val="表格文字KK"/>
    <w:basedOn w:val="1"/>
    <w:qFormat/>
    <w:uiPriority w:val="0"/>
    <w:pPr>
      <w:tabs>
        <w:tab w:val="clear" w:pos="480"/>
      </w:tabs>
      <w:spacing w:line="240" w:lineRule="auto"/>
      <w:jc w:val="center"/>
    </w:pPr>
    <w:rPr>
      <w:sz w:val="21"/>
      <w:szCs w:val="22"/>
    </w:rPr>
  </w:style>
  <w:style w:type="character" w:customStyle="1" w:styleId="2546">
    <w:name w:val="样式 正文"/>
    <w:semiHidden/>
    <w:qFormat/>
    <w:uiPriority w:val="0"/>
    <w:rPr>
      <w:rFonts w:ascii="Times New Roman" w:hAnsi="Times New Roman" w:eastAsia="宋体"/>
      <w:snapToGrid/>
      <w:spacing w:val="0"/>
      <w:w w:val="100"/>
      <w:kern w:val="2"/>
      <w:position w:val="0"/>
      <w:sz w:val="24"/>
    </w:rPr>
  </w:style>
  <w:style w:type="paragraph" w:customStyle="1" w:styleId="2547">
    <w:name w:val="表头+times new roma"/>
    <w:basedOn w:val="1"/>
    <w:qFormat/>
    <w:uiPriority w:val="0"/>
    <w:pPr>
      <w:tabs>
        <w:tab w:val="clear" w:pos="480"/>
      </w:tabs>
    </w:pPr>
    <w:rPr>
      <w:rFonts w:cs="宋体"/>
    </w:rPr>
  </w:style>
  <w:style w:type="character" w:customStyle="1" w:styleId="2548">
    <w:name w:val="正文文字缩进 2 Char Char2"/>
    <w:qFormat/>
    <w:uiPriority w:val="0"/>
    <w:rPr>
      <w:rFonts w:ascii="宋体"/>
      <w:sz w:val="24"/>
    </w:rPr>
  </w:style>
  <w:style w:type="character" w:customStyle="1" w:styleId="2549">
    <w:name w:val="图文 Char2"/>
    <w:qFormat/>
    <w:uiPriority w:val="0"/>
    <w:rPr>
      <w:kern w:val="2"/>
      <w:sz w:val="21"/>
      <w:szCs w:val="24"/>
    </w:rPr>
  </w:style>
  <w:style w:type="character" w:customStyle="1" w:styleId="2550">
    <w:name w:val="落款 Char Char2"/>
    <w:qFormat/>
    <w:uiPriority w:val="0"/>
    <w:rPr>
      <w:kern w:val="2"/>
      <w:sz w:val="28"/>
      <w:szCs w:val="24"/>
    </w:rPr>
  </w:style>
  <w:style w:type="paragraph" w:customStyle="1" w:styleId="2551">
    <w:name w:val="批注框文本11"/>
    <w:basedOn w:val="1"/>
    <w:qFormat/>
    <w:uiPriority w:val="0"/>
    <w:pPr>
      <w:tabs>
        <w:tab w:val="clear" w:pos="480"/>
      </w:tabs>
    </w:pPr>
    <w:rPr>
      <w:sz w:val="18"/>
      <w:szCs w:val="18"/>
    </w:rPr>
  </w:style>
  <w:style w:type="paragraph" w:customStyle="1" w:styleId="2552">
    <w:name w:val="日期12"/>
    <w:basedOn w:val="1"/>
    <w:next w:val="1"/>
    <w:qFormat/>
    <w:uiPriority w:val="0"/>
    <w:pPr>
      <w:tabs>
        <w:tab w:val="clear" w:pos="480"/>
      </w:tabs>
      <w:adjustRightInd w:val="0"/>
      <w:textAlignment w:val="baseline"/>
    </w:pPr>
    <w:rPr>
      <w:szCs w:val="20"/>
    </w:rPr>
  </w:style>
  <w:style w:type="paragraph" w:customStyle="1" w:styleId="2553">
    <w:name w:val="批注框文本2"/>
    <w:basedOn w:val="1"/>
    <w:qFormat/>
    <w:uiPriority w:val="0"/>
    <w:pPr>
      <w:tabs>
        <w:tab w:val="clear" w:pos="480"/>
      </w:tabs>
    </w:pPr>
    <w:rPr>
      <w:sz w:val="18"/>
      <w:szCs w:val="18"/>
    </w:rPr>
  </w:style>
  <w:style w:type="paragraph" w:customStyle="1" w:styleId="2554">
    <w:name w:val="日期2"/>
    <w:basedOn w:val="1"/>
    <w:next w:val="1"/>
    <w:qFormat/>
    <w:uiPriority w:val="0"/>
    <w:pPr>
      <w:tabs>
        <w:tab w:val="clear" w:pos="480"/>
      </w:tabs>
      <w:adjustRightInd w:val="0"/>
      <w:textAlignment w:val="baseline"/>
    </w:pPr>
    <w:rPr>
      <w:szCs w:val="20"/>
    </w:rPr>
  </w:style>
  <w:style w:type="paragraph" w:customStyle="1" w:styleId="2555">
    <w:name w:val="纯文本2"/>
    <w:basedOn w:val="1"/>
    <w:qFormat/>
    <w:uiPriority w:val="0"/>
    <w:pPr>
      <w:tabs>
        <w:tab w:val="clear" w:pos="480"/>
      </w:tabs>
      <w:adjustRightInd w:val="0"/>
    </w:pPr>
    <w:rPr>
      <w:rFonts w:ascii="宋体" w:hAnsi="Courier New"/>
      <w:szCs w:val="20"/>
    </w:rPr>
  </w:style>
  <w:style w:type="paragraph" w:customStyle="1" w:styleId="2556">
    <w:name w:val="Char Char Char Char Char Char2"/>
    <w:basedOn w:val="1"/>
    <w:qFormat/>
    <w:uiPriority w:val="0"/>
    <w:pPr>
      <w:tabs>
        <w:tab w:val="clear" w:pos="480"/>
      </w:tabs>
    </w:pPr>
    <w:rPr>
      <w:szCs w:val="22"/>
    </w:rPr>
  </w:style>
  <w:style w:type="paragraph" w:customStyle="1" w:styleId="2557">
    <w:name w:val="Char Char Char Char Char Char Char Char Char Char2"/>
    <w:basedOn w:val="1"/>
    <w:qFormat/>
    <w:uiPriority w:val="0"/>
    <w:pPr>
      <w:tabs>
        <w:tab w:val="clear" w:pos="480"/>
      </w:tabs>
      <w:adjustRightInd w:val="0"/>
    </w:pPr>
    <w:rPr>
      <w:kern w:val="0"/>
      <w:szCs w:val="20"/>
    </w:rPr>
  </w:style>
  <w:style w:type="character" w:customStyle="1" w:styleId="2558">
    <w:name w:val="head31"/>
    <w:qFormat/>
    <w:uiPriority w:val="0"/>
    <w:rPr>
      <w:b/>
      <w:bCs/>
      <w:sz w:val="24"/>
      <w:szCs w:val="24"/>
      <w:u w:val="none"/>
    </w:rPr>
  </w:style>
  <w:style w:type="paragraph" w:customStyle="1" w:styleId="2559">
    <w:name w:val="Char Char Char Char Char Char Char Char Char Char Char1 Char1"/>
    <w:basedOn w:val="1"/>
    <w:qFormat/>
    <w:uiPriority w:val="0"/>
    <w:pPr>
      <w:tabs>
        <w:tab w:val="clear" w:pos="480"/>
      </w:tabs>
      <w:spacing w:line="240" w:lineRule="auto"/>
    </w:pPr>
  </w:style>
  <w:style w:type="paragraph" w:customStyle="1" w:styleId="2560">
    <w:name w:val="Char Char1 Char Char Char Char Char Char Char1"/>
    <w:basedOn w:val="1"/>
    <w:qFormat/>
    <w:uiPriority w:val="0"/>
    <w:pPr>
      <w:tabs>
        <w:tab w:val="clear" w:pos="480"/>
      </w:tabs>
      <w:spacing w:line="240" w:lineRule="auto"/>
    </w:pPr>
    <w:rPr>
      <w:sz w:val="21"/>
    </w:rPr>
  </w:style>
  <w:style w:type="paragraph" w:customStyle="1" w:styleId="2561">
    <w:name w:val="列出段落1"/>
    <w:basedOn w:val="1"/>
    <w:qFormat/>
    <w:uiPriority w:val="0"/>
    <w:pPr>
      <w:tabs>
        <w:tab w:val="clear" w:pos="480"/>
      </w:tabs>
      <w:spacing w:line="240" w:lineRule="auto"/>
      <w:ind w:left="720"/>
    </w:pPr>
    <w:rPr>
      <w:sz w:val="21"/>
    </w:rPr>
  </w:style>
  <w:style w:type="paragraph" w:customStyle="1" w:styleId="2562">
    <w:name w:val="批注框文本3"/>
    <w:basedOn w:val="1"/>
    <w:qFormat/>
    <w:uiPriority w:val="0"/>
    <w:pPr>
      <w:tabs>
        <w:tab w:val="clear" w:pos="480"/>
      </w:tabs>
      <w:spacing w:line="240" w:lineRule="auto"/>
    </w:pPr>
    <w:rPr>
      <w:sz w:val="18"/>
      <w:szCs w:val="18"/>
    </w:rPr>
  </w:style>
  <w:style w:type="paragraph" w:customStyle="1" w:styleId="2563">
    <w:name w:val="日期3"/>
    <w:basedOn w:val="1"/>
    <w:next w:val="1"/>
    <w:qFormat/>
    <w:uiPriority w:val="0"/>
    <w:pPr>
      <w:tabs>
        <w:tab w:val="clear" w:pos="480"/>
      </w:tabs>
      <w:adjustRightInd w:val="0"/>
      <w:spacing w:line="240" w:lineRule="auto"/>
      <w:textAlignment w:val="baseline"/>
    </w:pPr>
    <w:rPr>
      <w:szCs w:val="20"/>
    </w:rPr>
  </w:style>
  <w:style w:type="paragraph" w:customStyle="1" w:styleId="2564">
    <w:name w:val="纯文本3"/>
    <w:basedOn w:val="1"/>
    <w:qFormat/>
    <w:uiPriority w:val="0"/>
    <w:pPr>
      <w:tabs>
        <w:tab w:val="clear" w:pos="480"/>
      </w:tabs>
      <w:adjustRightInd w:val="0"/>
      <w:spacing w:line="240" w:lineRule="auto"/>
    </w:pPr>
    <w:rPr>
      <w:rFonts w:ascii="宋体" w:hAnsi="Courier New"/>
      <w:sz w:val="21"/>
      <w:szCs w:val="20"/>
    </w:rPr>
  </w:style>
  <w:style w:type="character" w:customStyle="1" w:styleId="2565">
    <w:name w:val="txt11"/>
    <w:qFormat/>
    <w:uiPriority w:val="0"/>
    <w:rPr>
      <w:rFonts w:hint="eastAsia" w:ascii="宋体" w:hAnsi="宋体" w:eastAsia="宋体"/>
      <w:b/>
      <w:bCs/>
      <w:color w:val="FF3300"/>
      <w:sz w:val="27"/>
      <w:szCs w:val="27"/>
      <w:u w:val="none"/>
    </w:rPr>
  </w:style>
  <w:style w:type="character" w:customStyle="1" w:styleId="2566">
    <w:name w:val="apple-converted-space"/>
    <w:basedOn w:val="132"/>
    <w:qFormat/>
    <w:uiPriority w:val="0"/>
  </w:style>
  <w:style w:type="character" w:customStyle="1" w:styleId="2567">
    <w:name w:val="落款 Char Char"/>
    <w:semiHidden/>
    <w:qFormat/>
    <w:uiPriority w:val="0"/>
    <w:rPr>
      <w:rFonts w:ascii="Times New Roman" w:hAnsi="Times New Roman" w:eastAsia="宋体" w:cs="Times New Roman"/>
      <w:color w:val="FF0000"/>
      <w:kern w:val="2"/>
      <w:sz w:val="21"/>
      <w:szCs w:val="22"/>
    </w:rPr>
  </w:style>
  <w:style w:type="table" w:customStyle="1" w:styleId="2568">
    <w:name w:val="中等深浅底纹 1 - 强调文字颜色 31"/>
    <w:basedOn w:val="87"/>
    <w:qFormat/>
    <w:uiPriority w:val="0"/>
    <w:rPr>
      <w:rFonts w:ascii="Calibri" w:hAnsi="Calibri"/>
    </w:rPr>
    <w:tblPr>
      <w:tblBorders>
        <w:top w:val="single" w:color="B3CC82" w:sz="8" w:space="0"/>
        <w:left w:val="single" w:color="B3CC82" w:sz="8" w:space="0"/>
        <w:bottom w:val="single" w:color="B3CC82" w:sz="8" w:space="0"/>
        <w:right w:val="single" w:color="B3CC82" w:sz="8" w:space="0"/>
        <w:insideH w:val="single" w:color="B3CC82" w:sz="8" w:space="0"/>
      </w:tblBorders>
    </w:tblPr>
    <w:tblStylePr w:type="firstRow">
      <w:pPr>
        <w:spacing w:before="0" w:after="0" w:line="240" w:lineRule="auto"/>
      </w:pPr>
      <w:rPr>
        <w:b/>
        <w:bCs/>
        <w:color w:val="FFFFFF"/>
      </w:rPr>
      <w:tcPr>
        <w:tcBorders>
          <w:top w:val="single" w:color="B3CC82" w:sz="8" w:space="0"/>
          <w:left w:val="single" w:color="B3CC82" w:sz="8" w:space="0"/>
          <w:bottom w:val="single" w:color="B3CC82" w:sz="8" w:space="0"/>
          <w:right w:val="single" w:color="B3CC82" w:sz="8" w:space="0"/>
          <w:insideH w:val="nil"/>
          <w:insideV w:val="nil"/>
        </w:tcBorders>
        <w:shd w:val="clear" w:color="auto" w:fill="9BBB59"/>
      </w:tcPr>
    </w:tblStylePr>
    <w:tblStylePr w:type="lastRow">
      <w:pPr>
        <w:spacing w:before="0" w:after="0" w:line="240" w:lineRule="auto"/>
      </w:pPr>
      <w:rPr>
        <w:b/>
        <w:bCs/>
      </w:rPr>
      <w:tcPr>
        <w:tcBorders>
          <w:top w:val="double" w:color="B3CC82" w:sz="6" w:space="0"/>
          <w:left w:val="single" w:color="B3CC82" w:sz="8" w:space="0"/>
          <w:bottom w:val="single" w:color="B3CC82" w:sz="8" w:space="0"/>
          <w:right w:val="single" w:color="B3CC82" w:sz="8" w:space="0"/>
          <w:insideH w:val="nil"/>
          <w:insideV w:val="nil"/>
        </w:tcBorders>
      </w:tcPr>
    </w:tblStylePr>
    <w:tblStylePr w:type="firstCol">
      <w:rPr>
        <w:b/>
        <w:bCs/>
      </w:rPr>
    </w:tblStylePr>
    <w:tblStylePr w:type="lastCol">
      <w:rPr>
        <w:b/>
        <w:bCs/>
      </w:rPr>
    </w:tblStylePr>
    <w:tblStylePr w:type="band1Vert">
      <w:tcPr>
        <w:shd w:val="clear" w:color="auto" w:fill="E6EED5"/>
      </w:tcPr>
    </w:tblStylePr>
    <w:tblStylePr w:type="band1Horz">
      <w:tcPr>
        <w:tcBorders>
          <w:insideH w:val="nil"/>
          <w:insideV w:val="nil"/>
        </w:tcBorders>
        <w:shd w:val="clear" w:color="auto" w:fill="E6EED5"/>
      </w:tcPr>
    </w:tblStylePr>
    <w:tblStylePr w:type="band2Horz">
      <w:tcPr>
        <w:tcBorders>
          <w:insideH w:val="nil"/>
          <w:insideV w:val="nil"/>
        </w:tcBorders>
      </w:tcPr>
    </w:tblStylePr>
  </w:style>
  <w:style w:type="table" w:customStyle="1" w:styleId="2569">
    <w:name w:val="中等深浅网格 3 - 强调文字颜色 31"/>
    <w:basedOn w:val="87"/>
    <w:qFormat/>
    <w:uiPriority w:val="0"/>
    <w:rPr>
      <w:rFonts w:ascii="Calibri" w:hAnsi="Calibri"/>
    </w:rPr>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E6EED5"/>
    </w:tcPr>
    <w:tblStylePr w:type="firstRow">
      <w:rPr>
        <w:b/>
        <w:bCs/>
        <w:i w:val="0"/>
        <w:iCs w:val="0"/>
        <w:color w:val="FFFFFF"/>
      </w:rPr>
      <w:tcPr>
        <w:tcBorders>
          <w:top w:val="single" w:color="FFFFFF" w:sz="8" w:space="0"/>
          <w:left w:val="single" w:color="FFFFFF" w:sz="8" w:space="0"/>
          <w:bottom w:val="single" w:color="FFFFFF" w:sz="24" w:space="0"/>
          <w:right w:val="single" w:color="FFFFFF" w:sz="8" w:space="0"/>
          <w:insideH w:val="nil"/>
          <w:insideV w:val="single" w:sz="8" w:space="0"/>
        </w:tcBorders>
        <w:shd w:val="clear" w:color="auto" w:fill="9BBB59"/>
      </w:tcPr>
    </w:tblStylePr>
    <w:tblStylePr w:type="lastRow">
      <w:rPr>
        <w:b/>
        <w:bCs/>
        <w:i w:val="0"/>
        <w:iCs w:val="0"/>
        <w:color w:val="FFFFFF"/>
      </w:r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9BBB59"/>
      </w:tcPr>
    </w:tblStylePr>
    <w:tblStylePr w:type="firstCol">
      <w:rPr>
        <w:b/>
        <w:bCs/>
        <w:i w:val="0"/>
        <w:iCs w:val="0"/>
        <w:color w:val="FFFFFF"/>
      </w:rPr>
      <w:tcPr>
        <w:tcBorders>
          <w:left w:val="single" w:color="FFFFFF" w:sz="8" w:space="0"/>
          <w:right w:val="single" w:color="FFFFFF" w:sz="24" w:space="0"/>
          <w:insideH w:val="nil"/>
          <w:insideV w:val="nil"/>
        </w:tcBorders>
        <w:shd w:val="clear" w:color="auto" w:fill="9BBB59"/>
      </w:tcPr>
    </w:tblStylePr>
    <w:tblStylePr w:type="lastCol">
      <w:rPr>
        <w:b/>
        <w:bCs/>
        <w:i w:val="0"/>
        <w:iCs w:val="0"/>
        <w:color w:val="FFFFFF"/>
      </w:rPr>
      <w:tcPr>
        <w:tcBorders>
          <w:top w:val="nil"/>
          <w:left w:val="single" w:color="FFFFFF" w:sz="24" w:space="0"/>
          <w:bottom w:val="nil"/>
          <w:right w:val="nil"/>
          <w:insideH w:val="nil"/>
          <w:insideV w:val="nil"/>
        </w:tcBorders>
        <w:shd w:val="clear" w:color="auto" w:fill="9BBB59"/>
      </w:tcPr>
    </w:tblStylePr>
    <w:tblStylePr w:type="band1Vert">
      <w:tcPr>
        <w:tcBorders>
          <w:top w:val="single" w:color="FFFFFF" w:sz="8" w:space="0"/>
          <w:left w:val="single" w:color="FFFFFF" w:sz="8" w:space="0"/>
          <w:bottom w:val="single" w:color="FFFFFF" w:sz="8" w:space="0"/>
          <w:right w:val="single" w:color="FFFFFF" w:sz="8" w:space="0"/>
          <w:insideH w:val="nil"/>
          <w:insideV w:val="nil"/>
        </w:tcBorders>
        <w:shd w:val="clear" w:color="auto" w:fill="CDDDAC"/>
      </w:tcPr>
    </w:tblStylePr>
    <w:tblStylePr w:type="band1Horz">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CDDDAC"/>
      </w:tcPr>
    </w:tblStylePr>
  </w:style>
  <w:style w:type="paragraph" w:customStyle="1" w:styleId="2570">
    <w:name w:val="样式 列表 Char + 居中"/>
    <w:basedOn w:val="66"/>
    <w:qFormat/>
    <w:uiPriority w:val="0"/>
    <w:pPr>
      <w:snapToGrid w:val="0"/>
      <w:ind w:left="0" w:firstLine="0" w:firstLineChars="0"/>
    </w:pPr>
    <w:rPr>
      <w:rFonts w:cs="宋体"/>
      <w:szCs w:val="20"/>
    </w:rPr>
  </w:style>
  <w:style w:type="paragraph" w:customStyle="1" w:styleId="2571">
    <w:name w:val="正文(a)"/>
    <w:basedOn w:val="34"/>
    <w:qFormat/>
    <w:uiPriority w:val="0"/>
    <w:pPr>
      <w:widowControl/>
      <w:tabs>
        <w:tab w:val="left" w:pos="1139"/>
        <w:tab w:val="left" w:pos="1332"/>
      </w:tabs>
      <w:spacing w:line="351" w:lineRule="atLeast"/>
      <w:ind w:left="-141" w:firstLine="566"/>
      <w:textAlignment w:val="baseline"/>
    </w:pPr>
    <w:rPr>
      <w:rFonts w:hAnsi="Times New Roman"/>
      <w:color w:val="000000"/>
      <w:spacing w:val="5"/>
      <w:szCs w:val="24"/>
      <w:u w:color="000000"/>
    </w:rPr>
  </w:style>
  <w:style w:type="paragraph" w:customStyle="1" w:styleId="2572">
    <w:name w:val="样式 正文编号（1） +"/>
    <w:basedOn w:val="1"/>
    <w:qFormat/>
    <w:uiPriority w:val="0"/>
    <w:pPr>
      <w:tabs>
        <w:tab w:val="left" w:pos="360"/>
        <w:tab w:val="left" w:pos="572"/>
        <w:tab w:val="clear" w:pos="480"/>
      </w:tabs>
      <w:spacing w:line="520" w:lineRule="exact"/>
      <w:ind w:left="360" w:hanging="360"/>
    </w:pPr>
    <w:rPr>
      <w:kern w:val="0"/>
      <w:sz w:val="28"/>
    </w:rPr>
  </w:style>
  <w:style w:type="paragraph" w:customStyle="1" w:styleId="2573">
    <w:name w:val="样式 列表 + 黑色 左侧:  0 厘米 悬挂缩进: 2 字符 段前: 0.5 行"/>
    <w:basedOn w:val="66"/>
    <w:qFormat/>
    <w:uiPriority w:val="0"/>
    <w:pPr>
      <w:spacing w:beforeLines="50"/>
    </w:pPr>
    <w:rPr>
      <w:rFonts w:eastAsia="仿宋_GB2312"/>
      <w:color w:val="000000"/>
      <w:sz w:val="24"/>
      <w:szCs w:val="20"/>
    </w:rPr>
  </w:style>
  <w:style w:type="paragraph" w:customStyle="1" w:styleId="2574">
    <w:name w:val="调查表正文"/>
    <w:qFormat/>
    <w:uiPriority w:val="0"/>
    <w:pPr>
      <w:ind w:firstLine="200" w:firstLineChars="200"/>
      <w:jc w:val="center"/>
    </w:pPr>
    <w:rPr>
      <w:rFonts w:ascii="Times New Roman" w:hAnsi="Times New Roman" w:eastAsia="宋体" w:cs="Times New Roman"/>
      <w:color w:val="000000"/>
      <w:kern w:val="2"/>
      <w:sz w:val="24"/>
      <w:szCs w:val="24"/>
      <w:lang w:val="en-US" w:eastAsia="zh-CN" w:bidi="ar-SA"/>
    </w:rPr>
  </w:style>
  <w:style w:type="paragraph" w:customStyle="1" w:styleId="2575">
    <w:name w:val="流程文字"/>
    <w:qFormat/>
    <w:uiPriority w:val="0"/>
    <w:pPr>
      <w:spacing w:line="440" w:lineRule="exact"/>
      <w:jc w:val="center"/>
    </w:pPr>
    <w:rPr>
      <w:rFonts w:ascii="楷体_GB2312" w:hAnsi="Times New Roman" w:eastAsia="楷体_GB2312" w:cs="Times New Roman"/>
      <w:kern w:val="2"/>
      <w:sz w:val="28"/>
      <w:szCs w:val="24"/>
      <w:lang w:val="en-US" w:eastAsia="zh-CN" w:bidi="ar-SA"/>
    </w:rPr>
  </w:style>
  <w:style w:type="character" w:customStyle="1" w:styleId="2576">
    <w:name w:val="批注文字 Char"/>
    <w:qFormat/>
    <w:uiPriority w:val="99"/>
    <w:rPr>
      <w:kern w:val="2"/>
      <w:sz w:val="21"/>
      <w:szCs w:val="24"/>
    </w:rPr>
  </w:style>
  <w:style w:type="paragraph" w:customStyle="1" w:styleId="2577">
    <w:name w:val="第一标题"/>
    <w:basedOn w:val="3"/>
    <w:qFormat/>
    <w:uiPriority w:val="0"/>
    <w:pPr>
      <w:numPr>
        <w:numId w:val="0"/>
      </w:numPr>
      <w:tabs>
        <w:tab w:val="clear" w:pos="480"/>
      </w:tabs>
      <w:snapToGrid w:val="0"/>
      <w:spacing w:beforeAutospacing="1" w:afterAutospacing="1"/>
      <w:jc w:val="center"/>
    </w:pPr>
    <w:rPr>
      <w:rFonts w:ascii="Times New Roman" w:eastAsia="宋体" w:cs="宋体"/>
      <w:sz w:val="44"/>
    </w:rPr>
  </w:style>
  <w:style w:type="paragraph" w:customStyle="1" w:styleId="2578">
    <w:name w:val="第四层标题"/>
    <w:basedOn w:val="1"/>
    <w:qFormat/>
    <w:uiPriority w:val="0"/>
    <w:pPr>
      <w:tabs>
        <w:tab w:val="clear" w:pos="480"/>
      </w:tabs>
      <w:outlineLvl w:val="3"/>
    </w:pPr>
    <w:rPr>
      <w:rFonts w:ascii="Arial" w:hAnsi="Arial"/>
      <w:b/>
      <w:szCs w:val="28"/>
    </w:rPr>
  </w:style>
  <w:style w:type="paragraph" w:customStyle="1" w:styleId="2579">
    <w:name w:val="样式 四号 加粗 黑色"/>
    <w:basedOn w:val="1"/>
    <w:next w:val="63"/>
    <w:qFormat/>
    <w:uiPriority w:val="0"/>
    <w:pPr>
      <w:tabs>
        <w:tab w:val="clear" w:pos="480"/>
      </w:tabs>
    </w:pPr>
    <w:rPr>
      <w:rFonts w:cs="宋体"/>
      <w:b/>
      <w:bCs/>
      <w:color w:val="000000"/>
      <w:sz w:val="32"/>
      <w:szCs w:val="20"/>
    </w:rPr>
  </w:style>
  <w:style w:type="paragraph" w:customStyle="1" w:styleId="2580">
    <w:name w:val="样式 小四 加粗"/>
    <w:basedOn w:val="1"/>
    <w:qFormat/>
    <w:uiPriority w:val="0"/>
    <w:pPr>
      <w:tabs>
        <w:tab w:val="clear" w:pos="480"/>
      </w:tabs>
    </w:pPr>
    <w:rPr>
      <w:rFonts w:cs="宋体"/>
      <w:b/>
      <w:bCs/>
      <w:szCs w:val="20"/>
    </w:rPr>
  </w:style>
  <w:style w:type="paragraph" w:customStyle="1" w:styleId="2581">
    <w:name w:val="第四层次"/>
    <w:basedOn w:val="4"/>
    <w:qFormat/>
    <w:uiPriority w:val="0"/>
    <w:pPr>
      <w:numPr>
        <w:ilvl w:val="0"/>
        <w:numId w:val="0"/>
      </w:numPr>
      <w:tabs>
        <w:tab w:val="clear" w:pos="480"/>
        <w:tab w:val="clear" w:pos="630"/>
      </w:tabs>
      <w:spacing w:before="120" w:after="260"/>
    </w:pPr>
    <w:rPr>
      <w:rFonts w:ascii="Arial" w:hAnsi="Arial"/>
      <w:sz w:val="24"/>
      <w:szCs w:val="30"/>
    </w:rPr>
  </w:style>
  <w:style w:type="paragraph" w:customStyle="1" w:styleId="2582">
    <w:name w:val="第二标题"/>
    <w:basedOn w:val="4"/>
    <w:next w:val="4"/>
    <w:qFormat/>
    <w:uiPriority w:val="0"/>
    <w:pPr>
      <w:numPr>
        <w:ilvl w:val="0"/>
        <w:numId w:val="0"/>
      </w:numPr>
      <w:tabs>
        <w:tab w:val="clear" w:pos="480"/>
        <w:tab w:val="clear" w:pos="630"/>
      </w:tabs>
      <w:snapToGrid w:val="0"/>
      <w:spacing w:after="260"/>
    </w:pPr>
    <w:rPr>
      <w:rFonts w:ascii="Arial" w:hAnsi="Arial" w:eastAsia="黑体"/>
      <w:bCs w:val="0"/>
      <w:sz w:val="36"/>
      <w:szCs w:val="36"/>
    </w:rPr>
  </w:style>
  <w:style w:type="character" w:customStyle="1" w:styleId="2583">
    <w:name w:val="第二标题 Char"/>
    <w:qFormat/>
    <w:uiPriority w:val="0"/>
    <w:rPr>
      <w:rFonts w:ascii="Arial" w:hAnsi="Arial" w:eastAsia="黑体"/>
      <w:b/>
      <w:bCs/>
      <w:kern w:val="2"/>
      <w:sz w:val="36"/>
      <w:szCs w:val="36"/>
    </w:rPr>
  </w:style>
  <w:style w:type="paragraph" w:customStyle="1" w:styleId="2584">
    <w:name w:val="第三标题"/>
    <w:basedOn w:val="5"/>
    <w:qFormat/>
    <w:uiPriority w:val="0"/>
    <w:pPr>
      <w:numPr>
        <w:ilvl w:val="0"/>
        <w:numId w:val="0"/>
      </w:numPr>
      <w:tabs>
        <w:tab w:val="clear" w:pos="480"/>
        <w:tab w:val="clear" w:pos="840"/>
      </w:tabs>
      <w:adjustRightInd w:val="0"/>
      <w:spacing w:beforeLines="50" w:afterLines="50" w:line="240" w:lineRule="atLeast"/>
    </w:pPr>
    <w:rPr>
      <w:rFonts w:ascii="Arial" w:hAnsi="Arial" w:eastAsia="宋体"/>
      <w:sz w:val="32"/>
    </w:rPr>
  </w:style>
  <w:style w:type="character" w:customStyle="1" w:styleId="2585">
    <w:name w:val="第三标题 Char"/>
    <w:qFormat/>
    <w:uiPriority w:val="0"/>
    <w:rPr>
      <w:rFonts w:ascii="Arial" w:hAnsi="Arial"/>
      <w:b/>
      <w:bCs/>
      <w:color w:val="000000"/>
      <w:kern w:val="2"/>
      <w:sz w:val="32"/>
      <w:szCs w:val="32"/>
    </w:rPr>
  </w:style>
  <w:style w:type="paragraph" w:customStyle="1" w:styleId="2586">
    <w:name w:val="样式 第三标题 + 宋体"/>
    <w:basedOn w:val="2584"/>
    <w:qFormat/>
    <w:uiPriority w:val="0"/>
    <w:pPr>
      <w:spacing w:line="360" w:lineRule="auto"/>
    </w:pPr>
    <w:rPr>
      <w:rFonts w:ascii="宋体" w:hAnsi="宋体"/>
    </w:rPr>
  </w:style>
  <w:style w:type="character" w:customStyle="1" w:styleId="2587">
    <w:name w:val="样式 第三标题 + 宋体 Char"/>
    <w:qFormat/>
    <w:uiPriority w:val="0"/>
    <w:rPr>
      <w:rFonts w:ascii="宋体" w:hAnsi="宋体"/>
      <w:b/>
      <w:bCs/>
      <w:color w:val="000000"/>
      <w:kern w:val="2"/>
      <w:sz w:val="32"/>
      <w:szCs w:val="32"/>
    </w:rPr>
  </w:style>
  <w:style w:type="paragraph" w:customStyle="1" w:styleId="2588">
    <w:name w:val="样式 表 + 蓝色"/>
    <w:basedOn w:val="541"/>
    <w:qFormat/>
    <w:uiPriority w:val="0"/>
    <w:pPr>
      <w:snapToGrid/>
      <w:spacing w:line="360" w:lineRule="auto"/>
    </w:pPr>
    <w:rPr>
      <w:rFonts w:ascii="宋体" w:hAnsi="宋体"/>
      <w:b/>
      <w:color w:val="0000FF"/>
      <w:spacing w:val="0"/>
      <w:sz w:val="24"/>
      <w:szCs w:val="24"/>
    </w:rPr>
  </w:style>
  <w:style w:type="paragraph" w:customStyle="1" w:styleId="2589">
    <w:name w:val="退格正文"/>
    <w:basedOn w:val="1"/>
    <w:semiHidden/>
    <w:qFormat/>
    <w:uiPriority w:val="0"/>
    <w:pPr>
      <w:tabs>
        <w:tab w:val="clear" w:pos="480"/>
      </w:tabs>
      <w:ind w:firstLine="538" w:firstLineChars="192"/>
    </w:pPr>
    <w:rPr>
      <w:sz w:val="28"/>
    </w:rPr>
  </w:style>
  <w:style w:type="character" w:customStyle="1" w:styleId="2590">
    <w:name w:val="unnamed3"/>
    <w:basedOn w:val="132"/>
    <w:qFormat/>
    <w:uiPriority w:val="0"/>
  </w:style>
  <w:style w:type="character" w:customStyle="1" w:styleId="2591">
    <w:name w:val="标题 Char"/>
    <w:qFormat/>
    <w:uiPriority w:val="0"/>
    <w:rPr>
      <w:rFonts w:ascii="Arial" w:hAnsi="Arial" w:cs="Arial"/>
      <w:b/>
      <w:bCs/>
      <w:kern w:val="2"/>
      <w:sz w:val="32"/>
      <w:szCs w:val="32"/>
    </w:rPr>
  </w:style>
  <w:style w:type="character" w:customStyle="1" w:styleId="2592">
    <w:name w:val="正文文本 2 Char"/>
    <w:qFormat/>
    <w:uiPriority w:val="0"/>
    <w:rPr>
      <w:rFonts w:hAnsi="宋体"/>
      <w:spacing w:val="-20"/>
      <w:kern w:val="2"/>
      <w:sz w:val="22"/>
    </w:rPr>
  </w:style>
  <w:style w:type="character" w:customStyle="1" w:styleId="2593">
    <w:name w:val="批注主题 Char"/>
    <w:qFormat/>
    <w:uiPriority w:val="0"/>
    <w:rPr>
      <w:b/>
      <w:bCs/>
      <w:kern w:val="2"/>
      <w:sz w:val="21"/>
      <w:szCs w:val="24"/>
    </w:rPr>
  </w:style>
  <w:style w:type="character" w:customStyle="1" w:styleId="2594">
    <w:name w:val="批注框文本 Char"/>
    <w:qFormat/>
    <w:uiPriority w:val="0"/>
    <w:rPr>
      <w:kern w:val="2"/>
      <w:sz w:val="18"/>
      <w:szCs w:val="18"/>
    </w:rPr>
  </w:style>
  <w:style w:type="character" w:customStyle="1" w:styleId="2595">
    <w:name w:val="日期 Char"/>
    <w:qFormat/>
    <w:uiPriority w:val="0"/>
    <w:rPr>
      <w:kern w:val="2"/>
      <w:sz w:val="24"/>
    </w:rPr>
  </w:style>
  <w:style w:type="character" w:customStyle="1" w:styleId="2596">
    <w:name w:val="注释标题 Char"/>
    <w:qFormat/>
    <w:uiPriority w:val="0"/>
    <w:rPr>
      <w:rFonts w:ascii="宋体" w:hAnsi="宋体" w:eastAsia="黑体"/>
      <w:snapToGrid w:val="0"/>
      <w:sz w:val="28"/>
      <w:szCs w:val="24"/>
    </w:rPr>
  </w:style>
  <w:style w:type="paragraph" w:customStyle="1" w:styleId="2597">
    <w:name w:val="正文仿宋"/>
    <w:basedOn w:val="1"/>
    <w:qFormat/>
    <w:uiPriority w:val="0"/>
    <w:pPr>
      <w:tabs>
        <w:tab w:val="clear" w:pos="480"/>
      </w:tabs>
      <w:adjustRightInd w:val="0"/>
      <w:snapToGrid w:val="0"/>
      <w:ind w:firstLine="567"/>
    </w:pPr>
    <w:rPr>
      <w:rFonts w:eastAsia="仿宋_GB2312"/>
      <w:snapToGrid w:val="0"/>
      <w:kern w:val="0"/>
      <w:szCs w:val="20"/>
    </w:rPr>
  </w:style>
  <w:style w:type="paragraph" w:customStyle="1" w:styleId="2598">
    <w:name w:val="正文图小四"/>
    <w:basedOn w:val="1"/>
    <w:qFormat/>
    <w:uiPriority w:val="0"/>
    <w:pPr>
      <w:tabs>
        <w:tab w:val="clear" w:pos="480"/>
      </w:tabs>
      <w:adjustRightInd w:val="0"/>
      <w:snapToGrid w:val="0"/>
      <w:spacing w:line="240" w:lineRule="auto"/>
      <w:jc w:val="center"/>
      <w:textAlignment w:val="baseline"/>
    </w:pPr>
    <w:rPr>
      <w:rFonts w:ascii="宋体"/>
      <w:kern w:val="0"/>
      <w:szCs w:val="20"/>
    </w:rPr>
  </w:style>
  <w:style w:type="paragraph" w:customStyle="1" w:styleId="2599">
    <w:name w:val="编号4号"/>
    <w:basedOn w:val="1"/>
    <w:qFormat/>
    <w:uiPriority w:val="0"/>
    <w:pPr>
      <w:widowControl/>
      <w:tabs>
        <w:tab w:val="clear" w:pos="480"/>
      </w:tabs>
      <w:snapToGrid w:val="0"/>
      <w:spacing w:line="312" w:lineRule="auto"/>
    </w:pPr>
    <w:rPr>
      <w:rFonts w:ascii="Arial" w:hAnsi="Arial" w:cs="Arial"/>
      <w:sz w:val="21"/>
    </w:rPr>
  </w:style>
  <w:style w:type="paragraph" w:customStyle="1" w:styleId="2600">
    <w:name w:val="正文仿宋小四"/>
    <w:basedOn w:val="1"/>
    <w:qFormat/>
    <w:uiPriority w:val="0"/>
    <w:pPr>
      <w:tabs>
        <w:tab w:val="clear" w:pos="480"/>
      </w:tabs>
      <w:adjustRightInd w:val="0"/>
      <w:snapToGrid w:val="0"/>
      <w:ind w:firstLine="480"/>
    </w:pPr>
    <w:rPr>
      <w:rFonts w:eastAsia="仿宋_GB2312"/>
    </w:rPr>
  </w:style>
  <w:style w:type="character" w:customStyle="1" w:styleId="2601">
    <w:name w:val="正文文本 3 Char"/>
    <w:qFormat/>
    <w:uiPriority w:val="0"/>
    <w:rPr>
      <w:kern w:val="2"/>
      <w:sz w:val="21"/>
      <w:szCs w:val="24"/>
    </w:rPr>
  </w:style>
  <w:style w:type="paragraph" w:customStyle="1" w:styleId="2602">
    <w:name w:val="样式 标题 2H2标题1.1节SeHead wsa2标题 1.1节标题 1.11.1标题2b2标题2 + 首..."/>
    <w:basedOn w:val="4"/>
    <w:qFormat/>
    <w:uiPriority w:val="0"/>
    <w:pPr>
      <w:numPr>
        <w:ilvl w:val="0"/>
        <w:numId w:val="0"/>
      </w:numPr>
      <w:tabs>
        <w:tab w:val="clear" w:pos="480"/>
        <w:tab w:val="clear" w:pos="630"/>
      </w:tabs>
      <w:spacing w:before="100" w:after="100" w:line="415" w:lineRule="auto"/>
    </w:pPr>
    <w:rPr>
      <w:rFonts w:ascii="Arial" w:hAnsi="Arial" w:eastAsia="黑体" w:cs="宋体"/>
      <w:b w:val="0"/>
      <w:sz w:val="30"/>
      <w:szCs w:val="20"/>
    </w:rPr>
  </w:style>
  <w:style w:type="paragraph" w:customStyle="1" w:styleId="2603">
    <w:name w:val="表注文"/>
    <w:basedOn w:val="1"/>
    <w:qFormat/>
    <w:uiPriority w:val="0"/>
    <w:pPr>
      <w:tabs>
        <w:tab w:val="clear" w:pos="480"/>
      </w:tabs>
      <w:adjustRightInd w:val="0"/>
      <w:spacing w:after="100" w:line="314" w:lineRule="atLeast"/>
      <w:ind w:left="180" w:hanging="180"/>
      <w:jc w:val="left"/>
      <w:textAlignment w:val="baseline"/>
    </w:pPr>
    <w:rPr>
      <w:kern w:val="0"/>
      <w:sz w:val="18"/>
      <w:szCs w:val="20"/>
    </w:rPr>
  </w:style>
  <w:style w:type="paragraph" w:customStyle="1" w:styleId="2604">
    <w:name w:val="标题02"/>
    <w:basedOn w:val="1"/>
    <w:qFormat/>
    <w:uiPriority w:val="0"/>
    <w:pPr>
      <w:tabs>
        <w:tab w:val="clear" w:pos="480"/>
      </w:tabs>
      <w:outlineLvl w:val="1"/>
    </w:pPr>
    <w:rPr>
      <w:b/>
      <w:sz w:val="28"/>
      <w:szCs w:val="20"/>
    </w:rPr>
  </w:style>
  <w:style w:type="character" w:customStyle="1" w:styleId="2605">
    <w:name w:val="第二节"/>
    <w:qFormat/>
    <w:uiPriority w:val="0"/>
    <w:rPr>
      <w:rFonts w:ascii="黑体" w:eastAsia="黑体"/>
      <w:sz w:val="36"/>
    </w:rPr>
  </w:style>
  <w:style w:type="character" w:customStyle="1" w:styleId="2606">
    <w:name w:val="right-content3"/>
    <w:qFormat/>
    <w:uiPriority w:val="0"/>
    <w:rPr>
      <w:rFonts w:hint="default" w:ascii="Tahoma" w:hAnsi="Tahoma" w:cs="Tahoma"/>
      <w:sz w:val="18"/>
      <w:szCs w:val="18"/>
    </w:rPr>
  </w:style>
  <w:style w:type="character" w:customStyle="1" w:styleId="2607">
    <w:name w:val="正文首行缩进 2 Char"/>
    <w:qFormat/>
    <w:uiPriority w:val="0"/>
    <w:rPr>
      <w:kern w:val="2"/>
      <w:sz w:val="21"/>
      <w:szCs w:val="24"/>
    </w:rPr>
  </w:style>
  <w:style w:type="paragraph" w:customStyle="1" w:styleId="2608">
    <w:name w:val="Char82"/>
    <w:basedOn w:val="1"/>
    <w:qFormat/>
    <w:uiPriority w:val="0"/>
    <w:pPr>
      <w:tabs>
        <w:tab w:val="clear" w:pos="480"/>
      </w:tabs>
      <w:spacing w:line="240" w:lineRule="auto"/>
    </w:pPr>
    <w:rPr>
      <w:rFonts w:ascii="Tahoma" w:hAnsi="Tahoma"/>
      <w:szCs w:val="20"/>
    </w:rPr>
  </w:style>
  <w:style w:type="paragraph" w:customStyle="1" w:styleId="2609">
    <w:name w:val="TOC 标题1"/>
    <w:basedOn w:val="3"/>
    <w:next w:val="1"/>
    <w:qFormat/>
    <w:uiPriority w:val="39"/>
    <w:pPr>
      <w:widowControl/>
      <w:numPr>
        <w:numId w:val="0"/>
      </w:numPr>
      <w:tabs>
        <w:tab w:val="clear" w:pos="480"/>
      </w:tabs>
      <w:spacing w:before="480" w:after="0" w:line="276" w:lineRule="auto"/>
      <w:jc w:val="left"/>
      <w:outlineLvl w:val="9"/>
    </w:pPr>
    <w:rPr>
      <w:rFonts w:ascii="Cambria" w:hAnsi="Cambria" w:eastAsia="宋体"/>
      <w:color w:val="365F91"/>
      <w:kern w:val="0"/>
      <w:sz w:val="28"/>
      <w:szCs w:val="28"/>
    </w:rPr>
  </w:style>
  <w:style w:type="paragraph" w:customStyle="1" w:styleId="2610">
    <w:name w:val="Char Char Char Char Char Char Char Char Char Char3"/>
    <w:basedOn w:val="1"/>
    <w:qFormat/>
    <w:uiPriority w:val="0"/>
    <w:pPr>
      <w:tabs>
        <w:tab w:val="clear" w:pos="480"/>
      </w:tabs>
      <w:spacing w:line="240" w:lineRule="auto"/>
    </w:pPr>
    <w:rPr>
      <w:sz w:val="21"/>
      <w:szCs w:val="21"/>
    </w:rPr>
  </w:style>
  <w:style w:type="paragraph" w:customStyle="1" w:styleId="2611">
    <w:name w:val="Char Char Char11"/>
    <w:basedOn w:val="1"/>
    <w:qFormat/>
    <w:uiPriority w:val="0"/>
    <w:pPr>
      <w:keepNext/>
      <w:widowControl/>
      <w:tabs>
        <w:tab w:val="left" w:pos="425"/>
        <w:tab w:val="clear" w:pos="480"/>
      </w:tabs>
      <w:autoSpaceDE w:val="0"/>
      <w:autoSpaceDN w:val="0"/>
      <w:adjustRightInd w:val="0"/>
      <w:spacing w:before="80" w:after="80" w:line="240" w:lineRule="auto"/>
      <w:ind w:hanging="425"/>
    </w:pPr>
    <w:rPr>
      <w:rFonts w:ascii="Arial" w:hAnsi="Arial" w:cs="Arial"/>
      <w:sz w:val="20"/>
      <w:szCs w:val="20"/>
    </w:rPr>
  </w:style>
  <w:style w:type="paragraph" w:customStyle="1" w:styleId="2612">
    <w:name w:val="纯文本11"/>
    <w:basedOn w:val="1"/>
    <w:qFormat/>
    <w:uiPriority w:val="0"/>
    <w:pPr>
      <w:tabs>
        <w:tab w:val="clear" w:pos="480"/>
      </w:tabs>
      <w:adjustRightInd w:val="0"/>
      <w:spacing w:line="240" w:lineRule="auto"/>
      <w:textAlignment w:val="baseline"/>
    </w:pPr>
    <w:rPr>
      <w:rFonts w:ascii="宋体" w:hAnsi="Courier New"/>
      <w:sz w:val="21"/>
      <w:szCs w:val="20"/>
    </w:rPr>
  </w:style>
  <w:style w:type="character" w:customStyle="1" w:styleId="2613">
    <w:name w:val="Char Char Char2"/>
    <w:qFormat/>
    <w:uiPriority w:val="0"/>
    <w:rPr>
      <w:rFonts w:eastAsia="宋体"/>
      <w:kern w:val="2"/>
      <w:sz w:val="16"/>
      <w:szCs w:val="16"/>
      <w:lang w:val="en-US" w:eastAsia="zh-CN" w:bidi="ar-SA"/>
    </w:rPr>
  </w:style>
  <w:style w:type="paragraph" w:customStyle="1" w:styleId="2614">
    <w:name w:val="Char81"/>
    <w:basedOn w:val="1"/>
    <w:qFormat/>
    <w:uiPriority w:val="0"/>
    <w:pPr>
      <w:tabs>
        <w:tab w:val="clear" w:pos="480"/>
      </w:tabs>
      <w:spacing w:line="240" w:lineRule="auto"/>
    </w:pPr>
    <w:rPr>
      <w:rFonts w:ascii="Tahoma" w:hAnsi="Tahoma"/>
      <w:szCs w:val="20"/>
    </w:rPr>
  </w:style>
  <w:style w:type="character" w:customStyle="1" w:styleId="2615">
    <w:name w:val="副标题 Char"/>
    <w:qFormat/>
    <w:uiPriority w:val="0"/>
    <w:rPr>
      <w:rFonts w:ascii="Cambria" w:hAnsi="Cambria" w:cs="Times New Roman"/>
      <w:b/>
      <w:bCs/>
      <w:kern w:val="28"/>
      <w:sz w:val="32"/>
      <w:szCs w:val="32"/>
    </w:rPr>
  </w:style>
  <w:style w:type="paragraph" w:customStyle="1" w:styleId="2616">
    <w:name w:val="麦志勤表格标题"/>
    <w:basedOn w:val="35"/>
    <w:qFormat/>
    <w:uiPriority w:val="0"/>
    <w:pPr>
      <w:tabs>
        <w:tab w:val="clear" w:pos="480"/>
      </w:tabs>
      <w:adjustRightInd w:val="0"/>
      <w:snapToGrid w:val="0"/>
      <w:spacing w:beforeLines="50" w:afterLines="20" w:line="300" w:lineRule="auto"/>
      <w:ind w:firstLine="0" w:firstLineChars="0"/>
      <w:jc w:val="center"/>
    </w:pPr>
    <w:rPr>
      <w:rFonts w:ascii="宋体" w:hAnsi="宋体"/>
    </w:rPr>
  </w:style>
  <w:style w:type="paragraph" w:customStyle="1" w:styleId="2617">
    <w:name w:val="麦志勤表格式"/>
    <w:basedOn w:val="1"/>
    <w:qFormat/>
    <w:uiPriority w:val="0"/>
    <w:pPr>
      <w:tabs>
        <w:tab w:val="clear" w:pos="480"/>
      </w:tabs>
      <w:adjustRightInd w:val="0"/>
      <w:snapToGrid w:val="0"/>
      <w:spacing w:line="0" w:lineRule="atLeast"/>
      <w:jc w:val="center"/>
    </w:pPr>
    <w:rPr>
      <w:rFonts w:ascii="宋体" w:hAnsi="宋体"/>
      <w:color w:val="000000"/>
    </w:rPr>
  </w:style>
  <w:style w:type="paragraph" w:customStyle="1" w:styleId="2618">
    <w:name w:val="样式 正文首行缩进 2 + 首行缩进:  2 字符"/>
    <w:basedOn w:val="86"/>
    <w:qFormat/>
    <w:uiPriority w:val="0"/>
    <w:pPr>
      <w:tabs>
        <w:tab w:val="clear" w:pos="480"/>
      </w:tabs>
      <w:ind w:left="0" w:leftChars="0" w:firstLine="480"/>
    </w:pPr>
    <w:rPr>
      <w:rFonts w:cs="宋体"/>
      <w:szCs w:val="20"/>
    </w:rPr>
  </w:style>
  <w:style w:type="character" w:customStyle="1" w:styleId="2619">
    <w:name w:val="rcjs_jswm_font1"/>
    <w:qFormat/>
    <w:uiPriority w:val="0"/>
    <w:rPr>
      <w:sz w:val="20"/>
      <w:szCs w:val="20"/>
    </w:rPr>
  </w:style>
  <w:style w:type="paragraph" w:customStyle="1" w:styleId="2620">
    <w:name w:val="样式 正文文本 + 四号 段后: 0 磅 行距: 固定值 24 磅"/>
    <w:basedOn w:val="34"/>
    <w:qFormat/>
    <w:uiPriority w:val="0"/>
    <w:pPr>
      <w:spacing w:line="480" w:lineRule="exact"/>
      <w:ind w:firstLine="630" w:firstLineChars="225"/>
    </w:pPr>
    <w:rPr>
      <w:rFonts w:ascii="Times New Roman" w:hAnsi="Times New Roman"/>
      <w:sz w:val="28"/>
    </w:rPr>
  </w:style>
  <w:style w:type="paragraph" w:customStyle="1" w:styleId="2621">
    <w:name w:val="样式 四号 首行缩进:  1.92 字符"/>
    <w:basedOn w:val="1"/>
    <w:qFormat/>
    <w:uiPriority w:val="0"/>
    <w:pPr>
      <w:tabs>
        <w:tab w:val="clear" w:pos="480"/>
      </w:tabs>
      <w:spacing w:line="240" w:lineRule="auto"/>
    </w:pPr>
    <w:rPr>
      <w:rFonts w:cs="黑体"/>
      <w:sz w:val="28"/>
      <w:szCs w:val="20"/>
    </w:rPr>
  </w:style>
  <w:style w:type="character" w:customStyle="1" w:styleId="2622">
    <w:name w:val="zt1"/>
    <w:qFormat/>
    <w:uiPriority w:val="0"/>
    <w:rPr>
      <w:sz w:val="18"/>
      <w:szCs w:val="18"/>
    </w:rPr>
  </w:style>
  <w:style w:type="paragraph" w:customStyle="1" w:styleId="2623">
    <w:name w:val="样式 文字 + 段前: 7.8 磅"/>
    <w:basedOn w:val="1"/>
    <w:qFormat/>
    <w:uiPriority w:val="0"/>
    <w:pPr>
      <w:tabs>
        <w:tab w:val="clear" w:pos="480"/>
      </w:tabs>
      <w:adjustRightInd w:val="0"/>
      <w:snapToGrid w:val="0"/>
      <w:ind w:firstLine="480"/>
    </w:pPr>
    <w:rPr>
      <w:szCs w:val="20"/>
    </w:rPr>
  </w:style>
  <w:style w:type="paragraph" w:customStyle="1" w:styleId="2624">
    <w:name w:val="样式 正文（首行缩进两字） + 首行缩进:  2 字符"/>
    <w:basedOn w:val="21"/>
    <w:qFormat/>
    <w:uiPriority w:val="0"/>
    <w:pPr>
      <w:tabs>
        <w:tab w:val="clear" w:pos="480"/>
      </w:tabs>
      <w:adjustRightInd w:val="0"/>
      <w:ind w:firstLine="480"/>
      <w:textAlignment w:val="baseline"/>
    </w:pPr>
    <w:rPr>
      <w:rFonts w:cs="宋体"/>
      <w:szCs w:val="20"/>
    </w:rPr>
  </w:style>
  <w:style w:type="paragraph" w:customStyle="1" w:styleId="2625">
    <w:name w:val="文字"/>
    <w:basedOn w:val="1"/>
    <w:qFormat/>
    <w:uiPriority w:val="0"/>
    <w:pPr>
      <w:tabs>
        <w:tab w:val="clear" w:pos="480"/>
      </w:tabs>
      <w:adjustRightInd w:val="0"/>
      <w:snapToGrid w:val="0"/>
      <w:ind w:firstLine="480"/>
    </w:pPr>
  </w:style>
  <w:style w:type="paragraph" w:customStyle="1" w:styleId="2626">
    <w:name w:val="样式 标题 3条标题1.1.13h33rd levelH3l3CTReHead 3 WSA + 小三 首行缩..."/>
    <w:basedOn w:val="5"/>
    <w:qFormat/>
    <w:uiPriority w:val="0"/>
    <w:pPr>
      <w:numPr>
        <w:ilvl w:val="0"/>
        <w:numId w:val="0"/>
      </w:numPr>
      <w:tabs>
        <w:tab w:val="clear" w:pos="480"/>
        <w:tab w:val="clear" w:pos="840"/>
      </w:tabs>
      <w:adjustRightInd w:val="0"/>
      <w:snapToGrid w:val="0"/>
      <w:spacing w:beforeLines="50" w:after="62" w:line="240" w:lineRule="auto"/>
    </w:pPr>
    <w:rPr>
      <w:rFonts w:ascii="Times New Roman" w:eastAsia="宋体"/>
      <w:bCs w:val="0"/>
      <w:snapToGrid w:val="0"/>
      <w:kern w:val="0"/>
      <w:sz w:val="32"/>
      <w:szCs w:val="30"/>
    </w:rPr>
  </w:style>
  <w:style w:type="paragraph" w:customStyle="1" w:styleId="2627">
    <w:name w:val="Title.2"/>
    <w:qFormat/>
    <w:uiPriority w:val="0"/>
    <w:pPr>
      <w:keepNext/>
      <w:keepLines/>
      <w:spacing w:beforeLines="50" w:afterLines="50"/>
      <w:jc w:val="center"/>
      <w:outlineLvl w:val="1"/>
    </w:pPr>
    <w:rPr>
      <w:rFonts w:ascii="Times New Roman" w:hAnsi="Times New Roman" w:eastAsia="黑体" w:cs="Times New Roman"/>
      <w:kern w:val="2"/>
      <w:sz w:val="28"/>
      <w:szCs w:val="24"/>
      <w:lang w:val="en-US" w:eastAsia="zh-CN" w:bidi="ar-SA"/>
    </w:rPr>
  </w:style>
  <w:style w:type="paragraph" w:customStyle="1" w:styleId="2628">
    <w:name w:val="样式 标题 4H4 + (中文) 楷体_GB2312"/>
    <w:basedOn w:val="6"/>
    <w:qFormat/>
    <w:uiPriority w:val="0"/>
    <w:pPr>
      <w:keepNext w:val="0"/>
      <w:keepLines w:val="0"/>
      <w:numPr>
        <w:ilvl w:val="0"/>
        <w:numId w:val="0"/>
      </w:numPr>
      <w:tabs>
        <w:tab w:val="clear" w:pos="480"/>
      </w:tabs>
      <w:autoSpaceDE w:val="0"/>
      <w:autoSpaceDN w:val="0"/>
      <w:adjustRightInd w:val="0"/>
      <w:spacing w:before="0" w:after="120"/>
    </w:pPr>
    <w:rPr>
      <w:rFonts w:ascii="Times New Roman" w:hAnsi="Times New Roman" w:eastAsia="黑体"/>
      <w:b w:val="0"/>
    </w:rPr>
  </w:style>
  <w:style w:type="paragraph" w:customStyle="1" w:styleId="2629">
    <w:name w:val="正文-G Char Char"/>
    <w:basedOn w:val="1"/>
    <w:qFormat/>
    <w:uiPriority w:val="0"/>
    <w:pPr>
      <w:tabs>
        <w:tab w:val="clear" w:pos="480"/>
      </w:tabs>
      <w:spacing w:line="400" w:lineRule="exact"/>
      <w:ind w:firstLine="480"/>
    </w:pPr>
    <w:rPr>
      <w:rFonts w:eastAsia="仿宋_GB2312"/>
      <w:kern w:val="0"/>
      <w:szCs w:val="20"/>
    </w:rPr>
  </w:style>
  <w:style w:type="paragraph" w:customStyle="1" w:styleId="2630">
    <w:name w:val="样式 标题 1Head 1wsah1一、标题 1 Char Char标题0标题 1（报告）(小2黑)标题 1 Ch..."/>
    <w:basedOn w:val="3"/>
    <w:qFormat/>
    <w:uiPriority w:val="0"/>
    <w:pPr>
      <w:pageBreakBefore/>
      <w:numPr>
        <w:numId w:val="0"/>
      </w:numPr>
      <w:tabs>
        <w:tab w:val="clear" w:pos="480"/>
      </w:tabs>
      <w:spacing w:before="360" w:after="120"/>
      <w:jc w:val="center"/>
    </w:pPr>
    <w:rPr>
      <w:rFonts w:ascii="Times New Roman" w:eastAsia="宋体" w:cs="宋体"/>
      <w:sz w:val="44"/>
      <w:szCs w:val="20"/>
    </w:rPr>
  </w:style>
  <w:style w:type="paragraph" w:customStyle="1" w:styleId="2631">
    <w:name w:val="样式 标题 2标题 2 Char标题 2 Char Char节标题 1.11.1标题2b2SeHead wsa2..."/>
    <w:basedOn w:val="4"/>
    <w:qFormat/>
    <w:uiPriority w:val="0"/>
    <w:pPr>
      <w:numPr>
        <w:numId w:val="0"/>
      </w:numPr>
      <w:tabs>
        <w:tab w:val="left" w:pos="576"/>
        <w:tab w:val="clear" w:pos="480"/>
        <w:tab w:val="clear" w:pos="630"/>
      </w:tabs>
      <w:spacing w:before="120"/>
      <w:ind w:left="576" w:hanging="576"/>
    </w:pPr>
    <w:rPr>
      <w:rFonts w:ascii="Arial" w:hAnsi="Arial" w:eastAsia="黑体"/>
    </w:rPr>
  </w:style>
  <w:style w:type="character" w:customStyle="1" w:styleId="2632">
    <w:name w:val="样式 标题 2标题 2 Char标题 2 Char Char节标题 1.11.1标题2b2SeHead wsa2... Char"/>
    <w:qFormat/>
    <w:uiPriority w:val="0"/>
    <w:rPr>
      <w:rFonts w:ascii="Arial" w:hAnsi="Arial" w:eastAsia="黑体"/>
      <w:b/>
      <w:bCs/>
      <w:color w:val="000000"/>
      <w:kern w:val="2"/>
      <w:sz w:val="32"/>
      <w:szCs w:val="32"/>
      <w:lang w:val="en-US" w:eastAsia="zh-CN" w:bidi="ar-SA"/>
    </w:rPr>
  </w:style>
  <w:style w:type="paragraph" w:customStyle="1" w:styleId="2633">
    <w:name w:val="样式 标题 3条标题1.1.13h33rd levelH3l3CTReHead 3 WSA标题 3 Char..."/>
    <w:basedOn w:val="5"/>
    <w:qFormat/>
    <w:uiPriority w:val="0"/>
    <w:pPr>
      <w:numPr>
        <w:numId w:val="0"/>
      </w:numPr>
      <w:tabs>
        <w:tab w:val="left" w:pos="720"/>
        <w:tab w:val="clear" w:pos="480"/>
        <w:tab w:val="clear" w:pos="840"/>
      </w:tabs>
      <w:spacing w:before="190" w:after="120" w:line="240" w:lineRule="auto"/>
      <w:ind w:left="1797" w:hanging="720"/>
    </w:pPr>
    <w:rPr>
      <w:rFonts w:ascii="Times New Roman" w:eastAsia="宋体"/>
    </w:rPr>
  </w:style>
  <w:style w:type="paragraph" w:customStyle="1" w:styleId="2634">
    <w:name w:val="样式 标题 2 + 小三 加粗"/>
    <w:basedOn w:val="4"/>
    <w:qFormat/>
    <w:uiPriority w:val="0"/>
    <w:pPr>
      <w:numPr>
        <w:ilvl w:val="0"/>
        <w:numId w:val="0"/>
      </w:numPr>
      <w:tabs>
        <w:tab w:val="clear" w:pos="480"/>
        <w:tab w:val="clear" w:pos="630"/>
      </w:tabs>
      <w:spacing w:beforeLines="50" w:afterLines="50" w:line="240" w:lineRule="auto"/>
      <w:jc w:val="left"/>
    </w:pPr>
    <w:rPr>
      <w:rFonts w:ascii="Arial" w:hAnsi="Arial" w:eastAsia="黑体"/>
      <w:sz w:val="30"/>
    </w:rPr>
  </w:style>
  <w:style w:type="paragraph" w:customStyle="1" w:styleId="2635">
    <w:name w:val="样式 标题 4Subsection + 首行缩进:  2 字符"/>
    <w:basedOn w:val="6"/>
    <w:qFormat/>
    <w:uiPriority w:val="0"/>
    <w:pPr>
      <w:numPr>
        <w:ilvl w:val="0"/>
        <w:numId w:val="0"/>
      </w:numPr>
      <w:tabs>
        <w:tab w:val="left" w:pos="1680"/>
        <w:tab w:val="clear" w:pos="480"/>
      </w:tabs>
      <w:snapToGrid w:val="0"/>
      <w:spacing w:before="0" w:after="0"/>
      <w:ind w:left="1680" w:hanging="420"/>
    </w:pPr>
    <w:rPr>
      <w:rFonts w:ascii="Arial" w:hAnsi="Arial" w:eastAsia="黑体"/>
      <w:sz w:val="24"/>
      <w:szCs w:val="24"/>
    </w:rPr>
  </w:style>
  <w:style w:type="paragraph" w:customStyle="1" w:styleId="2636">
    <w:name w:val="样式 正文缩进 +"/>
    <w:basedOn w:val="21"/>
    <w:qFormat/>
    <w:uiPriority w:val="0"/>
    <w:pPr>
      <w:tabs>
        <w:tab w:val="clear" w:pos="480"/>
      </w:tabs>
      <w:adjustRightInd w:val="0"/>
      <w:spacing w:after="120"/>
      <w:ind w:firstLine="567" w:firstLineChars="0"/>
      <w:textAlignment w:val="baseline"/>
    </w:pPr>
  </w:style>
  <w:style w:type="paragraph" w:customStyle="1" w:styleId="2637">
    <w:name w:val="样式 标题 3 + (中文) 黑体 四号 段前: 6 磅 段后: 6 磅 行距: 多倍行距 1.73 字行"/>
    <w:basedOn w:val="5"/>
    <w:qFormat/>
    <w:uiPriority w:val="0"/>
    <w:pPr>
      <w:numPr>
        <w:ilvl w:val="0"/>
        <w:numId w:val="0"/>
      </w:numPr>
      <w:tabs>
        <w:tab w:val="clear" w:pos="480"/>
        <w:tab w:val="clear" w:pos="840"/>
      </w:tabs>
      <w:spacing w:before="190" w:after="120" w:line="560" w:lineRule="exact"/>
      <w:jc w:val="left"/>
    </w:pPr>
    <w:rPr>
      <w:rFonts w:ascii="黑体" w:eastAsia="黑体" w:cs="宋体"/>
      <w:b w:val="0"/>
      <w:szCs w:val="20"/>
    </w:rPr>
  </w:style>
  <w:style w:type="paragraph" w:customStyle="1" w:styleId="2638">
    <w:name w:val="样式 四号 首行缩进:  0.85 厘米 段前: 6 磅 行距: 1.5 倍行距"/>
    <w:basedOn w:val="1"/>
    <w:qFormat/>
    <w:uiPriority w:val="0"/>
    <w:pPr>
      <w:tabs>
        <w:tab w:val="clear" w:pos="480"/>
      </w:tabs>
      <w:spacing w:before="120"/>
      <w:ind w:firstLine="567"/>
    </w:pPr>
    <w:rPr>
      <w:rFonts w:cs="宋体"/>
      <w:sz w:val="28"/>
      <w:szCs w:val="20"/>
    </w:rPr>
  </w:style>
  <w:style w:type="paragraph" w:customStyle="1" w:styleId="2639">
    <w:name w:val="CY－正文"/>
    <w:basedOn w:val="1"/>
    <w:qFormat/>
    <w:uiPriority w:val="0"/>
    <w:pPr>
      <w:tabs>
        <w:tab w:val="clear" w:pos="480"/>
      </w:tabs>
      <w:ind w:firstLine="560"/>
    </w:pPr>
    <w:rPr>
      <w:sz w:val="28"/>
    </w:rPr>
  </w:style>
  <w:style w:type="paragraph" w:customStyle="1" w:styleId="2640">
    <w:name w:val="样式 标题 4 + 黑色 段前: 12 磅 段后: 6 磅 行距: 1.5 倍行距"/>
    <w:basedOn w:val="6"/>
    <w:qFormat/>
    <w:uiPriority w:val="0"/>
    <w:pPr>
      <w:keepNext w:val="0"/>
      <w:keepLines w:val="0"/>
      <w:numPr>
        <w:ilvl w:val="0"/>
        <w:numId w:val="0"/>
      </w:numPr>
      <w:tabs>
        <w:tab w:val="clear" w:pos="480"/>
      </w:tabs>
      <w:adjustRightInd w:val="0"/>
      <w:spacing w:before="120" w:after="120" w:line="500" w:lineRule="exact"/>
    </w:pPr>
    <w:rPr>
      <w:rFonts w:ascii="Times New Roman" w:hAnsi="Times New Roman" w:eastAsia="宋体" w:cs="宋体"/>
      <w:color w:val="000000"/>
      <w:kern w:val="0"/>
      <w:szCs w:val="20"/>
    </w:rPr>
  </w:style>
  <w:style w:type="paragraph" w:customStyle="1" w:styleId="2641">
    <w:name w:val="样式 标题 3 + 小三 黑色 左 段前: 6 磅 段后: 0 磅 行距: 固定值 25 磅"/>
    <w:basedOn w:val="5"/>
    <w:qFormat/>
    <w:uiPriority w:val="0"/>
    <w:pPr>
      <w:numPr>
        <w:ilvl w:val="0"/>
        <w:numId w:val="0"/>
      </w:numPr>
      <w:tabs>
        <w:tab w:val="clear" w:pos="480"/>
        <w:tab w:val="clear" w:pos="840"/>
      </w:tabs>
      <w:spacing w:before="190" w:after="120" w:line="500" w:lineRule="exact"/>
      <w:jc w:val="left"/>
    </w:pPr>
    <w:rPr>
      <w:rFonts w:ascii="Times New Roman" w:eastAsia="宋体" w:cs="宋体"/>
      <w:color w:val="000000"/>
      <w:kern w:val="0"/>
      <w:szCs w:val="20"/>
    </w:rPr>
  </w:style>
  <w:style w:type="paragraph" w:customStyle="1" w:styleId="2642">
    <w:name w:val="样式 标题 2第几节 + 首行缩进:  1.05 厘米 段前: 0.5 行"/>
    <w:basedOn w:val="4"/>
    <w:qFormat/>
    <w:uiPriority w:val="0"/>
    <w:pPr>
      <w:numPr>
        <w:ilvl w:val="0"/>
        <w:numId w:val="0"/>
      </w:numPr>
      <w:tabs>
        <w:tab w:val="clear" w:pos="480"/>
        <w:tab w:val="clear" w:pos="630"/>
      </w:tabs>
      <w:spacing w:before="50" w:afterLines="50" w:line="560" w:lineRule="exact"/>
      <w:jc w:val="left"/>
    </w:pPr>
    <w:rPr>
      <w:rFonts w:cs="宋体"/>
      <w:w w:val="99"/>
      <w:kern w:val="28"/>
      <w:sz w:val="30"/>
      <w:szCs w:val="20"/>
    </w:rPr>
  </w:style>
  <w:style w:type="paragraph" w:customStyle="1" w:styleId="2643">
    <w:name w:val="con14"/>
    <w:basedOn w:val="1"/>
    <w:qFormat/>
    <w:uiPriority w:val="0"/>
    <w:pPr>
      <w:widowControl/>
      <w:tabs>
        <w:tab w:val="clear" w:pos="480"/>
      </w:tabs>
      <w:spacing w:before="100" w:beforeAutospacing="1" w:after="100" w:afterAutospacing="1" w:line="240" w:lineRule="auto"/>
      <w:jc w:val="left"/>
    </w:pPr>
    <w:rPr>
      <w:rFonts w:ascii="Arial Unicode MS" w:hAnsi="Arial Unicode MS" w:eastAsia="Arial Unicode MS" w:cs="Arial Unicode MS"/>
      <w:color w:val="000000"/>
      <w:kern w:val="0"/>
      <w:sz w:val="20"/>
      <w:szCs w:val="20"/>
    </w:rPr>
  </w:style>
  <w:style w:type="character" w:customStyle="1" w:styleId="2644">
    <w:name w:val="large1"/>
    <w:qFormat/>
    <w:uiPriority w:val="0"/>
    <w:rPr>
      <w:spacing w:val="380"/>
      <w:sz w:val="22"/>
      <w:szCs w:val="22"/>
    </w:rPr>
  </w:style>
  <w:style w:type="character" w:customStyle="1" w:styleId="2645">
    <w:name w:val="cityname1"/>
    <w:qFormat/>
    <w:uiPriority w:val="0"/>
    <w:rPr>
      <w:color w:val="FF0000"/>
      <w:sz w:val="32"/>
      <w:szCs w:val="32"/>
    </w:rPr>
  </w:style>
  <w:style w:type="paragraph" w:customStyle="1" w:styleId="2646">
    <w:name w:val="麦志勤标题一"/>
    <w:basedOn w:val="3"/>
    <w:qFormat/>
    <w:uiPriority w:val="0"/>
    <w:pPr>
      <w:numPr>
        <w:numId w:val="0"/>
      </w:numPr>
      <w:tabs>
        <w:tab w:val="clear" w:pos="480"/>
      </w:tabs>
      <w:adjustRightInd w:val="0"/>
      <w:snapToGrid w:val="0"/>
      <w:spacing w:before="50" w:after="0" w:line="300" w:lineRule="auto"/>
    </w:pPr>
    <w:rPr>
      <w:rFonts w:ascii="黑体" w:hAnsi="Arial" w:eastAsia="黑体" w:cs="Arial"/>
      <w:color w:val="000000"/>
      <w:kern w:val="0"/>
      <w:sz w:val="44"/>
    </w:rPr>
  </w:style>
  <w:style w:type="paragraph" w:customStyle="1" w:styleId="2647">
    <w:name w:val="麦志勤标题二"/>
    <w:basedOn w:val="4"/>
    <w:qFormat/>
    <w:uiPriority w:val="0"/>
    <w:pPr>
      <w:numPr>
        <w:ilvl w:val="0"/>
        <w:numId w:val="0"/>
      </w:numPr>
      <w:tabs>
        <w:tab w:val="clear" w:pos="480"/>
        <w:tab w:val="clear" w:pos="630"/>
      </w:tabs>
      <w:adjustRightInd w:val="0"/>
      <w:snapToGrid w:val="0"/>
      <w:spacing w:beforeLines="150" w:after="0" w:line="300" w:lineRule="auto"/>
    </w:pPr>
    <w:rPr>
      <w:rFonts w:ascii="黑体" w:hAnsi="Arial" w:eastAsia="黑体"/>
      <w:b w:val="0"/>
      <w:sz w:val="36"/>
    </w:rPr>
  </w:style>
  <w:style w:type="paragraph" w:customStyle="1" w:styleId="2648">
    <w:name w:val="麦志勤标题三"/>
    <w:basedOn w:val="5"/>
    <w:qFormat/>
    <w:uiPriority w:val="0"/>
    <w:pPr>
      <w:keepNext w:val="0"/>
      <w:keepLines w:val="0"/>
      <w:numPr>
        <w:ilvl w:val="0"/>
        <w:numId w:val="0"/>
      </w:numPr>
      <w:tabs>
        <w:tab w:val="clear" w:pos="480"/>
        <w:tab w:val="clear" w:pos="840"/>
      </w:tabs>
      <w:adjustRightInd w:val="0"/>
      <w:snapToGrid w:val="0"/>
      <w:spacing w:beforeLines="100" w:after="0" w:line="300" w:lineRule="auto"/>
    </w:pPr>
    <w:rPr>
      <w:rFonts w:ascii="黑体" w:hAnsi="宋体" w:eastAsia="黑体"/>
      <w:b w:val="0"/>
      <w:sz w:val="32"/>
    </w:rPr>
  </w:style>
  <w:style w:type="paragraph" w:customStyle="1" w:styleId="2649">
    <w:name w:val="麦志勤标题五"/>
    <w:basedOn w:val="50"/>
    <w:qFormat/>
    <w:uiPriority w:val="0"/>
    <w:pPr>
      <w:adjustRightInd w:val="0"/>
      <w:snapToGrid w:val="0"/>
      <w:spacing w:beforeLines="100" w:line="300" w:lineRule="auto"/>
      <w:ind w:left="0" w:leftChars="0"/>
      <w:outlineLvl w:val="0"/>
    </w:pPr>
    <w:rPr>
      <w:rFonts w:ascii="黑体" w:eastAsia="黑体"/>
      <w:spacing w:val="0"/>
      <w:kern w:val="2"/>
      <w:sz w:val="28"/>
      <w:szCs w:val="20"/>
    </w:rPr>
  </w:style>
  <w:style w:type="paragraph" w:customStyle="1" w:styleId="2650">
    <w:name w:val="麦志勤标题六"/>
    <w:basedOn w:val="1997"/>
    <w:qFormat/>
    <w:uiPriority w:val="0"/>
    <w:pPr>
      <w:spacing w:beforeLines="100"/>
    </w:pPr>
    <w:rPr>
      <w:rFonts w:ascii="黑体" w:eastAsia="黑体" w:cs="Times New Roman"/>
      <w:snapToGrid/>
      <w:kern w:val="2"/>
      <w:szCs w:val="20"/>
      <w:lang w:val="en-US"/>
    </w:rPr>
  </w:style>
  <w:style w:type="paragraph" w:customStyle="1" w:styleId="2651">
    <w:name w:val="麦志勤表标题"/>
    <w:basedOn w:val="1"/>
    <w:qFormat/>
    <w:uiPriority w:val="0"/>
    <w:pPr>
      <w:tabs>
        <w:tab w:val="clear" w:pos="480"/>
      </w:tabs>
      <w:adjustRightInd w:val="0"/>
      <w:snapToGrid w:val="0"/>
      <w:spacing w:beforeLines="50" w:afterLines="20" w:line="300" w:lineRule="auto"/>
      <w:jc w:val="center"/>
      <w:textAlignment w:val="baseline"/>
    </w:pPr>
    <w:rPr>
      <w:rFonts w:ascii="宋体" w:hAnsi="宋体"/>
      <w:snapToGrid w:val="0"/>
      <w:kern w:val="0"/>
      <w:szCs w:val="28"/>
    </w:rPr>
  </w:style>
  <w:style w:type="paragraph" w:customStyle="1" w:styleId="2652">
    <w:name w:val="麦志勤图标题"/>
    <w:basedOn w:val="1"/>
    <w:qFormat/>
    <w:uiPriority w:val="0"/>
    <w:pPr>
      <w:tabs>
        <w:tab w:val="clear" w:pos="480"/>
      </w:tabs>
      <w:adjustRightInd w:val="0"/>
      <w:snapToGrid w:val="0"/>
      <w:spacing w:beforeLines="50" w:line="300" w:lineRule="auto"/>
      <w:ind w:firstLine="480"/>
    </w:pPr>
    <w:rPr>
      <w:rFonts w:ascii="宋体" w:hAnsi="宋体"/>
    </w:rPr>
  </w:style>
  <w:style w:type="paragraph" w:customStyle="1" w:styleId="2653">
    <w:name w:val="麦志勤标题6"/>
    <w:basedOn w:val="1997"/>
    <w:qFormat/>
    <w:uiPriority w:val="0"/>
    <w:pPr>
      <w:spacing w:beforeLines="100"/>
    </w:pPr>
    <w:rPr>
      <w:rFonts w:ascii="黑体" w:hAnsi="Times New Roman" w:eastAsia="黑体" w:cs="Times New Roman"/>
      <w:b/>
      <w:snapToGrid/>
      <w:kern w:val="2"/>
      <w:szCs w:val="20"/>
      <w:lang w:val="en-US"/>
    </w:rPr>
  </w:style>
  <w:style w:type="paragraph" w:customStyle="1" w:styleId="2654">
    <w:name w:val="麦志勤标题1"/>
    <w:basedOn w:val="34"/>
    <w:qFormat/>
    <w:uiPriority w:val="0"/>
    <w:pPr>
      <w:adjustRightInd w:val="0"/>
      <w:snapToGrid w:val="0"/>
      <w:spacing w:beforeLines="50" w:line="300" w:lineRule="auto"/>
    </w:pPr>
    <w:rPr>
      <w:rFonts w:ascii="Times New Roman" w:hAnsi="Times New Roman" w:eastAsia="黑体"/>
      <w:snapToGrid w:val="0"/>
      <w:kern w:val="0"/>
      <w:sz w:val="44"/>
      <w:szCs w:val="24"/>
    </w:rPr>
  </w:style>
  <w:style w:type="paragraph" w:customStyle="1" w:styleId="2655">
    <w:name w:val="麦志勤标题2"/>
    <w:basedOn w:val="1"/>
    <w:qFormat/>
    <w:uiPriority w:val="0"/>
    <w:pPr>
      <w:tabs>
        <w:tab w:val="clear" w:pos="480"/>
      </w:tabs>
      <w:adjustRightInd w:val="0"/>
      <w:snapToGrid w:val="0"/>
      <w:spacing w:beforeLines="100" w:line="300" w:lineRule="auto"/>
    </w:pPr>
    <w:rPr>
      <w:rFonts w:ascii="黑体" w:hAnsi="楷体_GB2312" w:eastAsia="黑体"/>
      <w:bCs/>
      <w:snapToGrid w:val="0"/>
      <w:kern w:val="0"/>
      <w:sz w:val="36"/>
    </w:rPr>
  </w:style>
  <w:style w:type="paragraph" w:customStyle="1" w:styleId="2656">
    <w:name w:val="麦志勤标题3"/>
    <w:basedOn w:val="31"/>
    <w:qFormat/>
    <w:uiPriority w:val="0"/>
    <w:pPr>
      <w:adjustRightInd w:val="0"/>
      <w:snapToGrid w:val="0"/>
      <w:spacing w:beforeLines="100" w:line="300" w:lineRule="auto"/>
      <w:jc w:val="both"/>
    </w:pPr>
    <w:rPr>
      <w:rFonts w:ascii="黑体" w:eastAsia="黑体"/>
      <w:snapToGrid w:val="0"/>
      <w:kern w:val="0"/>
      <w:sz w:val="32"/>
    </w:rPr>
  </w:style>
  <w:style w:type="paragraph" w:customStyle="1" w:styleId="2657">
    <w:name w:val="麦志勤标题4"/>
    <w:basedOn w:val="6"/>
    <w:qFormat/>
    <w:uiPriority w:val="0"/>
    <w:pPr>
      <w:numPr>
        <w:ilvl w:val="0"/>
        <w:numId w:val="0"/>
      </w:numPr>
      <w:tabs>
        <w:tab w:val="clear" w:pos="480"/>
      </w:tabs>
      <w:adjustRightInd w:val="0"/>
      <w:snapToGrid w:val="0"/>
      <w:spacing w:beforeLines="100" w:after="0" w:line="300" w:lineRule="auto"/>
    </w:pPr>
    <w:rPr>
      <w:rFonts w:ascii="黑体" w:hAnsi="Times New Roman" w:eastAsia="黑体"/>
      <w:b w:val="0"/>
      <w:bCs w:val="0"/>
      <w:snapToGrid w:val="0"/>
      <w:kern w:val="0"/>
      <w:sz w:val="30"/>
      <w:szCs w:val="24"/>
    </w:rPr>
  </w:style>
  <w:style w:type="paragraph" w:customStyle="1" w:styleId="2658">
    <w:name w:val="麦志勤标题5"/>
    <w:basedOn w:val="1"/>
    <w:qFormat/>
    <w:uiPriority w:val="0"/>
    <w:pPr>
      <w:tabs>
        <w:tab w:val="clear" w:pos="480"/>
      </w:tabs>
      <w:adjustRightInd w:val="0"/>
      <w:snapToGrid w:val="0"/>
      <w:spacing w:beforeLines="100" w:line="300" w:lineRule="auto"/>
    </w:pPr>
    <w:rPr>
      <w:rFonts w:ascii="黑体" w:hAnsi="宋体" w:eastAsia="黑体"/>
      <w:snapToGrid w:val="0"/>
      <w:color w:val="000000"/>
      <w:kern w:val="0"/>
      <w:sz w:val="28"/>
    </w:rPr>
  </w:style>
  <w:style w:type="paragraph" w:customStyle="1" w:styleId="2659">
    <w:name w:val="ajaxdi1"/>
    <w:basedOn w:val="1"/>
    <w:qFormat/>
    <w:uiPriority w:val="0"/>
    <w:pPr>
      <w:widowControl/>
      <w:tabs>
        <w:tab w:val="clear" w:pos="480"/>
      </w:tabs>
      <w:spacing w:before="100" w:beforeAutospacing="1" w:after="100" w:afterAutospacing="1" w:line="240" w:lineRule="auto"/>
      <w:jc w:val="left"/>
    </w:pPr>
    <w:rPr>
      <w:rFonts w:ascii="宋体" w:hAnsi="宋体"/>
      <w:kern w:val="0"/>
    </w:rPr>
  </w:style>
  <w:style w:type="paragraph" w:customStyle="1" w:styleId="2660">
    <w:name w:val="grajaxhang2"/>
    <w:basedOn w:val="1"/>
    <w:qFormat/>
    <w:uiPriority w:val="0"/>
    <w:pPr>
      <w:widowControl/>
      <w:pBdr>
        <w:top w:val="single" w:color="08BD0C" w:sz="6" w:space="6"/>
        <w:left w:val="single" w:color="08BD0C" w:sz="6" w:space="6"/>
        <w:bottom w:val="single" w:color="08BD0C" w:sz="6" w:space="6"/>
        <w:right w:val="single" w:color="08BD0C" w:sz="6" w:space="6"/>
      </w:pBdr>
      <w:shd w:val="clear" w:color="auto" w:fill="E7FFE7"/>
      <w:tabs>
        <w:tab w:val="clear" w:pos="480"/>
      </w:tabs>
      <w:spacing w:before="100" w:beforeAutospacing="1" w:after="100" w:afterAutospacing="1" w:line="240" w:lineRule="auto"/>
      <w:jc w:val="left"/>
    </w:pPr>
    <w:rPr>
      <w:rFonts w:ascii="宋体" w:hAnsi="宋体"/>
      <w:color w:val="000000"/>
      <w:kern w:val="0"/>
      <w:sz w:val="18"/>
      <w:szCs w:val="18"/>
    </w:rPr>
  </w:style>
  <w:style w:type="paragraph" w:customStyle="1" w:styleId="2661">
    <w:name w:val="第三节"/>
    <w:basedOn w:val="1"/>
    <w:qFormat/>
    <w:uiPriority w:val="0"/>
    <w:pPr>
      <w:tabs>
        <w:tab w:val="clear" w:pos="480"/>
      </w:tabs>
      <w:spacing w:beforeLines="100"/>
      <w:jc w:val="left"/>
    </w:pPr>
    <w:rPr>
      <w:rFonts w:ascii="黑体" w:eastAsia="黑体"/>
      <w:b/>
      <w:bCs/>
      <w:sz w:val="32"/>
    </w:rPr>
  </w:style>
  <w:style w:type="character" w:customStyle="1" w:styleId="2662">
    <w:name w:val="无间隔 字符"/>
    <w:link w:val="1561"/>
    <w:qFormat/>
    <w:uiPriority w:val="0"/>
    <w:rPr>
      <w:kern w:val="2"/>
      <w:sz w:val="24"/>
      <w:lang w:val="en-US" w:eastAsia="zh-CN" w:bidi="ar-SA"/>
    </w:rPr>
  </w:style>
  <w:style w:type="character" w:customStyle="1" w:styleId="2663">
    <w:name w:val="正文文字缩进 2 Char Char1"/>
    <w:qFormat/>
    <w:uiPriority w:val="0"/>
    <w:rPr>
      <w:rFonts w:ascii="宋体"/>
      <w:sz w:val="24"/>
    </w:rPr>
  </w:style>
  <w:style w:type="character" w:customStyle="1" w:styleId="2664">
    <w:name w:val="落款 Char Char1"/>
    <w:qFormat/>
    <w:uiPriority w:val="0"/>
    <w:rPr>
      <w:kern w:val="2"/>
      <w:sz w:val="28"/>
      <w:szCs w:val="24"/>
    </w:rPr>
  </w:style>
  <w:style w:type="table" w:customStyle="1" w:styleId="2665">
    <w:name w:val="中等深浅底纹 1 - 强调文字颜色 311"/>
    <w:basedOn w:val="87"/>
    <w:qFormat/>
    <w:uiPriority w:val="0"/>
    <w:rPr>
      <w:rFonts w:ascii="Calibri" w:hAnsi="Calibri"/>
    </w:rPr>
    <w:tblPr>
      <w:tblBorders>
        <w:top w:val="single" w:color="B3CC82" w:sz="8" w:space="0"/>
        <w:left w:val="single" w:color="B3CC82" w:sz="8" w:space="0"/>
        <w:bottom w:val="single" w:color="B3CC82" w:sz="8" w:space="0"/>
        <w:right w:val="single" w:color="B3CC82" w:sz="8" w:space="0"/>
        <w:insideH w:val="single" w:color="B3CC82" w:sz="8" w:space="0"/>
      </w:tblBorders>
    </w:tblPr>
    <w:tblStylePr w:type="firstRow">
      <w:pPr>
        <w:spacing w:before="0" w:after="0" w:line="240" w:lineRule="auto"/>
      </w:pPr>
      <w:rPr>
        <w:b/>
        <w:bCs/>
        <w:color w:val="FFFFFF"/>
      </w:rPr>
      <w:tcPr>
        <w:tcBorders>
          <w:top w:val="single" w:color="B3CC82" w:sz="8" w:space="0"/>
          <w:left w:val="single" w:color="B3CC82" w:sz="8" w:space="0"/>
          <w:bottom w:val="single" w:color="B3CC82" w:sz="8" w:space="0"/>
          <w:right w:val="single" w:color="B3CC82" w:sz="8" w:space="0"/>
          <w:insideH w:val="nil"/>
          <w:insideV w:val="nil"/>
        </w:tcBorders>
        <w:shd w:val="clear" w:color="auto" w:fill="9BBB59"/>
      </w:tcPr>
    </w:tblStylePr>
    <w:tblStylePr w:type="lastRow">
      <w:pPr>
        <w:spacing w:before="0" w:after="0" w:line="240" w:lineRule="auto"/>
      </w:pPr>
      <w:rPr>
        <w:b/>
        <w:bCs/>
      </w:rPr>
      <w:tcPr>
        <w:tcBorders>
          <w:top w:val="double" w:color="B3CC82" w:sz="6" w:space="0"/>
          <w:left w:val="single" w:color="B3CC82" w:sz="8" w:space="0"/>
          <w:bottom w:val="single" w:color="B3CC82" w:sz="8" w:space="0"/>
          <w:right w:val="single" w:color="B3CC82" w:sz="8" w:space="0"/>
          <w:insideH w:val="nil"/>
          <w:insideV w:val="nil"/>
        </w:tcBorders>
      </w:tcPr>
    </w:tblStylePr>
    <w:tblStylePr w:type="firstCol">
      <w:rPr>
        <w:b/>
        <w:bCs/>
      </w:rPr>
    </w:tblStylePr>
    <w:tblStylePr w:type="lastCol">
      <w:rPr>
        <w:b/>
        <w:bCs/>
      </w:rPr>
    </w:tblStylePr>
    <w:tblStylePr w:type="band1Vert">
      <w:tcPr>
        <w:shd w:val="clear" w:color="auto" w:fill="E6EED5"/>
      </w:tcPr>
    </w:tblStylePr>
    <w:tblStylePr w:type="band1Horz">
      <w:tcPr>
        <w:tcBorders>
          <w:insideH w:val="nil"/>
          <w:insideV w:val="nil"/>
        </w:tcBorders>
        <w:shd w:val="clear" w:color="auto" w:fill="E6EED5"/>
      </w:tcPr>
    </w:tblStylePr>
    <w:tblStylePr w:type="band2Horz">
      <w:tcPr>
        <w:tcBorders>
          <w:insideH w:val="nil"/>
          <w:insideV w:val="nil"/>
        </w:tcBorders>
      </w:tcPr>
    </w:tblStylePr>
  </w:style>
  <w:style w:type="table" w:customStyle="1" w:styleId="2666">
    <w:name w:val="中等深浅底纹 1 - 强调文字颜色 32"/>
    <w:basedOn w:val="87"/>
    <w:qFormat/>
    <w:uiPriority w:val="0"/>
    <w:rPr>
      <w:rFonts w:ascii="Calibri" w:hAnsi="Calibri"/>
    </w:rPr>
    <w:tblPr>
      <w:tblBorders>
        <w:top w:val="single" w:color="B3CC82" w:sz="8" w:space="0"/>
        <w:left w:val="single" w:color="B3CC82" w:sz="8" w:space="0"/>
        <w:bottom w:val="single" w:color="B3CC82" w:sz="8" w:space="0"/>
        <w:right w:val="single" w:color="B3CC82" w:sz="8" w:space="0"/>
        <w:insideH w:val="single" w:color="B3CC82" w:sz="8" w:space="0"/>
      </w:tblBorders>
    </w:tblPr>
    <w:tblStylePr w:type="firstRow">
      <w:pPr>
        <w:spacing w:before="0" w:after="0" w:line="240" w:lineRule="auto"/>
      </w:pPr>
      <w:rPr>
        <w:b/>
        <w:bCs/>
        <w:color w:val="FFFFFF"/>
      </w:rPr>
      <w:tcPr>
        <w:tcBorders>
          <w:top w:val="single" w:color="B3CC82" w:sz="8" w:space="0"/>
          <w:left w:val="single" w:color="B3CC82" w:sz="8" w:space="0"/>
          <w:bottom w:val="single" w:color="B3CC82" w:sz="8" w:space="0"/>
          <w:right w:val="single" w:color="B3CC82" w:sz="8" w:space="0"/>
          <w:insideH w:val="nil"/>
          <w:insideV w:val="nil"/>
        </w:tcBorders>
        <w:shd w:val="clear" w:color="auto" w:fill="9BBB59"/>
      </w:tcPr>
    </w:tblStylePr>
    <w:tblStylePr w:type="lastRow">
      <w:pPr>
        <w:spacing w:before="0" w:after="0" w:line="240" w:lineRule="auto"/>
      </w:pPr>
      <w:rPr>
        <w:b/>
        <w:bCs/>
      </w:rPr>
      <w:tcPr>
        <w:tcBorders>
          <w:top w:val="double" w:color="B3CC82" w:sz="6" w:space="0"/>
          <w:left w:val="single" w:color="B3CC82" w:sz="8" w:space="0"/>
          <w:bottom w:val="single" w:color="B3CC82" w:sz="8" w:space="0"/>
          <w:right w:val="single" w:color="B3CC82" w:sz="8" w:space="0"/>
          <w:insideH w:val="nil"/>
          <w:insideV w:val="nil"/>
        </w:tcBorders>
      </w:tcPr>
    </w:tblStylePr>
    <w:tblStylePr w:type="firstCol">
      <w:rPr>
        <w:b/>
        <w:bCs/>
      </w:rPr>
    </w:tblStylePr>
    <w:tblStylePr w:type="lastCol">
      <w:rPr>
        <w:b/>
        <w:bCs/>
      </w:rPr>
    </w:tblStylePr>
    <w:tblStylePr w:type="band1Vert">
      <w:tcPr>
        <w:shd w:val="clear" w:color="auto" w:fill="E6EED5"/>
      </w:tcPr>
    </w:tblStylePr>
    <w:tblStylePr w:type="band1Horz">
      <w:tcPr>
        <w:tcBorders>
          <w:insideH w:val="nil"/>
          <w:insideV w:val="nil"/>
        </w:tcBorders>
        <w:shd w:val="clear" w:color="auto" w:fill="E6EED5"/>
      </w:tcPr>
    </w:tblStylePr>
    <w:tblStylePr w:type="band2Horz">
      <w:tcPr>
        <w:tcBorders>
          <w:insideH w:val="nil"/>
          <w:insideV w:val="nil"/>
        </w:tcBorders>
      </w:tcPr>
    </w:tblStylePr>
  </w:style>
  <w:style w:type="table" w:customStyle="1" w:styleId="2667">
    <w:name w:val="表格主题1"/>
    <w:basedOn w:val="87"/>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668">
    <w:name w:val="标题 Char1"/>
    <w:qFormat/>
    <w:uiPriority w:val="0"/>
    <w:rPr>
      <w:rFonts w:ascii="Cambria" w:hAnsi="Cambria" w:cs="Times New Roman"/>
      <w:b/>
      <w:bCs/>
      <w:kern w:val="2"/>
      <w:sz w:val="32"/>
      <w:szCs w:val="32"/>
    </w:rPr>
  </w:style>
  <w:style w:type="character" w:customStyle="1" w:styleId="2669">
    <w:name w:val="副标题 Char1"/>
    <w:qFormat/>
    <w:uiPriority w:val="0"/>
    <w:rPr>
      <w:rFonts w:ascii="Cambria" w:hAnsi="Cambria" w:cs="Times New Roman"/>
      <w:b/>
      <w:bCs/>
      <w:kern w:val="28"/>
      <w:sz w:val="32"/>
      <w:szCs w:val="32"/>
    </w:rPr>
  </w:style>
  <w:style w:type="paragraph" w:customStyle="1" w:styleId="2670">
    <w:name w:val="列出段落2"/>
    <w:basedOn w:val="1"/>
    <w:qFormat/>
    <w:uiPriority w:val="0"/>
    <w:pPr>
      <w:tabs>
        <w:tab w:val="clear" w:pos="480"/>
      </w:tabs>
      <w:spacing w:line="240" w:lineRule="auto"/>
      <w:ind w:firstLine="420"/>
    </w:pPr>
    <w:rPr>
      <w:sz w:val="21"/>
    </w:rPr>
  </w:style>
  <w:style w:type="character" w:customStyle="1" w:styleId="2671">
    <w:name w:val="佛表 Char Char"/>
    <w:qFormat/>
    <w:uiPriority w:val="0"/>
    <w:rPr>
      <w:rFonts w:eastAsia="宋体"/>
      <w:color w:val="000000"/>
      <w:kern w:val="2"/>
      <w:sz w:val="21"/>
      <w:szCs w:val="21"/>
      <w:lang w:val="en-US" w:eastAsia="zh-CN" w:bidi="ar-SA"/>
    </w:rPr>
  </w:style>
  <w:style w:type="paragraph" w:customStyle="1" w:styleId="2672">
    <w:name w:val="reader-word-layer reader-word-s2-8"/>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673">
    <w:name w:val="TTT Char Char"/>
    <w:qFormat/>
    <w:uiPriority w:val="0"/>
    <w:rPr>
      <w:rFonts w:eastAsia="宋体" w:cs="宋体"/>
      <w:b/>
      <w:kern w:val="2"/>
      <w:sz w:val="24"/>
      <w:szCs w:val="24"/>
      <w:lang w:val="en-US" w:eastAsia="zh-CN" w:bidi="ar-SA"/>
    </w:rPr>
  </w:style>
  <w:style w:type="paragraph" w:customStyle="1" w:styleId="2674">
    <w:name w:val="reader-word-layer reader-word-s1-7"/>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75">
    <w:name w:val="reader-word-layer reader-word-s1-8"/>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76">
    <w:name w:val="reader-word-layer reader-word-s1-9"/>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77">
    <w:name w:val="reader-word-layer reader-word-s1-2"/>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78">
    <w:name w:val="reader-word-layer reader-word-s1-10"/>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79">
    <w:name w:val="reader-word-layer reader-word-s1-11"/>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680">
    <w:name w:val="headline-1-index"/>
    <w:basedOn w:val="132"/>
    <w:qFormat/>
    <w:uiPriority w:val="0"/>
  </w:style>
  <w:style w:type="paragraph" w:customStyle="1" w:styleId="2681">
    <w:name w:val="reader-word-layer reader-word-s1-6"/>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682">
    <w:name w:val="text_edit editable-title"/>
    <w:basedOn w:val="132"/>
    <w:qFormat/>
    <w:uiPriority w:val="0"/>
  </w:style>
  <w:style w:type="paragraph" w:customStyle="1" w:styleId="2683">
    <w:name w:val="reader-word-layer reader-word-s1-1 reader-word-s1-14"/>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84">
    <w:name w:val="reader-word-layer reader-word-s1-15"/>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85">
    <w:name w:val="reader-word-layer reader-word-s1-5"/>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86">
    <w:name w:val="reader-word-layer reader-word-s1-17"/>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87">
    <w:name w:val="reader-word-layer reader-word-s1-2 reader-word-s1-13"/>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88">
    <w:name w:val="reader-word-layer reader-word-s1-18"/>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689">
    <w:name w:val="reader-word-layer reader-word-s1-2 reader-word-s1-14"/>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690">
    <w:name w:val="ZX 0 表格文字 Char"/>
    <w:link w:val="2691"/>
    <w:qFormat/>
    <w:uiPriority w:val="0"/>
    <w:rPr>
      <w:sz w:val="21"/>
      <w:szCs w:val="21"/>
    </w:rPr>
  </w:style>
  <w:style w:type="paragraph" w:customStyle="1" w:styleId="2691">
    <w:name w:val="ZX 0 表格文字"/>
    <w:basedOn w:val="1"/>
    <w:link w:val="2690"/>
    <w:qFormat/>
    <w:uiPriority w:val="0"/>
    <w:pPr>
      <w:widowControl/>
      <w:tabs>
        <w:tab w:val="clear" w:pos="480"/>
      </w:tabs>
      <w:wordWrap w:val="0"/>
      <w:overflowPunct w:val="0"/>
      <w:topLinePunct/>
      <w:spacing w:line="276" w:lineRule="auto"/>
      <w:ind w:firstLine="0" w:firstLineChars="0"/>
      <w:jc w:val="center"/>
    </w:pPr>
    <w:rPr>
      <w:sz w:val="21"/>
      <w:szCs w:val="21"/>
    </w:rPr>
  </w:style>
  <w:style w:type="paragraph" w:customStyle="1" w:styleId="2692">
    <w:name w:val="pic-info"/>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2693">
    <w:name w:val="LS表格文字 Char Char"/>
    <w:link w:val="2694"/>
    <w:qFormat/>
    <w:uiPriority w:val="0"/>
    <w:rPr>
      <w:rFonts w:eastAsia="宋体"/>
      <w:iCs/>
      <w:color w:val="000000"/>
      <w:kern w:val="2"/>
      <w:sz w:val="21"/>
      <w:szCs w:val="21"/>
      <w:lang w:val="en-US" w:eastAsia="zh-CN" w:bidi="ar-SA"/>
    </w:rPr>
  </w:style>
  <w:style w:type="paragraph" w:customStyle="1" w:styleId="2694">
    <w:name w:val="LS表格文字"/>
    <w:basedOn w:val="1"/>
    <w:next w:val="1"/>
    <w:link w:val="2693"/>
    <w:qFormat/>
    <w:uiPriority w:val="0"/>
    <w:pPr>
      <w:widowControl/>
      <w:tabs>
        <w:tab w:val="clear" w:pos="480"/>
      </w:tabs>
      <w:spacing w:line="360" w:lineRule="exact"/>
      <w:jc w:val="center"/>
    </w:pPr>
    <w:rPr>
      <w:iCs/>
      <w:color w:val="000000"/>
      <w:sz w:val="21"/>
      <w:szCs w:val="21"/>
    </w:rPr>
  </w:style>
  <w:style w:type="paragraph" w:customStyle="1" w:styleId="2695">
    <w:name w:val="表内"/>
    <w:qFormat/>
    <w:uiPriority w:val="0"/>
    <w:pPr>
      <w:adjustRightInd w:val="0"/>
      <w:snapToGrid w:val="0"/>
      <w:ind w:left="-105" w:leftChars="-50" w:right="-105" w:rightChars="-50"/>
      <w:jc w:val="center"/>
    </w:pPr>
    <w:rPr>
      <w:rFonts w:ascii="Times New Roman" w:hAnsi="Times New Roman" w:eastAsia="宋体" w:cs="Times New Roman"/>
      <w:kern w:val="2"/>
      <w:sz w:val="21"/>
      <w:szCs w:val="24"/>
      <w:lang w:val="en-US" w:eastAsia="zh-CN" w:bidi="ar-SA"/>
    </w:rPr>
  </w:style>
  <w:style w:type="character" w:customStyle="1" w:styleId="2696">
    <w:name w:val="样式30 Char"/>
    <w:link w:val="2697"/>
    <w:qFormat/>
    <w:uiPriority w:val="0"/>
    <w:rPr>
      <w:rFonts w:ascii="Calibri" w:hAnsi="Calibri" w:eastAsia="宋体" w:cs="Arial"/>
      <w:bCs/>
      <w:kern w:val="2"/>
      <w:sz w:val="24"/>
      <w:szCs w:val="24"/>
      <w:lang w:bidi="ar-SA"/>
    </w:rPr>
  </w:style>
  <w:style w:type="paragraph" w:customStyle="1" w:styleId="2697">
    <w:name w:val="样式30"/>
    <w:basedOn w:val="85"/>
    <w:link w:val="2696"/>
    <w:semiHidden/>
    <w:qFormat/>
    <w:uiPriority w:val="0"/>
    <w:pPr>
      <w:adjustRightInd w:val="0"/>
      <w:snapToGrid w:val="0"/>
      <w:spacing w:after="0" w:line="360" w:lineRule="auto"/>
      <w:ind w:firstLine="480" w:firstLineChars="200"/>
    </w:pPr>
    <w:rPr>
      <w:rFonts w:ascii="Calibri" w:hAnsi="Calibri" w:cs="Arial"/>
      <w:bCs/>
      <w:sz w:val="24"/>
      <w:lang w:val="zh-CN"/>
    </w:rPr>
  </w:style>
  <w:style w:type="paragraph" w:customStyle="1" w:styleId="2698">
    <w:name w:val="默认段落字体 Para Char Char Char Char Char Char1 Char Char Char Char"/>
    <w:basedOn w:val="1"/>
    <w:semiHidden/>
    <w:qFormat/>
    <w:uiPriority w:val="0"/>
    <w:pPr>
      <w:tabs>
        <w:tab w:val="clear" w:pos="480"/>
      </w:tabs>
    </w:pPr>
    <w:rPr>
      <w:rFonts w:ascii="宋体" w:hAnsi="宋体" w:cs="宋体"/>
    </w:rPr>
  </w:style>
  <w:style w:type="paragraph" w:customStyle="1" w:styleId="2699">
    <w:name w:val="样式7"/>
    <w:basedOn w:val="7"/>
    <w:link w:val="2788"/>
    <w:qFormat/>
    <w:uiPriority w:val="0"/>
    <w:pPr>
      <w:widowControl/>
      <w:numPr>
        <w:ilvl w:val="0"/>
        <w:numId w:val="0"/>
      </w:numPr>
      <w:tabs>
        <w:tab w:val="clear" w:pos="480"/>
      </w:tabs>
      <w:spacing w:before="280" w:after="290" w:line="300" w:lineRule="auto"/>
    </w:pPr>
    <w:rPr>
      <w:rFonts w:ascii="Times New Roman" w:hAnsi="Times New Roman" w:eastAsia="宋体" w:cs="宋体"/>
      <w:bCs/>
      <w:sz w:val="28"/>
      <w:szCs w:val="28"/>
    </w:rPr>
  </w:style>
  <w:style w:type="paragraph" w:customStyle="1" w:styleId="2700">
    <w:name w:val="zhang正文"/>
    <w:basedOn w:val="1"/>
    <w:link w:val="2701"/>
    <w:qFormat/>
    <w:uiPriority w:val="0"/>
    <w:pPr>
      <w:tabs>
        <w:tab w:val="clear" w:pos="480"/>
      </w:tabs>
    </w:pPr>
    <w:rPr>
      <w:szCs w:val="20"/>
    </w:rPr>
  </w:style>
  <w:style w:type="character" w:customStyle="1" w:styleId="2701">
    <w:name w:val="zhang正文 Char"/>
    <w:link w:val="2700"/>
    <w:qFormat/>
    <w:uiPriority w:val="0"/>
    <w:rPr>
      <w:rFonts w:eastAsia="宋体"/>
      <w:kern w:val="2"/>
      <w:sz w:val="24"/>
      <w:lang w:val="en-US" w:eastAsia="zh-CN" w:bidi="ar-SA"/>
    </w:rPr>
  </w:style>
  <w:style w:type="paragraph" w:customStyle="1" w:styleId="2702">
    <w:name w:val="正文－1"/>
    <w:basedOn w:val="1"/>
    <w:link w:val="2703"/>
    <w:semiHidden/>
    <w:qFormat/>
    <w:uiPriority w:val="0"/>
    <w:pPr>
      <w:tabs>
        <w:tab w:val="clear" w:pos="480"/>
      </w:tabs>
      <w:adjustRightInd w:val="0"/>
      <w:snapToGrid w:val="0"/>
      <w:ind w:firstLine="420" w:firstLineChars="150"/>
    </w:pPr>
    <w:rPr>
      <w:sz w:val="28"/>
      <w:szCs w:val="28"/>
    </w:rPr>
  </w:style>
  <w:style w:type="character" w:customStyle="1" w:styleId="2703">
    <w:name w:val="正文－1 Char"/>
    <w:link w:val="2702"/>
    <w:qFormat/>
    <w:uiPriority w:val="0"/>
    <w:rPr>
      <w:rFonts w:eastAsia="宋体"/>
      <w:kern w:val="2"/>
      <w:sz w:val="28"/>
      <w:szCs w:val="28"/>
      <w:lang w:val="en-US" w:eastAsia="zh-CN" w:bidi="ar-SA"/>
    </w:rPr>
  </w:style>
  <w:style w:type="paragraph" w:customStyle="1" w:styleId="2704">
    <w:name w:val="正文文章"/>
    <w:basedOn w:val="1"/>
    <w:link w:val="2705"/>
    <w:semiHidden/>
    <w:qFormat/>
    <w:uiPriority w:val="0"/>
    <w:pPr>
      <w:tabs>
        <w:tab w:val="clear" w:pos="480"/>
      </w:tabs>
      <w:ind w:firstLine="480"/>
    </w:pPr>
    <w:rPr>
      <w:kern w:val="0"/>
      <w:sz w:val="28"/>
      <w:lang w:val="zh-CN"/>
    </w:rPr>
  </w:style>
  <w:style w:type="character" w:customStyle="1" w:styleId="2705">
    <w:name w:val="正文文章 Char"/>
    <w:link w:val="2704"/>
    <w:qFormat/>
    <w:uiPriority w:val="0"/>
    <w:rPr>
      <w:rFonts w:eastAsia="宋体"/>
      <w:sz w:val="28"/>
      <w:szCs w:val="24"/>
      <w:lang w:bidi="ar-SA"/>
    </w:rPr>
  </w:style>
  <w:style w:type="character" w:customStyle="1" w:styleId="2706">
    <w:name w:val="正文标题 Char"/>
    <w:link w:val="1305"/>
    <w:qFormat/>
    <w:uiPriority w:val="0"/>
    <w:rPr>
      <w:rFonts w:ascii="华文楷体" w:hAnsi="华文楷体" w:eastAsia="华文楷体"/>
      <w:b/>
      <w:color w:val="000000"/>
      <w:sz w:val="36"/>
      <w:szCs w:val="36"/>
      <w:u w:color="000000"/>
      <w:lang w:val="en-US" w:eastAsia="zh-CN" w:bidi="ar-SA"/>
    </w:rPr>
  </w:style>
  <w:style w:type="paragraph" w:customStyle="1" w:styleId="2707">
    <w:name w:val="表中正文"/>
    <w:basedOn w:val="1"/>
    <w:link w:val="2708"/>
    <w:semiHidden/>
    <w:qFormat/>
    <w:uiPriority w:val="0"/>
    <w:pPr>
      <w:tabs>
        <w:tab w:val="clear" w:pos="480"/>
      </w:tabs>
      <w:autoSpaceDE w:val="0"/>
      <w:autoSpaceDN w:val="0"/>
      <w:adjustRightInd w:val="0"/>
      <w:snapToGrid w:val="0"/>
      <w:spacing w:line="300" w:lineRule="exact"/>
      <w:jc w:val="center"/>
    </w:pPr>
    <w:rPr>
      <w:rFonts w:ascii="宋体"/>
      <w:kern w:val="0"/>
      <w:sz w:val="20"/>
      <w:szCs w:val="21"/>
      <w:lang w:val="zh-CN"/>
    </w:rPr>
  </w:style>
  <w:style w:type="character" w:customStyle="1" w:styleId="2708">
    <w:name w:val="表中正文 Char"/>
    <w:link w:val="2707"/>
    <w:qFormat/>
    <w:uiPriority w:val="0"/>
    <w:rPr>
      <w:rFonts w:ascii="宋体" w:eastAsia="宋体"/>
      <w:szCs w:val="21"/>
      <w:lang w:bidi="ar-SA"/>
    </w:rPr>
  </w:style>
  <w:style w:type="paragraph" w:customStyle="1" w:styleId="2709">
    <w:name w:val="表的标题"/>
    <w:basedOn w:val="1"/>
    <w:next w:val="2707"/>
    <w:link w:val="2710"/>
    <w:semiHidden/>
    <w:qFormat/>
    <w:uiPriority w:val="0"/>
    <w:pPr>
      <w:tabs>
        <w:tab w:val="clear" w:pos="480"/>
      </w:tabs>
      <w:adjustRightInd w:val="0"/>
      <w:snapToGrid w:val="0"/>
      <w:spacing w:line="240" w:lineRule="auto"/>
      <w:jc w:val="center"/>
    </w:pPr>
    <w:rPr>
      <w:rFonts w:ascii="Arial" w:hAnsi="Arial"/>
      <w:kern w:val="0"/>
      <w:szCs w:val="20"/>
      <w:lang w:val="zh-CN"/>
    </w:rPr>
  </w:style>
  <w:style w:type="character" w:customStyle="1" w:styleId="2710">
    <w:name w:val="表的标题 Char"/>
    <w:link w:val="2709"/>
    <w:qFormat/>
    <w:uiPriority w:val="0"/>
    <w:rPr>
      <w:rFonts w:ascii="Arial" w:hAnsi="Arial" w:eastAsia="宋体"/>
      <w:sz w:val="24"/>
      <w:lang w:bidi="ar-SA"/>
    </w:rPr>
  </w:style>
  <w:style w:type="paragraph" w:customStyle="1" w:styleId="2711">
    <w:name w:val="福建正文文字"/>
    <w:basedOn w:val="1"/>
    <w:link w:val="2712"/>
    <w:semiHidden/>
    <w:qFormat/>
    <w:uiPriority w:val="0"/>
    <w:pPr>
      <w:tabs>
        <w:tab w:val="clear" w:pos="480"/>
      </w:tabs>
      <w:spacing w:line="312" w:lineRule="auto"/>
    </w:pPr>
    <w:rPr>
      <w:kern w:val="0"/>
      <w:szCs w:val="20"/>
      <w:lang w:val="zh-CN"/>
    </w:rPr>
  </w:style>
  <w:style w:type="character" w:customStyle="1" w:styleId="2712">
    <w:name w:val="福建正文文字 Char"/>
    <w:link w:val="2711"/>
    <w:qFormat/>
    <w:uiPriority w:val="0"/>
    <w:rPr>
      <w:sz w:val="24"/>
      <w:lang w:bidi="ar-SA"/>
    </w:rPr>
  </w:style>
  <w:style w:type="character" w:styleId="2713">
    <w:name w:val="Placeholder Text"/>
    <w:semiHidden/>
    <w:qFormat/>
    <w:uiPriority w:val="0"/>
    <w:rPr>
      <w:color w:val="808080"/>
    </w:rPr>
  </w:style>
  <w:style w:type="character" w:customStyle="1" w:styleId="2714">
    <w:name w:val="批注引用1"/>
    <w:qFormat/>
    <w:uiPriority w:val="0"/>
    <w:rPr>
      <w:sz w:val="21"/>
      <w:szCs w:val="21"/>
    </w:rPr>
  </w:style>
  <w:style w:type="character" w:customStyle="1" w:styleId="2715">
    <w:name w:val="正文文章 Char Char"/>
    <w:semiHidden/>
    <w:qFormat/>
    <w:uiPriority w:val="0"/>
    <w:rPr>
      <w:sz w:val="28"/>
    </w:rPr>
  </w:style>
  <w:style w:type="paragraph" w:customStyle="1" w:styleId="2716">
    <w:name w:val="无间隔1"/>
    <w:semiHidden/>
    <w:qFormat/>
    <w:uiPriority w:val="0"/>
    <w:pPr>
      <w:widowControl w:val="0"/>
      <w:jc w:val="center"/>
    </w:pPr>
    <w:rPr>
      <w:rFonts w:ascii="Times New Roman" w:hAnsi="Times New Roman" w:eastAsia="宋体" w:cs="Times New Roman"/>
      <w:kern w:val="2"/>
      <w:sz w:val="24"/>
      <w:szCs w:val="24"/>
      <w:lang w:val="en-US" w:eastAsia="zh-CN" w:bidi="ar-SA"/>
    </w:rPr>
  </w:style>
  <w:style w:type="paragraph" w:customStyle="1" w:styleId="2717">
    <w:name w:val="无间隔2"/>
    <w:semiHidden/>
    <w:qFormat/>
    <w:uiPriority w:val="0"/>
    <w:pPr>
      <w:widowControl w:val="0"/>
      <w:jc w:val="center"/>
    </w:pPr>
    <w:rPr>
      <w:rFonts w:ascii="Times New Roman" w:hAnsi="Times New Roman" w:eastAsia="宋体" w:cs="Times New Roman"/>
      <w:kern w:val="2"/>
      <w:sz w:val="24"/>
      <w:szCs w:val="24"/>
      <w:lang w:val="en-US" w:eastAsia="zh-CN" w:bidi="ar-SA"/>
    </w:rPr>
  </w:style>
  <w:style w:type="character" w:customStyle="1" w:styleId="2718">
    <w:name w:val="批注引用2"/>
    <w:semiHidden/>
    <w:qFormat/>
    <w:uiPriority w:val="0"/>
    <w:rPr>
      <w:sz w:val="21"/>
      <w:szCs w:val="21"/>
    </w:rPr>
  </w:style>
  <w:style w:type="character" w:customStyle="1" w:styleId="2719">
    <w:name w:val="表格 Char Char"/>
    <w:qFormat/>
    <w:uiPriority w:val="0"/>
    <w:rPr>
      <w:rFonts w:ascii="宋体" w:hAnsi="Times New Roman" w:eastAsia="宋体" w:cs="Times New Roman"/>
      <w:spacing w:val="10"/>
      <w:kern w:val="18"/>
      <w:szCs w:val="20"/>
    </w:rPr>
  </w:style>
  <w:style w:type="character" w:customStyle="1" w:styleId="2720">
    <w:name w:val="正文(首行缩进) Char Char"/>
    <w:qFormat/>
    <w:uiPriority w:val="0"/>
    <w:rPr>
      <w:rFonts w:ascii="Times New Roman" w:hAnsi="Times New Roman" w:eastAsia="宋体" w:cs="Times New Roman"/>
      <w:kern w:val="0"/>
      <w:sz w:val="24"/>
      <w:szCs w:val="24"/>
    </w:rPr>
  </w:style>
  <w:style w:type="paragraph" w:customStyle="1" w:styleId="2721">
    <w:name w:val="Char12"/>
    <w:basedOn w:val="1"/>
    <w:semiHidden/>
    <w:qFormat/>
    <w:uiPriority w:val="0"/>
    <w:pPr>
      <w:tabs>
        <w:tab w:val="clear" w:pos="480"/>
      </w:tabs>
    </w:pPr>
    <w:rPr>
      <w:rFonts w:ascii="Tahoma" w:hAnsi="Tahoma"/>
      <w:szCs w:val="20"/>
    </w:rPr>
  </w:style>
  <w:style w:type="character" w:customStyle="1" w:styleId="2722">
    <w:name w:val="干标题(a) Char Char1"/>
    <w:semiHidden/>
    <w:qFormat/>
    <w:uiPriority w:val="0"/>
    <w:rPr>
      <w:rFonts w:ascii="黑体" w:hAnsi="Arial" w:eastAsia="黑体" w:cs="Times New Roman"/>
      <w:kern w:val="0"/>
      <w:sz w:val="24"/>
      <w:szCs w:val="20"/>
    </w:rPr>
  </w:style>
  <w:style w:type="paragraph" w:customStyle="1" w:styleId="2723">
    <w:name w:val="cc"/>
    <w:basedOn w:val="1565"/>
    <w:semiHidden/>
    <w:qFormat/>
    <w:uiPriority w:val="0"/>
    <w:pPr>
      <w:widowControl w:val="0"/>
      <w:ind w:firstLine="200"/>
      <w:jc w:val="left"/>
    </w:pPr>
    <w:rPr>
      <w:szCs w:val="20"/>
    </w:rPr>
  </w:style>
  <w:style w:type="paragraph" w:customStyle="1" w:styleId="2724">
    <w:name w:val="样式 标题 2 + 左侧:  0.32 厘米 首行缩进:  0 厘米"/>
    <w:basedOn w:val="4"/>
    <w:semiHidden/>
    <w:qFormat/>
    <w:uiPriority w:val="0"/>
    <w:pPr>
      <w:keepLines w:val="0"/>
      <w:widowControl/>
      <w:numPr>
        <w:ilvl w:val="0"/>
        <w:numId w:val="0"/>
      </w:numPr>
      <w:tabs>
        <w:tab w:val="left" w:pos="360"/>
        <w:tab w:val="left" w:pos="1320"/>
        <w:tab w:val="clear" w:pos="480"/>
        <w:tab w:val="clear" w:pos="630"/>
      </w:tabs>
      <w:overflowPunct w:val="0"/>
      <w:topLinePunct/>
      <w:autoSpaceDE w:val="0"/>
      <w:spacing w:before="0" w:after="0" w:line="312" w:lineRule="auto"/>
      <w:ind w:left="576" w:hanging="420"/>
    </w:pPr>
    <w:rPr>
      <w:rFonts w:ascii="黑体" w:eastAsia="黑体"/>
      <w:color w:val="000000"/>
      <w:spacing w:val="20"/>
      <w:kern w:val="0"/>
      <w:sz w:val="30"/>
      <w:szCs w:val="20"/>
    </w:rPr>
  </w:style>
  <w:style w:type="character" w:customStyle="1" w:styleId="2725">
    <w:name w:val="脚注文本 Char1"/>
    <w:semiHidden/>
    <w:qFormat/>
    <w:uiPriority w:val="99"/>
    <w:rPr>
      <w:rFonts w:ascii="Times New Roman" w:hAnsi="Times New Roman" w:eastAsia="宋体" w:cs="Times New Roman"/>
      <w:sz w:val="18"/>
      <w:szCs w:val="18"/>
    </w:rPr>
  </w:style>
  <w:style w:type="character" w:customStyle="1" w:styleId="2726">
    <w:name w:val="一号 加粗 无缩进居中"/>
    <w:semiHidden/>
    <w:qFormat/>
    <w:uiPriority w:val="0"/>
    <w:rPr>
      <w:b/>
      <w:bCs/>
      <w:sz w:val="52"/>
    </w:rPr>
  </w:style>
  <w:style w:type="character" w:customStyle="1" w:styleId="2727">
    <w:name w:val="批注文字 Char1"/>
    <w:qFormat/>
    <w:uiPriority w:val="0"/>
    <w:rPr>
      <w:rFonts w:ascii="Times New Roman" w:hAnsi="Times New Roman" w:eastAsia="宋体" w:cs="Times New Roman"/>
      <w:szCs w:val="24"/>
    </w:rPr>
  </w:style>
  <w:style w:type="character" w:customStyle="1" w:styleId="2728">
    <w:name w:val="报告 Char1"/>
    <w:link w:val="721"/>
    <w:qFormat/>
    <w:locked/>
    <w:uiPriority w:val="0"/>
    <w:rPr>
      <w:rFonts w:eastAsia="宋体"/>
      <w:sz w:val="24"/>
      <w:lang w:val="en-US" w:eastAsia="zh-CN" w:bidi="ar-SA"/>
    </w:rPr>
  </w:style>
  <w:style w:type="character" w:customStyle="1" w:styleId="2729">
    <w:name w:val="表名 Char1"/>
    <w:link w:val="745"/>
    <w:qFormat/>
    <w:locked/>
    <w:uiPriority w:val="0"/>
    <w:rPr>
      <w:rFonts w:eastAsia="黑体"/>
      <w:sz w:val="24"/>
      <w:lang w:val="en-US" w:eastAsia="zh-CN" w:bidi="ar-SA"/>
    </w:rPr>
  </w:style>
  <w:style w:type="character" w:customStyle="1" w:styleId="2730">
    <w:name w:val="正文 32 Char"/>
    <w:link w:val="2466"/>
    <w:qFormat/>
    <w:locked/>
    <w:uiPriority w:val="0"/>
    <w:rPr>
      <w:rFonts w:eastAsia="楷体"/>
      <w:sz w:val="24"/>
      <w:lang w:val="en-US" w:eastAsia="zh-CN" w:bidi="ar-SA"/>
    </w:rPr>
  </w:style>
  <w:style w:type="paragraph" w:customStyle="1" w:styleId="2731">
    <w:name w:val="字元 字元2"/>
    <w:basedOn w:val="1"/>
    <w:semiHidden/>
    <w:qFormat/>
    <w:uiPriority w:val="0"/>
    <w:pPr>
      <w:tabs>
        <w:tab w:val="clear" w:pos="480"/>
      </w:tabs>
      <w:adjustRightInd w:val="0"/>
    </w:pPr>
    <w:rPr>
      <w:kern w:val="0"/>
      <w:szCs w:val="20"/>
    </w:rPr>
  </w:style>
  <w:style w:type="paragraph" w:customStyle="1" w:styleId="2732">
    <w:name w:val="paragraph12"/>
    <w:basedOn w:val="1"/>
    <w:semiHidden/>
    <w:qFormat/>
    <w:uiPriority w:val="0"/>
    <w:pPr>
      <w:widowControl/>
      <w:tabs>
        <w:tab w:val="clear" w:pos="480"/>
      </w:tabs>
      <w:spacing w:before="100" w:beforeAutospacing="1" w:after="100" w:afterAutospacing="1"/>
      <w:ind w:firstLine="504"/>
      <w:jc w:val="left"/>
    </w:pPr>
    <w:rPr>
      <w:rFonts w:ascii="ˎ̥" w:hAnsi="ˎ̥" w:cs="宋体"/>
      <w:kern w:val="0"/>
    </w:rPr>
  </w:style>
  <w:style w:type="character" w:customStyle="1" w:styleId="2733">
    <w:name w:val="文档结构图 Char1"/>
    <w:semiHidden/>
    <w:qFormat/>
    <w:uiPriority w:val="0"/>
    <w:rPr>
      <w:rFonts w:ascii="宋体" w:hAnsi="Times New Roman" w:eastAsia="宋体" w:cs="Times New Roman"/>
      <w:sz w:val="18"/>
      <w:szCs w:val="18"/>
    </w:rPr>
  </w:style>
  <w:style w:type="paragraph" w:customStyle="1" w:styleId="2734">
    <w:name w:val="默认段落字体 Para Char Char Char Char Char Char Char Char Char1 Char Char Char Char Char Char Char"/>
    <w:basedOn w:val="26"/>
    <w:qFormat/>
    <w:uiPriority w:val="0"/>
    <w:pPr/>
    <w:rPr>
      <w:rFonts w:ascii="Tahoma" w:hAnsi="Tahoma" w:cs="Tahoma"/>
      <w:kern w:val="0"/>
      <w:sz w:val="24"/>
    </w:rPr>
  </w:style>
  <w:style w:type="paragraph" w:customStyle="1" w:styleId="2735">
    <w:name w:val="字元"/>
    <w:basedOn w:val="26"/>
    <w:semiHidden/>
    <w:qFormat/>
    <w:uiPriority w:val="0"/>
    <w:pPr/>
    <w:rPr>
      <w:rFonts w:ascii="Tahoma" w:hAnsi="Tahoma" w:cs="Tahoma"/>
      <w:kern w:val="0"/>
      <w:sz w:val="24"/>
    </w:rPr>
  </w:style>
  <w:style w:type="character" w:customStyle="1" w:styleId="2736">
    <w:name w:val="样式 标题 2 Char"/>
    <w:link w:val="656"/>
    <w:qFormat/>
    <w:locked/>
    <w:uiPriority w:val="0"/>
    <w:rPr>
      <w:rFonts w:ascii="仿宋_GB2312" w:hAnsi="宋体" w:eastAsia="仿宋_GB2312"/>
      <w:b/>
      <w:bCs/>
      <w:kern w:val="2"/>
      <w:sz w:val="30"/>
      <w:lang w:val="en-US" w:eastAsia="zh-CN" w:bidi="ar-SA"/>
    </w:rPr>
  </w:style>
  <w:style w:type="paragraph" w:customStyle="1" w:styleId="2737">
    <w:name w:val="样式 标题 4"/>
    <w:basedOn w:val="6"/>
    <w:next w:val="1"/>
    <w:qFormat/>
    <w:uiPriority w:val="0"/>
    <w:pPr>
      <w:numPr>
        <w:ilvl w:val="0"/>
        <w:numId w:val="0"/>
      </w:numPr>
      <w:tabs>
        <w:tab w:val="clear" w:pos="480"/>
      </w:tabs>
      <w:spacing w:before="120" w:after="0"/>
      <w:jc w:val="left"/>
    </w:pPr>
    <w:rPr>
      <w:rFonts w:ascii="Times New Roman" w:hAnsi="Times New Roman" w:eastAsia="黑体" w:cs="宋体"/>
      <w:sz w:val="24"/>
      <w:szCs w:val="24"/>
    </w:rPr>
  </w:style>
  <w:style w:type="paragraph" w:customStyle="1" w:styleId="2738">
    <w:name w:val="样式 表头 + 宋体"/>
    <w:basedOn w:val="163"/>
    <w:semiHidden/>
    <w:qFormat/>
    <w:uiPriority w:val="0"/>
    <w:pPr>
      <w:spacing w:before="120" w:after="120"/>
    </w:pPr>
    <w:rPr>
      <w:rFonts w:eastAsia="黑体"/>
      <w:bCs w:val="0"/>
      <w:snapToGrid/>
      <w:color w:val="auto"/>
      <w:kern w:val="0"/>
      <w:sz w:val="24"/>
      <w:szCs w:val="24"/>
    </w:rPr>
  </w:style>
  <w:style w:type="paragraph" w:customStyle="1" w:styleId="2739">
    <w:name w:val="Char Char Char Char Char Char1 Char Char Char Char Char Char Char1"/>
    <w:basedOn w:val="1"/>
    <w:semiHidden/>
    <w:qFormat/>
    <w:uiPriority w:val="0"/>
    <w:pPr>
      <w:tabs>
        <w:tab w:val="clear" w:pos="480"/>
      </w:tabs>
      <w:spacing w:line="240" w:lineRule="auto"/>
    </w:pPr>
  </w:style>
  <w:style w:type="paragraph" w:customStyle="1" w:styleId="2740">
    <w:name w:val="默认段落字体 Para Char Char Char Char Char Char Char Char Char Char Char Char Char"/>
    <w:basedOn w:val="1"/>
    <w:qFormat/>
    <w:uiPriority w:val="0"/>
    <w:pPr>
      <w:tabs>
        <w:tab w:val="clear" w:pos="480"/>
      </w:tabs>
      <w:spacing w:line="240" w:lineRule="auto"/>
    </w:pPr>
    <w:rPr>
      <w:sz w:val="21"/>
    </w:rPr>
  </w:style>
  <w:style w:type="character" w:customStyle="1" w:styleId="2741">
    <w:name w:val="正文(首行缩进)宋旭峰 Char Char"/>
    <w:link w:val="2742"/>
    <w:qFormat/>
    <w:locked/>
    <w:uiPriority w:val="0"/>
    <w:rPr>
      <w:rFonts w:ascii="Arial" w:hAnsi="Arial"/>
      <w:sz w:val="24"/>
      <w:szCs w:val="24"/>
      <w:lang w:bidi="ar-SA"/>
    </w:rPr>
  </w:style>
  <w:style w:type="paragraph" w:customStyle="1" w:styleId="2742">
    <w:name w:val="正文(首行缩进)宋旭峰"/>
    <w:basedOn w:val="21"/>
    <w:link w:val="2741"/>
    <w:semiHidden/>
    <w:qFormat/>
    <w:uiPriority w:val="0"/>
    <w:pPr>
      <w:tabs>
        <w:tab w:val="clear" w:pos="480"/>
      </w:tabs>
      <w:snapToGrid w:val="0"/>
      <w:spacing w:beforeLines="50" w:afterLines="50"/>
      <w:ind w:firstLine="480"/>
      <w:contextualSpacing/>
    </w:pPr>
    <w:rPr>
      <w:rFonts w:ascii="Arial" w:hAnsi="Arial"/>
      <w:kern w:val="0"/>
      <w:lang w:val="zh-CN"/>
    </w:rPr>
  </w:style>
  <w:style w:type="character" w:customStyle="1" w:styleId="2743">
    <w:name w:val="报告书 Char"/>
    <w:link w:val="2744"/>
    <w:qFormat/>
    <w:locked/>
    <w:uiPriority w:val="0"/>
    <w:rPr>
      <w:rFonts w:ascii="楷体_GB2312" w:eastAsia="楷体_GB2312"/>
      <w:color w:val="FF0000"/>
      <w:sz w:val="24"/>
      <w:lang w:bidi="ar-SA"/>
    </w:rPr>
  </w:style>
  <w:style w:type="paragraph" w:customStyle="1" w:styleId="2744">
    <w:name w:val="报告书"/>
    <w:basedOn w:val="1"/>
    <w:link w:val="2743"/>
    <w:semiHidden/>
    <w:qFormat/>
    <w:uiPriority w:val="0"/>
    <w:pPr>
      <w:tabs>
        <w:tab w:val="clear" w:pos="480"/>
      </w:tabs>
      <w:autoSpaceDE w:val="0"/>
      <w:autoSpaceDN w:val="0"/>
      <w:adjustRightInd w:val="0"/>
      <w:ind w:firstLine="480"/>
      <w:jc w:val="left"/>
    </w:pPr>
    <w:rPr>
      <w:rFonts w:ascii="楷体_GB2312" w:eastAsia="楷体_GB2312"/>
      <w:color w:val="FF0000"/>
      <w:kern w:val="0"/>
      <w:szCs w:val="20"/>
      <w:lang w:val="zh-CN"/>
    </w:rPr>
  </w:style>
  <w:style w:type="paragraph" w:customStyle="1" w:styleId="2745">
    <w:name w:val="新正文样式"/>
    <w:basedOn w:val="1"/>
    <w:semiHidden/>
    <w:qFormat/>
    <w:uiPriority w:val="0"/>
    <w:pPr>
      <w:tabs>
        <w:tab w:val="left" w:pos="567"/>
        <w:tab w:val="clear" w:pos="480"/>
      </w:tabs>
      <w:ind w:firstLine="567"/>
    </w:pPr>
    <w:rPr>
      <w:spacing w:val="20"/>
      <w:szCs w:val="20"/>
    </w:rPr>
  </w:style>
  <w:style w:type="paragraph" w:customStyle="1" w:styleId="2746">
    <w:name w:val="目2"/>
    <w:semiHidden/>
    <w:qFormat/>
    <w:uiPriority w:val="0"/>
    <w:pPr>
      <w:spacing w:beforeLines="50" w:afterLines="50" w:line="360" w:lineRule="auto"/>
      <w:jc w:val="center"/>
      <w:outlineLvl w:val="1"/>
    </w:pPr>
    <w:rPr>
      <w:rFonts w:ascii="Times New Roman" w:hAnsi="Times New Roman" w:eastAsia="黑体" w:cs="Times New Roman"/>
      <w:b/>
      <w:bCs/>
      <w:kern w:val="2"/>
      <w:sz w:val="32"/>
      <w:szCs w:val="32"/>
      <w:lang w:val="en-US" w:eastAsia="zh-CN" w:bidi="ar-SA"/>
    </w:rPr>
  </w:style>
  <w:style w:type="paragraph" w:customStyle="1" w:styleId="2747">
    <w:name w:val="目3"/>
    <w:semiHidden/>
    <w:qFormat/>
    <w:uiPriority w:val="0"/>
    <w:pPr>
      <w:snapToGrid w:val="0"/>
      <w:spacing w:line="360" w:lineRule="auto"/>
      <w:jc w:val="center"/>
      <w:outlineLvl w:val="2"/>
    </w:pPr>
    <w:rPr>
      <w:rFonts w:ascii="Times New Roman" w:hAnsi="Times New Roman" w:eastAsia="宋体" w:cs="Times New Roman"/>
      <w:b/>
      <w:bCs/>
      <w:kern w:val="18"/>
      <w:sz w:val="28"/>
      <w:szCs w:val="28"/>
      <w:lang w:val="en-US" w:eastAsia="zh-CN" w:bidi="ar-SA"/>
    </w:rPr>
  </w:style>
  <w:style w:type="paragraph" w:customStyle="1" w:styleId="2748">
    <w:name w:val="第二个标题"/>
    <w:basedOn w:val="4"/>
    <w:semiHidden/>
    <w:qFormat/>
    <w:uiPriority w:val="0"/>
    <w:pPr>
      <w:numPr>
        <w:ilvl w:val="0"/>
        <w:numId w:val="0"/>
      </w:numPr>
      <w:tabs>
        <w:tab w:val="clear" w:pos="480"/>
        <w:tab w:val="clear" w:pos="630"/>
      </w:tabs>
      <w:adjustRightInd w:val="0"/>
      <w:snapToGrid w:val="0"/>
      <w:spacing w:beforeLines="50" w:afterLines="50"/>
    </w:pPr>
    <w:rPr>
      <w:kern w:val="0"/>
      <w:szCs w:val="28"/>
    </w:rPr>
  </w:style>
  <w:style w:type="paragraph" w:customStyle="1" w:styleId="2749">
    <w:name w:val="第3只标题"/>
    <w:basedOn w:val="2748"/>
    <w:semiHidden/>
    <w:qFormat/>
    <w:uiPriority w:val="0"/>
    <w:pPr>
      <w:outlineLvl w:val="2"/>
    </w:pPr>
    <w:rPr>
      <w:sz w:val="30"/>
      <w:szCs w:val="30"/>
    </w:rPr>
  </w:style>
  <w:style w:type="character" w:customStyle="1" w:styleId="2750">
    <w:name w:val="样式 样式 标题 3 + (中文) 宋体1 Char"/>
    <w:link w:val="2751"/>
    <w:qFormat/>
    <w:locked/>
    <w:uiPriority w:val="0"/>
    <w:rPr>
      <w:rFonts w:ascii="宋体" w:hAnsi="宋体" w:eastAsia="宋体"/>
      <w:bCs/>
      <w:sz w:val="24"/>
      <w:szCs w:val="24"/>
      <w:lang w:bidi="ar-SA"/>
    </w:rPr>
  </w:style>
  <w:style w:type="paragraph" w:customStyle="1" w:styleId="2751">
    <w:name w:val="样式 样式 标题 3 + (中文) 宋体1"/>
    <w:basedOn w:val="1"/>
    <w:link w:val="2750"/>
    <w:semiHidden/>
    <w:qFormat/>
    <w:uiPriority w:val="0"/>
    <w:pPr>
      <w:keepNext/>
      <w:keepLines/>
      <w:tabs>
        <w:tab w:val="clear" w:pos="480"/>
      </w:tabs>
      <w:spacing w:before="120" w:after="240" w:line="0" w:lineRule="atLeast"/>
      <w:jc w:val="left"/>
      <w:outlineLvl w:val="2"/>
    </w:pPr>
    <w:rPr>
      <w:rFonts w:ascii="宋体" w:hAnsi="宋体"/>
      <w:bCs/>
      <w:kern w:val="0"/>
      <w:lang w:val="zh-CN"/>
    </w:rPr>
  </w:style>
  <w:style w:type="character" w:customStyle="1" w:styleId="2752">
    <w:name w:val="样式 样式 标题 3 + (中文) 宋体 Char"/>
    <w:link w:val="2753"/>
    <w:qFormat/>
    <w:locked/>
    <w:uiPriority w:val="0"/>
    <w:rPr>
      <w:rFonts w:ascii="宋体" w:hAnsi="宋体" w:eastAsia="宋体"/>
      <w:bCs/>
      <w:sz w:val="24"/>
      <w:szCs w:val="24"/>
      <w:lang w:bidi="ar-SA"/>
    </w:rPr>
  </w:style>
  <w:style w:type="paragraph" w:customStyle="1" w:styleId="2753">
    <w:name w:val="样式 样式 标题 3 + (中文) 宋体"/>
    <w:basedOn w:val="1"/>
    <w:link w:val="2752"/>
    <w:semiHidden/>
    <w:qFormat/>
    <w:uiPriority w:val="0"/>
    <w:pPr>
      <w:keepNext/>
      <w:keepLines/>
      <w:tabs>
        <w:tab w:val="clear" w:pos="480"/>
      </w:tabs>
      <w:spacing w:before="120" w:after="240" w:line="0" w:lineRule="atLeast"/>
      <w:jc w:val="left"/>
      <w:outlineLvl w:val="2"/>
    </w:pPr>
    <w:rPr>
      <w:rFonts w:ascii="宋体" w:hAnsi="宋体"/>
      <w:bCs/>
      <w:kern w:val="0"/>
      <w:lang w:val="zh-CN"/>
    </w:rPr>
  </w:style>
  <w:style w:type="paragraph" w:customStyle="1" w:styleId="2754">
    <w:name w:val="样式 标题 2 + 小三 非加粗"/>
    <w:basedOn w:val="4"/>
    <w:semiHidden/>
    <w:qFormat/>
    <w:uiPriority w:val="0"/>
    <w:pPr>
      <w:numPr>
        <w:ilvl w:val="0"/>
        <w:numId w:val="0"/>
      </w:numPr>
      <w:tabs>
        <w:tab w:val="clear" w:pos="480"/>
        <w:tab w:val="clear" w:pos="630"/>
      </w:tabs>
      <w:spacing w:after="260" w:line="312" w:lineRule="auto"/>
      <w:jc w:val="left"/>
    </w:pPr>
    <w:rPr>
      <w:rFonts w:eastAsia="黑体" w:cs="宋体"/>
      <w:b w:val="0"/>
      <w:bCs w:val="0"/>
      <w:kern w:val="0"/>
      <w:sz w:val="30"/>
      <w:szCs w:val="20"/>
    </w:rPr>
  </w:style>
  <w:style w:type="paragraph" w:customStyle="1" w:styleId="2755">
    <w:name w:val="段落A"/>
    <w:basedOn w:val="1"/>
    <w:semiHidden/>
    <w:qFormat/>
    <w:uiPriority w:val="0"/>
    <w:pPr>
      <w:tabs>
        <w:tab w:val="clear" w:pos="480"/>
      </w:tabs>
      <w:spacing w:line="400" w:lineRule="exact"/>
      <w:ind w:firstLine="480"/>
    </w:pPr>
  </w:style>
  <w:style w:type="paragraph" w:customStyle="1" w:styleId="2756">
    <w:name w:val="Char Char Char Char Char Char Char Char Char Char Char Char1 Char1"/>
    <w:basedOn w:val="1"/>
    <w:semiHidden/>
    <w:qFormat/>
    <w:uiPriority w:val="0"/>
    <w:pPr>
      <w:tabs>
        <w:tab w:val="clear" w:pos="480"/>
      </w:tabs>
    </w:pPr>
    <w:rPr>
      <w:rFonts w:ascii="宋体" w:hAnsi="宋体" w:cs="宋体"/>
    </w:rPr>
  </w:style>
  <w:style w:type="paragraph" w:customStyle="1" w:styleId="2757">
    <w:name w:val="pagecontent_normal"/>
    <w:basedOn w:val="1"/>
    <w:semiHidden/>
    <w:qFormat/>
    <w:uiPriority w:val="0"/>
    <w:pPr>
      <w:widowControl/>
      <w:tabs>
        <w:tab w:val="clear" w:pos="480"/>
      </w:tabs>
      <w:spacing w:before="100" w:beforeAutospacing="1" w:after="100" w:afterAutospacing="1" w:line="240" w:lineRule="auto"/>
      <w:jc w:val="left"/>
    </w:pPr>
    <w:rPr>
      <w:rFonts w:ascii="宋体" w:hAnsi="宋体" w:cs="宋体"/>
      <w:color w:val="000000"/>
      <w:kern w:val="0"/>
    </w:rPr>
  </w:style>
  <w:style w:type="paragraph" w:customStyle="1" w:styleId="2758">
    <w:name w:val="msonormal at_0"/>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2759">
    <w:name w:val="表、图名宋旭峰"/>
    <w:basedOn w:val="163"/>
    <w:semiHidden/>
    <w:qFormat/>
    <w:uiPriority w:val="0"/>
    <w:pPr>
      <w:widowControl w:val="0"/>
      <w:spacing w:beforeLines="50" w:line="360" w:lineRule="auto"/>
    </w:pPr>
    <w:rPr>
      <w:rFonts w:ascii="黑体" w:hAnsi="宋体" w:eastAsia="黑体"/>
      <w:bCs w:val="0"/>
      <w:snapToGrid/>
      <w:color w:val="auto"/>
      <w:kern w:val="0"/>
    </w:rPr>
  </w:style>
  <w:style w:type="paragraph" w:customStyle="1" w:styleId="2760">
    <w:name w:val="表体宋旭峰"/>
    <w:basedOn w:val="1"/>
    <w:semiHidden/>
    <w:qFormat/>
    <w:uiPriority w:val="0"/>
    <w:pPr>
      <w:tabs>
        <w:tab w:val="clear" w:pos="480"/>
      </w:tabs>
      <w:overflowPunct w:val="0"/>
      <w:snapToGrid w:val="0"/>
      <w:spacing w:line="280" w:lineRule="atLeast"/>
      <w:jc w:val="center"/>
    </w:pPr>
    <w:rPr>
      <w:rFonts w:ascii="宋体" w:hAnsi="Courier New" w:cs="Courier New"/>
      <w:kern w:val="24"/>
      <w:sz w:val="18"/>
      <w:szCs w:val="20"/>
    </w:rPr>
  </w:style>
  <w:style w:type="paragraph" w:customStyle="1" w:styleId="2761">
    <w:name w:val="样式 标题4 + 首行缩进:  0.99 厘米 段前: 0.5 行 段后: 0.5 行"/>
    <w:basedOn w:val="21"/>
    <w:semiHidden/>
    <w:qFormat/>
    <w:uiPriority w:val="0"/>
    <w:pPr>
      <w:tabs>
        <w:tab w:val="clear" w:pos="480"/>
      </w:tabs>
      <w:adjustRightInd w:val="0"/>
      <w:spacing w:beforeLines="50" w:afterLines="50" w:line="460" w:lineRule="exact"/>
      <w:ind w:firstLine="0" w:firstLineChars="0"/>
    </w:pPr>
    <w:rPr>
      <w:rFonts w:ascii="Arial" w:hAnsi="Arial" w:cs="宋体"/>
      <w:color w:val="000000"/>
      <w:kern w:val="0"/>
      <w:sz w:val="28"/>
      <w:szCs w:val="20"/>
    </w:rPr>
  </w:style>
  <w:style w:type="paragraph" w:customStyle="1" w:styleId="2762">
    <w:name w:val="段落编号"/>
    <w:basedOn w:val="51"/>
    <w:semiHidden/>
    <w:qFormat/>
    <w:uiPriority w:val="0"/>
    <w:pPr>
      <w:tabs>
        <w:tab w:val="left" w:pos="140"/>
        <w:tab w:val="left" w:pos="900"/>
      </w:tabs>
      <w:adjustRightInd w:val="0"/>
      <w:spacing w:beforeLines="50" w:line="480" w:lineRule="exact"/>
      <w:ind w:left="900" w:hanging="420" w:firstLineChars="0"/>
    </w:pPr>
    <w:rPr>
      <w:rFonts w:ascii="Calibri" w:hAnsi="Calibri"/>
      <w:spacing w:val="6"/>
      <w:kern w:val="0"/>
      <w:sz w:val="28"/>
      <w:szCs w:val="20"/>
    </w:rPr>
  </w:style>
  <w:style w:type="paragraph" w:customStyle="1" w:styleId="2763">
    <w:name w:val="样式 首行缩进:  2 字符 段前: 7.8 磅"/>
    <w:basedOn w:val="1"/>
    <w:semiHidden/>
    <w:qFormat/>
    <w:uiPriority w:val="0"/>
    <w:pPr>
      <w:tabs>
        <w:tab w:val="clear" w:pos="480"/>
      </w:tabs>
      <w:spacing w:line="480" w:lineRule="exact"/>
    </w:pPr>
    <w:rPr>
      <w:rFonts w:cs="宋体"/>
      <w:kern w:val="0"/>
      <w:sz w:val="28"/>
      <w:szCs w:val="20"/>
    </w:rPr>
  </w:style>
  <w:style w:type="paragraph" w:customStyle="1" w:styleId="2764">
    <w:name w:val="表格居中"/>
    <w:basedOn w:val="1"/>
    <w:qFormat/>
    <w:uiPriority w:val="0"/>
    <w:pPr>
      <w:tabs>
        <w:tab w:val="clear" w:pos="480"/>
      </w:tabs>
      <w:adjustRightInd w:val="0"/>
      <w:spacing w:line="400" w:lineRule="exact"/>
      <w:ind w:left="-59" w:leftChars="-21" w:right="-73" w:rightChars="-26"/>
      <w:jc w:val="center"/>
    </w:pPr>
    <w:rPr>
      <w:rFonts w:hAnsi="Arial"/>
      <w:color w:val="000000"/>
      <w:kern w:val="0"/>
      <w:sz w:val="28"/>
    </w:rPr>
  </w:style>
  <w:style w:type="paragraph" w:customStyle="1" w:styleId="2765">
    <w:name w:val="样式1(标4)"/>
    <w:basedOn w:val="5"/>
    <w:semiHidden/>
    <w:qFormat/>
    <w:uiPriority w:val="0"/>
    <w:pPr>
      <w:keepNext w:val="0"/>
      <w:numPr>
        <w:ilvl w:val="0"/>
        <w:numId w:val="0"/>
      </w:numPr>
      <w:tabs>
        <w:tab w:val="clear" w:pos="480"/>
        <w:tab w:val="clear" w:pos="840"/>
      </w:tabs>
      <w:snapToGrid w:val="0"/>
      <w:spacing w:beforeLines="50" w:after="120" w:line="412" w:lineRule="auto"/>
      <w:ind w:firstLine="200"/>
      <w:outlineLvl w:val="9"/>
    </w:pPr>
    <w:rPr>
      <w:rFonts w:ascii="Times New Roman" w:eastAsia="宋体"/>
      <w:b w:val="0"/>
      <w:kern w:val="0"/>
      <w:sz w:val="28"/>
    </w:rPr>
  </w:style>
  <w:style w:type="character" w:customStyle="1" w:styleId="2766">
    <w:name w:val="正文文本 3 Char1"/>
    <w:semiHidden/>
    <w:qFormat/>
    <w:uiPriority w:val="0"/>
    <w:rPr>
      <w:rFonts w:ascii="Times New Roman" w:hAnsi="Times New Roman" w:eastAsia="宋体" w:cs="Times New Roman"/>
      <w:sz w:val="16"/>
      <w:szCs w:val="16"/>
    </w:rPr>
  </w:style>
  <w:style w:type="paragraph" w:customStyle="1" w:styleId="2767">
    <w:name w:val="样式（正文4）"/>
    <w:basedOn w:val="31"/>
    <w:semiHidden/>
    <w:qFormat/>
    <w:uiPriority w:val="0"/>
    <w:pPr>
      <w:adjustRightInd w:val="0"/>
      <w:spacing w:after="120" w:line="460" w:lineRule="exact"/>
      <w:jc w:val="both"/>
    </w:pPr>
    <w:rPr>
      <w:rFonts w:hint="eastAsia" w:ascii="Arial" w:hAnsi="Arial" w:eastAsia="宋体" w:cs="Arial"/>
      <w:color w:val="000000"/>
      <w:kern w:val="0"/>
      <w:sz w:val="28"/>
      <w:szCs w:val="28"/>
    </w:rPr>
  </w:style>
  <w:style w:type="paragraph" w:customStyle="1" w:styleId="2768">
    <w:name w:val="内部地址"/>
    <w:basedOn w:val="1"/>
    <w:semiHidden/>
    <w:qFormat/>
    <w:uiPriority w:val="0"/>
    <w:pPr>
      <w:tabs>
        <w:tab w:val="clear" w:pos="480"/>
      </w:tabs>
      <w:spacing w:beforeLines="10" w:afterLines="10" w:line="560" w:lineRule="exact"/>
      <w:ind w:firstLine="600"/>
    </w:pPr>
    <w:rPr>
      <w:rFonts w:ascii="宋体" w:hAnsi="宋体"/>
      <w:kern w:val="0"/>
      <w:sz w:val="30"/>
    </w:rPr>
  </w:style>
  <w:style w:type="paragraph" w:customStyle="1" w:styleId="2769">
    <w:name w:val="样式（表）"/>
    <w:basedOn w:val="2767"/>
    <w:semiHidden/>
    <w:qFormat/>
    <w:uiPriority w:val="0"/>
    <w:pPr>
      <w:spacing w:after="100" w:afterAutospacing="1"/>
      <w:jc w:val="center"/>
    </w:pPr>
    <w:rPr>
      <w:rFonts w:ascii="宋体"/>
      <w:sz w:val="21"/>
    </w:rPr>
  </w:style>
  <w:style w:type="paragraph" w:customStyle="1" w:styleId="2770">
    <w:name w:val="表格4号"/>
    <w:basedOn w:val="31"/>
    <w:semiHidden/>
    <w:qFormat/>
    <w:uiPriority w:val="0"/>
    <w:pPr>
      <w:adjustRightInd w:val="0"/>
      <w:spacing w:line="300" w:lineRule="exact"/>
      <w:jc w:val="both"/>
    </w:pPr>
    <w:rPr>
      <w:rFonts w:hint="eastAsia" w:ascii="Arial" w:hAnsi="Arial" w:eastAsia="宋体" w:cs="Arial"/>
      <w:color w:val="000000"/>
      <w:kern w:val="0"/>
      <w:sz w:val="24"/>
      <w:szCs w:val="28"/>
    </w:rPr>
  </w:style>
  <w:style w:type="paragraph" w:customStyle="1" w:styleId="2771">
    <w:name w:val="表格居中4号"/>
    <w:basedOn w:val="2764"/>
    <w:semiHidden/>
    <w:qFormat/>
    <w:uiPriority w:val="0"/>
    <w:pPr>
      <w:spacing w:line="360" w:lineRule="exact"/>
    </w:pPr>
  </w:style>
  <w:style w:type="paragraph" w:customStyle="1" w:styleId="2772">
    <w:name w:val="院名"/>
    <w:basedOn w:val="1"/>
    <w:semiHidden/>
    <w:qFormat/>
    <w:uiPriority w:val="0"/>
    <w:pPr>
      <w:tabs>
        <w:tab w:val="clear" w:pos="480"/>
      </w:tabs>
      <w:adjustRightInd w:val="0"/>
      <w:spacing w:before="60" w:after="60" w:line="800" w:lineRule="exact"/>
      <w:ind w:firstLine="567"/>
      <w:jc w:val="center"/>
    </w:pPr>
    <w:rPr>
      <w:spacing w:val="10"/>
      <w:kern w:val="0"/>
      <w:sz w:val="36"/>
      <w:szCs w:val="20"/>
    </w:rPr>
  </w:style>
  <w:style w:type="paragraph" w:customStyle="1" w:styleId="2773">
    <w:name w:val="节标题"/>
    <w:basedOn w:val="1"/>
    <w:semiHidden/>
    <w:qFormat/>
    <w:uiPriority w:val="0"/>
    <w:pPr>
      <w:keepLines/>
      <w:tabs>
        <w:tab w:val="clear" w:pos="480"/>
      </w:tabs>
      <w:overflowPunct w:val="0"/>
      <w:adjustRightInd w:val="0"/>
      <w:spacing w:before="240" w:after="120" w:line="360" w:lineRule="exact"/>
      <w:jc w:val="center"/>
    </w:pPr>
    <w:rPr>
      <w:rFonts w:hAnsi="Roman 10cpi" w:eastAsia="黑体"/>
      <w:spacing w:val="10"/>
      <w:kern w:val="28"/>
      <w:sz w:val="36"/>
      <w:szCs w:val="20"/>
    </w:rPr>
  </w:style>
  <w:style w:type="paragraph" w:customStyle="1" w:styleId="2774">
    <w:name w:val="表格名"/>
    <w:basedOn w:val="1"/>
    <w:qFormat/>
    <w:uiPriority w:val="0"/>
    <w:pPr>
      <w:keepNext/>
      <w:tabs>
        <w:tab w:val="clear" w:pos="480"/>
      </w:tabs>
      <w:adjustRightInd w:val="0"/>
      <w:spacing w:before="60" w:after="60" w:line="600" w:lineRule="exact"/>
      <w:ind w:right="-193" w:firstLine="624"/>
      <w:jc w:val="center"/>
    </w:pPr>
    <w:rPr>
      <w:rFonts w:eastAsia="黑体"/>
      <w:b/>
      <w:spacing w:val="10"/>
      <w:kern w:val="0"/>
      <w:sz w:val="28"/>
      <w:szCs w:val="20"/>
    </w:rPr>
  </w:style>
  <w:style w:type="paragraph" w:customStyle="1" w:styleId="2775">
    <w:name w:val="样式 注 + 首行缩进:  2 字符"/>
    <w:basedOn w:val="10"/>
    <w:semiHidden/>
    <w:qFormat/>
    <w:uiPriority w:val="0"/>
    <w:pPr>
      <w:keepNext w:val="0"/>
      <w:keepLines w:val="0"/>
      <w:numPr>
        <w:ilvl w:val="0"/>
        <w:numId w:val="0"/>
      </w:numPr>
      <w:tabs>
        <w:tab w:val="left" w:pos="1215"/>
        <w:tab w:val="clear" w:pos="480"/>
      </w:tabs>
      <w:autoSpaceDE/>
      <w:autoSpaceDN/>
      <w:spacing w:before="0" w:after="100" w:afterAutospacing="1" w:line="400" w:lineRule="exact"/>
      <w:ind w:hanging="720"/>
      <w:textAlignment w:val="auto"/>
      <w:outlineLvl w:val="9"/>
    </w:pPr>
    <w:rPr>
      <w:rFonts w:hint="eastAsia" w:ascii="宋体" w:eastAsia="宋体" w:cs="宋体"/>
      <w:color w:val="000000"/>
      <w:kern w:val="0"/>
      <w:szCs w:val="24"/>
    </w:rPr>
  </w:style>
  <w:style w:type="paragraph" w:customStyle="1" w:styleId="2776">
    <w:name w:val="样式 幼圆 小四 段前: 7.8 磅 段后: 15.6 磅 行距: 固定值 18 磅"/>
    <w:basedOn w:val="1"/>
    <w:semiHidden/>
    <w:qFormat/>
    <w:uiPriority w:val="0"/>
    <w:pPr>
      <w:tabs>
        <w:tab w:val="clear" w:pos="480"/>
      </w:tabs>
      <w:spacing w:before="156" w:after="312" w:line="360" w:lineRule="exact"/>
      <w:ind w:left="1619" w:leftChars="771"/>
    </w:pPr>
    <w:rPr>
      <w:rFonts w:ascii="幼圆" w:eastAsia="幼圆" w:cs="宋体"/>
      <w:szCs w:val="20"/>
    </w:rPr>
  </w:style>
  <w:style w:type="paragraph" w:customStyle="1" w:styleId="2777">
    <w:name w:val="样式 段前: 7.8 磅 段后: 6 磅"/>
    <w:basedOn w:val="1"/>
    <w:semiHidden/>
    <w:qFormat/>
    <w:uiPriority w:val="0"/>
    <w:pPr>
      <w:tabs>
        <w:tab w:val="clear" w:pos="480"/>
      </w:tabs>
      <w:spacing w:before="156" w:after="120" w:line="480" w:lineRule="exact"/>
    </w:pPr>
    <w:rPr>
      <w:rFonts w:cs="宋体"/>
      <w:kern w:val="0"/>
      <w:sz w:val="28"/>
      <w:szCs w:val="20"/>
    </w:rPr>
  </w:style>
  <w:style w:type="paragraph" w:customStyle="1" w:styleId="2778">
    <w:name w:val="样式 段前: 7.8 磅 段后: 6 磅1"/>
    <w:basedOn w:val="1"/>
    <w:semiHidden/>
    <w:qFormat/>
    <w:uiPriority w:val="0"/>
    <w:pPr>
      <w:tabs>
        <w:tab w:val="clear" w:pos="480"/>
      </w:tabs>
      <w:spacing w:line="480" w:lineRule="exact"/>
      <w:ind w:firstLine="150" w:firstLineChars="150"/>
    </w:pPr>
    <w:rPr>
      <w:rFonts w:cs="宋体"/>
      <w:kern w:val="0"/>
      <w:sz w:val="28"/>
      <w:szCs w:val="20"/>
    </w:rPr>
  </w:style>
  <w:style w:type="paragraph" w:customStyle="1" w:styleId="2779">
    <w:name w:val="样式 段前: 7.8 磅 段后: 6 磅2"/>
    <w:basedOn w:val="1"/>
    <w:semiHidden/>
    <w:qFormat/>
    <w:uiPriority w:val="0"/>
    <w:pPr>
      <w:tabs>
        <w:tab w:val="clear" w:pos="480"/>
      </w:tabs>
      <w:spacing w:before="156" w:after="120" w:line="480" w:lineRule="exact"/>
    </w:pPr>
    <w:rPr>
      <w:rFonts w:cs="宋体"/>
      <w:kern w:val="0"/>
      <w:sz w:val="28"/>
      <w:szCs w:val="20"/>
    </w:rPr>
  </w:style>
  <w:style w:type="paragraph" w:customStyle="1" w:styleId="2780">
    <w:name w:val="样式 段落编号 + 段前: 0.5 行"/>
    <w:basedOn w:val="2762"/>
    <w:semiHidden/>
    <w:qFormat/>
    <w:uiPriority w:val="0"/>
    <w:pPr>
      <w:spacing w:beforeLines="300"/>
    </w:pPr>
    <w:rPr>
      <w:rFonts w:cs="宋体"/>
    </w:rPr>
  </w:style>
  <w:style w:type="paragraph" w:customStyle="1" w:styleId="2781">
    <w:name w:val="样式 样式 段落编号 + 段前: 0.5 行 + 段前: 3 行"/>
    <w:basedOn w:val="2780"/>
    <w:semiHidden/>
    <w:qFormat/>
    <w:uiPriority w:val="0"/>
    <w:pPr>
      <w:spacing w:beforeLines="0"/>
    </w:pPr>
  </w:style>
  <w:style w:type="paragraph" w:customStyle="1" w:styleId="2782">
    <w:name w:val="样式 段落编号 + 段前: 0.5 行1"/>
    <w:basedOn w:val="2762"/>
    <w:semiHidden/>
    <w:qFormat/>
    <w:uiPriority w:val="0"/>
    <w:pPr>
      <w:spacing w:beforeLines="25"/>
      <w:ind w:left="1060" w:hanging="493"/>
    </w:pPr>
    <w:rPr>
      <w:rFonts w:cs="宋体"/>
    </w:rPr>
  </w:style>
  <w:style w:type="paragraph" w:customStyle="1" w:styleId="2783">
    <w:name w:val="样式 段落编号 + 段前: 0.5 行2"/>
    <w:basedOn w:val="2762"/>
    <w:semiHidden/>
    <w:qFormat/>
    <w:uiPriority w:val="0"/>
    <w:pPr>
      <w:spacing w:beforeLines="20"/>
    </w:pPr>
    <w:rPr>
      <w:rFonts w:cs="宋体"/>
    </w:rPr>
  </w:style>
  <w:style w:type="paragraph" w:customStyle="1" w:styleId="2784">
    <w:name w:val="样式 段落编号 + 段前: 0.5 行3"/>
    <w:basedOn w:val="2762"/>
    <w:semiHidden/>
    <w:qFormat/>
    <w:uiPriority w:val="0"/>
    <w:pPr>
      <w:spacing w:beforeLines="0"/>
    </w:pPr>
    <w:rPr>
      <w:rFonts w:cs="宋体"/>
    </w:rPr>
  </w:style>
  <w:style w:type="paragraph" w:customStyle="1" w:styleId="2785">
    <w:name w:val="样式 段落编号 + 段前: 0.5 行4"/>
    <w:basedOn w:val="2762"/>
    <w:semiHidden/>
    <w:qFormat/>
    <w:uiPriority w:val="0"/>
    <w:pPr>
      <w:spacing w:beforeLines="0"/>
      <w:ind w:left="1213" w:hanging="493"/>
      <w:jc w:val="left"/>
    </w:pPr>
    <w:rPr>
      <w:rFonts w:cs="宋体"/>
    </w:rPr>
  </w:style>
  <w:style w:type="paragraph" w:customStyle="1" w:styleId="2786">
    <w:name w:val="l_text"/>
    <w:basedOn w:val="1"/>
    <w:semiHidden/>
    <w:qFormat/>
    <w:uiPriority w:val="0"/>
    <w:pPr>
      <w:widowControl/>
      <w:tabs>
        <w:tab w:val="clear" w:pos="480"/>
      </w:tabs>
      <w:overflowPunct w:val="0"/>
      <w:autoSpaceDE w:val="0"/>
      <w:autoSpaceDN w:val="0"/>
      <w:adjustRightInd w:val="0"/>
      <w:ind w:left="170" w:firstLine="680"/>
    </w:pPr>
    <w:rPr>
      <w:rFonts w:ascii="宋体"/>
      <w:kern w:val="0"/>
      <w:sz w:val="28"/>
      <w:szCs w:val="20"/>
      <w:lang w:val="en-GB"/>
    </w:rPr>
  </w:style>
  <w:style w:type="paragraph" w:customStyle="1" w:styleId="2787">
    <w:name w:val="Chapter Subtitle"/>
    <w:basedOn w:val="64"/>
    <w:semiHidden/>
    <w:qFormat/>
    <w:uiPriority w:val="0"/>
    <w:pPr>
      <w:keepLines/>
      <w:adjustRightInd w:val="0"/>
      <w:spacing w:after="420" w:line="240" w:lineRule="auto"/>
      <w:ind w:firstLine="360"/>
      <w:outlineLvl w:val="0"/>
    </w:pPr>
    <w:rPr>
      <w:rFonts w:ascii="Times New Roman" w:hAnsi="Times New Roman" w:eastAsia="黑体" w:cs="Times New Roman"/>
      <w:spacing w:val="20"/>
      <w:kern w:val="20"/>
      <w:sz w:val="27"/>
      <w:szCs w:val="20"/>
    </w:rPr>
  </w:style>
  <w:style w:type="character" w:customStyle="1" w:styleId="2788">
    <w:name w:val="样式7 Char"/>
    <w:link w:val="2699"/>
    <w:qFormat/>
    <w:locked/>
    <w:uiPriority w:val="0"/>
    <w:rPr>
      <w:rFonts w:eastAsia="宋体" w:cs="宋体"/>
      <w:b/>
      <w:bCs/>
      <w:kern w:val="2"/>
      <w:sz w:val="28"/>
      <w:szCs w:val="28"/>
      <w:lang w:bidi="ar-SA"/>
    </w:rPr>
  </w:style>
  <w:style w:type="paragraph" w:customStyle="1" w:styleId="2789">
    <w:name w:val="my标题2"/>
    <w:basedOn w:val="4"/>
    <w:semiHidden/>
    <w:qFormat/>
    <w:uiPriority w:val="0"/>
    <w:pPr>
      <w:numPr>
        <w:ilvl w:val="0"/>
        <w:numId w:val="0"/>
      </w:numPr>
      <w:tabs>
        <w:tab w:val="left" w:pos="360"/>
        <w:tab w:val="clear" w:pos="480"/>
        <w:tab w:val="clear" w:pos="630"/>
      </w:tabs>
      <w:adjustRightInd w:val="0"/>
      <w:snapToGrid w:val="0"/>
      <w:spacing w:before="120" w:after="0"/>
      <w:jc w:val="left"/>
    </w:pPr>
    <w:rPr>
      <w:b w:val="0"/>
      <w:bCs w:val="0"/>
      <w:kern w:val="0"/>
      <w:sz w:val="24"/>
      <w:szCs w:val="20"/>
    </w:rPr>
  </w:style>
  <w:style w:type="character" w:customStyle="1" w:styleId="2790">
    <w:name w:val="样式 标题 3标题 3 Char Char Char标题 3 Char Char Char Char Char Char标... Char"/>
    <w:link w:val="1354"/>
    <w:qFormat/>
    <w:locked/>
    <w:uiPriority w:val="0"/>
    <w:rPr>
      <w:rFonts w:ascii="Plotter" w:hAnsi="Plotter" w:eastAsia="宋体"/>
      <w:b/>
      <w:bCs/>
      <w:kern w:val="2"/>
      <w:sz w:val="24"/>
      <w:lang w:bidi="ar-SA"/>
    </w:rPr>
  </w:style>
  <w:style w:type="paragraph" w:customStyle="1" w:styleId="2791">
    <w:name w:val="样式 样式 标题 4 + (中文) 宋体"/>
    <w:basedOn w:val="2737"/>
    <w:semiHidden/>
    <w:qFormat/>
    <w:uiPriority w:val="0"/>
    <w:pPr/>
    <w:rPr>
      <w:rFonts w:eastAsia="宋体"/>
      <w:szCs w:val="20"/>
    </w:rPr>
  </w:style>
  <w:style w:type="paragraph" w:customStyle="1" w:styleId="2792">
    <w:name w:val="Bullet"/>
    <w:basedOn w:val="1"/>
    <w:semiHidden/>
    <w:qFormat/>
    <w:uiPriority w:val="0"/>
    <w:pPr>
      <w:tabs>
        <w:tab w:val="left" w:pos="1215"/>
        <w:tab w:val="clear" w:pos="480"/>
      </w:tabs>
      <w:spacing w:before="60" w:after="60" w:line="240" w:lineRule="auto"/>
      <w:ind w:left="1080" w:hanging="495"/>
    </w:pPr>
    <w:rPr>
      <w:rFonts w:ascii="Arial" w:hAnsi="Arial"/>
      <w:sz w:val="22"/>
      <w:szCs w:val="20"/>
      <w:lang w:val="en-GB"/>
    </w:rPr>
  </w:style>
  <w:style w:type="paragraph" w:customStyle="1" w:styleId="2793">
    <w:name w:val="First bullet"/>
    <w:basedOn w:val="1"/>
    <w:semiHidden/>
    <w:qFormat/>
    <w:uiPriority w:val="0"/>
    <w:pPr>
      <w:widowControl/>
      <w:tabs>
        <w:tab w:val="left" w:pos="360"/>
        <w:tab w:val="clear" w:pos="480"/>
      </w:tabs>
      <w:spacing w:line="240" w:lineRule="auto"/>
      <w:ind w:left="216" w:hanging="216"/>
    </w:pPr>
    <w:rPr>
      <w:kern w:val="0"/>
      <w:sz w:val="22"/>
      <w:szCs w:val="20"/>
      <w:lang w:val="en-GB"/>
    </w:rPr>
  </w:style>
  <w:style w:type="paragraph" w:customStyle="1" w:styleId="2794">
    <w:name w:val="b.bullet"/>
    <w:basedOn w:val="1"/>
    <w:semiHidden/>
    <w:qFormat/>
    <w:uiPriority w:val="0"/>
    <w:pPr>
      <w:tabs>
        <w:tab w:val="left" w:pos="1200"/>
        <w:tab w:val="clear" w:pos="480"/>
      </w:tabs>
      <w:spacing w:line="240" w:lineRule="auto"/>
      <w:ind w:left="1200" w:hanging="720"/>
    </w:pPr>
    <w:rPr>
      <w:sz w:val="21"/>
      <w:szCs w:val="20"/>
      <w:lang w:val="en-GB"/>
    </w:rPr>
  </w:style>
  <w:style w:type="paragraph" w:customStyle="1" w:styleId="2795">
    <w:name w:val="HATS Bullet"/>
    <w:basedOn w:val="1"/>
    <w:semiHidden/>
    <w:qFormat/>
    <w:uiPriority w:val="0"/>
    <w:pPr>
      <w:tabs>
        <w:tab w:val="left" w:pos="840"/>
        <w:tab w:val="clear" w:pos="480"/>
      </w:tabs>
      <w:spacing w:line="240" w:lineRule="auto"/>
      <w:ind w:left="840" w:hanging="360"/>
    </w:pPr>
    <w:rPr>
      <w:sz w:val="21"/>
      <w:szCs w:val="20"/>
      <w:lang w:val="en-GB"/>
    </w:rPr>
  </w:style>
  <w:style w:type="paragraph" w:customStyle="1" w:styleId="2796">
    <w:name w:val="bullet 1"/>
    <w:basedOn w:val="1"/>
    <w:semiHidden/>
    <w:qFormat/>
    <w:uiPriority w:val="0"/>
    <w:pPr>
      <w:tabs>
        <w:tab w:val="left" w:pos="840"/>
        <w:tab w:val="clear" w:pos="480"/>
      </w:tabs>
      <w:spacing w:line="240" w:lineRule="auto"/>
      <w:ind w:left="840" w:hanging="360"/>
    </w:pPr>
    <w:rPr>
      <w:sz w:val="21"/>
      <w:szCs w:val="20"/>
      <w:lang w:val="en-GB"/>
    </w:rPr>
  </w:style>
  <w:style w:type="paragraph" w:customStyle="1" w:styleId="2797">
    <w:name w:val="Dot"/>
    <w:basedOn w:val="1"/>
    <w:semiHidden/>
    <w:qFormat/>
    <w:uiPriority w:val="0"/>
    <w:pPr>
      <w:widowControl/>
      <w:tabs>
        <w:tab w:val="left" w:pos="360"/>
        <w:tab w:val="clear" w:pos="480"/>
      </w:tabs>
      <w:spacing w:line="240" w:lineRule="auto"/>
      <w:ind w:left="360" w:hanging="360"/>
    </w:pPr>
    <w:rPr>
      <w:rFonts w:eastAsia="MS Mincho"/>
      <w:b/>
      <w:caps/>
      <w:kern w:val="0"/>
      <w:sz w:val="20"/>
      <w:szCs w:val="20"/>
      <w:lang w:eastAsia="ja-JP"/>
    </w:rPr>
  </w:style>
  <w:style w:type="paragraph" w:customStyle="1" w:styleId="2798">
    <w:name w:val="second bullet"/>
    <w:basedOn w:val="34"/>
    <w:semiHidden/>
    <w:qFormat/>
    <w:uiPriority w:val="0"/>
    <w:pPr>
      <w:widowControl/>
      <w:tabs>
        <w:tab w:val="left" w:pos="425"/>
      </w:tabs>
      <w:ind w:left="425" w:hanging="425"/>
    </w:pPr>
    <w:rPr>
      <w:rFonts w:ascii="Calibri" w:hAnsi="Calibri"/>
      <w:kern w:val="0"/>
      <w:sz w:val="22"/>
    </w:rPr>
  </w:style>
  <w:style w:type="paragraph" w:customStyle="1" w:styleId="2799">
    <w:name w:val="OmniPage #1"/>
    <w:basedOn w:val="1"/>
    <w:semiHidden/>
    <w:qFormat/>
    <w:uiPriority w:val="0"/>
    <w:pPr>
      <w:tabs>
        <w:tab w:val="left" w:pos="5484"/>
        <w:tab w:val="left" w:pos="6720"/>
        <w:tab w:val="left" w:pos="8292"/>
        <w:tab w:val="right" w:pos="8802"/>
        <w:tab w:val="clear" w:pos="480"/>
      </w:tabs>
      <w:spacing w:line="199" w:lineRule="atLeast"/>
      <w:ind w:left="5460" w:right="48"/>
      <w:jc w:val="left"/>
    </w:pPr>
    <w:rPr>
      <w:rFonts w:ascii="Arial" w:hAnsi="Arial" w:eastAsia="MS Mincho"/>
      <w:b/>
      <w:caps/>
      <w:kern w:val="0"/>
      <w:sz w:val="20"/>
      <w:szCs w:val="20"/>
      <w:lang w:eastAsia="ja-JP"/>
    </w:rPr>
  </w:style>
  <w:style w:type="paragraph" w:customStyle="1" w:styleId="2800">
    <w:name w:val="Table Head"/>
    <w:basedOn w:val="4"/>
    <w:semiHidden/>
    <w:qFormat/>
    <w:uiPriority w:val="0"/>
    <w:pPr>
      <w:widowControl/>
      <w:numPr>
        <w:ilvl w:val="0"/>
        <w:numId w:val="0"/>
      </w:numPr>
      <w:tabs>
        <w:tab w:val="clear" w:pos="480"/>
        <w:tab w:val="clear" w:pos="630"/>
      </w:tabs>
      <w:suppressAutoHyphens/>
      <w:spacing w:before="240" w:line="240" w:lineRule="auto"/>
      <w:jc w:val="center"/>
      <w:outlineLvl w:val="9"/>
    </w:pPr>
    <w:rPr>
      <w:rFonts w:ascii="Helvetica-Normal" w:hAnsi="Helvetica-Normal" w:eastAsia="PMingLiU"/>
      <w:bCs w:val="0"/>
      <w:spacing w:val="-2"/>
      <w:kern w:val="0"/>
      <w:position w:val="6"/>
      <w:sz w:val="20"/>
      <w:szCs w:val="20"/>
      <w:lang w:val="en-GB" w:eastAsia="en-US"/>
    </w:rPr>
  </w:style>
  <w:style w:type="paragraph" w:customStyle="1" w:styleId="2801">
    <w:name w:val="Footer odd"/>
    <w:basedOn w:val="1"/>
    <w:semiHidden/>
    <w:qFormat/>
    <w:uiPriority w:val="0"/>
    <w:pPr>
      <w:widowControl/>
      <w:tabs>
        <w:tab w:val="center" w:pos="4320"/>
        <w:tab w:val="right" w:pos="8640"/>
        <w:tab w:val="clear" w:pos="480"/>
      </w:tabs>
      <w:spacing w:line="240" w:lineRule="auto"/>
      <w:jc w:val="left"/>
    </w:pPr>
    <w:rPr>
      <w:rFonts w:ascii="Arial Narrow" w:hAnsi="Arial Narrow"/>
      <w:kern w:val="0"/>
      <w:sz w:val="20"/>
      <w:szCs w:val="20"/>
      <w:lang w:val="en-GB" w:eastAsia="en-US"/>
    </w:rPr>
  </w:style>
  <w:style w:type="paragraph" w:customStyle="1" w:styleId="2802">
    <w:name w:val="Multilevel list"/>
    <w:basedOn w:val="66"/>
    <w:semiHidden/>
    <w:qFormat/>
    <w:uiPriority w:val="0"/>
    <w:pPr>
      <w:keepLines/>
      <w:widowControl/>
      <w:spacing w:line="264" w:lineRule="auto"/>
      <w:ind w:left="720" w:hanging="720" w:firstLineChars="0"/>
    </w:pPr>
    <w:rPr>
      <w:rFonts w:eastAsia="Times New Roman"/>
      <w:kern w:val="22"/>
      <w:sz w:val="22"/>
      <w:lang w:val="en-GB"/>
    </w:rPr>
  </w:style>
  <w:style w:type="paragraph" w:customStyle="1" w:styleId="2803">
    <w:name w:val="Table caption"/>
    <w:basedOn w:val="22"/>
    <w:next w:val="34"/>
    <w:semiHidden/>
    <w:qFormat/>
    <w:uiPriority w:val="0"/>
    <w:pPr>
      <w:tabs>
        <w:tab w:val="left" w:pos="360"/>
        <w:tab w:val="left" w:pos="720"/>
        <w:tab w:val="left" w:pos="1080"/>
      </w:tabs>
      <w:adjustRightInd/>
      <w:snapToGrid/>
      <w:spacing w:before="120" w:after="240" w:line="264" w:lineRule="auto"/>
      <w:ind w:left="1080" w:hanging="1080" w:firstLineChars="0"/>
      <w:jc w:val="left"/>
    </w:pPr>
    <w:rPr>
      <w:rFonts w:ascii="Calibri" w:hAnsi="Calibri" w:eastAsia="Times New Roman" w:cs="Times New Roman"/>
      <w:color w:val="auto"/>
      <w:kern w:val="22"/>
      <w:sz w:val="18"/>
      <w:szCs w:val="22"/>
      <w:lang w:val="en-GB" w:eastAsia="en-US"/>
    </w:rPr>
  </w:style>
  <w:style w:type="paragraph" w:customStyle="1" w:styleId="2804">
    <w:name w:val="Table Note"/>
    <w:basedOn w:val="1"/>
    <w:semiHidden/>
    <w:qFormat/>
    <w:uiPriority w:val="0"/>
    <w:pPr>
      <w:widowControl/>
      <w:tabs>
        <w:tab w:val="clear" w:pos="480"/>
      </w:tabs>
      <w:spacing w:before="120" w:after="120" w:line="240" w:lineRule="auto"/>
      <w:ind w:left="720"/>
    </w:pPr>
    <w:rPr>
      <w:rFonts w:eastAsia="PMingLiU"/>
      <w:i/>
      <w:kern w:val="0"/>
      <w:sz w:val="18"/>
      <w:lang w:val="en-GB"/>
    </w:rPr>
  </w:style>
  <w:style w:type="paragraph" w:customStyle="1" w:styleId="2805">
    <w:name w:val="Blockquote"/>
    <w:basedOn w:val="1"/>
    <w:semiHidden/>
    <w:qFormat/>
    <w:uiPriority w:val="0"/>
    <w:pPr>
      <w:widowControl/>
      <w:tabs>
        <w:tab w:val="clear" w:pos="480"/>
      </w:tabs>
      <w:snapToGrid w:val="0"/>
      <w:spacing w:before="100" w:after="100" w:line="240" w:lineRule="auto"/>
      <w:ind w:left="360" w:right="360"/>
      <w:jc w:val="left"/>
    </w:pPr>
    <w:rPr>
      <w:rFonts w:eastAsia="PMingLiU"/>
      <w:kern w:val="0"/>
      <w:lang w:val="en-GB"/>
    </w:rPr>
  </w:style>
  <w:style w:type="paragraph" w:customStyle="1" w:styleId="2806">
    <w:name w:val="Table Heading"/>
    <w:basedOn w:val="1"/>
    <w:semiHidden/>
    <w:qFormat/>
    <w:uiPriority w:val="0"/>
    <w:pPr>
      <w:widowControl/>
      <w:tabs>
        <w:tab w:val="clear" w:pos="480"/>
      </w:tabs>
      <w:spacing w:line="240" w:lineRule="auto"/>
      <w:jc w:val="center"/>
    </w:pPr>
    <w:rPr>
      <w:rFonts w:ascii="Arial" w:hAnsi="Arial" w:eastAsia="PMingLiU"/>
      <w:b/>
      <w:kern w:val="0"/>
      <w:sz w:val="20"/>
      <w:lang w:val="en-GB"/>
    </w:rPr>
  </w:style>
  <w:style w:type="paragraph" w:customStyle="1" w:styleId="2807">
    <w:name w:val="ten point"/>
    <w:semiHidden/>
    <w:qFormat/>
    <w:uiPriority w:val="0"/>
    <w:pPr>
      <w:numPr>
        <w:ilvl w:val="0"/>
        <w:numId w:val="32"/>
      </w:numPr>
      <w:jc w:val="center"/>
    </w:pPr>
    <w:rPr>
      <w:rFonts w:ascii="Arial" w:hAnsi="Arial" w:eastAsia="PMingLiU" w:cs="Times New Roman"/>
      <w:kern w:val="2"/>
      <w:sz w:val="24"/>
      <w:szCs w:val="24"/>
      <w:lang w:val="en-US" w:eastAsia="zh-CN" w:bidi="ar-SA"/>
    </w:rPr>
  </w:style>
  <w:style w:type="paragraph" w:customStyle="1" w:styleId="2808">
    <w:name w:val="Indent text"/>
    <w:semiHidden/>
    <w:qFormat/>
    <w:uiPriority w:val="0"/>
    <w:pPr>
      <w:tabs>
        <w:tab w:val="left" w:pos="720"/>
      </w:tabs>
      <w:spacing w:after="220"/>
      <w:ind w:left="720"/>
      <w:jc w:val="both"/>
    </w:pPr>
    <w:rPr>
      <w:rFonts w:ascii="Times New Roman" w:hAnsi="Times New Roman" w:eastAsia="PMingLiU" w:cs="Times New Roman"/>
      <w:kern w:val="2"/>
      <w:sz w:val="22"/>
      <w:szCs w:val="24"/>
      <w:lang w:val="en-GB" w:eastAsia="zh-CN" w:bidi="ar-SA"/>
    </w:rPr>
  </w:style>
  <w:style w:type="paragraph" w:customStyle="1" w:styleId="2809">
    <w:name w:val="Paragraph 1"/>
    <w:basedOn w:val="1"/>
    <w:semiHidden/>
    <w:qFormat/>
    <w:uiPriority w:val="0"/>
    <w:pPr>
      <w:widowControl/>
      <w:tabs>
        <w:tab w:val="clear" w:pos="480"/>
      </w:tabs>
      <w:spacing w:before="120" w:after="120" w:line="240" w:lineRule="auto"/>
      <w:ind w:left="720"/>
    </w:pPr>
    <w:rPr>
      <w:rFonts w:ascii="Arial" w:hAnsi="Arial" w:eastAsia="Times New Roman"/>
      <w:kern w:val="0"/>
      <w:lang w:val="en-GB"/>
    </w:rPr>
  </w:style>
  <w:style w:type="paragraph" w:customStyle="1" w:styleId="2810">
    <w:name w:val="sub-head"/>
    <w:basedOn w:val="1536"/>
    <w:semiHidden/>
    <w:qFormat/>
    <w:uiPriority w:val="0"/>
    <w:pPr>
      <w:keepNext/>
      <w:tabs>
        <w:tab w:val="left" w:pos="-1440"/>
        <w:tab w:val="left" w:pos="-720"/>
      </w:tabs>
      <w:spacing w:before="120" w:beforeAutospacing="0" w:after="120" w:afterAutospacing="0" w:line="240" w:lineRule="auto"/>
    </w:pPr>
    <w:rPr>
      <w:rFonts w:ascii="Times New Roman" w:eastAsia="Times New Roman"/>
      <w:i/>
      <w:sz w:val="24"/>
      <w:szCs w:val="24"/>
      <w:u w:val="single"/>
      <w:lang w:val="en-GB"/>
    </w:rPr>
  </w:style>
  <w:style w:type="paragraph" w:customStyle="1" w:styleId="2811">
    <w:name w:val="Paragraph 0"/>
    <w:basedOn w:val="1"/>
    <w:semiHidden/>
    <w:qFormat/>
    <w:uiPriority w:val="0"/>
    <w:pPr>
      <w:widowControl/>
      <w:tabs>
        <w:tab w:val="clear" w:pos="480"/>
      </w:tabs>
      <w:spacing w:before="120" w:after="120" w:line="240" w:lineRule="auto"/>
    </w:pPr>
    <w:rPr>
      <w:rFonts w:ascii="Arial" w:hAnsi="Arial" w:eastAsia="Times New Roman"/>
      <w:kern w:val="0"/>
      <w:lang w:val="en-GB"/>
    </w:rPr>
  </w:style>
  <w:style w:type="paragraph" w:customStyle="1" w:styleId="2812">
    <w:name w:val="正文王"/>
    <w:basedOn w:val="45"/>
    <w:semiHidden/>
    <w:qFormat/>
    <w:uiPriority w:val="0"/>
    <w:pPr>
      <w:snapToGrid w:val="0"/>
      <w:spacing w:line="440" w:lineRule="exact"/>
    </w:pPr>
    <w:rPr>
      <w:rFonts w:hint="eastAsia" w:ascii="Arial" w:hAnsi="Arial"/>
      <w:kern w:val="0"/>
      <w:sz w:val="24"/>
    </w:rPr>
  </w:style>
  <w:style w:type="character" w:customStyle="1" w:styleId="2813">
    <w:name w:val="正文四号 Char"/>
    <w:link w:val="2814"/>
    <w:qFormat/>
    <w:locked/>
    <w:uiPriority w:val="0"/>
    <w:rPr>
      <w:rFonts w:ascii="宋体" w:hAnsi="宋体" w:eastAsia="宋体"/>
      <w:sz w:val="28"/>
      <w:szCs w:val="24"/>
      <w:lang w:bidi="ar-SA"/>
    </w:rPr>
  </w:style>
  <w:style w:type="paragraph" w:customStyle="1" w:styleId="2814">
    <w:name w:val="正文四号"/>
    <w:basedOn w:val="1"/>
    <w:link w:val="2813"/>
    <w:semiHidden/>
    <w:qFormat/>
    <w:uiPriority w:val="0"/>
    <w:pPr>
      <w:tabs>
        <w:tab w:val="clear" w:pos="480"/>
      </w:tabs>
      <w:adjustRightInd w:val="0"/>
    </w:pPr>
    <w:rPr>
      <w:rFonts w:ascii="宋体" w:hAnsi="宋体"/>
      <w:kern w:val="0"/>
      <w:sz w:val="28"/>
      <w:lang w:val="zh-CN"/>
    </w:rPr>
  </w:style>
  <w:style w:type="paragraph" w:customStyle="1" w:styleId="2815">
    <w:name w:val="用户标题4"/>
    <w:next w:val="1"/>
    <w:semiHidden/>
    <w:qFormat/>
    <w:uiPriority w:val="0"/>
    <w:pPr>
      <w:widowControl w:val="0"/>
      <w:tabs>
        <w:tab w:val="left" w:pos="1200"/>
      </w:tabs>
      <w:adjustRightInd w:val="0"/>
      <w:snapToGrid w:val="0"/>
      <w:spacing w:line="520" w:lineRule="exact"/>
      <w:ind w:left="1200" w:hanging="720"/>
      <w:jc w:val="both"/>
      <w:outlineLvl w:val="3"/>
    </w:pPr>
    <w:rPr>
      <w:rFonts w:ascii="Times New Roman" w:hAnsi="Times New Roman" w:eastAsia="宋体" w:cs="Times New Roman"/>
      <w:kern w:val="2"/>
      <w:sz w:val="24"/>
      <w:szCs w:val="24"/>
      <w:lang w:val="en-US" w:eastAsia="zh-CN" w:bidi="ar-SA"/>
    </w:rPr>
  </w:style>
  <w:style w:type="paragraph" w:customStyle="1" w:styleId="2816">
    <w:name w:val="用户标题5"/>
    <w:next w:val="1"/>
    <w:semiHidden/>
    <w:qFormat/>
    <w:uiPriority w:val="0"/>
    <w:pPr>
      <w:widowControl w:val="0"/>
      <w:tabs>
        <w:tab w:val="left" w:pos="1021"/>
        <w:tab w:val="left" w:pos="1134"/>
      </w:tabs>
      <w:adjustRightInd w:val="0"/>
      <w:snapToGrid w:val="0"/>
      <w:spacing w:line="520" w:lineRule="exact"/>
      <w:ind w:left="1134" w:hanging="624"/>
      <w:jc w:val="both"/>
      <w:outlineLvl w:val="4"/>
    </w:pPr>
    <w:rPr>
      <w:rFonts w:ascii="Times New Roman" w:hAnsi="Times New Roman" w:eastAsia="宋体" w:cs="Times New Roman"/>
      <w:kern w:val="2"/>
      <w:sz w:val="24"/>
      <w:szCs w:val="24"/>
      <w:lang w:val="en-US" w:eastAsia="zh-CN" w:bidi="ar-SA"/>
    </w:rPr>
  </w:style>
  <w:style w:type="paragraph" w:customStyle="1" w:styleId="2817">
    <w:name w:val="朱正文"/>
    <w:basedOn w:val="1"/>
    <w:semiHidden/>
    <w:qFormat/>
    <w:uiPriority w:val="0"/>
    <w:pPr>
      <w:tabs>
        <w:tab w:val="clear" w:pos="480"/>
      </w:tabs>
      <w:spacing w:line="500" w:lineRule="exact"/>
    </w:pPr>
    <w:rPr>
      <w:sz w:val="28"/>
      <w:szCs w:val="28"/>
    </w:rPr>
  </w:style>
  <w:style w:type="paragraph" w:customStyle="1" w:styleId="2818">
    <w:name w:val="zxz5"/>
    <w:next w:val="1"/>
    <w:semiHidden/>
    <w:qFormat/>
    <w:uiPriority w:val="0"/>
    <w:pPr>
      <w:tabs>
        <w:tab w:val="left" w:pos="0"/>
      </w:tabs>
      <w:jc w:val="center"/>
    </w:pPr>
    <w:rPr>
      <w:rFonts w:ascii="宋体" w:hAnsi="宋体" w:eastAsia="Times New Roman" w:cs="宋体"/>
      <w:bCs/>
      <w:kern w:val="2"/>
      <w:sz w:val="18"/>
      <w:szCs w:val="18"/>
      <w:lang w:val="en-US" w:eastAsia="zh-CN" w:bidi="ar-SA"/>
    </w:rPr>
  </w:style>
  <w:style w:type="character" w:customStyle="1" w:styleId="2819">
    <w:name w:val="A   正文 Char Char"/>
    <w:link w:val="2820"/>
    <w:qFormat/>
    <w:locked/>
    <w:uiPriority w:val="0"/>
    <w:rPr>
      <w:rFonts w:ascii="黑体" w:hAnsi="黑体" w:eastAsia="黑体"/>
      <w:color w:val="000000"/>
      <w:sz w:val="28"/>
      <w:szCs w:val="24"/>
      <w:lang w:bidi="ar-SA"/>
    </w:rPr>
  </w:style>
  <w:style w:type="paragraph" w:customStyle="1" w:styleId="2820">
    <w:name w:val="A   正文"/>
    <w:basedOn w:val="1"/>
    <w:link w:val="2819"/>
    <w:semiHidden/>
    <w:qFormat/>
    <w:uiPriority w:val="0"/>
    <w:pPr>
      <w:widowControl/>
      <w:tabs>
        <w:tab w:val="clear" w:pos="480"/>
      </w:tabs>
      <w:snapToGrid w:val="0"/>
      <w:spacing w:before="120" w:after="60" w:line="300" w:lineRule="auto"/>
      <w:ind w:firstLine="560"/>
    </w:pPr>
    <w:rPr>
      <w:rFonts w:ascii="黑体" w:hAnsi="黑体" w:eastAsia="黑体"/>
      <w:color w:val="000000"/>
      <w:kern w:val="0"/>
      <w:sz w:val="28"/>
      <w:lang w:val="zh-CN"/>
    </w:rPr>
  </w:style>
  <w:style w:type="character" w:customStyle="1" w:styleId="2821">
    <w:name w:val="正文111 Char"/>
    <w:link w:val="2822"/>
    <w:qFormat/>
    <w:locked/>
    <w:uiPriority w:val="0"/>
    <w:rPr>
      <w:sz w:val="24"/>
      <w:szCs w:val="24"/>
      <w:lang w:bidi="ar-SA"/>
    </w:rPr>
  </w:style>
  <w:style w:type="paragraph" w:customStyle="1" w:styleId="2822">
    <w:name w:val="正文111"/>
    <w:basedOn w:val="1"/>
    <w:link w:val="2821"/>
    <w:semiHidden/>
    <w:qFormat/>
    <w:uiPriority w:val="0"/>
    <w:pPr>
      <w:tabs>
        <w:tab w:val="clear" w:pos="480"/>
      </w:tabs>
      <w:spacing w:line="440" w:lineRule="exact"/>
      <w:ind w:firstLine="480"/>
    </w:pPr>
    <w:rPr>
      <w:kern w:val="0"/>
      <w:lang w:val="zh-CN"/>
    </w:rPr>
  </w:style>
  <w:style w:type="character" w:customStyle="1" w:styleId="2823">
    <w:name w:val="报告 Char Char1 Char"/>
    <w:link w:val="2824"/>
    <w:qFormat/>
    <w:locked/>
    <w:uiPriority w:val="0"/>
    <w:rPr>
      <w:sz w:val="24"/>
      <w:lang w:bidi="ar-SA"/>
    </w:rPr>
  </w:style>
  <w:style w:type="paragraph" w:customStyle="1" w:styleId="2824">
    <w:name w:val="报告 Char Char1"/>
    <w:basedOn w:val="1"/>
    <w:link w:val="2823"/>
    <w:semiHidden/>
    <w:qFormat/>
    <w:uiPriority w:val="0"/>
    <w:pPr>
      <w:widowControl/>
      <w:tabs>
        <w:tab w:val="clear" w:pos="480"/>
      </w:tabs>
      <w:overflowPunct w:val="0"/>
      <w:autoSpaceDE w:val="0"/>
      <w:autoSpaceDN w:val="0"/>
      <w:adjustRightInd w:val="0"/>
      <w:spacing w:before="120" w:after="120" w:line="400" w:lineRule="atLeast"/>
    </w:pPr>
    <w:rPr>
      <w:kern w:val="0"/>
      <w:szCs w:val="20"/>
      <w:lang w:val="zh-CN"/>
    </w:rPr>
  </w:style>
  <w:style w:type="character" w:customStyle="1" w:styleId="2825">
    <w:name w:val="A正文 Char"/>
    <w:link w:val="2826"/>
    <w:qFormat/>
    <w:locked/>
    <w:uiPriority w:val="0"/>
    <w:rPr>
      <w:sz w:val="24"/>
      <w:szCs w:val="24"/>
      <w:lang w:bidi="ar-SA"/>
    </w:rPr>
  </w:style>
  <w:style w:type="paragraph" w:customStyle="1" w:styleId="2826">
    <w:name w:val="A正文"/>
    <w:basedOn w:val="1"/>
    <w:link w:val="2825"/>
    <w:semiHidden/>
    <w:qFormat/>
    <w:uiPriority w:val="0"/>
    <w:pPr>
      <w:widowControl/>
      <w:tabs>
        <w:tab w:val="clear" w:pos="480"/>
      </w:tabs>
      <w:adjustRightInd w:val="0"/>
      <w:snapToGrid w:val="0"/>
      <w:spacing w:beforeLines="50" w:line="300" w:lineRule="auto"/>
      <w:ind w:left="100" w:leftChars="100" w:right="100" w:rightChars="100"/>
      <w:jc w:val="left"/>
    </w:pPr>
    <w:rPr>
      <w:kern w:val="0"/>
      <w:lang w:val="zh-CN"/>
    </w:rPr>
  </w:style>
  <w:style w:type="character" w:customStyle="1" w:styleId="2827">
    <w:name w:val="A表头 Char"/>
    <w:link w:val="2828"/>
    <w:qFormat/>
    <w:locked/>
    <w:uiPriority w:val="0"/>
    <w:rPr>
      <w:rFonts w:ascii="黑体" w:hAnsi="黑体" w:eastAsia="黑体"/>
      <w:sz w:val="24"/>
      <w:szCs w:val="24"/>
      <w:lang w:bidi="ar-SA"/>
    </w:rPr>
  </w:style>
  <w:style w:type="paragraph" w:customStyle="1" w:styleId="2828">
    <w:name w:val="A表头"/>
    <w:basedOn w:val="1"/>
    <w:link w:val="2827"/>
    <w:semiHidden/>
    <w:qFormat/>
    <w:uiPriority w:val="0"/>
    <w:pPr>
      <w:widowControl/>
      <w:tabs>
        <w:tab w:val="clear" w:pos="480"/>
      </w:tabs>
      <w:adjustRightInd w:val="0"/>
      <w:snapToGrid w:val="0"/>
      <w:spacing w:beforeLines="20" w:line="240" w:lineRule="auto"/>
      <w:ind w:left="100" w:leftChars="100" w:right="100" w:rightChars="100"/>
      <w:jc w:val="left"/>
    </w:pPr>
    <w:rPr>
      <w:rFonts w:ascii="黑体" w:hAnsi="黑体" w:eastAsia="黑体"/>
      <w:kern w:val="0"/>
      <w:lang w:val="zh-CN"/>
    </w:rPr>
  </w:style>
  <w:style w:type="character" w:customStyle="1" w:styleId="2829">
    <w:name w:val="A标题三 Char"/>
    <w:link w:val="2830"/>
    <w:qFormat/>
    <w:locked/>
    <w:uiPriority w:val="0"/>
    <w:rPr>
      <w:rFonts w:ascii="宋体" w:hAnsi="宋体" w:eastAsia="宋体"/>
      <w:sz w:val="24"/>
      <w:szCs w:val="24"/>
      <w:lang w:bidi="ar-SA"/>
    </w:rPr>
  </w:style>
  <w:style w:type="paragraph" w:customStyle="1" w:styleId="2830">
    <w:name w:val="A标题三"/>
    <w:basedOn w:val="1"/>
    <w:link w:val="2829"/>
    <w:semiHidden/>
    <w:qFormat/>
    <w:uiPriority w:val="0"/>
    <w:pPr>
      <w:widowControl/>
      <w:tabs>
        <w:tab w:val="clear" w:pos="480"/>
      </w:tabs>
      <w:adjustRightInd w:val="0"/>
      <w:snapToGrid w:val="0"/>
      <w:spacing w:beforeLines="50"/>
      <w:jc w:val="left"/>
      <w:outlineLvl w:val="2"/>
    </w:pPr>
    <w:rPr>
      <w:rFonts w:ascii="宋体" w:hAnsi="宋体"/>
      <w:kern w:val="0"/>
      <w:lang w:val="zh-CN"/>
    </w:rPr>
  </w:style>
  <w:style w:type="paragraph" w:customStyle="1" w:styleId="2831">
    <w:name w:val="样式 样式 样式 标题 3标题 3 CharReHead 3 WSAh3H3B Head条标题1.1.1Section头... ..."/>
    <w:basedOn w:val="1"/>
    <w:semiHidden/>
    <w:qFormat/>
    <w:uiPriority w:val="0"/>
    <w:pPr>
      <w:keepNext/>
      <w:keepLines/>
      <w:tabs>
        <w:tab w:val="left" w:pos="720"/>
        <w:tab w:val="clear" w:pos="480"/>
      </w:tabs>
      <w:adjustRightInd w:val="0"/>
      <w:snapToGrid w:val="0"/>
      <w:spacing w:line="240" w:lineRule="auto"/>
      <w:jc w:val="left"/>
      <w:outlineLvl w:val="2"/>
    </w:pPr>
    <w:rPr>
      <w:rFonts w:cs="宋体"/>
      <w:b/>
      <w:bCs/>
      <w:kern w:val="0"/>
      <w:sz w:val="28"/>
      <w:szCs w:val="28"/>
      <w:lang w:val="zh-CN"/>
    </w:rPr>
  </w:style>
  <w:style w:type="paragraph" w:customStyle="1" w:styleId="2832">
    <w:name w:val="样式 楷体_GB2312 小四 行距: 1.5 倍行距 首行缩进:  2 字符"/>
    <w:basedOn w:val="6"/>
    <w:semiHidden/>
    <w:qFormat/>
    <w:uiPriority w:val="0"/>
    <w:pPr>
      <w:numPr>
        <w:ilvl w:val="0"/>
        <w:numId w:val="0"/>
      </w:numPr>
      <w:tabs>
        <w:tab w:val="clear" w:pos="480"/>
      </w:tabs>
      <w:spacing w:before="120" w:after="0"/>
      <w:ind w:firstLine="480" w:firstLineChars="200"/>
    </w:pPr>
    <w:rPr>
      <w:rFonts w:ascii="楷体_GB2312" w:hAnsi="Times New Roman" w:eastAsia="楷体_GB2312" w:cs="宋体"/>
      <w:bCs w:val="0"/>
      <w:sz w:val="24"/>
      <w:szCs w:val="20"/>
    </w:rPr>
  </w:style>
  <w:style w:type="paragraph" w:customStyle="1" w:styleId="2833">
    <w:name w:val="样式66"/>
    <w:basedOn w:val="1"/>
    <w:semiHidden/>
    <w:qFormat/>
    <w:uiPriority w:val="0"/>
    <w:pPr>
      <w:keepNext/>
      <w:keepLines/>
      <w:tabs>
        <w:tab w:val="left" w:pos="720"/>
        <w:tab w:val="left" w:pos="864"/>
        <w:tab w:val="clear" w:pos="480"/>
      </w:tabs>
      <w:spacing w:beforeLines="50" w:afterLines="50"/>
      <w:ind w:left="864" w:hanging="864"/>
      <w:outlineLvl w:val="3"/>
    </w:pPr>
    <w:rPr>
      <w:szCs w:val="28"/>
    </w:rPr>
  </w:style>
  <w:style w:type="paragraph" w:customStyle="1" w:styleId="2834">
    <w:name w:val="论文正文"/>
    <w:basedOn w:val="21"/>
    <w:semiHidden/>
    <w:qFormat/>
    <w:uiPriority w:val="0"/>
    <w:pPr>
      <w:tabs>
        <w:tab w:val="clear" w:pos="480"/>
      </w:tabs>
      <w:spacing w:line="240" w:lineRule="auto"/>
      <w:ind w:firstLine="480"/>
    </w:pPr>
    <w:rPr>
      <w:rFonts w:ascii="宋体" w:hAnsi="宋体"/>
      <w:kern w:val="0"/>
      <w:sz w:val="28"/>
      <w:szCs w:val="20"/>
    </w:rPr>
  </w:style>
  <w:style w:type="paragraph" w:customStyle="1" w:styleId="2835">
    <w:name w:val="样式 黑体 小四 加粗 行距: 固定值 20 磅"/>
    <w:basedOn w:val="1"/>
    <w:semiHidden/>
    <w:qFormat/>
    <w:uiPriority w:val="0"/>
    <w:pPr>
      <w:tabs>
        <w:tab w:val="clear" w:pos="480"/>
      </w:tabs>
      <w:spacing w:line="400" w:lineRule="exact"/>
    </w:pPr>
    <w:rPr>
      <w:rFonts w:ascii="黑体" w:eastAsia="黑体" w:cs="宋体"/>
      <w:b/>
      <w:bCs/>
      <w:sz w:val="28"/>
      <w:szCs w:val="20"/>
    </w:rPr>
  </w:style>
  <w:style w:type="paragraph" w:customStyle="1" w:styleId="2836">
    <w:name w:val="样式 标题 2节标题 2 Char Char Char Char + (西文) Times New Roman (中文) ...10"/>
    <w:basedOn w:val="4"/>
    <w:semiHidden/>
    <w:qFormat/>
    <w:uiPriority w:val="0"/>
    <w:pPr>
      <w:numPr>
        <w:ilvl w:val="0"/>
        <w:numId w:val="0"/>
      </w:numPr>
      <w:tabs>
        <w:tab w:val="clear" w:pos="480"/>
        <w:tab w:val="clear" w:pos="630"/>
      </w:tabs>
      <w:spacing w:after="260" w:line="412" w:lineRule="auto"/>
    </w:pPr>
    <w:rPr>
      <w:rFonts w:ascii="Arial" w:hAnsi="Arial"/>
      <w:color w:val="000000"/>
      <w:kern w:val="28"/>
      <w:sz w:val="30"/>
      <w:szCs w:val="30"/>
    </w:rPr>
  </w:style>
  <w:style w:type="paragraph" w:customStyle="1" w:styleId="2837">
    <w:name w:val="样式 标题 3 + 宋体 四号 段前: 0 磅 段后: 0 磅 行距: 单倍行距"/>
    <w:basedOn w:val="5"/>
    <w:semiHidden/>
    <w:qFormat/>
    <w:uiPriority w:val="0"/>
    <w:pPr>
      <w:numPr>
        <w:ilvl w:val="0"/>
        <w:numId w:val="0"/>
      </w:numPr>
      <w:tabs>
        <w:tab w:val="clear" w:pos="480"/>
        <w:tab w:val="clear" w:pos="840"/>
      </w:tabs>
      <w:spacing w:before="0" w:after="0" w:line="240" w:lineRule="auto"/>
    </w:pPr>
    <w:rPr>
      <w:rFonts w:ascii="Times New Roman" w:eastAsia="宋体"/>
      <w:sz w:val="28"/>
      <w:szCs w:val="28"/>
    </w:rPr>
  </w:style>
  <w:style w:type="paragraph" w:customStyle="1" w:styleId="2838">
    <w:name w:val="样式 首行缩进:  1.01 厘米"/>
    <w:basedOn w:val="1"/>
    <w:semiHidden/>
    <w:qFormat/>
    <w:uiPriority w:val="0"/>
    <w:pPr>
      <w:tabs>
        <w:tab w:val="clear" w:pos="480"/>
      </w:tabs>
      <w:spacing w:line="460" w:lineRule="exact"/>
      <w:ind w:firstLine="480"/>
    </w:pPr>
    <w:rPr>
      <w:color w:val="000000"/>
    </w:rPr>
  </w:style>
  <w:style w:type="paragraph" w:customStyle="1" w:styleId="2839">
    <w:name w:val="宗兴2级"/>
    <w:basedOn w:val="4"/>
    <w:semiHidden/>
    <w:qFormat/>
    <w:uiPriority w:val="0"/>
    <w:pPr>
      <w:numPr>
        <w:ilvl w:val="0"/>
        <w:numId w:val="0"/>
      </w:numPr>
      <w:tabs>
        <w:tab w:val="clear" w:pos="480"/>
        <w:tab w:val="clear" w:pos="630"/>
      </w:tabs>
      <w:spacing w:before="440" w:after="440" w:line="440" w:lineRule="exact"/>
    </w:pPr>
    <w:rPr>
      <w:rFonts w:ascii="Arial" w:hAnsi="Arial" w:eastAsia="黑体"/>
      <w:bCs w:val="0"/>
      <w:kern w:val="44"/>
      <w:szCs w:val="20"/>
    </w:rPr>
  </w:style>
  <w:style w:type="paragraph" w:customStyle="1" w:styleId="2840">
    <w:name w:val="样式 标题 4标题 14 + 加粗 无下划线 自动设置 段前: 3 磅 段后: 10 磅"/>
    <w:basedOn w:val="6"/>
    <w:semiHidden/>
    <w:qFormat/>
    <w:uiPriority w:val="0"/>
    <w:pPr>
      <w:keepLines w:val="0"/>
      <w:numPr>
        <w:ilvl w:val="0"/>
        <w:numId w:val="0"/>
      </w:numPr>
      <w:tabs>
        <w:tab w:val="left" w:pos="780"/>
        <w:tab w:val="clear" w:pos="480"/>
      </w:tabs>
      <w:adjustRightInd w:val="0"/>
      <w:snapToGrid w:val="0"/>
      <w:spacing w:before="60" w:after="200" w:line="240" w:lineRule="auto"/>
      <w:ind w:left="1703" w:leftChars="200" w:hanging="200" w:hangingChars="200"/>
    </w:pPr>
    <w:rPr>
      <w:rFonts w:ascii="Times New Roman" w:hAnsi="Times New Roman" w:eastAsia="宋体"/>
      <w:sz w:val="24"/>
      <w:szCs w:val="20"/>
    </w:rPr>
  </w:style>
  <w:style w:type="paragraph" w:customStyle="1" w:styleId="2841">
    <w:name w:val="样式 标题 2标题 21标题 121 + Times New Roman 小三 非加粗 黑色 段前: 8 磅 段..."/>
    <w:basedOn w:val="4"/>
    <w:semiHidden/>
    <w:qFormat/>
    <w:uiPriority w:val="0"/>
    <w:pPr>
      <w:numPr>
        <w:ilvl w:val="0"/>
        <w:numId w:val="0"/>
      </w:numPr>
      <w:tabs>
        <w:tab w:val="left" w:pos="360"/>
        <w:tab w:val="clear" w:pos="480"/>
        <w:tab w:val="clear" w:pos="630"/>
      </w:tabs>
      <w:spacing w:before="160" w:after="160" w:line="240" w:lineRule="auto"/>
    </w:pPr>
    <w:rPr>
      <w:rFonts w:eastAsia="黑体"/>
      <w:bCs w:val="0"/>
      <w:color w:val="000000"/>
      <w:kern w:val="0"/>
      <w:sz w:val="30"/>
      <w:szCs w:val="20"/>
    </w:rPr>
  </w:style>
  <w:style w:type="character" w:customStyle="1" w:styleId="2842">
    <w:name w:val="正文首行缩进 2 Char1"/>
    <w:semiHidden/>
    <w:qFormat/>
    <w:uiPriority w:val="0"/>
    <w:rPr>
      <w:rFonts w:ascii="Times New Roman" w:hAnsi="Times New Roman" w:eastAsia="宋体" w:cs="Times New Roman"/>
      <w:szCs w:val="24"/>
    </w:rPr>
  </w:style>
  <w:style w:type="paragraph" w:customStyle="1" w:styleId="2843">
    <w:name w:val="正文（韶关规划）"/>
    <w:basedOn w:val="86"/>
    <w:semiHidden/>
    <w:qFormat/>
    <w:uiPriority w:val="0"/>
    <w:pPr>
      <w:tabs>
        <w:tab w:val="left" w:pos="7996"/>
        <w:tab w:val="clear" w:pos="480"/>
      </w:tabs>
      <w:autoSpaceDE w:val="0"/>
      <w:autoSpaceDN w:val="0"/>
      <w:adjustRightInd w:val="0"/>
      <w:snapToGrid w:val="0"/>
      <w:spacing w:beforeLines="50"/>
      <w:ind w:left="0" w:leftChars="0" w:firstLine="480"/>
    </w:pPr>
    <w:rPr>
      <w:rFonts w:hint="eastAsia" w:hAnsi="宋体"/>
      <w:color w:val="000000"/>
      <w:kern w:val="0"/>
      <w:szCs w:val="22"/>
    </w:rPr>
  </w:style>
  <w:style w:type="paragraph" w:customStyle="1" w:styleId="2844">
    <w:name w:val="样式 标题 3标题 3 CharReHead 3 WSAh3H3B Head条标题1.1.1Section头..."/>
    <w:basedOn w:val="5"/>
    <w:semiHidden/>
    <w:qFormat/>
    <w:uiPriority w:val="0"/>
    <w:pPr>
      <w:numPr>
        <w:ilvl w:val="0"/>
        <w:numId w:val="0"/>
      </w:numPr>
      <w:tabs>
        <w:tab w:val="left" w:pos="720"/>
        <w:tab w:val="left" w:pos="1200"/>
        <w:tab w:val="clear" w:pos="480"/>
        <w:tab w:val="clear" w:pos="840"/>
      </w:tabs>
      <w:adjustRightInd w:val="0"/>
      <w:snapToGrid w:val="0"/>
      <w:spacing w:beforeLines="50" w:afterLines="50" w:line="360" w:lineRule="auto"/>
      <w:ind w:left="1200" w:leftChars="400" w:hanging="360" w:hangingChars="200"/>
      <w:jc w:val="left"/>
    </w:pPr>
    <w:rPr>
      <w:rFonts w:ascii="Times New Roman" w:eastAsia="宋体" w:cs="宋体"/>
      <w:kern w:val="0"/>
      <w:szCs w:val="30"/>
    </w:rPr>
  </w:style>
  <w:style w:type="paragraph" w:customStyle="1" w:styleId="2845">
    <w:name w:val="样式31"/>
    <w:basedOn w:val="1"/>
    <w:semiHidden/>
    <w:qFormat/>
    <w:uiPriority w:val="0"/>
    <w:pPr>
      <w:tabs>
        <w:tab w:val="clear" w:pos="480"/>
      </w:tabs>
      <w:adjustRightInd w:val="0"/>
      <w:snapToGrid w:val="0"/>
      <w:ind w:firstLine="1661" w:firstLineChars="788"/>
    </w:pPr>
    <w:rPr>
      <w:rFonts w:hAnsi="宋体"/>
      <w:b/>
      <w:szCs w:val="21"/>
    </w:rPr>
  </w:style>
  <w:style w:type="paragraph" w:customStyle="1" w:styleId="2846">
    <w:name w:val="a封面－项目名称"/>
    <w:basedOn w:val="1"/>
    <w:next w:val="1"/>
    <w:semiHidden/>
    <w:qFormat/>
    <w:uiPriority w:val="0"/>
    <w:pPr>
      <w:tabs>
        <w:tab w:val="clear" w:pos="480"/>
      </w:tabs>
      <w:spacing w:beforeLines="50" w:afterLines="50"/>
      <w:jc w:val="center"/>
    </w:pPr>
    <w:rPr>
      <w:rFonts w:eastAsia="黑体"/>
      <w:b/>
      <w:sz w:val="48"/>
    </w:rPr>
  </w:style>
  <w:style w:type="paragraph" w:customStyle="1" w:styleId="2847">
    <w:name w:val="样式 标题 2标题 21标题 121 + Times New Roman 小三 非加粗 黑色 段前: 8 磅 段...3"/>
    <w:basedOn w:val="1"/>
    <w:semiHidden/>
    <w:qFormat/>
    <w:uiPriority w:val="0"/>
    <w:pPr>
      <w:tabs>
        <w:tab w:val="left" w:pos="567"/>
        <w:tab w:val="left" w:pos="1620"/>
        <w:tab w:val="clear" w:pos="480"/>
      </w:tabs>
      <w:spacing w:line="240" w:lineRule="auto"/>
      <w:ind w:left="1620" w:leftChars="600" w:hanging="360" w:hangingChars="200"/>
    </w:pPr>
    <w:rPr>
      <w:sz w:val="28"/>
    </w:rPr>
  </w:style>
  <w:style w:type="paragraph" w:customStyle="1" w:styleId="2848">
    <w:name w:val="样式 标题 4标题 14 + 加粗 无下划线 自动设置 段前: 3 磅 段后: 10 磅4"/>
    <w:basedOn w:val="6"/>
    <w:semiHidden/>
    <w:qFormat/>
    <w:uiPriority w:val="0"/>
    <w:pPr>
      <w:keepLines w:val="0"/>
      <w:numPr>
        <w:ilvl w:val="0"/>
        <w:numId w:val="0"/>
      </w:numPr>
      <w:tabs>
        <w:tab w:val="left" w:pos="864"/>
        <w:tab w:val="clear" w:pos="480"/>
      </w:tabs>
      <w:adjustRightInd w:val="0"/>
      <w:snapToGrid w:val="0"/>
      <w:spacing w:before="60" w:after="200" w:line="240" w:lineRule="auto"/>
      <w:ind w:left="864" w:hanging="864"/>
    </w:pPr>
    <w:rPr>
      <w:rFonts w:ascii="Times New Roman" w:hAnsi="Times New Roman" w:eastAsia="宋体"/>
      <w:sz w:val="24"/>
      <w:szCs w:val="20"/>
    </w:rPr>
  </w:style>
  <w:style w:type="paragraph" w:customStyle="1" w:styleId="2849">
    <w:name w:val="样式 黑体 小四 加粗 行距: 固定值 20 磅1"/>
    <w:basedOn w:val="1"/>
    <w:semiHidden/>
    <w:qFormat/>
    <w:uiPriority w:val="0"/>
    <w:pPr>
      <w:tabs>
        <w:tab w:val="clear" w:pos="480"/>
      </w:tabs>
      <w:spacing w:line="400" w:lineRule="exact"/>
    </w:pPr>
    <w:rPr>
      <w:rFonts w:ascii="黑体" w:cs="宋体"/>
      <w:b/>
      <w:bCs/>
      <w:szCs w:val="20"/>
    </w:rPr>
  </w:style>
  <w:style w:type="paragraph" w:customStyle="1" w:styleId="2850">
    <w:name w:val="样式 正文缩进正文缩进 Char首行缩进两字s4文本条款 + 宋体"/>
    <w:basedOn w:val="21"/>
    <w:semiHidden/>
    <w:qFormat/>
    <w:uiPriority w:val="0"/>
    <w:pPr>
      <w:tabs>
        <w:tab w:val="clear" w:pos="480"/>
      </w:tabs>
      <w:adjustRightInd w:val="0"/>
      <w:snapToGrid w:val="0"/>
      <w:spacing w:beforeLines="50" w:afterLines="50"/>
      <w:ind w:firstLine="0" w:firstLineChars="0"/>
    </w:pPr>
    <w:rPr>
      <w:rFonts w:ascii="宋体" w:hAnsi="宋体"/>
      <w:kern w:val="0"/>
      <w:szCs w:val="20"/>
    </w:rPr>
  </w:style>
  <w:style w:type="paragraph" w:customStyle="1" w:styleId="2851">
    <w:name w:val="Char2 Char Char Char Char Char Char Char Char Char"/>
    <w:basedOn w:val="1"/>
    <w:qFormat/>
    <w:uiPriority w:val="0"/>
    <w:pPr>
      <w:tabs>
        <w:tab w:val="clear" w:pos="480"/>
      </w:tabs>
    </w:pPr>
    <w:rPr>
      <w:rFonts w:ascii="宋体" w:hAnsi="宋体" w:cs="宋体"/>
    </w:rPr>
  </w:style>
  <w:style w:type="paragraph" w:customStyle="1" w:styleId="2852">
    <w:name w:val="正文四号缩进"/>
    <w:basedOn w:val="1"/>
    <w:semiHidden/>
    <w:qFormat/>
    <w:uiPriority w:val="0"/>
    <w:pPr>
      <w:tabs>
        <w:tab w:val="clear" w:pos="480"/>
      </w:tabs>
      <w:spacing w:after="50" w:line="240" w:lineRule="auto"/>
    </w:pPr>
    <w:rPr>
      <w:rFonts w:ascii="宋体"/>
      <w:spacing w:val="10"/>
      <w:szCs w:val="20"/>
    </w:rPr>
  </w:style>
  <w:style w:type="character" w:customStyle="1" w:styleId="2853">
    <w:name w:val="样式 真宗兴3级标题 + 四号 行距: 单倍行距 Char"/>
    <w:link w:val="2854"/>
    <w:qFormat/>
    <w:locked/>
    <w:uiPriority w:val="0"/>
    <w:rPr>
      <w:rFonts w:ascii="宋体" w:hAnsi="宋体" w:eastAsia="宋体"/>
      <w:b/>
      <w:bCs/>
      <w:sz w:val="28"/>
      <w:lang w:bidi="ar-SA"/>
    </w:rPr>
  </w:style>
  <w:style w:type="paragraph" w:customStyle="1" w:styleId="2854">
    <w:name w:val="样式 真宗兴3级标题 + 四号 行距: 单倍行距"/>
    <w:basedOn w:val="1"/>
    <w:link w:val="2853"/>
    <w:semiHidden/>
    <w:qFormat/>
    <w:uiPriority w:val="0"/>
    <w:pPr>
      <w:keepNext/>
      <w:tabs>
        <w:tab w:val="clear" w:pos="480"/>
      </w:tabs>
      <w:spacing w:before="240" w:after="240" w:line="400" w:lineRule="exact"/>
      <w:outlineLvl w:val="2"/>
    </w:pPr>
    <w:rPr>
      <w:rFonts w:ascii="宋体" w:hAnsi="宋体"/>
      <w:b/>
      <w:bCs/>
      <w:kern w:val="0"/>
      <w:sz w:val="28"/>
      <w:szCs w:val="20"/>
      <w:lang w:val="zh-CN"/>
    </w:rPr>
  </w:style>
  <w:style w:type="paragraph" w:customStyle="1" w:styleId="2855">
    <w:name w:val="表内式样"/>
    <w:semiHidden/>
    <w:qFormat/>
    <w:uiPriority w:val="0"/>
    <w:pPr>
      <w:widowControl w:val="0"/>
      <w:spacing w:line="240" w:lineRule="exact"/>
      <w:jc w:val="center"/>
    </w:pPr>
    <w:rPr>
      <w:rFonts w:ascii="Times New Roman" w:hAnsi="Times New Roman" w:eastAsia="宋体" w:cs="Times New Roman"/>
      <w:kern w:val="2"/>
      <w:sz w:val="21"/>
      <w:szCs w:val="24"/>
      <w:lang w:val="en-US" w:eastAsia="zh-CN" w:bidi="ar-SA"/>
    </w:rPr>
  </w:style>
  <w:style w:type="paragraph" w:customStyle="1" w:styleId="2856">
    <w:name w:val="正缩1"/>
    <w:basedOn w:val="1"/>
    <w:semiHidden/>
    <w:qFormat/>
    <w:uiPriority w:val="0"/>
    <w:pPr>
      <w:tabs>
        <w:tab w:val="clear" w:pos="480"/>
      </w:tabs>
      <w:snapToGrid w:val="0"/>
      <w:spacing w:line="500" w:lineRule="exact"/>
      <w:ind w:firstLine="567"/>
    </w:pPr>
    <w:rPr>
      <w:rFonts w:eastAsia="仿宋_GB2312"/>
      <w:color w:val="000000"/>
      <w:kern w:val="0"/>
      <w:sz w:val="28"/>
      <w:szCs w:val="20"/>
    </w:rPr>
  </w:style>
  <w:style w:type="paragraph" w:customStyle="1" w:styleId="2857">
    <w:name w:val="Retrait 1"/>
    <w:basedOn w:val="1"/>
    <w:semiHidden/>
    <w:qFormat/>
    <w:uiPriority w:val="0"/>
    <w:pPr>
      <w:widowControl/>
      <w:tabs>
        <w:tab w:val="clear" w:pos="480"/>
      </w:tabs>
      <w:overflowPunct w:val="0"/>
      <w:autoSpaceDE w:val="0"/>
      <w:autoSpaceDN w:val="0"/>
      <w:adjustRightInd w:val="0"/>
      <w:spacing w:before="120" w:line="240" w:lineRule="auto"/>
      <w:ind w:left="851"/>
    </w:pPr>
    <w:rPr>
      <w:rFonts w:ascii="Arial" w:hAnsi="Arial"/>
      <w:color w:val="000000"/>
      <w:kern w:val="0"/>
      <w:sz w:val="22"/>
      <w:lang w:val="en-GB"/>
    </w:rPr>
  </w:style>
  <w:style w:type="character" w:customStyle="1" w:styleId="2858">
    <w:name w:val="样式 首行缩进:  2 字符1 Char"/>
    <w:link w:val="1141"/>
    <w:qFormat/>
    <w:locked/>
    <w:uiPriority w:val="0"/>
    <w:rPr>
      <w:rFonts w:ascii="宋体" w:hAnsi="宋体" w:eastAsia="宋体" w:cs="宋体"/>
      <w:sz w:val="24"/>
      <w:szCs w:val="24"/>
      <w:lang w:val="en-US" w:eastAsia="zh-CN" w:bidi="ar-SA"/>
    </w:rPr>
  </w:style>
  <w:style w:type="character" w:customStyle="1" w:styleId="2859">
    <w:name w:val="样式 标题 3标题 131.1.1条标题 3 Char Char标题 3 Char标3§1.1.1.. (1.1...3 Char"/>
    <w:link w:val="2860"/>
    <w:qFormat/>
    <w:locked/>
    <w:uiPriority w:val="0"/>
    <w:rPr>
      <w:rFonts w:ascii="Arial" w:hAnsi="Arial" w:eastAsia="黑体"/>
      <w:b/>
      <w:sz w:val="30"/>
      <w:szCs w:val="24"/>
      <w:lang w:bidi="ar-SA"/>
    </w:rPr>
  </w:style>
  <w:style w:type="paragraph" w:customStyle="1" w:styleId="2860">
    <w:name w:val="样式 标题 3标题 131.1.1条标题 3 Char Char标题 3 Char标3§1.1.1.. (1.1...3"/>
    <w:basedOn w:val="5"/>
    <w:link w:val="2859"/>
    <w:semiHidden/>
    <w:qFormat/>
    <w:uiPriority w:val="0"/>
    <w:pPr>
      <w:widowControl/>
      <w:numPr>
        <w:ilvl w:val="0"/>
        <w:numId w:val="0"/>
      </w:numPr>
      <w:tabs>
        <w:tab w:val="left" w:pos="992"/>
        <w:tab w:val="clear" w:pos="480"/>
        <w:tab w:val="clear" w:pos="840"/>
      </w:tabs>
      <w:overflowPunct w:val="0"/>
      <w:autoSpaceDE w:val="0"/>
      <w:autoSpaceDN w:val="0"/>
      <w:adjustRightInd w:val="0"/>
      <w:spacing w:before="100" w:after="100" w:line="360" w:lineRule="auto"/>
    </w:pPr>
    <w:rPr>
      <w:rFonts w:ascii="Arial" w:hAnsi="Arial" w:eastAsia="黑体"/>
      <w:bCs w:val="0"/>
      <w:kern w:val="0"/>
      <w:szCs w:val="24"/>
    </w:rPr>
  </w:style>
  <w:style w:type="character" w:customStyle="1" w:styleId="2861">
    <w:name w:val="正文 + 首行缩进:  2 字符 Char Char"/>
    <w:link w:val="2862"/>
    <w:qFormat/>
    <w:locked/>
    <w:uiPriority w:val="0"/>
    <w:rPr>
      <w:rFonts w:ascii="宋体" w:hAnsi="宋体" w:eastAsia="宋体"/>
      <w:sz w:val="24"/>
      <w:szCs w:val="24"/>
      <w:lang w:bidi="ar-SA"/>
    </w:rPr>
  </w:style>
  <w:style w:type="paragraph" w:customStyle="1" w:styleId="2862">
    <w:name w:val="正文 + 首行缩进:  2 字符 Char"/>
    <w:basedOn w:val="1"/>
    <w:link w:val="2861"/>
    <w:semiHidden/>
    <w:qFormat/>
    <w:uiPriority w:val="0"/>
    <w:pPr>
      <w:tabs>
        <w:tab w:val="clear" w:pos="480"/>
      </w:tabs>
      <w:ind w:firstLine="480"/>
    </w:pPr>
    <w:rPr>
      <w:rFonts w:ascii="宋体" w:hAnsi="宋体"/>
      <w:kern w:val="0"/>
      <w:lang w:val="zh-CN"/>
    </w:rPr>
  </w:style>
  <w:style w:type="paragraph" w:customStyle="1" w:styleId="2863">
    <w:name w:val="样式 样式 样式 标题 3标题 13标题 3 Char1 Char Char Char标题 31ReHead 3 WSAh3B...."/>
    <w:basedOn w:val="1"/>
    <w:semiHidden/>
    <w:qFormat/>
    <w:uiPriority w:val="0"/>
    <w:pPr>
      <w:keepNext/>
      <w:keepLines/>
      <w:tabs>
        <w:tab w:val="clear" w:pos="480"/>
      </w:tabs>
      <w:spacing w:beforeLines="50" w:afterLines="50" w:line="460" w:lineRule="exact"/>
      <w:outlineLvl w:val="2"/>
    </w:pPr>
    <w:rPr>
      <w:rFonts w:cs="宋体"/>
      <w:b/>
      <w:bCs/>
      <w:color w:val="000000"/>
      <w:szCs w:val="20"/>
    </w:rPr>
  </w:style>
  <w:style w:type="paragraph" w:customStyle="1" w:styleId="2864">
    <w:name w:val="p1"/>
    <w:basedOn w:val="1"/>
    <w:semiHidden/>
    <w:qFormat/>
    <w:uiPriority w:val="0"/>
    <w:pPr>
      <w:widowControl/>
      <w:tabs>
        <w:tab w:val="clear" w:pos="480"/>
      </w:tabs>
      <w:spacing w:before="100" w:beforeAutospacing="1" w:after="100" w:afterAutospacing="1"/>
      <w:ind w:firstLine="465"/>
      <w:jc w:val="left"/>
    </w:pPr>
    <w:rPr>
      <w:rFonts w:ascii="ˎ̥" w:hAnsi="ˎ̥"/>
      <w:kern w:val="0"/>
      <w:sz w:val="22"/>
      <w:szCs w:val="20"/>
    </w:rPr>
  </w:style>
  <w:style w:type="paragraph" w:customStyle="1" w:styleId="2865">
    <w:name w:val="样式 标题 4标题 14H4 + 段前: 0.5 行 段后: 0.5 行 行距: 1.5 倍行距"/>
    <w:basedOn w:val="6"/>
    <w:semiHidden/>
    <w:qFormat/>
    <w:uiPriority w:val="0"/>
    <w:pPr>
      <w:widowControl/>
      <w:numPr>
        <w:ilvl w:val="0"/>
        <w:numId w:val="0"/>
      </w:numPr>
      <w:tabs>
        <w:tab w:val="clear" w:pos="480"/>
      </w:tabs>
      <w:overflowPunct w:val="0"/>
      <w:autoSpaceDE w:val="0"/>
      <w:autoSpaceDN w:val="0"/>
      <w:adjustRightInd w:val="0"/>
      <w:spacing w:beforeLines="50" w:afterLines="50"/>
    </w:pPr>
    <w:rPr>
      <w:rFonts w:ascii="Times New Roman" w:hAnsi="Times New Roman" w:eastAsia="宋体" w:cs="宋体"/>
      <w:b w:val="0"/>
      <w:bCs w:val="0"/>
      <w:kern w:val="0"/>
      <w:sz w:val="24"/>
      <w:szCs w:val="20"/>
    </w:rPr>
  </w:style>
  <w:style w:type="paragraph" w:customStyle="1" w:styleId="2866">
    <w:name w:val="样式 标题 2标题2SeHead wsa2H21标题 1.1Chapter TitleChapter节标题 1..."/>
    <w:basedOn w:val="4"/>
    <w:semiHidden/>
    <w:qFormat/>
    <w:uiPriority w:val="0"/>
    <w:pPr>
      <w:numPr>
        <w:ilvl w:val="0"/>
        <w:numId w:val="0"/>
      </w:numPr>
      <w:tabs>
        <w:tab w:val="left" w:pos="720"/>
        <w:tab w:val="left" w:pos="1200"/>
        <w:tab w:val="clear" w:pos="480"/>
        <w:tab w:val="clear" w:pos="630"/>
      </w:tabs>
      <w:spacing w:before="0" w:after="0"/>
      <w:ind w:left="1200" w:leftChars="400" w:hanging="360" w:hangingChars="200"/>
      <w:jc w:val="left"/>
    </w:pPr>
    <w:rPr>
      <w:rFonts w:cs="宋体"/>
      <w:kern w:val="0"/>
      <w:sz w:val="30"/>
      <w:szCs w:val="30"/>
    </w:rPr>
  </w:style>
  <w:style w:type="paragraph" w:customStyle="1" w:styleId="2867">
    <w:name w:val="报告表正文"/>
    <w:basedOn w:val="1"/>
    <w:link w:val="3595"/>
    <w:qFormat/>
    <w:uiPriority w:val="0"/>
    <w:pPr>
      <w:tabs>
        <w:tab w:val="clear" w:pos="480"/>
      </w:tabs>
      <w:adjustRightInd w:val="0"/>
      <w:spacing w:line="300" w:lineRule="auto"/>
      <w:ind w:left="113" w:right="113"/>
    </w:pPr>
    <w:rPr>
      <w:kern w:val="0"/>
      <w:szCs w:val="20"/>
    </w:rPr>
  </w:style>
  <w:style w:type="paragraph" w:customStyle="1" w:styleId="2868">
    <w:name w:val="样式 标题 4标题 14 + 加粗 无下划线 自动设置 段前: 3 磅 段后: 10 磅1"/>
    <w:basedOn w:val="6"/>
    <w:semiHidden/>
    <w:qFormat/>
    <w:uiPriority w:val="0"/>
    <w:pPr>
      <w:keepLines w:val="0"/>
      <w:numPr>
        <w:ilvl w:val="0"/>
        <w:numId w:val="0"/>
      </w:numPr>
      <w:tabs>
        <w:tab w:val="left" w:pos="2040"/>
        <w:tab w:val="left" w:pos="2356"/>
        <w:tab w:val="clear" w:pos="480"/>
      </w:tabs>
      <w:adjustRightInd w:val="0"/>
      <w:snapToGrid w:val="0"/>
      <w:spacing w:before="60" w:after="200" w:line="240" w:lineRule="auto"/>
      <w:ind w:left="2040" w:leftChars="800" w:hanging="360" w:hangingChars="200"/>
    </w:pPr>
    <w:rPr>
      <w:rFonts w:ascii="Times New Roman" w:hAnsi="Times New Roman" w:eastAsia="宋体"/>
      <w:sz w:val="24"/>
      <w:szCs w:val="20"/>
    </w:rPr>
  </w:style>
  <w:style w:type="paragraph" w:customStyle="1" w:styleId="2869">
    <w:name w:val="标准-正文"/>
    <w:semiHidden/>
    <w:qFormat/>
    <w:uiPriority w:val="0"/>
    <w:pPr>
      <w:widowControl w:val="0"/>
      <w:adjustRightInd w:val="0"/>
      <w:snapToGrid w:val="0"/>
      <w:spacing w:line="520" w:lineRule="exact"/>
      <w:jc w:val="center"/>
    </w:pPr>
    <w:rPr>
      <w:rFonts w:ascii="宋体" w:hAnsi="宋体" w:eastAsia="宋体" w:cs="Times New Roman"/>
      <w:kern w:val="2"/>
      <w:sz w:val="24"/>
      <w:szCs w:val="24"/>
      <w:lang w:val="en-US" w:eastAsia="zh-CN" w:bidi="ar-SA"/>
    </w:rPr>
  </w:style>
  <w:style w:type="paragraph" w:customStyle="1" w:styleId="2870">
    <w:name w:val="Char Char Char1 Char Char Char Char Char Char Char1"/>
    <w:basedOn w:val="1"/>
    <w:semiHidden/>
    <w:qFormat/>
    <w:uiPriority w:val="0"/>
    <w:pPr>
      <w:widowControl/>
      <w:tabs>
        <w:tab w:val="clear" w:pos="480"/>
      </w:tabs>
      <w:adjustRightInd w:val="0"/>
      <w:spacing w:after="160" w:line="240" w:lineRule="exact"/>
      <w:jc w:val="left"/>
    </w:pPr>
    <w:rPr>
      <w:rFonts w:ascii="Verdana" w:hAnsi="Verdana"/>
      <w:kern w:val="0"/>
      <w:sz w:val="20"/>
      <w:szCs w:val="20"/>
      <w:lang w:eastAsia="en-US"/>
    </w:rPr>
  </w:style>
  <w:style w:type="character" w:customStyle="1" w:styleId="2871">
    <w:name w:val="样式13 Char"/>
    <w:link w:val="940"/>
    <w:qFormat/>
    <w:locked/>
    <w:uiPriority w:val="0"/>
    <w:rPr>
      <w:rFonts w:ascii="Arial" w:hAnsi="Arial" w:eastAsia="宋体" w:cs="Arial"/>
      <w:b/>
      <w:kern w:val="44"/>
      <w:sz w:val="28"/>
      <w:szCs w:val="28"/>
      <w:lang w:val="en-US" w:eastAsia="zh-CN" w:bidi="ar-SA"/>
    </w:rPr>
  </w:style>
  <w:style w:type="character" w:customStyle="1" w:styleId="2872">
    <w:name w:val="君邦正文 Char1"/>
    <w:link w:val="2873"/>
    <w:qFormat/>
    <w:locked/>
    <w:uiPriority w:val="0"/>
    <w:rPr>
      <w:rFonts w:eastAsia="Times New Roman"/>
      <w:bCs/>
      <w:kern w:val="2"/>
      <w:sz w:val="24"/>
      <w:szCs w:val="22"/>
      <w:lang w:val="en-US" w:eastAsia="zh-CN" w:bidi="ar-SA"/>
    </w:rPr>
  </w:style>
  <w:style w:type="paragraph" w:customStyle="1" w:styleId="2873">
    <w:name w:val="君邦正文"/>
    <w:link w:val="2872"/>
    <w:qFormat/>
    <w:uiPriority w:val="0"/>
    <w:pPr>
      <w:snapToGrid w:val="0"/>
      <w:spacing w:after="60" w:line="360" w:lineRule="auto"/>
      <w:ind w:firstLine="480" w:firstLineChars="200"/>
      <w:jc w:val="both"/>
    </w:pPr>
    <w:rPr>
      <w:rFonts w:ascii="Times New Roman" w:hAnsi="Times New Roman" w:eastAsia="Times New Roman" w:cs="Times New Roman"/>
      <w:bCs/>
      <w:kern w:val="2"/>
      <w:sz w:val="24"/>
      <w:szCs w:val="22"/>
      <w:lang w:val="en-US" w:eastAsia="zh-CN" w:bidi="ar-SA"/>
    </w:rPr>
  </w:style>
  <w:style w:type="paragraph" w:customStyle="1" w:styleId="2874">
    <w:name w:val="CM100"/>
    <w:basedOn w:val="150"/>
    <w:next w:val="150"/>
    <w:semiHidden/>
    <w:qFormat/>
    <w:uiPriority w:val="0"/>
    <w:pPr>
      <w:spacing w:after="255"/>
    </w:pPr>
    <w:rPr>
      <w:rFonts w:ascii="宋体" w:eastAsia="宋体" w:cs="Times New Roman"/>
      <w:color w:val="auto"/>
    </w:rPr>
  </w:style>
  <w:style w:type="paragraph" w:customStyle="1" w:styleId="2875">
    <w:name w:val="7表格(治)"/>
    <w:semiHidden/>
    <w:qFormat/>
    <w:uiPriority w:val="0"/>
    <w:pPr>
      <w:jc w:val="center"/>
    </w:pPr>
    <w:rPr>
      <w:rFonts w:ascii="Arial" w:hAnsi="Arial" w:eastAsia="楷体_GB2312" w:cs="Times New Roman"/>
      <w:kern w:val="2"/>
      <w:sz w:val="21"/>
      <w:szCs w:val="24"/>
      <w:lang w:val="en-US" w:eastAsia="zh-CN" w:bidi="ar-SA"/>
    </w:rPr>
  </w:style>
  <w:style w:type="character" w:customStyle="1" w:styleId="2876">
    <w:name w:val="样式18 Char"/>
    <w:link w:val="1163"/>
    <w:qFormat/>
    <w:locked/>
    <w:uiPriority w:val="0"/>
    <w:rPr>
      <w:rFonts w:ascii="Arial" w:hAnsi="Arial" w:eastAsia="宋体" w:cs="宋体"/>
      <w:b/>
      <w:sz w:val="24"/>
      <w:szCs w:val="24"/>
      <w:lang w:bidi="ar-SA"/>
    </w:rPr>
  </w:style>
  <w:style w:type="paragraph" w:customStyle="1" w:styleId="2877">
    <w:name w:val="样式 样式1 + 居中"/>
    <w:basedOn w:val="1"/>
    <w:semiHidden/>
    <w:qFormat/>
    <w:uiPriority w:val="0"/>
    <w:pPr>
      <w:tabs>
        <w:tab w:val="clear" w:pos="480"/>
      </w:tabs>
      <w:spacing w:line="240" w:lineRule="auto"/>
      <w:jc w:val="center"/>
    </w:pPr>
    <w:rPr>
      <w:szCs w:val="20"/>
    </w:rPr>
  </w:style>
  <w:style w:type="paragraph" w:customStyle="1" w:styleId="2878">
    <w:name w:val="我的标题2"/>
    <w:basedOn w:val="1"/>
    <w:semiHidden/>
    <w:qFormat/>
    <w:uiPriority w:val="0"/>
    <w:pPr>
      <w:tabs>
        <w:tab w:val="clear" w:pos="480"/>
      </w:tabs>
      <w:spacing w:line="240" w:lineRule="auto"/>
      <w:ind w:firstLine="576" w:firstLineChars="192"/>
    </w:pPr>
    <w:rPr>
      <w:rFonts w:ascii="黑体" w:eastAsia="黑体"/>
      <w:sz w:val="30"/>
    </w:rPr>
  </w:style>
  <w:style w:type="paragraph" w:customStyle="1" w:styleId="2879">
    <w:name w:val="style24"/>
    <w:basedOn w:val="1"/>
    <w:semiHidden/>
    <w:qFormat/>
    <w:uiPriority w:val="0"/>
    <w:pPr>
      <w:widowControl/>
      <w:tabs>
        <w:tab w:val="clear" w:pos="480"/>
      </w:tabs>
      <w:spacing w:before="100" w:beforeAutospacing="1" w:after="100" w:afterAutospacing="1" w:line="240" w:lineRule="auto"/>
      <w:jc w:val="left"/>
    </w:pPr>
    <w:rPr>
      <w:rFonts w:ascii="宋体" w:hAnsi="宋体" w:cs="宋体"/>
      <w:kern w:val="0"/>
      <w:sz w:val="20"/>
      <w:szCs w:val="20"/>
    </w:rPr>
  </w:style>
  <w:style w:type="character" w:customStyle="1" w:styleId="2880">
    <w:name w:val="四级标题 Char"/>
    <w:link w:val="2881"/>
    <w:qFormat/>
    <w:locked/>
    <w:uiPriority w:val="0"/>
    <w:rPr>
      <w:rFonts w:ascii="宋体" w:hAnsi="宋体" w:eastAsia="宋体"/>
      <w:bCs/>
      <w:sz w:val="24"/>
      <w:szCs w:val="24"/>
      <w:lang w:bidi="ar-SA"/>
    </w:rPr>
  </w:style>
  <w:style w:type="paragraph" w:customStyle="1" w:styleId="2881">
    <w:name w:val="四级标题"/>
    <w:basedOn w:val="6"/>
    <w:link w:val="2880"/>
    <w:semiHidden/>
    <w:qFormat/>
    <w:uiPriority w:val="0"/>
    <w:pPr>
      <w:numPr>
        <w:ilvl w:val="0"/>
        <w:numId w:val="0"/>
      </w:numPr>
      <w:tabs>
        <w:tab w:val="clear" w:pos="480"/>
      </w:tabs>
      <w:spacing w:beforeLines="50" w:afterLines="50"/>
    </w:pPr>
    <w:rPr>
      <w:rFonts w:ascii="宋体" w:eastAsia="宋体"/>
      <w:b w:val="0"/>
      <w:kern w:val="0"/>
      <w:sz w:val="24"/>
      <w:szCs w:val="24"/>
    </w:rPr>
  </w:style>
  <w:style w:type="character" w:customStyle="1" w:styleId="2882">
    <w:name w:val="样式20 Char"/>
    <w:link w:val="1165"/>
    <w:qFormat/>
    <w:locked/>
    <w:uiPriority w:val="0"/>
    <w:rPr>
      <w:rFonts w:ascii="Arial" w:hAnsi="Arial" w:eastAsia="宋体" w:cs="宋体"/>
      <w:b/>
      <w:sz w:val="24"/>
      <w:szCs w:val="24"/>
      <w:lang w:bidi="ar-SA"/>
    </w:rPr>
  </w:style>
  <w:style w:type="paragraph" w:customStyle="1" w:styleId="2883">
    <w:name w:val="表中正文居中"/>
    <w:semiHidden/>
    <w:qFormat/>
    <w:uiPriority w:val="0"/>
    <w:pPr>
      <w:spacing w:before="120" w:after="120" w:line="240" w:lineRule="atLeast"/>
      <w:jc w:val="center"/>
    </w:pPr>
    <w:rPr>
      <w:rFonts w:ascii="宋体" w:hAnsi="Times New Roman" w:eastAsia="宋体" w:cs="Times New Roman"/>
      <w:kern w:val="2"/>
      <w:sz w:val="21"/>
      <w:szCs w:val="24"/>
      <w:lang w:val="en-US" w:eastAsia="zh-CN" w:bidi="ar-SA"/>
    </w:rPr>
  </w:style>
  <w:style w:type="paragraph" w:customStyle="1" w:styleId="2884">
    <w:name w:val="样式 标题 2 + 左侧:  1 字符 右侧:  0.25 厘米"/>
    <w:basedOn w:val="4"/>
    <w:semiHidden/>
    <w:qFormat/>
    <w:uiPriority w:val="0"/>
    <w:pPr>
      <w:keepLines w:val="0"/>
      <w:numPr>
        <w:ilvl w:val="0"/>
        <w:numId w:val="0"/>
      </w:numPr>
      <w:tabs>
        <w:tab w:val="left" w:pos="1230"/>
        <w:tab w:val="clear" w:pos="480"/>
        <w:tab w:val="clear" w:pos="630"/>
      </w:tabs>
      <w:spacing w:before="0" w:after="0"/>
      <w:ind w:left="210" w:leftChars="100" w:right="142" w:firstLine="318" w:firstLineChars="99"/>
      <w:jc w:val="left"/>
    </w:pPr>
    <w:rPr>
      <w:rFonts w:eastAsia="黑体"/>
      <w:bCs w:val="0"/>
      <w:kern w:val="0"/>
    </w:rPr>
  </w:style>
  <w:style w:type="paragraph" w:customStyle="1" w:styleId="2885">
    <w:name w:val="样式27"/>
    <w:basedOn w:val="205"/>
    <w:semiHidden/>
    <w:qFormat/>
    <w:uiPriority w:val="0"/>
    <w:pPr>
      <w:keepNext/>
      <w:keepLines/>
      <w:tabs>
        <w:tab w:val="left" w:pos="0"/>
        <w:tab w:val="left" w:pos="360"/>
        <w:tab w:val="left" w:pos="540"/>
      </w:tabs>
      <w:adjustRightInd/>
      <w:snapToGrid/>
      <w:spacing w:beforeLines="50" w:afterLines="50" w:line="360" w:lineRule="auto"/>
      <w:jc w:val="both"/>
      <w:outlineLvl w:val="1"/>
    </w:pPr>
    <w:rPr>
      <w:rFonts w:eastAsia="黑体"/>
      <w:b w:val="0"/>
      <w:color w:val="auto"/>
      <w:kern w:val="0"/>
      <w:sz w:val="28"/>
      <w:szCs w:val="28"/>
    </w:rPr>
  </w:style>
  <w:style w:type="paragraph" w:customStyle="1" w:styleId="2886">
    <w:name w:val="BIG BOLD"/>
    <w:basedOn w:val="1"/>
    <w:semiHidden/>
    <w:qFormat/>
    <w:uiPriority w:val="0"/>
    <w:pPr>
      <w:tabs>
        <w:tab w:val="left" w:leader="underscore" w:pos="1134"/>
        <w:tab w:val="clear" w:pos="480"/>
      </w:tabs>
      <w:spacing w:line="240" w:lineRule="auto"/>
    </w:pPr>
    <w:rPr>
      <w:szCs w:val="20"/>
    </w:rPr>
  </w:style>
  <w:style w:type="character" w:customStyle="1" w:styleId="2887">
    <w:name w:val="样式 首行缩进:  2 字符4 Char"/>
    <w:link w:val="2446"/>
    <w:qFormat/>
    <w:locked/>
    <w:uiPriority w:val="0"/>
    <w:rPr>
      <w:rFonts w:ascii="宋体" w:hAnsi="宋体" w:eastAsia="宋体"/>
      <w:kern w:val="2"/>
      <w:sz w:val="24"/>
      <w:szCs w:val="24"/>
      <w:lang w:val="en-US" w:eastAsia="zh-CN" w:bidi="ar-SA"/>
    </w:rPr>
  </w:style>
  <w:style w:type="paragraph" w:customStyle="1" w:styleId="2888">
    <w:name w:val="小表"/>
    <w:basedOn w:val="1"/>
    <w:semiHidden/>
    <w:qFormat/>
    <w:uiPriority w:val="0"/>
    <w:pPr>
      <w:tabs>
        <w:tab w:val="clear" w:pos="480"/>
      </w:tabs>
      <w:overflowPunct w:val="0"/>
      <w:autoSpaceDE w:val="0"/>
      <w:autoSpaceDN w:val="0"/>
      <w:adjustRightInd w:val="0"/>
      <w:spacing w:line="240" w:lineRule="auto"/>
      <w:jc w:val="center"/>
    </w:pPr>
    <w:rPr>
      <w:kern w:val="0"/>
      <w:szCs w:val="20"/>
    </w:rPr>
  </w:style>
  <w:style w:type="character" w:customStyle="1" w:styleId="2889">
    <w:name w:val="文本正文 Char"/>
    <w:link w:val="2890"/>
    <w:qFormat/>
    <w:locked/>
    <w:uiPriority w:val="0"/>
    <w:rPr>
      <w:rFonts w:ascii="宋体" w:hAnsi="宋体" w:eastAsia="宋体"/>
      <w:spacing w:val="4"/>
      <w:kern w:val="24"/>
      <w:sz w:val="24"/>
      <w:szCs w:val="24"/>
      <w:lang w:val="zh-CN" w:bidi="ar-SA"/>
    </w:rPr>
  </w:style>
  <w:style w:type="paragraph" w:customStyle="1" w:styleId="2890">
    <w:name w:val="文本正文"/>
    <w:basedOn w:val="1"/>
    <w:link w:val="2889"/>
    <w:qFormat/>
    <w:uiPriority w:val="0"/>
    <w:pPr>
      <w:tabs>
        <w:tab w:val="clear" w:pos="480"/>
      </w:tabs>
      <w:snapToGrid w:val="0"/>
      <w:ind w:firstLine="510"/>
      <w:jc w:val="left"/>
    </w:pPr>
    <w:rPr>
      <w:rFonts w:ascii="宋体" w:hAnsi="宋体"/>
      <w:spacing w:val="4"/>
      <w:kern w:val="24"/>
      <w:lang w:val="zh-CN"/>
    </w:rPr>
  </w:style>
  <w:style w:type="paragraph" w:customStyle="1" w:styleId="2891">
    <w:name w:val="标3"/>
    <w:basedOn w:val="5"/>
    <w:next w:val="1"/>
    <w:qFormat/>
    <w:uiPriority w:val="0"/>
    <w:pPr>
      <w:numPr>
        <w:ilvl w:val="0"/>
        <w:numId w:val="0"/>
      </w:numPr>
      <w:tabs>
        <w:tab w:val="clear" w:pos="480"/>
        <w:tab w:val="clear" w:pos="840"/>
      </w:tabs>
      <w:autoSpaceDE w:val="0"/>
      <w:autoSpaceDN w:val="0"/>
      <w:adjustRightInd w:val="0"/>
      <w:spacing w:beforeLines="50" w:after="0" w:line="360" w:lineRule="auto"/>
      <w:ind w:firstLine="560" w:firstLineChars="200"/>
      <w:outlineLvl w:val="9"/>
    </w:pPr>
    <w:rPr>
      <w:rFonts w:ascii="Times New Roman" w:eastAsia="黑体"/>
      <w:b w:val="0"/>
      <w:bCs w:val="0"/>
      <w:kern w:val="0"/>
      <w:sz w:val="28"/>
      <w:szCs w:val="20"/>
    </w:rPr>
  </w:style>
  <w:style w:type="paragraph" w:customStyle="1" w:styleId="2892">
    <w:name w:val="样式 黑体 小四 加粗 行距: 固定值 20 磅3"/>
    <w:basedOn w:val="1"/>
    <w:semiHidden/>
    <w:qFormat/>
    <w:uiPriority w:val="0"/>
    <w:pPr>
      <w:tabs>
        <w:tab w:val="clear" w:pos="480"/>
      </w:tabs>
      <w:spacing w:line="400" w:lineRule="exact"/>
    </w:pPr>
    <w:rPr>
      <w:rFonts w:ascii="黑体" w:eastAsia="黑体" w:cs="宋体"/>
      <w:b/>
      <w:bCs/>
      <w:sz w:val="28"/>
      <w:szCs w:val="20"/>
    </w:rPr>
  </w:style>
  <w:style w:type="paragraph" w:customStyle="1" w:styleId="2893">
    <w:name w:val="Char2 Char Char Char Char Char Char Char Char"/>
    <w:basedOn w:val="1"/>
    <w:semiHidden/>
    <w:qFormat/>
    <w:uiPriority w:val="0"/>
    <w:pPr>
      <w:tabs>
        <w:tab w:val="clear" w:pos="480"/>
      </w:tabs>
    </w:pPr>
    <w:rPr>
      <w:rFonts w:ascii="宋体" w:hAnsi="宋体" w:cs="宋体"/>
    </w:rPr>
  </w:style>
  <w:style w:type="paragraph" w:customStyle="1" w:styleId="2894">
    <w:name w:val="样2"/>
    <w:basedOn w:val="1"/>
    <w:next w:val="1"/>
    <w:semiHidden/>
    <w:qFormat/>
    <w:uiPriority w:val="0"/>
    <w:pPr>
      <w:tabs>
        <w:tab w:val="clear" w:pos="480"/>
      </w:tabs>
      <w:autoSpaceDE w:val="0"/>
      <w:autoSpaceDN w:val="0"/>
      <w:adjustRightInd w:val="0"/>
      <w:snapToGrid w:val="0"/>
      <w:spacing w:line="240" w:lineRule="auto"/>
      <w:jc w:val="center"/>
    </w:pPr>
    <w:rPr>
      <w:kern w:val="0"/>
      <w:szCs w:val="21"/>
    </w:rPr>
  </w:style>
  <w:style w:type="paragraph" w:customStyle="1" w:styleId="2895">
    <w:name w:val="样式 标题 4标题 14 + 自动设置"/>
    <w:basedOn w:val="6"/>
    <w:semiHidden/>
    <w:qFormat/>
    <w:uiPriority w:val="0"/>
    <w:pPr>
      <w:keepLines w:val="0"/>
      <w:numPr>
        <w:ilvl w:val="0"/>
        <w:numId w:val="0"/>
      </w:numPr>
      <w:tabs>
        <w:tab w:val="clear" w:pos="480"/>
      </w:tabs>
      <w:adjustRightInd w:val="0"/>
      <w:snapToGrid w:val="0"/>
      <w:spacing w:before="0" w:after="0" w:line="240" w:lineRule="auto"/>
    </w:pPr>
    <w:rPr>
      <w:rFonts w:ascii="Times New Roman" w:hAnsi="Times New Roman" w:eastAsia="黑体"/>
      <w:b w:val="0"/>
      <w:bCs w:val="0"/>
      <w:sz w:val="24"/>
      <w:szCs w:val="24"/>
      <w:u w:val="single"/>
    </w:rPr>
  </w:style>
  <w:style w:type="paragraph" w:customStyle="1" w:styleId="2896">
    <w:name w:val="环表头"/>
    <w:basedOn w:val="1"/>
    <w:next w:val="1"/>
    <w:semiHidden/>
    <w:qFormat/>
    <w:uiPriority w:val="0"/>
    <w:pPr>
      <w:widowControl/>
      <w:tabs>
        <w:tab w:val="clear" w:pos="480"/>
      </w:tabs>
      <w:suppressAutoHyphens/>
      <w:adjustRightInd w:val="0"/>
      <w:spacing w:before="60" w:after="60" w:line="312" w:lineRule="atLeast"/>
      <w:ind w:right="28"/>
      <w:jc w:val="center"/>
    </w:pPr>
    <w:rPr>
      <w:rFonts w:ascii="宋体" w:hAnsi="宋体" w:eastAsia="黑体"/>
      <w:kern w:val="0"/>
      <w:szCs w:val="20"/>
    </w:rPr>
  </w:style>
  <w:style w:type="paragraph" w:customStyle="1" w:styleId="2897">
    <w:name w:val="样式 正文文本缩进 3 + 12 磅 左侧:  2 字符"/>
    <w:basedOn w:val="70"/>
    <w:semiHidden/>
    <w:qFormat/>
    <w:uiPriority w:val="0"/>
    <w:pPr>
      <w:widowControl/>
      <w:spacing w:after="120"/>
      <w:ind w:firstLine="200"/>
      <w:jc w:val="left"/>
    </w:pPr>
    <w:rPr>
      <w:rFonts w:ascii="Calibri" w:hAnsi="Calibri" w:cs="PMingLiU"/>
      <w:kern w:val="0"/>
      <w:szCs w:val="20"/>
    </w:rPr>
  </w:style>
  <w:style w:type="paragraph" w:customStyle="1" w:styleId="2898">
    <w:name w:val="样式 小四 行距: 固定值 23 磅"/>
    <w:basedOn w:val="1"/>
    <w:link w:val="3274"/>
    <w:qFormat/>
    <w:uiPriority w:val="0"/>
    <w:pPr>
      <w:tabs>
        <w:tab w:val="left" w:pos="0"/>
        <w:tab w:val="left" w:pos="1620"/>
        <w:tab w:val="clear" w:pos="480"/>
      </w:tabs>
      <w:spacing w:line="240" w:lineRule="auto"/>
      <w:ind w:left="1620" w:leftChars="600" w:hanging="360" w:hangingChars="200"/>
    </w:pPr>
    <w:rPr>
      <w:sz w:val="28"/>
      <w:lang w:val="zh-CN"/>
    </w:rPr>
  </w:style>
  <w:style w:type="paragraph" w:customStyle="1" w:styleId="2899">
    <w:name w:val="我的标题3"/>
    <w:basedOn w:val="1"/>
    <w:semiHidden/>
    <w:qFormat/>
    <w:uiPriority w:val="0"/>
    <w:pPr>
      <w:tabs>
        <w:tab w:val="clear" w:pos="480"/>
      </w:tabs>
      <w:spacing w:line="460" w:lineRule="exact"/>
    </w:pPr>
    <w:rPr>
      <w:rFonts w:eastAsia="黑体"/>
      <w:sz w:val="28"/>
      <w:szCs w:val="28"/>
    </w:rPr>
  </w:style>
  <w:style w:type="paragraph" w:customStyle="1" w:styleId="2900">
    <w:name w:val="Losange 1"/>
    <w:basedOn w:val="2857"/>
    <w:semiHidden/>
    <w:qFormat/>
    <w:uiPriority w:val="0"/>
    <w:pPr>
      <w:ind w:left="1531" w:hanging="397"/>
    </w:pPr>
  </w:style>
  <w:style w:type="paragraph" w:customStyle="1" w:styleId="2901">
    <w:name w:val="样式 标题 2标题 21标题 121标题 2 Char1 Char节H2节标题 1.1节标题 1.1 Char...1"/>
    <w:basedOn w:val="4"/>
    <w:semiHidden/>
    <w:qFormat/>
    <w:uiPriority w:val="0"/>
    <w:pPr>
      <w:keepNext w:val="0"/>
      <w:keepLines w:val="0"/>
      <w:widowControl/>
      <w:numPr>
        <w:ilvl w:val="0"/>
        <w:numId w:val="0"/>
      </w:numPr>
      <w:tabs>
        <w:tab w:val="clear" w:pos="480"/>
        <w:tab w:val="clear" w:pos="630"/>
      </w:tabs>
      <w:adjustRightInd w:val="0"/>
      <w:spacing w:before="156" w:after="156" w:line="460" w:lineRule="exact"/>
      <w:jc w:val="left"/>
    </w:pPr>
    <w:rPr>
      <w:rFonts w:ascii="黑体" w:eastAsia="黑体" w:cs="宋体"/>
      <w:color w:val="000000"/>
      <w:kern w:val="0"/>
      <w:sz w:val="28"/>
      <w:szCs w:val="20"/>
    </w:rPr>
  </w:style>
  <w:style w:type="paragraph" w:customStyle="1" w:styleId="2902">
    <w:name w:val="表格(小)"/>
    <w:basedOn w:val="158"/>
    <w:semiHidden/>
    <w:qFormat/>
    <w:uiPriority w:val="0"/>
    <w:pPr>
      <w:adjustRightInd/>
      <w:snapToGrid w:val="0"/>
      <w:spacing w:line="240" w:lineRule="auto"/>
      <w:ind w:left="-140" w:leftChars="-50" w:right="-140" w:rightChars="-50"/>
      <w:jc w:val="center"/>
      <w:textAlignment w:val="auto"/>
    </w:pPr>
    <w:rPr>
      <w:rFonts w:hint="eastAsia" w:ascii="仿宋_GB2312" w:hAnsi="仿宋_GB2312" w:eastAsia="仿宋_GB2312"/>
      <w:sz w:val="15"/>
      <w:szCs w:val="30"/>
    </w:rPr>
  </w:style>
  <w:style w:type="paragraph" w:customStyle="1" w:styleId="2903">
    <w:name w:val="表列"/>
    <w:basedOn w:val="1"/>
    <w:semiHidden/>
    <w:qFormat/>
    <w:uiPriority w:val="0"/>
    <w:pPr>
      <w:tabs>
        <w:tab w:val="clear" w:pos="480"/>
      </w:tabs>
      <w:adjustRightInd w:val="0"/>
      <w:spacing w:line="240" w:lineRule="atLeast"/>
    </w:pPr>
    <w:rPr>
      <w:szCs w:val="20"/>
    </w:rPr>
  </w:style>
  <w:style w:type="paragraph" w:customStyle="1" w:styleId="2904">
    <w:name w:val="样式 四号 黑色 行距: 1.5 倍行距 首行缩进:  2 字符"/>
    <w:basedOn w:val="1"/>
    <w:qFormat/>
    <w:uiPriority w:val="0"/>
    <w:pPr>
      <w:tabs>
        <w:tab w:val="clear" w:pos="480"/>
      </w:tabs>
      <w:ind w:firstLine="560"/>
    </w:pPr>
    <w:rPr>
      <w:rFonts w:ascii="宋体" w:hAnsi="宋体" w:eastAsia="仿宋_GB2312" w:cs="宋体"/>
      <w:color w:val="000000"/>
      <w:sz w:val="28"/>
      <w:szCs w:val="20"/>
    </w:rPr>
  </w:style>
  <w:style w:type="paragraph" w:customStyle="1" w:styleId="2905">
    <w:name w:val="样式 标题 4标题 14 + 加粗 无下划线 自动设置 段前: 3 磅 段后: 10 磅2"/>
    <w:basedOn w:val="6"/>
    <w:semiHidden/>
    <w:qFormat/>
    <w:uiPriority w:val="0"/>
    <w:pPr>
      <w:keepLines w:val="0"/>
      <w:numPr>
        <w:ilvl w:val="0"/>
        <w:numId w:val="0"/>
      </w:numPr>
      <w:tabs>
        <w:tab w:val="left" w:pos="864"/>
        <w:tab w:val="left" w:pos="1680"/>
        <w:tab w:val="clear" w:pos="480"/>
      </w:tabs>
      <w:adjustRightInd w:val="0"/>
      <w:snapToGrid w:val="0"/>
      <w:spacing w:before="60" w:after="200" w:line="240" w:lineRule="auto"/>
      <w:ind w:left="1680" w:hanging="420"/>
    </w:pPr>
    <w:rPr>
      <w:rFonts w:ascii="Times New Roman" w:hAnsi="Times New Roman" w:eastAsia="宋体"/>
      <w:sz w:val="24"/>
      <w:szCs w:val="20"/>
    </w:rPr>
  </w:style>
  <w:style w:type="paragraph" w:customStyle="1" w:styleId="2906">
    <w:name w:val="样式 标题 2标题 2 Char Char + 宋体"/>
    <w:basedOn w:val="4"/>
    <w:semiHidden/>
    <w:qFormat/>
    <w:uiPriority w:val="0"/>
    <w:pPr>
      <w:keepLines w:val="0"/>
      <w:widowControl/>
      <w:numPr>
        <w:ilvl w:val="0"/>
        <w:numId w:val="0"/>
      </w:numPr>
      <w:tabs>
        <w:tab w:val="left" w:pos="786"/>
        <w:tab w:val="clear" w:pos="480"/>
        <w:tab w:val="clear" w:pos="630"/>
      </w:tabs>
      <w:overflowPunct w:val="0"/>
      <w:autoSpaceDE w:val="0"/>
      <w:autoSpaceDN w:val="0"/>
      <w:adjustRightInd w:val="0"/>
      <w:spacing w:before="240" w:after="240" w:line="440" w:lineRule="exact"/>
      <w:ind w:left="786" w:hanging="576"/>
      <w:jc w:val="left"/>
    </w:pPr>
    <w:rPr>
      <w:rFonts w:ascii="宋体" w:hAnsi="宋体"/>
      <w:bCs w:val="0"/>
      <w:kern w:val="28"/>
      <w:sz w:val="28"/>
      <w:szCs w:val="24"/>
    </w:rPr>
  </w:style>
  <w:style w:type="character" w:customStyle="1" w:styleId="2907">
    <w:name w:val="注释标题 Char1"/>
    <w:semiHidden/>
    <w:qFormat/>
    <w:uiPriority w:val="0"/>
    <w:rPr>
      <w:rFonts w:ascii="Times New Roman" w:hAnsi="Times New Roman" w:eastAsia="宋体" w:cs="Times New Roman"/>
      <w:sz w:val="24"/>
      <w:szCs w:val="24"/>
    </w:rPr>
  </w:style>
  <w:style w:type="character" w:customStyle="1" w:styleId="2908">
    <w:name w:val="表格字体 Char"/>
    <w:link w:val="2909"/>
    <w:qFormat/>
    <w:locked/>
    <w:uiPriority w:val="0"/>
    <w:rPr>
      <w:sz w:val="24"/>
      <w:szCs w:val="21"/>
      <w:lang w:bidi="ar-SA"/>
    </w:rPr>
  </w:style>
  <w:style w:type="paragraph" w:customStyle="1" w:styleId="2909">
    <w:name w:val="表格字体"/>
    <w:basedOn w:val="1"/>
    <w:link w:val="2908"/>
    <w:semiHidden/>
    <w:qFormat/>
    <w:uiPriority w:val="0"/>
    <w:pPr>
      <w:tabs>
        <w:tab w:val="clear" w:pos="480"/>
      </w:tabs>
      <w:spacing w:beforeLines="20" w:afterLines="20"/>
      <w:jc w:val="center"/>
    </w:pPr>
    <w:rPr>
      <w:kern w:val="0"/>
      <w:szCs w:val="21"/>
      <w:lang w:val="zh-CN"/>
    </w:rPr>
  </w:style>
  <w:style w:type="character" w:customStyle="1" w:styleId="2910">
    <w:name w:val="表头字体 Char1"/>
    <w:link w:val="2911"/>
    <w:qFormat/>
    <w:locked/>
    <w:uiPriority w:val="0"/>
    <w:rPr>
      <w:rFonts w:ascii="黑体" w:hAnsi="黑体" w:eastAsia="黑体"/>
      <w:b/>
      <w:bCs/>
      <w:sz w:val="24"/>
      <w:szCs w:val="24"/>
      <w:lang w:bidi="ar-SA"/>
    </w:rPr>
  </w:style>
  <w:style w:type="paragraph" w:customStyle="1" w:styleId="2911">
    <w:name w:val="表头字体"/>
    <w:basedOn w:val="6"/>
    <w:next w:val="1"/>
    <w:link w:val="2910"/>
    <w:semiHidden/>
    <w:qFormat/>
    <w:uiPriority w:val="0"/>
    <w:pPr>
      <w:keepNext w:val="0"/>
      <w:keepLines w:val="0"/>
      <w:numPr>
        <w:ilvl w:val="0"/>
        <w:numId w:val="0"/>
      </w:numPr>
      <w:tabs>
        <w:tab w:val="clear" w:pos="480"/>
      </w:tabs>
      <w:snapToGrid w:val="0"/>
      <w:spacing w:before="0" w:after="0" w:line="240" w:lineRule="auto"/>
      <w:jc w:val="center"/>
      <w:outlineLvl w:val="9"/>
    </w:pPr>
    <w:rPr>
      <w:rFonts w:ascii="黑体" w:hAnsi="黑体" w:eastAsia="黑体"/>
      <w:kern w:val="0"/>
      <w:sz w:val="24"/>
      <w:szCs w:val="24"/>
    </w:rPr>
  </w:style>
  <w:style w:type="paragraph" w:customStyle="1" w:styleId="2912">
    <w:name w:val="样式 列表 + 左侧:  0 厘米 悬挂缩进: 5.85 字符"/>
    <w:basedOn w:val="66"/>
    <w:semiHidden/>
    <w:qFormat/>
    <w:uiPriority w:val="0"/>
    <w:pPr>
      <w:autoSpaceDE w:val="0"/>
      <w:autoSpaceDN w:val="0"/>
      <w:adjustRightInd w:val="0"/>
      <w:ind w:left="0" w:firstLine="0" w:firstLineChars="0"/>
    </w:pPr>
    <w:rPr>
      <w:sz w:val="24"/>
      <w:szCs w:val="21"/>
      <w:lang w:val="zh-CN"/>
    </w:rPr>
  </w:style>
  <w:style w:type="paragraph" w:customStyle="1" w:styleId="2913">
    <w:name w:val="样式24"/>
    <w:basedOn w:val="1"/>
    <w:semiHidden/>
    <w:qFormat/>
    <w:uiPriority w:val="0"/>
    <w:pPr>
      <w:keepNext/>
      <w:keepLines/>
      <w:tabs>
        <w:tab w:val="left" w:pos="360"/>
        <w:tab w:val="left" w:pos="540"/>
        <w:tab w:val="left" w:pos="720"/>
        <w:tab w:val="clear" w:pos="480"/>
      </w:tabs>
      <w:spacing w:beforeLines="50" w:afterLines="50"/>
      <w:ind w:left="1296" w:hanging="1296"/>
      <w:outlineLvl w:val="1"/>
    </w:pPr>
    <w:rPr>
      <w:rFonts w:ascii="宋体" w:hAnsi="宋体" w:eastAsia="黑体"/>
      <w:sz w:val="28"/>
      <w:szCs w:val="28"/>
    </w:rPr>
  </w:style>
  <w:style w:type="paragraph" w:customStyle="1" w:styleId="2914">
    <w:name w:val="黄埔正文"/>
    <w:semiHidden/>
    <w:qFormat/>
    <w:uiPriority w:val="0"/>
    <w:pPr>
      <w:spacing w:beforeLines="50" w:line="440" w:lineRule="exact"/>
      <w:ind w:firstLine="480"/>
      <w:jc w:val="both"/>
    </w:pPr>
    <w:rPr>
      <w:rFonts w:ascii="宋体" w:hAnsi="Times New Roman" w:eastAsia="宋体" w:cs="Times New Roman"/>
      <w:color w:val="000000"/>
      <w:kern w:val="2"/>
      <w:sz w:val="24"/>
      <w:szCs w:val="24"/>
      <w:lang w:val="en-US" w:eastAsia="zh-CN" w:bidi="ar-SA"/>
    </w:rPr>
  </w:style>
  <w:style w:type="paragraph" w:customStyle="1" w:styleId="2915">
    <w:name w:val="样式 样式 标题 4标题 14 + 自动设置 + 无下划线"/>
    <w:basedOn w:val="2895"/>
    <w:semiHidden/>
    <w:qFormat/>
    <w:uiPriority w:val="0"/>
    <w:pPr>
      <w:tabs>
        <w:tab w:val="left" w:pos="425"/>
        <w:tab w:val="left" w:pos="1680"/>
      </w:tabs>
      <w:ind w:left="1680" w:hanging="420"/>
    </w:pPr>
    <w:rPr>
      <w:u w:val="none"/>
    </w:rPr>
  </w:style>
  <w:style w:type="paragraph" w:customStyle="1" w:styleId="2916">
    <w:name w:val="样1"/>
    <w:basedOn w:val="1"/>
    <w:semiHidden/>
    <w:qFormat/>
    <w:uiPriority w:val="0"/>
    <w:pPr>
      <w:tabs>
        <w:tab w:val="clear" w:pos="480"/>
      </w:tabs>
      <w:autoSpaceDE w:val="0"/>
      <w:autoSpaceDN w:val="0"/>
      <w:adjustRightInd w:val="0"/>
      <w:ind w:right="232"/>
      <w:jc w:val="center"/>
    </w:pPr>
    <w:rPr>
      <w:kern w:val="0"/>
      <w:szCs w:val="20"/>
    </w:rPr>
  </w:style>
  <w:style w:type="paragraph" w:customStyle="1" w:styleId="2917">
    <w:name w:val="bt2"/>
    <w:basedOn w:val="1"/>
    <w:semiHidden/>
    <w:qFormat/>
    <w:uiPriority w:val="0"/>
    <w:pPr>
      <w:widowControl/>
      <w:tabs>
        <w:tab w:val="clear" w:pos="480"/>
      </w:tabs>
      <w:spacing w:before="100" w:beforeAutospacing="1" w:after="100" w:afterAutospacing="1" w:line="400" w:lineRule="atLeast"/>
      <w:jc w:val="left"/>
    </w:pPr>
    <w:rPr>
      <w:rFonts w:ascii="黑体" w:hAnsi="宋体" w:eastAsia="黑体" w:cs="宋体"/>
      <w:kern w:val="0"/>
      <w:szCs w:val="21"/>
    </w:rPr>
  </w:style>
  <w:style w:type="paragraph" w:customStyle="1" w:styleId="2918">
    <w:name w:val="样式 宋体 首行缩进:  2 字符"/>
    <w:basedOn w:val="1"/>
    <w:semiHidden/>
    <w:qFormat/>
    <w:uiPriority w:val="0"/>
    <w:pPr>
      <w:tabs>
        <w:tab w:val="clear" w:pos="480"/>
      </w:tabs>
      <w:spacing w:line="240" w:lineRule="auto"/>
      <w:ind w:firstLine="560"/>
    </w:pPr>
    <w:rPr>
      <w:rFonts w:cs="宋体"/>
      <w:sz w:val="28"/>
      <w:szCs w:val="28"/>
    </w:rPr>
  </w:style>
  <w:style w:type="paragraph" w:customStyle="1" w:styleId="2919">
    <w:name w:val="报告1"/>
    <w:basedOn w:val="1"/>
    <w:semiHidden/>
    <w:qFormat/>
    <w:uiPriority w:val="0"/>
    <w:pPr>
      <w:tabs>
        <w:tab w:val="clear" w:pos="480"/>
      </w:tabs>
      <w:overflowPunct w:val="0"/>
      <w:autoSpaceDE w:val="0"/>
      <w:autoSpaceDN w:val="0"/>
      <w:adjustRightInd w:val="0"/>
      <w:spacing w:before="60" w:after="60" w:line="400" w:lineRule="atLeast"/>
      <w:ind w:firstLine="360" w:firstLineChars="150"/>
      <w:jc w:val="left"/>
    </w:pPr>
    <w:rPr>
      <w:kern w:val="0"/>
      <w:szCs w:val="20"/>
    </w:rPr>
  </w:style>
  <w:style w:type="paragraph" w:customStyle="1" w:styleId="2920">
    <w:name w:val="样式 正文缩进正文缩进 Char表格标题标题4正文不缩进s4正文2首行缩进两字正文缩进1 + 首行缩进:  2 ..."/>
    <w:basedOn w:val="21"/>
    <w:semiHidden/>
    <w:qFormat/>
    <w:uiPriority w:val="0"/>
    <w:pPr>
      <w:tabs>
        <w:tab w:val="clear" w:pos="480"/>
      </w:tabs>
      <w:ind w:firstLine="480"/>
    </w:pPr>
    <w:rPr>
      <w:rFonts w:ascii="宋体" w:hAnsi="宋体"/>
      <w:kern w:val="0"/>
      <w:szCs w:val="20"/>
    </w:rPr>
  </w:style>
  <w:style w:type="paragraph" w:customStyle="1" w:styleId="2921">
    <w:name w:val="样式 标题 2标题 21标题 121 + Times New Roman 小三 非加粗 黑色 段前: 8 磅 段...2"/>
    <w:basedOn w:val="4"/>
    <w:semiHidden/>
    <w:qFormat/>
    <w:uiPriority w:val="0"/>
    <w:pPr>
      <w:numPr>
        <w:ilvl w:val="0"/>
        <w:numId w:val="0"/>
      </w:numPr>
      <w:tabs>
        <w:tab w:val="left" w:pos="360"/>
        <w:tab w:val="clear" w:pos="480"/>
        <w:tab w:val="clear" w:pos="630"/>
      </w:tabs>
      <w:spacing w:before="160" w:after="160" w:line="240" w:lineRule="auto"/>
      <w:ind w:left="360" w:hanging="360" w:hangingChars="200"/>
    </w:pPr>
    <w:rPr>
      <w:rFonts w:eastAsia="黑体"/>
      <w:bCs w:val="0"/>
      <w:color w:val="000000"/>
      <w:kern w:val="0"/>
      <w:sz w:val="30"/>
      <w:szCs w:val="20"/>
    </w:rPr>
  </w:style>
  <w:style w:type="paragraph" w:customStyle="1" w:styleId="2922">
    <w:name w:val="样式 标题 1标题 11一、 + Times New Roman 行距: 固定值 23 磅"/>
    <w:basedOn w:val="3"/>
    <w:semiHidden/>
    <w:qFormat/>
    <w:uiPriority w:val="0"/>
    <w:pPr>
      <w:numPr>
        <w:numId w:val="0"/>
      </w:numPr>
      <w:tabs>
        <w:tab w:val="clear" w:pos="480"/>
      </w:tabs>
      <w:spacing w:before="0" w:after="0" w:line="460" w:lineRule="exact"/>
    </w:pPr>
    <w:rPr>
      <w:rFonts w:ascii="黑体" w:eastAsia="黑体" w:cs="宋体"/>
      <w:b w:val="0"/>
      <w:sz w:val="32"/>
      <w:szCs w:val="32"/>
    </w:rPr>
  </w:style>
  <w:style w:type="character" w:customStyle="1" w:styleId="2923">
    <w:name w:val="表格题名 Char"/>
    <w:link w:val="2924"/>
    <w:qFormat/>
    <w:locked/>
    <w:uiPriority w:val="0"/>
    <w:rPr>
      <w:rFonts w:ascii="黑体" w:hAnsi="黑体" w:eastAsia="黑体"/>
      <w:b/>
      <w:sz w:val="24"/>
      <w:lang w:bidi="ar-SA"/>
    </w:rPr>
  </w:style>
  <w:style w:type="paragraph" w:customStyle="1" w:styleId="2924">
    <w:name w:val="表格题名"/>
    <w:basedOn w:val="1"/>
    <w:link w:val="2923"/>
    <w:semiHidden/>
    <w:qFormat/>
    <w:uiPriority w:val="0"/>
    <w:pPr>
      <w:tabs>
        <w:tab w:val="clear" w:pos="480"/>
      </w:tabs>
      <w:adjustRightInd w:val="0"/>
      <w:spacing w:before="93" w:after="93"/>
      <w:jc w:val="center"/>
    </w:pPr>
    <w:rPr>
      <w:rFonts w:ascii="黑体" w:hAnsi="黑体" w:eastAsia="黑体"/>
      <w:b/>
      <w:kern w:val="0"/>
      <w:szCs w:val="20"/>
      <w:lang w:val="zh-CN"/>
    </w:rPr>
  </w:style>
  <w:style w:type="paragraph" w:customStyle="1" w:styleId="2925">
    <w:name w:val="样式 标题 2标题 21标题 121 + Times New Roman 小三 非加粗 黑色 段前: 8 磅 段...1"/>
    <w:basedOn w:val="4"/>
    <w:semiHidden/>
    <w:qFormat/>
    <w:uiPriority w:val="0"/>
    <w:pPr>
      <w:numPr>
        <w:ilvl w:val="0"/>
        <w:numId w:val="0"/>
      </w:numPr>
      <w:tabs>
        <w:tab w:val="left" w:pos="1279"/>
        <w:tab w:val="clear" w:pos="480"/>
        <w:tab w:val="clear" w:pos="630"/>
      </w:tabs>
      <w:spacing w:before="160" w:after="160" w:line="240" w:lineRule="auto"/>
      <w:ind w:left="1279" w:hanging="420"/>
    </w:pPr>
    <w:rPr>
      <w:rFonts w:eastAsia="黑体"/>
      <w:bCs w:val="0"/>
      <w:color w:val="000000"/>
      <w:kern w:val="0"/>
      <w:sz w:val="30"/>
      <w:szCs w:val="20"/>
    </w:rPr>
  </w:style>
  <w:style w:type="paragraph" w:customStyle="1" w:styleId="2926">
    <w:name w:val="91"/>
    <w:basedOn w:val="1"/>
    <w:semiHidden/>
    <w:qFormat/>
    <w:uiPriority w:val="0"/>
    <w:pPr>
      <w:keepNext/>
      <w:tabs>
        <w:tab w:val="clear" w:pos="480"/>
      </w:tabs>
      <w:spacing w:before="93" w:after="93"/>
    </w:pPr>
    <w:rPr>
      <w:szCs w:val="20"/>
    </w:rPr>
  </w:style>
  <w:style w:type="paragraph" w:customStyle="1" w:styleId="2927">
    <w:name w:val="样式 标题 3标题 13标题 3 Char1 Char Char Char标题 31ReHead 3 WSAh3B..."/>
    <w:basedOn w:val="5"/>
    <w:semiHidden/>
    <w:qFormat/>
    <w:uiPriority w:val="0"/>
    <w:pPr>
      <w:numPr>
        <w:ilvl w:val="0"/>
        <w:numId w:val="0"/>
      </w:numPr>
      <w:tabs>
        <w:tab w:val="clear" w:pos="480"/>
        <w:tab w:val="clear" w:pos="840"/>
      </w:tabs>
      <w:spacing w:beforeLines="50" w:afterLines="50" w:line="460" w:lineRule="exact"/>
    </w:pPr>
    <w:rPr>
      <w:rFonts w:ascii="Times New Roman" w:eastAsia="宋体" w:cs="宋体"/>
      <w:color w:val="000000"/>
      <w:sz w:val="24"/>
      <w:szCs w:val="20"/>
    </w:rPr>
  </w:style>
  <w:style w:type="paragraph" w:customStyle="1" w:styleId="2928">
    <w:name w:val="样式 标题 3 + 宋体 Char Char Char"/>
    <w:basedOn w:val="5"/>
    <w:semiHidden/>
    <w:qFormat/>
    <w:uiPriority w:val="0"/>
    <w:pPr>
      <w:numPr>
        <w:ilvl w:val="0"/>
        <w:numId w:val="0"/>
      </w:numPr>
      <w:tabs>
        <w:tab w:val="clear" w:pos="480"/>
        <w:tab w:val="clear" w:pos="840"/>
      </w:tabs>
      <w:adjustRightInd w:val="0"/>
      <w:spacing w:before="240" w:after="240" w:line="240" w:lineRule="auto"/>
      <w:jc w:val="left"/>
      <w:outlineLvl w:val="0"/>
    </w:pPr>
    <w:rPr>
      <w:rFonts w:ascii="Times New Roman" w:eastAsia="宋体"/>
      <w:b w:val="0"/>
      <w:bCs w:val="0"/>
      <w:kern w:val="28"/>
      <w:sz w:val="24"/>
      <w:szCs w:val="24"/>
    </w:rPr>
  </w:style>
  <w:style w:type="paragraph" w:customStyle="1" w:styleId="2929">
    <w:name w:val="真宗兴正文"/>
    <w:basedOn w:val="1"/>
    <w:qFormat/>
    <w:uiPriority w:val="0"/>
    <w:pPr>
      <w:tabs>
        <w:tab w:val="clear" w:pos="480"/>
      </w:tabs>
      <w:overflowPunct w:val="0"/>
      <w:autoSpaceDE w:val="0"/>
      <w:autoSpaceDN w:val="0"/>
      <w:adjustRightInd w:val="0"/>
      <w:snapToGrid w:val="0"/>
      <w:spacing w:beforeLines="30" w:afterLines="30"/>
      <w:ind w:firstLine="480"/>
    </w:pPr>
    <w:rPr>
      <w:szCs w:val="20"/>
    </w:rPr>
  </w:style>
  <w:style w:type="character" w:customStyle="1" w:styleId="2930">
    <w:name w:val="样式25 Char"/>
    <w:link w:val="2931"/>
    <w:qFormat/>
    <w:locked/>
    <w:uiPriority w:val="0"/>
    <w:rPr>
      <w:sz w:val="24"/>
      <w:szCs w:val="28"/>
      <w:lang w:bidi="ar-SA"/>
    </w:rPr>
  </w:style>
  <w:style w:type="paragraph" w:customStyle="1" w:styleId="2931">
    <w:name w:val="样式25"/>
    <w:basedOn w:val="1"/>
    <w:link w:val="2930"/>
    <w:semiHidden/>
    <w:qFormat/>
    <w:uiPriority w:val="0"/>
    <w:pPr>
      <w:keepNext/>
      <w:keepLines/>
      <w:tabs>
        <w:tab w:val="left" w:pos="720"/>
        <w:tab w:val="clear" w:pos="480"/>
      </w:tabs>
      <w:spacing w:beforeLines="50" w:afterLines="50"/>
      <w:outlineLvl w:val="3"/>
    </w:pPr>
    <w:rPr>
      <w:kern w:val="0"/>
      <w:szCs w:val="28"/>
      <w:lang w:val="zh-CN"/>
    </w:rPr>
  </w:style>
  <w:style w:type="paragraph" w:customStyle="1" w:styleId="2932">
    <w:name w:val="正文标准样式"/>
    <w:basedOn w:val="1"/>
    <w:semiHidden/>
    <w:qFormat/>
    <w:uiPriority w:val="0"/>
    <w:pPr>
      <w:tabs>
        <w:tab w:val="clear" w:pos="480"/>
      </w:tabs>
      <w:adjustRightInd w:val="0"/>
      <w:spacing w:line="300" w:lineRule="auto"/>
      <w:ind w:firstLine="482"/>
    </w:pPr>
    <w:rPr>
      <w:kern w:val="0"/>
      <w:szCs w:val="20"/>
    </w:rPr>
  </w:style>
  <w:style w:type="character" w:customStyle="1" w:styleId="2933">
    <w:name w:val="样式14 Char"/>
    <w:link w:val="1159"/>
    <w:qFormat/>
    <w:locked/>
    <w:uiPriority w:val="0"/>
    <w:rPr>
      <w:rFonts w:ascii="Arial" w:hAnsi="Arial" w:eastAsia="黑体" w:cs="宋体"/>
      <w:b/>
      <w:bCs/>
      <w:sz w:val="32"/>
      <w:szCs w:val="24"/>
      <w:lang w:bidi="ar-SA"/>
    </w:rPr>
  </w:style>
  <w:style w:type="paragraph" w:customStyle="1" w:styleId="2934">
    <w:name w:val="样式 标题 1标题 11一、标题 1 Char章 + Times New Roman 小三 非加粗 黑色 行距:..."/>
    <w:basedOn w:val="3"/>
    <w:semiHidden/>
    <w:qFormat/>
    <w:uiPriority w:val="0"/>
    <w:pPr>
      <w:numPr>
        <w:numId w:val="0"/>
      </w:numPr>
      <w:tabs>
        <w:tab w:val="clear" w:pos="480"/>
      </w:tabs>
      <w:spacing w:before="0" w:after="0" w:line="460" w:lineRule="exact"/>
    </w:pPr>
    <w:rPr>
      <w:rFonts w:ascii="Times New Roman" w:eastAsia="黑体" w:cs="宋体"/>
      <w:b w:val="0"/>
      <w:bCs w:val="0"/>
      <w:color w:val="000000"/>
      <w:sz w:val="30"/>
      <w:szCs w:val="20"/>
    </w:rPr>
  </w:style>
  <w:style w:type="paragraph" w:customStyle="1" w:styleId="2935">
    <w:name w:val="标题附件2"/>
    <w:basedOn w:val="35"/>
    <w:semiHidden/>
    <w:qFormat/>
    <w:uiPriority w:val="0"/>
    <w:pPr>
      <w:tabs>
        <w:tab w:val="clear" w:pos="480"/>
      </w:tabs>
      <w:spacing w:beforeLines="50" w:afterLines="50" w:line="240" w:lineRule="auto"/>
      <w:ind w:firstLine="171" w:firstLineChars="171"/>
    </w:pPr>
    <w:rPr>
      <w:rFonts w:ascii="Calibri" w:hAnsi="Calibri" w:eastAsia="黑体"/>
      <w:kern w:val="0"/>
      <w:sz w:val="28"/>
    </w:rPr>
  </w:style>
  <w:style w:type="paragraph" w:customStyle="1" w:styleId="2936">
    <w:name w:val="Char Char Char3 Char Char Char Char Char Char Char Char Char Char Char Char Char Char Char"/>
    <w:basedOn w:val="1"/>
    <w:semiHidden/>
    <w:qFormat/>
    <w:uiPriority w:val="0"/>
    <w:pPr>
      <w:tabs>
        <w:tab w:val="clear" w:pos="480"/>
      </w:tabs>
      <w:spacing w:line="240" w:lineRule="auto"/>
    </w:pPr>
    <w:rPr>
      <w:sz w:val="21"/>
    </w:rPr>
  </w:style>
  <w:style w:type="character" w:customStyle="1" w:styleId="2937">
    <w:name w:val="样式17 Char"/>
    <w:link w:val="1162"/>
    <w:qFormat/>
    <w:locked/>
    <w:uiPriority w:val="0"/>
    <w:rPr>
      <w:rFonts w:ascii="宋体" w:hAnsi="宋体" w:eastAsia="宋体" w:cs="宋体"/>
      <w:b/>
      <w:sz w:val="24"/>
      <w:szCs w:val="24"/>
      <w:lang w:bidi="ar-SA"/>
    </w:rPr>
  </w:style>
  <w:style w:type="character" w:customStyle="1" w:styleId="2938">
    <w:name w:val="表内格式 Char"/>
    <w:link w:val="2939"/>
    <w:qFormat/>
    <w:locked/>
    <w:uiPriority w:val="0"/>
    <w:rPr>
      <w:sz w:val="18"/>
      <w:lang w:bidi="ar-SA"/>
    </w:rPr>
  </w:style>
  <w:style w:type="paragraph" w:customStyle="1" w:styleId="2939">
    <w:name w:val="表内格式"/>
    <w:basedOn w:val="1"/>
    <w:link w:val="2938"/>
    <w:qFormat/>
    <w:uiPriority w:val="0"/>
    <w:pPr>
      <w:tabs>
        <w:tab w:val="clear" w:pos="480"/>
      </w:tabs>
      <w:spacing w:line="240" w:lineRule="auto"/>
      <w:jc w:val="center"/>
    </w:pPr>
    <w:rPr>
      <w:kern w:val="0"/>
      <w:sz w:val="18"/>
      <w:szCs w:val="20"/>
      <w:lang w:val="zh-CN"/>
    </w:rPr>
  </w:style>
  <w:style w:type="paragraph" w:customStyle="1" w:styleId="2940">
    <w:name w:val="样式 样式 标题 3标题 13标题 3 Char1 Char Char Char标题 31ReHead 3 WSAh3B... ...2"/>
    <w:basedOn w:val="2927"/>
    <w:semiHidden/>
    <w:qFormat/>
    <w:uiPriority w:val="0"/>
    <w:pPr>
      <w:spacing w:beforeLines="0" w:afterLines="0"/>
    </w:pPr>
  </w:style>
  <w:style w:type="paragraph" w:customStyle="1" w:styleId="2941">
    <w:name w:val="目录 21"/>
    <w:basedOn w:val="1"/>
    <w:next w:val="1"/>
    <w:semiHidden/>
    <w:qFormat/>
    <w:uiPriority w:val="0"/>
    <w:pPr>
      <w:tabs>
        <w:tab w:val="clear" w:pos="480"/>
      </w:tabs>
      <w:spacing w:line="240" w:lineRule="auto"/>
      <w:ind w:left="210"/>
      <w:jc w:val="left"/>
    </w:pPr>
    <w:rPr>
      <w:smallCaps/>
      <w:szCs w:val="20"/>
    </w:rPr>
  </w:style>
  <w:style w:type="paragraph" w:customStyle="1" w:styleId="2942">
    <w:name w:val="样式 标题 2标题 21标题 121标题 2 Char1 Char节H2节标题 1.1节标题 1.1 Char..."/>
    <w:basedOn w:val="4"/>
    <w:semiHidden/>
    <w:qFormat/>
    <w:uiPriority w:val="0"/>
    <w:pPr>
      <w:keepNext w:val="0"/>
      <w:keepLines w:val="0"/>
      <w:widowControl/>
      <w:numPr>
        <w:ilvl w:val="0"/>
        <w:numId w:val="0"/>
      </w:numPr>
      <w:tabs>
        <w:tab w:val="clear" w:pos="480"/>
        <w:tab w:val="clear" w:pos="630"/>
      </w:tabs>
      <w:adjustRightInd w:val="0"/>
      <w:spacing w:before="100" w:after="100" w:line="460" w:lineRule="exact"/>
      <w:jc w:val="left"/>
    </w:pPr>
    <w:rPr>
      <w:rFonts w:eastAsia="黑体" w:cs="宋体"/>
      <w:color w:val="000000"/>
      <w:kern w:val="0"/>
      <w:sz w:val="28"/>
      <w:szCs w:val="20"/>
    </w:rPr>
  </w:style>
  <w:style w:type="paragraph" w:customStyle="1" w:styleId="2943">
    <w:name w:val="样式 标题 3 + 宋体"/>
    <w:basedOn w:val="5"/>
    <w:semiHidden/>
    <w:qFormat/>
    <w:uiPriority w:val="0"/>
    <w:pPr>
      <w:numPr>
        <w:ilvl w:val="0"/>
        <w:numId w:val="0"/>
      </w:numPr>
      <w:tabs>
        <w:tab w:val="left" w:pos="1035"/>
        <w:tab w:val="clear" w:pos="480"/>
        <w:tab w:val="clear" w:pos="840"/>
      </w:tabs>
      <w:adjustRightInd w:val="0"/>
      <w:spacing w:after="120" w:line="416" w:lineRule="atLeast"/>
      <w:ind w:left="1035" w:hanging="1035"/>
    </w:pPr>
    <w:rPr>
      <w:rFonts w:ascii="宋体" w:hAnsi="宋体" w:eastAsia="宋体"/>
      <w:b w:val="0"/>
      <w:bCs w:val="0"/>
      <w:color w:val="000000"/>
      <w:kern w:val="28"/>
      <w:sz w:val="28"/>
      <w:szCs w:val="24"/>
    </w:rPr>
  </w:style>
  <w:style w:type="paragraph" w:customStyle="1" w:styleId="2944">
    <w:name w:val="样式 黑体 小四 加粗 行距: 固定值 20 磅2"/>
    <w:basedOn w:val="1"/>
    <w:semiHidden/>
    <w:qFormat/>
    <w:uiPriority w:val="0"/>
    <w:pPr>
      <w:tabs>
        <w:tab w:val="clear" w:pos="480"/>
      </w:tabs>
      <w:spacing w:line="400" w:lineRule="exact"/>
    </w:pPr>
    <w:rPr>
      <w:rFonts w:ascii="黑体" w:eastAsia="黑体" w:cs="宋体"/>
      <w:b/>
      <w:bCs/>
      <w:sz w:val="28"/>
      <w:szCs w:val="20"/>
    </w:rPr>
  </w:style>
  <w:style w:type="paragraph" w:customStyle="1" w:styleId="2945">
    <w:name w:val="样式 样式 标题 4 + (西文) Times New Roman (中文) 楷体_GB2312 段前: 0 磅 段后: 0 磅..."/>
    <w:basedOn w:val="1"/>
    <w:semiHidden/>
    <w:qFormat/>
    <w:uiPriority w:val="0"/>
    <w:pPr>
      <w:keepNext/>
      <w:keepLines/>
      <w:tabs>
        <w:tab w:val="clear" w:pos="480"/>
      </w:tabs>
      <w:spacing w:beforeLines="50" w:afterLines="50"/>
      <w:jc w:val="left"/>
      <w:outlineLvl w:val="3"/>
    </w:pPr>
    <w:rPr>
      <w:rFonts w:eastAsia="楷体_GB2312" w:cs="宋体"/>
      <w:b/>
      <w:bCs/>
      <w:szCs w:val="20"/>
    </w:rPr>
  </w:style>
  <w:style w:type="paragraph" w:customStyle="1" w:styleId="2946">
    <w:name w:val="样式 标题 2标题节标题 1.1SeHead wsa2节H2标题 2 Char Char Char Char Ch..."/>
    <w:basedOn w:val="4"/>
    <w:semiHidden/>
    <w:qFormat/>
    <w:uiPriority w:val="0"/>
    <w:pPr>
      <w:numPr>
        <w:ilvl w:val="0"/>
        <w:numId w:val="0"/>
      </w:numPr>
      <w:tabs>
        <w:tab w:val="clear" w:pos="480"/>
        <w:tab w:val="clear" w:pos="630"/>
      </w:tabs>
      <w:spacing w:before="0" w:after="0" w:line="240" w:lineRule="auto"/>
      <w:jc w:val="center"/>
    </w:pPr>
    <w:rPr>
      <w:rFonts w:eastAsia="楷体_GB2312"/>
      <w:b w:val="0"/>
      <w:kern w:val="0"/>
      <w:sz w:val="24"/>
      <w:szCs w:val="20"/>
    </w:rPr>
  </w:style>
  <w:style w:type="character" w:customStyle="1" w:styleId="2947">
    <w:name w:val="p14"/>
    <w:basedOn w:val="132"/>
    <w:semiHidden/>
    <w:qFormat/>
    <w:uiPriority w:val="0"/>
  </w:style>
  <w:style w:type="character" w:customStyle="1" w:styleId="2948">
    <w:name w:val="style161"/>
    <w:semiHidden/>
    <w:qFormat/>
    <w:uiPriority w:val="0"/>
    <w:rPr>
      <w:b/>
      <w:bCs/>
      <w:color w:val="FF0000"/>
    </w:rPr>
  </w:style>
  <w:style w:type="character" w:customStyle="1" w:styleId="2949">
    <w:name w:val="批注框文本 Char1"/>
    <w:semiHidden/>
    <w:qFormat/>
    <w:uiPriority w:val="0"/>
    <w:rPr>
      <w:rFonts w:ascii="Times New Roman" w:hAnsi="Times New Roman" w:eastAsia="宋体" w:cs="Times New Roman"/>
      <w:sz w:val="18"/>
      <w:szCs w:val="18"/>
    </w:rPr>
  </w:style>
  <w:style w:type="character" w:customStyle="1" w:styleId="2950">
    <w:name w:val="批注主题 Char1"/>
    <w:qFormat/>
    <w:uiPriority w:val="0"/>
    <w:rPr>
      <w:rFonts w:ascii="Times New Roman" w:hAnsi="Times New Roman" w:eastAsia="宋体" w:cs="Times New Roman"/>
      <w:b/>
      <w:bCs/>
      <w:szCs w:val="24"/>
    </w:rPr>
  </w:style>
  <w:style w:type="character" w:customStyle="1" w:styleId="2951">
    <w:name w:val="read-text121"/>
    <w:semiHidden/>
    <w:qFormat/>
    <w:uiPriority w:val="0"/>
    <w:rPr>
      <w:color w:val="000000"/>
      <w:sz w:val="21"/>
      <w:szCs w:val="21"/>
      <w:u w:val="none"/>
    </w:rPr>
  </w:style>
  <w:style w:type="character" w:customStyle="1" w:styleId="2952">
    <w:name w:val="z5"/>
    <w:basedOn w:val="132"/>
    <w:semiHidden/>
    <w:qFormat/>
    <w:uiPriority w:val="0"/>
  </w:style>
  <w:style w:type="character" w:customStyle="1" w:styleId="2953">
    <w:name w:val="hangju3"/>
    <w:semiHidden/>
    <w:qFormat/>
    <w:uiPriority w:val="0"/>
    <w:rPr>
      <w:sz w:val="19"/>
      <w:szCs w:val="19"/>
    </w:rPr>
  </w:style>
  <w:style w:type="character" w:customStyle="1" w:styleId="2954">
    <w:name w:val="viewthreadtxt"/>
    <w:basedOn w:val="132"/>
    <w:semiHidden/>
    <w:qFormat/>
    <w:uiPriority w:val="0"/>
  </w:style>
  <w:style w:type="character" w:customStyle="1" w:styleId="2955">
    <w:name w:val="f121"/>
    <w:semiHidden/>
    <w:qFormat/>
    <w:uiPriority w:val="0"/>
    <w:rPr>
      <w:rFonts w:hint="default"/>
      <w:sz w:val="18"/>
      <w:szCs w:val="18"/>
    </w:rPr>
  </w:style>
  <w:style w:type="character" w:customStyle="1" w:styleId="2956">
    <w:name w:val="javascript1"/>
    <w:semiHidden/>
    <w:qFormat/>
    <w:uiPriority w:val="0"/>
    <w:rPr>
      <w:rFonts w:hint="default" w:ascii="Tahoma" w:hAnsi="Tahoma" w:cs="Tahoma"/>
      <w:sz w:val="18"/>
      <w:szCs w:val="18"/>
    </w:rPr>
  </w:style>
  <w:style w:type="character" w:customStyle="1" w:styleId="2957">
    <w:name w:val="f_heading1"/>
    <w:basedOn w:val="132"/>
    <w:semiHidden/>
    <w:qFormat/>
    <w:uiPriority w:val="0"/>
  </w:style>
  <w:style w:type="character" w:customStyle="1" w:styleId="2958">
    <w:name w:val="fj11"/>
    <w:semiHidden/>
    <w:qFormat/>
    <w:uiPriority w:val="0"/>
    <w:rPr>
      <w:rFonts w:hint="eastAsia" w:ascii="宋体" w:hAnsi="宋体" w:eastAsia="宋体"/>
      <w:sz w:val="21"/>
      <w:szCs w:val="21"/>
    </w:rPr>
  </w:style>
  <w:style w:type="character" w:customStyle="1" w:styleId="2959">
    <w:name w:val="text-h21"/>
    <w:semiHidden/>
    <w:qFormat/>
    <w:uiPriority w:val="0"/>
    <w:rPr>
      <w:rFonts w:hint="default" w:ascii="Tahoma" w:hAnsi="Tahoma" w:cs="Tahoma"/>
      <w:color w:val="333333"/>
      <w:sz w:val="18"/>
      <w:szCs w:val="18"/>
    </w:rPr>
  </w:style>
  <w:style w:type="character" w:customStyle="1" w:styleId="2960">
    <w:name w:val="index"/>
    <w:semiHidden/>
    <w:qFormat/>
    <w:uiPriority w:val="0"/>
    <w:rPr>
      <w:rFonts w:hint="default" w:ascii="Verdana" w:hAnsi="Verdana" w:eastAsia="仿宋_GB2312"/>
      <w:sz w:val="24"/>
      <w:lang w:val="en-US" w:eastAsia="en-US" w:bidi="ar-SA"/>
    </w:rPr>
  </w:style>
  <w:style w:type="character" w:customStyle="1" w:styleId="2961">
    <w:name w:val="style111"/>
    <w:semiHidden/>
    <w:qFormat/>
    <w:uiPriority w:val="0"/>
    <w:rPr>
      <w:rFonts w:hint="default" w:ascii="Verdana" w:hAnsi="Verdana" w:eastAsia="仿宋_GB2312"/>
      <w:sz w:val="28"/>
      <w:szCs w:val="28"/>
      <w:lang w:val="en-US" w:eastAsia="en-US" w:bidi="ar-SA"/>
    </w:rPr>
  </w:style>
  <w:style w:type="character" w:customStyle="1" w:styleId="2962">
    <w:name w:val="w"/>
    <w:basedOn w:val="132"/>
    <w:semiHidden/>
    <w:qFormat/>
    <w:uiPriority w:val="0"/>
  </w:style>
  <w:style w:type="character" w:customStyle="1" w:styleId="2963">
    <w:name w:val="z141"/>
    <w:semiHidden/>
    <w:qFormat/>
    <w:uiPriority w:val="0"/>
    <w:rPr>
      <w:sz w:val="21"/>
      <w:szCs w:val="21"/>
    </w:rPr>
  </w:style>
  <w:style w:type="character" w:customStyle="1" w:styleId="2964">
    <w:name w:val="称呼 Char1"/>
    <w:semiHidden/>
    <w:qFormat/>
    <w:uiPriority w:val="0"/>
    <w:rPr>
      <w:rFonts w:ascii="Times New Roman" w:hAnsi="Times New Roman" w:eastAsia="宋体" w:cs="Times New Roman"/>
      <w:sz w:val="24"/>
      <w:szCs w:val="24"/>
    </w:rPr>
  </w:style>
  <w:style w:type="character" w:customStyle="1" w:styleId="2965">
    <w:name w:val="电子邮件签名 Char1"/>
    <w:semiHidden/>
    <w:qFormat/>
    <w:uiPriority w:val="0"/>
    <w:rPr>
      <w:rFonts w:ascii="Times New Roman" w:hAnsi="Times New Roman" w:eastAsia="宋体" w:cs="Times New Roman"/>
      <w:sz w:val="24"/>
      <w:szCs w:val="24"/>
    </w:rPr>
  </w:style>
  <w:style w:type="character" w:customStyle="1" w:styleId="2966">
    <w:name w:val="结束语 Char1"/>
    <w:semiHidden/>
    <w:qFormat/>
    <w:uiPriority w:val="0"/>
    <w:rPr>
      <w:rFonts w:ascii="Times New Roman" w:hAnsi="Times New Roman" w:eastAsia="宋体" w:cs="Times New Roman"/>
      <w:sz w:val="24"/>
      <w:szCs w:val="24"/>
    </w:rPr>
  </w:style>
  <w:style w:type="character" w:customStyle="1" w:styleId="2967">
    <w:name w:val="签名 Char1"/>
    <w:semiHidden/>
    <w:qFormat/>
    <w:uiPriority w:val="0"/>
    <w:rPr>
      <w:rFonts w:ascii="Times New Roman" w:hAnsi="Times New Roman" w:eastAsia="宋体" w:cs="Times New Roman"/>
      <w:sz w:val="24"/>
      <w:szCs w:val="24"/>
    </w:rPr>
  </w:style>
  <w:style w:type="character" w:customStyle="1" w:styleId="2968">
    <w:name w:val="信息标题 Char1"/>
    <w:semiHidden/>
    <w:qFormat/>
    <w:uiPriority w:val="0"/>
    <w:rPr>
      <w:rFonts w:ascii="Cambria" w:hAnsi="Cambria" w:eastAsia="宋体" w:cs="Times New Roman"/>
      <w:sz w:val="24"/>
      <w:szCs w:val="24"/>
      <w:shd w:val="pct20" w:color="auto" w:fill="auto"/>
    </w:rPr>
  </w:style>
  <w:style w:type="character" w:customStyle="1" w:styleId="2969">
    <w:name w:val="尾注文本 Char1"/>
    <w:semiHidden/>
    <w:qFormat/>
    <w:uiPriority w:val="0"/>
    <w:rPr>
      <w:rFonts w:ascii="Times New Roman" w:hAnsi="Times New Roman" w:eastAsia="宋体" w:cs="Times New Roman"/>
      <w:sz w:val="24"/>
      <w:szCs w:val="24"/>
    </w:rPr>
  </w:style>
  <w:style w:type="character" w:customStyle="1" w:styleId="2970">
    <w:name w:val="bodycopymain1"/>
    <w:semiHidden/>
    <w:qFormat/>
    <w:uiPriority w:val="0"/>
    <w:rPr>
      <w:rFonts w:hint="default" w:ascii="Arial" w:hAnsi="Arial" w:cs="Arial"/>
      <w:color w:val="000000"/>
      <w:sz w:val="18"/>
      <w:szCs w:val="18"/>
    </w:rPr>
  </w:style>
  <w:style w:type="character" w:customStyle="1" w:styleId="2971">
    <w:name w:val="headline-content2"/>
    <w:basedOn w:val="132"/>
    <w:semiHidden/>
    <w:qFormat/>
    <w:uiPriority w:val="0"/>
  </w:style>
  <w:style w:type="character" w:customStyle="1" w:styleId="2972">
    <w:name w:val="pt921"/>
    <w:semiHidden/>
    <w:qFormat/>
    <w:uiPriority w:val="0"/>
    <w:rPr>
      <w:rFonts w:hint="eastAsia" w:ascii="宋体" w:hAnsi="宋体" w:eastAsia="宋体"/>
      <w:sz w:val="18"/>
      <w:szCs w:val="18"/>
    </w:rPr>
  </w:style>
  <w:style w:type="character" w:customStyle="1" w:styleId="2973">
    <w:name w:val="jq1"/>
    <w:semiHidden/>
    <w:qFormat/>
    <w:uiPriority w:val="0"/>
    <w:rPr>
      <w:rFonts w:hint="eastAsia" w:ascii="宋体" w:hAnsi="宋体" w:eastAsia="宋体"/>
      <w:sz w:val="18"/>
    </w:rPr>
  </w:style>
  <w:style w:type="character" w:customStyle="1" w:styleId="2974">
    <w:name w:val="bigblue"/>
    <w:basedOn w:val="132"/>
    <w:semiHidden/>
    <w:qFormat/>
    <w:uiPriority w:val="0"/>
  </w:style>
  <w:style w:type="character" w:customStyle="1" w:styleId="2975">
    <w:name w:val="表格内容 Char Char"/>
    <w:qFormat/>
    <w:uiPriority w:val="0"/>
    <w:rPr>
      <w:rFonts w:hint="eastAsia" w:ascii="宋体" w:hAnsi="Courier New" w:eastAsia="宋体"/>
      <w:kern w:val="2"/>
      <w:sz w:val="24"/>
      <w:lang w:val="en-US" w:eastAsia="zh-CN" w:bidi="ar-SA"/>
    </w:rPr>
  </w:style>
  <w:style w:type="character" w:customStyle="1" w:styleId="2976">
    <w:name w:val="条标题1.1.1 Char2"/>
    <w:semiHidden/>
    <w:qFormat/>
    <w:uiPriority w:val="0"/>
    <w:rPr>
      <w:rFonts w:hint="eastAsia" w:ascii="仿宋_GB2312" w:eastAsia="仿宋_GB2312"/>
      <w:kern w:val="28"/>
      <w:sz w:val="24"/>
      <w:lang w:val="en-US" w:eastAsia="zh-CN" w:bidi="ar-SA"/>
    </w:rPr>
  </w:style>
  <w:style w:type="character" w:customStyle="1" w:styleId="2977">
    <w:name w:val="ttitle1"/>
    <w:semiHidden/>
    <w:qFormat/>
    <w:uiPriority w:val="0"/>
    <w:rPr>
      <w:spacing w:val="120"/>
      <w:sz w:val="26"/>
      <w:szCs w:val="26"/>
    </w:rPr>
  </w:style>
  <w:style w:type="character" w:customStyle="1" w:styleId="2978">
    <w:name w:val="节 Char Char"/>
    <w:qFormat/>
    <w:uiPriority w:val="0"/>
    <w:rPr>
      <w:rFonts w:hint="default" w:ascii="Arial" w:hAnsi="Arial" w:eastAsia="黑体" w:cs="Arial"/>
      <w:b/>
      <w:bCs/>
      <w:kern w:val="2"/>
      <w:sz w:val="32"/>
      <w:szCs w:val="32"/>
      <w:lang w:val="en-US" w:eastAsia="zh-CN" w:bidi="ar-SA"/>
    </w:rPr>
  </w:style>
  <w:style w:type="character" w:customStyle="1" w:styleId="2979">
    <w:name w:val="font2"/>
    <w:semiHidden/>
    <w:qFormat/>
    <w:uiPriority w:val="0"/>
    <w:rPr>
      <w:color w:val="336633"/>
      <w:sz w:val="21"/>
      <w:szCs w:val="21"/>
    </w:rPr>
  </w:style>
  <w:style w:type="character" w:customStyle="1" w:styleId="2980">
    <w:name w:val="commentaryteaser1"/>
    <w:semiHidden/>
    <w:qFormat/>
    <w:uiPriority w:val="0"/>
    <w:rPr>
      <w:sz w:val="18"/>
      <w:szCs w:val="18"/>
    </w:rPr>
  </w:style>
  <w:style w:type="character" w:customStyle="1" w:styleId="2981">
    <w:name w:val="unnamed2"/>
    <w:basedOn w:val="132"/>
    <w:semiHidden/>
    <w:qFormat/>
    <w:uiPriority w:val="0"/>
  </w:style>
  <w:style w:type="character" w:customStyle="1" w:styleId="2982">
    <w:name w:val="style241"/>
    <w:semiHidden/>
    <w:qFormat/>
    <w:uiPriority w:val="0"/>
    <w:rPr>
      <w:sz w:val="20"/>
      <w:szCs w:val="20"/>
    </w:rPr>
  </w:style>
  <w:style w:type="character" w:customStyle="1" w:styleId="2983">
    <w:name w:val="样式19 Char"/>
    <w:link w:val="1164"/>
    <w:qFormat/>
    <w:locked/>
    <w:uiPriority w:val="0"/>
    <w:rPr>
      <w:rFonts w:ascii="Arial" w:hAnsi="Arial" w:eastAsia="黑体" w:cs="宋体"/>
      <w:b/>
      <w:bCs/>
      <w:sz w:val="30"/>
      <w:szCs w:val="24"/>
      <w:lang w:bidi="ar-SA"/>
    </w:rPr>
  </w:style>
  <w:style w:type="character" w:customStyle="1" w:styleId="2984">
    <w:name w:val="Char Char151"/>
    <w:semiHidden/>
    <w:qFormat/>
    <w:uiPriority w:val="0"/>
    <w:rPr>
      <w:rFonts w:hint="eastAsia" w:ascii="宋体" w:hAnsi="宋体" w:eastAsia="宋体"/>
      <w:kern w:val="2"/>
      <w:sz w:val="24"/>
      <w:lang w:val="en-US" w:eastAsia="zh-CN" w:bidi="ar-SA"/>
    </w:rPr>
  </w:style>
  <w:style w:type="character" w:customStyle="1" w:styleId="2985">
    <w:name w:val="Char Char14"/>
    <w:qFormat/>
    <w:uiPriority w:val="0"/>
    <w:rPr>
      <w:kern w:val="2"/>
      <w:sz w:val="21"/>
      <w:szCs w:val="24"/>
      <w:shd w:val="clear" w:color="auto" w:fill="000080"/>
    </w:rPr>
  </w:style>
  <w:style w:type="character" w:customStyle="1" w:styleId="2986">
    <w:name w:val="Char Char161"/>
    <w:semiHidden/>
    <w:qFormat/>
    <w:uiPriority w:val="0"/>
    <w:rPr>
      <w:rFonts w:hint="eastAsia" w:ascii="宋体" w:hAnsi="宋体" w:eastAsia="宋体"/>
      <w:color w:val="000000"/>
      <w:kern w:val="2"/>
      <w:sz w:val="24"/>
      <w:szCs w:val="24"/>
      <w:lang w:val="en-US" w:eastAsia="zh-CN" w:bidi="ar-SA"/>
    </w:rPr>
  </w:style>
  <w:style w:type="character" w:customStyle="1" w:styleId="2987">
    <w:name w:val="textcontents1"/>
    <w:semiHidden/>
    <w:qFormat/>
    <w:uiPriority w:val="0"/>
    <w:rPr>
      <w:color w:val="000000"/>
      <w:sz w:val="21"/>
      <w:szCs w:val="21"/>
    </w:rPr>
  </w:style>
  <w:style w:type="character" w:customStyle="1" w:styleId="2988">
    <w:name w:val="big"/>
    <w:basedOn w:val="132"/>
    <w:semiHidden/>
    <w:qFormat/>
    <w:uiPriority w:val="0"/>
  </w:style>
  <w:style w:type="character" w:customStyle="1" w:styleId="2989">
    <w:name w:val="aboutus1"/>
    <w:semiHidden/>
    <w:qFormat/>
    <w:uiPriority w:val="0"/>
    <w:rPr>
      <w:rFonts w:hint="default" w:ascii="ˎ̥" w:hAnsi="ˎ̥"/>
      <w:color w:val="000000"/>
      <w:sz w:val="18"/>
      <w:szCs w:val="18"/>
      <w:u w:val="none"/>
    </w:rPr>
  </w:style>
  <w:style w:type="character" w:customStyle="1" w:styleId="2990">
    <w:name w:val="size9"/>
    <w:basedOn w:val="132"/>
    <w:semiHidden/>
    <w:qFormat/>
    <w:uiPriority w:val="0"/>
  </w:style>
  <w:style w:type="character" w:customStyle="1" w:styleId="2991">
    <w:name w:val="Char Char5"/>
    <w:qFormat/>
    <w:uiPriority w:val="0"/>
    <w:rPr>
      <w:rFonts w:hint="default" w:ascii="Arial" w:hAnsi="Arial" w:eastAsia="宋体" w:cs="Arial"/>
      <w:b/>
      <w:kern w:val="2"/>
      <w:sz w:val="32"/>
      <w:lang w:val="en-US" w:eastAsia="zh-CN" w:bidi="ar-SA"/>
    </w:rPr>
  </w:style>
  <w:style w:type="character" w:customStyle="1" w:styleId="2992">
    <w:name w:val="text-blk1"/>
    <w:semiHidden/>
    <w:qFormat/>
    <w:uiPriority w:val="0"/>
    <w:rPr>
      <w:color w:val="000000"/>
      <w:sz w:val="18"/>
      <w:szCs w:val="18"/>
    </w:rPr>
  </w:style>
  <w:style w:type="character" w:customStyle="1" w:styleId="2993">
    <w:name w:val="Char Char8"/>
    <w:qFormat/>
    <w:uiPriority w:val="0"/>
    <w:rPr>
      <w:rFonts w:hint="eastAsia" w:ascii="宋体" w:hAnsi="宋体" w:eastAsia="宋体"/>
      <w:color w:val="000000"/>
      <w:kern w:val="2"/>
      <w:sz w:val="21"/>
    </w:rPr>
  </w:style>
  <w:style w:type="character" w:customStyle="1" w:styleId="2994">
    <w:name w:val="articlecontent"/>
    <w:basedOn w:val="132"/>
    <w:semiHidden/>
    <w:qFormat/>
    <w:uiPriority w:val="0"/>
  </w:style>
  <w:style w:type="character" w:customStyle="1" w:styleId="2995">
    <w:name w:val="weibu"/>
    <w:basedOn w:val="132"/>
    <w:semiHidden/>
    <w:qFormat/>
    <w:uiPriority w:val="0"/>
  </w:style>
  <w:style w:type="character" w:customStyle="1" w:styleId="2996">
    <w:name w:val="subtitle1"/>
    <w:semiHidden/>
    <w:qFormat/>
    <w:uiPriority w:val="0"/>
    <w:rPr>
      <w:rFonts w:hint="default" w:ascii="ˎ̥" w:hAnsi="ˎ̥"/>
      <w:sz w:val="20"/>
      <w:szCs w:val="20"/>
    </w:rPr>
  </w:style>
  <w:style w:type="character" w:customStyle="1" w:styleId="2997">
    <w:name w:val="little21"/>
    <w:semiHidden/>
    <w:qFormat/>
    <w:uiPriority w:val="0"/>
    <w:rPr>
      <w:rFonts w:hint="default"/>
      <w:color w:val="000000"/>
      <w:sz w:val="18"/>
      <w:szCs w:val="18"/>
      <w:u w:val="none"/>
    </w:rPr>
  </w:style>
  <w:style w:type="character" w:customStyle="1" w:styleId="2998">
    <w:name w:val="newsfont1"/>
    <w:semiHidden/>
    <w:qFormat/>
    <w:uiPriority w:val="0"/>
    <w:rPr>
      <w:color w:val="000000"/>
      <w:sz w:val="26"/>
      <w:szCs w:val="26"/>
    </w:rPr>
  </w:style>
  <w:style w:type="character" w:customStyle="1" w:styleId="2999">
    <w:name w:val="line1"/>
    <w:basedOn w:val="132"/>
    <w:semiHidden/>
    <w:qFormat/>
    <w:uiPriority w:val="0"/>
  </w:style>
  <w:style w:type="character" w:customStyle="1" w:styleId="3000">
    <w:name w:val="Char Char12"/>
    <w:semiHidden/>
    <w:qFormat/>
    <w:uiPriority w:val="0"/>
    <w:rPr>
      <w:rFonts w:hint="eastAsia" w:ascii="宋体" w:hAnsi="宋体" w:eastAsia="宋体"/>
      <w:color w:val="000000"/>
      <w:kern w:val="2"/>
      <w:sz w:val="21"/>
    </w:rPr>
  </w:style>
  <w:style w:type="character" w:customStyle="1" w:styleId="3001">
    <w:name w:val="style101"/>
    <w:semiHidden/>
    <w:qFormat/>
    <w:uiPriority w:val="0"/>
    <w:rPr>
      <w:color w:val="FF6600"/>
    </w:rPr>
  </w:style>
  <w:style w:type="character" w:customStyle="1" w:styleId="3002">
    <w:name w:val="l17-z105"/>
    <w:basedOn w:val="132"/>
    <w:semiHidden/>
    <w:qFormat/>
    <w:uiPriority w:val="0"/>
  </w:style>
  <w:style w:type="character" w:customStyle="1" w:styleId="3003">
    <w:name w:val="t11"/>
    <w:semiHidden/>
    <w:qFormat/>
    <w:uiPriority w:val="0"/>
    <w:rPr>
      <w:rFonts w:hint="default"/>
      <w:b/>
      <w:bCs/>
      <w:sz w:val="24"/>
      <w:szCs w:val="24"/>
    </w:rPr>
  </w:style>
  <w:style w:type="character" w:customStyle="1" w:styleId="3004">
    <w:name w:val="style171"/>
    <w:semiHidden/>
    <w:qFormat/>
    <w:uiPriority w:val="0"/>
    <w:rPr>
      <w:color w:val="333333"/>
    </w:rPr>
  </w:style>
  <w:style w:type="character" w:customStyle="1" w:styleId="3005">
    <w:name w:val="标题2 Char Char"/>
    <w:semiHidden/>
    <w:qFormat/>
    <w:uiPriority w:val="0"/>
    <w:rPr>
      <w:rFonts w:hint="default" w:ascii="Arial" w:hAnsi="Arial" w:eastAsia="宋体" w:cs="Arial"/>
      <w:b/>
      <w:bCs/>
      <w:kern w:val="2"/>
      <w:sz w:val="28"/>
      <w:szCs w:val="32"/>
      <w:lang w:val="en-US" w:eastAsia="zh-CN" w:bidi="ar-SA"/>
    </w:rPr>
  </w:style>
  <w:style w:type="character" w:customStyle="1" w:styleId="3006">
    <w:name w:val="style71"/>
    <w:semiHidden/>
    <w:qFormat/>
    <w:uiPriority w:val="0"/>
    <w:rPr>
      <w:color w:val="FF0000"/>
    </w:rPr>
  </w:style>
  <w:style w:type="character" w:customStyle="1" w:styleId="3007">
    <w:name w:val="z11"/>
    <w:semiHidden/>
    <w:qFormat/>
    <w:uiPriority w:val="0"/>
    <w:rPr>
      <w:rFonts w:hint="default" w:ascii="ˎ̥" w:hAnsi="ˎ̥"/>
      <w:b/>
      <w:bCs/>
      <w:color w:val="0000FF"/>
      <w:sz w:val="20"/>
      <w:szCs w:val="20"/>
    </w:rPr>
  </w:style>
  <w:style w:type="character" w:customStyle="1" w:styleId="3008">
    <w:name w:val="style61"/>
    <w:semiHidden/>
    <w:qFormat/>
    <w:uiPriority w:val="0"/>
    <w:rPr>
      <w:sz w:val="24"/>
      <w:szCs w:val="24"/>
    </w:rPr>
  </w:style>
  <w:style w:type="character" w:customStyle="1" w:styleId="3009">
    <w:name w:val="bodyfont1"/>
    <w:semiHidden/>
    <w:qFormat/>
    <w:uiPriority w:val="0"/>
    <w:rPr>
      <w:sz w:val="17"/>
      <w:szCs w:val="17"/>
    </w:rPr>
  </w:style>
  <w:style w:type="table" w:customStyle="1" w:styleId="3010">
    <w:name w:val="网格型10"/>
    <w:basedOn w:val="87"/>
    <w:semiHidden/>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11">
    <w:name w:val="网格型11"/>
    <w:basedOn w:val="8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12">
    <w:name w:val="嵌套表格"/>
    <w:basedOn w:val="87"/>
    <w:semiHidden/>
    <w:qFormat/>
    <w:uiPriority w:val="0"/>
    <w:pPr>
      <w:keepLines/>
    </w:pPr>
    <w:rPr>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cPr>
      <w:vAlign w:val="center"/>
    </w:tcPr>
  </w:style>
  <w:style w:type="paragraph" w:customStyle="1" w:styleId="3013">
    <w:name w:val="样式 样式 标题 2标题 21标题 121标题 2 Char1 Char节H2节标题 1.1节标题 1.1 Char... + ..."/>
    <w:basedOn w:val="2942"/>
    <w:semiHidden/>
    <w:qFormat/>
    <w:uiPriority w:val="0"/>
    <w:pPr>
      <w:spacing w:before="156" w:after="156"/>
    </w:pPr>
  </w:style>
  <w:style w:type="paragraph" w:customStyle="1" w:styleId="3014">
    <w:name w:val="样式 样式 标题 2标题 21标题 121标题 2 Char1 Char节H2节标题 1.1节标题 1.1 Char... +"/>
    <w:basedOn w:val="2942"/>
    <w:semiHidden/>
    <w:qFormat/>
    <w:uiPriority w:val="0"/>
    <w:pPr/>
    <w:rPr>
      <w:kern w:val="2"/>
    </w:rPr>
  </w:style>
  <w:style w:type="paragraph" w:customStyle="1" w:styleId="3015">
    <w:name w:val="样式 样式 标题 1标题 11一、标题 1 Char章 + Times New Roman 小三 非加粗 黑色 行距:... +..."/>
    <w:basedOn w:val="2934"/>
    <w:semiHidden/>
    <w:qFormat/>
    <w:uiPriority w:val="0"/>
    <w:pPr>
      <w:spacing w:before="156" w:after="156"/>
    </w:pPr>
  </w:style>
  <w:style w:type="paragraph" w:customStyle="1" w:styleId="3016">
    <w:name w:val="样式 样式 标题 3标题 13标题 3 Char1 Char Char Char标题 31ReHead 3 WSAh3B... ..."/>
    <w:basedOn w:val="2927"/>
    <w:semiHidden/>
    <w:qFormat/>
    <w:uiPriority w:val="0"/>
    <w:pPr>
      <w:spacing w:beforeLines="0" w:line="360" w:lineRule="auto"/>
    </w:pPr>
  </w:style>
  <w:style w:type="paragraph" w:customStyle="1" w:styleId="3017">
    <w:name w:val="样式 样式 标题 3标题 13标题 3 Char1 Char Char Char标题 31ReHead 3 WSAh3B... ...1"/>
    <w:basedOn w:val="2927"/>
    <w:semiHidden/>
    <w:qFormat/>
    <w:uiPriority w:val="0"/>
    <w:pPr/>
  </w:style>
  <w:style w:type="paragraph" w:customStyle="1" w:styleId="3018">
    <w:name w:val="Losange 3"/>
    <w:basedOn w:val="2900"/>
    <w:semiHidden/>
    <w:qFormat/>
    <w:uiPriority w:val="0"/>
    <w:pPr>
      <w:tabs>
        <w:tab w:val="left" w:pos="360"/>
      </w:tabs>
      <w:ind w:left="360" w:hanging="360" w:hangingChars="200"/>
    </w:pPr>
  </w:style>
  <w:style w:type="character" w:customStyle="1" w:styleId="3019">
    <w:name w:val="明显引用 字符"/>
    <w:link w:val="3020"/>
    <w:qFormat/>
    <w:locked/>
    <w:uiPriority w:val="0"/>
    <w:rPr>
      <w:b/>
      <w:bCs/>
      <w:i/>
      <w:iCs/>
      <w:color w:val="4F81BD"/>
      <w:szCs w:val="24"/>
      <w:lang w:bidi="ar-SA"/>
    </w:rPr>
  </w:style>
  <w:style w:type="paragraph" w:styleId="3020">
    <w:name w:val="Intense Quote"/>
    <w:basedOn w:val="1"/>
    <w:next w:val="1"/>
    <w:link w:val="3019"/>
    <w:qFormat/>
    <w:uiPriority w:val="0"/>
    <w:pPr>
      <w:pBdr>
        <w:bottom w:val="single" w:color="4F81BD" w:sz="4" w:space="4"/>
      </w:pBdr>
      <w:spacing w:before="200" w:after="280"/>
      <w:ind w:left="936" w:right="936"/>
    </w:pPr>
    <w:rPr>
      <w:b/>
      <w:bCs/>
      <w:i/>
      <w:iCs/>
      <w:color w:val="4F81BD"/>
      <w:kern w:val="0"/>
      <w:sz w:val="20"/>
      <w:lang w:val="zh-CN"/>
    </w:rPr>
  </w:style>
  <w:style w:type="paragraph" w:customStyle="1" w:styleId="3021">
    <w:name w:val="样式 正文文字缩进 2 + (符号) 宋体 小四 首行缩进:  2 字符"/>
    <w:basedOn w:val="51"/>
    <w:semiHidden/>
    <w:qFormat/>
    <w:uiPriority w:val="0"/>
    <w:pPr>
      <w:adjustRightInd w:val="0"/>
      <w:snapToGrid w:val="0"/>
      <w:spacing w:line="360" w:lineRule="auto"/>
      <w:ind w:left="0" w:firstLine="480" w:firstLineChars="200"/>
    </w:pPr>
    <w:rPr>
      <w:rFonts w:ascii="宋体" w:hAnsi="宋体"/>
      <w:spacing w:val="0"/>
      <w:kern w:val="0"/>
      <w:sz w:val="24"/>
    </w:rPr>
  </w:style>
  <w:style w:type="paragraph" w:customStyle="1" w:styleId="3022">
    <w:name w:val="样式 五号 居中 首行缩进:  0.74 厘米 行距: 单倍行距"/>
    <w:basedOn w:val="1"/>
    <w:semiHidden/>
    <w:qFormat/>
    <w:uiPriority w:val="0"/>
    <w:pPr>
      <w:spacing w:line="240" w:lineRule="auto"/>
      <w:jc w:val="center"/>
    </w:pPr>
    <w:rPr>
      <w:rFonts w:cs="宋体"/>
      <w:sz w:val="21"/>
      <w:szCs w:val="20"/>
    </w:rPr>
  </w:style>
  <w:style w:type="character" w:customStyle="1" w:styleId="3023">
    <w:name w:val="样式 首行缩进:  2 字符1 Char Char"/>
    <w:semiHidden/>
    <w:qFormat/>
    <w:locked/>
    <w:uiPriority w:val="0"/>
    <w:rPr>
      <w:sz w:val="24"/>
      <w:szCs w:val="24"/>
    </w:rPr>
  </w:style>
  <w:style w:type="paragraph" w:customStyle="1" w:styleId="3024">
    <w:name w:val="字元 字元1 Char Char 字元 字元"/>
    <w:basedOn w:val="1"/>
    <w:semiHidden/>
    <w:qFormat/>
    <w:uiPriority w:val="0"/>
    <w:pPr>
      <w:tabs>
        <w:tab w:val="clear" w:pos="480"/>
      </w:tabs>
      <w:spacing w:line="240" w:lineRule="auto"/>
    </w:pPr>
  </w:style>
  <w:style w:type="paragraph" w:customStyle="1" w:styleId="3025">
    <w:name w:val="MYBODY"/>
    <w:basedOn w:val="1"/>
    <w:semiHidden/>
    <w:qFormat/>
    <w:uiPriority w:val="0"/>
    <w:pPr>
      <w:tabs>
        <w:tab w:val="clear" w:pos="480"/>
      </w:tabs>
      <w:adjustRightInd w:val="0"/>
      <w:ind w:firstLine="225" w:firstLineChars="225"/>
      <w:jc w:val="left"/>
    </w:pPr>
    <w:rPr>
      <w:rFonts w:ascii="宋体"/>
      <w:kern w:val="0"/>
      <w:szCs w:val="20"/>
    </w:rPr>
  </w:style>
  <w:style w:type="paragraph" w:customStyle="1" w:styleId="3026">
    <w:name w:val="表、图名"/>
    <w:basedOn w:val="1"/>
    <w:semiHidden/>
    <w:qFormat/>
    <w:uiPriority w:val="0"/>
    <w:pPr>
      <w:tabs>
        <w:tab w:val="clear" w:pos="480"/>
      </w:tabs>
      <w:adjustRightInd w:val="0"/>
      <w:snapToGrid w:val="0"/>
      <w:spacing w:line="240" w:lineRule="auto"/>
      <w:ind w:left="-6"/>
      <w:jc w:val="center"/>
    </w:pPr>
    <w:rPr>
      <w:rFonts w:ascii="黑体" w:hAnsi="宋体" w:eastAsia="黑体"/>
      <w:color w:val="000000"/>
      <w:sz w:val="28"/>
      <w:szCs w:val="20"/>
    </w:rPr>
  </w:style>
  <w:style w:type="paragraph" w:customStyle="1" w:styleId="3027">
    <w:name w:val="批注主题 Char Char"/>
    <w:basedOn w:val="28"/>
    <w:next w:val="28"/>
    <w:semiHidden/>
    <w:qFormat/>
    <w:uiPriority w:val="0"/>
    <w:pPr>
      <w:adjustRightInd/>
      <w:spacing w:line="360" w:lineRule="auto"/>
      <w:ind w:left="-2" w:leftChars="-1" w:firstLine="456" w:firstLineChars="190"/>
      <w:textAlignment w:val="auto"/>
    </w:pPr>
    <w:rPr>
      <w:rFonts w:ascii="Calibri" w:hAnsi="Calibri"/>
      <w:b/>
      <w:sz w:val="28"/>
    </w:rPr>
  </w:style>
  <w:style w:type="paragraph" w:customStyle="1" w:styleId="3028">
    <w:name w:val="Char Char Char Char Char Char Char Char Char Char Char Char Char Char Char Char Char Char Char Char Char Char Char Char Char Char Char Char Char Char Char Char Char Char Char Char Char Char Char Char Char Char Char"/>
    <w:basedOn w:val="1"/>
    <w:next w:val="1"/>
    <w:semiHidden/>
    <w:qFormat/>
    <w:uiPriority w:val="0"/>
    <w:pPr>
      <w:tabs>
        <w:tab w:val="clear" w:pos="480"/>
      </w:tabs>
    </w:pPr>
    <w:rPr>
      <w:rFonts w:ascii="宋体" w:hAnsi="宋体" w:cs="宋体"/>
    </w:rPr>
  </w:style>
  <w:style w:type="paragraph" w:customStyle="1" w:styleId="3029">
    <w:name w:val="Char Char Char Char Char Char1 Char Char Char1 Char Char Char1 Char Char Char Char Char Char Char Char Char Char Char Char"/>
    <w:basedOn w:val="1"/>
    <w:next w:val="1"/>
    <w:semiHidden/>
    <w:qFormat/>
    <w:uiPriority w:val="0"/>
    <w:pPr>
      <w:tabs>
        <w:tab w:val="clear" w:pos="480"/>
      </w:tabs>
    </w:pPr>
    <w:rPr>
      <w:rFonts w:ascii="宋体" w:hAnsi="宋体" w:cs="宋体"/>
    </w:rPr>
  </w:style>
  <w:style w:type="paragraph" w:customStyle="1" w:styleId="3030">
    <w:name w:val="样式 普通(网站) + 深蓝"/>
    <w:basedOn w:val="80"/>
    <w:semiHidden/>
    <w:qFormat/>
    <w:uiPriority w:val="0"/>
    <w:pPr>
      <w:spacing w:line="360" w:lineRule="auto"/>
      <w:ind w:left="-2" w:leftChars="-1" w:firstLine="456" w:firstLineChars="190"/>
    </w:pPr>
    <w:rPr>
      <w:rFonts w:ascii="宋体" w:hAnsi="宋体" w:eastAsia="宋体" w:cs="宋体"/>
      <w:color w:val="000080"/>
      <w:szCs w:val="20"/>
    </w:rPr>
  </w:style>
  <w:style w:type="paragraph" w:customStyle="1" w:styleId="3031">
    <w:name w:val="xl177"/>
    <w:basedOn w:val="1"/>
    <w:semiHidden/>
    <w:qFormat/>
    <w:uiPriority w:val="0"/>
    <w:pPr>
      <w:widowControl/>
      <w:tabs>
        <w:tab w:val="clear" w:pos="480"/>
      </w:tabs>
      <w:spacing w:before="100" w:beforeAutospacing="1" w:after="100" w:afterAutospacing="1" w:line="240" w:lineRule="auto"/>
      <w:jc w:val="center"/>
    </w:pPr>
    <w:rPr>
      <w:rFonts w:ascii="Tahoma" w:hAnsi="Tahoma" w:eastAsia="Arial Unicode MS" w:cs="Tahoma"/>
      <w:kern w:val="0"/>
      <w:sz w:val="20"/>
      <w:szCs w:val="20"/>
    </w:rPr>
  </w:style>
  <w:style w:type="paragraph" w:customStyle="1" w:styleId="3032">
    <w:name w:val="xl178"/>
    <w:basedOn w:val="1"/>
    <w:semiHidden/>
    <w:qFormat/>
    <w:uiPriority w:val="0"/>
    <w:pPr>
      <w:widowControl/>
      <w:pBdr>
        <w:top w:val="single" w:color="auto" w:sz="4" w:space="0"/>
        <w:left w:val="single" w:color="auto" w:sz="4" w:space="0"/>
        <w:bottom w:val="single" w:color="auto" w:sz="4" w:space="0"/>
      </w:pBdr>
      <w:shd w:val="clear" w:color="auto" w:fill="FFFF99"/>
      <w:tabs>
        <w:tab w:val="clear" w:pos="480"/>
      </w:tabs>
      <w:spacing w:before="100" w:beforeAutospacing="1" w:after="100" w:afterAutospacing="1" w:line="240" w:lineRule="auto"/>
      <w:jc w:val="center"/>
    </w:pPr>
    <w:rPr>
      <w:rFonts w:ascii="Arial Unicode MS" w:hAnsi="Arial Unicode MS" w:eastAsia="Arial Unicode MS" w:cs="Arial Unicode MS"/>
      <w:kern w:val="0"/>
      <w:sz w:val="20"/>
      <w:szCs w:val="20"/>
    </w:rPr>
  </w:style>
  <w:style w:type="paragraph" w:customStyle="1" w:styleId="3033">
    <w:name w:val="Char Char Char Char Char Char Char Char Char Char Char Char Char Char Char Char Char Char Char Char Char Char Char Char Char Char Char Char Char Char Char Char Char Char Char Char2"/>
    <w:basedOn w:val="1"/>
    <w:next w:val="1"/>
    <w:semiHidden/>
    <w:qFormat/>
    <w:uiPriority w:val="0"/>
    <w:pPr>
      <w:tabs>
        <w:tab w:val="clear" w:pos="480"/>
      </w:tabs>
    </w:pPr>
    <w:rPr>
      <w:rFonts w:ascii="宋体" w:hAnsi="宋体" w:cs="宋体"/>
    </w:rPr>
  </w:style>
  <w:style w:type="paragraph" w:customStyle="1" w:styleId="3034">
    <w:name w:val="Char Char Char Char Char Char Char Char Char Char Char Char Char Char Char Char Char Char Char Char Char Char Char Char Char Char Char Char Char Char Char Char Char Char Char Char Char"/>
    <w:basedOn w:val="1"/>
    <w:next w:val="1"/>
    <w:semiHidden/>
    <w:qFormat/>
    <w:uiPriority w:val="0"/>
    <w:pPr>
      <w:tabs>
        <w:tab w:val="clear" w:pos="480"/>
      </w:tabs>
    </w:pPr>
    <w:rPr>
      <w:rFonts w:ascii="宋体" w:hAnsi="宋体" w:cs="宋体"/>
    </w:rPr>
  </w:style>
  <w:style w:type="paragraph" w:customStyle="1" w:styleId="3035">
    <w:name w:val="Char Char Char Char Char Char Char Char Char Char1 Char Char Char Char Char Char Char Char Char Char Char Char Char Char Char Char Char Char"/>
    <w:basedOn w:val="1"/>
    <w:semiHidden/>
    <w:qFormat/>
    <w:uiPriority w:val="0"/>
    <w:pPr>
      <w:tabs>
        <w:tab w:val="clear" w:pos="480"/>
      </w:tabs>
      <w:spacing w:line="240" w:lineRule="auto"/>
    </w:pPr>
    <w:rPr>
      <w:sz w:val="21"/>
    </w:rPr>
  </w:style>
  <w:style w:type="character" w:customStyle="1" w:styleId="3036">
    <w:name w:val="表格标题新 Char"/>
    <w:link w:val="3037"/>
    <w:qFormat/>
    <w:locked/>
    <w:uiPriority w:val="0"/>
    <w:rPr>
      <w:rFonts w:ascii="仿宋_GB2312" w:eastAsia="黑体"/>
      <w:b/>
      <w:spacing w:val="4"/>
      <w:sz w:val="24"/>
      <w:szCs w:val="24"/>
      <w:lang w:bidi="ar-SA"/>
    </w:rPr>
  </w:style>
  <w:style w:type="paragraph" w:customStyle="1" w:styleId="3037">
    <w:name w:val="表格标题新"/>
    <w:basedOn w:val="1"/>
    <w:link w:val="3036"/>
    <w:qFormat/>
    <w:uiPriority w:val="0"/>
    <w:pPr>
      <w:tabs>
        <w:tab w:val="left" w:pos="0"/>
        <w:tab w:val="clear" w:pos="480"/>
      </w:tabs>
      <w:adjustRightInd w:val="0"/>
      <w:snapToGrid w:val="0"/>
      <w:spacing w:beforeLines="50" w:line="240" w:lineRule="auto"/>
      <w:ind w:firstLine="562"/>
      <w:jc w:val="center"/>
    </w:pPr>
    <w:rPr>
      <w:rFonts w:ascii="仿宋_GB2312" w:eastAsia="黑体"/>
      <w:b/>
      <w:spacing w:val="4"/>
      <w:kern w:val="0"/>
      <w:lang w:val="zh-CN"/>
    </w:rPr>
  </w:style>
  <w:style w:type="paragraph" w:customStyle="1" w:styleId="3038">
    <w:name w:val="样式 (西文) 宋体 小四 段前: 6 磅 段后: 6 磅 行距: 多倍行距 1.25 字行 首行缩进:  2 字符"/>
    <w:basedOn w:val="1"/>
    <w:semiHidden/>
    <w:qFormat/>
    <w:uiPriority w:val="0"/>
    <w:pPr>
      <w:tabs>
        <w:tab w:val="clear" w:pos="480"/>
      </w:tabs>
      <w:spacing w:before="120" w:after="120" w:line="300" w:lineRule="auto"/>
      <w:ind w:firstLine="480"/>
    </w:pPr>
    <w:rPr>
      <w:rFonts w:ascii="宋体" w:hAnsi="宋体" w:cs="宋体"/>
    </w:rPr>
  </w:style>
  <w:style w:type="paragraph" w:customStyle="1" w:styleId="3039">
    <w:name w:val="样式 表标题"/>
    <w:basedOn w:val="1"/>
    <w:semiHidden/>
    <w:qFormat/>
    <w:uiPriority w:val="0"/>
    <w:pPr>
      <w:keepNext/>
      <w:widowControl/>
      <w:tabs>
        <w:tab w:val="clear" w:pos="480"/>
      </w:tabs>
      <w:spacing w:beforeLines="150" w:afterLines="50" w:line="60" w:lineRule="auto"/>
      <w:jc w:val="center"/>
    </w:pPr>
    <w:rPr>
      <w:rFonts w:ascii="宋体" w:hAnsi="宋体" w:cs="宋体"/>
      <w:b/>
      <w:bCs/>
      <w:color w:val="000000"/>
      <w:szCs w:val="20"/>
    </w:rPr>
  </w:style>
  <w:style w:type="character" w:customStyle="1" w:styleId="3040">
    <w:name w:val="样式 表标题 + 段前: 0.5 行 段后: 0.1 行 Char"/>
    <w:link w:val="3041"/>
    <w:qFormat/>
    <w:locked/>
    <w:uiPriority w:val="0"/>
    <w:rPr>
      <w:rFonts w:ascii="宋体" w:hAnsi="宋体" w:eastAsia="宋体"/>
      <w:b/>
      <w:bCs/>
      <w:color w:val="000000"/>
      <w:sz w:val="24"/>
      <w:lang w:bidi="ar-SA"/>
    </w:rPr>
  </w:style>
  <w:style w:type="paragraph" w:customStyle="1" w:styleId="3041">
    <w:name w:val="样式 表标题 + 段前: 0.5 行 段后: 0.1 行"/>
    <w:basedOn w:val="1"/>
    <w:link w:val="3040"/>
    <w:semiHidden/>
    <w:qFormat/>
    <w:uiPriority w:val="0"/>
    <w:pPr>
      <w:keepNext/>
      <w:widowControl/>
      <w:tabs>
        <w:tab w:val="clear" w:pos="480"/>
      </w:tabs>
      <w:spacing w:beforeLines="200" w:afterLines="50" w:line="60" w:lineRule="auto"/>
      <w:jc w:val="center"/>
    </w:pPr>
    <w:rPr>
      <w:rFonts w:ascii="宋体" w:hAnsi="宋体"/>
      <w:b/>
      <w:bCs/>
      <w:color w:val="000000"/>
      <w:kern w:val="0"/>
      <w:szCs w:val="20"/>
      <w:lang w:val="zh-CN"/>
    </w:rPr>
  </w:style>
  <w:style w:type="paragraph" w:customStyle="1" w:styleId="3042">
    <w:name w:val="样式 小四 段前: 6 磅 段后: 6 磅 行距: 多倍行距 1.3 字行 首行缩进:  2 字符"/>
    <w:basedOn w:val="1"/>
    <w:semiHidden/>
    <w:qFormat/>
    <w:uiPriority w:val="0"/>
    <w:pPr>
      <w:tabs>
        <w:tab w:val="clear" w:pos="480"/>
      </w:tabs>
      <w:spacing w:before="120" w:after="120" w:line="312" w:lineRule="auto"/>
      <w:ind w:firstLine="480"/>
    </w:pPr>
    <w:rPr>
      <w:rFonts w:cs="宋体"/>
      <w:color w:val="000000"/>
      <w:szCs w:val="20"/>
    </w:rPr>
  </w:style>
  <w:style w:type="paragraph" w:customStyle="1" w:styleId="3043">
    <w:name w:val="样式 样式 样式 样式 标题 4heading 4 + Indent: Left 0.5 inH4标题3a1.1.1.1 Hea...4"/>
    <w:basedOn w:val="1"/>
    <w:semiHidden/>
    <w:qFormat/>
    <w:uiPriority w:val="0"/>
    <w:pPr>
      <w:keepNext/>
      <w:keepLines/>
      <w:widowControl/>
      <w:tabs>
        <w:tab w:val="left" w:pos="840"/>
        <w:tab w:val="left" w:pos="1680"/>
        <w:tab w:val="clear" w:pos="480"/>
      </w:tabs>
      <w:spacing w:before="60" w:after="60"/>
      <w:ind w:left="1713" w:hanging="862"/>
      <w:outlineLvl w:val="3"/>
    </w:pPr>
    <w:rPr>
      <w:rFonts w:ascii="宋体" w:hAnsi="宋体" w:cs="宋体"/>
      <w:kern w:val="0"/>
      <w:sz w:val="28"/>
      <w:szCs w:val="20"/>
    </w:rPr>
  </w:style>
  <w:style w:type="paragraph" w:customStyle="1" w:styleId="3044">
    <w:name w:val="样式 样式 样式 样式 样式 标题 3style3h3H3sect1.2.3标题 3 Char Charsect1.2.31se...6"/>
    <w:basedOn w:val="1"/>
    <w:semiHidden/>
    <w:qFormat/>
    <w:uiPriority w:val="0"/>
    <w:pPr>
      <w:keepNext/>
      <w:keepLines/>
      <w:widowControl/>
      <w:tabs>
        <w:tab w:val="left" w:pos="840"/>
        <w:tab w:val="left" w:pos="1260"/>
        <w:tab w:val="clear" w:pos="480"/>
      </w:tabs>
      <w:spacing w:before="60" w:after="60"/>
      <w:ind w:left="1287" w:right="100" w:rightChars="100" w:hanging="420"/>
      <w:jc w:val="left"/>
      <w:outlineLvl w:val="2"/>
    </w:pPr>
    <w:rPr>
      <w:rFonts w:ascii="宋体" w:hAnsi="宋体" w:cs="宋体"/>
      <w:kern w:val="0"/>
      <w:sz w:val="28"/>
      <w:szCs w:val="20"/>
    </w:rPr>
  </w:style>
  <w:style w:type="paragraph" w:customStyle="1" w:styleId="3045">
    <w:name w:val="样式 标题 3头 + 小三 加粗"/>
    <w:basedOn w:val="5"/>
    <w:semiHidden/>
    <w:qFormat/>
    <w:uiPriority w:val="0"/>
    <w:pPr>
      <w:numPr>
        <w:ilvl w:val="0"/>
        <w:numId w:val="0"/>
      </w:numPr>
      <w:tabs>
        <w:tab w:val="clear" w:pos="480"/>
        <w:tab w:val="clear" w:pos="840"/>
      </w:tabs>
      <w:adjustRightInd w:val="0"/>
      <w:spacing w:beforeLines="100" w:afterLines="50" w:line="416" w:lineRule="atLeast"/>
    </w:pPr>
    <w:rPr>
      <w:rFonts w:ascii="Arial" w:hAnsi="Arial" w:eastAsia="宋体"/>
      <w:kern w:val="0"/>
      <w:szCs w:val="24"/>
    </w:rPr>
  </w:style>
  <w:style w:type="paragraph" w:customStyle="1" w:styleId="3046">
    <w:name w:val="列表项目编号"/>
    <w:basedOn w:val="205"/>
    <w:semiHidden/>
    <w:qFormat/>
    <w:uiPriority w:val="0"/>
    <w:pPr>
      <w:tabs>
        <w:tab w:val="left" w:pos="780"/>
      </w:tabs>
      <w:snapToGrid/>
      <w:spacing w:line="360" w:lineRule="auto"/>
      <w:ind w:left="780" w:hanging="420"/>
      <w:jc w:val="both"/>
    </w:pPr>
    <w:rPr>
      <w:rFonts w:ascii="Times New Roman" w:hAnsi="Times New Roman"/>
      <w:b w:val="0"/>
      <w:bCs w:val="0"/>
      <w:kern w:val="0"/>
      <w:sz w:val="28"/>
      <w:szCs w:val="20"/>
    </w:rPr>
  </w:style>
  <w:style w:type="paragraph" w:customStyle="1" w:styleId="3047">
    <w:name w:val="样式 表格文字2 + Times New Roman"/>
    <w:basedOn w:val="1"/>
    <w:semiHidden/>
    <w:qFormat/>
    <w:uiPriority w:val="0"/>
    <w:pPr>
      <w:widowControl/>
      <w:tabs>
        <w:tab w:val="clear" w:pos="480"/>
      </w:tabs>
      <w:snapToGrid w:val="0"/>
      <w:spacing w:before="240" w:line="240" w:lineRule="auto"/>
      <w:jc w:val="center"/>
    </w:pPr>
    <w:rPr>
      <w:rFonts w:ascii="宋体" w:cs="宋体"/>
      <w:sz w:val="21"/>
      <w:szCs w:val="20"/>
    </w:rPr>
  </w:style>
  <w:style w:type="paragraph" w:customStyle="1" w:styleId="3048">
    <w:name w:val="样式 样式 样式 标题 4heading 4 + Indent: Left 0.5 inH4标题3a1.1.1.1 Headin..."/>
    <w:basedOn w:val="1"/>
    <w:semiHidden/>
    <w:qFormat/>
    <w:uiPriority w:val="0"/>
    <w:pPr>
      <w:keepNext/>
      <w:keepLines/>
      <w:widowControl/>
      <w:tabs>
        <w:tab w:val="left" w:pos="840"/>
        <w:tab w:val="left" w:pos="2040"/>
        <w:tab w:val="clear" w:pos="480"/>
      </w:tabs>
      <w:spacing w:before="60" w:after="60"/>
      <w:ind w:left="1713" w:hanging="862"/>
      <w:outlineLvl w:val="3"/>
    </w:pPr>
    <w:rPr>
      <w:rFonts w:ascii="黑体" w:hAnsi="宋体" w:cs="宋体"/>
      <w:bCs/>
      <w:kern w:val="0"/>
      <w:sz w:val="28"/>
      <w:szCs w:val="20"/>
    </w:rPr>
  </w:style>
  <w:style w:type="paragraph" w:customStyle="1" w:styleId="3049">
    <w:name w:val="样式 样式 样式 标题 3style3h3H3sect1.2.3标题 3 Char Charsect1.2.31sect1.2....6"/>
    <w:basedOn w:val="1"/>
    <w:semiHidden/>
    <w:qFormat/>
    <w:uiPriority w:val="0"/>
    <w:pPr>
      <w:keepNext/>
      <w:keepLines/>
      <w:widowControl/>
      <w:tabs>
        <w:tab w:val="left" w:pos="840"/>
        <w:tab w:val="left" w:pos="1620"/>
        <w:tab w:val="clear" w:pos="480"/>
      </w:tabs>
      <w:spacing w:before="60" w:after="60"/>
      <w:ind w:left="1620" w:right="100" w:rightChars="100" w:hanging="420"/>
      <w:jc w:val="left"/>
      <w:outlineLvl w:val="2"/>
    </w:pPr>
    <w:rPr>
      <w:rFonts w:ascii="宋体" w:hAnsi="宋体" w:cs="宋体"/>
      <w:bCs/>
      <w:kern w:val="0"/>
      <w:sz w:val="28"/>
      <w:szCs w:val="20"/>
    </w:rPr>
  </w:style>
  <w:style w:type="paragraph" w:customStyle="1" w:styleId="3050">
    <w:name w:val="样式 标题 1Char Char章 + 宋体"/>
    <w:basedOn w:val="3"/>
    <w:semiHidden/>
    <w:qFormat/>
    <w:uiPriority w:val="0"/>
    <w:pPr>
      <w:keepLines w:val="0"/>
      <w:widowControl/>
      <w:numPr>
        <w:numId w:val="0"/>
      </w:numPr>
      <w:tabs>
        <w:tab w:val="left" w:pos="336"/>
        <w:tab w:val="clear" w:pos="480"/>
      </w:tabs>
      <w:spacing w:before="100" w:after="100"/>
      <w:ind w:left="431" w:hanging="431"/>
      <w:jc w:val="left"/>
    </w:pPr>
    <w:rPr>
      <w:rFonts w:ascii="宋体" w:hAnsi="宋体" w:eastAsia="宋体"/>
      <w:bCs w:val="0"/>
      <w:kern w:val="0"/>
      <w:sz w:val="28"/>
      <w:szCs w:val="28"/>
    </w:rPr>
  </w:style>
  <w:style w:type="paragraph" w:customStyle="1" w:styleId="3051">
    <w:name w:val="Char1 Char Char Char Char Char Char Char Char Char1"/>
    <w:basedOn w:val="1"/>
    <w:semiHidden/>
    <w:qFormat/>
    <w:uiPriority w:val="0"/>
    <w:pPr>
      <w:widowControl/>
      <w:tabs>
        <w:tab w:val="clear" w:pos="480"/>
      </w:tabs>
      <w:spacing w:after="160" w:line="240" w:lineRule="exact"/>
      <w:jc w:val="left"/>
    </w:pPr>
    <w:rPr>
      <w:szCs w:val="20"/>
    </w:rPr>
  </w:style>
  <w:style w:type="paragraph" w:customStyle="1" w:styleId="3052">
    <w:name w:val="cucd-0"/>
    <w:qFormat/>
    <w:uiPriority w:val="0"/>
    <w:pPr>
      <w:spacing w:line="360" w:lineRule="auto"/>
      <w:ind w:firstLine="480" w:firstLineChars="200"/>
      <w:jc w:val="center"/>
    </w:pPr>
    <w:rPr>
      <w:rFonts w:ascii="Times New Roman" w:hAnsi="Times New Roman" w:eastAsia="宋体" w:cs="Times New Roman"/>
      <w:kern w:val="2"/>
      <w:sz w:val="24"/>
      <w:szCs w:val="24"/>
      <w:lang w:val="en-US" w:eastAsia="zh-CN" w:bidi="ar-SA"/>
    </w:rPr>
  </w:style>
  <w:style w:type="paragraph" w:customStyle="1" w:styleId="3053">
    <w:name w:val="样式 样式 标题 3style3h3H3sect1.2.3标题 3 Char Charsect1.2.31sect1.2...2...1"/>
    <w:basedOn w:val="1"/>
    <w:semiHidden/>
    <w:qFormat/>
    <w:uiPriority w:val="0"/>
    <w:pPr>
      <w:keepNext/>
      <w:keepLines/>
      <w:tabs>
        <w:tab w:val="clear" w:pos="480"/>
      </w:tabs>
      <w:snapToGrid w:val="0"/>
      <w:spacing w:beforeLines="50"/>
      <w:outlineLvl w:val="2"/>
    </w:pPr>
    <w:rPr>
      <w:rFonts w:eastAsia="黑体" w:cs="宋体"/>
      <w:b/>
      <w:bCs/>
      <w:spacing w:val="16"/>
      <w:sz w:val="30"/>
      <w:szCs w:val="20"/>
    </w:rPr>
  </w:style>
  <w:style w:type="paragraph" w:customStyle="1" w:styleId="3054">
    <w:name w:val="样式 标题 2SeHead wsa2H21标题 1.1Chapter TitleChapter节标题 1.1h..."/>
    <w:basedOn w:val="4"/>
    <w:semiHidden/>
    <w:qFormat/>
    <w:uiPriority w:val="0"/>
    <w:pPr>
      <w:numPr>
        <w:ilvl w:val="0"/>
        <w:numId w:val="0"/>
      </w:numPr>
      <w:spacing w:before="0" w:after="0"/>
    </w:pPr>
    <w:rPr>
      <w:rFonts w:cs="宋体"/>
      <w:kern w:val="0"/>
      <w:szCs w:val="20"/>
    </w:rPr>
  </w:style>
  <w:style w:type="paragraph" w:customStyle="1" w:styleId="3055">
    <w:name w:val="INDEX"/>
    <w:basedOn w:val="1"/>
    <w:semiHidden/>
    <w:qFormat/>
    <w:uiPriority w:val="0"/>
    <w:pPr>
      <w:tabs>
        <w:tab w:val="clear" w:pos="480"/>
      </w:tabs>
      <w:adjustRightInd w:val="0"/>
      <w:spacing w:line="360" w:lineRule="atLeast"/>
      <w:ind w:left="720" w:hanging="720"/>
      <w:jc w:val="left"/>
    </w:pPr>
    <w:rPr>
      <w:rFonts w:ascii="全真楷書" w:eastAsia="全真楷書" w:cs="Dutch801 Rm BT"/>
      <w:kern w:val="0"/>
      <w:szCs w:val="20"/>
      <w:lang w:eastAsia="zh-TW"/>
    </w:rPr>
  </w:style>
  <w:style w:type="paragraph" w:customStyle="1" w:styleId="3056">
    <w:name w:val="正文0"/>
    <w:basedOn w:val="1"/>
    <w:semiHidden/>
    <w:qFormat/>
    <w:uiPriority w:val="0"/>
    <w:pPr>
      <w:tabs>
        <w:tab w:val="clear" w:pos="480"/>
      </w:tabs>
      <w:autoSpaceDE w:val="0"/>
      <w:autoSpaceDN w:val="0"/>
      <w:adjustRightInd w:val="0"/>
      <w:ind w:firstLine="567"/>
      <w:jc w:val="left"/>
    </w:pPr>
    <w:rPr>
      <w:rFonts w:eastAsia="仿宋体"/>
      <w:kern w:val="0"/>
      <w:szCs w:val="20"/>
    </w:rPr>
  </w:style>
  <w:style w:type="paragraph" w:customStyle="1" w:styleId="3057">
    <w:name w:val="表题 11"/>
    <w:semiHidden/>
    <w:qFormat/>
    <w:uiPriority w:val="0"/>
    <w:pPr>
      <w:widowControl w:val="0"/>
      <w:adjustRightInd w:val="0"/>
      <w:spacing w:before="120" w:after="120"/>
      <w:jc w:val="center"/>
    </w:pPr>
    <w:rPr>
      <w:rFonts w:ascii="Times New Roman" w:hAnsi="Times New Roman" w:eastAsia="宋体" w:cs="Times New Roman"/>
      <w:kern w:val="2"/>
      <w:sz w:val="30"/>
      <w:szCs w:val="24"/>
      <w:lang w:val="en-US" w:eastAsia="zh-CN" w:bidi="ar-SA"/>
    </w:rPr>
  </w:style>
  <w:style w:type="paragraph" w:customStyle="1" w:styleId="3058">
    <w:name w:val="图底"/>
    <w:basedOn w:val="1"/>
    <w:semiHidden/>
    <w:qFormat/>
    <w:uiPriority w:val="0"/>
    <w:pPr>
      <w:tabs>
        <w:tab w:val="clear" w:pos="480"/>
      </w:tabs>
      <w:kinsoku w:val="0"/>
      <w:wordWrap w:val="0"/>
      <w:overflowPunct w:val="0"/>
      <w:autoSpaceDE w:val="0"/>
      <w:autoSpaceDN w:val="0"/>
      <w:adjustRightInd w:val="0"/>
      <w:spacing w:line="240" w:lineRule="auto"/>
      <w:jc w:val="center"/>
    </w:pPr>
    <w:rPr>
      <w:b/>
      <w:kern w:val="0"/>
      <w:szCs w:val="20"/>
    </w:rPr>
  </w:style>
  <w:style w:type="paragraph" w:customStyle="1" w:styleId="3059">
    <w:name w:val="目录4"/>
    <w:basedOn w:val="44"/>
    <w:next w:val="1"/>
    <w:semiHidden/>
    <w:qFormat/>
    <w:uiPriority w:val="0"/>
    <w:pPr>
      <w:tabs>
        <w:tab w:val="right" w:leader="dot" w:pos="8313"/>
      </w:tabs>
      <w:autoSpaceDE w:val="0"/>
      <w:autoSpaceDN w:val="0"/>
      <w:adjustRightInd w:val="0"/>
      <w:spacing w:line="240" w:lineRule="auto"/>
      <w:ind w:firstLine="1531"/>
    </w:pPr>
    <w:rPr>
      <w:rFonts w:eastAsia="仿宋体"/>
      <w:kern w:val="0"/>
      <w:sz w:val="28"/>
    </w:rPr>
  </w:style>
  <w:style w:type="paragraph" w:customStyle="1" w:styleId="3060">
    <w:name w:val="页面 6"/>
    <w:basedOn w:val="2469"/>
    <w:semiHidden/>
    <w:qFormat/>
    <w:uiPriority w:val="0"/>
    <w:rPr>
      <w:sz w:val="36"/>
    </w:rPr>
  </w:style>
  <w:style w:type="paragraph" w:customStyle="1" w:styleId="3061">
    <w:name w:val="正文尾"/>
    <w:semiHidden/>
    <w:qFormat/>
    <w:uiPriority w:val="0"/>
    <w:pPr>
      <w:widowControl w:val="0"/>
      <w:adjustRightInd w:val="0"/>
      <w:spacing w:line="300" w:lineRule="auto"/>
      <w:ind w:left="3969"/>
      <w:jc w:val="center"/>
    </w:pPr>
    <w:rPr>
      <w:rFonts w:ascii="Times New Roman" w:hAnsi="Times New Roman" w:eastAsia="宋体" w:cs="Times New Roman"/>
      <w:kern w:val="2"/>
      <w:sz w:val="28"/>
      <w:szCs w:val="24"/>
      <w:lang w:val="en-US" w:eastAsia="zh-CN" w:bidi="ar-SA"/>
    </w:rPr>
  </w:style>
  <w:style w:type="paragraph" w:customStyle="1" w:styleId="3062">
    <w:name w:val="目录 71"/>
    <w:basedOn w:val="13"/>
    <w:semiHidden/>
    <w:qFormat/>
    <w:uiPriority w:val="0"/>
    <w:pPr>
      <w:spacing w:line="240" w:lineRule="auto"/>
      <w:ind w:left="567" w:firstLine="425"/>
    </w:pPr>
    <w:rPr>
      <w:szCs w:val="20"/>
    </w:rPr>
  </w:style>
  <w:style w:type="paragraph" w:customStyle="1" w:styleId="3063">
    <w:name w:val="Char Char1 Char Char Char Char Char Char Char Char Char Char Char Char Char Char Char Char Char Char Char Char1 Char1"/>
    <w:basedOn w:val="1"/>
    <w:semiHidden/>
    <w:qFormat/>
    <w:uiPriority w:val="0"/>
    <w:pPr>
      <w:tabs>
        <w:tab w:val="clear" w:pos="480"/>
      </w:tabs>
    </w:pPr>
    <w:rPr>
      <w:rFonts w:ascii="宋体" w:hAnsi="宋体" w:cs="宋体"/>
    </w:rPr>
  </w:style>
  <w:style w:type="paragraph" w:customStyle="1" w:styleId="3064">
    <w:name w:val="正文 03"/>
    <w:basedOn w:val="1"/>
    <w:semiHidden/>
    <w:qFormat/>
    <w:uiPriority w:val="0"/>
    <w:pPr>
      <w:tabs>
        <w:tab w:val="clear" w:pos="480"/>
      </w:tabs>
      <w:autoSpaceDE w:val="0"/>
      <w:autoSpaceDN w:val="0"/>
      <w:adjustRightInd w:val="0"/>
      <w:spacing w:line="240" w:lineRule="auto"/>
    </w:pPr>
    <w:rPr>
      <w:kern w:val="0"/>
      <w:szCs w:val="20"/>
    </w:rPr>
  </w:style>
  <w:style w:type="paragraph" w:customStyle="1" w:styleId="3065">
    <w:name w:val="表题1"/>
    <w:next w:val="175"/>
    <w:semiHidden/>
    <w:qFormat/>
    <w:uiPriority w:val="0"/>
    <w:pPr>
      <w:keepNext/>
      <w:keepLines/>
      <w:widowControl w:val="0"/>
      <w:topLinePunct/>
      <w:autoSpaceDE w:val="0"/>
      <w:autoSpaceDN w:val="0"/>
      <w:adjustRightInd w:val="0"/>
      <w:spacing w:line="360" w:lineRule="auto"/>
      <w:jc w:val="center"/>
    </w:pPr>
    <w:rPr>
      <w:rFonts w:ascii="Times New Roman" w:hAnsi="Times New Roman" w:eastAsia="仿宋体" w:cs="Times New Roman"/>
      <w:kern w:val="2"/>
      <w:sz w:val="28"/>
      <w:szCs w:val="24"/>
      <w:lang w:val="en-US" w:eastAsia="zh-CN" w:bidi="ar-SA"/>
    </w:rPr>
  </w:style>
  <w:style w:type="paragraph" w:customStyle="1" w:styleId="3066">
    <w:name w:val="表号"/>
    <w:qFormat/>
    <w:uiPriority w:val="0"/>
    <w:pPr>
      <w:widowControl w:val="0"/>
      <w:autoSpaceDE w:val="0"/>
      <w:autoSpaceDN w:val="0"/>
      <w:adjustRightInd w:val="0"/>
      <w:spacing w:before="120" w:after="120" w:line="288" w:lineRule="auto"/>
      <w:jc w:val="center"/>
    </w:pPr>
    <w:rPr>
      <w:rFonts w:ascii="Arial" w:hAnsi="Arial" w:eastAsia="楷体_GB2312" w:cs="Times New Roman"/>
      <w:kern w:val="2"/>
      <w:sz w:val="24"/>
      <w:szCs w:val="24"/>
      <w:lang w:val="en-US" w:eastAsia="zh-CN" w:bidi="ar-SA"/>
    </w:rPr>
  </w:style>
  <w:style w:type="paragraph" w:customStyle="1" w:styleId="3067">
    <w:name w:val="正文 3"/>
    <w:basedOn w:val="1"/>
    <w:semiHidden/>
    <w:qFormat/>
    <w:uiPriority w:val="0"/>
    <w:pPr>
      <w:tabs>
        <w:tab w:val="clear" w:pos="480"/>
      </w:tabs>
      <w:autoSpaceDE w:val="0"/>
      <w:autoSpaceDN w:val="0"/>
      <w:adjustRightInd w:val="0"/>
      <w:spacing w:line="300" w:lineRule="auto"/>
      <w:ind w:firstLine="567"/>
    </w:pPr>
    <w:rPr>
      <w:rFonts w:eastAsia="楷体_GB2312"/>
      <w:kern w:val="0"/>
      <w:sz w:val="21"/>
      <w:szCs w:val="20"/>
    </w:rPr>
  </w:style>
  <w:style w:type="paragraph" w:customStyle="1" w:styleId="3068">
    <w:name w:val="表题 3"/>
    <w:basedOn w:val="2463"/>
    <w:semiHidden/>
    <w:qFormat/>
    <w:uiPriority w:val="0"/>
    <w:pPr>
      <w:textAlignment w:val="auto"/>
    </w:pPr>
    <w:rPr>
      <w:sz w:val="24"/>
    </w:rPr>
  </w:style>
  <w:style w:type="paragraph" w:customStyle="1" w:styleId="3069">
    <w:name w:val="页面 1"/>
    <w:basedOn w:val="2469"/>
    <w:semiHidden/>
    <w:qFormat/>
    <w:uiPriority w:val="0"/>
    <w:rPr>
      <w:rFonts w:eastAsia="隶书"/>
      <w:sz w:val="84"/>
    </w:rPr>
  </w:style>
  <w:style w:type="paragraph" w:customStyle="1" w:styleId="3070">
    <w:name w:val="页面 4"/>
    <w:basedOn w:val="2469"/>
    <w:semiHidden/>
    <w:qFormat/>
    <w:uiPriority w:val="0"/>
    <w:rPr>
      <w:rFonts w:eastAsia="隶书"/>
      <w:sz w:val="48"/>
    </w:rPr>
  </w:style>
  <w:style w:type="paragraph" w:customStyle="1" w:styleId="3071">
    <w:name w:val="页面 5"/>
    <w:basedOn w:val="2469"/>
    <w:semiHidden/>
    <w:qFormat/>
    <w:uiPriority w:val="0"/>
    <w:rPr>
      <w:sz w:val="44"/>
    </w:rPr>
  </w:style>
  <w:style w:type="paragraph" w:customStyle="1" w:styleId="3072">
    <w:name w:val="页面 8"/>
    <w:basedOn w:val="2469"/>
    <w:semiHidden/>
    <w:qFormat/>
    <w:uiPriority w:val="0"/>
    <w:rPr>
      <w:sz w:val="30"/>
    </w:rPr>
  </w:style>
  <w:style w:type="paragraph" w:customStyle="1" w:styleId="3073">
    <w:name w:val="表格 12"/>
    <w:basedOn w:val="1"/>
    <w:semiHidden/>
    <w:qFormat/>
    <w:uiPriority w:val="0"/>
    <w:pPr>
      <w:tabs>
        <w:tab w:val="clear" w:pos="480"/>
      </w:tabs>
      <w:autoSpaceDE w:val="0"/>
      <w:autoSpaceDN w:val="0"/>
      <w:adjustRightInd w:val="0"/>
      <w:spacing w:line="240" w:lineRule="auto"/>
      <w:jc w:val="center"/>
    </w:pPr>
    <w:rPr>
      <w:kern w:val="0"/>
      <w:szCs w:val="20"/>
    </w:rPr>
  </w:style>
  <w:style w:type="paragraph" w:customStyle="1" w:styleId="3074">
    <w:name w:val="正文 31"/>
    <w:basedOn w:val="3067"/>
    <w:semiHidden/>
    <w:qFormat/>
    <w:uiPriority w:val="0"/>
    <w:pPr>
      <w:spacing w:line="360" w:lineRule="auto"/>
      <w:jc w:val="left"/>
    </w:pPr>
    <w:rPr>
      <w:rFonts w:eastAsia="楷体"/>
      <w:sz w:val="28"/>
    </w:rPr>
  </w:style>
  <w:style w:type="paragraph" w:customStyle="1" w:styleId="3075">
    <w:name w:val="正文尾 1"/>
    <w:semiHidden/>
    <w:qFormat/>
    <w:uiPriority w:val="0"/>
    <w:pPr>
      <w:widowControl w:val="0"/>
      <w:adjustRightInd w:val="0"/>
      <w:spacing w:line="360" w:lineRule="auto"/>
      <w:ind w:left="3969"/>
      <w:jc w:val="center"/>
    </w:pPr>
    <w:rPr>
      <w:rFonts w:ascii="Times New Roman" w:hAnsi="Times New Roman" w:eastAsia="宋体" w:cs="Times New Roman"/>
      <w:kern w:val="2"/>
      <w:sz w:val="28"/>
      <w:szCs w:val="24"/>
      <w:lang w:val="en-US" w:eastAsia="zh-CN" w:bidi="ar-SA"/>
    </w:rPr>
  </w:style>
  <w:style w:type="paragraph" w:customStyle="1" w:styleId="3076">
    <w:name w:val="标题 43"/>
    <w:basedOn w:val="6"/>
    <w:semiHidden/>
    <w:qFormat/>
    <w:uiPriority w:val="0"/>
    <w:pPr>
      <w:keepNext w:val="0"/>
      <w:keepLines w:val="0"/>
      <w:numPr>
        <w:ilvl w:val="0"/>
        <w:numId w:val="0"/>
      </w:numPr>
      <w:tabs>
        <w:tab w:val="clear" w:pos="480"/>
      </w:tabs>
      <w:adjustRightInd w:val="0"/>
      <w:spacing w:before="120" w:after="120" w:line="240" w:lineRule="auto"/>
      <w:ind w:firstLine="567"/>
      <w:jc w:val="left"/>
      <w:outlineLvl w:val="9"/>
    </w:pPr>
    <w:rPr>
      <w:rFonts w:ascii="Times New Roman" w:hAnsi="Times New Roman" w:eastAsia="隶书体"/>
      <w:b w:val="0"/>
      <w:bCs w:val="0"/>
      <w:kern w:val="0"/>
      <w:sz w:val="30"/>
      <w:szCs w:val="20"/>
    </w:rPr>
  </w:style>
  <w:style w:type="paragraph" w:customStyle="1" w:styleId="3077">
    <w:name w:val="标题 53"/>
    <w:basedOn w:val="7"/>
    <w:semiHidden/>
    <w:qFormat/>
    <w:uiPriority w:val="0"/>
    <w:pPr>
      <w:keepNext w:val="0"/>
      <w:keepLines w:val="0"/>
      <w:numPr>
        <w:numId w:val="0"/>
      </w:numPr>
      <w:tabs>
        <w:tab w:val="clear" w:pos="480"/>
      </w:tabs>
      <w:autoSpaceDE w:val="0"/>
      <w:autoSpaceDN w:val="0"/>
      <w:adjustRightInd w:val="0"/>
      <w:spacing w:before="120" w:after="120" w:line="240" w:lineRule="auto"/>
      <w:ind w:left="567"/>
      <w:outlineLvl w:val="9"/>
    </w:pPr>
    <w:rPr>
      <w:rFonts w:ascii="Times New Roman" w:hAnsi="Times New Roman" w:eastAsia="隶书体"/>
      <w:b w:val="0"/>
      <w:kern w:val="0"/>
      <w:sz w:val="28"/>
    </w:rPr>
  </w:style>
  <w:style w:type="paragraph" w:customStyle="1" w:styleId="3078">
    <w:name w:val="标题 63"/>
    <w:basedOn w:val="8"/>
    <w:semiHidden/>
    <w:qFormat/>
    <w:uiPriority w:val="0"/>
    <w:pPr>
      <w:keepNext w:val="0"/>
      <w:keepLines w:val="0"/>
      <w:numPr>
        <w:ilvl w:val="0"/>
        <w:numId w:val="0"/>
      </w:numPr>
      <w:tabs>
        <w:tab w:val="clear" w:pos="480"/>
      </w:tabs>
      <w:spacing w:after="120" w:line="240" w:lineRule="auto"/>
      <w:ind w:left="567"/>
      <w:jc w:val="left"/>
      <w:textAlignment w:val="auto"/>
      <w:outlineLvl w:val="9"/>
    </w:pPr>
    <w:rPr>
      <w:rFonts w:ascii="Times New Roman" w:hAnsi="Times New Roman" w:eastAsia="隶书体"/>
      <w:b w:val="0"/>
      <w:kern w:val="0"/>
    </w:rPr>
  </w:style>
  <w:style w:type="paragraph" w:customStyle="1" w:styleId="3079">
    <w:name w:val="样式 (符号) Bookman Old Style 小四 行距: 1.5 倍行距"/>
    <w:basedOn w:val="1"/>
    <w:semiHidden/>
    <w:qFormat/>
    <w:uiPriority w:val="0"/>
    <w:pPr>
      <w:tabs>
        <w:tab w:val="clear" w:pos="480"/>
      </w:tabs>
    </w:pPr>
    <w:rPr>
      <w:rFonts w:hAnsi="Bookman Old Style" w:cs="宋体"/>
      <w:szCs w:val="20"/>
    </w:rPr>
  </w:style>
  <w:style w:type="paragraph" w:customStyle="1" w:styleId="3080">
    <w:name w:val="样式 (符号) Bookman Old Style 小四 首行缩进:  0.85 厘米 行距: 1.5 倍行距"/>
    <w:basedOn w:val="1"/>
    <w:semiHidden/>
    <w:qFormat/>
    <w:uiPriority w:val="0"/>
    <w:pPr>
      <w:tabs>
        <w:tab w:val="clear" w:pos="480"/>
      </w:tabs>
      <w:ind w:firstLine="482"/>
    </w:pPr>
    <w:rPr>
      <w:rFonts w:hAnsi="Bookman Old Style" w:cs="宋体"/>
      <w:szCs w:val="20"/>
    </w:rPr>
  </w:style>
  <w:style w:type="paragraph" w:customStyle="1" w:styleId="3081">
    <w:name w:val="样式 (符号) Bookman Old Style 小四 首行缩进:  0.63 厘米 行距: 1.5 倍行距"/>
    <w:basedOn w:val="1"/>
    <w:semiHidden/>
    <w:qFormat/>
    <w:uiPriority w:val="0"/>
    <w:pPr>
      <w:tabs>
        <w:tab w:val="clear" w:pos="480"/>
      </w:tabs>
      <w:ind w:firstLine="357"/>
    </w:pPr>
    <w:rPr>
      <w:rFonts w:hAnsi="Bookman Old Style" w:cs="宋体"/>
      <w:szCs w:val="20"/>
    </w:rPr>
  </w:style>
  <w:style w:type="paragraph" w:customStyle="1" w:styleId="3082">
    <w:name w:val="样式 标题 1Head 1wsa + 三号 加粗 居中 行距: 1.5 倍行距"/>
    <w:basedOn w:val="3"/>
    <w:semiHidden/>
    <w:qFormat/>
    <w:uiPriority w:val="0"/>
    <w:pPr>
      <w:keepLines w:val="0"/>
      <w:pageBreakBefore/>
      <w:numPr>
        <w:numId w:val="0"/>
      </w:numPr>
      <w:tabs>
        <w:tab w:val="clear" w:pos="480"/>
      </w:tabs>
      <w:autoSpaceDN w:val="0"/>
      <w:adjustRightInd w:val="0"/>
      <w:spacing w:before="0" w:after="0"/>
      <w:jc w:val="center"/>
    </w:pPr>
    <w:rPr>
      <w:rFonts w:ascii="宋体" w:hAnsi="宋体" w:eastAsia="宋体" w:cs="宋体"/>
      <w:b w:val="0"/>
      <w:kern w:val="2"/>
      <w:sz w:val="32"/>
      <w:szCs w:val="30"/>
    </w:rPr>
  </w:style>
  <w:style w:type="paragraph" w:customStyle="1" w:styleId="3083">
    <w:name w:val="正文61"/>
    <w:basedOn w:val="34"/>
    <w:semiHidden/>
    <w:qFormat/>
    <w:uiPriority w:val="0"/>
    <w:pPr>
      <w:spacing w:line="360" w:lineRule="auto"/>
    </w:pPr>
    <w:rPr>
      <w:rFonts w:hint="eastAsia" w:ascii="Times New Roman" w:hAnsi="Times New Roman"/>
      <w:kern w:val="0"/>
      <w:sz w:val="24"/>
      <w:szCs w:val="24"/>
    </w:rPr>
  </w:style>
  <w:style w:type="paragraph" w:customStyle="1" w:styleId="3084">
    <w:name w:val="a0"/>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3085">
    <w:name w:val="样式 表格 + 五号 右"/>
    <w:basedOn w:val="158"/>
    <w:semiHidden/>
    <w:qFormat/>
    <w:uiPriority w:val="0"/>
    <w:pPr>
      <w:keepNext/>
      <w:autoSpaceDE w:val="0"/>
      <w:autoSpaceDN w:val="0"/>
      <w:spacing w:line="240" w:lineRule="auto"/>
      <w:jc w:val="center"/>
      <w:textAlignment w:val="auto"/>
    </w:pPr>
    <w:rPr>
      <w:rFonts w:hint="eastAsia" w:ascii="楷体_GB2312" w:hAnsi="Calibri" w:eastAsia="宋体" w:cs="宋体"/>
      <w:kern w:val="0"/>
      <w:sz w:val="20"/>
    </w:rPr>
  </w:style>
  <w:style w:type="paragraph" w:customStyle="1" w:styleId="3086">
    <w:name w:val="样式 表格 + 五号 右1"/>
    <w:basedOn w:val="158"/>
    <w:semiHidden/>
    <w:qFormat/>
    <w:uiPriority w:val="0"/>
    <w:pPr>
      <w:keepNext/>
      <w:autoSpaceDE w:val="0"/>
      <w:autoSpaceDN w:val="0"/>
      <w:spacing w:line="240" w:lineRule="auto"/>
      <w:jc w:val="center"/>
      <w:textAlignment w:val="auto"/>
    </w:pPr>
    <w:rPr>
      <w:rFonts w:hint="eastAsia" w:ascii="楷体_GB2312" w:hAnsi="Calibri" w:eastAsia="宋体" w:cs="宋体"/>
      <w:kern w:val="0"/>
      <w:sz w:val="20"/>
    </w:rPr>
  </w:style>
  <w:style w:type="paragraph" w:customStyle="1" w:styleId="3087">
    <w:name w:val="样式 表格 2 + 行距: 1.5 倍行距"/>
    <w:basedOn w:val="514"/>
    <w:semiHidden/>
    <w:qFormat/>
    <w:uiPriority w:val="0"/>
    <w:pPr>
      <w:spacing w:line="360" w:lineRule="auto"/>
      <w:jc w:val="left"/>
      <w:textAlignment w:val="auto"/>
    </w:pPr>
    <w:rPr>
      <w:rFonts w:hint="eastAsia" w:ascii="楷体_GB2312" w:hAnsi="Calibri" w:cs="宋体"/>
      <w:sz w:val="21"/>
    </w:rPr>
  </w:style>
  <w:style w:type="paragraph" w:customStyle="1" w:styleId="3088">
    <w:name w:val="样式 样式 表格 2 + 行距: 1.5 倍行距 + 左  -0.01 字符"/>
    <w:basedOn w:val="3085"/>
    <w:semiHidden/>
    <w:qFormat/>
    <w:uiPriority w:val="0"/>
    <w:pPr>
      <w:spacing w:line="360" w:lineRule="auto"/>
      <w:ind w:left="-2" w:leftChars="-7" w:hanging="15" w:hangingChars="7"/>
    </w:pPr>
  </w:style>
  <w:style w:type="paragraph" w:customStyle="1" w:styleId="3089">
    <w:name w:val="项目编号"/>
    <w:basedOn w:val="1"/>
    <w:next w:val="1"/>
    <w:qFormat/>
    <w:uiPriority w:val="0"/>
    <w:pPr>
      <w:numPr>
        <w:ilvl w:val="0"/>
        <w:numId w:val="33"/>
      </w:numPr>
      <w:tabs>
        <w:tab w:val="left" w:pos="1077"/>
        <w:tab w:val="clear" w:pos="870"/>
      </w:tabs>
      <w:adjustRightInd w:val="0"/>
      <w:spacing w:before="120"/>
      <w:ind w:left="1077" w:hanging="567"/>
    </w:pPr>
    <w:rPr>
      <w:kern w:val="0"/>
      <w:szCs w:val="20"/>
    </w:rPr>
  </w:style>
  <w:style w:type="paragraph" w:customStyle="1" w:styleId="3090">
    <w:name w:val="龙1"/>
    <w:basedOn w:val="2474"/>
    <w:semiHidden/>
    <w:qFormat/>
    <w:uiPriority w:val="0"/>
    <w:pPr>
      <w:autoSpaceDE w:val="0"/>
      <w:autoSpaceDN w:val="0"/>
      <w:spacing w:line="800" w:lineRule="exact"/>
      <w:outlineLvl w:val="0"/>
    </w:pPr>
    <w:rPr>
      <w:rFonts w:eastAsia="宋体"/>
      <w:b/>
      <w:sz w:val="3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3091">
    <w:name w:val="Char Char Char Char Char Char1 Char Char Char1 Char Char Char1 Char Char Char Char Char Char Char Char Char Char1"/>
    <w:basedOn w:val="1"/>
    <w:next w:val="1"/>
    <w:semiHidden/>
    <w:qFormat/>
    <w:uiPriority w:val="0"/>
    <w:pPr>
      <w:tabs>
        <w:tab w:val="clear" w:pos="480"/>
      </w:tabs>
    </w:pPr>
    <w:rPr>
      <w:rFonts w:ascii="宋体" w:hAnsi="宋体" w:cs="宋体"/>
    </w:rPr>
  </w:style>
  <w:style w:type="paragraph" w:customStyle="1" w:styleId="3092">
    <w:name w:val="表注解"/>
    <w:basedOn w:val="641"/>
    <w:next w:val="641"/>
    <w:semiHidden/>
    <w:qFormat/>
    <w:uiPriority w:val="0"/>
    <w:pPr>
      <w:widowControl/>
      <w:adjustRightInd w:val="0"/>
      <w:snapToGrid w:val="0"/>
    </w:pPr>
    <w:rPr>
      <w:rFonts w:ascii="Calibri" w:hAnsi="Calibri"/>
      <w:b/>
      <w:spacing w:val="0"/>
      <w:sz w:val="18"/>
    </w:rPr>
  </w:style>
  <w:style w:type="paragraph" w:customStyle="1" w:styleId="3093">
    <w:name w:val="表头及表尾"/>
    <w:semiHidden/>
    <w:qFormat/>
    <w:uiPriority w:val="0"/>
    <w:pPr>
      <w:tabs>
        <w:tab w:val="center" w:pos="4200"/>
        <w:tab w:val="right" w:pos="8400"/>
      </w:tabs>
      <w:adjustRightInd w:val="0"/>
      <w:snapToGrid w:val="0"/>
      <w:jc w:val="center"/>
    </w:pPr>
    <w:rPr>
      <w:rFonts w:ascii="Times New Roman" w:hAnsi="Times New Roman" w:eastAsia="宋体" w:cs="Times New Roman"/>
      <w:b/>
      <w:kern w:val="2"/>
      <w:sz w:val="21"/>
      <w:szCs w:val="21"/>
      <w:lang w:val="en-US" w:eastAsia="zh-CN" w:bidi="ar-SA"/>
    </w:rPr>
  </w:style>
  <w:style w:type="paragraph" w:customStyle="1" w:styleId="3094">
    <w:name w:val="样式  Char + 左  -0.01 字符"/>
    <w:basedOn w:val="21"/>
    <w:semiHidden/>
    <w:qFormat/>
    <w:uiPriority w:val="0"/>
    <w:pPr>
      <w:tabs>
        <w:tab w:val="clear" w:pos="480"/>
      </w:tabs>
      <w:spacing w:line="240" w:lineRule="auto"/>
      <w:ind w:firstLine="190" w:firstLineChars="190"/>
    </w:pPr>
    <w:rPr>
      <w:rFonts w:cs="宋体"/>
      <w:kern w:val="0"/>
      <w:sz w:val="20"/>
      <w:szCs w:val="20"/>
    </w:rPr>
  </w:style>
  <w:style w:type="paragraph" w:customStyle="1" w:styleId="3095">
    <w:name w:val="Char4 Char Char Char"/>
    <w:basedOn w:val="1"/>
    <w:semiHidden/>
    <w:qFormat/>
    <w:uiPriority w:val="0"/>
    <w:pPr>
      <w:tabs>
        <w:tab w:val="clear" w:pos="480"/>
      </w:tabs>
      <w:adjustRightInd w:val="0"/>
      <w:snapToGrid w:val="0"/>
    </w:pPr>
    <w:rPr>
      <w:rFonts w:ascii="宋体" w:hAnsi="宋体" w:cs="宋体"/>
      <w:szCs w:val="26"/>
    </w:rPr>
  </w:style>
  <w:style w:type="paragraph" w:customStyle="1" w:styleId="3096">
    <w:name w:val="封面标准名称"/>
    <w:semiHidden/>
    <w:qFormat/>
    <w:uiPriority w:val="0"/>
    <w:pPr>
      <w:framePr w:w="9638" w:h="6917" w:wrap="around" w:vAnchor="margin" w:hAnchor="margin" w:xAlign="center" w:y="5955" w:anchorLock="1"/>
      <w:widowControl w:val="0"/>
      <w:spacing w:line="680" w:lineRule="exact"/>
      <w:jc w:val="center"/>
    </w:pPr>
    <w:rPr>
      <w:rFonts w:ascii="黑体" w:hAnsi="Times New Roman" w:eastAsia="黑体" w:cs="Times New Roman"/>
      <w:kern w:val="2"/>
      <w:sz w:val="52"/>
      <w:szCs w:val="24"/>
      <w:lang w:val="en-US" w:eastAsia="zh-CN" w:bidi="ar-SA"/>
    </w:rPr>
  </w:style>
  <w:style w:type="paragraph" w:customStyle="1" w:styleId="3097">
    <w:name w:val="zwb"/>
    <w:basedOn w:val="1"/>
    <w:semiHidden/>
    <w:qFormat/>
    <w:uiPriority w:val="0"/>
    <w:pPr>
      <w:widowControl/>
      <w:tabs>
        <w:tab w:val="clear" w:pos="480"/>
      </w:tabs>
      <w:spacing w:before="100" w:beforeAutospacing="1" w:after="100" w:afterAutospacing="1" w:line="240" w:lineRule="auto"/>
      <w:jc w:val="left"/>
    </w:pPr>
    <w:rPr>
      <w:rFonts w:ascii="宋体" w:hAnsi="宋体" w:cs="宋体"/>
      <w:b/>
      <w:bCs/>
      <w:color w:val="000000"/>
      <w:kern w:val="0"/>
      <w:sz w:val="27"/>
      <w:szCs w:val="27"/>
    </w:rPr>
  </w:style>
  <w:style w:type="paragraph" w:customStyle="1" w:styleId="3098">
    <w:name w:val="表内小四"/>
    <w:basedOn w:val="1"/>
    <w:semiHidden/>
    <w:qFormat/>
    <w:uiPriority w:val="0"/>
    <w:pPr>
      <w:widowControl/>
      <w:tabs>
        <w:tab w:val="clear" w:pos="480"/>
      </w:tabs>
      <w:adjustRightInd w:val="0"/>
      <w:spacing w:line="240" w:lineRule="auto"/>
      <w:ind w:left="-50"/>
      <w:jc w:val="left"/>
    </w:pPr>
    <w:rPr>
      <w:kern w:val="0"/>
      <w:szCs w:val="20"/>
    </w:rPr>
  </w:style>
  <w:style w:type="paragraph" w:customStyle="1" w:styleId="3099">
    <w:name w:val="正文首缩"/>
    <w:basedOn w:val="34"/>
    <w:semiHidden/>
    <w:qFormat/>
    <w:uiPriority w:val="0"/>
    <w:pPr>
      <w:tabs>
        <w:tab w:val="left" w:pos="3926"/>
      </w:tabs>
      <w:snapToGrid w:val="0"/>
      <w:spacing w:after="80" w:line="288" w:lineRule="auto"/>
      <w:ind w:firstLine="454"/>
    </w:pPr>
    <w:rPr>
      <w:rFonts w:hint="eastAsia" w:ascii="Times New Roman" w:hAnsi="Times New Roman"/>
      <w:kern w:val="0"/>
      <w:sz w:val="24"/>
    </w:rPr>
  </w:style>
  <w:style w:type="paragraph" w:customStyle="1" w:styleId="3100">
    <w:name w:val="报告样式"/>
    <w:basedOn w:val="1"/>
    <w:next w:val="208"/>
    <w:semiHidden/>
    <w:qFormat/>
    <w:uiPriority w:val="0"/>
    <w:pPr>
      <w:tabs>
        <w:tab w:val="clear" w:pos="480"/>
      </w:tabs>
      <w:spacing w:line="240" w:lineRule="auto"/>
    </w:pPr>
  </w:style>
  <w:style w:type="paragraph" w:customStyle="1" w:styleId="3101">
    <w:name w:val="样式 标题 4H4Subsection + 段前: 6 磅 段后: 6 磅"/>
    <w:basedOn w:val="6"/>
    <w:semiHidden/>
    <w:qFormat/>
    <w:uiPriority w:val="0"/>
    <w:pPr>
      <w:keepNext w:val="0"/>
      <w:keepLines w:val="0"/>
      <w:numPr>
        <w:ilvl w:val="0"/>
        <w:numId w:val="0"/>
      </w:numPr>
      <w:tabs>
        <w:tab w:val="left" w:pos="-34"/>
        <w:tab w:val="clear" w:pos="480"/>
      </w:tabs>
      <w:spacing w:before="0" w:after="0"/>
      <w:ind w:left="-20"/>
    </w:pPr>
    <w:rPr>
      <w:rFonts w:ascii="Times New Roman" w:hAnsi="Times New Roman" w:eastAsia="宋体" w:cs="宋体"/>
      <w:sz w:val="24"/>
      <w:szCs w:val="20"/>
    </w:rPr>
  </w:style>
  <w:style w:type="paragraph" w:customStyle="1" w:styleId="3102">
    <w:name w:val="样式 样式 宋体 小四 左 + 首行缩进:  2 字符"/>
    <w:basedOn w:val="1"/>
    <w:semiHidden/>
    <w:qFormat/>
    <w:uiPriority w:val="0"/>
    <w:pPr>
      <w:tabs>
        <w:tab w:val="clear" w:pos="480"/>
      </w:tabs>
      <w:jc w:val="left"/>
    </w:pPr>
    <w:rPr>
      <w:rFonts w:cs="宋体"/>
      <w:kern w:val="0"/>
      <w:szCs w:val="20"/>
    </w:rPr>
  </w:style>
  <w:style w:type="paragraph" w:customStyle="1" w:styleId="3103">
    <w:name w:val="样式 小初 加粗 阴影 居中 段前: 7.8 磅 段后: 7.8 磅"/>
    <w:basedOn w:val="1"/>
    <w:semiHidden/>
    <w:qFormat/>
    <w:uiPriority w:val="0"/>
    <w:pPr>
      <w:tabs>
        <w:tab w:val="clear" w:pos="480"/>
      </w:tabs>
      <w:spacing w:line="240" w:lineRule="auto"/>
      <w:jc w:val="center"/>
    </w:pPr>
    <w:rPr>
      <w:rFonts w:cs="宋体"/>
      <w:b/>
      <w:bCs/>
      <w:sz w:val="72"/>
      <w:szCs w:val="20"/>
      <w14:shadow w14:blurRad="50800" w14:dist="38100" w14:dir="2700000" w14:sx="100000" w14:sy="100000" w14:kx="0" w14:ky="0" w14:algn="tl">
        <w14:srgbClr w14:val="000000">
          <w14:alpha w14:val="60000"/>
        </w14:srgbClr>
      </w14:shadow>
    </w:rPr>
  </w:style>
  <w:style w:type="paragraph" w:customStyle="1" w:styleId="3104">
    <w:name w:val="样式 编制日期 + 首行缩进:  6.4 字符"/>
    <w:basedOn w:val="1"/>
    <w:semiHidden/>
    <w:qFormat/>
    <w:uiPriority w:val="0"/>
    <w:pPr>
      <w:tabs>
        <w:tab w:val="clear" w:pos="480"/>
      </w:tabs>
      <w:spacing w:line="240" w:lineRule="auto"/>
      <w:ind w:firstLine="1799" w:firstLineChars="640"/>
    </w:pPr>
    <w:rPr>
      <w:rFonts w:cs="宋体"/>
      <w:b/>
      <w:bCs/>
      <w:sz w:val="28"/>
      <w:szCs w:val="20"/>
    </w:rPr>
  </w:style>
  <w:style w:type="paragraph" w:customStyle="1" w:styleId="3105">
    <w:name w:val="正文1-1"/>
    <w:basedOn w:val="1"/>
    <w:next w:val="1"/>
    <w:link w:val="3260"/>
    <w:qFormat/>
    <w:uiPriority w:val="0"/>
    <w:pPr>
      <w:widowControl/>
      <w:tabs>
        <w:tab w:val="clear" w:pos="480"/>
      </w:tabs>
      <w:adjustRightInd w:val="0"/>
      <w:snapToGrid w:val="0"/>
      <w:jc w:val="left"/>
    </w:pPr>
    <w:rPr>
      <w:kern w:val="0"/>
      <w:lang w:val="zh-CN"/>
    </w:rPr>
  </w:style>
  <w:style w:type="paragraph" w:customStyle="1" w:styleId="3106">
    <w:name w:val="Char1 Char Char Char Char Char Char1"/>
    <w:basedOn w:val="1"/>
    <w:semiHidden/>
    <w:qFormat/>
    <w:uiPriority w:val="0"/>
    <w:pPr>
      <w:widowControl/>
      <w:tabs>
        <w:tab w:val="clear" w:pos="480"/>
      </w:tabs>
      <w:spacing w:after="160" w:line="240" w:lineRule="exact"/>
      <w:jc w:val="left"/>
    </w:pPr>
    <w:rPr>
      <w:rFonts w:ascii="Verdana" w:hAnsi="Verdana" w:eastAsia="仿宋_GB2312"/>
      <w:kern w:val="0"/>
      <w:szCs w:val="20"/>
      <w:lang w:eastAsia="en-US"/>
    </w:rPr>
  </w:style>
  <w:style w:type="paragraph" w:customStyle="1" w:styleId="3107">
    <w:name w:val="样式 1标题3级 + 左侧:  -0.85 厘米 段前: 1.55 磅"/>
    <w:basedOn w:val="1"/>
    <w:semiHidden/>
    <w:qFormat/>
    <w:uiPriority w:val="0"/>
    <w:pPr>
      <w:keepNext/>
      <w:tabs>
        <w:tab w:val="clear" w:pos="480"/>
      </w:tabs>
      <w:snapToGrid w:val="0"/>
      <w:spacing w:before="120" w:line="420" w:lineRule="auto"/>
      <w:ind w:left="-482" w:firstLine="199" w:firstLineChars="199"/>
      <w:outlineLvl w:val="2"/>
    </w:pPr>
    <w:rPr>
      <w:rFonts w:eastAsia="黑体" w:cs="宋体"/>
      <w:b/>
      <w:bCs/>
      <w:szCs w:val="20"/>
    </w:rPr>
  </w:style>
  <w:style w:type="paragraph" w:customStyle="1" w:styleId="3108">
    <w:name w:val="样式 1标题2级 + 左  -0.85 字符"/>
    <w:basedOn w:val="1"/>
    <w:semiHidden/>
    <w:qFormat/>
    <w:uiPriority w:val="0"/>
    <w:pPr>
      <w:keepNext/>
      <w:tabs>
        <w:tab w:val="clear" w:pos="480"/>
      </w:tabs>
      <w:snapToGrid w:val="0"/>
      <w:spacing w:beforeLines="100" w:line="420" w:lineRule="auto"/>
      <w:ind w:left="-85" w:leftChars="-85" w:firstLine="63" w:firstLineChars="63"/>
      <w:outlineLvl w:val="1"/>
    </w:pPr>
    <w:rPr>
      <w:rFonts w:eastAsia="黑体" w:cs="宋体"/>
      <w:b/>
      <w:bCs/>
      <w:sz w:val="28"/>
      <w:szCs w:val="20"/>
    </w:rPr>
  </w:style>
  <w:style w:type="paragraph" w:customStyle="1" w:styleId="3109">
    <w:name w:val="样式 1标题3级 + 段前: 0.1 行"/>
    <w:basedOn w:val="1"/>
    <w:semiHidden/>
    <w:qFormat/>
    <w:uiPriority w:val="0"/>
    <w:pPr>
      <w:keepNext/>
      <w:tabs>
        <w:tab w:val="clear" w:pos="480"/>
      </w:tabs>
      <w:snapToGrid w:val="0"/>
      <w:spacing w:before="120" w:line="420" w:lineRule="auto"/>
      <w:outlineLvl w:val="2"/>
    </w:pPr>
    <w:rPr>
      <w:rFonts w:eastAsia="黑体" w:cs="宋体"/>
      <w:b/>
      <w:bCs/>
      <w:szCs w:val="20"/>
    </w:rPr>
  </w:style>
  <w:style w:type="paragraph" w:customStyle="1" w:styleId="3110">
    <w:name w:val="样式 标题 2标题2H2h2第一层条一级条SeHead wsa2Chapter TitleChapter1...."/>
    <w:basedOn w:val="4"/>
    <w:semiHidden/>
    <w:qFormat/>
    <w:uiPriority w:val="0"/>
    <w:pPr>
      <w:numPr>
        <w:ilvl w:val="0"/>
        <w:numId w:val="0"/>
      </w:numPr>
      <w:tabs>
        <w:tab w:val="left" w:pos="992"/>
        <w:tab w:val="clear" w:pos="480"/>
        <w:tab w:val="clear" w:pos="630"/>
      </w:tabs>
      <w:snapToGrid w:val="0"/>
      <w:spacing w:before="0" w:line="460" w:lineRule="exact"/>
      <w:ind w:left="861" w:hanging="567"/>
    </w:pPr>
    <w:rPr>
      <w:rFonts w:ascii="宋体" w:hAnsi="宋体"/>
      <w:kern w:val="0"/>
      <w:szCs w:val="30"/>
    </w:rPr>
  </w:style>
  <w:style w:type="character" w:customStyle="1" w:styleId="3111">
    <w:name w:val="样式 标题 41.1.1.1标题 4.1.1.1.1标题 4 Char款四级标题，黑粗，小四，序号H4h4 sub... Char"/>
    <w:link w:val="3112"/>
    <w:qFormat/>
    <w:locked/>
    <w:uiPriority w:val="0"/>
    <w:rPr>
      <w:rFonts w:ascii="宋体" w:hAnsi="宋体" w:eastAsia="宋体"/>
      <w:bCs/>
      <w:sz w:val="24"/>
      <w:szCs w:val="24"/>
      <w:lang w:bidi="ar-SA"/>
    </w:rPr>
  </w:style>
  <w:style w:type="paragraph" w:customStyle="1" w:styleId="3112">
    <w:name w:val="样式 标题 41.1.1.1标题 4.1.1.1.1标题 4 Char款四级标题，黑粗，小四，序号H4h4 sub..."/>
    <w:basedOn w:val="6"/>
    <w:link w:val="3111"/>
    <w:semiHidden/>
    <w:qFormat/>
    <w:uiPriority w:val="0"/>
    <w:pPr>
      <w:numPr>
        <w:ilvl w:val="0"/>
        <w:numId w:val="0"/>
      </w:numPr>
      <w:tabs>
        <w:tab w:val="left" w:pos="1984"/>
        <w:tab w:val="clear" w:pos="480"/>
      </w:tabs>
      <w:spacing w:before="0" w:after="0"/>
      <w:ind w:left="1984" w:hanging="708"/>
    </w:pPr>
    <w:rPr>
      <w:rFonts w:ascii="宋体" w:eastAsia="宋体"/>
      <w:b w:val="0"/>
      <w:kern w:val="0"/>
      <w:sz w:val="24"/>
      <w:szCs w:val="24"/>
    </w:rPr>
  </w:style>
  <w:style w:type="paragraph" w:customStyle="1" w:styleId="3113">
    <w:name w:val="样式 正文缩进1 + 首行缩进:  2 字符"/>
    <w:basedOn w:val="1"/>
    <w:semiHidden/>
    <w:qFormat/>
    <w:uiPriority w:val="0"/>
    <w:pPr>
      <w:tabs>
        <w:tab w:val="clear" w:pos="480"/>
      </w:tabs>
      <w:ind w:firstLine="480"/>
    </w:pPr>
    <w:rPr>
      <w:rFonts w:ascii="宋体" w:cs="宋体"/>
      <w:szCs w:val="20"/>
    </w:rPr>
  </w:style>
  <w:style w:type="character" w:customStyle="1" w:styleId="3114">
    <w:name w:val="自定正文 Char"/>
    <w:link w:val="3115"/>
    <w:qFormat/>
    <w:locked/>
    <w:uiPriority w:val="0"/>
    <w:rPr>
      <w:rFonts w:ascii="宋体" w:hAnsi="宋体" w:eastAsia="宋体"/>
      <w:color w:val="000000"/>
      <w:sz w:val="24"/>
      <w:lang w:bidi="ar-SA"/>
    </w:rPr>
  </w:style>
  <w:style w:type="paragraph" w:customStyle="1" w:styleId="3115">
    <w:name w:val="自定正文"/>
    <w:basedOn w:val="1"/>
    <w:link w:val="3114"/>
    <w:semiHidden/>
    <w:qFormat/>
    <w:uiPriority w:val="0"/>
    <w:pPr>
      <w:tabs>
        <w:tab w:val="clear" w:pos="480"/>
      </w:tabs>
      <w:snapToGrid w:val="0"/>
    </w:pPr>
    <w:rPr>
      <w:rFonts w:ascii="宋体" w:hAnsi="宋体"/>
      <w:color w:val="000000"/>
      <w:kern w:val="0"/>
      <w:szCs w:val="20"/>
      <w:lang w:val="zh-CN"/>
    </w:rPr>
  </w:style>
  <w:style w:type="character" w:customStyle="1" w:styleId="3116">
    <w:name w:val="自定表格 Char"/>
    <w:link w:val="3117"/>
    <w:qFormat/>
    <w:locked/>
    <w:uiPriority w:val="0"/>
    <w:rPr>
      <w:rFonts w:ascii="宋体" w:hAnsi="宋体" w:eastAsia="宋体"/>
      <w:lang w:bidi="ar-SA"/>
    </w:rPr>
  </w:style>
  <w:style w:type="paragraph" w:customStyle="1" w:styleId="3117">
    <w:name w:val="自定表格"/>
    <w:basedOn w:val="1"/>
    <w:link w:val="3116"/>
    <w:semiHidden/>
    <w:qFormat/>
    <w:uiPriority w:val="0"/>
    <w:pPr>
      <w:tabs>
        <w:tab w:val="clear" w:pos="480"/>
      </w:tabs>
      <w:autoSpaceDE w:val="0"/>
      <w:autoSpaceDN w:val="0"/>
      <w:adjustRightInd w:val="0"/>
      <w:spacing w:line="240" w:lineRule="auto"/>
      <w:jc w:val="center"/>
    </w:pPr>
    <w:rPr>
      <w:rFonts w:ascii="宋体" w:hAnsi="宋体"/>
      <w:kern w:val="0"/>
      <w:sz w:val="20"/>
      <w:szCs w:val="20"/>
      <w:lang w:val="zh-CN"/>
    </w:rPr>
  </w:style>
  <w:style w:type="character" w:customStyle="1" w:styleId="3118">
    <w:name w:val="自定表头 Char Char"/>
    <w:link w:val="3119"/>
    <w:qFormat/>
    <w:locked/>
    <w:uiPriority w:val="0"/>
    <w:rPr>
      <w:rFonts w:ascii="宋体" w:hAnsi="宋体" w:eastAsia="宋体"/>
      <w:b/>
      <w:sz w:val="24"/>
      <w:lang w:bidi="ar-SA"/>
    </w:rPr>
  </w:style>
  <w:style w:type="paragraph" w:customStyle="1" w:styleId="3119">
    <w:name w:val="自定表头"/>
    <w:basedOn w:val="7"/>
    <w:link w:val="3118"/>
    <w:semiHidden/>
    <w:qFormat/>
    <w:uiPriority w:val="0"/>
    <w:pPr>
      <w:numPr>
        <w:numId w:val="0"/>
      </w:numPr>
      <w:tabs>
        <w:tab w:val="left" w:pos="2551"/>
        <w:tab w:val="clear" w:pos="480"/>
      </w:tabs>
      <w:autoSpaceDE w:val="0"/>
      <w:autoSpaceDN w:val="0"/>
      <w:adjustRightInd w:val="0"/>
      <w:spacing w:before="0" w:after="0"/>
      <w:ind w:left="2551" w:hanging="850"/>
      <w:jc w:val="center"/>
    </w:pPr>
    <w:rPr>
      <w:rFonts w:hAnsi="宋体" w:eastAsia="宋体"/>
      <w:kern w:val="0"/>
    </w:rPr>
  </w:style>
  <w:style w:type="paragraph" w:customStyle="1" w:styleId="3120">
    <w:name w:val="样式 标题 3条标题1.1.1ReHead 3 WSAh3BSH-3H3b33rd levell3CT标题...1"/>
    <w:basedOn w:val="1"/>
    <w:semiHidden/>
    <w:qFormat/>
    <w:uiPriority w:val="0"/>
    <w:pPr>
      <w:keepNext/>
      <w:keepLines/>
      <w:tabs>
        <w:tab w:val="clear" w:pos="480"/>
      </w:tabs>
      <w:spacing w:before="120" w:after="120"/>
      <w:ind w:left="2079"/>
      <w:outlineLvl w:val="2"/>
    </w:pPr>
    <w:rPr>
      <w:rFonts w:ascii="宋体" w:hAnsi="宋体"/>
      <w:b/>
      <w:bCs/>
      <w:sz w:val="28"/>
      <w:szCs w:val="32"/>
    </w:rPr>
  </w:style>
  <w:style w:type="paragraph" w:customStyle="1" w:styleId="3121">
    <w:name w:val="样式 标题 3条标题1.1.1ReHead 3 WSAh3BSH-3H3b33rd levell3CT标题..."/>
    <w:basedOn w:val="1"/>
    <w:semiHidden/>
    <w:qFormat/>
    <w:uiPriority w:val="0"/>
    <w:pPr>
      <w:keepNext/>
      <w:keepLines/>
      <w:tabs>
        <w:tab w:val="clear" w:pos="480"/>
      </w:tabs>
      <w:spacing w:before="120" w:after="120"/>
      <w:ind w:left="2079"/>
      <w:outlineLvl w:val="2"/>
    </w:pPr>
    <w:rPr>
      <w:b/>
      <w:bCs/>
      <w:sz w:val="28"/>
      <w:szCs w:val="32"/>
    </w:rPr>
  </w:style>
  <w:style w:type="paragraph" w:customStyle="1" w:styleId="3122">
    <w:name w:val="样式 标题 3 + 段后: 0.5 行"/>
    <w:basedOn w:val="1"/>
    <w:semiHidden/>
    <w:qFormat/>
    <w:uiPriority w:val="0"/>
    <w:pPr>
      <w:keepNext/>
      <w:keepLines/>
      <w:numPr>
        <w:ilvl w:val="2"/>
        <w:numId w:val="34"/>
      </w:numPr>
      <w:tabs>
        <w:tab w:val="clear" w:pos="480"/>
      </w:tabs>
      <w:snapToGrid w:val="0"/>
      <w:spacing w:before="260" w:line="410" w:lineRule="auto"/>
      <w:outlineLvl w:val="2"/>
    </w:pPr>
    <w:rPr>
      <w:sz w:val="28"/>
      <w:szCs w:val="20"/>
    </w:rPr>
  </w:style>
  <w:style w:type="paragraph" w:customStyle="1" w:styleId="3123">
    <w:name w:val="样式 标题 5 + 左侧:  0 厘米 悬挂缩进: 9.98 字符"/>
    <w:basedOn w:val="7"/>
    <w:semiHidden/>
    <w:qFormat/>
    <w:uiPriority w:val="0"/>
    <w:pPr>
      <w:numPr>
        <w:numId w:val="0"/>
      </w:numPr>
      <w:tabs>
        <w:tab w:val="left" w:pos="1560"/>
        <w:tab w:val="left" w:pos="1680"/>
        <w:tab w:val="left" w:pos="2551"/>
        <w:tab w:val="clear" w:pos="480"/>
      </w:tabs>
      <w:overflowPunct w:val="0"/>
      <w:topLinePunct/>
      <w:autoSpaceDE w:val="0"/>
      <w:adjustRightInd w:val="0"/>
      <w:snapToGrid w:val="0"/>
      <w:spacing w:before="120" w:after="0" w:line="480" w:lineRule="auto"/>
      <w:ind w:left="2551" w:hanging="850"/>
      <w:jc w:val="left"/>
    </w:pPr>
    <w:rPr>
      <w:rFonts w:ascii="Times New Roman" w:hAnsi="Times New Roman" w:eastAsia="宋体" w:cs="宋体"/>
      <w:b w:val="0"/>
      <w:spacing w:val="20"/>
      <w:kern w:val="0"/>
    </w:rPr>
  </w:style>
  <w:style w:type="paragraph" w:customStyle="1" w:styleId="3124">
    <w:name w:val="首行缩进"/>
    <w:basedOn w:val="1"/>
    <w:semiHidden/>
    <w:qFormat/>
    <w:uiPriority w:val="0"/>
    <w:pPr>
      <w:tabs>
        <w:tab w:val="clear" w:pos="480"/>
      </w:tabs>
      <w:spacing w:line="240" w:lineRule="auto"/>
    </w:pPr>
    <w:rPr>
      <w:rFonts w:eastAsia="仿宋_GB2312"/>
      <w:sz w:val="28"/>
      <w:szCs w:val="28"/>
    </w:rPr>
  </w:style>
  <w:style w:type="paragraph" w:customStyle="1" w:styleId="3125">
    <w:name w:val="样式 标题 1标题 1 Char标1章Ch章标题 1章节标题b11标题 1一、H11Heading 11..."/>
    <w:basedOn w:val="3"/>
    <w:semiHidden/>
    <w:qFormat/>
    <w:uiPriority w:val="0"/>
    <w:pPr>
      <w:numPr>
        <w:numId w:val="0"/>
      </w:numPr>
      <w:tabs>
        <w:tab w:val="clear" w:pos="480"/>
      </w:tabs>
      <w:spacing w:before="0" w:after="0"/>
      <w:jc w:val="center"/>
    </w:pPr>
    <w:rPr>
      <w:rFonts w:ascii="Times New Roman" w:eastAsia="宋体" w:cs="宋体"/>
      <w:szCs w:val="20"/>
    </w:rPr>
  </w:style>
  <w:style w:type="paragraph" w:customStyle="1" w:styleId="3126">
    <w:name w:val="样式 标题 2H2Heading 2 HiddenHeading 2 CCBSHD2节2nd levelh22..."/>
    <w:basedOn w:val="4"/>
    <w:semiHidden/>
    <w:qFormat/>
    <w:uiPriority w:val="0"/>
    <w:pPr>
      <w:numPr>
        <w:ilvl w:val="0"/>
        <w:numId w:val="0"/>
      </w:numPr>
      <w:tabs>
        <w:tab w:val="left" w:pos="992"/>
        <w:tab w:val="clear" w:pos="480"/>
        <w:tab w:val="clear" w:pos="630"/>
      </w:tabs>
      <w:spacing w:before="0" w:after="0"/>
      <w:ind w:left="992" w:hanging="567"/>
    </w:pPr>
    <w:rPr>
      <w:rFonts w:cs="宋体"/>
      <w:kern w:val="0"/>
      <w:sz w:val="30"/>
      <w:szCs w:val="20"/>
    </w:rPr>
  </w:style>
  <w:style w:type="paragraph" w:customStyle="1" w:styleId="3127">
    <w:name w:val="标题 3＋"/>
    <w:basedOn w:val="1"/>
    <w:next w:val="4"/>
    <w:semiHidden/>
    <w:qFormat/>
    <w:uiPriority w:val="0"/>
    <w:pPr>
      <w:tabs>
        <w:tab w:val="clear" w:pos="480"/>
      </w:tabs>
      <w:adjustRightInd w:val="0"/>
      <w:snapToGrid w:val="0"/>
      <w:spacing w:before="150" w:after="150"/>
      <w:jc w:val="left"/>
    </w:pPr>
    <w:rPr>
      <w:rFonts w:hAnsi="宋体"/>
      <w:b/>
      <w:szCs w:val="20"/>
    </w:rPr>
  </w:style>
  <w:style w:type="paragraph" w:customStyle="1" w:styleId="3128">
    <w:name w:val="新正文"/>
    <w:basedOn w:val="1"/>
    <w:qFormat/>
    <w:uiPriority w:val="0"/>
    <w:pPr>
      <w:tabs>
        <w:tab w:val="clear" w:pos="480"/>
      </w:tabs>
      <w:spacing w:line="460" w:lineRule="exact"/>
      <w:ind w:firstLine="454"/>
    </w:pPr>
    <w:rPr>
      <w:rFonts w:ascii="宋体"/>
      <w:kern w:val="0"/>
      <w:szCs w:val="20"/>
    </w:rPr>
  </w:style>
  <w:style w:type="paragraph" w:customStyle="1" w:styleId="3129">
    <w:name w:val="样式 正文 首行缩进:  2 字符 + 首行缩进:  2 字符"/>
    <w:basedOn w:val="1"/>
    <w:semiHidden/>
    <w:qFormat/>
    <w:uiPriority w:val="0"/>
    <w:pPr>
      <w:tabs>
        <w:tab w:val="clear" w:pos="480"/>
      </w:tabs>
      <w:spacing w:before="100" w:line="520" w:lineRule="exact"/>
      <w:ind w:firstLine="562"/>
    </w:pPr>
    <w:rPr>
      <w:rFonts w:ascii="仿宋_GB2312" w:eastAsia="仿宋_GB2312"/>
      <w:b/>
      <w:color w:val="000000"/>
      <w:sz w:val="28"/>
      <w:szCs w:val="28"/>
    </w:rPr>
  </w:style>
  <w:style w:type="paragraph" w:customStyle="1" w:styleId="3130">
    <w:name w:val="Char Char2 Char Char Char Char"/>
    <w:basedOn w:val="1"/>
    <w:qFormat/>
    <w:uiPriority w:val="0"/>
    <w:pPr>
      <w:widowControl/>
      <w:tabs>
        <w:tab w:val="clear" w:pos="480"/>
      </w:tabs>
      <w:spacing w:line="240" w:lineRule="auto"/>
      <w:jc w:val="left"/>
    </w:pPr>
    <w:rPr>
      <w:kern w:val="0"/>
      <w:lang w:val="pl-PL" w:eastAsia="pl-PL"/>
    </w:rPr>
  </w:style>
  <w:style w:type="paragraph" w:customStyle="1" w:styleId="3131">
    <w:name w:val="河石管道 表头"/>
    <w:semiHidden/>
    <w:qFormat/>
    <w:uiPriority w:val="0"/>
    <w:pPr>
      <w:jc w:val="center"/>
    </w:pPr>
    <w:rPr>
      <w:rFonts w:ascii="Times New Roman" w:hAnsi="Times New Roman" w:eastAsia="宋体" w:cs="Times New Roman"/>
      <w:bCs/>
      <w:kern w:val="2"/>
      <w:sz w:val="21"/>
      <w:szCs w:val="21"/>
      <w:lang w:val="en-US" w:eastAsia="zh-CN" w:bidi="ar-SA"/>
    </w:rPr>
  </w:style>
  <w:style w:type="paragraph" w:customStyle="1" w:styleId="3132">
    <w:name w:val="河石管道 表格文字小五"/>
    <w:semiHidden/>
    <w:qFormat/>
    <w:uiPriority w:val="0"/>
    <w:pPr>
      <w:tabs>
        <w:tab w:val="left" w:pos="277"/>
        <w:tab w:val="left" w:pos="600"/>
        <w:tab w:val="left" w:pos="780"/>
        <w:tab w:val="left" w:pos="2517"/>
      </w:tabs>
      <w:adjustRightInd w:val="0"/>
      <w:jc w:val="center"/>
    </w:pPr>
    <w:rPr>
      <w:rFonts w:ascii="Times New Roman" w:hAnsi="Times New Roman" w:eastAsia="宋体" w:cs="Times New Roman"/>
      <w:kern w:val="2"/>
      <w:sz w:val="18"/>
      <w:szCs w:val="21"/>
      <w:lang w:val="en-US" w:eastAsia="zh-CN" w:bidi="ar-SA"/>
    </w:rPr>
  </w:style>
  <w:style w:type="paragraph" w:customStyle="1" w:styleId="3133">
    <w:name w:val="规划"/>
    <w:basedOn w:val="1"/>
    <w:semiHidden/>
    <w:qFormat/>
    <w:uiPriority w:val="0"/>
    <w:pPr>
      <w:widowControl/>
      <w:numPr>
        <w:ilvl w:val="0"/>
        <w:numId w:val="35"/>
      </w:numPr>
      <w:tabs>
        <w:tab w:val="clear" w:pos="480"/>
      </w:tabs>
      <w:spacing w:beforeLines="50" w:afterLines="50" w:line="240" w:lineRule="auto"/>
      <w:jc w:val="left"/>
    </w:pPr>
    <w:rPr>
      <w:kern w:val="0"/>
      <w:szCs w:val="20"/>
    </w:rPr>
  </w:style>
  <w:style w:type="paragraph" w:customStyle="1" w:styleId="3134">
    <w:name w:val="河石管道 表格正文"/>
    <w:semiHidden/>
    <w:qFormat/>
    <w:uiPriority w:val="0"/>
    <w:pPr>
      <w:jc w:val="both"/>
    </w:pPr>
    <w:rPr>
      <w:rFonts w:ascii="Times New Roman" w:hAnsi="Times New Roman" w:eastAsia="宋体" w:cs="Times New Roman"/>
      <w:kern w:val="2"/>
      <w:sz w:val="21"/>
      <w:szCs w:val="21"/>
      <w:lang w:val="en-US" w:eastAsia="zh-CN" w:bidi="ar-SA"/>
    </w:rPr>
  </w:style>
  <w:style w:type="character" w:customStyle="1" w:styleId="3135">
    <w:name w:val="p14_black_1501"/>
    <w:semiHidden/>
    <w:qFormat/>
    <w:uiPriority w:val="0"/>
    <w:rPr>
      <w:sz w:val="22"/>
      <w:szCs w:val="22"/>
    </w:rPr>
  </w:style>
  <w:style w:type="character" w:customStyle="1" w:styleId="3136">
    <w:name w:val="标题6"/>
    <w:basedOn w:val="132"/>
    <w:semiHidden/>
    <w:qFormat/>
    <w:uiPriority w:val="0"/>
  </w:style>
  <w:style w:type="character" w:customStyle="1" w:styleId="3137">
    <w:name w:val="detail_style11"/>
    <w:semiHidden/>
    <w:qFormat/>
    <w:uiPriority w:val="0"/>
    <w:rPr>
      <w:rFonts w:hint="default" w:ascii="Arial" w:hAnsi="Arial" w:cs="Arial"/>
      <w:color w:val="000000"/>
      <w:sz w:val="21"/>
      <w:szCs w:val="21"/>
    </w:rPr>
  </w:style>
  <w:style w:type="character" w:customStyle="1" w:styleId="3138">
    <w:name w:val="fn org"/>
    <w:basedOn w:val="132"/>
    <w:semiHidden/>
    <w:qFormat/>
    <w:uiPriority w:val="0"/>
  </w:style>
  <w:style w:type="character" w:customStyle="1" w:styleId="3139">
    <w:name w:val="phone"/>
    <w:semiHidden/>
    <w:qFormat/>
    <w:uiPriority w:val="0"/>
  </w:style>
  <w:style w:type="character" w:customStyle="1" w:styleId="3140">
    <w:name w:val="content_11"/>
    <w:semiHidden/>
    <w:qFormat/>
    <w:uiPriority w:val="0"/>
    <w:rPr>
      <w:color w:val="333333"/>
      <w:sz w:val="18"/>
    </w:rPr>
  </w:style>
  <w:style w:type="character" w:customStyle="1" w:styleId="3141">
    <w:name w:val="l-1801"/>
    <w:semiHidden/>
    <w:qFormat/>
    <w:uiPriority w:val="0"/>
    <w:rPr>
      <w:sz w:val="18"/>
      <w:u w:val="none"/>
    </w:rPr>
  </w:style>
  <w:style w:type="character" w:customStyle="1" w:styleId="3142">
    <w:name w:val="p5"/>
    <w:basedOn w:val="132"/>
    <w:semiHidden/>
    <w:qFormat/>
    <w:uiPriority w:val="0"/>
  </w:style>
  <w:style w:type="character" w:customStyle="1" w:styleId="3143">
    <w:name w:val="消息标题标签"/>
    <w:semiHidden/>
    <w:qFormat/>
    <w:uiPriority w:val="0"/>
    <w:rPr>
      <w:rFonts w:hint="default" w:ascii="Arial" w:hAnsi="Arial" w:cs="Arial"/>
      <w:b/>
      <w:spacing w:val="-4"/>
      <w:sz w:val="18"/>
      <w:lang w:eastAsia="zh-CN"/>
    </w:rPr>
  </w:style>
  <w:style w:type="character" w:customStyle="1" w:styleId="3144">
    <w:name w:val="lh151"/>
    <w:basedOn w:val="132"/>
    <w:semiHidden/>
    <w:qFormat/>
    <w:uiPriority w:val="0"/>
  </w:style>
  <w:style w:type="character" w:customStyle="1" w:styleId="3145">
    <w:name w:val="black91"/>
    <w:semiHidden/>
    <w:qFormat/>
    <w:uiPriority w:val="0"/>
    <w:rPr>
      <w:color w:val="000000"/>
      <w:sz w:val="18"/>
      <w:u w:val="none"/>
    </w:rPr>
  </w:style>
  <w:style w:type="character" w:customStyle="1" w:styleId="3146">
    <w:name w:val="t361"/>
    <w:semiHidden/>
    <w:qFormat/>
    <w:uiPriority w:val="0"/>
    <w:rPr>
      <w:b/>
      <w:bCs/>
      <w:color w:val="FFFFFF"/>
      <w:sz w:val="40"/>
      <w:szCs w:val="40"/>
    </w:rPr>
  </w:style>
  <w:style w:type="character" w:customStyle="1" w:styleId="3147">
    <w:name w:val="c lh15"/>
    <w:basedOn w:val="132"/>
    <w:semiHidden/>
    <w:qFormat/>
    <w:uiPriority w:val="0"/>
  </w:style>
  <w:style w:type="character" w:customStyle="1" w:styleId="3148">
    <w:name w:val="fwriter1"/>
    <w:semiHidden/>
    <w:qFormat/>
    <w:uiPriority w:val="0"/>
    <w:rPr>
      <w:color w:val="A50010"/>
    </w:rPr>
  </w:style>
  <w:style w:type="character" w:customStyle="1" w:styleId="3149">
    <w:name w:val="title_black_141"/>
    <w:semiHidden/>
    <w:qFormat/>
    <w:uiPriority w:val="0"/>
    <w:rPr>
      <w:color w:val="000000"/>
      <w:sz w:val="23"/>
      <w:szCs w:val="23"/>
      <w:u w:val="none"/>
    </w:rPr>
  </w:style>
  <w:style w:type="character" w:customStyle="1" w:styleId="3150">
    <w:name w:val="news_content"/>
    <w:basedOn w:val="132"/>
    <w:semiHidden/>
    <w:qFormat/>
    <w:uiPriority w:val="0"/>
  </w:style>
  <w:style w:type="character" w:customStyle="1" w:styleId="3151">
    <w:name w:val="keyword1"/>
    <w:qFormat/>
    <w:uiPriority w:val="0"/>
    <w:rPr>
      <w:color w:val="FF0000"/>
    </w:rPr>
  </w:style>
  <w:style w:type="character" w:customStyle="1" w:styleId="3152">
    <w:name w:val="样式 (西文) 宋体"/>
    <w:semiHidden/>
    <w:qFormat/>
    <w:uiPriority w:val="0"/>
    <w:rPr>
      <w:rFonts w:hint="eastAsia" w:ascii="宋体" w:hAnsi="宋体" w:eastAsia="宋体"/>
      <w:sz w:val="24"/>
    </w:rPr>
  </w:style>
  <w:style w:type="character" w:customStyle="1" w:styleId="3153">
    <w:name w:val="样式 标题 3头 + 小三 加粗 Char"/>
    <w:semiHidden/>
    <w:qFormat/>
    <w:uiPriority w:val="0"/>
    <w:rPr>
      <w:rFonts w:hint="default" w:ascii="Arial" w:hAnsi="Arial" w:eastAsia="宋体" w:cs="Arial"/>
      <w:b/>
      <w:bCs/>
      <w:sz w:val="30"/>
      <w:szCs w:val="28"/>
      <w:lang w:val="en-US" w:eastAsia="zh-CN" w:bidi="ar-SA"/>
    </w:rPr>
  </w:style>
  <w:style w:type="character" w:customStyle="1" w:styleId="3154">
    <w:name w:val="样式 表格文字2 + Times New Roman Char"/>
    <w:semiHidden/>
    <w:qFormat/>
    <w:uiPriority w:val="0"/>
    <w:rPr>
      <w:rFonts w:hint="eastAsia" w:ascii="宋体" w:hAnsi="宋体" w:eastAsia="宋体" w:cs="宋体"/>
      <w:kern w:val="2"/>
      <w:sz w:val="21"/>
      <w:lang w:val="en-US" w:eastAsia="zh-CN" w:bidi="ar-SA"/>
    </w:rPr>
  </w:style>
  <w:style w:type="character" w:customStyle="1" w:styleId="3155">
    <w:name w:val="样式 样式 样式 标题 4heading 4 + Indent: Left 0.5 inH4标题3a1.1.1.1 Headin... Char"/>
    <w:semiHidden/>
    <w:qFormat/>
    <w:uiPriority w:val="0"/>
    <w:rPr>
      <w:rFonts w:hint="eastAsia" w:ascii="黑体" w:hAnsi="宋体" w:eastAsia="宋体" w:cs="宋体"/>
      <w:bCs/>
      <w:sz w:val="28"/>
      <w:lang w:val="en-US" w:eastAsia="zh-CN" w:bidi="ar-SA"/>
    </w:rPr>
  </w:style>
  <w:style w:type="character" w:customStyle="1" w:styleId="3156">
    <w:name w:val="contents"/>
    <w:basedOn w:val="132"/>
    <w:semiHidden/>
    <w:qFormat/>
    <w:uiPriority w:val="0"/>
  </w:style>
  <w:style w:type="character" w:customStyle="1" w:styleId="3157">
    <w:name w:val="style151"/>
    <w:semiHidden/>
    <w:qFormat/>
    <w:uiPriority w:val="0"/>
    <w:rPr>
      <w:sz w:val="18"/>
      <w:szCs w:val="18"/>
    </w:rPr>
  </w:style>
  <w:style w:type="character" w:customStyle="1" w:styleId="3158">
    <w:name w:val="style16"/>
    <w:basedOn w:val="132"/>
    <w:semiHidden/>
    <w:qFormat/>
    <w:uiPriority w:val="0"/>
  </w:style>
  <w:style w:type="character" w:customStyle="1" w:styleId="3159">
    <w:name w:val="articlelink"/>
    <w:basedOn w:val="132"/>
    <w:semiHidden/>
    <w:qFormat/>
    <w:uiPriority w:val="0"/>
  </w:style>
  <w:style w:type="character" w:customStyle="1" w:styleId="3160">
    <w:name w:val="dectext1"/>
    <w:basedOn w:val="132"/>
    <w:semiHidden/>
    <w:qFormat/>
    <w:uiPriority w:val="0"/>
  </w:style>
  <w:style w:type="character" w:customStyle="1" w:styleId="3161">
    <w:name w:val="style81"/>
    <w:semiHidden/>
    <w:qFormat/>
    <w:uiPriority w:val="0"/>
    <w:rPr>
      <w:sz w:val="18"/>
      <w:szCs w:val="18"/>
    </w:rPr>
  </w:style>
  <w:style w:type="character" w:customStyle="1" w:styleId="3162">
    <w:name w:val="t0033991"/>
    <w:semiHidden/>
    <w:qFormat/>
    <w:uiPriority w:val="0"/>
    <w:rPr>
      <w:b/>
      <w:bCs/>
      <w:color w:val="333333"/>
      <w:sz w:val="21"/>
      <w:szCs w:val="21"/>
    </w:rPr>
  </w:style>
  <w:style w:type="character" w:customStyle="1" w:styleId="3163">
    <w:name w:val="br1"/>
    <w:basedOn w:val="132"/>
    <w:semiHidden/>
    <w:qFormat/>
    <w:uiPriority w:val="0"/>
  </w:style>
  <w:style w:type="character" w:customStyle="1" w:styleId="3164">
    <w:name w:val="H5 Char Char"/>
    <w:semiHidden/>
    <w:qFormat/>
    <w:uiPriority w:val="0"/>
    <w:rPr>
      <w:rFonts w:hint="eastAsia" w:ascii="宋体" w:hAnsi="宋体" w:eastAsia="宋体"/>
      <w:b/>
      <w:bCs/>
      <w:kern w:val="2"/>
      <w:sz w:val="28"/>
      <w:szCs w:val="28"/>
      <w:lang w:val="en-US" w:eastAsia="zh-CN" w:bidi="ar-SA"/>
    </w:rPr>
  </w:style>
  <w:style w:type="character" w:customStyle="1" w:styleId="3165">
    <w:name w:val="批注主题 Char2"/>
    <w:semiHidden/>
    <w:qFormat/>
    <w:uiPriority w:val="0"/>
    <w:rPr>
      <w:rFonts w:ascii="Times New Roman" w:hAnsi="Times New Roman" w:eastAsia="宋体" w:cs="Times New Roman"/>
      <w:b/>
      <w:bCs/>
      <w:sz w:val="24"/>
      <w:szCs w:val="24"/>
    </w:rPr>
  </w:style>
  <w:style w:type="character" w:customStyle="1" w:styleId="3166">
    <w:name w:val="zhengwen"/>
    <w:basedOn w:val="132"/>
    <w:semiHidden/>
    <w:qFormat/>
    <w:uiPriority w:val="0"/>
  </w:style>
  <w:style w:type="character" w:customStyle="1" w:styleId="3167">
    <w:name w:val="keyword"/>
    <w:basedOn w:val="132"/>
    <w:qFormat/>
    <w:uiPriority w:val="0"/>
  </w:style>
  <w:style w:type="character" w:customStyle="1" w:styleId="3168">
    <w:name w:val="样式 标题 2标题 2 Char Char + 宋体1 Char"/>
    <w:semiHidden/>
    <w:qFormat/>
    <w:uiPriority w:val="0"/>
    <w:rPr>
      <w:rFonts w:hint="eastAsia" w:ascii="宋体" w:hAnsi="宋体" w:eastAsia="宋体"/>
      <w:b/>
      <w:sz w:val="28"/>
    </w:rPr>
  </w:style>
  <w:style w:type="character" w:customStyle="1" w:styleId="3169">
    <w:name w:val="第一条1"/>
    <w:semiHidden/>
    <w:qFormat/>
    <w:uiPriority w:val="0"/>
    <w:rPr>
      <w:rFonts w:hint="eastAsia" w:ascii="黑体" w:hAnsi="黑体" w:eastAsia="黑体"/>
      <w:sz w:val="24"/>
      <w:szCs w:val="24"/>
    </w:rPr>
  </w:style>
  <w:style w:type="character" w:customStyle="1" w:styleId="3170">
    <w:name w:val="p12grey1"/>
    <w:semiHidden/>
    <w:qFormat/>
    <w:uiPriority w:val="0"/>
    <w:rPr>
      <w:rFonts w:hint="default" w:ascii="ˎ̥" w:hAnsi="ˎ̥"/>
      <w:color w:val="666666"/>
      <w:sz w:val="14"/>
      <w:szCs w:val="14"/>
      <w:u w:val="none"/>
    </w:rPr>
  </w:style>
  <w:style w:type="character" w:customStyle="1" w:styleId="3171">
    <w:name w:val="干标题(a) Char Char"/>
    <w:semiHidden/>
    <w:qFormat/>
    <w:uiPriority w:val="0"/>
    <w:rPr>
      <w:rFonts w:hint="default" w:ascii="Arial" w:hAnsi="Arial" w:eastAsia="黑体" w:cs="Arial"/>
      <w:kern w:val="2"/>
      <w:sz w:val="24"/>
      <w:lang w:val="en-US" w:eastAsia="zh-CN" w:bidi="ar-SA"/>
    </w:rPr>
  </w:style>
  <w:style w:type="character" w:customStyle="1" w:styleId="3172">
    <w:name w:val="表内文字 Char Char"/>
    <w:semiHidden/>
    <w:qFormat/>
    <w:uiPriority w:val="0"/>
    <w:rPr>
      <w:rFonts w:hint="eastAsia" w:ascii="宋体" w:hAnsi="宋体" w:eastAsia="宋体"/>
      <w:sz w:val="28"/>
      <w:lang w:val="en-US" w:eastAsia="zh-CN" w:bidi="ar-SA"/>
    </w:rPr>
  </w:style>
  <w:style w:type="character" w:customStyle="1" w:styleId="3173">
    <w:name w:val="Char Char211"/>
    <w:semiHidden/>
    <w:qFormat/>
    <w:uiPriority w:val="0"/>
    <w:rPr>
      <w:rFonts w:hint="eastAsia" w:ascii="宋体" w:hAnsi="宋体" w:eastAsia="宋体"/>
      <w:b/>
      <w:bCs/>
      <w:kern w:val="2"/>
      <w:sz w:val="32"/>
      <w:szCs w:val="32"/>
      <w:lang w:val="en-US" w:eastAsia="zh-CN" w:bidi="ar-SA"/>
    </w:rPr>
  </w:style>
  <w:style w:type="character" w:customStyle="1" w:styleId="3174">
    <w:name w:val="Char Char20"/>
    <w:qFormat/>
    <w:uiPriority w:val="0"/>
    <w:rPr>
      <w:rFonts w:hint="eastAsia" w:ascii="宋体" w:hAnsi="宋体" w:eastAsia="宋体"/>
      <w:b/>
      <w:bCs/>
      <w:kern w:val="2"/>
      <w:sz w:val="30"/>
      <w:szCs w:val="30"/>
      <w:lang w:val="en-US" w:eastAsia="zh-CN" w:bidi="ar-SA"/>
    </w:rPr>
  </w:style>
  <w:style w:type="character" w:customStyle="1" w:styleId="3175">
    <w:name w:val="Char Char19"/>
    <w:semiHidden/>
    <w:qFormat/>
    <w:uiPriority w:val="0"/>
    <w:rPr>
      <w:rFonts w:hint="eastAsia" w:ascii="宋体" w:hAnsi="宋体" w:eastAsia="宋体"/>
      <w:b/>
      <w:bCs/>
      <w:kern w:val="2"/>
      <w:sz w:val="28"/>
      <w:szCs w:val="28"/>
      <w:lang w:val="en-US" w:eastAsia="zh-CN" w:bidi="ar-SA"/>
    </w:rPr>
  </w:style>
  <w:style w:type="character" w:customStyle="1" w:styleId="3176">
    <w:name w:val="Char Char22"/>
    <w:semiHidden/>
    <w:qFormat/>
    <w:uiPriority w:val="0"/>
    <w:rPr>
      <w:rFonts w:hint="eastAsia" w:ascii="黑体" w:hAnsi="黑体" w:eastAsia="黑体"/>
      <w:bCs/>
      <w:kern w:val="36"/>
      <w:sz w:val="36"/>
      <w:szCs w:val="36"/>
      <w:lang w:val="en-US" w:eastAsia="zh-CN" w:bidi="ar-SA"/>
    </w:rPr>
  </w:style>
  <w:style w:type="character" w:customStyle="1" w:styleId="3177">
    <w:name w:val="引用 Char1"/>
    <w:semiHidden/>
    <w:qFormat/>
    <w:uiPriority w:val="0"/>
    <w:rPr>
      <w:rFonts w:ascii="Times New Roman" w:hAnsi="Times New Roman" w:eastAsia="宋体" w:cs="Times New Roman"/>
      <w:i/>
      <w:iCs/>
      <w:color w:val="000000"/>
      <w:sz w:val="24"/>
      <w:szCs w:val="24"/>
    </w:rPr>
  </w:style>
  <w:style w:type="character" w:customStyle="1" w:styleId="3178">
    <w:name w:val="明显引用 Char1"/>
    <w:semiHidden/>
    <w:qFormat/>
    <w:uiPriority w:val="0"/>
    <w:rPr>
      <w:rFonts w:ascii="Times New Roman" w:hAnsi="Times New Roman" w:eastAsia="宋体" w:cs="Times New Roman"/>
      <w:b/>
      <w:bCs/>
      <w:i/>
      <w:iCs/>
      <w:color w:val="4F81BD"/>
      <w:sz w:val="24"/>
      <w:szCs w:val="24"/>
    </w:rPr>
  </w:style>
  <w:style w:type="character" w:customStyle="1" w:styleId="3179">
    <w:name w:val="表格内容 Char"/>
    <w:qFormat/>
    <w:uiPriority w:val="0"/>
    <w:rPr>
      <w:rFonts w:hint="eastAsia" w:ascii="宋体" w:hAnsi="宋体" w:eastAsia="宋体"/>
      <w:kern w:val="2"/>
      <w:sz w:val="21"/>
      <w:szCs w:val="21"/>
      <w:lang w:val="en-US" w:eastAsia="zh-CN" w:bidi="ar-SA"/>
    </w:rPr>
  </w:style>
  <w:style w:type="character" w:customStyle="1" w:styleId="3180">
    <w:name w:val="luren_li_right1"/>
    <w:basedOn w:val="132"/>
    <w:semiHidden/>
    <w:qFormat/>
    <w:uiPriority w:val="0"/>
  </w:style>
  <w:style w:type="character" w:customStyle="1" w:styleId="3181">
    <w:name w:val="m_191"/>
    <w:semiHidden/>
    <w:qFormat/>
    <w:uiPriority w:val="0"/>
    <w:rPr>
      <w:rFonts w:hint="default" w:ascii="Arial" w:hAnsi="Arial" w:cs="Arial"/>
      <w:color w:val="000000"/>
      <w:sz w:val="23"/>
      <w:szCs w:val="23"/>
    </w:rPr>
  </w:style>
  <w:style w:type="character" w:customStyle="1" w:styleId="3182">
    <w:name w:val="m_71"/>
    <w:semiHidden/>
    <w:qFormat/>
    <w:uiPriority w:val="0"/>
    <w:rPr>
      <w:rFonts w:hint="default" w:ascii="Arial" w:hAnsi="Arial" w:cs="Arial"/>
      <w:color w:val="000000"/>
      <w:sz w:val="23"/>
      <w:szCs w:val="23"/>
    </w:rPr>
  </w:style>
  <w:style w:type="character" w:customStyle="1" w:styleId="3183">
    <w:name w:val="m_491"/>
    <w:semiHidden/>
    <w:qFormat/>
    <w:uiPriority w:val="0"/>
    <w:rPr>
      <w:rFonts w:hint="default" w:ascii="Arial" w:hAnsi="Arial" w:cs="Arial"/>
      <w:color w:val="000000"/>
      <w:sz w:val="23"/>
      <w:szCs w:val="23"/>
    </w:rPr>
  </w:style>
  <w:style w:type="character" w:customStyle="1" w:styleId="3184">
    <w:name w:val="m_451"/>
    <w:semiHidden/>
    <w:qFormat/>
    <w:uiPriority w:val="0"/>
    <w:rPr>
      <w:rFonts w:hint="default" w:ascii="Arial" w:hAnsi="Arial" w:cs="Arial"/>
      <w:color w:val="000000"/>
      <w:sz w:val="23"/>
      <w:szCs w:val="23"/>
    </w:rPr>
  </w:style>
  <w:style w:type="character" w:customStyle="1" w:styleId="3185">
    <w:name w:val="m_301"/>
    <w:semiHidden/>
    <w:qFormat/>
    <w:uiPriority w:val="0"/>
    <w:rPr>
      <w:rFonts w:hint="default" w:ascii="Arial" w:hAnsi="Arial" w:cs="Arial"/>
      <w:color w:val="000000"/>
      <w:sz w:val="23"/>
      <w:szCs w:val="23"/>
    </w:rPr>
  </w:style>
  <w:style w:type="character" w:customStyle="1" w:styleId="3186">
    <w:name w:val="m_461"/>
    <w:semiHidden/>
    <w:qFormat/>
    <w:uiPriority w:val="0"/>
    <w:rPr>
      <w:rFonts w:hint="default" w:ascii="Arial" w:hAnsi="Arial" w:cs="Arial"/>
      <w:color w:val="000000"/>
      <w:sz w:val="23"/>
      <w:szCs w:val="23"/>
    </w:rPr>
  </w:style>
  <w:style w:type="character" w:customStyle="1" w:styleId="3187">
    <w:name w:val="m_210"/>
    <w:semiHidden/>
    <w:qFormat/>
    <w:uiPriority w:val="0"/>
    <w:rPr>
      <w:rFonts w:hint="default" w:ascii="Arial" w:hAnsi="Arial" w:cs="Arial"/>
      <w:color w:val="000000"/>
      <w:sz w:val="23"/>
      <w:szCs w:val="23"/>
    </w:rPr>
  </w:style>
  <w:style w:type="character" w:customStyle="1" w:styleId="3188">
    <w:name w:val="m_281"/>
    <w:semiHidden/>
    <w:qFormat/>
    <w:uiPriority w:val="0"/>
    <w:rPr>
      <w:rFonts w:hint="default" w:ascii="Arial" w:hAnsi="Arial" w:cs="Arial"/>
      <w:color w:val="000000"/>
      <w:sz w:val="23"/>
      <w:szCs w:val="23"/>
    </w:rPr>
  </w:style>
  <w:style w:type="character" w:customStyle="1" w:styleId="3189">
    <w:name w:val="m_51"/>
    <w:semiHidden/>
    <w:qFormat/>
    <w:uiPriority w:val="0"/>
    <w:rPr>
      <w:rFonts w:hint="default" w:ascii="Arial" w:hAnsi="Arial" w:cs="Arial"/>
      <w:color w:val="000000"/>
      <w:sz w:val="23"/>
      <w:szCs w:val="23"/>
    </w:rPr>
  </w:style>
  <w:style w:type="character" w:customStyle="1" w:styleId="3190">
    <w:name w:val="m_111"/>
    <w:semiHidden/>
    <w:qFormat/>
    <w:uiPriority w:val="0"/>
    <w:rPr>
      <w:rFonts w:hint="default" w:ascii="Arial" w:hAnsi="Arial" w:cs="Arial"/>
      <w:color w:val="000000"/>
      <w:sz w:val="23"/>
      <w:szCs w:val="23"/>
    </w:rPr>
  </w:style>
  <w:style w:type="character" w:customStyle="1" w:styleId="3191">
    <w:name w:val="m_321"/>
    <w:semiHidden/>
    <w:qFormat/>
    <w:uiPriority w:val="0"/>
    <w:rPr>
      <w:rFonts w:hint="default" w:ascii="Arial" w:hAnsi="Arial" w:cs="Arial"/>
      <w:color w:val="000000"/>
      <w:sz w:val="23"/>
      <w:szCs w:val="23"/>
    </w:rPr>
  </w:style>
  <w:style w:type="character" w:customStyle="1" w:styleId="3192">
    <w:name w:val="m_441"/>
    <w:semiHidden/>
    <w:qFormat/>
    <w:uiPriority w:val="0"/>
    <w:rPr>
      <w:rFonts w:hint="default" w:ascii="Arial" w:hAnsi="Arial" w:cs="Arial"/>
      <w:color w:val="000000"/>
      <w:sz w:val="23"/>
      <w:szCs w:val="23"/>
    </w:rPr>
  </w:style>
  <w:style w:type="paragraph" w:customStyle="1" w:styleId="3193">
    <w:name w:val="项目报告类别"/>
    <w:basedOn w:val="1"/>
    <w:next w:val="1"/>
    <w:semiHidden/>
    <w:qFormat/>
    <w:uiPriority w:val="0"/>
    <w:pPr>
      <w:keepLines/>
      <w:tabs>
        <w:tab w:val="clear" w:pos="480"/>
      </w:tabs>
      <w:adjustRightInd w:val="0"/>
      <w:spacing w:before="60" w:after="60" w:line="360" w:lineRule="atLeast"/>
      <w:jc w:val="center"/>
      <w:textAlignment w:val="baseline"/>
    </w:pPr>
    <w:rPr>
      <w:rFonts w:ascii="楷体_GB2312" w:eastAsia="楷体_GB2312"/>
      <w:b/>
      <w:color w:val="000000"/>
      <w:kern w:val="0"/>
      <w:sz w:val="84"/>
      <w:szCs w:val="20"/>
    </w:rPr>
  </w:style>
  <w:style w:type="paragraph" w:customStyle="1" w:styleId="3194">
    <w:name w:val="项目评价单位"/>
    <w:basedOn w:val="1"/>
    <w:semiHidden/>
    <w:qFormat/>
    <w:uiPriority w:val="0"/>
    <w:pPr>
      <w:tabs>
        <w:tab w:val="clear" w:pos="480"/>
      </w:tabs>
      <w:adjustRightInd w:val="0"/>
      <w:spacing w:before="60" w:after="60" w:line="360" w:lineRule="atLeast"/>
      <w:ind w:firstLine="539"/>
      <w:jc w:val="center"/>
      <w:textAlignment w:val="baseline"/>
    </w:pPr>
    <w:rPr>
      <w:rFonts w:ascii="楷体_GB2312" w:eastAsia="楷体_GB2312"/>
      <w:b/>
      <w:color w:val="000000"/>
      <w:kern w:val="0"/>
      <w:sz w:val="36"/>
      <w:szCs w:val="20"/>
    </w:rPr>
  </w:style>
  <w:style w:type="paragraph" w:customStyle="1" w:styleId="3195">
    <w:name w:val="项目编制时间"/>
    <w:basedOn w:val="1"/>
    <w:semiHidden/>
    <w:qFormat/>
    <w:uiPriority w:val="0"/>
    <w:pPr>
      <w:tabs>
        <w:tab w:val="clear" w:pos="480"/>
      </w:tabs>
      <w:adjustRightInd w:val="0"/>
      <w:spacing w:before="60" w:after="60" w:line="360" w:lineRule="atLeast"/>
      <w:ind w:firstLine="539"/>
      <w:jc w:val="center"/>
      <w:textAlignment w:val="baseline"/>
    </w:pPr>
    <w:rPr>
      <w:rFonts w:eastAsia="楷体_GB2312"/>
      <w:b/>
      <w:color w:val="000000"/>
      <w:kern w:val="0"/>
      <w:sz w:val="36"/>
      <w:szCs w:val="20"/>
    </w:rPr>
  </w:style>
  <w:style w:type="paragraph" w:customStyle="1" w:styleId="3196">
    <w:name w:val="title14"/>
    <w:basedOn w:val="1"/>
    <w:semiHidden/>
    <w:qFormat/>
    <w:uiPriority w:val="0"/>
    <w:pPr>
      <w:widowControl/>
      <w:tabs>
        <w:tab w:val="clear" w:pos="480"/>
      </w:tabs>
      <w:spacing w:before="100" w:beforeAutospacing="1" w:after="100" w:afterAutospacing="1" w:line="408" w:lineRule="auto"/>
      <w:jc w:val="left"/>
    </w:pPr>
    <w:rPr>
      <w:rFonts w:ascii="Arial Unicode MS" w:hAnsi="Arial Unicode MS" w:eastAsia="Arial Unicode MS" w:cs="Arial Unicode MS"/>
      <w:kern w:val="0"/>
      <w:sz w:val="22"/>
      <w:szCs w:val="22"/>
    </w:rPr>
  </w:style>
  <w:style w:type="paragraph" w:customStyle="1" w:styleId="3197">
    <w:name w:val="壹"/>
    <w:basedOn w:val="1"/>
    <w:semiHidden/>
    <w:qFormat/>
    <w:uiPriority w:val="0"/>
    <w:pPr>
      <w:tabs>
        <w:tab w:val="clear" w:pos="480"/>
      </w:tabs>
      <w:adjustRightInd w:val="0"/>
      <w:spacing w:beforeLines="50" w:afterLines="50" w:line="360" w:lineRule="atLeast"/>
      <w:jc w:val="left"/>
      <w:textAlignment w:val="baseline"/>
    </w:pPr>
    <w:rPr>
      <w:rFonts w:eastAsia="DFKai-SB"/>
      <w:b/>
      <w:bCs/>
      <w:kern w:val="0"/>
      <w:sz w:val="32"/>
      <w:szCs w:val="32"/>
      <w:lang w:eastAsia="zh-TW"/>
    </w:rPr>
  </w:style>
  <w:style w:type="character" w:customStyle="1" w:styleId="3198">
    <w:name w:val="9p"/>
    <w:basedOn w:val="132"/>
    <w:semiHidden/>
    <w:qFormat/>
    <w:uiPriority w:val="0"/>
  </w:style>
  <w:style w:type="paragraph" w:customStyle="1" w:styleId="3199">
    <w:name w:val="标题3.5"/>
    <w:basedOn w:val="1"/>
    <w:semiHidden/>
    <w:qFormat/>
    <w:uiPriority w:val="0"/>
    <w:pPr>
      <w:tabs>
        <w:tab w:val="clear" w:pos="480"/>
      </w:tabs>
      <w:spacing w:line="240" w:lineRule="auto"/>
    </w:pPr>
    <w:rPr>
      <w:rFonts w:eastAsia="仿宋_GB2312"/>
    </w:rPr>
  </w:style>
  <w:style w:type="paragraph" w:customStyle="1" w:styleId="3200">
    <w:name w:val="样式 标题 3B HeadH3标题 3 Char Char标题 3 Char Char Char Char标题 3 C..."/>
    <w:basedOn w:val="5"/>
    <w:semiHidden/>
    <w:qFormat/>
    <w:uiPriority w:val="0"/>
    <w:pPr>
      <w:numPr>
        <w:numId w:val="0"/>
      </w:numPr>
      <w:tabs>
        <w:tab w:val="left" w:pos="709"/>
        <w:tab w:val="clear" w:pos="480"/>
        <w:tab w:val="clear" w:pos="840"/>
      </w:tabs>
      <w:spacing w:before="100" w:after="100" w:line="300" w:lineRule="auto"/>
      <w:ind w:left="709" w:hanging="709"/>
    </w:pPr>
    <w:rPr>
      <w:rFonts w:ascii="黑体" w:eastAsia="黑体" w:cs="宋体"/>
      <w:b w:val="0"/>
      <w:bCs w:val="0"/>
      <w:sz w:val="28"/>
      <w:szCs w:val="20"/>
    </w:rPr>
  </w:style>
  <w:style w:type="paragraph" w:customStyle="1" w:styleId="3201">
    <w:name w:val="样式 标题 2H2SeHead wsa2标题 1.1标题 2 Char Char Char Char Char标题 ..."/>
    <w:basedOn w:val="4"/>
    <w:semiHidden/>
    <w:qFormat/>
    <w:uiPriority w:val="0"/>
    <w:pPr>
      <w:numPr>
        <w:numId w:val="0"/>
      </w:numPr>
      <w:tabs>
        <w:tab w:val="left" w:pos="567"/>
        <w:tab w:val="clear" w:pos="480"/>
        <w:tab w:val="clear" w:pos="630"/>
      </w:tabs>
      <w:spacing w:before="120"/>
      <w:ind w:left="567" w:hanging="567"/>
    </w:pPr>
    <w:rPr>
      <w:rFonts w:ascii="黑体" w:hAnsi="Arial" w:eastAsia="黑体" w:cs="宋体"/>
      <w:b w:val="0"/>
      <w:bCs w:val="0"/>
      <w:kern w:val="0"/>
    </w:rPr>
  </w:style>
  <w:style w:type="paragraph" w:customStyle="1" w:styleId="3202">
    <w:name w:val="样式 标题 4 + 小四 行距: 单倍行距"/>
    <w:basedOn w:val="6"/>
    <w:semiHidden/>
    <w:qFormat/>
    <w:uiPriority w:val="0"/>
    <w:pPr>
      <w:numPr>
        <w:numId w:val="0"/>
      </w:numPr>
      <w:tabs>
        <w:tab w:val="left" w:pos="851"/>
        <w:tab w:val="clear" w:pos="480"/>
      </w:tabs>
      <w:spacing w:before="280" w:after="290" w:line="240" w:lineRule="auto"/>
      <w:ind w:left="851" w:hanging="851"/>
    </w:pPr>
    <w:rPr>
      <w:rFonts w:ascii="Arial" w:hAnsi="Arial" w:eastAsia="黑体" w:cs="宋体"/>
      <w:sz w:val="24"/>
      <w:szCs w:val="20"/>
    </w:rPr>
  </w:style>
  <w:style w:type="character" w:customStyle="1" w:styleId="3203">
    <w:name w:val="l131"/>
    <w:semiHidden/>
    <w:qFormat/>
    <w:uiPriority w:val="0"/>
    <w:rPr>
      <w:sz w:val="18"/>
      <w:szCs w:val="18"/>
    </w:rPr>
  </w:style>
  <w:style w:type="paragraph" w:customStyle="1" w:styleId="3204">
    <w:name w:val="表目录"/>
    <w:basedOn w:val="73"/>
    <w:semiHidden/>
    <w:qFormat/>
    <w:uiPriority w:val="0"/>
    <w:pPr>
      <w:spacing w:line="360" w:lineRule="auto"/>
      <w:ind w:left="200" w:hanging="200"/>
      <w:jc w:val="center"/>
    </w:pPr>
    <w:rPr>
      <w:rFonts w:eastAsia="黑体"/>
      <w:b/>
      <w:bCs/>
      <w:sz w:val="24"/>
      <w:szCs w:val="21"/>
    </w:rPr>
  </w:style>
  <w:style w:type="paragraph" w:customStyle="1" w:styleId="3205">
    <w:name w:val="样式 标题 2第一章1.1 Char Char Char + 四号 加粗 段前: 自动 段后: 自动"/>
    <w:basedOn w:val="4"/>
    <w:semiHidden/>
    <w:qFormat/>
    <w:uiPriority w:val="0"/>
    <w:pPr>
      <w:numPr>
        <w:numId w:val="0"/>
      </w:numPr>
      <w:tabs>
        <w:tab w:val="clear" w:pos="480"/>
        <w:tab w:val="clear" w:pos="630"/>
      </w:tabs>
      <w:spacing w:before="156" w:beforeAutospacing="1" w:after="156" w:afterAutospacing="1"/>
      <w:ind w:left="291"/>
    </w:pPr>
    <w:rPr>
      <w:rFonts w:ascii="Arial" w:hAnsi="Arial" w:eastAsia="黑体" w:cs="宋体"/>
      <w:kern w:val="0"/>
      <w:sz w:val="28"/>
      <w:szCs w:val="20"/>
    </w:rPr>
  </w:style>
  <w:style w:type="character" w:customStyle="1" w:styleId="3206">
    <w:name w:val="样式 四号"/>
    <w:semiHidden/>
    <w:qFormat/>
    <w:uiPriority w:val="0"/>
    <w:rPr>
      <w:rFonts w:eastAsia="黑体"/>
      <w:b/>
      <w:sz w:val="28"/>
    </w:rPr>
  </w:style>
  <w:style w:type="paragraph" w:customStyle="1" w:styleId="3207">
    <w:name w:val="c_"/>
    <w:semiHidden/>
    <w:qFormat/>
    <w:uiPriority w:val="0"/>
    <w:pPr>
      <w:widowControl w:val="0"/>
      <w:autoSpaceDE w:val="0"/>
      <w:autoSpaceDN w:val="0"/>
      <w:adjustRightInd w:val="0"/>
      <w:jc w:val="both"/>
    </w:pPr>
    <w:rPr>
      <w:rFonts w:ascii="五" w:hAnsi="Times New Roman" w:eastAsia="五" w:cs="Times New Roman"/>
      <w:kern w:val="2"/>
      <w:sz w:val="24"/>
      <w:szCs w:val="24"/>
      <w:lang w:val="en-US" w:eastAsia="zh-CN" w:bidi="ar-SA"/>
    </w:rPr>
  </w:style>
  <w:style w:type="paragraph" w:customStyle="1" w:styleId="3208">
    <w:name w:val="Char Char Char Char Char Char1 Char Char Char1 Char Char Char1 Char Char Char Char Char Char Char Char Char Char2"/>
    <w:basedOn w:val="1"/>
    <w:next w:val="1"/>
    <w:semiHidden/>
    <w:qFormat/>
    <w:uiPriority w:val="0"/>
    <w:pPr>
      <w:tabs>
        <w:tab w:val="clear" w:pos="480"/>
      </w:tabs>
    </w:pPr>
    <w:rPr>
      <w:rFonts w:ascii="宋体" w:hAnsi="宋体" w:cs="宋体"/>
    </w:rPr>
  </w:style>
  <w:style w:type="paragraph" w:customStyle="1" w:styleId="3209">
    <w:name w:val="Char Char Char Char Char Char Char Char Char Char Char Char Char Char Char Char Char Char Char2"/>
    <w:basedOn w:val="1"/>
    <w:next w:val="1"/>
    <w:semiHidden/>
    <w:qFormat/>
    <w:uiPriority w:val="0"/>
    <w:pPr>
      <w:tabs>
        <w:tab w:val="clear" w:pos="480"/>
      </w:tabs>
    </w:pPr>
    <w:rPr>
      <w:rFonts w:ascii="宋体" w:hAnsi="宋体" w:cs="宋体"/>
    </w:rPr>
  </w:style>
  <w:style w:type="paragraph" w:customStyle="1" w:styleId="3210">
    <w:name w:val="Char1 Char Char Char2"/>
    <w:basedOn w:val="1"/>
    <w:next w:val="1"/>
    <w:semiHidden/>
    <w:qFormat/>
    <w:uiPriority w:val="0"/>
    <w:pPr>
      <w:keepNext/>
      <w:tabs>
        <w:tab w:val="left" w:pos="720"/>
        <w:tab w:val="left" w:pos="960"/>
        <w:tab w:val="left" w:pos="1134"/>
      </w:tabs>
      <w:adjustRightInd w:val="0"/>
      <w:snapToGrid w:val="0"/>
      <w:spacing w:before="120" w:after="120"/>
      <w:outlineLvl w:val="2"/>
    </w:pPr>
    <w:rPr>
      <w:rFonts w:ascii="黑体" w:hAnsi="黑体" w:eastAsia="黑体" w:cs="宋体"/>
      <w:b/>
      <w:bCs/>
      <w:snapToGrid w:val="0"/>
      <w:spacing w:val="-5"/>
      <w:kern w:val="0"/>
      <w:sz w:val="28"/>
      <w:szCs w:val="20"/>
    </w:rPr>
  </w:style>
  <w:style w:type="paragraph" w:customStyle="1" w:styleId="3211">
    <w:name w:val="正文文本 211"/>
    <w:basedOn w:val="1"/>
    <w:semiHidden/>
    <w:qFormat/>
    <w:uiPriority w:val="0"/>
    <w:pPr>
      <w:tabs>
        <w:tab w:val="clear" w:pos="480"/>
      </w:tabs>
      <w:adjustRightInd w:val="0"/>
      <w:snapToGrid w:val="0"/>
      <w:spacing w:line="240" w:lineRule="auto"/>
      <w:ind w:firstLine="480"/>
      <w:textAlignment w:val="baseline"/>
    </w:pPr>
    <w:rPr>
      <w:rFonts w:ascii="楷体_GB2312" w:eastAsia="楷体_GB2312"/>
      <w:kern w:val="0"/>
      <w:szCs w:val="20"/>
    </w:rPr>
  </w:style>
  <w:style w:type="paragraph" w:customStyle="1" w:styleId="3212">
    <w:name w:val="日期11"/>
    <w:basedOn w:val="1"/>
    <w:next w:val="1"/>
    <w:semiHidden/>
    <w:qFormat/>
    <w:uiPriority w:val="0"/>
    <w:pPr>
      <w:tabs>
        <w:tab w:val="clear" w:pos="480"/>
      </w:tabs>
      <w:adjustRightInd w:val="0"/>
      <w:snapToGrid w:val="0"/>
      <w:spacing w:line="300" w:lineRule="auto"/>
      <w:jc w:val="right"/>
      <w:textAlignment w:val="baseline"/>
    </w:pPr>
    <w:rPr>
      <w:rFonts w:ascii="楷体_GB2312" w:eastAsia="楷体_GB2312"/>
      <w:kern w:val="0"/>
      <w:szCs w:val="20"/>
    </w:rPr>
  </w:style>
  <w:style w:type="paragraph" w:customStyle="1" w:styleId="3213">
    <w:name w:val="Char Char Char Char Char Char Char Char Char Char Char Char Char Char Char Char Char Char Char Char Char Char Char Char Char Char Char Char Char Char Char Char Char Char Char Char Char Char Char Char Char Char Char1"/>
    <w:basedOn w:val="1"/>
    <w:next w:val="1"/>
    <w:semiHidden/>
    <w:qFormat/>
    <w:uiPriority w:val="0"/>
    <w:pPr>
      <w:tabs>
        <w:tab w:val="clear" w:pos="480"/>
      </w:tabs>
    </w:pPr>
    <w:rPr>
      <w:rFonts w:ascii="宋体" w:hAnsi="宋体" w:cs="宋体"/>
    </w:rPr>
  </w:style>
  <w:style w:type="paragraph" w:customStyle="1" w:styleId="3214">
    <w:name w:val="Char Char Char Char Char Char1 Char Char Char1 Char Char Char1 Char Char Char Char Char Char Char Char Char Char Char Char1"/>
    <w:basedOn w:val="1"/>
    <w:next w:val="1"/>
    <w:semiHidden/>
    <w:qFormat/>
    <w:uiPriority w:val="0"/>
    <w:pPr>
      <w:tabs>
        <w:tab w:val="clear" w:pos="480"/>
      </w:tabs>
    </w:pPr>
    <w:rPr>
      <w:rFonts w:ascii="宋体" w:hAnsi="宋体" w:cs="宋体"/>
    </w:rPr>
  </w:style>
  <w:style w:type="paragraph" w:customStyle="1" w:styleId="3215">
    <w:name w:val="Char Char Char Char Char Char Char Char Char Char Char Char Char Char Char Char Char Char Char Char Char Char Char Char Char Char Char Char Char Char Char Char Char Char Char Char1"/>
    <w:basedOn w:val="1"/>
    <w:next w:val="1"/>
    <w:semiHidden/>
    <w:qFormat/>
    <w:uiPriority w:val="0"/>
    <w:pPr>
      <w:tabs>
        <w:tab w:val="clear" w:pos="480"/>
      </w:tabs>
    </w:pPr>
    <w:rPr>
      <w:rFonts w:ascii="宋体" w:hAnsi="宋体" w:cs="宋体"/>
    </w:rPr>
  </w:style>
  <w:style w:type="paragraph" w:customStyle="1" w:styleId="3216">
    <w:name w:val="Char Char Char Char Char Char Char Char Char Char Char Char Char Char Char Char Char Char Char Char Char Char Char Char Char Char Char Char Char Char Char Char Char Char Char Char Char1"/>
    <w:basedOn w:val="1"/>
    <w:next w:val="1"/>
    <w:semiHidden/>
    <w:qFormat/>
    <w:uiPriority w:val="0"/>
    <w:pPr>
      <w:tabs>
        <w:tab w:val="clear" w:pos="480"/>
      </w:tabs>
    </w:pPr>
    <w:rPr>
      <w:rFonts w:ascii="宋体" w:hAnsi="宋体" w:cs="宋体"/>
    </w:rPr>
  </w:style>
  <w:style w:type="paragraph" w:customStyle="1" w:styleId="3217">
    <w:name w:val="Char Char Char Char Char Char Char Char Char Char1 Char Char Char Char Char Char Char Char Char Char Char Char Char Char Char Char Char Char1"/>
    <w:basedOn w:val="1"/>
    <w:semiHidden/>
    <w:qFormat/>
    <w:uiPriority w:val="0"/>
    <w:pPr>
      <w:tabs>
        <w:tab w:val="clear" w:pos="480"/>
      </w:tabs>
      <w:spacing w:line="240" w:lineRule="auto"/>
    </w:pPr>
    <w:rPr>
      <w:sz w:val="21"/>
    </w:rPr>
  </w:style>
  <w:style w:type="paragraph" w:customStyle="1" w:styleId="3218">
    <w:name w:val="字元 字元 Char Char 字元 字元11"/>
    <w:basedOn w:val="1"/>
    <w:semiHidden/>
    <w:qFormat/>
    <w:uiPriority w:val="0"/>
    <w:pPr>
      <w:tabs>
        <w:tab w:val="clear" w:pos="480"/>
      </w:tabs>
      <w:spacing w:line="240" w:lineRule="auto"/>
    </w:pPr>
  </w:style>
  <w:style w:type="paragraph" w:customStyle="1" w:styleId="3219">
    <w:name w:val="Char Char2 Char Char Char Char1"/>
    <w:basedOn w:val="1"/>
    <w:semiHidden/>
    <w:qFormat/>
    <w:uiPriority w:val="0"/>
    <w:pPr>
      <w:widowControl/>
      <w:tabs>
        <w:tab w:val="clear" w:pos="480"/>
      </w:tabs>
      <w:spacing w:line="240" w:lineRule="auto"/>
      <w:jc w:val="left"/>
    </w:pPr>
    <w:rPr>
      <w:kern w:val="0"/>
      <w:lang w:val="pl-PL" w:eastAsia="pl-PL"/>
    </w:rPr>
  </w:style>
  <w:style w:type="paragraph" w:customStyle="1" w:styleId="3220">
    <w:name w:val="Char Char Char Char Char Char Char Char Char Char Char Char1"/>
    <w:basedOn w:val="1"/>
    <w:semiHidden/>
    <w:qFormat/>
    <w:uiPriority w:val="0"/>
    <w:pPr>
      <w:tabs>
        <w:tab w:val="clear" w:pos="480"/>
      </w:tabs>
      <w:spacing w:line="240" w:lineRule="auto"/>
    </w:pPr>
    <w:rPr>
      <w:sz w:val="21"/>
    </w:rPr>
  </w:style>
  <w:style w:type="paragraph" w:customStyle="1" w:styleId="3221">
    <w:name w:val="表内五中"/>
    <w:basedOn w:val="1"/>
    <w:semiHidden/>
    <w:qFormat/>
    <w:uiPriority w:val="0"/>
    <w:pPr>
      <w:tabs>
        <w:tab w:val="left" w:pos="-120"/>
        <w:tab w:val="clear" w:pos="480"/>
      </w:tabs>
      <w:spacing w:before="60" w:line="310" w:lineRule="atLeast"/>
      <w:jc w:val="center"/>
    </w:pPr>
    <w:rPr>
      <w:sz w:val="21"/>
      <w:szCs w:val="20"/>
    </w:rPr>
  </w:style>
  <w:style w:type="paragraph" w:customStyle="1" w:styleId="3222">
    <w:name w:val="Display Equation (Aurora)"/>
    <w:basedOn w:val="1"/>
    <w:link w:val="3223"/>
    <w:semiHidden/>
    <w:qFormat/>
    <w:uiPriority w:val="0"/>
    <w:pPr>
      <w:tabs>
        <w:tab w:val="center" w:pos="4153"/>
        <w:tab w:val="right" w:pos="8306"/>
        <w:tab w:val="clear" w:pos="480"/>
      </w:tabs>
      <w:ind w:firstLine="480"/>
      <w:contextualSpacing/>
    </w:pPr>
    <w:rPr>
      <w:color w:val="000000"/>
      <w:kern w:val="0"/>
      <w:szCs w:val="20"/>
      <w:lang w:val="zh-CN"/>
    </w:rPr>
  </w:style>
  <w:style w:type="character" w:customStyle="1" w:styleId="3223">
    <w:name w:val="Display Equation (Aurora) Char"/>
    <w:link w:val="3222"/>
    <w:qFormat/>
    <w:uiPriority w:val="0"/>
    <w:rPr>
      <w:rFonts w:eastAsia="宋体"/>
      <w:color w:val="000000"/>
      <w:sz w:val="24"/>
      <w:lang w:bidi="ar-SA"/>
    </w:rPr>
  </w:style>
  <w:style w:type="character" w:customStyle="1" w:styleId="3224">
    <w:name w:val="Section Break (Aurora)"/>
    <w:semiHidden/>
    <w:qFormat/>
    <w:uiPriority w:val="0"/>
    <w:rPr>
      <w:color w:val="800080"/>
      <w:sz w:val="24"/>
    </w:rPr>
  </w:style>
  <w:style w:type="paragraph" w:customStyle="1" w:styleId="3225">
    <w:name w:val="标题3样式"/>
    <w:basedOn w:val="1"/>
    <w:link w:val="3226"/>
    <w:semiHidden/>
    <w:qFormat/>
    <w:uiPriority w:val="0"/>
    <w:pPr>
      <w:tabs>
        <w:tab w:val="left" w:pos="1076"/>
        <w:tab w:val="left" w:pos="1255"/>
        <w:tab w:val="left" w:pos="1418"/>
        <w:tab w:val="clear" w:pos="480"/>
      </w:tabs>
      <w:adjustRightInd w:val="0"/>
      <w:snapToGrid w:val="0"/>
      <w:spacing w:line="288" w:lineRule="auto"/>
      <w:ind w:firstLine="480"/>
      <w:outlineLvl w:val="2"/>
    </w:pPr>
    <w:rPr>
      <w:rFonts w:ascii="Arial" w:hAnsi="Arial"/>
      <w:b/>
      <w:bCs/>
      <w:color w:val="000000"/>
      <w:szCs w:val="20"/>
      <w:lang w:val="zh-CN"/>
    </w:rPr>
  </w:style>
  <w:style w:type="character" w:customStyle="1" w:styleId="3226">
    <w:name w:val="标题3样式 Char"/>
    <w:link w:val="3225"/>
    <w:qFormat/>
    <w:uiPriority w:val="0"/>
    <w:rPr>
      <w:rFonts w:ascii="Arial" w:hAnsi="Arial" w:eastAsia="宋体"/>
      <w:b/>
      <w:bCs/>
      <w:color w:val="000000"/>
      <w:kern w:val="2"/>
      <w:sz w:val="24"/>
      <w:lang w:bidi="ar-SA"/>
    </w:rPr>
  </w:style>
  <w:style w:type="paragraph" w:customStyle="1" w:styleId="3227">
    <w:name w:val="reader-word-layer reader-word-s3-1"/>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3228">
    <w:name w:val="TT表格标题"/>
    <w:basedOn w:val="1"/>
    <w:link w:val="3230"/>
    <w:qFormat/>
    <w:uiPriority w:val="0"/>
    <w:pPr>
      <w:spacing w:line="240" w:lineRule="auto"/>
      <w:jc w:val="center"/>
    </w:pPr>
    <w:rPr>
      <w:rFonts w:cs="宋体"/>
      <w:b/>
      <w:bCs/>
      <w:szCs w:val="20"/>
    </w:rPr>
  </w:style>
  <w:style w:type="paragraph" w:customStyle="1" w:styleId="3229">
    <w:name w:val="Char Char Char Char Char Char Char Char Char1 Char Char Char Char"/>
    <w:basedOn w:val="1"/>
    <w:semiHidden/>
    <w:qFormat/>
    <w:uiPriority w:val="0"/>
    <w:pPr>
      <w:tabs>
        <w:tab w:val="clear" w:pos="480"/>
      </w:tabs>
    </w:pPr>
    <w:rPr>
      <w:rFonts w:ascii="宋体" w:hAnsi="宋体" w:cs="宋体"/>
    </w:rPr>
  </w:style>
  <w:style w:type="character" w:customStyle="1" w:styleId="3230">
    <w:name w:val="TT表格标题 Char"/>
    <w:link w:val="3228"/>
    <w:qFormat/>
    <w:uiPriority w:val="0"/>
    <w:rPr>
      <w:rFonts w:eastAsia="宋体" w:cs="宋体"/>
      <w:b/>
      <w:bCs/>
      <w:kern w:val="2"/>
      <w:sz w:val="24"/>
      <w:lang w:val="en-US" w:eastAsia="zh-CN" w:bidi="ar-SA"/>
    </w:rPr>
  </w:style>
  <w:style w:type="paragraph" w:customStyle="1" w:styleId="3231">
    <w:name w:val="T3"/>
    <w:basedOn w:val="1"/>
    <w:link w:val="3232"/>
    <w:qFormat/>
    <w:uiPriority w:val="0"/>
    <w:pPr>
      <w:tabs>
        <w:tab w:val="clear" w:pos="480"/>
      </w:tabs>
      <w:outlineLvl w:val="2"/>
    </w:pPr>
    <w:rPr>
      <w:rFonts w:cs="宋体"/>
      <w:szCs w:val="20"/>
    </w:rPr>
  </w:style>
  <w:style w:type="character" w:customStyle="1" w:styleId="3232">
    <w:name w:val="T3 Char"/>
    <w:link w:val="3231"/>
    <w:qFormat/>
    <w:uiPriority w:val="0"/>
    <w:rPr>
      <w:rFonts w:eastAsia="宋体" w:cs="宋体"/>
      <w:kern w:val="2"/>
      <w:sz w:val="24"/>
      <w:lang w:val="en-US" w:eastAsia="zh-CN" w:bidi="ar-SA"/>
    </w:rPr>
  </w:style>
  <w:style w:type="character" w:customStyle="1" w:styleId="3233">
    <w:name w:val="样式 仿宋1"/>
    <w:qFormat/>
    <w:uiPriority w:val="0"/>
    <w:rPr>
      <w:rFonts w:ascii="Times New Roman" w:hAnsi="Times New Roman" w:eastAsia="仿宋_GB2312" w:cs="Times New Roman"/>
    </w:rPr>
  </w:style>
  <w:style w:type="character" w:customStyle="1" w:styleId="3234">
    <w:name w:val="样式 样式 仿宋1 + 仿宋_GB2312 (符号) 仿宋 黑色"/>
    <w:qFormat/>
    <w:uiPriority w:val="0"/>
    <w:rPr>
      <w:rFonts w:ascii="Times New Roman" w:hAnsi="Times New Roman" w:eastAsia="仿宋_GB2312" w:cs="Times New Roman"/>
      <w:color w:val="000000"/>
    </w:rPr>
  </w:style>
  <w:style w:type="paragraph" w:customStyle="1" w:styleId="3235">
    <w:name w:val="样式 仿宋_GB2312 三号 首行缩进:  1.14 厘米 行距: 固定值 30 磅"/>
    <w:basedOn w:val="1"/>
    <w:qFormat/>
    <w:uiPriority w:val="0"/>
    <w:pPr>
      <w:tabs>
        <w:tab w:val="clear" w:pos="480"/>
      </w:tabs>
      <w:spacing w:line="600" w:lineRule="exact"/>
      <w:ind w:firstLine="645"/>
    </w:pPr>
    <w:rPr>
      <w:rFonts w:eastAsia="仿宋_GB2312" w:cs="宋体"/>
      <w:kern w:val="0"/>
      <w:sz w:val="32"/>
      <w:szCs w:val="20"/>
    </w:rPr>
  </w:style>
  <w:style w:type="paragraph" w:customStyle="1" w:styleId="3236">
    <w:name w:val="reader-word-layer reader-word-s3-5"/>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3237">
    <w:name w:val="reader-word-layer reader-word-s3-8"/>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table" w:customStyle="1" w:styleId="3238">
    <w:name w:val="TT设计院"/>
    <w:basedOn w:val="87"/>
    <w:qFormat/>
    <w:uiPriority w:val="0"/>
    <w:pPr>
      <w:spacing w:line="360" w:lineRule="auto"/>
    </w:pPr>
    <w:rPr>
      <w:sz w:val="21"/>
    </w:rPr>
    <w:tblPr>
      <w:jc w:val="center"/>
      <w:tblBorders>
        <w:top w:val="single" w:color="auto" w:sz="18" w:space="0"/>
        <w:bottom w:val="single" w:color="auto" w:sz="18" w:space="0"/>
        <w:insideH w:val="single" w:color="auto" w:sz="4" w:space="0"/>
        <w:insideV w:val="single" w:color="auto" w:sz="4" w:space="0"/>
      </w:tblBorders>
    </w:tblPr>
    <w:trPr>
      <w:jc w:val="center"/>
    </w:trPr>
    <w:tcPr>
      <w:vAlign w:val="center"/>
    </w:tcPr>
  </w:style>
  <w:style w:type="character" w:customStyle="1" w:styleId="3239">
    <w:name w:val="LS T3标题 Char Char"/>
    <w:link w:val="3240"/>
    <w:qFormat/>
    <w:uiPriority w:val="0"/>
    <w:rPr>
      <w:rFonts w:ascii="楷体_GB2312" w:hAnsi="宋体" w:eastAsia="楷体_GB2312"/>
      <w:b/>
      <w:bCs/>
      <w:kern w:val="18"/>
      <w:sz w:val="28"/>
      <w:szCs w:val="28"/>
      <w:lang w:val="zh-CN"/>
    </w:rPr>
  </w:style>
  <w:style w:type="paragraph" w:customStyle="1" w:styleId="3240">
    <w:name w:val="LS T3标题"/>
    <w:basedOn w:val="5"/>
    <w:link w:val="3239"/>
    <w:qFormat/>
    <w:uiPriority w:val="0"/>
    <w:pPr>
      <w:widowControl/>
      <w:numPr>
        <w:numId w:val="36"/>
      </w:numPr>
      <w:tabs>
        <w:tab w:val="left" w:pos="720"/>
        <w:tab w:val="left" w:pos="1560"/>
        <w:tab w:val="clear" w:pos="480"/>
      </w:tabs>
      <w:spacing w:beforeLines="50" w:afterLines="50" w:line="360" w:lineRule="auto"/>
      <w:ind w:left="0" w:firstLine="0"/>
      <w:jc w:val="left"/>
    </w:pPr>
    <w:rPr>
      <w:rFonts w:ascii="楷体_GB2312" w:hAnsi="宋体" w:eastAsia="楷体_GB2312"/>
      <w:kern w:val="18"/>
      <w:sz w:val="28"/>
      <w:szCs w:val="28"/>
    </w:rPr>
  </w:style>
  <w:style w:type="character" w:customStyle="1" w:styleId="3241">
    <w:name w:val="LS正文 Char Char"/>
    <w:link w:val="3242"/>
    <w:qFormat/>
    <w:uiPriority w:val="0"/>
    <w:rPr>
      <w:rFonts w:eastAsia="宋体" w:cs="宋体"/>
      <w:color w:val="000000"/>
      <w:kern w:val="2"/>
      <w:sz w:val="24"/>
      <w:szCs w:val="24"/>
      <w:lang w:val="en-US" w:eastAsia="zh-CN" w:bidi="ar-SA"/>
    </w:rPr>
  </w:style>
  <w:style w:type="paragraph" w:customStyle="1" w:styleId="3242">
    <w:name w:val="LS正文"/>
    <w:basedOn w:val="1"/>
    <w:link w:val="3241"/>
    <w:qFormat/>
    <w:uiPriority w:val="0"/>
    <w:pPr>
      <w:widowControl/>
      <w:tabs>
        <w:tab w:val="clear" w:pos="480"/>
      </w:tabs>
      <w:spacing w:line="520" w:lineRule="exact"/>
      <w:jc w:val="left"/>
    </w:pPr>
    <w:rPr>
      <w:rFonts w:cs="宋体"/>
      <w:color w:val="000000"/>
    </w:rPr>
  </w:style>
  <w:style w:type="paragraph" w:customStyle="1" w:styleId="3243">
    <w:name w:val="LS T4标题"/>
    <w:basedOn w:val="6"/>
    <w:qFormat/>
    <w:uiPriority w:val="0"/>
    <w:pPr>
      <w:widowControl/>
      <w:numPr>
        <w:numId w:val="36"/>
      </w:numPr>
      <w:tabs>
        <w:tab w:val="left" w:pos="720"/>
        <w:tab w:val="left" w:pos="1680"/>
      </w:tabs>
      <w:spacing w:before="0" w:after="0" w:line="240" w:lineRule="auto"/>
      <w:ind w:left="0"/>
      <w:jc w:val="left"/>
    </w:pPr>
    <w:rPr>
      <w:rFonts w:ascii="Times New Roman" w:hAnsi="Times New Roman" w:eastAsia="宋体" w:cs="宋体"/>
      <w:snapToGrid w:val="0"/>
      <w:sz w:val="24"/>
      <w:szCs w:val="24"/>
    </w:rPr>
  </w:style>
  <w:style w:type="paragraph" w:customStyle="1" w:styleId="3244">
    <w:name w:val="封面标准号2"/>
    <w:qFormat/>
    <w:uiPriority w:val="0"/>
    <w:pPr>
      <w:framePr w:w="9140" w:h="1242" w:hRule="exact" w:hSpace="284" w:wrap="around" w:vAnchor="page" w:hAnchor="page" w:x="1645" w:y="2910" w:anchorLock="1"/>
      <w:spacing w:before="357" w:line="280" w:lineRule="exact"/>
      <w:jc w:val="right"/>
    </w:pPr>
    <w:rPr>
      <w:rFonts w:ascii="黑体" w:hAnsi="Times New Roman" w:eastAsia="黑体" w:cs="Times New Roman"/>
      <w:kern w:val="2"/>
      <w:sz w:val="28"/>
      <w:szCs w:val="28"/>
      <w:lang w:val="en-US" w:eastAsia="zh-CN" w:bidi="ar-SA"/>
    </w:rPr>
  </w:style>
  <w:style w:type="character" w:customStyle="1" w:styleId="3245">
    <w:name w:val="collect_txt"/>
    <w:qFormat/>
    <w:uiPriority w:val="0"/>
  </w:style>
  <w:style w:type="character" w:customStyle="1" w:styleId="3246">
    <w:name w:val="vote_num"/>
    <w:qFormat/>
    <w:uiPriority w:val="0"/>
  </w:style>
  <w:style w:type="character" w:customStyle="1" w:styleId="3247">
    <w:name w:val="bds_more"/>
    <w:qFormat/>
    <w:uiPriority w:val="0"/>
  </w:style>
  <w:style w:type="character" w:customStyle="1" w:styleId="3248">
    <w:name w:val="lemmatitleh1"/>
    <w:qFormat/>
    <w:uiPriority w:val="0"/>
  </w:style>
  <w:style w:type="paragraph" w:customStyle="1" w:styleId="3249">
    <w:name w:val="reader-word-layer"/>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paragraph" w:customStyle="1" w:styleId="3250">
    <w:name w:val="表样式（天安）"/>
    <w:basedOn w:val="1"/>
    <w:qFormat/>
    <w:uiPriority w:val="0"/>
    <w:pPr>
      <w:tabs>
        <w:tab w:val="clear" w:pos="480"/>
      </w:tabs>
      <w:adjustRightInd w:val="0"/>
      <w:spacing w:before="93" w:after="93"/>
      <w:jc w:val="center"/>
    </w:pPr>
    <w:rPr>
      <w:rFonts w:eastAsia="黑体"/>
      <w:kern w:val="10"/>
      <w:sz w:val="28"/>
      <w:szCs w:val="20"/>
    </w:rPr>
  </w:style>
  <w:style w:type="paragraph" w:customStyle="1" w:styleId="3251">
    <w:name w:val="正文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3252">
    <w:name w:val="表格标题博泵 Char Char"/>
    <w:link w:val="3253"/>
    <w:qFormat/>
    <w:uiPriority w:val="0"/>
    <w:rPr>
      <w:rFonts w:cs="宋体"/>
      <w:b/>
      <w:color w:val="000000"/>
      <w:kern w:val="2"/>
      <w:sz w:val="21"/>
    </w:rPr>
  </w:style>
  <w:style w:type="paragraph" w:customStyle="1" w:styleId="3253">
    <w:name w:val="表格标题博泵"/>
    <w:basedOn w:val="1"/>
    <w:link w:val="3252"/>
    <w:qFormat/>
    <w:uiPriority w:val="0"/>
    <w:pPr>
      <w:tabs>
        <w:tab w:val="clear" w:pos="480"/>
      </w:tabs>
      <w:adjustRightInd w:val="0"/>
      <w:snapToGrid w:val="0"/>
      <w:spacing w:line="240" w:lineRule="auto"/>
      <w:jc w:val="center"/>
      <w:textAlignment w:val="baseline"/>
    </w:pPr>
    <w:rPr>
      <w:b/>
      <w:color w:val="000000"/>
      <w:sz w:val="21"/>
      <w:szCs w:val="20"/>
      <w:lang w:val="zh-CN"/>
    </w:rPr>
  </w:style>
  <w:style w:type="character" w:customStyle="1" w:styleId="3254">
    <w:name w:val="表格标题新 Char Char"/>
    <w:qFormat/>
    <w:uiPriority w:val="0"/>
    <w:rPr>
      <w:rFonts w:ascii="宋体" w:hAnsi="宋体" w:eastAsia="宋体" w:cs="Arial"/>
      <w:b/>
      <w:snapToGrid w:val="0"/>
      <w:spacing w:val="10"/>
      <w:kern w:val="2"/>
      <w:sz w:val="24"/>
      <w:szCs w:val="24"/>
      <w:lang w:val="en-US" w:eastAsia="zh-CN" w:bidi="ar-SA"/>
    </w:rPr>
  </w:style>
  <w:style w:type="character" w:customStyle="1" w:styleId="3255">
    <w:name w:val="word_break"/>
    <w:qFormat/>
    <w:uiPriority w:val="0"/>
  </w:style>
  <w:style w:type="character" w:customStyle="1" w:styleId="3256">
    <w:name w:val="兴武正文 Char Char"/>
    <w:link w:val="3257"/>
    <w:qFormat/>
    <w:uiPriority w:val="0"/>
    <w:rPr>
      <w:rFonts w:cs="宋体"/>
      <w:kern w:val="2"/>
      <w:sz w:val="24"/>
    </w:rPr>
  </w:style>
  <w:style w:type="paragraph" w:customStyle="1" w:styleId="3257">
    <w:name w:val="兴武正文"/>
    <w:basedOn w:val="1"/>
    <w:link w:val="3256"/>
    <w:qFormat/>
    <w:uiPriority w:val="0"/>
    <w:pPr>
      <w:tabs>
        <w:tab w:val="clear" w:pos="480"/>
      </w:tabs>
      <w:spacing w:line="480" w:lineRule="exact"/>
    </w:pPr>
    <w:rPr>
      <w:szCs w:val="20"/>
      <w:lang w:val="zh-CN"/>
    </w:rPr>
  </w:style>
  <w:style w:type="character" w:customStyle="1" w:styleId="3258">
    <w:name w:val="样式 正文文本 2lifr 正文 + 宋体 Char"/>
    <w:link w:val="3259"/>
    <w:qFormat/>
    <w:uiPriority w:val="0"/>
    <w:rPr>
      <w:rFonts w:ascii="仿宋_GB2312" w:hAnsi="宋体" w:eastAsia="仿宋_GB2312"/>
      <w:spacing w:val="-20"/>
      <w:kern w:val="2"/>
      <w:sz w:val="22"/>
    </w:rPr>
  </w:style>
  <w:style w:type="paragraph" w:customStyle="1" w:styleId="3259">
    <w:name w:val="样式 正文文本 2lifr 正文 + 宋体"/>
    <w:basedOn w:val="2"/>
    <w:link w:val="3258"/>
    <w:qFormat/>
    <w:uiPriority w:val="0"/>
    <w:pPr>
      <w:adjustRightInd w:val="0"/>
      <w:snapToGrid w:val="0"/>
      <w:spacing w:line="300" w:lineRule="auto"/>
      <w:jc w:val="right"/>
    </w:pPr>
    <w:rPr>
      <w:rFonts w:ascii="仿宋_GB2312" w:hAnsi="宋体" w:eastAsia="仿宋_GB2312"/>
      <w:color w:val="auto"/>
      <w:spacing w:val="-20"/>
      <w:sz w:val="22"/>
      <w:lang w:val="zh-CN"/>
    </w:rPr>
  </w:style>
  <w:style w:type="character" w:customStyle="1" w:styleId="3260">
    <w:name w:val="正文1-1 Char Char"/>
    <w:link w:val="3105"/>
    <w:qFormat/>
    <w:uiPriority w:val="0"/>
    <w:rPr>
      <w:rFonts w:cs="宋体"/>
      <w:sz w:val="24"/>
      <w:szCs w:val="24"/>
    </w:rPr>
  </w:style>
  <w:style w:type="character" w:customStyle="1" w:styleId="3261">
    <w:name w:val="正文（天安） Char Char"/>
    <w:link w:val="3262"/>
    <w:qFormat/>
    <w:uiPriority w:val="0"/>
    <w:rPr>
      <w:kern w:val="2"/>
      <w:sz w:val="24"/>
      <w:szCs w:val="24"/>
    </w:rPr>
  </w:style>
  <w:style w:type="paragraph" w:customStyle="1" w:styleId="3262">
    <w:name w:val="正文（天安）"/>
    <w:basedOn w:val="2929"/>
    <w:link w:val="3261"/>
    <w:qFormat/>
    <w:uiPriority w:val="0"/>
    <w:pPr>
      <w:spacing w:before="93" w:after="93" w:line="400" w:lineRule="atLeast"/>
      <w:ind w:left="840" w:leftChars="400" w:firstLine="200"/>
      <w:textAlignment w:val="baseline"/>
    </w:pPr>
    <w:rPr>
      <w:szCs w:val="24"/>
      <w:lang w:val="zh-CN"/>
    </w:rPr>
  </w:style>
  <w:style w:type="character" w:customStyle="1" w:styleId="3263">
    <w:name w:val="样式 目录 1 + 首行缩进:  0.85 厘米1 Char Char"/>
    <w:link w:val="3264"/>
    <w:qFormat/>
    <w:uiPriority w:val="0"/>
    <w:rPr>
      <w:rFonts w:ascii="Calibri" w:hAnsi="Calibri" w:cs="宋体"/>
      <w:b/>
      <w:bCs/>
      <w:caps/>
      <w:kern w:val="2"/>
    </w:rPr>
  </w:style>
  <w:style w:type="paragraph" w:customStyle="1" w:styleId="3264">
    <w:name w:val="样式 目录 1 + 首行缩进:  0.85 厘米1"/>
    <w:basedOn w:val="59"/>
    <w:link w:val="3263"/>
    <w:qFormat/>
    <w:uiPriority w:val="0"/>
    <w:pPr>
      <w:spacing w:line="240" w:lineRule="auto"/>
      <w:ind w:firstLine="482"/>
      <w:jc w:val="both"/>
    </w:pPr>
    <w:rPr>
      <w:rFonts w:ascii="Calibri" w:hAnsi="Calibri"/>
      <w:lang w:val="zh-CN"/>
    </w:rPr>
  </w:style>
  <w:style w:type="character" w:customStyle="1" w:styleId="3265">
    <w:name w:val="君邦正文 Char2"/>
    <w:qFormat/>
    <w:uiPriority w:val="0"/>
    <w:rPr>
      <w:bCs/>
      <w:snapToGrid w:val="0"/>
      <w:sz w:val="24"/>
      <w:lang w:val="en-US" w:eastAsia="zh-CN" w:bidi="ar-SA"/>
    </w:rPr>
  </w:style>
  <w:style w:type="character" w:customStyle="1" w:styleId="3266">
    <w:name w:val="样式 宋体 三号 红色"/>
    <w:qFormat/>
    <w:uiPriority w:val="0"/>
    <w:rPr>
      <w:rFonts w:ascii="宋体" w:hAnsi="宋体" w:eastAsia="宋体"/>
      <w:color w:val="FF0000"/>
      <w:kern w:val="2"/>
      <w:sz w:val="24"/>
      <w:szCs w:val="21"/>
      <w:lang w:val="en-US" w:eastAsia="zh-CN" w:bidi="ar-SA"/>
    </w:rPr>
  </w:style>
  <w:style w:type="character" w:customStyle="1" w:styleId="3267">
    <w:name w:val="博泵1 Char Char"/>
    <w:link w:val="3268"/>
    <w:qFormat/>
    <w:uiPriority w:val="0"/>
    <w:rPr>
      <w:rFonts w:hAnsi="宋体" w:cs="宋体"/>
      <w:color w:val="000000"/>
      <w:sz w:val="24"/>
    </w:rPr>
  </w:style>
  <w:style w:type="paragraph" w:customStyle="1" w:styleId="3268">
    <w:name w:val="博泵1"/>
    <w:basedOn w:val="1"/>
    <w:link w:val="3267"/>
    <w:qFormat/>
    <w:uiPriority w:val="0"/>
    <w:pPr>
      <w:tabs>
        <w:tab w:val="clear" w:pos="480"/>
      </w:tabs>
      <w:adjustRightInd w:val="0"/>
      <w:spacing w:line="480" w:lineRule="exact"/>
      <w:jc w:val="left"/>
      <w:textAlignment w:val="baseline"/>
    </w:pPr>
    <w:rPr>
      <w:rFonts w:hAnsi="宋体"/>
      <w:color w:val="000000"/>
      <w:kern w:val="0"/>
      <w:szCs w:val="20"/>
      <w:lang w:val="zh-CN"/>
    </w:rPr>
  </w:style>
  <w:style w:type="character" w:customStyle="1" w:styleId="3269">
    <w:name w:val="even Char Char"/>
    <w:qFormat/>
    <w:uiPriority w:val="0"/>
    <w:rPr>
      <w:rFonts w:eastAsia="宋体"/>
      <w:kern w:val="2"/>
      <w:sz w:val="18"/>
      <w:szCs w:val="18"/>
      <w:lang w:val="en-US" w:eastAsia="zh-CN" w:bidi="ar-SA"/>
    </w:rPr>
  </w:style>
  <w:style w:type="character" w:customStyle="1" w:styleId="3270">
    <w:name w:val="表格标题＋单位 Char Char"/>
    <w:link w:val="3271"/>
    <w:qFormat/>
    <w:uiPriority w:val="0"/>
    <w:rPr>
      <w:b/>
      <w:kern w:val="2"/>
      <w:sz w:val="24"/>
      <w:szCs w:val="24"/>
    </w:rPr>
  </w:style>
  <w:style w:type="paragraph" w:customStyle="1" w:styleId="3271">
    <w:name w:val="表格标题＋单位"/>
    <w:basedOn w:val="1"/>
    <w:link w:val="3270"/>
    <w:qFormat/>
    <w:uiPriority w:val="0"/>
    <w:pPr>
      <w:tabs>
        <w:tab w:val="clear" w:pos="480"/>
      </w:tabs>
      <w:wordWrap w:val="0"/>
      <w:spacing w:line="500" w:lineRule="exact"/>
      <w:jc w:val="right"/>
    </w:pPr>
    <w:rPr>
      <w:b/>
      <w:lang w:val="zh-CN"/>
    </w:rPr>
  </w:style>
  <w:style w:type="character" w:customStyle="1" w:styleId="3272">
    <w:name w:val="wz-title11"/>
    <w:qFormat/>
    <w:uiPriority w:val="0"/>
    <w:rPr>
      <w:b/>
      <w:bCs/>
      <w:color w:val="2879B8"/>
      <w:sz w:val="20"/>
      <w:szCs w:val="20"/>
    </w:rPr>
  </w:style>
  <w:style w:type="character" w:customStyle="1" w:styleId="3273">
    <w:name w:val="标题 2 Char Char"/>
    <w:qFormat/>
    <w:uiPriority w:val="0"/>
    <w:rPr>
      <w:rFonts w:ascii="宋体" w:hAnsi="Arial" w:eastAsia="宋体"/>
      <w:b/>
      <w:bCs/>
      <w:kern w:val="2"/>
      <w:sz w:val="24"/>
      <w:szCs w:val="32"/>
      <w:lang w:val="en-US" w:eastAsia="zh-CN" w:bidi="ar-SA"/>
    </w:rPr>
  </w:style>
  <w:style w:type="character" w:customStyle="1" w:styleId="3274">
    <w:name w:val="样式 小四 行距: 固定值 23 磅 Char Char"/>
    <w:link w:val="2898"/>
    <w:qFormat/>
    <w:uiPriority w:val="0"/>
    <w:rPr>
      <w:kern w:val="2"/>
      <w:sz w:val="28"/>
      <w:szCs w:val="24"/>
    </w:rPr>
  </w:style>
  <w:style w:type="paragraph" w:customStyle="1" w:styleId="3275">
    <w:name w:val="样式 标题 2节节标题 1.1H2（一）Underrubrik1prop2Heading 2 HiddenHea..."/>
    <w:basedOn w:val="4"/>
    <w:qFormat/>
    <w:uiPriority w:val="0"/>
    <w:pPr>
      <w:numPr>
        <w:numId w:val="36"/>
      </w:numPr>
      <w:tabs>
        <w:tab w:val="left" w:pos="576"/>
        <w:tab w:val="left" w:pos="720"/>
        <w:tab w:val="left" w:pos="1380"/>
        <w:tab w:val="clear" w:pos="480"/>
        <w:tab w:val="clear" w:pos="630"/>
      </w:tabs>
      <w:spacing w:beforeLines="50" w:after="0"/>
      <w:jc w:val="left"/>
    </w:pPr>
    <w:rPr>
      <w:rFonts w:cs="宋体"/>
      <w:color w:val="000000"/>
      <w:sz w:val="30"/>
      <w:szCs w:val="20"/>
    </w:rPr>
  </w:style>
  <w:style w:type="paragraph" w:customStyle="1" w:styleId="3276">
    <w:name w:val="BGBT"/>
    <w:basedOn w:val="22"/>
    <w:qFormat/>
    <w:uiPriority w:val="0"/>
    <w:pPr>
      <w:widowControl w:val="0"/>
      <w:adjustRightInd/>
      <w:snapToGrid/>
      <w:spacing w:before="0" w:after="0" w:line="240" w:lineRule="auto"/>
      <w:ind w:firstLine="0" w:firstLineChars="0"/>
    </w:pPr>
    <w:rPr>
      <w:rFonts w:ascii="Times New Roman" w:hAnsi="Times New Roman" w:cs="宋体"/>
      <w:b/>
      <w:bCs/>
      <w:color w:val="auto"/>
      <w:kern w:val="10"/>
      <w:szCs w:val="24"/>
    </w:rPr>
  </w:style>
  <w:style w:type="paragraph" w:customStyle="1" w:styleId="3277">
    <w:name w:val="正文（首行不缩进）"/>
    <w:qFormat/>
    <w:uiPriority w:val="0"/>
    <w:pPr>
      <w:adjustRightInd w:val="0"/>
      <w:spacing w:line="300" w:lineRule="auto"/>
      <w:ind w:firstLine="200" w:firstLineChars="200"/>
      <w:jc w:val="center"/>
      <w:textAlignment w:val="baseline"/>
    </w:pPr>
    <w:rPr>
      <w:rFonts w:ascii="Times New Roman" w:hAnsi="Times New Roman" w:eastAsia="宋体" w:cs="Times New Roman"/>
      <w:color w:val="000000"/>
      <w:kern w:val="2"/>
      <w:sz w:val="24"/>
      <w:szCs w:val="24"/>
      <w:lang w:val="en-US" w:eastAsia="zh-CN" w:bidi="ar-SA"/>
    </w:rPr>
  </w:style>
  <w:style w:type="paragraph" w:customStyle="1" w:styleId="3278">
    <w:name w:val="Char1 Char Char Char Char Char Char Char Char Char Char Char Char"/>
    <w:basedOn w:val="1"/>
    <w:next w:val="1"/>
    <w:qFormat/>
    <w:uiPriority w:val="0"/>
    <w:pPr>
      <w:keepNext/>
      <w:keepLines/>
      <w:widowControl/>
      <w:tabs>
        <w:tab w:val="clear" w:pos="480"/>
      </w:tabs>
      <w:adjustRightInd w:val="0"/>
      <w:spacing w:before="40" w:after="40"/>
      <w:textAlignment w:val="baseline"/>
    </w:pPr>
    <w:rPr>
      <w:rFonts w:cs="宋体"/>
      <w:kern w:val="0"/>
      <w:sz w:val="28"/>
      <w:szCs w:val="28"/>
    </w:rPr>
  </w:style>
  <w:style w:type="paragraph" w:customStyle="1" w:styleId="3279">
    <w:name w:val="样式 正文首行缩进正文首行缩进 Char + 首行缩进:  2 字符1"/>
    <w:basedOn w:val="85"/>
    <w:qFormat/>
    <w:uiPriority w:val="0"/>
    <w:pPr>
      <w:ind w:firstLine="200" w:firstLineChars="200"/>
    </w:pPr>
    <w:rPr>
      <w:rFonts w:ascii="宋体" w:hAnsi="宋体" w:eastAsia="Times New Roman" w:cs="宋体"/>
      <w:color w:val="000000"/>
      <w:sz w:val="24"/>
      <w:szCs w:val="20"/>
    </w:rPr>
  </w:style>
  <w:style w:type="paragraph" w:customStyle="1" w:styleId="3280">
    <w:name w:val="样式 标题 3 + (西文) Times New Roman (中文) 宋体 小四 加粗"/>
    <w:basedOn w:val="1"/>
    <w:qFormat/>
    <w:uiPriority w:val="0"/>
    <w:pPr>
      <w:tabs>
        <w:tab w:val="clear" w:pos="480"/>
      </w:tabs>
      <w:spacing w:line="240" w:lineRule="auto"/>
    </w:pPr>
    <w:rPr>
      <w:kern w:val="10"/>
      <w:sz w:val="21"/>
    </w:rPr>
  </w:style>
  <w:style w:type="paragraph" w:customStyle="1" w:styleId="3281">
    <w:name w:val="环科院页眉"/>
    <w:basedOn w:val="57"/>
    <w:qFormat/>
    <w:uiPriority w:val="0"/>
    <w:pPr>
      <w:pBdr>
        <w:bottom w:val="thickThinSmallGap" w:color="auto" w:sz="24" w:space="1"/>
      </w:pBdr>
      <w:tabs>
        <w:tab w:val="clear" w:pos="480"/>
      </w:tabs>
      <w:spacing w:line="240" w:lineRule="auto"/>
    </w:pPr>
    <w:rPr>
      <w:sz w:val="15"/>
      <w:szCs w:val="15"/>
    </w:rPr>
  </w:style>
  <w:style w:type="paragraph" w:customStyle="1" w:styleId="3282">
    <w:name w:val="小四表文居中"/>
    <w:qFormat/>
    <w:uiPriority w:val="0"/>
    <w:pPr>
      <w:widowControl w:val="0"/>
      <w:spacing w:line="400" w:lineRule="exact"/>
      <w:jc w:val="center"/>
    </w:pPr>
    <w:rPr>
      <w:rFonts w:ascii="仿宋_GB2312" w:hAnsi="Times New Roman" w:eastAsia="仿宋_GB2312" w:cs="Times New Roman"/>
      <w:kern w:val="2"/>
      <w:sz w:val="24"/>
      <w:szCs w:val="24"/>
      <w:lang w:val="en-US" w:eastAsia="zh-CN" w:bidi="ar-SA"/>
    </w:rPr>
  </w:style>
  <w:style w:type="paragraph" w:customStyle="1" w:styleId="3283">
    <w:name w:val="项目编号文字"/>
    <w:basedOn w:val="1"/>
    <w:next w:val="21"/>
    <w:qFormat/>
    <w:uiPriority w:val="0"/>
    <w:pPr>
      <w:tabs>
        <w:tab w:val="clear" w:pos="480"/>
      </w:tabs>
      <w:spacing w:before="120" w:after="120"/>
      <w:ind w:left="1077"/>
    </w:pPr>
    <w:rPr>
      <w:kern w:val="10"/>
      <w:sz w:val="28"/>
      <w:szCs w:val="20"/>
    </w:rPr>
  </w:style>
  <w:style w:type="paragraph" w:customStyle="1" w:styleId="3284">
    <w:name w:val="永环表内格式"/>
    <w:basedOn w:val="1"/>
    <w:qFormat/>
    <w:uiPriority w:val="0"/>
    <w:pPr>
      <w:tabs>
        <w:tab w:val="clear" w:pos="480"/>
      </w:tabs>
      <w:spacing w:line="260" w:lineRule="exact"/>
      <w:jc w:val="center"/>
    </w:pPr>
    <w:rPr>
      <w:rFonts w:ascii="宋体" w:hAnsi="宋体" w:cs="Arial"/>
      <w:color w:val="343434"/>
      <w:kern w:val="10"/>
      <w:sz w:val="21"/>
      <w:szCs w:val="21"/>
    </w:rPr>
  </w:style>
  <w:style w:type="paragraph" w:customStyle="1" w:styleId="3285">
    <w:name w:val="正文B"/>
    <w:basedOn w:val="1"/>
    <w:qFormat/>
    <w:uiPriority w:val="0"/>
    <w:pPr>
      <w:tabs>
        <w:tab w:val="clear" w:pos="480"/>
      </w:tabs>
      <w:adjustRightInd w:val="0"/>
      <w:spacing w:line="390" w:lineRule="exact"/>
      <w:ind w:firstLine="601"/>
      <w:textAlignment w:val="baseline"/>
    </w:pPr>
    <w:rPr>
      <w:rFonts w:eastAsia="楷体_GB2312"/>
      <w:spacing w:val="8"/>
      <w:kern w:val="0"/>
      <w:sz w:val="28"/>
      <w:szCs w:val="20"/>
    </w:rPr>
  </w:style>
  <w:style w:type="paragraph" w:customStyle="1" w:styleId="3286">
    <w:name w:val="样式 首行缩进:  0.99 厘米 行距: 1.5 倍行距2"/>
    <w:basedOn w:val="1"/>
    <w:qFormat/>
    <w:uiPriority w:val="0"/>
    <w:pPr>
      <w:tabs>
        <w:tab w:val="clear" w:pos="480"/>
      </w:tabs>
      <w:adjustRightInd w:val="0"/>
      <w:snapToGrid w:val="0"/>
      <w:spacing w:line="240" w:lineRule="auto"/>
      <w:jc w:val="center"/>
    </w:pPr>
    <w:rPr>
      <w:color w:val="FF0000"/>
      <w:kern w:val="10"/>
      <w:sz w:val="21"/>
      <w:szCs w:val="20"/>
    </w:rPr>
  </w:style>
  <w:style w:type="paragraph" w:customStyle="1" w:styleId="3287">
    <w:name w:val="表格中文字"/>
    <w:basedOn w:val="1"/>
    <w:qFormat/>
    <w:uiPriority w:val="0"/>
    <w:pPr>
      <w:tabs>
        <w:tab w:val="clear" w:pos="480"/>
      </w:tabs>
      <w:adjustRightInd w:val="0"/>
      <w:spacing w:line="240" w:lineRule="auto"/>
      <w:jc w:val="center"/>
      <w:textAlignment w:val="baseline"/>
    </w:pPr>
    <w:rPr>
      <w:snapToGrid w:val="0"/>
      <w:spacing w:val="4"/>
      <w:w w:val="90"/>
      <w:kern w:val="0"/>
      <w:sz w:val="21"/>
      <w:szCs w:val="20"/>
    </w:rPr>
  </w:style>
  <w:style w:type="paragraph" w:customStyle="1" w:styleId="3288">
    <w:name w:val="报告书表格文本"/>
    <w:basedOn w:val="34"/>
    <w:qFormat/>
    <w:uiPriority w:val="0"/>
    <w:pPr>
      <w:spacing w:line="320" w:lineRule="exact"/>
      <w:jc w:val="center"/>
      <w:textAlignment w:val="center"/>
    </w:pPr>
    <w:rPr>
      <w:rFonts w:ascii="Times New Roman" w:hAnsi="Times New Roman" w:cs="宋体"/>
      <w:szCs w:val="21"/>
    </w:rPr>
  </w:style>
  <w:style w:type="paragraph" w:customStyle="1" w:styleId="3289">
    <w:name w:val="正文02"/>
    <w:basedOn w:val="1"/>
    <w:qFormat/>
    <w:uiPriority w:val="0"/>
    <w:pPr>
      <w:tabs>
        <w:tab w:val="clear" w:pos="480"/>
      </w:tabs>
      <w:adjustRightInd w:val="0"/>
    </w:pPr>
    <w:rPr>
      <w:kern w:val="10"/>
      <w:sz w:val="28"/>
      <w:szCs w:val="20"/>
    </w:rPr>
  </w:style>
  <w:style w:type="paragraph" w:customStyle="1" w:styleId="3290">
    <w:name w:val="目录B"/>
    <w:basedOn w:val="1"/>
    <w:qFormat/>
    <w:uiPriority w:val="0"/>
    <w:pPr>
      <w:tabs>
        <w:tab w:val="clear" w:pos="480"/>
      </w:tabs>
      <w:spacing w:line="480" w:lineRule="exact"/>
      <w:outlineLvl w:val="1"/>
    </w:pPr>
    <w:rPr>
      <w:rFonts w:ascii="黑体" w:eastAsia="黑体"/>
      <w:kern w:val="10"/>
      <w:sz w:val="28"/>
      <w:szCs w:val="28"/>
    </w:rPr>
  </w:style>
  <w:style w:type="paragraph" w:customStyle="1" w:styleId="3291">
    <w:name w:val="正文用的"/>
    <w:basedOn w:val="1"/>
    <w:qFormat/>
    <w:uiPriority w:val="0"/>
    <w:pPr>
      <w:tabs>
        <w:tab w:val="clear" w:pos="480"/>
      </w:tabs>
      <w:ind w:firstLine="480"/>
    </w:pPr>
    <w:rPr>
      <w:kern w:val="10"/>
      <w:szCs w:val="20"/>
    </w:rPr>
  </w:style>
  <w:style w:type="paragraph" w:customStyle="1" w:styleId="3292">
    <w:name w:val="BGWZ2"/>
    <w:basedOn w:val="1"/>
    <w:qFormat/>
    <w:uiPriority w:val="0"/>
    <w:pPr>
      <w:tabs>
        <w:tab w:val="clear" w:pos="480"/>
      </w:tabs>
      <w:snapToGrid w:val="0"/>
      <w:spacing w:line="300" w:lineRule="exact"/>
      <w:jc w:val="center"/>
    </w:pPr>
    <w:rPr>
      <w:snapToGrid w:val="0"/>
      <w:kern w:val="0"/>
      <w:sz w:val="18"/>
      <w:szCs w:val="20"/>
      <w:lang w:eastAsia="zh-TW"/>
    </w:rPr>
  </w:style>
  <w:style w:type="paragraph" w:customStyle="1" w:styleId="3293">
    <w:name w:val="样式 楷体_GB2312 居中"/>
    <w:basedOn w:val="1"/>
    <w:qFormat/>
    <w:uiPriority w:val="0"/>
    <w:pPr>
      <w:tabs>
        <w:tab w:val="clear" w:pos="480"/>
      </w:tabs>
      <w:jc w:val="center"/>
    </w:pPr>
    <w:rPr>
      <w:rFonts w:ascii="楷体_GB2312" w:eastAsia="楷体_GB2312"/>
      <w:kern w:val="10"/>
      <w:sz w:val="21"/>
      <w:szCs w:val="20"/>
    </w:rPr>
  </w:style>
  <w:style w:type="paragraph" w:customStyle="1" w:styleId="3294">
    <w:name w:val="样式 标题 1 + (中文) 宋体 小三 行距: 多倍行距 1.35 字行"/>
    <w:basedOn w:val="1"/>
    <w:qFormat/>
    <w:uiPriority w:val="0"/>
    <w:pPr>
      <w:tabs>
        <w:tab w:val="clear" w:pos="480"/>
      </w:tabs>
      <w:spacing w:line="240" w:lineRule="auto"/>
    </w:pPr>
    <w:rPr>
      <w:kern w:val="10"/>
      <w:sz w:val="21"/>
    </w:rPr>
  </w:style>
  <w:style w:type="paragraph" w:customStyle="1" w:styleId="3295">
    <w:name w:val="样式 标题 4标题 4 CharbulletblbbPIM 4H4h4Heading Four款标题1.1.1..."/>
    <w:basedOn w:val="6"/>
    <w:qFormat/>
    <w:uiPriority w:val="0"/>
    <w:pPr>
      <w:numPr>
        <w:ilvl w:val="0"/>
        <w:numId w:val="0"/>
      </w:numPr>
      <w:tabs>
        <w:tab w:val="clear" w:pos="480"/>
      </w:tabs>
      <w:spacing w:before="0" w:after="0"/>
    </w:pPr>
    <w:rPr>
      <w:rFonts w:ascii="宋体" w:eastAsia="宋体"/>
      <w:bCs w:val="0"/>
      <w:sz w:val="24"/>
    </w:rPr>
  </w:style>
  <w:style w:type="paragraph" w:customStyle="1" w:styleId="3296">
    <w:name w:val="环科院正文"/>
    <w:basedOn w:val="1"/>
    <w:link w:val="3594"/>
    <w:qFormat/>
    <w:uiPriority w:val="0"/>
    <w:pPr>
      <w:tabs>
        <w:tab w:val="clear" w:pos="480"/>
      </w:tabs>
      <w:ind w:firstLine="600" w:firstLineChars="250"/>
    </w:pPr>
    <w:rPr>
      <w:rFonts w:ascii="宋体" w:hAnsi="宋体"/>
      <w:bCs/>
      <w:kern w:val="10"/>
    </w:rPr>
  </w:style>
  <w:style w:type="paragraph" w:customStyle="1" w:styleId="3297">
    <w:name w:val="样式 标题 4 + (西文) Times New Roman (中文) 宋体 小四"/>
    <w:basedOn w:val="1"/>
    <w:qFormat/>
    <w:uiPriority w:val="0"/>
    <w:pPr>
      <w:tabs>
        <w:tab w:val="clear" w:pos="480"/>
      </w:tabs>
      <w:spacing w:line="240" w:lineRule="auto"/>
    </w:pPr>
    <w:rPr>
      <w:kern w:val="10"/>
      <w:sz w:val="21"/>
    </w:rPr>
  </w:style>
  <w:style w:type="paragraph" w:customStyle="1" w:styleId="3298">
    <w:name w:val="样式 正文缩进正文（首行缩进两字） + 段后: 0.1 行"/>
    <w:basedOn w:val="21"/>
    <w:semiHidden/>
    <w:qFormat/>
    <w:uiPriority w:val="0"/>
    <w:pPr>
      <w:widowControl/>
      <w:tabs>
        <w:tab w:val="clear" w:pos="480"/>
      </w:tabs>
      <w:adjustRightInd w:val="0"/>
      <w:snapToGrid w:val="0"/>
      <w:spacing w:line="400" w:lineRule="exact"/>
      <w:ind w:firstLine="480"/>
    </w:pPr>
    <w:rPr>
      <w:rFonts w:ascii="仿宋_GB2312" w:eastAsia="仿宋_GB2312"/>
      <w:bCs/>
      <w:color w:val="000000"/>
      <w:kern w:val="0"/>
      <w:lang w:val="zh-CN"/>
    </w:rPr>
  </w:style>
  <w:style w:type="paragraph" w:customStyle="1" w:styleId="3299">
    <w:name w:val="样式 样式 标题 2节 + (西文) Times New Roman (中文) 宋体 四号 段前: 0.5 行 段后: 0......"/>
    <w:basedOn w:val="1"/>
    <w:qFormat/>
    <w:uiPriority w:val="0"/>
    <w:pPr>
      <w:tabs>
        <w:tab w:val="clear" w:pos="480"/>
      </w:tabs>
      <w:spacing w:line="240" w:lineRule="auto"/>
    </w:pPr>
    <w:rPr>
      <w:kern w:val="10"/>
      <w:sz w:val="21"/>
    </w:rPr>
  </w:style>
  <w:style w:type="paragraph" w:customStyle="1" w:styleId="3300">
    <w:name w:val="宏福正文"/>
    <w:basedOn w:val="34"/>
    <w:qFormat/>
    <w:uiPriority w:val="0"/>
    <w:pPr>
      <w:adjustRightInd w:val="0"/>
      <w:snapToGrid w:val="0"/>
      <w:spacing w:before="240" w:line="400" w:lineRule="atLeast"/>
      <w:ind w:firstLine="624"/>
      <w:jc w:val="center"/>
    </w:pPr>
    <w:rPr>
      <w:rFonts w:ascii="Times New Roman" w:hAnsi="Times New Roman"/>
      <w:snapToGrid w:val="0"/>
      <w:color w:val="000000"/>
      <w:spacing w:val="12"/>
      <w:kern w:val="28"/>
      <w:sz w:val="28"/>
    </w:rPr>
  </w:style>
  <w:style w:type="paragraph" w:customStyle="1" w:styleId="3301">
    <w:name w:val="段落(G)"/>
    <w:basedOn w:val="1"/>
    <w:qFormat/>
    <w:uiPriority w:val="0"/>
    <w:pPr>
      <w:tabs>
        <w:tab w:val="left" w:pos="1021"/>
        <w:tab w:val="left" w:pos="1320"/>
        <w:tab w:val="clear" w:pos="480"/>
      </w:tabs>
      <w:ind w:firstLine="480"/>
    </w:pPr>
    <w:rPr>
      <w:color w:val="000000"/>
      <w:kern w:val="24"/>
      <w:lang w:val="zh-CN"/>
    </w:rPr>
  </w:style>
  <w:style w:type="paragraph" w:customStyle="1" w:styleId="3302">
    <w:name w:val="标3（天安）"/>
    <w:basedOn w:val="5"/>
    <w:qFormat/>
    <w:uiPriority w:val="0"/>
    <w:pPr>
      <w:numPr>
        <w:ilvl w:val="0"/>
        <w:numId w:val="0"/>
      </w:numPr>
      <w:tabs>
        <w:tab w:val="left" w:pos="567"/>
        <w:tab w:val="left" w:pos="1560"/>
        <w:tab w:val="clear" w:pos="480"/>
        <w:tab w:val="clear" w:pos="840"/>
      </w:tabs>
      <w:spacing w:before="240" w:after="240" w:line="400" w:lineRule="exact"/>
      <w:ind w:left="1560" w:hanging="720"/>
      <w:jc w:val="left"/>
    </w:pPr>
    <w:rPr>
      <w:rFonts w:ascii="Times New Roman" w:eastAsia="宋体" w:cs="Arial"/>
      <w:b w:val="0"/>
      <w:kern w:val="0"/>
      <w:sz w:val="28"/>
      <w:szCs w:val="28"/>
    </w:rPr>
  </w:style>
  <w:style w:type="paragraph" w:customStyle="1" w:styleId="3303">
    <w:name w:val="Plain Text2"/>
    <w:basedOn w:val="1"/>
    <w:qFormat/>
    <w:uiPriority w:val="0"/>
    <w:pPr>
      <w:tabs>
        <w:tab w:val="left" w:pos="432"/>
        <w:tab w:val="clear" w:pos="480"/>
      </w:tabs>
      <w:autoSpaceDE w:val="0"/>
      <w:autoSpaceDN w:val="0"/>
      <w:adjustRightInd w:val="0"/>
      <w:spacing w:line="240" w:lineRule="auto"/>
      <w:ind w:left="432" w:hanging="432"/>
      <w:textAlignment w:val="baseline"/>
    </w:pPr>
    <w:rPr>
      <w:rFonts w:hAnsi="Tms Rmn"/>
      <w:kern w:val="0"/>
      <w:sz w:val="21"/>
      <w:szCs w:val="20"/>
    </w:rPr>
  </w:style>
  <w:style w:type="paragraph" w:customStyle="1" w:styleId="3304">
    <w:name w:val="公用工程"/>
    <w:basedOn w:val="6"/>
    <w:qFormat/>
    <w:uiPriority w:val="0"/>
    <w:pPr>
      <w:numPr>
        <w:numId w:val="37"/>
      </w:numPr>
      <w:tabs>
        <w:tab w:val="left" w:pos="0"/>
        <w:tab w:val="left" w:pos="720"/>
        <w:tab w:val="left" w:pos="1680"/>
        <w:tab w:val="clear" w:pos="480"/>
      </w:tabs>
      <w:spacing w:before="0" w:after="0"/>
      <w:jc w:val="left"/>
    </w:pPr>
    <w:rPr>
      <w:rFonts w:ascii="宋体" w:hAnsi="Arial" w:eastAsia="宋体"/>
      <w:b w:val="0"/>
      <w:color w:val="000000"/>
      <w:sz w:val="24"/>
    </w:rPr>
  </w:style>
  <w:style w:type="paragraph" w:customStyle="1" w:styleId="3305">
    <w:name w:val="样式 标题 3条标题1.1.1h3H3level_3PIM 3Level 3 HeadHeading 3 - ol..."/>
    <w:basedOn w:val="5"/>
    <w:qFormat/>
    <w:uiPriority w:val="0"/>
    <w:pPr>
      <w:numPr>
        <w:numId w:val="0"/>
      </w:numPr>
      <w:tabs>
        <w:tab w:val="left" w:pos="720"/>
        <w:tab w:val="clear" w:pos="480"/>
        <w:tab w:val="clear" w:pos="840"/>
      </w:tabs>
      <w:spacing w:before="0" w:after="0" w:line="360" w:lineRule="auto"/>
      <w:ind w:left="720" w:hanging="720"/>
      <w:jc w:val="left"/>
    </w:pPr>
    <w:rPr>
      <w:rFonts w:ascii="Times New Roman" w:eastAsia="宋体"/>
      <w:kern w:val="24"/>
      <w:sz w:val="28"/>
    </w:rPr>
  </w:style>
  <w:style w:type="paragraph" w:customStyle="1" w:styleId="3306">
    <w:name w:val="标题水污染"/>
    <w:basedOn w:val="6"/>
    <w:qFormat/>
    <w:uiPriority w:val="0"/>
    <w:pPr>
      <w:numPr>
        <w:ilvl w:val="0"/>
        <w:numId w:val="0"/>
      </w:numPr>
      <w:tabs>
        <w:tab w:val="left" w:pos="0"/>
        <w:tab w:val="left" w:pos="780"/>
        <w:tab w:val="clear" w:pos="480"/>
      </w:tabs>
      <w:spacing w:before="0" w:after="0"/>
      <w:ind w:left="780" w:leftChars="200" w:hanging="360" w:hangingChars="200"/>
      <w:jc w:val="left"/>
    </w:pPr>
    <w:rPr>
      <w:rFonts w:ascii="宋体" w:hAnsi="Arial" w:eastAsia="宋体"/>
      <w:b w:val="0"/>
      <w:color w:val="000000"/>
      <w:sz w:val="24"/>
    </w:rPr>
  </w:style>
  <w:style w:type="paragraph" w:customStyle="1" w:styleId="3307">
    <w:name w:val="标4（天安）"/>
    <w:basedOn w:val="3302"/>
    <w:qFormat/>
    <w:uiPriority w:val="0"/>
    <w:pPr>
      <w:tabs>
        <w:tab w:val="left" w:pos="1021"/>
        <w:tab w:val="clear" w:pos="567"/>
      </w:tabs>
      <w:spacing w:before="120" w:after="120"/>
      <w:outlineLvl w:val="3"/>
    </w:pPr>
    <w:rPr>
      <w:rFonts w:cs="Times New Roman"/>
      <w:sz w:val="24"/>
      <w:szCs w:val="24"/>
    </w:rPr>
  </w:style>
  <w:style w:type="paragraph" w:customStyle="1" w:styleId="3308">
    <w:name w:val="永环书图表标题"/>
    <w:basedOn w:val="1"/>
    <w:qFormat/>
    <w:uiPriority w:val="0"/>
    <w:pPr>
      <w:tabs>
        <w:tab w:val="clear" w:pos="480"/>
      </w:tabs>
      <w:spacing w:beforeLines="20" w:afterLines="20" w:line="440" w:lineRule="exact"/>
      <w:jc w:val="center"/>
    </w:pPr>
    <w:rPr>
      <w:rFonts w:eastAsia="黑体"/>
      <w:color w:val="000000"/>
      <w:sz w:val="28"/>
    </w:rPr>
  </w:style>
  <w:style w:type="paragraph" w:customStyle="1" w:styleId="3309">
    <w:name w:val="dandan6-13正文 Char Char Char"/>
    <w:basedOn w:val="1"/>
    <w:next w:val="1"/>
    <w:qFormat/>
    <w:uiPriority w:val="0"/>
    <w:pPr>
      <w:keepNext/>
      <w:keepLines/>
      <w:widowControl/>
      <w:tabs>
        <w:tab w:val="clear" w:pos="480"/>
      </w:tabs>
      <w:adjustRightInd w:val="0"/>
      <w:spacing w:before="40" w:after="40"/>
      <w:textAlignment w:val="baseline"/>
    </w:pPr>
    <w:rPr>
      <w:rFonts w:cs="宋体"/>
      <w:kern w:val="0"/>
      <w:sz w:val="28"/>
      <w:szCs w:val="28"/>
    </w:rPr>
  </w:style>
  <w:style w:type="paragraph" w:customStyle="1" w:styleId="3310">
    <w:name w:val="烟厂正文"/>
    <w:basedOn w:val="1"/>
    <w:qFormat/>
    <w:uiPriority w:val="0"/>
    <w:pPr>
      <w:tabs>
        <w:tab w:val="clear" w:pos="480"/>
      </w:tabs>
      <w:spacing w:beforeLines="20" w:afterLines="20" w:line="500" w:lineRule="exact"/>
    </w:pPr>
    <w:rPr>
      <w:kern w:val="10"/>
      <w:sz w:val="28"/>
      <w:szCs w:val="20"/>
    </w:rPr>
  </w:style>
  <w:style w:type="paragraph" w:customStyle="1" w:styleId="3311">
    <w:name w:val="表中文字1"/>
    <w:qFormat/>
    <w:uiPriority w:val="0"/>
    <w:pPr>
      <w:widowControl w:val="0"/>
      <w:adjustRightInd w:val="0"/>
      <w:snapToGrid w:val="0"/>
      <w:jc w:val="center"/>
    </w:pPr>
    <w:rPr>
      <w:rFonts w:ascii="仿宋_GB2312" w:hAnsi="Times New Roman" w:eastAsia="仿宋_GB2312" w:cs="Times New Roman"/>
      <w:kern w:val="2"/>
      <w:sz w:val="24"/>
      <w:szCs w:val="24"/>
      <w:lang w:val="en-US" w:eastAsia="zh-CN" w:bidi="ar-SA"/>
    </w:rPr>
  </w:style>
  <w:style w:type="paragraph" w:customStyle="1" w:styleId="3312">
    <w:name w:val="样式 标题 1 + (符号) 宋体 居中"/>
    <w:basedOn w:val="3"/>
    <w:qFormat/>
    <w:uiPriority w:val="0"/>
    <w:pPr>
      <w:numPr>
        <w:numId w:val="0"/>
      </w:numPr>
      <w:tabs>
        <w:tab w:val="left" w:pos="0"/>
        <w:tab w:val="clear" w:pos="480"/>
      </w:tabs>
      <w:spacing w:before="0" w:after="0"/>
      <w:jc w:val="center"/>
    </w:pPr>
    <w:rPr>
      <w:rFonts w:ascii="Times New Roman" w:eastAsia="宋体" w:cs="宋体"/>
      <w:kern w:val="10"/>
      <w:sz w:val="24"/>
      <w:szCs w:val="20"/>
    </w:rPr>
  </w:style>
  <w:style w:type="paragraph" w:customStyle="1" w:styleId="3313">
    <w:name w:val="样式 标题 1-*+章标题 11.标题 1h11st levelSection Headl1b1H1Head..."/>
    <w:basedOn w:val="3"/>
    <w:qFormat/>
    <w:uiPriority w:val="0"/>
    <w:pPr>
      <w:numPr>
        <w:numId w:val="36"/>
      </w:numPr>
      <w:tabs>
        <w:tab w:val="left" w:pos="432"/>
        <w:tab w:val="left" w:pos="720"/>
        <w:tab w:val="clear" w:pos="480"/>
      </w:tabs>
      <w:spacing w:before="0" w:after="0"/>
      <w:jc w:val="left"/>
    </w:pPr>
    <w:rPr>
      <w:rFonts w:ascii="Times New Roman" w:eastAsia="宋体" w:cs="宋体"/>
      <w:kern w:val="10"/>
      <w:sz w:val="32"/>
      <w:szCs w:val="20"/>
    </w:rPr>
  </w:style>
  <w:style w:type="paragraph" w:customStyle="1" w:styleId="3314">
    <w:name w:val="标准文本 首行缩进:2 字符 行距1倍"/>
    <w:basedOn w:val="1"/>
    <w:qFormat/>
    <w:uiPriority w:val="0"/>
    <w:pPr>
      <w:tabs>
        <w:tab w:val="clear" w:pos="480"/>
      </w:tabs>
      <w:adjustRightInd w:val="0"/>
      <w:snapToGrid w:val="0"/>
      <w:spacing w:line="480" w:lineRule="exact"/>
      <w:ind w:firstLine="540" w:firstLineChars="225"/>
      <w:textAlignment w:val="center"/>
    </w:pPr>
    <w:rPr>
      <w:rFonts w:cs="宋体"/>
      <w:kern w:val="10"/>
      <w:sz w:val="28"/>
      <w:szCs w:val="20"/>
    </w:rPr>
  </w:style>
  <w:style w:type="paragraph" w:customStyle="1" w:styleId="3315">
    <w:name w:val="表头文字"/>
    <w:basedOn w:val="1"/>
    <w:qFormat/>
    <w:uiPriority w:val="0"/>
    <w:pPr>
      <w:widowControl/>
      <w:tabs>
        <w:tab w:val="clear" w:pos="480"/>
      </w:tabs>
      <w:adjustRightInd w:val="0"/>
      <w:snapToGrid w:val="0"/>
      <w:spacing w:line="300" w:lineRule="auto"/>
      <w:jc w:val="center"/>
      <w:textAlignment w:val="baseline"/>
    </w:pPr>
    <w:rPr>
      <w:b/>
      <w:kern w:val="0"/>
      <w:sz w:val="21"/>
      <w:szCs w:val="20"/>
    </w:rPr>
  </w:style>
  <w:style w:type="paragraph" w:customStyle="1" w:styleId="3316">
    <w:name w:val="标准符号 行距1倍"/>
    <w:basedOn w:val="1"/>
    <w:qFormat/>
    <w:uiPriority w:val="0"/>
    <w:pPr>
      <w:tabs>
        <w:tab w:val="clear" w:pos="480"/>
      </w:tabs>
      <w:adjustRightInd w:val="0"/>
      <w:snapToGrid w:val="0"/>
      <w:spacing w:line="460" w:lineRule="exact"/>
      <w:ind w:left="480"/>
      <w:textAlignment w:val="center"/>
    </w:pPr>
    <w:rPr>
      <w:rFonts w:cs="宋体"/>
      <w:kern w:val="0"/>
      <w:sz w:val="28"/>
    </w:rPr>
  </w:style>
  <w:style w:type="paragraph" w:customStyle="1" w:styleId="3317">
    <w:name w:val="ZW Char Char Char"/>
    <w:basedOn w:val="1"/>
    <w:qFormat/>
    <w:uiPriority w:val="0"/>
    <w:pPr>
      <w:tabs>
        <w:tab w:val="clear" w:pos="480"/>
      </w:tabs>
      <w:spacing w:beforeLines="20" w:line="240" w:lineRule="auto"/>
    </w:pPr>
    <w:rPr>
      <w:kern w:val="10"/>
      <w:sz w:val="28"/>
    </w:rPr>
  </w:style>
  <w:style w:type="paragraph" w:customStyle="1" w:styleId="3318">
    <w:name w:val="MFS正文 Char"/>
    <w:basedOn w:val="85"/>
    <w:qFormat/>
    <w:uiPriority w:val="0"/>
    <w:pPr>
      <w:adjustRightInd w:val="0"/>
      <w:snapToGrid w:val="0"/>
      <w:spacing w:before="93" w:line="360" w:lineRule="auto"/>
      <w:ind w:firstLine="200" w:firstLineChars="200"/>
    </w:pPr>
    <w:rPr>
      <w:rFonts w:eastAsia="楷体_GB2312"/>
      <w:sz w:val="24"/>
    </w:rPr>
  </w:style>
  <w:style w:type="paragraph" w:customStyle="1" w:styleId="3319">
    <w:name w:val="BGWZ1"/>
    <w:basedOn w:val="1"/>
    <w:qFormat/>
    <w:uiPriority w:val="0"/>
    <w:pPr>
      <w:tabs>
        <w:tab w:val="clear" w:pos="480"/>
      </w:tabs>
      <w:snapToGrid w:val="0"/>
      <w:spacing w:line="300" w:lineRule="exact"/>
      <w:jc w:val="center"/>
    </w:pPr>
    <w:rPr>
      <w:snapToGrid w:val="0"/>
      <w:kern w:val="0"/>
      <w:sz w:val="21"/>
      <w:szCs w:val="20"/>
      <w:lang w:eastAsia="zh-TW"/>
    </w:rPr>
  </w:style>
  <w:style w:type="paragraph" w:customStyle="1" w:styleId="3320">
    <w:name w:val="字元1"/>
    <w:basedOn w:val="1"/>
    <w:qFormat/>
    <w:uiPriority w:val="0"/>
    <w:pPr>
      <w:tabs>
        <w:tab w:val="clear" w:pos="480"/>
      </w:tabs>
      <w:spacing w:line="240" w:lineRule="auto"/>
    </w:pPr>
    <w:rPr>
      <w:kern w:val="10"/>
      <w:sz w:val="28"/>
    </w:rPr>
  </w:style>
  <w:style w:type="paragraph" w:customStyle="1" w:styleId="3321">
    <w:name w:val="p16"/>
    <w:basedOn w:val="1"/>
    <w:qFormat/>
    <w:uiPriority w:val="0"/>
    <w:pPr>
      <w:widowControl/>
      <w:tabs>
        <w:tab w:val="clear" w:pos="480"/>
      </w:tabs>
      <w:snapToGrid w:val="0"/>
      <w:spacing w:line="240" w:lineRule="auto"/>
      <w:jc w:val="center"/>
    </w:pPr>
    <w:rPr>
      <w:kern w:val="0"/>
      <w:sz w:val="21"/>
      <w:szCs w:val="21"/>
    </w:rPr>
  </w:style>
  <w:style w:type="paragraph" w:customStyle="1" w:styleId="3322">
    <w:name w:val="样式 正文 首行缩进:  2 字符 + (中文) 楷体_GB2312"/>
    <w:basedOn w:val="2101"/>
    <w:link w:val="3323"/>
    <w:qFormat/>
    <w:uiPriority w:val="0"/>
    <w:pPr>
      <w:adjustRightInd w:val="0"/>
      <w:snapToGrid w:val="0"/>
      <w:spacing w:line="500" w:lineRule="exact"/>
      <w:ind w:firstLine="200"/>
    </w:pPr>
    <w:rPr>
      <w:rFonts w:eastAsia="楷体_GB2312"/>
      <w:kern w:val="2"/>
      <w:szCs w:val="24"/>
      <w:lang w:val="zh-CN"/>
    </w:rPr>
  </w:style>
  <w:style w:type="character" w:customStyle="1" w:styleId="3323">
    <w:name w:val="样式 正文 首行缩进:  2 字符 + (中文) 楷体_GB2312 Char"/>
    <w:link w:val="3322"/>
    <w:qFormat/>
    <w:uiPriority w:val="0"/>
    <w:rPr>
      <w:rFonts w:eastAsia="楷体_GB2312" w:cs="宋体"/>
      <w:kern w:val="2"/>
      <w:sz w:val="24"/>
      <w:szCs w:val="24"/>
    </w:rPr>
  </w:style>
  <w:style w:type="character" w:customStyle="1" w:styleId="3324">
    <w:name w:val="无间隔 Char1"/>
    <w:qFormat/>
    <w:uiPriority w:val="0"/>
    <w:rPr>
      <w:rFonts w:ascii="Times New Roman" w:hAnsi="Times New Roman"/>
      <w:kern w:val="2"/>
      <w:sz w:val="21"/>
      <w:szCs w:val="22"/>
    </w:rPr>
  </w:style>
  <w:style w:type="paragraph" w:customStyle="1" w:styleId="3325">
    <w:name w:val="Table Paragraph"/>
    <w:basedOn w:val="1"/>
    <w:qFormat/>
    <w:uiPriority w:val="1"/>
    <w:pPr>
      <w:tabs>
        <w:tab w:val="clear" w:pos="480"/>
      </w:tabs>
      <w:spacing w:line="240" w:lineRule="auto"/>
      <w:jc w:val="left"/>
    </w:pPr>
    <w:rPr>
      <w:rFonts w:ascii="Calibri" w:hAnsi="Calibri"/>
      <w:kern w:val="0"/>
      <w:sz w:val="22"/>
      <w:szCs w:val="22"/>
      <w:lang w:eastAsia="en-US"/>
    </w:rPr>
  </w:style>
  <w:style w:type="paragraph" w:customStyle="1" w:styleId="3326">
    <w:name w:val="K2"/>
    <w:basedOn w:val="4"/>
    <w:qFormat/>
    <w:uiPriority w:val="0"/>
    <w:pPr>
      <w:numPr>
        <w:ilvl w:val="0"/>
        <w:numId w:val="0"/>
      </w:numPr>
      <w:tabs>
        <w:tab w:val="left" w:pos="680"/>
        <w:tab w:val="clear" w:pos="480"/>
        <w:tab w:val="clear" w:pos="630"/>
      </w:tabs>
      <w:spacing w:before="0" w:after="0"/>
      <w:jc w:val="left"/>
    </w:pPr>
    <w:rPr>
      <w:bCs w:val="0"/>
      <w:kern w:val="0"/>
    </w:rPr>
  </w:style>
  <w:style w:type="paragraph" w:customStyle="1" w:styleId="3327">
    <w:name w:val="K3"/>
    <w:basedOn w:val="5"/>
    <w:link w:val="3328"/>
    <w:qFormat/>
    <w:uiPriority w:val="0"/>
    <w:pPr>
      <w:tabs>
        <w:tab w:val="left" w:pos="720"/>
        <w:tab w:val="clear" w:pos="480"/>
        <w:tab w:val="clear" w:pos="840"/>
      </w:tabs>
      <w:spacing w:before="0" w:after="0" w:line="360" w:lineRule="auto"/>
      <w:jc w:val="left"/>
    </w:pPr>
    <w:rPr>
      <w:rFonts w:ascii="Times New Roman" w:eastAsia="宋体"/>
      <w:kern w:val="0"/>
      <w:szCs w:val="30"/>
    </w:rPr>
  </w:style>
  <w:style w:type="character" w:customStyle="1" w:styleId="3328">
    <w:name w:val="K3 Char"/>
    <w:link w:val="3327"/>
    <w:qFormat/>
    <w:uiPriority w:val="0"/>
    <w:rPr>
      <w:b/>
      <w:bCs/>
      <w:sz w:val="30"/>
      <w:szCs w:val="30"/>
      <w:lang w:val="zh-CN"/>
    </w:rPr>
  </w:style>
  <w:style w:type="character" w:customStyle="1" w:styleId="3329">
    <w:name w:val="fontstyle31"/>
    <w:qFormat/>
    <w:uiPriority w:val="0"/>
    <w:rPr>
      <w:rFonts w:hint="default" w:ascii="TimesNewRomanPSMT" w:hAnsi="TimesNewRomanPSMT"/>
      <w:color w:val="000000"/>
      <w:sz w:val="24"/>
      <w:szCs w:val="24"/>
    </w:rPr>
  </w:style>
  <w:style w:type="character" w:customStyle="1" w:styleId="3330">
    <w:name w:val="样式 (西文) 华文仿宋 (中文) 华文仿宋1"/>
    <w:qFormat/>
    <w:uiPriority w:val="0"/>
    <w:rPr>
      <w:rFonts w:ascii="Times New Roman" w:hAnsi="Times New Roman" w:eastAsia="仿宋_GB2312"/>
      <w:kern w:val="0"/>
      <w:sz w:val="32"/>
    </w:rPr>
  </w:style>
  <w:style w:type="character" w:customStyle="1" w:styleId="3331">
    <w:name w:val="样式 (西文) 华文仿宋 (中文) 华文仿宋"/>
    <w:qFormat/>
    <w:uiPriority w:val="0"/>
    <w:rPr>
      <w:rFonts w:ascii="Times New Roman" w:hAnsi="Times New Roman" w:eastAsia="仿宋_GB2312"/>
    </w:rPr>
  </w:style>
  <w:style w:type="paragraph" w:customStyle="1" w:styleId="3332">
    <w:name w:val="样式 标题 2 + 行距: 1.5 倍行距2"/>
    <w:basedOn w:val="4"/>
    <w:qFormat/>
    <w:uiPriority w:val="0"/>
    <w:pPr>
      <w:tabs>
        <w:tab w:val="left" w:pos="2835"/>
        <w:tab w:val="clear" w:pos="480"/>
        <w:tab w:val="clear" w:pos="630"/>
      </w:tabs>
      <w:snapToGrid w:val="0"/>
      <w:spacing w:before="0" w:after="0"/>
      <w:ind w:left="1985" w:hanging="1985"/>
      <w:jc w:val="left"/>
    </w:pPr>
    <w:rPr>
      <w:rFonts w:eastAsia="黑体"/>
      <w:sz w:val="30"/>
      <w:szCs w:val="20"/>
    </w:rPr>
  </w:style>
  <w:style w:type="character" w:customStyle="1" w:styleId="3333">
    <w:name w:val="fontstyle41"/>
    <w:qFormat/>
    <w:uiPriority w:val="0"/>
    <w:rPr>
      <w:rFonts w:hint="default" w:ascii="TimesNewRomanPSMT" w:hAnsi="TimesNewRomanPSMT"/>
      <w:color w:val="000000"/>
      <w:sz w:val="18"/>
      <w:szCs w:val="18"/>
    </w:rPr>
  </w:style>
  <w:style w:type="paragraph" w:customStyle="1" w:styleId="3334">
    <w:name w:val="样式 样式 标题 4 + 宋体 行距: 1.5 倍行距 + 段前: 0.5 行"/>
    <w:basedOn w:val="1"/>
    <w:qFormat/>
    <w:uiPriority w:val="0"/>
    <w:pPr>
      <w:keepNext/>
      <w:keepLines/>
      <w:tabs>
        <w:tab w:val="left" w:pos="1680"/>
        <w:tab w:val="clear" w:pos="480"/>
      </w:tabs>
      <w:snapToGrid w:val="0"/>
      <w:ind w:left="1985" w:hanging="1985"/>
      <w:jc w:val="left"/>
    </w:pPr>
    <w:rPr>
      <w:rFonts w:ascii="宋体" w:hAnsi="宋体" w:eastAsia="黑体" w:cs="宋体"/>
      <w:b/>
      <w:bCs/>
      <w:szCs w:val="20"/>
    </w:rPr>
  </w:style>
  <w:style w:type="paragraph" w:customStyle="1" w:styleId="3335">
    <w:name w:val="样式 正文 行距: 固定值 25 磅"/>
    <w:basedOn w:val="1"/>
    <w:link w:val="3336"/>
    <w:qFormat/>
    <w:uiPriority w:val="0"/>
    <w:pPr>
      <w:tabs>
        <w:tab w:val="clear" w:pos="480"/>
      </w:tabs>
      <w:adjustRightInd w:val="0"/>
      <w:spacing w:line="500" w:lineRule="exact"/>
    </w:pPr>
    <w:rPr>
      <w:lang w:val="zh-CN"/>
    </w:rPr>
  </w:style>
  <w:style w:type="character" w:customStyle="1" w:styleId="3336">
    <w:name w:val="样式 正文 行距: 固定值 25 磅 Char"/>
    <w:link w:val="3335"/>
    <w:qFormat/>
    <w:uiPriority w:val="0"/>
    <w:rPr>
      <w:rFonts w:cs="宋体"/>
      <w:kern w:val="2"/>
      <w:sz w:val="24"/>
      <w:szCs w:val="24"/>
    </w:rPr>
  </w:style>
  <w:style w:type="paragraph" w:customStyle="1" w:styleId="3337">
    <w:name w:val="样式 样式 正文 行距: 固定值 25 磅 + 首行缩进:  2 字符"/>
    <w:basedOn w:val="1"/>
    <w:link w:val="3338"/>
    <w:qFormat/>
    <w:uiPriority w:val="0"/>
    <w:pPr>
      <w:tabs>
        <w:tab w:val="clear" w:pos="480"/>
      </w:tabs>
      <w:adjustRightInd w:val="0"/>
      <w:snapToGrid w:val="0"/>
      <w:spacing w:line="500" w:lineRule="exact"/>
    </w:pPr>
    <w:rPr>
      <w:rFonts w:cs="宋体"/>
    </w:rPr>
  </w:style>
  <w:style w:type="character" w:customStyle="1" w:styleId="3338">
    <w:name w:val="样式 样式 正文 行距: 固定值 25 磅 + 首行缩进:  2 字符 Char"/>
    <w:link w:val="3337"/>
    <w:qFormat/>
    <w:uiPriority w:val="0"/>
  </w:style>
  <w:style w:type="paragraph" w:customStyle="1" w:styleId="3339">
    <w:name w:val="样式 标题 4 + 行距: 1.5 倍行距"/>
    <w:basedOn w:val="6"/>
    <w:qFormat/>
    <w:uiPriority w:val="0"/>
    <w:pPr>
      <w:numPr>
        <w:ilvl w:val="0"/>
        <w:numId w:val="0"/>
      </w:numPr>
      <w:tabs>
        <w:tab w:val="left" w:pos="1680"/>
        <w:tab w:val="clear" w:pos="480"/>
      </w:tabs>
      <w:snapToGrid w:val="0"/>
      <w:spacing w:before="0" w:after="0"/>
      <w:ind w:left="1985" w:hanging="1985"/>
      <w:jc w:val="left"/>
      <w:outlineLvl w:val="9"/>
    </w:pPr>
    <w:rPr>
      <w:rFonts w:ascii="Times New Roman" w:hAnsi="Times New Roman" w:eastAsia="黑体" w:cs="宋体"/>
      <w:sz w:val="24"/>
      <w:szCs w:val="20"/>
    </w:rPr>
  </w:style>
  <w:style w:type="character" w:customStyle="1" w:styleId="3340">
    <w:name w:val="fontstyle51"/>
    <w:qFormat/>
    <w:uiPriority w:val="0"/>
    <w:rPr>
      <w:rFonts w:hint="default" w:ascii="TimesNewRomanPSMT" w:hAnsi="TimesNewRomanPSMT"/>
      <w:color w:val="000000"/>
      <w:sz w:val="24"/>
      <w:szCs w:val="24"/>
    </w:rPr>
  </w:style>
  <w:style w:type="character" w:customStyle="1" w:styleId="3341">
    <w:name w:val="fontstyle61"/>
    <w:qFormat/>
    <w:uiPriority w:val="0"/>
    <w:rPr>
      <w:rFonts w:hint="default" w:ascii="ArialMT" w:hAnsi="ArialMT"/>
      <w:color w:val="000000"/>
      <w:sz w:val="24"/>
      <w:szCs w:val="24"/>
    </w:rPr>
  </w:style>
  <w:style w:type="character" w:customStyle="1" w:styleId="3342">
    <w:name w:val="fontstyle71"/>
    <w:qFormat/>
    <w:uiPriority w:val="0"/>
    <w:rPr>
      <w:rFonts w:hint="eastAsia" w:ascii="楷体_GB2312" w:eastAsia="楷体_GB2312"/>
      <w:color w:val="000000"/>
      <w:sz w:val="22"/>
      <w:szCs w:val="22"/>
    </w:rPr>
  </w:style>
  <w:style w:type="paragraph" w:customStyle="1" w:styleId="3343">
    <w:name w:val="表格抬头"/>
    <w:basedOn w:val="1"/>
    <w:qFormat/>
    <w:uiPriority w:val="0"/>
    <w:pPr>
      <w:tabs>
        <w:tab w:val="clear" w:pos="480"/>
      </w:tabs>
      <w:spacing w:line="240" w:lineRule="atLeast"/>
      <w:jc w:val="center"/>
    </w:pPr>
    <w:rPr>
      <w:rFonts w:eastAsia="黑体"/>
      <w:sz w:val="21"/>
    </w:rPr>
  </w:style>
  <w:style w:type="character" w:customStyle="1" w:styleId="3344">
    <w:name w:val="段 Char"/>
    <w:link w:val="750"/>
    <w:qFormat/>
    <w:locked/>
    <w:uiPriority w:val="0"/>
    <w:rPr>
      <w:rFonts w:ascii="宋体"/>
      <w:sz w:val="21"/>
    </w:rPr>
  </w:style>
  <w:style w:type="character" w:customStyle="1" w:styleId="3345">
    <w:name w:val="正文段落 Char Char Char Char"/>
    <w:link w:val="1248"/>
    <w:qFormat/>
    <w:uiPriority w:val="0"/>
    <w:rPr>
      <w:rFonts w:ascii="宋体" w:hAnsi="宋体" w:cs="宋体"/>
      <w:sz w:val="24"/>
      <w:szCs w:val="24"/>
    </w:rPr>
  </w:style>
  <w:style w:type="paragraph" w:customStyle="1" w:styleId="3346">
    <w:name w:val="报告标题1"/>
    <w:basedOn w:val="5"/>
    <w:qFormat/>
    <w:uiPriority w:val="0"/>
    <w:pPr>
      <w:keepNext w:val="0"/>
      <w:keepLines w:val="0"/>
      <w:numPr>
        <w:ilvl w:val="0"/>
        <w:numId w:val="38"/>
      </w:numPr>
      <w:tabs>
        <w:tab w:val="clear" w:pos="480"/>
        <w:tab w:val="clear" w:pos="840"/>
      </w:tabs>
      <w:spacing w:before="0" w:beforeLines="100" w:after="0" w:line="360" w:lineRule="auto"/>
      <w:ind w:firstLine="200"/>
      <w:outlineLvl w:val="0"/>
    </w:pPr>
    <w:rPr>
      <w:rFonts w:ascii="Times New Roman" w:eastAsia="宋体"/>
      <w:sz w:val="32"/>
      <w:lang w:val="en-US"/>
    </w:rPr>
  </w:style>
  <w:style w:type="character" w:customStyle="1" w:styleId="3347">
    <w:name w:val="上海LNG4 Char Char"/>
    <w:link w:val="3348"/>
    <w:qFormat/>
    <w:uiPriority w:val="0"/>
    <w:rPr>
      <w:b/>
      <w:kern w:val="28"/>
      <w:sz w:val="24"/>
      <w:szCs w:val="24"/>
    </w:rPr>
  </w:style>
  <w:style w:type="paragraph" w:customStyle="1" w:styleId="3348">
    <w:name w:val="上海LNG4"/>
    <w:basedOn w:val="3349"/>
    <w:link w:val="3347"/>
    <w:qFormat/>
    <w:uiPriority w:val="0"/>
    <w:pPr>
      <w:numPr>
        <w:ilvl w:val="3"/>
      </w:numPr>
      <w:tabs>
        <w:tab w:val="left" w:pos="851"/>
        <w:tab w:val="left" w:pos="1984"/>
      </w:tabs>
      <w:ind w:left="1984" w:hanging="708"/>
      <w:outlineLvl w:val="3"/>
    </w:pPr>
    <w:rPr>
      <w:rFonts w:ascii="Times New Roman" w:hAnsi="Times New Roman"/>
    </w:rPr>
  </w:style>
  <w:style w:type="paragraph" w:customStyle="1" w:styleId="3349">
    <w:name w:val="上海LNG3"/>
    <w:basedOn w:val="1"/>
    <w:link w:val="3399"/>
    <w:qFormat/>
    <w:uiPriority w:val="0"/>
    <w:pPr>
      <w:numPr>
        <w:ilvl w:val="2"/>
        <w:numId w:val="39"/>
      </w:numPr>
      <w:tabs>
        <w:tab w:val="clear" w:pos="480"/>
      </w:tabs>
      <w:ind w:right="403" w:firstLine="200"/>
      <w:outlineLvl w:val="2"/>
    </w:pPr>
    <w:rPr>
      <w:rFonts w:ascii="Calibri" w:hAnsi="Calibri"/>
      <w:b/>
      <w:kern w:val="28"/>
    </w:rPr>
  </w:style>
  <w:style w:type="paragraph" w:customStyle="1" w:styleId="3350">
    <w:name w:val="上海LNG1"/>
    <w:basedOn w:val="1"/>
    <w:link w:val="3449"/>
    <w:qFormat/>
    <w:uiPriority w:val="0"/>
    <w:pPr>
      <w:numPr>
        <w:ilvl w:val="0"/>
        <w:numId w:val="39"/>
      </w:numPr>
      <w:tabs>
        <w:tab w:val="clear" w:pos="480"/>
      </w:tabs>
      <w:ind w:firstLine="200"/>
      <w:outlineLvl w:val="0"/>
    </w:pPr>
    <w:rPr>
      <w:rFonts w:ascii="Calibri" w:hAnsi="Calibri"/>
      <w:b/>
    </w:rPr>
  </w:style>
  <w:style w:type="paragraph" w:customStyle="1" w:styleId="3351">
    <w:name w:val="上海LNG2"/>
    <w:basedOn w:val="1"/>
    <w:link w:val="3412"/>
    <w:qFormat/>
    <w:uiPriority w:val="0"/>
    <w:pPr>
      <w:numPr>
        <w:ilvl w:val="1"/>
        <w:numId w:val="39"/>
      </w:numPr>
      <w:tabs>
        <w:tab w:val="clear" w:pos="480"/>
      </w:tabs>
      <w:ind w:firstLine="200"/>
      <w:outlineLvl w:val="1"/>
    </w:pPr>
    <w:rPr>
      <w:rFonts w:ascii="Calibri" w:hAnsi="Calibri"/>
      <w:b/>
    </w:rPr>
  </w:style>
  <w:style w:type="paragraph" w:customStyle="1" w:styleId="3352">
    <w:name w:val="Char Char3 Char Char Char Char Char Char"/>
    <w:basedOn w:val="1"/>
    <w:qFormat/>
    <w:uiPriority w:val="0"/>
    <w:pPr>
      <w:tabs>
        <w:tab w:val="clear" w:pos="480"/>
      </w:tabs>
      <w:spacing w:line="240" w:lineRule="auto"/>
    </w:pPr>
    <w:rPr>
      <w:sz w:val="21"/>
    </w:rPr>
  </w:style>
  <w:style w:type="paragraph" w:customStyle="1" w:styleId="3353">
    <w:name w:val="样式 正文（首行缩进两字） + 行距: 固定值 20 磅"/>
    <w:basedOn w:val="21"/>
    <w:qFormat/>
    <w:uiPriority w:val="0"/>
    <w:pPr>
      <w:tabs>
        <w:tab w:val="clear" w:pos="480"/>
      </w:tabs>
      <w:spacing w:afterLines="20" w:line="400" w:lineRule="exact"/>
      <w:ind w:firstLine="480"/>
    </w:pPr>
  </w:style>
  <w:style w:type="character" w:customStyle="1" w:styleId="3354">
    <w:name w:val="样式 正文缩进 + 首行缩进:  2 字符 Char"/>
    <w:link w:val="659"/>
    <w:qFormat/>
    <w:uiPriority w:val="0"/>
    <w:rPr>
      <w:rFonts w:ascii="宋体" w:hAnsi="宋体"/>
      <w:sz w:val="24"/>
    </w:rPr>
  </w:style>
  <w:style w:type="character" w:customStyle="1" w:styleId="3355">
    <w:name w:val="样式1 Char Char Char"/>
    <w:qFormat/>
    <w:uiPriority w:val="0"/>
    <w:rPr>
      <w:rFonts w:ascii="宋体"/>
      <w:sz w:val="28"/>
    </w:rPr>
  </w:style>
  <w:style w:type="character" w:customStyle="1" w:styleId="3356">
    <w:name w:val="black0001"/>
    <w:qFormat/>
    <w:uiPriority w:val="0"/>
    <w:rPr>
      <w:b/>
      <w:bCs/>
      <w:color w:val="000000"/>
      <w:sz w:val="16"/>
      <w:szCs w:val="16"/>
      <w:shd w:val="clear" w:color="auto" w:fill="FFFFFF"/>
    </w:rPr>
  </w:style>
  <w:style w:type="character" w:customStyle="1" w:styleId="3357">
    <w:name w:val="明显参考1"/>
    <w:qFormat/>
    <w:uiPriority w:val="0"/>
    <w:rPr>
      <w:b/>
      <w:bCs/>
      <w:smallCaps/>
      <w:color w:val="C0504D"/>
      <w:spacing w:val="5"/>
      <w:u w:val="single"/>
    </w:rPr>
  </w:style>
  <w:style w:type="character" w:customStyle="1" w:styleId="3358">
    <w:name w:val="附件 Char Char"/>
    <w:link w:val="897"/>
    <w:qFormat/>
    <w:uiPriority w:val="0"/>
    <w:rPr>
      <w:rFonts w:eastAsia="黑体"/>
      <w:kern w:val="44"/>
      <w:sz w:val="30"/>
      <w:lang w:val="zh-CN" w:eastAsia="zh-CN"/>
    </w:rPr>
  </w:style>
  <w:style w:type="character" w:customStyle="1" w:styleId="3359">
    <w:name w:val="标题节 Char"/>
    <w:qFormat/>
    <w:uiPriority w:val="0"/>
    <w:rPr>
      <w:rFonts w:ascii="Arial" w:hAnsi="Arial" w:eastAsia="黑体"/>
      <w:b/>
      <w:bCs/>
      <w:kern w:val="2"/>
      <w:sz w:val="32"/>
      <w:szCs w:val="32"/>
      <w:lang w:val="en-US" w:eastAsia="zh-CN"/>
    </w:rPr>
  </w:style>
  <w:style w:type="character" w:customStyle="1" w:styleId="3360">
    <w:name w:val="表 头 Char Char"/>
    <w:link w:val="3361"/>
    <w:qFormat/>
    <w:uiPriority w:val="0"/>
    <w:rPr>
      <w:rFonts w:eastAsia="黑体"/>
      <w:color w:val="0000FF"/>
      <w:sz w:val="24"/>
      <w:szCs w:val="24"/>
    </w:rPr>
  </w:style>
  <w:style w:type="paragraph" w:customStyle="1" w:styleId="3361">
    <w:name w:val="表 头"/>
    <w:basedOn w:val="1"/>
    <w:link w:val="3360"/>
    <w:qFormat/>
    <w:uiPriority w:val="0"/>
    <w:pPr>
      <w:tabs>
        <w:tab w:val="left" w:pos="1418"/>
        <w:tab w:val="clear" w:pos="480"/>
      </w:tabs>
      <w:adjustRightInd w:val="0"/>
      <w:spacing w:before="120" w:after="120" w:line="360" w:lineRule="atLeast"/>
      <w:ind w:right="-120" w:firstLine="2040" w:firstLineChars="850"/>
    </w:pPr>
    <w:rPr>
      <w:rFonts w:eastAsia="黑体"/>
      <w:color w:val="0000FF"/>
      <w:kern w:val="0"/>
    </w:rPr>
  </w:style>
  <w:style w:type="character" w:customStyle="1" w:styleId="3362">
    <w:name w:val="样式 正文缩进 + 首行缩进:  2 字符 Char Char"/>
    <w:qFormat/>
    <w:uiPriority w:val="0"/>
    <w:rPr>
      <w:rFonts w:ascii="仿宋_GB2312" w:hAnsi="宋体" w:eastAsia="仿宋_GB2312" w:cs="宋体"/>
      <w:sz w:val="24"/>
      <w:szCs w:val="24"/>
    </w:rPr>
  </w:style>
  <w:style w:type="character" w:customStyle="1" w:styleId="3363">
    <w:name w:val="样式 正文 Char Char"/>
    <w:qFormat/>
    <w:uiPriority w:val="0"/>
    <w:rPr>
      <w:sz w:val="24"/>
    </w:rPr>
  </w:style>
  <w:style w:type="character" w:customStyle="1" w:styleId="3364">
    <w:name w:val="样式1 Char Char"/>
    <w:qFormat/>
    <w:uiPriority w:val="0"/>
    <w:rPr>
      <w:rFonts w:ascii="Arial" w:hAnsi="Arial" w:eastAsia="宋体" w:cs="Arial"/>
      <w:sz w:val="24"/>
      <w:szCs w:val="24"/>
    </w:rPr>
  </w:style>
  <w:style w:type="character" w:customStyle="1" w:styleId="3365">
    <w:name w:val="HTML 预设格式 Char"/>
    <w:link w:val="3366"/>
    <w:qFormat/>
    <w:uiPriority w:val="0"/>
    <w:rPr>
      <w:rFonts w:ascii="Arial" w:hAnsi="Arial" w:cs="Arial"/>
      <w:sz w:val="14"/>
      <w:szCs w:val="14"/>
    </w:rPr>
  </w:style>
  <w:style w:type="paragraph" w:customStyle="1" w:styleId="3366">
    <w:name w:val="HTML 预设格式1"/>
    <w:basedOn w:val="1"/>
    <w:link w:val="3365"/>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clear" w:pos="480"/>
      </w:tabs>
      <w:spacing w:line="220" w:lineRule="atLeast"/>
      <w:jc w:val="left"/>
    </w:pPr>
    <w:rPr>
      <w:rFonts w:ascii="Arial" w:hAnsi="Arial" w:cs="Arial"/>
      <w:kern w:val="0"/>
      <w:sz w:val="14"/>
      <w:szCs w:val="14"/>
    </w:rPr>
  </w:style>
  <w:style w:type="character" w:customStyle="1" w:styleId="3367">
    <w:name w:val="条标题1.1.1 + (西文) Bookman Old Style Char"/>
    <w:qFormat/>
    <w:uiPriority w:val="0"/>
    <w:rPr>
      <w:rFonts w:ascii="Arial" w:hAnsi="Arial" w:eastAsia="黑体"/>
      <w:b/>
      <w:bCs/>
      <w:kern w:val="2"/>
      <w:sz w:val="32"/>
      <w:szCs w:val="32"/>
    </w:rPr>
  </w:style>
  <w:style w:type="character" w:customStyle="1" w:styleId="3368">
    <w:name w:val="文档结构图 Char Char"/>
    <w:link w:val="3369"/>
    <w:qFormat/>
    <w:uiPriority w:val="0"/>
    <w:rPr>
      <w:sz w:val="24"/>
      <w:shd w:val="clear" w:color="auto" w:fill="000080"/>
    </w:rPr>
  </w:style>
  <w:style w:type="paragraph" w:customStyle="1" w:styleId="3369">
    <w:name w:val="文档结构图1"/>
    <w:basedOn w:val="1"/>
    <w:link w:val="3368"/>
    <w:qFormat/>
    <w:uiPriority w:val="0"/>
    <w:pPr>
      <w:shd w:val="clear" w:color="auto" w:fill="000080"/>
      <w:tabs>
        <w:tab w:val="clear" w:pos="480"/>
      </w:tabs>
      <w:spacing w:line="240" w:lineRule="auto"/>
    </w:pPr>
    <w:rPr>
      <w:kern w:val="0"/>
      <w:szCs w:val="20"/>
      <w:shd w:val="clear" w:color="auto" w:fill="000080"/>
    </w:rPr>
  </w:style>
  <w:style w:type="paragraph" w:customStyle="1" w:styleId="3370">
    <w:name w:val="批注主题1"/>
    <w:basedOn w:val="28"/>
    <w:next w:val="28"/>
    <w:qFormat/>
    <w:uiPriority w:val="0"/>
    <w:pPr>
      <w:adjustRightInd/>
      <w:spacing w:line="240" w:lineRule="auto"/>
      <w:textAlignment w:val="auto"/>
    </w:pPr>
    <w:rPr>
      <w:b/>
      <w:bCs/>
      <w:kern w:val="2"/>
      <w:sz w:val="21"/>
    </w:rPr>
  </w:style>
  <w:style w:type="paragraph" w:customStyle="1" w:styleId="3371">
    <w:name w:val="首行缩进:  2 字符1"/>
    <w:basedOn w:val="1"/>
    <w:qFormat/>
    <w:uiPriority w:val="0"/>
    <w:pPr>
      <w:tabs>
        <w:tab w:val="clear" w:pos="480"/>
      </w:tabs>
      <w:ind w:right="31" w:rightChars="13" w:firstLine="560"/>
      <w:jc w:val="left"/>
    </w:pPr>
    <w:rPr>
      <w:rFonts w:ascii="仿宋_GB2312" w:hAnsi="宋体" w:eastAsia="仿宋_GB2312" w:cs="宋体"/>
      <w:sz w:val="28"/>
      <w:szCs w:val="28"/>
    </w:rPr>
  </w:style>
  <w:style w:type="paragraph" w:customStyle="1" w:styleId="3372">
    <w:name w:val="样式jxy"/>
    <w:basedOn w:val="1"/>
    <w:qFormat/>
    <w:uiPriority w:val="0"/>
    <w:pPr>
      <w:tabs>
        <w:tab w:val="clear" w:pos="480"/>
      </w:tabs>
      <w:spacing w:line="500" w:lineRule="exact"/>
      <w:jc w:val="left"/>
    </w:pPr>
    <w:rPr>
      <w:rFonts w:cs="宋体"/>
      <w:kern w:val="0"/>
      <w:szCs w:val="20"/>
    </w:rPr>
  </w:style>
  <w:style w:type="paragraph" w:customStyle="1" w:styleId="3373">
    <w:name w:val="表格小五"/>
    <w:basedOn w:val="1"/>
    <w:qFormat/>
    <w:uiPriority w:val="0"/>
    <w:pPr>
      <w:tabs>
        <w:tab w:val="clear" w:pos="480"/>
      </w:tabs>
      <w:adjustRightInd w:val="0"/>
      <w:snapToGrid w:val="0"/>
      <w:spacing w:line="240" w:lineRule="exact"/>
      <w:ind w:right="-42" w:rightChars="-20"/>
      <w:jc w:val="center"/>
      <w:textAlignment w:val="baseline"/>
    </w:pPr>
    <w:rPr>
      <w:rFonts w:ascii="宋体" w:hAnsi="宋体"/>
      <w:snapToGrid w:val="0"/>
      <w:color w:val="FF0000"/>
      <w:kern w:val="40"/>
      <w:sz w:val="18"/>
      <w:szCs w:val="18"/>
    </w:rPr>
  </w:style>
  <w:style w:type="paragraph" w:customStyle="1" w:styleId="3374">
    <w:name w:val="修订11"/>
    <w:qFormat/>
    <w:uiPriority w:val="0"/>
    <w:rPr>
      <w:rFonts w:ascii="Times New Roman" w:hAnsi="Times New Roman" w:eastAsia="宋体" w:cs="Times New Roman"/>
      <w:kern w:val="2"/>
      <w:sz w:val="21"/>
      <w:szCs w:val="24"/>
      <w:lang w:val="en-US" w:eastAsia="zh-CN" w:bidi="ar-SA"/>
    </w:rPr>
  </w:style>
  <w:style w:type="paragraph" w:customStyle="1" w:styleId="3375">
    <w:name w:val="图表目录1"/>
    <w:basedOn w:val="1"/>
    <w:next w:val="1"/>
    <w:qFormat/>
    <w:uiPriority w:val="0"/>
    <w:pPr>
      <w:tabs>
        <w:tab w:val="clear" w:pos="480"/>
      </w:tabs>
      <w:spacing w:line="240" w:lineRule="auto"/>
      <w:ind w:left="840" w:leftChars="200" w:hanging="420" w:hangingChars="200"/>
    </w:pPr>
    <w:rPr>
      <w:szCs w:val="20"/>
    </w:rPr>
  </w:style>
  <w:style w:type="paragraph" w:customStyle="1" w:styleId="3376">
    <w:name w:val="正文文本缩进1"/>
    <w:basedOn w:val="1"/>
    <w:qFormat/>
    <w:uiPriority w:val="0"/>
    <w:pPr>
      <w:tabs>
        <w:tab w:val="clear" w:pos="480"/>
      </w:tabs>
      <w:spacing w:line="240" w:lineRule="auto"/>
      <w:ind w:firstLine="570"/>
    </w:pPr>
    <w:rPr>
      <w:sz w:val="28"/>
    </w:rPr>
  </w:style>
  <w:style w:type="paragraph" w:customStyle="1" w:styleId="3377">
    <w:name w:val="列出段落4"/>
    <w:basedOn w:val="1"/>
    <w:qFormat/>
    <w:uiPriority w:val="0"/>
    <w:pPr>
      <w:tabs>
        <w:tab w:val="clear" w:pos="480"/>
      </w:tabs>
      <w:spacing w:afterLines="20"/>
      <w:ind w:firstLine="420"/>
    </w:pPr>
  </w:style>
  <w:style w:type="paragraph" w:customStyle="1" w:styleId="3378">
    <w:name w:val="正文+字体"/>
    <w:basedOn w:val="1"/>
    <w:next w:val="1"/>
    <w:semiHidden/>
    <w:qFormat/>
    <w:uiPriority w:val="0"/>
    <w:pPr>
      <w:tabs>
        <w:tab w:val="clear" w:pos="480"/>
      </w:tabs>
    </w:pPr>
    <w:rPr>
      <w:rFonts w:ascii="宋体" w:hAnsi="宋体" w:cs="宋体"/>
    </w:rPr>
  </w:style>
  <w:style w:type="character" w:customStyle="1" w:styleId="3379">
    <w:name w:val="labeltitle1"/>
    <w:qFormat/>
    <w:uiPriority w:val="0"/>
    <w:rPr>
      <w:b/>
      <w:bCs/>
      <w:sz w:val="39"/>
      <w:szCs w:val="39"/>
    </w:rPr>
  </w:style>
  <w:style w:type="character" w:customStyle="1" w:styleId="3380">
    <w:name w:val="样式 宋体 小四 黑色 Char Char"/>
    <w:qFormat/>
    <w:uiPriority w:val="0"/>
    <w:rPr>
      <w:rFonts w:eastAsia="宋体"/>
      <w:kern w:val="2"/>
      <w:sz w:val="18"/>
      <w:szCs w:val="18"/>
      <w:lang w:val="en-US" w:eastAsia="zh-CN" w:bidi="ar-SA"/>
    </w:rPr>
  </w:style>
  <w:style w:type="character" w:customStyle="1" w:styleId="3381">
    <w:name w:val="ps251"/>
    <w:basedOn w:val="132"/>
    <w:qFormat/>
    <w:uiPriority w:val="0"/>
  </w:style>
  <w:style w:type="character" w:customStyle="1" w:styleId="3382">
    <w:name w:val="newstxt"/>
    <w:basedOn w:val="132"/>
    <w:qFormat/>
    <w:uiPriority w:val="0"/>
  </w:style>
  <w:style w:type="character" w:customStyle="1" w:styleId="3383">
    <w:name w:val="font14px"/>
    <w:basedOn w:val="132"/>
    <w:qFormat/>
    <w:uiPriority w:val="0"/>
  </w:style>
  <w:style w:type="character" w:customStyle="1" w:styleId="3384">
    <w:name w:val="表格题 Char Char"/>
    <w:link w:val="3385"/>
    <w:qFormat/>
    <w:uiPriority w:val="0"/>
    <w:rPr>
      <w:rFonts w:ascii="宋体" w:hAnsi="Courier New" w:eastAsia="黑体"/>
      <w:sz w:val="24"/>
    </w:rPr>
  </w:style>
  <w:style w:type="paragraph" w:customStyle="1" w:styleId="3385">
    <w:name w:val="表格题"/>
    <w:basedOn w:val="45"/>
    <w:link w:val="3384"/>
    <w:qFormat/>
    <w:uiPriority w:val="0"/>
    <w:pPr>
      <w:spacing w:line="360" w:lineRule="auto"/>
    </w:pPr>
    <w:rPr>
      <w:rFonts w:eastAsia="黑体"/>
      <w:kern w:val="0"/>
      <w:sz w:val="24"/>
    </w:rPr>
  </w:style>
  <w:style w:type="character" w:customStyle="1" w:styleId="3386">
    <w:name w:val="Char5 Char Char"/>
    <w:qFormat/>
    <w:uiPriority w:val="0"/>
    <w:rPr>
      <w:rFonts w:eastAsia="宋体"/>
      <w:kern w:val="2"/>
      <w:sz w:val="21"/>
      <w:lang w:val="en-US" w:eastAsia="zh-CN" w:bidi="ar-SA"/>
    </w:rPr>
  </w:style>
  <w:style w:type="character" w:customStyle="1" w:styleId="3387">
    <w:name w:val="Char Char7"/>
    <w:qFormat/>
    <w:uiPriority w:val="0"/>
    <w:rPr>
      <w:rFonts w:eastAsia="宋体"/>
      <w:kern w:val="2"/>
      <w:sz w:val="18"/>
      <w:szCs w:val="18"/>
      <w:lang w:val="en-US" w:eastAsia="zh-CN" w:bidi="ar-SA"/>
    </w:rPr>
  </w:style>
  <w:style w:type="character" w:customStyle="1" w:styleId="3388">
    <w:name w:val="样式 宋体 黑色 加宽量  1 磅"/>
    <w:qFormat/>
    <w:uiPriority w:val="0"/>
    <w:rPr>
      <w:rFonts w:ascii="宋体" w:hAnsi="宋体"/>
      <w:color w:val="000000"/>
      <w:spacing w:val="0"/>
    </w:rPr>
  </w:style>
  <w:style w:type="character" w:customStyle="1" w:styleId="3389">
    <w:name w:val="公标题1 Char Char"/>
    <w:link w:val="3390"/>
    <w:qFormat/>
    <w:uiPriority w:val="0"/>
    <w:rPr>
      <w:rFonts w:ascii="Arial" w:hAnsi="Arial" w:eastAsia="黑体"/>
      <w:sz w:val="36"/>
      <w:szCs w:val="24"/>
    </w:rPr>
  </w:style>
  <w:style w:type="paragraph" w:customStyle="1" w:styleId="3390">
    <w:name w:val="公标题1"/>
    <w:basedOn w:val="1"/>
    <w:link w:val="3389"/>
    <w:qFormat/>
    <w:uiPriority w:val="0"/>
    <w:pPr>
      <w:tabs>
        <w:tab w:val="clear" w:pos="480"/>
      </w:tabs>
      <w:adjustRightInd w:val="0"/>
      <w:snapToGrid w:val="0"/>
      <w:spacing w:before="240" w:after="240" w:line="560" w:lineRule="exact"/>
      <w:outlineLvl w:val="0"/>
    </w:pPr>
    <w:rPr>
      <w:rFonts w:ascii="Arial" w:hAnsi="Arial" w:eastAsia="黑体"/>
      <w:kern w:val="0"/>
      <w:sz w:val="36"/>
    </w:rPr>
  </w:style>
  <w:style w:type="character" w:customStyle="1" w:styleId="3391">
    <w:name w:val="longtext"/>
    <w:basedOn w:val="132"/>
    <w:qFormat/>
    <w:uiPriority w:val="0"/>
  </w:style>
  <w:style w:type="character" w:customStyle="1" w:styleId="3392">
    <w:name w:val="fn org1"/>
    <w:basedOn w:val="132"/>
    <w:qFormat/>
    <w:uiPriority w:val="0"/>
  </w:style>
  <w:style w:type="character" w:customStyle="1" w:styleId="3393">
    <w:name w:val="tj望江正文 Char Char"/>
    <w:link w:val="3394"/>
    <w:qFormat/>
    <w:uiPriority w:val="0"/>
    <w:rPr>
      <w:rFonts w:ascii="华文细黑" w:hAnsi="华文细黑" w:eastAsia="华文细黑"/>
    </w:rPr>
  </w:style>
  <w:style w:type="paragraph" w:customStyle="1" w:styleId="3394">
    <w:name w:val="tj望江正文"/>
    <w:basedOn w:val="1"/>
    <w:link w:val="3393"/>
    <w:qFormat/>
    <w:uiPriority w:val="0"/>
    <w:pPr>
      <w:tabs>
        <w:tab w:val="clear" w:pos="480"/>
      </w:tabs>
      <w:spacing w:line="440" w:lineRule="exact"/>
      <w:ind w:firstLine="420"/>
    </w:pPr>
    <w:rPr>
      <w:rFonts w:ascii="华文细黑" w:hAnsi="华文细黑" w:eastAsia="华文细黑"/>
      <w:kern w:val="0"/>
      <w:sz w:val="20"/>
      <w:szCs w:val="20"/>
    </w:rPr>
  </w:style>
  <w:style w:type="character" w:customStyle="1" w:styleId="3395">
    <w:name w:val="Char3 Char Char"/>
    <w:qFormat/>
    <w:uiPriority w:val="0"/>
    <w:rPr>
      <w:rFonts w:eastAsia="宋体"/>
      <w:kern w:val="2"/>
      <w:sz w:val="21"/>
      <w:lang w:val="en-US" w:eastAsia="zh-CN" w:bidi="ar-SA"/>
    </w:rPr>
  </w:style>
  <w:style w:type="character" w:customStyle="1" w:styleId="3396">
    <w:name w:val="附图和附表等 Char Char"/>
    <w:link w:val="3397"/>
    <w:qFormat/>
    <w:uiPriority w:val="0"/>
    <w:rPr>
      <w:rFonts w:ascii="宋体" w:hAnsi="宋体"/>
      <w:b/>
      <w:sz w:val="18"/>
      <w:szCs w:val="21"/>
    </w:rPr>
  </w:style>
  <w:style w:type="paragraph" w:customStyle="1" w:styleId="3397">
    <w:name w:val="附图和附表等"/>
    <w:basedOn w:val="3398"/>
    <w:link w:val="3396"/>
    <w:qFormat/>
    <w:uiPriority w:val="0"/>
    <w:pPr>
      <w:tabs>
        <w:tab w:val="left" w:pos="44"/>
      </w:tabs>
      <w:spacing w:line="240" w:lineRule="auto"/>
      <w:ind w:right="0" w:rightChars="0"/>
      <w:outlineLvl w:val="0"/>
    </w:pPr>
    <w:rPr>
      <w:szCs w:val="21"/>
    </w:rPr>
  </w:style>
  <w:style w:type="paragraph" w:customStyle="1" w:styleId="3398">
    <w:name w:val="cccccccccc"/>
    <w:basedOn w:val="1"/>
    <w:link w:val="3420"/>
    <w:qFormat/>
    <w:uiPriority w:val="0"/>
    <w:pPr>
      <w:tabs>
        <w:tab w:val="left" w:pos="44"/>
        <w:tab w:val="clear" w:pos="480"/>
      </w:tabs>
      <w:ind w:right="210" w:rightChars="100"/>
      <w:jc w:val="center"/>
      <w:outlineLvl w:val="2"/>
    </w:pPr>
    <w:rPr>
      <w:rFonts w:ascii="宋体" w:hAnsi="宋体"/>
      <w:b/>
      <w:kern w:val="0"/>
      <w:sz w:val="18"/>
      <w:szCs w:val="18"/>
    </w:rPr>
  </w:style>
  <w:style w:type="character" w:customStyle="1" w:styleId="3399">
    <w:name w:val="上海LNG3 Char Char"/>
    <w:link w:val="3349"/>
    <w:qFormat/>
    <w:uiPriority w:val="0"/>
    <w:rPr>
      <w:rFonts w:ascii="Calibri" w:hAnsi="Calibri"/>
      <w:b/>
      <w:kern w:val="28"/>
      <w:sz w:val="24"/>
      <w:szCs w:val="24"/>
    </w:rPr>
  </w:style>
  <w:style w:type="character" w:customStyle="1" w:styleId="3400">
    <w:name w:val="小四 1.5倍行距 首行缩进 Char Char"/>
    <w:link w:val="3401"/>
    <w:qFormat/>
    <w:uiPriority w:val="0"/>
    <w:rPr>
      <w:sz w:val="24"/>
      <w:szCs w:val="24"/>
    </w:rPr>
  </w:style>
  <w:style w:type="paragraph" w:customStyle="1" w:styleId="3401">
    <w:name w:val="小四 1.5倍行距 首行缩进"/>
    <w:basedOn w:val="1"/>
    <w:next w:val="1"/>
    <w:link w:val="3400"/>
    <w:qFormat/>
    <w:uiPriority w:val="0"/>
    <w:pPr>
      <w:tabs>
        <w:tab w:val="clear" w:pos="480"/>
      </w:tabs>
      <w:ind w:firstLine="420"/>
    </w:pPr>
    <w:rPr>
      <w:kern w:val="0"/>
    </w:rPr>
  </w:style>
  <w:style w:type="character" w:customStyle="1" w:styleId="3402">
    <w:name w:val="Char Char18"/>
    <w:qFormat/>
    <w:uiPriority w:val="0"/>
    <w:rPr>
      <w:kern w:val="2"/>
      <w:sz w:val="21"/>
    </w:rPr>
  </w:style>
  <w:style w:type="character" w:customStyle="1" w:styleId="3403">
    <w:name w:val="表名 Char Char"/>
    <w:qFormat/>
    <w:uiPriority w:val="0"/>
    <w:rPr>
      <w:rFonts w:ascii="黑体" w:hAnsi="宋体" w:eastAsia="黑体"/>
      <w:sz w:val="24"/>
      <w:szCs w:val="28"/>
    </w:rPr>
  </w:style>
  <w:style w:type="character" w:customStyle="1" w:styleId="3404">
    <w:name w:val="标题 Char Char"/>
    <w:qFormat/>
    <w:uiPriority w:val="0"/>
    <w:rPr>
      <w:rFonts w:ascii="Arial" w:hAnsi="Arial" w:eastAsia="宋体" w:cs="Arial"/>
      <w:b/>
      <w:bCs/>
      <w:sz w:val="32"/>
      <w:szCs w:val="32"/>
      <w:lang w:val="en-US" w:eastAsia="zh-CN" w:bidi="ar-SA"/>
    </w:rPr>
  </w:style>
  <w:style w:type="character" w:customStyle="1" w:styleId="3405">
    <w:name w:val="haydonli Char Char"/>
    <w:link w:val="3406"/>
    <w:qFormat/>
    <w:uiPriority w:val="0"/>
    <w:rPr>
      <w:snapToGrid w:val="0"/>
      <w:sz w:val="24"/>
      <w:szCs w:val="24"/>
    </w:rPr>
  </w:style>
  <w:style w:type="paragraph" w:customStyle="1" w:styleId="3406">
    <w:name w:val="haydonli"/>
    <w:basedOn w:val="1"/>
    <w:link w:val="3405"/>
    <w:qFormat/>
    <w:uiPriority w:val="0"/>
    <w:pPr>
      <w:tabs>
        <w:tab w:val="clear" w:pos="480"/>
      </w:tabs>
      <w:snapToGrid w:val="0"/>
    </w:pPr>
    <w:rPr>
      <w:snapToGrid w:val="0"/>
      <w:kern w:val="0"/>
    </w:rPr>
  </w:style>
  <w:style w:type="character" w:customStyle="1" w:styleId="3407">
    <w:name w:val="Sottoparagrafo Char Char"/>
    <w:qFormat/>
    <w:uiPriority w:val="0"/>
    <w:rPr>
      <w:rFonts w:ascii="黑体" w:eastAsia="黑体"/>
      <w:snapToGrid w:val="0"/>
      <w:sz w:val="24"/>
      <w:szCs w:val="32"/>
      <w:lang w:val="en-US" w:eastAsia="zh-CN" w:bidi="ar-SA"/>
    </w:rPr>
  </w:style>
  <w:style w:type="character" w:customStyle="1" w:styleId="3408">
    <w:name w:val="Char2 Char Char"/>
    <w:qFormat/>
    <w:uiPriority w:val="0"/>
    <w:rPr>
      <w:rFonts w:ascii="Arial" w:hAnsi="Arial" w:eastAsia="宋体" w:cs="Arial"/>
      <w:vanish/>
      <w:kern w:val="2"/>
      <w:sz w:val="16"/>
      <w:szCs w:val="16"/>
      <w:lang w:val="en-US" w:eastAsia="zh-CN" w:bidi="ar-SA"/>
    </w:rPr>
  </w:style>
  <w:style w:type="character" w:customStyle="1" w:styleId="3409">
    <w:name w:val="花3 Char Char"/>
    <w:link w:val="3410"/>
    <w:qFormat/>
    <w:uiPriority w:val="0"/>
    <w:rPr>
      <w:b/>
      <w:sz w:val="24"/>
      <w:szCs w:val="24"/>
    </w:rPr>
  </w:style>
  <w:style w:type="paragraph" w:customStyle="1" w:styleId="3410">
    <w:name w:val="花3"/>
    <w:basedOn w:val="1"/>
    <w:link w:val="3409"/>
    <w:qFormat/>
    <w:uiPriority w:val="0"/>
    <w:pPr>
      <w:tabs>
        <w:tab w:val="left" w:pos="720"/>
        <w:tab w:val="clear" w:pos="480"/>
      </w:tabs>
      <w:outlineLvl w:val="2"/>
    </w:pPr>
    <w:rPr>
      <w:b/>
      <w:kern w:val="0"/>
    </w:rPr>
  </w:style>
  <w:style w:type="character" w:customStyle="1" w:styleId="3411">
    <w:name w:val="z-窗体底端 Char"/>
    <w:link w:val="540"/>
    <w:qFormat/>
    <w:uiPriority w:val="0"/>
    <w:rPr>
      <w:rFonts w:ascii="Arial" w:hAnsi="Arial" w:cs="Arial"/>
      <w:vanish/>
      <w:sz w:val="16"/>
      <w:szCs w:val="16"/>
    </w:rPr>
  </w:style>
  <w:style w:type="character" w:customStyle="1" w:styleId="3412">
    <w:name w:val="上海LNG2 Char Char"/>
    <w:link w:val="3351"/>
    <w:qFormat/>
    <w:uiPriority w:val="0"/>
    <w:rPr>
      <w:rFonts w:ascii="Calibri" w:hAnsi="Calibri"/>
      <w:b/>
      <w:kern w:val="2"/>
      <w:sz w:val="24"/>
      <w:szCs w:val="24"/>
    </w:rPr>
  </w:style>
  <w:style w:type="character" w:customStyle="1" w:styleId="3413">
    <w:name w:val="i3"/>
    <w:qFormat/>
    <w:uiPriority w:val="0"/>
    <w:rPr>
      <w:i/>
      <w:iCs/>
    </w:rPr>
  </w:style>
  <w:style w:type="character" w:customStyle="1" w:styleId="3414">
    <w:name w:val="ourfont2"/>
    <w:basedOn w:val="132"/>
    <w:qFormat/>
    <w:uiPriority w:val="0"/>
  </w:style>
  <w:style w:type="character" w:customStyle="1" w:styleId="3415">
    <w:name w:val="表内字 Char Char"/>
    <w:link w:val="237"/>
    <w:qFormat/>
    <w:uiPriority w:val="0"/>
    <w:rPr>
      <w:sz w:val="24"/>
    </w:rPr>
  </w:style>
  <w:style w:type="character" w:customStyle="1" w:styleId="3416">
    <w:name w:val="列表 字符"/>
    <w:link w:val="66"/>
    <w:qFormat/>
    <w:uiPriority w:val="0"/>
    <w:rPr>
      <w:kern w:val="2"/>
      <w:sz w:val="21"/>
      <w:szCs w:val="24"/>
    </w:rPr>
  </w:style>
  <w:style w:type="character" w:customStyle="1" w:styleId="3417">
    <w:name w:val="Char7 Char Char"/>
    <w:qFormat/>
    <w:uiPriority w:val="0"/>
    <w:rPr>
      <w:rFonts w:eastAsia="宋体"/>
      <w:kern w:val="2"/>
      <w:sz w:val="24"/>
      <w:szCs w:val="24"/>
      <w:lang w:val="en-US" w:eastAsia="zh-CN" w:bidi="ar-SA"/>
    </w:rPr>
  </w:style>
  <w:style w:type="character" w:customStyle="1" w:styleId="3418">
    <w:name w:val="报告标题2 Char Char"/>
    <w:link w:val="3419"/>
    <w:qFormat/>
    <w:uiPriority w:val="0"/>
    <w:rPr>
      <w:b/>
      <w:bCs/>
      <w:kern w:val="2"/>
      <w:sz w:val="28"/>
      <w:szCs w:val="28"/>
    </w:rPr>
  </w:style>
  <w:style w:type="paragraph" w:customStyle="1" w:styleId="3419">
    <w:name w:val="报告标题2"/>
    <w:basedOn w:val="5"/>
    <w:link w:val="3418"/>
    <w:qFormat/>
    <w:uiPriority w:val="0"/>
    <w:pPr>
      <w:keepNext w:val="0"/>
      <w:keepLines w:val="0"/>
      <w:numPr>
        <w:ilvl w:val="0"/>
        <w:numId w:val="0"/>
      </w:numPr>
      <w:tabs>
        <w:tab w:val="clear" w:pos="480"/>
        <w:tab w:val="clear" w:pos="840"/>
      </w:tabs>
      <w:spacing w:before="0" w:beforeLines="100" w:after="0" w:line="240" w:lineRule="auto"/>
      <w:ind w:firstLine="200" w:firstLineChars="200"/>
      <w:outlineLvl w:val="1"/>
    </w:pPr>
    <w:rPr>
      <w:rFonts w:ascii="Times New Roman" w:eastAsia="宋体"/>
      <w:sz w:val="28"/>
      <w:szCs w:val="28"/>
      <w:lang w:val="en-US"/>
    </w:rPr>
  </w:style>
  <w:style w:type="character" w:customStyle="1" w:styleId="3420">
    <w:name w:val="cccccccccc Char Char"/>
    <w:link w:val="3398"/>
    <w:qFormat/>
    <w:uiPriority w:val="0"/>
    <w:rPr>
      <w:rFonts w:ascii="宋体" w:hAnsi="宋体"/>
      <w:b/>
      <w:sz w:val="18"/>
      <w:szCs w:val="18"/>
    </w:rPr>
  </w:style>
  <w:style w:type="character" w:customStyle="1" w:styleId="3421">
    <w:name w:val="正文QQ Char Char"/>
    <w:link w:val="3422"/>
    <w:qFormat/>
    <w:uiPriority w:val="0"/>
    <w:rPr>
      <w:rFonts w:hAnsi="宋体" w:cs="宋体"/>
      <w:color w:val="000000"/>
      <w:sz w:val="28"/>
    </w:rPr>
  </w:style>
  <w:style w:type="paragraph" w:customStyle="1" w:styleId="3422">
    <w:name w:val="正文QQ"/>
    <w:basedOn w:val="1"/>
    <w:link w:val="3421"/>
    <w:qFormat/>
    <w:uiPriority w:val="0"/>
    <w:pPr>
      <w:tabs>
        <w:tab w:val="clear" w:pos="480"/>
      </w:tabs>
      <w:spacing w:line="520" w:lineRule="exact"/>
      <w:ind w:firstLine="560"/>
    </w:pPr>
    <w:rPr>
      <w:rFonts w:hAnsi="宋体" w:cs="宋体"/>
      <w:color w:val="000000"/>
      <w:kern w:val="0"/>
      <w:sz w:val="28"/>
      <w:szCs w:val="20"/>
    </w:rPr>
  </w:style>
  <w:style w:type="character" w:customStyle="1" w:styleId="3423">
    <w:name w:val="正文，zg Char Char"/>
    <w:link w:val="3424"/>
    <w:qFormat/>
    <w:uiPriority w:val="0"/>
    <w:rPr>
      <w:rFonts w:ascii="宋体" w:hAnsi="宋体"/>
      <w:sz w:val="28"/>
      <w:szCs w:val="28"/>
    </w:rPr>
  </w:style>
  <w:style w:type="paragraph" w:customStyle="1" w:styleId="3424">
    <w:name w:val="正文，zg"/>
    <w:link w:val="3423"/>
    <w:qFormat/>
    <w:uiPriority w:val="0"/>
    <w:pPr>
      <w:adjustRightInd w:val="0"/>
      <w:snapToGrid w:val="0"/>
      <w:spacing w:line="360" w:lineRule="auto"/>
      <w:ind w:firstLine="549" w:firstLineChars="196"/>
      <w:jc w:val="both"/>
    </w:pPr>
    <w:rPr>
      <w:rFonts w:ascii="宋体" w:hAnsi="宋体" w:eastAsia="宋体" w:cs="Times New Roman"/>
      <w:kern w:val="2"/>
      <w:sz w:val="28"/>
      <w:szCs w:val="28"/>
      <w:lang w:val="en-US" w:eastAsia="zh-CN" w:bidi="ar-SA"/>
    </w:rPr>
  </w:style>
  <w:style w:type="character" w:customStyle="1" w:styleId="3425">
    <w:name w:val="text-14"/>
    <w:basedOn w:val="132"/>
    <w:qFormat/>
    <w:uiPriority w:val="0"/>
  </w:style>
  <w:style w:type="character" w:customStyle="1" w:styleId="3426">
    <w:name w:val="Char8 Char Char"/>
    <w:qFormat/>
    <w:uiPriority w:val="0"/>
    <w:rPr>
      <w:rFonts w:eastAsia="宋体"/>
      <w:kern w:val="2"/>
      <w:sz w:val="21"/>
      <w:lang w:val="en-US" w:eastAsia="zh-CN" w:bidi="ar-SA"/>
    </w:rPr>
  </w:style>
  <w:style w:type="character" w:customStyle="1" w:styleId="3427">
    <w:name w:val="标题 1 Char2 Char"/>
    <w:qFormat/>
    <w:uiPriority w:val="0"/>
    <w:rPr>
      <w:rFonts w:ascii="黑体" w:eastAsia="黑体"/>
      <w:snapToGrid w:val="0"/>
      <w:kern w:val="2"/>
      <w:sz w:val="44"/>
      <w:szCs w:val="44"/>
      <w:lang w:val="en-US" w:eastAsia="zh-CN" w:bidi="ar-SA"/>
    </w:rPr>
  </w:style>
  <w:style w:type="character" w:customStyle="1" w:styleId="3428">
    <w:name w:val="hb1 Char Char"/>
    <w:link w:val="3429"/>
    <w:qFormat/>
    <w:uiPriority w:val="0"/>
    <w:rPr>
      <w:rFonts w:eastAsia="楷体_GB2312"/>
      <w:color w:val="000000"/>
      <w:sz w:val="24"/>
    </w:rPr>
  </w:style>
  <w:style w:type="paragraph" w:customStyle="1" w:styleId="3429">
    <w:name w:val="hb1"/>
    <w:basedOn w:val="1"/>
    <w:link w:val="3428"/>
    <w:qFormat/>
    <w:uiPriority w:val="0"/>
    <w:pPr>
      <w:tabs>
        <w:tab w:val="clear" w:pos="480"/>
      </w:tabs>
      <w:spacing w:line="460" w:lineRule="exact"/>
      <w:ind w:firstLine="482"/>
    </w:pPr>
    <w:rPr>
      <w:rFonts w:eastAsia="楷体_GB2312"/>
      <w:color w:val="000000"/>
      <w:kern w:val="0"/>
      <w:szCs w:val="20"/>
    </w:rPr>
  </w:style>
  <w:style w:type="character" w:customStyle="1" w:styleId="3430">
    <w:name w:val="xl24 Char Char"/>
    <w:link w:val="181"/>
    <w:qFormat/>
    <w:uiPriority w:val="0"/>
    <w:rPr>
      <w:rFonts w:ascii="仿宋_GB2312" w:hAnsi="Arial Unicode MS" w:eastAsia="仿宋_GB2312" w:cs="Arial Unicode MS"/>
      <w:sz w:val="21"/>
      <w:szCs w:val="21"/>
    </w:rPr>
  </w:style>
  <w:style w:type="character" w:customStyle="1" w:styleId="3431">
    <w:name w:val="样式 报告正文 + 首行缩进:  2 字符 Char Char"/>
    <w:link w:val="3432"/>
    <w:qFormat/>
    <w:uiPriority w:val="0"/>
    <w:rPr>
      <w:rFonts w:cs="宋体"/>
      <w:sz w:val="24"/>
    </w:rPr>
  </w:style>
  <w:style w:type="paragraph" w:customStyle="1" w:styleId="3432">
    <w:name w:val="样式 报告正文 + 首行缩进:  2 字符"/>
    <w:basedOn w:val="1"/>
    <w:link w:val="3431"/>
    <w:qFormat/>
    <w:uiPriority w:val="0"/>
    <w:pPr>
      <w:tabs>
        <w:tab w:val="clear" w:pos="480"/>
      </w:tabs>
      <w:autoSpaceDE w:val="0"/>
      <w:autoSpaceDN w:val="0"/>
    </w:pPr>
    <w:rPr>
      <w:rFonts w:cs="宋体"/>
      <w:kern w:val="0"/>
      <w:szCs w:val="20"/>
    </w:rPr>
  </w:style>
  <w:style w:type="character" w:customStyle="1" w:styleId="3433">
    <w:name w:val="wxx3"/>
    <w:qFormat/>
    <w:uiPriority w:val="0"/>
    <w:rPr>
      <w:rFonts w:ascii="黑体" w:eastAsia="黑体"/>
      <w:b/>
      <w:bCs/>
      <w:sz w:val="28"/>
      <w:szCs w:val="30"/>
    </w:rPr>
  </w:style>
  <w:style w:type="character" w:customStyle="1" w:styleId="3434">
    <w:name w:val="datatitle"/>
    <w:basedOn w:val="132"/>
    <w:qFormat/>
    <w:uiPriority w:val="0"/>
  </w:style>
  <w:style w:type="character" w:customStyle="1" w:styleId="3435">
    <w:name w:val="Char4 Char Char"/>
    <w:qFormat/>
    <w:uiPriority w:val="0"/>
    <w:rPr>
      <w:rFonts w:eastAsia="宋体"/>
      <w:kern w:val="2"/>
      <w:sz w:val="21"/>
      <w:lang w:val="en-US" w:eastAsia="zh-CN" w:bidi="ar-SA"/>
    </w:rPr>
  </w:style>
  <w:style w:type="character" w:customStyle="1" w:styleId="3436">
    <w:name w:val="报告标题3 Char Char"/>
    <w:link w:val="3437"/>
    <w:qFormat/>
    <w:uiPriority w:val="0"/>
    <w:rPr>
      <w:b/>
      <w:bCs/>
      <w:kern w:val="2"/>
      <w:sz w:val="24"/>
      <w:szCs w:val="24"/>
    </w:rPr>
  </w:style>
  <w:style w:type="paragraph" w:customStyle="1" w:styleId="3437">
    <w:name w:val="报告标题3"/>
    <w:basedOn w:val="3419"/>
    <w:link w:val="3436"/>
    <w:qFormat/>
    <w:uiPriority w:val="0"/>
    <w:pPr>
      <w:outlineLvl w:val="2"/>
    </w:pPr>
    <w:rPr>
      <w:sz w:val="24"/>
      <w:szCs w:val="24"/>
    </w:rPr>
  </w:style>
  <w:style w:type="character" w:customStyle="1" w:styleId="3438">
    <w:name w:val="列表 Char"/>
    <w:qFormat/>
    <w:uiPriority w:val="0"/>
    <w:rPr>
      <w:rFonts w:eastAsia="黑体"/>
      <w:kern w:val="2"/>
      <w:sz w:val="22"/>
      <w:lang w:val="en-US" w:eastAsia="zh-CN"/>
    </w:rPr>
  </w:style>
  <w:style w:type="character" w:customStyle="1" w:styleId="3439">
    <w:name w:val="标题1居中 Char Char"/>
    <w:link w:val="3440"/>
    <w:qFormat/>
    <w:uiPriority w:val="0"/>
    <w:rPr>
      <w:rFonts w:ascii="黑体" w:eastAsia="黑体"/>
      <w:bCs/>
      <w:sz w:val="44"/>
    </w:rPr>
  </w:style>
  <w:style w:type="paragraph" w:customStyle="1" w:styleId="3440">
    <w:name w:val="标题1居中"/>
    <w:basedOn w:val="3"/>
    <w:link w:val="3439"/>
    <w:qFormat/>
    <w:uiPriority w:val="0"/>
    <w:pPr>
      <w:pageBreakBefore/>
      <w:numPr>
        <w:numId w:val="0"/>
      </w:numPr>
      <w:tabs>
        <w:tab w:val="left" w:pos="4144"/>
        <w:tab w:val="clear" w:pos="480"/>
      </w:tabs>
      <w:adjustRightInd w:val="0"/>
      <w:snapToGrid w:val="0"/>
      <w:spacing w:before="0" w:beforeLines="200" w:after="0" w:afterLines="100"/>
      <w:ind w:firstLine="480" w:firstLineChars="200"/>
      <w:jc w:val="center"/>
    </w:pPr>
    <w:rPr>
      <w:rFonts w:ascii="黑体" w:eastAsia="黑体"/>
      <w:b w:val="0"/>
      <w:kern w:val="0"/>
      <w:sz w:val="44"/>
      <w:szCs w:val="20"/>
      <w:lang w:val="en-US"/>
    </w:rPr>
  </w:style>
  <w:style w:type="character" w:customStyle="1" w:styleId="3441">
    <w:name w:val="text Char Char Char Char Char Char"/>
    <w:link w:val="3442"/>
    <w:qFormat/>
    <w:uiPriority w:val="0"/>
    <w:rPr>
      <w:rFonts w:ascii="黑体"/>
      <w:sz w:val="28"/>
      <w:szCs w:val="24"/>
    </w:rPr>
  </w:style>
  <w:style w:type="paragraph" w:customStyle="1" w:styleId="3442">
    <w:name w:val="text Char Char Char Char"/>
    <w:basedOn w:val="1"/>
    <w:link w:val="3441"/>
    <w:qFormat/>
    <w:uiPriority w:val="0"/>
    <w:pPr>
      <w:tabs>
        <w:tab w:val="clear" w:pos="480"/>
      </w:tabs>
      <w:ind w:firstLine="563"/>
    </w:pPr>
    <w:rPr>
      <w:rFonts w:ascii="黑体"/>
      <w:kern w:val="0"/>
      <w:sz w:val="28"/>
    </w:rPr>
  </w:style>
  <w:style w:type="character" w:customStyle="1" w:styleId="3443">
    <w:name w:val="正文样式 Char Char Char Char"/>
    <w:link w:val="3444"/>
    <w:qFormat/>
    <w:uiPriority w:val="0"/>
    <w:rPr>
      <w:rFonts w:cs="宋体"/>
      <w:sz w:val="24"/>
      <w:szCs w:val="24"/>
    </w:rPr>
  </w:style>
  <w:style w:type="paragraph" w:customStyle="1" w:styleId="3444">
    <w:name w:val="正文样式 Char Char"/>
    <w:basedOn w:val="85"/>
    <w:link w:val="3443"/>
    <w:qFormat/>
    <w:uiPriority w:val="0"/>
    <w:pPr>
      <w:topLinePunct/>
      <w:spacing w:after="0" w:line="300" w:lineRule="auto"/>
      <w:ind w:firstLine="200" w:firstLineChars="200"/>
    </w:pPr>
    <w:rPr>
      <w:rFonts w:cs="宋体"/>
      <w:kern w:val="0"/>
      <w:sz w:val="24"/>
    </w:rPr>
  </w:style>
  <w:style w:type="character" w:customStyle="1" w:styleId="3445">
    <w:name w:val="surname"/>
    <w:basedOn w:val="132"/>
    <w:qFormat/>
    <w:uiPriority w:val="0"/>
  </w:style>
  <w:style w:type="character" w:customStyle="1" w:styleId="3446">
    <w:name w:val="hj"/>
    <w:basedOn w:val="132"/>
    <w:qFormat/>
    <w:uiPriority w:val="0"/>
  </w:style>
  <w:style w:type="character" w:customStyle="1" w:styleId="3447">
    <w:name w:val="Char6 Char Char"/>
    <w:qFormat/>
    <w:uiPriority w:val="0"/>
    <w:rPr>
      <w:rFonts w:eastAsia="宋体"/>
      <w:kern w:val="2"/>
      <w:sz w:val="18"/>
      <w:szCs w:val="18"/>
      <w:lang w:val="en-US" w:eastAsia="zh-CN" w:bidi="ar-SA"/>
    </w:rPr>
  </w:style>
  <w:style w:type="character" w:customStyle="1" w:styleId="3448">
    <w:name w:val="Char9 Char Char"/>
    <w:qFormat/>
    <w:uiPriority w:val="0"/>
    <w:rPr>
      <w:rFonts w:eastAsia="宋体"/>
      <w:kern w:val="2"/>
      <w:sz w:val="18"/>
      <w:lang w:val="en-US" w:eastAsia="zh-CN" w:bidi="ar-SA"/>
    </w:rPr>
  </w:style>
  <w:style w:type="character" w:customStyle="1" w:styleId="3449">
    <w:name w:val="上海LNG1 Char Char"/>
    <w:link w:val="3350"/>
    <w:qFormat/>
    <w:uiPriority w:val="0"/>
    <w:rPr>
      <w:rFonts w:ascii="Calibri" w:hAnsi="Calibri"/>
      <w:b/>
      <w:kern w:val="2"/>
      <w:sz w:val="24"/>
      <w:szCs w:val="24"/>
    </w:rPr>
  </w:style>
  <w:style w:type="character" w:customStyle="1" w:styleId="3450">
    <w:name w:val="正文1 Char1"/>
    <w:qFormat/>
    <w:uiPriority w:val="0"/>
    <w:rPr>
      <w:rFonts w:ascii="Times New Roman" w:hAnsi="Times New Roman" w:eastAsia="仿宋_GB2312" w:cs="Times New Roman"/>
      <w:sz w:val="28"/>
      <w:szCs w:val="28"/>
    </w:rPr>
  </w:style>
  <w:style w:type="character" w:customStyle="1" w:styleId="3451">
    <w:name w:val="样式 首行缩进:  2 字符2 Char Char"/>
    <w:link w:val="1097"/>
    <w:qFormat/>
    <w:uiPriority w:val="0"/>
    <w:rPr>
      <w:rFonts w:ascii="宋体" w:hAnsi="宋体" w:cs="宋体"/>
      <w:sz w:val="24"/>
      <w:szCs w:val="28"/>
    </w:rPr>
  </w:style>
  <w:style w:type="character" w:customStyle="1" w:styleId="3452">
    <w:name w:val="样式 标题 2 + 红色 Char Char"/>
    <w:qFormat/>
    <w:uiPriority w:val="0"/>
    <w:rPr>
      <w:rFonts w:ascii="Arial" w:hAnsi="Arial" w:eastAsia="黑体"/>
      <w:b/>
      <w:bCs/>
      <w:color w:val="FF0000"/>
      <w:spacing w:val="20"/>
      <w:kern w:val="2"/>
      <w:sz w:val="30"/>
      <w:lang w:val="en-US" w:eastAsia="zh-CN" w:bidi="ar-SA"/>
    </w:rPr>
  </w:style>
  <w:style w:type="character" w:customStyle="1" w:styleId="3453">
    <w:name w:val="c11"/>
    <w:qFormat/>
    <w:uiPriority w:val="0"/>
    <w:rPr>
      <w:rFonts w:hint="default" w:ascii="Arial" w:hAnsi="Arial" w:cs="Arial"/>
      <w:color w:val="000000"/>
      <w:sz w:val="21"/>
      <w:szCs w:val="21"/>
      <w:u w:val="none"/>
    </w:rPr>
  </w:style>
  <w:style w:type="character" w:customStyle="1" w:styleId="3454">
    <w:name w:val="样式 正文缩进文本条款表格标题正文（首行缩进两字） Char Char Char Char Char Char Char... Char Char"/>
    <w:link w:val="3455"/>
    <w:qFormat/>
    <w:uiPriority w:val="0"/>
    <w:rPr>
      <w:rFonts w:cs="宋体"/>
      <w:bCs/>
      <w:sz w:val="28"/>
    </w:rPr>
  </w:style>
  <w:style w:type="paragraph" w:customStyle="1" w:styleId="3455">
    <w:name w:val="样式 正文缩进文本条款表格标题正文（首行缩进两字） Char Char Char Char Char Char Char..."/>
    <w:basedOn w:val="21"/>
    <w:link w:val="3454"/>
    <w:qFormat/>
    <w:uiPriority w:val="0"/>
    <w:pPr>
      <w:tabs>
        <w:tab w:val="left" w:pos="283"/>
        <w:tab w:val="clear" w:pos="480"/>
      </w:tabs>
      <w:adjustRightInd w:val="0"/>
      <w:snapToGrid w:val="0"/>
      <w:spacing w:line="520" w:lineRule="atLeast"/>
      <w:ind w:firstLine="200"/>
    </w:pPr>
    <w:rPr>
      <w:rFonts w:cs="宋体"/>
      <w:bCs/>
      <w:kern w:val="0"/>
      <w:sz w:val="28"/>
      <w:szCs w:val="20"/>
    </w:rPr>
  </w:style>
  <w:style w:type="character" w:customStyle="1" w:styleId="3456">
    <w:name w:val="样式 宋体 小四 Char"/>
    <w:qFormat/>
    <w:uiPriority w:val="0"/>
    <w:rPr>
      <w:rFonts w:ascii="宋体" w:hAnsi="宋体" w:eastAsia="宋体"/>
      <w:kern w:val="2"/>
      <w:sz w:val="24"/>
      <w:szCs w:val="24"/>
      <w:lang w:val="en-US" w:eastAsia="zh-CN" w:bidi="ar-SA"/>
    </w:rPr>
  </w:style>
  <w:style w:type="character" w:customStyle="1" w:styleId="3457">
    <w:name w:val="表中文字 Char1"/>
    <w:link w:val="812"/>
    <w:qFormat/>
    <w:uiPriority w:val="0"/>
    <w:rPr>
      <w:kern w:val="2"/>
      <w:sz w:val="21"/>
      <w:szCs w:val="24"/>
    </w:rPr>
  </w:style>
  <w:style w:type="character" w:customStyle="1" w:styleId="3458">
    <w:name w:val="Char11 Char Char"/>
    <w:qFormat/>
    <w:uiPriority w:val="0"/>
    <w:rPr>
      <w:rFonts w:eastAsia="宋体"/>
      <w:kern w:val="2"/>
      <w:sz w:val="21"/>
      <w:lang w:val="en-US" w:eastAsia="zh-CN" w:bidi="ar-SA"/>
    </w:rPr>
  </w:style>
  <w:style w:type="character" w:customStyle="1" w:styleId="3459">
    <w:name w:val="Char10 Char Char"/>
    <w:qFormat/>
    <w:uiPriority w:val="0"/>
    <w:rPr>
      <w:rFonts w:eastAsia="宋体"/>
      <w:kern w:val="2"/>
      <w:sz w:val="18"/>
      <w:lang w:val="en-US" w:eastAsia="zh-CN" w:bidi="ar-SA"/>
    </w:rPr>
  </w:style>
  <w:style w:type="character" w:customStyle="1" w:styleId="3460">
    <w:name w:val="正文new Char Char"/>
    <w:link w:val="3461"/>
    <w:qFormat/>
    <w:uiPriority w:val="0"/>
    <w:rPr>
      <w:color w:val="000000"/>
      <w:sz w:val="24"/>
      <w:szCs w:val="24"/>
    </w:rPr>
  </w:style>
  <w:style w:type="paragraph" w:customStyle="1" w:styleId="3461">
    <w:name w:val="正文new"/>
    <w:basedOn w:val="1"/>
    <w:next w:val="1"/>
    <w:link w:val="3460"/>
    <w:qFormat/>
    <w:uiPriority w:val="0"/>
    <w:pPr>
      <w:tabs>
        <w:tab w:val="clear" w:pos="480"/>
      </w:tabs>
      <w:adjustRightInd w:val="0"/>
      <w:snapToGrid w:val="0"/>
      <w:ind w:firstLine="480"/>
    </w:pPr>
    <w:rPr>
      <w:color w:val="000000"/>
      <w:kern w:val="0"/>
    </w:rPr>
  </w:style>
  <w:style w:type="paragraph" w:customStyle="1" w:styleId="3462">
    <w:name w:val="首行缩进:  5 字符"/>
    <w:basedOn w:val="1"/>
    <w:qFormat/>
    <w:uiPriority w:val="0"/>
    <w:pPr>
      <w:tabs>
        <w:tab w:val="clear" w:pos="480"/>
      </w:tabs>
      <w:ind w:firstLine="1200" w:firstLineChars="500"/>
    </w:pPr>
    <w:rPr>
      <w:rFonts w:cs="宋体"/>
      <w:kern w:val="0"/>
      <w:szCs w:val="20"/>
    </w:rPr>
  </w:style>
  <w:style w:type="character" w:customStyle="1" w:styleId="3463">
    <w:name w:val="HTML 预设格式 字符"/>
    <w:link w:val="79"/>
    <w:qFormat/>
    <w:uiPriority w:val="0"/>
    <w:rPr>
      <w:rFonts w:ascii="宋体" w:hAnsi="宋体" w:cs="宋体"/>
      <w:sz w:val="24"/>
      <w:szCs w:val="24"/>
    </w:rPr>
  </w:style>
  <w:style w:type="paragraph" w:customStyle="1" w:styleId="3464">
    <w:name w:val="责任表"/>
    <w:basedOn w:val="1"/>
    <w:qFormat/>
    <w:uiPriority w:val="0"/>
    <w:pPr>
      <w:tabs>
        <w:tab w:val="clear" w:pos="480"/>
      </w:tabs>
      <w:ind w:firstLine="480"/>
      <w:jc w:val="center"/>
    </w:pPr>
    <w:rPr>
      <w:b/>
      <w:bCs/>
      <w:caps/>
      <w:snapToGrid w:val="0"/>
      <w:kern w:val="10"/>
      <w:sz w:val="36"/>
      <w:szCs w:val="20"/>
    </w:rPr>
  </w:style>
  <w:style w:type="paragraph" w:customStyle="1" w:styleId="3465">
    <w:name w:val="样式 样式1 + 首行缩进:  2 字符"/>
    <w:basedOn w:val="1"/>
    <w:qFormat/>
    <w:uiPriority w:val="0"/>
    <w:pPr>
      <w:tabs>
        <w:tab w:val="clear" w:pos="480"/>
      </w:tabs>
      <w:spacing w:line="440" w:lineRule="atLeast"/>
      <w:ind w:firstLine="480"/>
    </w:pPr>
    <w:rPr>
      <w:szCs w:val="20"/>
    </w:rPr>
  </w:style>
  <w:style w:type="paragraph" w:customStyle="1" w:styleId="3466">
    <w:name w:val="样式 单位 + 首行缩进:  2 字符 右侧:  0.63 厘米"/>
    <w:basedOn w:val="3467"/>
    <w:qFormat/>
    <w:uiPriority w:val="0"/>
    <w:pPr>
      <w:tabs>
        <w:tab w:val="left" w:pos="4144"/>
      </w:tabs>
      <w:ind w:right="360" w:firstLine="480"/>
    </w:pPr>
    <w:rPr>
      <w:rFonts w:cs="宋体"/>
      <w:sz w:val="21"/>
      <w:szCs w:val="21"/>
    </w:rPr>
  </w:style>
  <w:style w:type="paragraph" w:customStyle="1" w:styleId="3467">
    <w:name w:val="单位"/>
    <w:basedOn w:val="1"/>
    <w:qFormat/>
    <w:uiPriority w:val="0"/>
    <w:pPr>
      <w:tabs>
        <w:tab w:val="left" w:pos="4144"/>
        <w:tab w:val="clear" w:pos="480"/>
      </w:tabs>
      <w:adjustRightInd w:val="0"/>
      <w:snapToGrid w:val="0"/>
      <w:spacing w:beforeLines="50" w:afterLines="50" w:line="0" w:lineRule="atLeast"/>
      <w:ind w:firstLine="595"/>
      <w:jc w:val="right"/>
    </w:pPr>
    <w:rPr>
      <w:rFonts w:eastAsia="黑体"/>
      <w:color w:val="000000"/>
      <w:kern w:val="0"/>
      <w:szCs w:val="20"/>
    </w:rPr>
  </w:style>
  <w:style w:type="paragraph" w:customStyle="1" w:styleId="3468">
    <w:name w:val="样式 宋体 加宽量  1 磅 首行缩进:  6 字符"/>
    <w:basedOn w:val="1"/>
    <w:qFormat/>
    <w:uiPriority w:val="0"/>
    <w:pPr>
      <w:tabs>
        <w:tab w:val="clear" w:pos="480"/>
      </w:tabs>
      <w:ind w:firstLine="1680" w:firstLineChars="600"/>
    </w:pPr>
    <w:rPr>
      <w:rFonts w:ascii="宋体" w:hAnsi="宋体" w:cs="宋体"/>
      <w:kern w:val="0"/>
    </w:rPr>
  </w:style>
  <w:style w:type="paragraph" w:customStyle="1" w:styleId="3469">
    <w:name w:val="表格五号"/>
    <w:basedOn w:val="1"/>
    <w:qFormat/>
    <w:uiPriority w:val="0"/>
    <w:pPr>
      <w:tabs>
        <w:tab w:val="clear" w:pos="480"/>
      </w:tabs>
      <w:adjustRightInd w:val="0"/>
      <w:snapToGrid w:val="0"/>
    </w:pPr>
    <w:rPr>
      <w:rFonts w:ascii="宋体" w:hAnsi="宋体"/>
      <w:szCs w:val="21"/>
    </w:rPr>
  </w:style>
  <w:style w:type="paragraph" w:customStyle="1" w:styleId="3470">
    <w:name w:val="Char Char Char2 Char"/>
    <w:basedOn w:val="1"/>
    <w:qFormat/>
    <w:uiPriority w:val="0"/>
    <w:pPr>
      <w:tabs>
        <w:tab w:val="clear" w:pos="480"/>
      </w:tabs>
    </w:pPr>
  </w:style>
  <w:style w:type="paragraph" w:customStyle="1" w:styleId="3471">
    <w:name w:val="默认段落字体 Para Char Char Char1 Char"/>
    <w:basedOn w:val="1"/>
    <w:qFormat/>
    <w:uiPriority w:val="0"/>
    <w:pPr>
      <w:tabs>
        <w:tab w:val="clear" w:pos="480"/>
      </w:tabs>
    </w:pPr>
  </w:style>
  <w:style w:type="paragraph" w:customStyle="1" w:styleId="3472">
    <w:name w:val="标题 41"/>
    <w:basedOn w:val="1"/>
    <w:next w:val="1"/>
    <w:qFormat/>
    <w:uiPriority w:val="0"/>
    <w:pPr>
      <w:keepNext/>
      <w:keepLines/>
      <w:tabs>
        <w:tab w:val="left" w:pos="864"/>
        <w:tab w:val="clear" w:pos="480"/>
      </w:tabs>
      <w:adjustRightInd w:val="0"/>
      <w:snapToGrid w:val="0"/>
      <w:spacing w:before="50" w:after="50" w:line="312" w:lineRule="auto"/>
      <w:ind w:left="864" w:right="238" w:hanging="864"/>
      <w:jc w:val="left"/>
      <w:outlineLvl w:val="3"/>
    </w:pPr>
    <w:rPr>
      <w:rFonts w:hint="eastAsia" w:ascii="Arial" w:hAnsi="Arial"/>
      <w:szCs w:val="20"/>
    </w:rPr>
  </w:style>
  <w:style w:type="paragraph" w:customStyle="1" w:styleId="3473">
    <w:name w:val="样式7表名"/>
    <w:next w:val="3474"/>
    <w:qFormat/>
    <w:uiPriority w:val="0"/>
    <w:pPr>
      <w:spacing w:before="120" w:line="360" w:lineRule="auto"/>
      <w:jc w:val="center"/>
    </w:pPr>
    <w:rPr>
      <w:rFonts w:ascii="黑体" w:hAnsi="Times New Roman" w:eastAsia="黑体" w:cs="Times New Roman"/>
      <w:spacing w:val="60"/>
      <w:kern w:val="2"/>
      <w:sz w:val="24"/>
      <w:szCs w:val="24"/>
      <w:lang w:val="en-US" w:eastAsia="zh-CN" w:bidi="ar-SA"/>
    </w:rPr>
  </w:style>
  <w:style w:type="paragraph" w:customStyle="1" w:styleId="3474">
    <w:name w:val="样式8表号"/>
    <w:next w:val="3475"/>
    <w:qFormat/>
    <w:uiPriority w:val="0"/>
    <w:pPr>
      <w:spacing w:line="360" w:lineRule="auto"/>
      <w:ind w:firstLine="510"/>
      <w:jc w:val="both"/>
    </w:pPr>
    <w:rPr>
      <w:rFonts w:ascii="Times New Roman" w:hAnsi="Times New Roman" w:eastAsia="宋体" w:cs="Times New Roman"/>
      <w:kern w:val="2"/>
      <w:sz w:val="24"/>
      <w:szCs w:val="24"/>
      <w:lang w:val="en-US" w:eastAsia="zh-CN" w:bidi="ar-SA"/>
    </w:rPr>
  </w:style>
  <w:style w:type="paragraph" w:customStyle="1" w:styleId="3475">
    <w:name w:val="样式9表格"/>
    <w:next w:val="1"/>
    <w:qFormat/>
    <w:uiPriority w:val="0"/>
    <w:pPr>
      <w:spacing w:before="120" w:line="300" w:lineRule="auto"/>
      <w:jc w:val="center"/>
    </w:pPr>
    <w:rPr>
      <w:rFonts w:ascii="Times New Roman" w:hAnsi="Times New Roman" w:eastAsia="宋体" w:cs="Times New Roman"/>
      <w:kern w:val="2"/>
      <w:sz w:val="24"/>
      <w:szCs w:val="24"/>
      <w:lang w:val="en-US" w:eastAsia="zh-CN" w:bidi="ar-SA"/>
    </w:rPr>
  </w:style>
  <w:style w:type="paragraph" w:customStyle="1" w:styleId="3476">
    <w:name w:val="Char Char Char Char Char Char Char Char1 Char Char Char Char Char Char Char"/>
    <w:basedOn w:val="1"/>
    <w:qFormat/>
    <w:uiPriority w:val="0"/>
    <w:pPr>
      <w:tabs>
        <w:tab w:val="clear" w:pos="480"/>
      </w:tabs>
    </w:pPr>
  </w:style>
  <w:style w:type="paragraph" w:customStyle="1" w:styleId="3477">
    <w:name w:val="单元格"/>
    <w:basedOn w:val="1"/>
    <w:qFormat/>
    <w:uiPriority w:val="0"/>
    <w:pPr>
      <w:widowControl/>
      <w:tabs>
        <w:tab w:val="clear" w:pos="480"/>
      </w:tabs>
      <w:adjustRightInd w:val="0"/>
      <w:snapToGrid w:val="0"/>
      <w:spacing w:line="320" w:lineRule="exact"/>
      <w:jc w:val="center"/>
    </w:pPr>
    <w:rPr>
      <w:rFonts w:ascii="宋体" w:hAnsi="宋体"/>
      <w:kern w:val="0"/>
      <w:szCs w:val="20"/>
    </w:rPr>
  </w:style>
  <w:style w:type="paragraph" w:customStyle="1" w:styleId="3478">
    <w:name w:val="正文居中"/>
    <w:basedOn w:val="1"/>
    <w:qFormat/>
    <w:uiPriority w:val="0"/>
    <w:pPr>
      <w:tabs>
        <w:tab w:val="clear" w:pos="480"/>
      </w:tabs>
      <w:adjustRightInd w:val="0"/>
      <w:snapToGrid w:val="0"/>
      <w:spacing w:beforeLines="50" w:afterLines="50" w:line="300" w:lineRule="auto"/>
      <w:jc w:val="center"/>
    </w:pPr>
    <w:rPr>
      <w:rFonts w:cs="宋体"/>
      <w:sz w:val="28"/>
      <w:szCs w:val="20"/>
    </w:rPr>
  </w:style>
  <w:style w:type="paragraph" w:customStyle="1" w:styleId="3479">
    <w:name w:val="封面表格"/>
    <w:basedOn w:val="1"/>
    <w:qFormat/>
    <w:uiPriority w:val="0"/>
    <w:pPr>
      <w:tabs>
        <w:tab w:val="clear" w:pos="480"/>
      </w:tabs>
      <w:adjustRightInd w:val="0"/>
      <w:snapToGrid w:val="0"/>
      <w:spacing w:beforeLines="50" w:afterLines="50" w:line="300" w:lineRule="auto"/>
      <w:jc w:val="center"/>
    </w:pPr>
    <w:rPr>
      <w:b/>
      <w:bCs/>
      <w:sz w:val="32"/>
      <w:szCs w:val="28"/>
    </w:rPr>
  </w:style>
  <w:style w:type="paragraph" w:customStyle="1" w:styleId="3480">
    <w:name w:val="页眉头"/>
    <w:basedOn w:val="57"/>
    <w:qFormat/>
    <w:uiPriority w:val="0"/>
    <w:pPr>
      <w:pBdr>
        <w:bottom w:val="none" w:color="auto" w:sz="0" w:space="0"/>
      </w:pBdr>
      <w:tabs>
        <w:tab w:val="clear" w:pos="480"/>
      </w:tabs>
      <w:adjustRightInd w:val="0"/>
      <w:spacing w:beforeLines="50" w:afterLines="50"/>
      <w:ind w:left="238" w:right="238" w:firstLine="454"/>
    </w:pPr>
    <w:rPr>
      <w:color w:val="000000"/>
      <w:kern w:val="0"/>
    </w:rPr>
  </w:style>
  <w:style w:type="paragraph" w:customStyle="1" w:styleId="3481">
    <w:name w:val="样式 表头居中 + 小四"/>
    <w:basedOn w:val="1"/>
    <w:qFormat/>
    <w:uiPriority w:val="0"/>
    <w:pPr>
      <w:tabs>
        <w:tab w:val="left" w:pos="4144"/>
        <w:tab w:val="clear" w:pos="480"/>
      </w:tabs>
      <w:overflowPunct w:val="0"/>
      <w:ind w:left="-1" w:leftChars="-1" w:hanging="2" w:hangingChars="1"/>
      <w:jc w:val="center"/>
    </w:pPr>
    <w:rPr>
      <w:rFonts w:hAnsi="宋体"/>
      <w:color w:val="000000"/>
      <w:kern w:val="0"/>
      <w:szCs w:val="21"/>
    </w:rPr>
  </w:style>
  <w:style w:type="paragraph" w:customStyle="1" w:styleId="3482">
    <w:name w:val="CM5"/>
    <w:basedOn w:val="150"/>
    <w:next w:val="150"/>
    <w:qFormat/>
    <w:uiPriority w:val="0"/>
    <w:pPr>
      <w:jc w:val="left"/>
    </w:pPr>
    <w:rPr>
      <w:rFonts w:ascii="宋体" w:eastAsia="宋体" w:cs="Times New Roman"/>
      <w:color w:val="auto"/>
    </w:rPr>
  </w:style>
  <w:style w:type="paragraph" w:customStyle="1" w:styleId="3483">
    <w:name w:val="样式 样式 样式 标题 4款标题1.1.1.1 + 段前: 0.25 行 段后: 0.25 行 + 段前: 0.25 行 段后:...3"/>
    <w:basedOn w:val="1"/>
    <w:qFormat/>
    <w:uiPriority w:val="0"/>
    <w:pPr>
      <w:tabs>
        <w:tab w:val="left" w:pos="283"/>
        <w:tab w:val="left" w:pos="5404"/>
        <w:tab w:val="clear" w:pos="480"/>
      </w:tabs>
      <w:snapToGrid w:val="0"/>
      <w:spacing w:beforeLines="25" w:afterLines="25" w:line="520" w:lineRule="atLeast"/>
      <w:ind w:left="5404" w:hanging="708"/>
      <w:outlineLvl w:val="3"/>
    </w:pPr>
    <w:rPr>
      <w:rFonts w:cs="宋体"/>
      <w:b/>
      <w:bCs/>
      <w:sz w:val="28"/>
      <w:szCs w:val="20"/>
    </w:rPr>
  </w:style>
  <w:style w:type="paragraph" w:customStyle="1" w:styleId="3484">
    <w:name w:val="默认段落字体 Para Char Char Char1 Char Char Char1 Char"/>
    <w:basedOn w:val="1"/>
    <w:qFormat/>
    <w:uiPriority w:val="0"/>
    <w:pPr>
      <w:tabs>
        <w:tab w:val="clear" w:pos="480"/>
      </w:tabs>
    </w:pPr>
  </w:style>
  <w:style w:type="paragraph" w:customStyle="1" w:styleId="3485">
    <w:name w:val="e"/>
    <w:basedOn w:val="1"/>
    <w:qFormat/>
    <w:uiPriority w:val="0"/>
    <w:pPr>
      <w:tabs>
        <w:tab w:val="clear" w:pos="480"/>
      </w:tabs>
      <w:jc w:val="center"/>
    </w:pPr>
    <w:rPr>
      <w:szCs w:val="20"/>
    </w:rPr>
  </w:style>
  <w:style w:type="paragraph" w:customStyle="1" w:styleId="3486">
    <w:name w:val="样式2－表格"/>
    <w:basedOn w:val="1"/>
    <w:next w:val="1"/>
    <w:qFormat/>
    <w:uiPriority w:val="0"/>
    <w:pPr>
      <w:tabs>
        <w:tab w:val="left" w:pos="427"/>
        <w:tab w:val="clear" w:pos="480"/>
      </w:tabs>
      <w:spacing w:line="360" w:lineRule="exact"/>
      <w:jc w:val="center"/>
    </w:pPr>
    <w:rPr>
      <w:kern w:val="28"/>
    </w:rPr>
  </w:style>
  <w:style w:type="paragraph" w:customStyle="1" w:styleId="3487">
    <w:name w:val="aaaaaaaaaa"/>
    <w:basedOn w:val="3488"/>
    <w:qFormat/>
    <w:uiPriority w:val="0"/>
    <w:pPr>
      <w:jc w:val="center"/>
    </w:pPr>
    <w:rPr>
      <w:rFonts w:cs="Times New Roman"/>
      <w:bCs w:val="0"/>
      <w:kern w:val="2"/>
      <w:sz w:val="36"/>
      <w:szCs w:val="36"/>
    </w:rPr>
  </w:style>
  <w:style w:type="paragraph" w:customStyle="1" w:styleId="3488">
    <w:name w:val="花1"/>
    <w:basedOn w:val="3489"/>
    <w:qFormat/>
    <w:uiPriority w:val="0"/>
    <w:pPr>
      <w:spacing w:beforeLines="0" w:afterLines="0"/>
    </w:pPr>
    <w:rPr>
      <w:rFonts w:cs="宋体"/>
      <w:bCs/>
      <w:szCs w:val="20"/>
    </w:rPr>
  </w:style>
  <w:style w:type="paragraph" w:customStyle="1" w:styleId="3489">
    <w:name w:val="LNG－标题1"/>
    <w:basedOn w:val="1"/>
    <w:qFormat/>
    <w:uiPriority w:val="0"/>
    <w:pPr>
      <w:tabs>
        <w:tab w:val="clear" w:pos="480"/>
      </w:tabs>
      <w:spacing w:beforeLines="50" w:afterLines="50"/>
      <w:textAlignment w:val="center"/>
    </w:pPr>
    <w:rPr>
      <w:b/>
      <w:kern w:val="0"/>
      <w:sz w:val="32"/>
      <w:szCs w:val="32"/>
    </w:rPr>
  </w:style>
  <w:style w:type="paragraph" w:customStyle="1" w:styleId="3490">
    <w:name w:val="样式 表头 + (中文) 黑体"/>
    <w:basedOn w:val="163"/>
    <w:qFormat/>
    <w:uiPriority w:val="0"/>
    <w:pPr>
      <w:widowControl w:val="0"/>
      <w:adjustRightInd w:val="0"/>
      <w:snapToGrid w:val="0"/>
    </w:pPr>
    <w:rPr>
      <w:rFonts w:eastAsia="黑体"/>
      <w:snapToGrid/>
      <w:color w:val="auto"/>
      <w:spacing w:val="6"/>
      <w:position w:val="10"/>
      <w:sz w:val="24"/>
      <w:szCs w:val="24"/>
    </w:rPr>
  </w:style>
  <w:style w:type="paragraph" w:customStyle="1" w:styleId="3491">
    <w:name w:val="Char Char Char Char Char Char Char Char Char Char Char Char Char Char Char Char Char Char1 Char Char Char Char"/>
    <w:basedOn w:val="1"/>
    <w:qFormat/>
    <w:uiPriority w:val="0"/>
    <w:pPr>
      <w:tabs>
        <w:tab w:val="clear" w:pos="480"/>
      </w:tabs>
    </w:pPr>
  </w:style>
  <w:style w:type="paragraph" w:customStyle="1" w:styleId="3492">
    <w:name w:val="样式 标题 2 + 左侧:  0 厘米 首行缩进:  0 厘米"/>
    <w:basedOn w:val="1"/>
    <w:qFormat/>
    <w:uiPriority w:val="0"/>
    <w:pPr>
      <w:tabs>
        <w:tab w:val="clear" w:pos="480"/>
      </w:tabs>
    </w:pPr>
  </w:style>
  <w:style w:type="paragraph" w:customStyle="1" w:styleId="3493">
    <w:name w:val="规划正文"/>
    <w:basedOn w:val="1"/>
    <w:qFormat/>
    <w:uiPriority w:val="0"/>
    <w:pPr>
      <w:widowControl/>
      <w:tabs>
        <w:tab w:val="clear" w:pos="480"/>
      </w:tabs>
      <w:jc w:val="left"/>
    </w:pPr>
    <w:rPr>
      <w:kern w:val="0"/>
      <w:sz w:val="28"/>
      <w:szCs w:val="28"/>
    </w:rPr>
  </w:style>
  <w:style w:type="paragraph" w:customStyle="1" w:styleId="3494">
    <w:name w:val="观音岩正文段落"/>
    <w:basedOn w:val="1248"/>
    <w:qFormat/>
    <w:uiPriority w:val="0"/>
    <w:pPr>
      <w:widowControl w:val="0"/>
      <w:adjustRightInd w:val="0"/>
      <w:snapToGrid w:val="0"/>
      <w:spacing w:beforeLines="50" w:afterLines="50" w:line="360" w:lineRule="auto"/>
      <w:ind w:firstLine="200"/>
      <w:jc w:val="both"/>
    </w:pPr>
    <w:rPr>
      <w:rFonts w:hAnsi="Calibri"/>
      <w:kern w:val="2"/>
      <w:szCs w:val="20"/>
    </w:rPr>
  </w:style>
  <w:style w:type="paragraph" w:customStyle="1" w:styleId="3495">
    <w:name w:val="正文3号"/>
    <w:basedOn w:val="1"/>
    <w:qFormat/>
    <w:uiPriority w:val="0"/>
    <w:pPr>
      <w:tabs>
        <w:tab w:val="clear" w:pos="480"/>
      </w:tabs>
      <w:adjustRightInd w:val="0"/>
      <w:snapToGrid w:val="0"/>
      <w:spacing w:beforeLines="50" w:afterLines="50"/>
      <w:jc w:val="center"/>
    </w:pPr>
    <w:rPr>
      <w:bCs/>
      <w:sz w:val="32"/>
      <w:szCs w:val="28"/>
    </w:rPr>
  </w:style>
  <w:style w:type="paragraph" w:customStyle="1" w:styleId="3496">
    <w:name w:val="封面大标题"/>
    <w:basedOn w:val="1"/>
    <w:qFormat/>
    <w:uiPriority w:val="0"/>
    <w:pPr>
      <w:tabs>
        <w:tab w:val="clear" w:pos="480"/>
      </w:tabs>
      <w:adjustRightInd w:val="0"/>
      <w:snapToGrid w:val="0"/>
      <w:spacing w:beforeLines="50" w:afterLines="50" w:line="300" w:lineRule="auto"/>
      <w:jc w:val="center"/>
    </w:pPr>
    <w:rPr>
      <w:b/>
      <w:bCs/>
      <w:sz w:val="44"/>
      <w:szCs w:val="28"/>
    </w:rPr>
  </w:style>
  <w:style w:type="paragraph" w:customStyle="1" w:styleId="3497">
    <w:name w:val="封面6"/>
    <w:basedOn w:val="186"/>
    <w:next w:val="1"/>
    <w:qFormat/>
    <w:uiPriority w:val="0"/>
    <w:pPr>
      <w:tabs>
        <w:tab w:val="left" w:pos="4144"/>
        <w:tab w:val="clear" w:pos="432"/>
      </w:tabs>
      <w:adjustRightInd w:val="0"/>
      <w:snapToGrid w:val="0"/>
      <w:spacing w:beforeLines="50" w:afterLines="50" w:line="360" w:lineRule="auto"/>
      <w:ind w:firstLine="480" w:firstLineChars="200"/>
    </w:pPr>
    <w:rPr>
      <w:rFonts w:ascii="华文新魏" w:hAnsi="Times New Roman" w:eastAsia="华文新魏"/>
      <w:kern w:val="0"/>
      <w:sz w:val="32"/>
      <w:lang w:val="en-US"/>
      <w14:shadow w14:blurRad="0" w14:dist="0" w14:dir="0" w14:sx="0" w14:sy="0" w14:kx="0" w14:ky="0" w14:algn="none">
        <w14:srgbClr w14:val="000000"/>
      </w14:shadow>
    </w:rPr>
  </w:style>
  <w:style w:type="paragraph" w:customStyle="1" w:styleId="3498">
    <w:name w:val="样式 报告插图 + 首行缩进:  0 字符"/>
    <w:basedOn w:val="3499"/>
    <w:qFormat/>
    <w:uiPriority w:val="0"/>
    <w:pPr>
      <w:tabs>
        <w:tab w:val="left" w:pos="4144"/>
      </w:tabs>
      <w:ind w:firstLine="0"/>
    </w:pPr>
    <w:rPr>
      <w:rFonts w:cs="宋体"/>
      <w:bCs/>
      <w:szCs w:val="20"/>
    </w:rPr>
  </w:style>
  <w:style w:type="paragraph" w:customStyle="1" w:styleId="3499">
    <w:name w:val="报告插图"/>
    <w:basedOn w:val="208"/>
    <w:next w:val="208"/>
    <w:qFormat/>
    <w:uiPriority w:val="0"/>
    <w:pPr>
      <w:tabs>
        <w:tab w:val="left" w:pos="4144"/>
      </w:tabs>
      <w:spacing w:before="120" w:after="120"/>
      <w:ind w:firstLine="617"/>
      <w:jc w:val="center"/>
    </w:pPr>
    <w:rPr>
      <w:rFonts w:ascii="Times New Roman"/>
      <w:b/>
      <w:kern w:val="0"/>
      <w:szCs w:val="24"/>
    </w:rPr>
  </w:style>
  <w:style w:type="paragraph" w:customStyle="1" w:styleId="3500">
    <w:name w:val="样式 观音岩正文段落 + 段前: 0.5 行 段后: 0.5 行"/>
    <w:basedOn w:val="1"/>
    <w:qFormat/>
    <w:uiPriority w:val="0"/>
    <w:pPr>
      <w:tabs>
        <w:tab w:val="clear" w:pos="480"/>
      </w:tabs>
      <w:adjustRightInd w:val="0"/>
      <w:snapToGrid w:val="0"/>
      <w:ind w:firstLine="482"/>
    </w:pPr>
    <w:rPr>
      <w:rFonts w:ascii="Arial" w:hAnsi="Arial" w:cs="宋体"/>
      <w:szCs w:val="20"/>
    </w:rPr>
  </w:style>
  <w:style w:type="paragraph" w:customStyle="1" w:styleId="3501">
    <w:name w:val="默认段落字体 Para Char Char Char Char Char Char Char Char Char Char Char Char Char Char Char Char1 Char Char Char"/>
    <w:basedOn w:val="1"/>
    <w:qFormat/>
    <w:uiPriority w:val="0"/>
    <w:pPr>
      <w:tabs>
        <w:tab w:val="clear" w:pos="480"/>
      </w:tabs>
    </w:pPr>
  </w:style>
  <w:style w:type="paragraph" w:customStyle="1" w:styleId="3502">
    <w:name w:val="Char Char Char Char Char2 Char Char Char1 Char Char Char Char Char Char Char Char Char Char Char Char Char"/>
    <w:basedOn w:val="1"/>
    <w:qFormat/>
    <w:uiPriority w:val="0"/>
    <w:pPr>
      <w:tabs>
        <w:tab w:val="clear" w:pos="480"/>
      </w:tabs>
    </w:pPr>
  </w:style>
  <w:style w:type="paragraph" w:customStyle="1" w:styleId="3503">
    <w:name w:val="LNG-标题3"/>
    <w:basedOn w:val="1"/>
    <w:qFormat/>
    <w:uiPriority w:val="0"/>
    <w:pPr>
      <w:tabs>
        <w:tab w:val="left" w:pos="0"/>
        <w:tab w:val="clear" w:pos="480"/>
      </w:tabs>
      <w:outlineLvl w:val="2"/>
    </w:pPr>
    <w:rPr>
      <w:b/>
    </w:rPr>
  </w:style>
  <w:style w:type="paragraph" w:customStyle="1" w:styleId="3504">
    <w:name w:val="正文缩进3"/>
    <w:basedOn w:val="1"/>
    <w:qFormat/>
    <w:uiPriority w:val="0"/>
    <w:pPr>
      <w:tabs>
        <w:tab w:val="clear" w:pos="480"/>
      </w:tabs>
      <w:ind w:firstLine="420"/>
    </w:pPr>
  </w:style>
  <w:style w:type="paragraph" w:customStyle="1" w:styleId="3505">
    <w:name w:val="LNG－标题2"/>
    <w:basedOn w:val="1"/>
    <w:qFormat/>
    <w:uiPriority w:val="0"/>
    <w:pPr>
      <w:tabs>
        <w:tab w:val="clear" w:pos="480"/>
      </w:tabs>
    </w:pPr>
    <w:rPr>
      <w:b/>
      <w:kern w:val="0"/>
      <w:sz w:val="28"/>
      <w:szCs w:val="28"/>
    </w:rPr>
  </w:style>
  <w:style w:type="paragraph" w:customStyle="1" w:styleId="3506">
    <w:name w:val="Char Char1 Char Char Char Char Char Char Char Char Char Char Char Char Char Char Char Char"/>
    <w:basedOn w:val="1"/>
    <w:qFormat/>
    <w:uiPriority w:val="0"/>
    <w:pPr>
      <w:tabs>
        <w:tab w:val="clear" w:pos="480"/>
      </w:tabs>
    </w:pPr>
  </w:style>
  <w:style w:type="paragraph" w:customStyle="1" w:styleId="3507">
    <w:name w:val="Char Char Char Char Char Char Char Char Char Char Char Char Char Char Char1 Char Char Char Char Char Char Char Char Char Char Char Char Char Char Char Char Char Char Char Char Char Char Char"/>
    <w:basedOn w:val="1"/>
    <w:qFormat/>
    <w:uiPriority w:val="0"/>
    <w:pPr>
      <w:tabs>
        <w:tab w:val="clear" w:pos="480"/>
      </w:tabs>
    </w:pPr>
  </w:style>
  <w:style w:type="paragraph" w:customStyle="1" w:styleId="3508">
    <w:name w:val="送审样式"/>
    <w:basedOn w:val="3509"/>
    <w:next w:val="1"/>
    <w:qFormat/>
    <w:uiPriority w:val="0"/>
    <w:pPr/>
  </w:style>
  <w:style w:type="paragraph" w:customStyle="1" w:styleId="3509">
    <w:name w:val="报告题目1"/>
    <w:basedOn w:val="1"/>
    <w:next w:val="1"/>
    <w:qFormat/>
    <w:uiPriority w:val="0"/>
    <w:pPr>
      <w:tabs>
        <w:tab w:val="clear" w:pos="480"/>
      </w:tabs>
      <w:spacing w:before="1200" w:line="240" w:lineRule="atLeast"/>
      <w:ind w:firstLine="480"/>
      <w:jc w:val="center"/>
    </w:pPr>
    <w:rPr>
      <w:rFonts w:eastAsia="黑体"/>
      <w:bCs/>
      <w:caps/>
      <w:snapToGrid w:val="0"/>
      <w:kern w:val="10"/>
      <w:sz w:val="50"/>
      <w:szCs w:val="20"/>
    </w:rPr>
  </w:style>
  <w:style w:type="paragraph" w:customStyle="1" w:styleId="3510">
    <w:name w:val="样式 段前: 2.4 磅 段后: 2.4 磅"/>
    <w:basedOn w:val="1"/>
    <w:qFormat/>
    <w:uiPriority w:val="0"/>
    <w:pPr>
      <w:tabs>
        <w:tab w:val="clear" w:pos="480"/>
      </w:tabs>
      <w:adjustRightInd w:val="0"/>
      <w:snapToGrid w:val="0"/>
      <w:spacing w:before="168" w:afterLines="20"/>
      <w:ind w:firstLine="510"/>
    </w:pPr>
    <w:rPr>
      <w:spacing w:val="6"/>
      <w:kern w:val="0"/>
      <w:szCs w:val="20"/>
    </w:rPr>
  </w:style>
  <w:style w:type="paragraph" w:customStyle="1" w:styleId="3511">
    <w:name w:val="表文居中"/>
    <w:basedOn w:val="571"/>
    <w:qFormat/>
    <w:uiPriority w:val="0"/>
    <w:pPr>
      <w:tabs>
        <w:tab w:val="left" w:pos="840"/>
        <w:tab w:val="clear" w:pos="1021"/>
      </w:tabs>
      <w:snapToGrid/>
      <w:spacing w:line="240" w:lineRule="atLeast"/>
      <w:textAlignment w:val="baseline"/>
    </w:pPr>
    <w:rPr>
      <w:spacing w:val="0"/>
    </w:rPr>
  </w:style>
  <w:style w:type="paragraph" w:customStyle="1" w:styleId="3512">
    <w:name w:val="Char1 Char Char Char Char Char Char Char Char Char1 Char Char Char"/>
    <w:basedOn w:val="1"/>
    <w:qFormat/>
    <w:uiPriority w:val="0"/>
    <w:pPr>
      <w:tabs>
        <w:tab w:val="clear" w:pos="480"/>
      </w:tabs>
    </w:pPr>
  </w:style>
  <w:style w:type="paragraph" w:customStyle="1" w:styleId="3513">
    <w:name w:val="Char Char Char Char Char Char Char Char Char Char Char Char Char Char Char1 Char Char Char Char Char Char Char"/>
    <w:basedOn w:val="1"/>
    <w:qFormat/>
    <w:uiPriority w:val="0"/>
    <w:pPr>
      <w:tabs>
        <w:tab w:val="clear" w:pos="480"/>
      </w:tabs>
    </w:pPr>
  </w:style>
  <w:style w:type="paragraph" w:customStyle="1" w:styleId="3514">
    <w:name w:val="表格左齐"/>
    <w:basedOn w:val="1"/>
    <w:qFormat/>
    <w:uiPriority w:val="0"/>
    <w:pPr>
      <w:tabs>
        <w:tab w:val="left" w:pos="4144"/>
        <w:tab w:val="clear" w:pos="480"/>
      </w:tabs>
      <w:overflowPunct w:val="0"/>
      <w:spacing w:beforeLines="50" w:afterLines="50" w:line="240" w:lineRule="exact"/>
      <w:ind w:firstLine="480"/>
      <w:jc w:val="center"/>
    </w:pPr>
    <w:rPr>
      <w:kern w:val="0"/>
      <w:szCs w:val="21"/>
    </w:rPr>
  </w:style>
  <w:style w:type="paragraph" w:customStyle="1" w:styleId="3515">
    <w:name w:val="样式 标题 4款标题1.1.1.1 + 段前: 0.25 行 段后: 0.25 行"/>
    <w:basedOn w:val="6"/>
    <w:qFormat/>
    <w:uiPriority w:val="0"/>
    <w:pPr>
      <w:keepNext w:val="0"/>
      <w:keepLines w:val="0"/>
      <w:numPr>
        <w:ilvl w:val="0"/>
        <w:numId w:val="0"/>
      </w:numPr>
      <w:tabs>
        <w:tab w:val="left" w:pos="283"/>
        <w:tab w:val="clear" w:pos="480"/>
      </w:tabs>
      <w:spacing w:before="0" w:beforeLines="25" w:after="0" w:afterLines="25" w:line="520" w:lineRule="atLeast"/>
      <w:ind w:firstLine="200" w:firstLineChars="200"/>
    </w:pPr>
    <w:rPr>
      <w:rFonts w:ascii="Times New Roman" w:hAnsi="Times New Roman" w:cs="宋体"/>
      <w:b w:val="0"/>
      <w:sz w:val="24"/>
      <w:szCs w:val="20"/>
      <w:lang w:val="en-US"/>
    </w:rPr>
  </w:style>
  <w:style w:type="paragraph" w:customStyle="1" w:styleId="3516">
    <w:name w:val="Char Char Char Char Char Char1 Char1 Char Char Char Char Char Char"/>
    <w:basedOn w:val="1"/>
    <w:qFormat/>
    <w:uiPriority w:val="0"/>
    <w:pPr>
      <w:tabs>
        <w:tab w:val="clear" w:pos="480"/>
      </w:tabs>
    </w:pPr>
  </w:style>
  <w:style w:type="paragraph" w:customStyle="1" w:styleId="3517">
    <w:name w:val="样式 样式 宋体 小五 + 左侧:  1.5 字符"/>
    <w:basedOn w:val="1"/>
    <w:qFormat/>
    <w:uiPriority w:val="0"/>
    <w:pPr>
      <w:tabs>
        <w:tab w:val="clear" w:pos="480"/>
      </w:tabs>
      <w:ind w:firstLine="150" w:firstLineChars="150"/>
    </w:pPr>
    <w:rPr>
      <w:rFonts w:ascii="宋体" w:hAnsi="宋体" w:cs="宋体"/>
      <w:sz w:val="18"/>
      <w:szCs w:val="20"/>
    </w:rPr>
  </w:style>
  <w:style w:type="paragraph" w:customStyle="1" w:styleId="3518">
    <w:name w:val="Char Char1 Char Char Char Char Char Char Char Char Char Char Char Char Char Char Char Char Char Char Char Char Char Char Char Char Char Char Char Char"/>
    <w:basedOn w:val="1"/>
    <w:qFormat/>
    <w:uiPriority w:val="0"/>
    <w:pPr>
      <w:tabs>
        <w:tab w:val="clear" w:pos="480"/>
      </w:tabs>
    </w:pPr>
  </w:style>
  <w:style w:type="paragraph" w:customStyle="1" w:styleId="3519">
    <w:name w:val="Char Char Char Char Char Char Char Char Char Char Char Char Char Char Char1 Char Char Char Char Char Char Char Char Char Char Char Char Char Char Char Char Char Char Char Char"/>
    <w:basedOn w:val="1"/>
    <w:qFormat/>
    <w:uiPriority w:val="0"/>
    <w:pPr>
      <w:tabs>
        <w:tab w:val="clear" w:pos="480"/>
      </w:tabs>
    </w:pPr>
  </w:style>
  <w:style w:type="paragraph" w:customStyle="1" w:styleId="3520">
    <w:name w:val="Char Char Char Char1 Char"/>
    <w:basedOn w:val="1"/>
    <w:qFormat/>
    <w:uiPriority w:val="0"/>
    <w:pPr>
      <w:tabs>
        <w:tab w:val="clear" w:pos="480"/>
      </w:tabs>
    </w:pPr>
  </w:style>
  <w:style w:type="character" w:customStyle="1" w:styleId="3521">
    <w:name w:val="z-窗体底端 Char1"/>
    <w:semiHidden/>
    <w:qFormat/>
    <w:uiPriority w:val="99"/>
    <w:rPr>
      <w:rFonts w:ascii="Arial" w:hAnsi="Arial" w:cs="Arial"/>
      <w:vanish/>
      <w:sz w:val="16"/>
      <w:szCs w:val="16"/>
    </w:rPr>
  </w:style>
  <w:style w:type="paragraph" w:customStyle="1" w:styleId="3522">
    <w:name w:val="环评样式"/>
    <w:basedOn w:val="1"/>
    <w:qFormat/>
    <w:uiPriority w:val="0"/>
    <w:pPr>
      <w:tabs>
        <w:tab w:val="clear" w:pos="480"/>
      </w:tabs>
      <w:adjustRightInd w:val="0"/>
      <w:snapToGrid w:val="0"/>
      <w:outlineLvl w:val="0"/>
    </w:pPr>
    <w:rPr>
      <w:rFonts w:ascii="仿宋_GB2312" w:hAnsi="Alaska" w:eastAsia="仿宋_GB2312"/>
      <w:kern w:val="0"/>
      <w:sz w:val="30"/>
      <w:szCs w:val="20"/>
    </w:rPr>
  </w:style>
  <w:style w:type="paragraph" w:customStyle="1" w:styleId="3523">
    <w:name w:val="Char Char11 Char Char"/>
    <w:basedOn w:val="1"/>
    <w:qFormat/>
    <w:uiPriority w:val="0"/>
    <w:pPr>
      <w:tabs>
        <w:tab w:val="clear" w:pos="480"/>
      </w:tabs>
    </w:pPr>
  </w:style>
  <w:style w:type="paragraph" w:customStyle="1" w:styleId="3524">
    <w:name w:val="目录名"/>
    <w:basedOn w:val="1"/>
    <w:next w:val="59"/>
    <w:qFormat/>
    <w:uiPriority w:val="0"/>
    <w:pPr>
      <w:tabs>
        <w:tab w:val="clear" w:pos="480"/>
      </w:tabs>
      <w:topLinePunct/>
      <w:ind w:firstLine="480"/>
      <w:jc w:val="center"/>
    </w:pPr>
    <w:rPr>
      <w:rFonts w:eastAsia="黑体"/>
      <w:caps/>
      <w:snapToGrid w:val="0"/>
      <w:kern w:val="10"/>
      <w:sz w:val="32"/>
      <w:szCs w:val="20"/>
    </w:rPr>
  </w:style>
  <w:style w:type="paragraph" w:customStyle="1" w:styleId="3525">
    <w:name w:val="小表文"/>
    <w:basedOn w:val="1"/>
    <w:qFormat/>
    <w:uiPriority w:val="0"/>
    <w:pPr>
      <w:tabs>
        <w:tab w:val="clear" w:pos="480"/>
      </w:tabs>
      <w:autoSpaceDE w:val="0"/>
      <w:autoSpaceDN w:val="0"/>
      <w:adjustRightInd w:val="0"/>
      <w:textAlignment w:val="baseline"/>
    </w:pPr>
    <w:rPr>
      <w:kern w:val="0"/>
      <w:szCs w:val="21"/>
    </w:rPr>
  </w:style>
  <w:style w:type="paragraph" w:customStyle="1" w:styleId="3526">
    <w:name w:val="Char Char Char Char Char Char Char Char Char1 Char Char Char Char Char Char Char Char Char Char"/>
    <w:basedOn w:val="1"/>
    <w:qFormat/>
    <w:uiPriority w:val="0"/>
    <w:pPr>
      <w:tabs>
        <w:tab w:val="clear" w:pos="480"/>
      </w:tabs>
    </w:pPr>
    <w:rPr>
      <w:sz w:val="28"/>
      <w:szCs w:val="28"/>
    </w:rPr>
  </w:style>
  <w:style w:type="paragraph" w:customStyle="1" w:styleId="3527">
    <w:name w:val="BT2"/>
    <w:basedOn w:val="4"/>
    <w:next w:val="1"/>
    <w:qFormat/>
    <w:uiPriority w:val="0"/>
    <w:pPr>
      <w:numPr>
        <w:ilvl w:val="0"/>
        <w:numId w:val="0"/>
      </w:numPr>
      <w:tabs>
        <w:tab w:val="clear" w:pos="480"/>
        <w:tab w:val="clear" w:pos="630"/>
      </w:tabs>
      <w:spacing w:before="120" w:line="240" w:lineRule="auto"/>
      <w:ind w:firstLine="200" w:firstLineChars="200"/>
      <w:jc w:val="center"/>
    </w:pPr>
    <w:rPr>
      <w:rFonts w:ascii="黑体"/>
      <w:bCs w:val="0"/>
      <w:sz w:val="28"/>
      <w:lang w:val="en-US"/>
    </w:rPr>
  </w:style>
  <w:style w:type="paragraph" w:customStyle="1" w:styleId="3528">
    <w:name w:val="第三级"/>
    <w:basedOn w:val="1"/>
    <w:next w:val="1"/>
    <w:qFormat/>
    <w:uiPriority w:val="0"/>
    <w:pPr>
      <w:widowControl/>
      <w:tabs>
        <w:tab w:val="clear" w:pos="480"/>
      </w:tabs>
      <w:spacing w:beforeLines="500" w:after="100"/>
      <w:jc w:val="left"/>
    </w:pPr>
    <w:rPr>
      <w:rFonts w:ascii="Verdana" w:hAnsi="Verdana" w:eastAsia="黑体"/>
      <w:kern w:val="0"/>
      <w:szCs w:val="20"/>
      <w:lang w:eastAsia="en-US"/>
    </w:rPr>
  </w:style>
  <w:style w:type="paragraph" w:customStyle="1" w:styleId="3529">
    <w:name w:val="样式 标题 2 + 红色"/>
    <w:basedOn w:val="4"/>
    <w:qFormat/>
    <w:uiPriority w:val="0"/>
    <w:pPr>
      <w:keepNext w:val="0"/>
      <w:numPr>
        <w:ilvl w:val="0"/>
        <w:numId w:val="0"/>
      </w:numPr>
      <w:tabs>
        <w:tab w:val="left" w:pos="4144"/>
        <w:tab w:val="clear" w:pos="480"/>
        <w:tab w:val="clear" w:pos="630"/>
      </w:tabs>
      <w:adjustRightInd w:val="0"/>
      <w:spacing w:before="0" w:beforeLines="200" w:after="0" w:afterLines="50"/>
      <w:ind w:firstLine="480" w:firstLineChars="200"/>
      <w:contextualSpacing/>
      <w:jc w:val="center"/>
    </w:pPr>
    <w:rPr>
      <w:rFonts w:ascii="Arial" w:hAnsi="Arial" w:eastAsia="黑体"/>
      <w:b w:val="0"/>
      <w:color w:val="FF0000"/>
      <w:spacing w:val="20"/>
      <w:sz w:val="30"/>
      <w:szCs w:val="28"/>
      <w:lang w:val="en-US"/>
    </w:rPr>
  </w:style>
  <w:style w:type="paragraph" w:customStyle="1" w:styleId="3530">
    <w:name w:val="表头居中"/>
    <w:basedOn w:val="1"/>
    <w:qFormat/>
    <w:uiPriority w:val="0"/>
    <w:pPr>
      <w:tabs>
        <w:tab w:val="left" w:pos="4144"/>
        <w:tab w:val="clear" w:pos="480"/>
      </w:tabs>
      <w:overflowPunct w:val="0"/>
      <w:spacing w:beforeLines="50" w:afterLines="50" w:line="240" w:lineRule="exact"/>
      <w:ind w:left="-1" w:leftChars="-1" w:hanging="2" w:hangingChars="1"/>
      <w:jc w:val="center"/>
    </w:pPr>
    <w:rPr>
      <w:rFonts w:eastAsia="楷体_GB2312"/>
      <w:kern w:val="0"/>
      <w:sz w:val="18"/>
      <w:szCs w:val="18"/>
    </w:rPr>
  </w:style>
  <w:style w:type="paragraph" w:customStyle="1" w:styleId="3531">
    <w:name w:val="样式 目录 4 +"/>
    <w:basedOn w:val="1"/>
    <w:qFormat/>
    <w:uiPriority w:val="0"/>
    <w:pPr>
      <w:tabs>
        <w:tab w:val="left" w:pos="2415"/>
        <w:tab w:val="left" w:pos="4144"/>
        <w:tab w:val="right" w:leader="dot" w:pos="9060"/>
        <w:tab w:val="clear" w:pos="480"/>
      </w:tabs>
      <w:spacing w:beforeLines="50" w:afterLines="50"/>
      <w:ind w:left="300" w:leftChars="300" w:firstLine="480"/>
      <w:jc w:val="center"/>
    </w:pPr>
    <w:rPr>
      <w:kern w:val="0"/>
      <w:sz w:val="28"/>
      <w:szCs w:val="20"/>
    </w:rPr>
  </w:style>
  <w:style w:type="paragraph" w:customStyle="1" w:styleId="3532">
    <w:name w:val="正文段落 Char Char"/>
    <w:basedOn w:val="1"/>
    <w:qFormat/>
    <w:uiPriority w:val="0"/>
    <w:pPr>
      <w:tabs>
        <w:tab w:val="clear" w:pos="480"/>
      </w:tabs>
      <w:adjustRightInd w:val="0"/>
      <w:snapToGrid w:val="0"/>
      <w:spacing w:before="156" w:after="156" w:line="336" w:lineRule="auto"/>
      <w:ind w:firstLine="420"/>
      <w:jc w:val="center"/>
    </w:pPr>
    <w:rPr>
      <w:rFonts w:ascii="宋体" w:hAnsi="宋体"/>
      <w:bCs/>
      <w:szCs w:val="21"/>
    </w:rPr>
  </w:style>
  <w:style w:type="paragraph" w:customStyle="1" w:styleId="3533">
    <w:name w:val="Char1 Char Char Char Char Char Char Char Char Char Char Char Char Char Char Char Char Char Char Char Char Char"/>
    <w:basedOn w:val="1"/>
    <w:qFormat/>
    <w:uiPriority w:val="0"/>
    <w:pPr>
      <w:tabs>
        <w:tab w:val="clear" w:pos="480"/>
      </w:tabs>
    </w:pPr>
  </w:style>
  <w:style w:type="paragraph" w:customStyle="1" w:styleId="3534">
    <w:name w:val="BT3"/>
    <w:basedOn w:val="5"/>
    <w:next w:val="1"/>
    <w:qFormat/>
    <w:uiPriority w:val="0"/>
    <w:pPr>
      <w:keepNext w:val="0"/>
      <w:keepLines w:val="0"/>
      <w:numPr>
        <w:ilvl w:val="0"/>
        <w:numId w:val="0"/>
      </w:numPr>
      <w:tabs>
        <w:tab w:val="clear" w:pos="480"/>
        <w:tab w:val="clear" w:pos="840"/>
      </w:tabs>
      <w:spacing w:before="0" w:after="0" w:line="520" w:lineRule="exact"/>
      <w:ind w:firstLine="480" w:firstLineChars="200"/>
      <w:outlineLvl w:val="9"/>
    </w:pPr>
    <w:rPr>
      <w:rFonts w:ascii="宋体" w:hAnsi="宋体" w:eastAsia="宋体"/>
      <w:b w:val="0"/>
      <w:color w:val="000000"/>
      <w:sz w:val="24"/>
      <w:szCs w:val="24"/>
      <w:lang w:val="en-US"/>
    </w:rPr>
  </w:style>
  <w:style w:type="paragraph" w:customStyle="1" w:styleId="3535">
    <w:name w:val="通用正文1"/>
    <w:basedOn w:val="1"/>
    <w:qFormat/>
    <w:uiPriority w:val="0"/>
    <w:pPr>
      <w:tabs>
        <w:tab w:val="clear" w:pos="480"/>
      </w:tabs>
      <w:autoSpaceDE w:val="0"/>
      <w:autoSpaceDN w:val="0"/>
      <w:adjustRightInd w:val="0"/>
      <w:spacing w:line="500" w:lineRule="exact"/>
      <w:ind w:firstLine="480"/>
    </w:pPr>
  </w:style>
  <w:style w:type="paragraph" w:customStyle="1" w:styleId="3536">
    <w:name w:val="文1"/>
    <w:basedOn w:val="1"/>
    <w:qFormat/>
    <w:uiPriority w:val="0"/>
    <w:pPr>
      <w:tabs>
        <w:tab w:val="clear" w:pos="480"/>
      </w:tabs>
      <w:adjustRightInd w:val="0"/>
      <w:snapToGrid w:val="0"/>
      <w:spacing w:line="312" w:lineRule="auto"/>
      <w:ind w:firstLine="567"/>
    </w:pPr>
    <w:rPr>
      <w:rFonts w:hint="eastAsia" w:ascii="宋体" w:hAnsi="宋体"/>
      <w:bCs/>
      <w:spacing w:val="6"/>
      <w:sz w:val="28"/>
      <w:szCs w:val="28"/>
    </w:rPr>
  </w:style>
  <w:style w:type="paragraph" w:customStyle="1" w:styleId="3537">
    <w:name w:val="Char Char Char Char Char Char Char Char Char Char Char Char Char Char Char Char Char1"/>
    <w:basedOn w:val="1"/>
    <w:qFormat/>
    <w:uiPriority w:val="0"/>
    <w:pPr>
      <w:tabs>
        <w:tab w:val="clear" w:pos="480"/>
      </w:tabs>
    </w:pPr>
    <w:rPr>
      <w:szCs w:val="21"/>
    </w:rPr>
  </w:style>
  <w:style w:type="paragraph" w:customStyle="1" w:styleId="3538">
    <w:name w:val="Char Char Char Char Char Char Char Char1 Char Char Char Char"/>
    <w:basedOn w:val="1"/>
    <w:qFormat/>
    <w:uiPriority w:val="0"/>
    <w:pPr>
      <w:tabs>
        <w:tab w:val="clear" w:pos="480"/>
      </w:tabs>
    </w:pPr>
  </w:style>
  <w:style w:type="paragraph" w:customStyle="1" w:styleId="3539">
    <w:name w:val="封面-1"/>
    <w:basedOn w:val="1"/>
    <w:qFormat/>
    <w:uiPriority w:val="0"/>
    <w:pPr>
      <w:tabs>
        <w:tab w:val="clear" w:pos="480"/>
      </w:tabs>
      <w:adjustRightInd w:val="0"/>
      <w:snapToGrid w:val="0"/>
      <w:jc w:val="center"/>
    </w:pPr>
    <w:rPr>
      <w:rFonts w:eastAsia="隶书"/>
      <w:b/>
      <w:sz w:val="44"/>
    </w:rPr>
  </w:style>
  <w:style w:type="character" w:customStyle="1" w:styleId="3540">
    <w:name w:val="z-窗体顶端 Char1"/>
    <w:semiHidden/>
    <w:qFormat/>
    <w:uiPriority w:val="99"/>
    <w:rPr>
      <w:rFonts w:ascii="Arial" w:hAnsi="Arial" w:cs="Arial"/>
      <w:vanish/>
      <w:sz w:val="16"/>
      <w:szCs w:val="16"/>
    </w:rPr>
  </w:style>
  <w:style w:type="paragraph" w:customStyle="1" w:styleId="3541">
    <w:name w:val="样式 样式 LNG－标题1 + 段前: 0.5 行 段后: 0.5 行 + 段前: 0.5 行 段后: 0.5 行"/>
    <w:basedOn w:val="1"/>
    <w:qFormat/>
    <w:uiPriority w:val="0"/>
    <w:pPr>
      <w:numPr>
        <w:ilvl w:val="0"/>
        <w:numId w:val="40"/>
      </w:numPr>
      <w:tabs>
        <w:tab w:val="left" w:pos="425"/>
        <w:tab w:val="clear" w:pos="480"/>
      </w:tabs>
      <w:adjustRightInd w:val="0"/>
      <w:spacing w:beforeLines="50" w:afterLines="50"/>
      <w:ind w:firstLine="200"/>
      <w:jc w:val="center"/>
      <w:textAlignment w:val="center"/>
      <w:outlineLvl w:val="0"/>
    </w:pPr>
    <w:rPr>
      <w:rFonts w:cs="宋体"/>
      <w:b/>
      <w:bCs/>
      <w:kern w:val="0"/>
      <w:sz w:val="32"/>
      <w:szCs w:val="20"/>
    </w:rPr>
  </w:style>
  <w:style w:type="paragraph" w:customStyle="1" w:styleId="3542">
    <w:name w:val="样式 bbbbbbbbbb + 段前: 0.5 行 段后: 0.5 行"/>
    <w:basedOn w:val="1"/>
    <w:qFormat/>
    <w:uiPriority w:val="0"/>
    <w:pPr>
      <w:tabs>
        <w:tab w:val="left" w:pos="1050"/>
        <w:tab w:val="clear" w:pos="480"/>
      </w:tabs>
      <w:spacing w:beforeLines="50" w:afterLines="50"/>
      <w:ind w:right="105" w:rightChars="50" w:firstLine="422"/>
      <w:jc w:val="center"/>
      <w:textAlignment w:val="center"/>
      <w:outlineLvl w:val="1"/>
    </w:pPr>
    <w:rPr>
      <w:rFonts w:hAnsi="宋体"/>
      <w:b/>
      <w:bCs/>
      <w:snapToGrid w:val="0"/>
      <w:color w:val="000000"/>
      <w:kern w:val="0"/>
      <w:szCs w:val="21"/>
    </w:rPr>
  </w:style>
  <w:style w:type="paragraph" w:customStyle="1" w:styleId="3543">
    <w:name w:val="报告格式-表格内容"/>
    <w:basedOn w:val="1"/>
    <w:qFormat/>
    <w:uiPriority w:val="0"/>
    <w:pPr>
      <w:tabs>
        <w:tab w:val="clear" w:pos="480"/>
      </w:tabs>
      <w:jc w:val="center"/>
    </w:pPr>
    <w:rPr>
      <w:rFonts w:eastAsia="楷体"/>
      <w:szCs w:val="21"/>
    </w:rPr>
  </w:style>
  <w:style w:type="paragraph" w:customStyle="1" w:styleId="3544">
    <w:name w:val="Char1 Char Char Char Char Char Char Char Char Char Char Char Char Char Char Char Char Char Char"/>
    <w:basedOn w:val="1"/>
    <w:qFormat/>
    <w:uiPriority w:val="0"/>
    <w:pPr>
      <w:tabs>
        <w:tab w:val="clear" w:pos="480"/>
      </w:tabs>
    </w:pPr>
  </w:style>
  <w:style w:type="paragraph" w:customStyle="1" w:styleId="3545">
    <w:name w:val="条"/>
    <w:basedOn w:val="5"/>
    <w:next w:val="1"/>
    <w:qFormat/>
    <w:uiPriority w:val="0"/>
    <w:pPr>
      <w:keepNext w:val="0"/>
      <w:keepLines w:val="0"/>
      <w:numPr>
        <w:ilvl w:val="0"/>
        <w:numId w:val="0"/>
      </w:numPr>
      <w:tabs>
        <w:tab w:val="clear" w:pos="480"/>
        <w:tab w:val="clear" w:pos="840"/>
      </w:tabs>
      <w:topLinePunct/>
      <w:autoSpaceDE w:val="0"/>
      <w:autoSpaceDN w:val="0"/>
      <w:adjustRightInd w:val="0"/>
      <w:snapToGrid w:val="0"/>
      <w:spacing w:before="0" w:after="0" w:line="520" w:lineRule="exact"/>
      <w:ind w:firstLine="200" w:firstLineChars="200"/>
      <w:jc w:val="left"/>
    </w:pPr>
    <w:rPr>
      <w:rFonts w:ascii="Times New Roman" w:eastAsia="宋体" w:cs="宋体"/>
      <w:spacing w:val="1"/>
      <w:sz w:val="28"/>
      <w:szCs w:val="28"/>
      <w:lang w:val="en-US"/>
    </w:rPr>
  </w:style>
  <w:style w:type="paragraph" w:customStyle="1" w:styleId="3546">
    <w:name w:val="表题使用"/>
    <w:basedOn w:val="1"/>
    <w:qFormat/>
    <w:uiPriority w:val="0"/>
    <w:pPr>
      <w:tabs>
        <w:tab w:val="clear" w:pos="480"/>
      </w:tabs>
      <w:jc w:val="center"/>
    </w:pPr>
    <w:rPr>
      <w:rFonts w:cs="宋体"/>
      <w:b/>
      <w:bCs/>
      <w:color w:val="000000"/>
      <w:szCs w:val="20"/>
    </w:rPr>
  </w:style>
  <w:style w:type="paragraph" w:customStyle="1" w:styleId="3547">
    <w:name w:val="编制人员表"/>
    <w:basedOn w:val="1"/>
    <w:qFormat/>
    <w:uiPriority w:val="0"/>
    <w:pPr>
      <w:tabs>
        <w:tab w:val="clear" w:pos="480"/>
      </w:tabs>
      <w:jc w:val="center"/>
    </w:pPr>
    <w:rPr>
      <w:caps/>
      <w:snapToGrid w:val="0"/>
      <w:kern w:val="10"/>
      <w:sz w:val="28"/>
      <w:szCs w:val="20"/>
    </w:rPr>
  </w:style>
  <w:style w:type="paragraph" w:customStyle="1" w:styleId="3548">
    <w:name w:val="编制单位英文"/>
    <w:basedOn w:val="1"/>
    <w:next w:val="1"/>
    <w:qFormat/>
    <w:uiPriority w:val="0"/>
    <w:pPr>
      <w:tabs>
        <w:tab w:val="clear" w:pos="480"/>
      </w:tabs>
      <w:adjustRightInd w:val="0"/>
      <w:snapToGrid w:val="0"/>
      <w:spacing w:line="20" w:lineRule="atLeast"/>
    </w:pPr>
    <w:rPr>
      <w:rFonts w:ascii="黑体" w:eastAsia="黑体"/>
      <w:caps/>
      <w:snapToGrid w:val="0"/>
      <w:kern w:val="10"/>
      <w:sz w:val="26"/>
      <w:szCs w:val="20"/>
    </w:rPr>
  </w:style>
  <w:style w:type="paragraph" w:customStyle="1" w:styleId="3549">
    <w:name w:val="样式 单位 + 首行缩进:  2 字符"/>
    <w:basedOn w:val="3467"/>
    <w:qFormat/>
    <w:uiPriority w:val="0"/>
    <w:pPr>
      <w:ind w:firstLine="480"/>
    </w:pPr>
    <w:rPr>
      <w:rFonts w:cs="宋体"/>
      <w:sz w:val="21"/>
      <w:szCs w:val="21"/>
    </w:rPr>
  </w:style>
  <w:style w:type="paragraph" w:customStyle="1" w:styleId="3550">
    <w:name w:val="协作单位"/>
    <w:basedOn w:val="1"/>
    <w:qFormat/>
    <w:uiPriority w:val="0"/>
    <w:pPr>
      <w:tabs>
        <w:tab w:val="clear" w:pos="480"/>
      </w:tabs>
      <w:spacing w:beforeLines="50" w:afterLines="50" w:line="312" w:lineRule="auto"/>
      <w:ind w:firstLine="1260"/>
      <w:jc w:val="center"/>
    </w:pPr>
    <w:rPr>
      <w:rFonts w:eastAsia="黑体"/>
      <w:color w:val="000000"/>
      <w:kern w:val="0"/>
      <w:sz w:val="28"/>
      <w:szCs w:val="20"/>
    </w:rPr>
  </w:style>
  <w:style w:type="paragraph" w:customStyle="1" w:styleId="3551">
    <w:name w:val="样式 样式 目录 4 + + 左侧:  3 字符"/>
    <w:basedOn w:val="3531"/>
    <w:qFormat/>
    <w:uiPriority w:val="0"/>
    <w:pPr>
      <w:ind w:left="714"/>
    </w:pPr>
  </w:style>
  <w:style w:type="paragraph" w:customStyle="1" w:styleId="3552">
    <w:name w:val="报告题目11"/>
    <w:basedOn w:val="1"/>
    <w:next w:val="3553"/>
    <w:qFormat/>
    <w:uiPriority w:val="0"/>
    <w:pPr>
      <w:tabs>
        <w:tab w:val="clear" w:pos="480"/>
      </w:tabs>
      <w:spacing w:line="240" w:lineRule="atLeast"/>
      <w:ind w:firstLine="480"/>
      <w:jc w:val="center"/>
    </w:pPr>
    <w:rPr>
      <w:rFonts w:eastAsia="黑体"/>
      <w:bCs/>
      <w:snapToGrid w:val="0"/>
      <w:kern w:val="10"/>
      <w:sz w:val="50"/>
      <w:szCs w:val="20"/>
    </w:rPr>
  </w:style>
  <w:style w:type="paragraph" w:customStyle="1" w:styleId="3553">
    <w:name w:val="报告题目2"/>
    <w:basedOn w:val="1"/>
    <w:next w:val="1"/>
    <w:qFormat/>
    <w:uiPriority w:val="0"/>
    <w:pPr>
      <w:tabs>
        <w:tab w:val="clear" w:pos="480"/>
      </w:tabs>
      <w:spacing w:before="120"/>
      <w:ind w:firstLine="480"/>
      <w:jc w:val="center"/>
    </w:pPr>
    <w:rPr>
      <w:rFonts w:eastAsia="黑体"/>
      <w:bCs/>
      <w:caps/>
      <w:snapToGrid w:val="0"/>
      <w:kern w:val="10"/>
      <w:sz w:val="58"/>
      <w:szCs w:val="20"/>
    </w:rPr>
  </w:style>
  <w:style w:type="paragraph" w:customStyle="1" w:styleId="3554">
    <w:name w:val="N节＋2 Char Char Char"/>
    <w:basedOn w:val="1"/>
    <w:next w:val="1"/>
    <w:qFormat/>
    <w:uiPriority w:val="0"/>
    <w:pPr>
      <w:tabs>
        <w:tab w:val="clear" w:pos="480"/>
      </w:tabs>
      <w:outlineLvl w:val="3"/>
    </w:pPr>
    <w:rPr>
      <w:rFonts w:eastAsia="黑体"/>
    </w:rPr>
  </w:style>
  <w:style w:type="paragraph" w:customStyle="1" w:styleId="3555">
    <w:name w:val="表内首行"/>
    <w:basedOn w:val="1"/>
    <w:qFormat/>
    <w:uiPriority w:val="0"/>
    <w:pPr>
      <w:widowControl/>
      <w:tabs>
        <w:tab w:val="clear" w:pos="480"/>
      </w:tabs>
      <w:spacing w:beforeLines="50" w:afterLines="50"/>
      <w:jc w:val="center"/>
    </w:pPr>
    <w:rPr>
      <w:b/>
      <w:bCs/>
      <w:kern w:val="0"/>
      <w:szCs w:val="28"/>
    </w:rPr>
  </w:style>
  <w:style w:type="paragraph" w:customStyle="1" w:styleId="3556">
    <w:name w:val="样式 样式 普通文字 + 首行缩进:  0.85 厘米 + 首行缩进:  2 字符"/>
    <w:basedOn w:val="1"/>
    <w:qFormat/>
    <w:uiPriority w:val="0"/>
    <w:pPr>
      <w:tabs>
        <w:tab w:val="clear" w:pos="480"/>
      </w:tabs>
      <w:spacing w:line="400" w:lineRule="exact"/>
    </w:pPr>
    <w:rPr>
      <w:rFonts w:ascii="宋体" w:hAnsi="Courier New"/>
    </w:rPr>
  </w:style>
  <w:style w:type="paragraph" w:customStyle="1" w:styleId="3557">
    <w:name w:val="LNG－表格"/>
    <w:basedOn w:val="1"/>
    <w:qFormat/>
    <w:uiPriority w:val="0"/>
    <w:pPr>
      <w:tabs>
        <w:tab w:val="clear" w:pos="480"/>
      </w:tabs>
      <w:jc w:val="center"/>
    </w:pPr>
    <w:rPr>
      <w:kern w:val="0"/>
      <w:szCs w:val="21"/>
    </w:rPr>
  </w:style>
  <w:style w:type="paragraph" w:customStyle="1" w:styleId="3558">
    <w:name w:val="文本jl"/>
    <w:basedOn w:val="1"/>
    <w:next w:val="34"/>
    <w:qFormat/>
    <w:uiPriority w:val="0"/>
    <w:pPr>
      <w:tabs>
        <w:tab w:val="clear" w:pos="480"/>
      </w:tabs>
      <w:spacing w:line="560" w:lineRule="exact"/>
      <w:ind w:firstLine="480"/>
    </w:pPr>
    <w:rPr>
      <w:rFonts w:ascii="宋体" w:hAnsi="宋体" w:cs="宋体"/>
      <w:color w:val="FF0000"/>
      <w:kern w:val="0"/>
    </w:rPr>
  </w:style>
  <w:style w:type="paragraph" w:customStyle="1" w:styleId="3559">
    <w:name w:val="表格文字小"/>
    <w:basedOn w:val="1"/>
    <w:qFormat/>
    <w:uiPriority w:val="0"/>
    <w:pPr>
      <w:tabs>
        <w:tab w:val="clear" w:pos="480"/>
      </w:tabs>
      <w:spacing w:line="320" w:lineRule="exact"/>
      <w:jc w:val="center"/>
    </w:pPr>
    <w:rPr>
      <w:kern w:val="0"/>
      <w:szCs w:val="21"/>
    </w:rPr>
  </w:style>
  <w:style w:type="paragraph" w:customStyle="1" w:styleId="3560">
    <w:name w:val="样式 正文文本缩进 2 + 首行缩进:  2 字符"/>
    <w:basedOn w:val="51"/>
    <w:next w:val="51"/>
    <w:qFormat/>
    <w:uiPriority w:val="0"/>
    <w:pPr>
      <w:spacing w:before="60" w:line="360" w:lineRule="auto"/>
      <w:ind w:left="0" w:firstLine="480" w:firstLineChars="200"/>
      <w:jc w:val="left"/>
    </w:pPr>
    <w:rPr>
      <w:rFonts w:cs="宋体"/>
      <w:spacing w:val="0"/>
      <w:kern w:val="2"/>
      <w:sz w:val="24"/>
      <w:szCs w:val="20"/>
    </w:rPr>
  </w:style>
  <w:style w:type="paragraph" w:customStyle="1" w:styleId="3561">
    <w:name w:val="样式 LNG－标题1 + 居中 段前: 0.5 行 段后: 0.5 行1"/>
    <w:qFormat/>
    <w:uiPriority w:val="0"/>
    <w:pPr>
      <w:tabs>
        <w:tab w:val="left" w:pos="425"/>
      </w:tabs>
      <w:spacing w:before="156" w:after="156"/>
      <w:ind w:left="425" w:hanging="425"/>
      <w:jc w:val="center"/>
    </w:pPr>
    <w:rPr>
      <w:rFonts w:ascii="Times New Roman" w:hAnsi="Times New Roman" w:eastAsia="宋体" w:cs="宋体"/>
      <w:b/>
      <w:bCs/>
      <w:kern w:val="2"/>
      <w:sz w:val="32"/>
      <w:szCs w:val="24"/>
      <w:lang w:val="en-US" w:eastAsia="zh-CN" w:bidi="ar-SA"/>
    </w:rPr>
  </w:style>
  <w:style w:type="paragraph" w:customStyle="1" w:styleId="3562">
    <w:name w:val="Char Char1 Char Char Char Char Char Char Char Char Char Char Char Char Char Char Char Char Char Char"/>
    <w:basedOn w:val="1"/>
    <w:qFormat/>
    <w:uiPriority w:val="0"/>
    <w:pPr>
      <w:tabs>
        <w:tab w:val="clear" w:pos="480"/>
      </w:tabs>
    </w:pPr>
    <w:rPr>
      <w:rFonts w:ascii="宋体" w:hAnsi="宋体" w:cs="宋体"/>
    </w:rPr>
  </w:style>
  <w:style w:type="paragraph" w:customStyle="1" w:styleId="3563">
    <w:name w:val="编制人员表名"/>
    <w:basedOn w:val="1"/>
    <w:next w:val="3547"/>
    <w:qFormat/>
    <w:uiPriority w:val="0"/>
    <w:pPr>
      <w:tabs>
        <w:tab w:val="clear" w:pos="480"/>
      </w:tabs>
      <w:ind w:firstLine="480"/>
      <w:jc w:val="center"/>
    </w:pPr>
    <w:rPr>
      <w:b/>
      <w:bCs/>
      <w:caps/>
      <w:snapToGrid w:val="0"/>
      <w:kern w:val="10"/>
      <w:sz w:val="28"/>
      <w:szCs w:val="20"/>
    </w:rPr>
  </w:style>
  <w:style w:type="paragraph" w:customStyle="1" w:styleId="3564">
    <w:name w:val="编制单位中文"/>
    <w:basedOn w:val="1"/>
    <w:next w:val="1"/>
    <w:qFormat/>
    <w:uiPriority w:val="0"/>
    <w:pPr>
      <w:tabs>
        <w:tab w:val="clear" w:pos="480"/>
      </w:tabs>
      <w:adjustRightInd w:val="0"/>
      <w:snapToGrid w:val="0"/>
      <w:spacing w:line="0" w:lineRule="atLeast"/>
    </w:pPr>
    <w:rPr>
      <w:rFonts w:eastAsia="黑体"/>
      <w:caps/>
      <w:snapToGrid w:val="0"/>
      <w:kern w:val="10"/>
      <w:sz w:val="38"/>
      <w:szCs w:val="20"/>
    </w:rPr>
  </w:style>
  <w:style w:type="paragraph" w:customStyle="1" w:styleId="3565">
    <w:name w:val="范正文"/>
    <w:basedOn w:val="85"/>
    <w:qFormat/>
    <w:uiPriority w:val="0"/>
    <w:pPr>
      <w:spacing w:after="0" w:line="360" w:lineRule="auto"/>
      <w:ind w:firstLine="510" w:firstLineChars="200"/>
    </w:pPr>
    <w:rPr>
      <w:snapToGrid w:val="0"/>
      <w:color w:val="000000"/>
      <w:kern w:val="0"/>
      <w:sz w:val="24"/>
      <w:szCs w:val="20"/>
    </w:rPr>
  </w:style>
  <w:style w:type="paragraph" w:customStyle="1" w:styleId="3566">
    <w:name w:val="样式6 正文"/>
    <w:qFormat/>
    <w:uiPriority w:val="0"/>
    <w:pPr>
      <w:spacing w:line="360" w:lineRule="auto"/>
      <w:ind w:firstLine="510"/>
      <w:jc w:val="both"/>
    </w:pPr>
    <w:rPr>
      <w:rFonts w:ascii="Times New Roman" w:hAnsi="Times New Roman" w:eastAsia="宋体" w:cs="Times New Roman"/>
      <w:kern w:val="2"/>
      <w:sz w:val="24"/>
      <w:szCs w:val="24"/>
      <w:lang w:val="en-US" w:eastAsia="zh-CN" w:bidi="ar-SA"/>
    </w:rPr>
  </w:style>
  <w:style w:type="paragraph" w:customStyle="1" w:styleId="3567">
    <w:name w:val="样式 小四 行距: 固定值 25 磅"/>
    <w:basedOn w:val="1"/>
    <w:qFormat/>
    <w:uiPriority w:val="0"/>
    <w:pPr>
      <w:tabs>
        <w:tab w:val="clear" w:pos="480"/>
      </w:tabs>
      <w:spacing w:line="500" w:lineRule="exact"/>
      <w:ind w:firstLine="640"/>
    </w:pPr>
    <w:rPr>
      <w:rFonts w:cs="宋体"/>
      <w:spacing w:val="20"/>
      <w:sz w:val="28"/>
      <w:szCs w:val="28"/>
    </w:rPr>
  </w:style>
  <w:style w:type="paragraph" w:customStyle="1" w:styleId="3568">
    <w:name w:val="bbbbbbbbbb"/>
    <w:basedOn w:val="3488"/>
    <w:qFormat/>
    <w:uiPriority w:val="0"/>
    <w:pPr>
      <w:ind w:firstLine="480"/>
      <w:outlineLvl w:val="1"/>
    </w:pPr>
    <w:rPr>
      <w:sz w:val="28"/>
      <w:szCs w:val="28"/>
    </w:rPr>
  </w:style>
  <w:style w:type="paragraph" w:customStyle="1" w:styleId="3569">
    <w:name w:val="正文使用"/>
    <w:basedOn w:val="1"/>
    <w:qFormat/>
    <w:uiPriority w:val="0"/>
    <w:pPr>
      <w:tabs>
        <w:tab w:val="clear" w:pos="480"/>
      </w:tabs>
      <w:adjustRightInd w:val="0"/>
      <w:snapToGrid w:val="0"/>
      <w:ind w:firstLine="480"/>
    </w:pPr>
    <w:rPr>
      <w:rFonts w:cs="宋体"/>
      <w:szCs w:val="20"/>
    </w:rPr>
  </w:style>
  <w:style w:type="paragraph" w:customStyle="1" w:styleId="3570">
    <w:name w:val="Char1 Char Char Char Char Char1 Char Char Char Char Char Char Char"/>
    <w:basedOn w:val="1"/>
    <w:qFormat/>
    <w:uiPriority w:val="0"/>
    <w:pPr>
      <w:tabs>
        <w:tab w:val="clear" w:pos="480"/>
      </w:tabs>
    </w:pPr>
    <w:rPr>
      <w:rFonts w:ascii="宋体" w:hAnsi="宋体" w:cs="宋体"/>
    </w:rPr>
  </w:style>
  <w:style w:type="paragraph" w:customStyle="1" w:styleId="3571">
    <w:name w:val="x正文"/>
    <w:basedOn w:val="1"/>
    <w:qFormat/>
    <w:uiPriority w:val="0"/>
    <w:pPr>
      <w:tabs>
        <w:tab w:val="clear" w:pos="480"/>
      </w:tabs>
      <w:adjustRightInd w:val="0"/>
      <w:ind w:firstLine="480"/>
      <w:textAlignment w:val="baseline"/>
    </w:pPr>
  </w:style>
  <w:style w:type="character" w:customStyle="1" w:styleId="3572">
    <w:name w:val="latinname1"/>
    <w:qFormat/>
    <w:uiPriority w:val="0"/>
    <w:rPr>
      <w:i/>
      <w:iCs/>
    </w:rPr>
  </w:style>
  <w:style w:type="character" w:customStyle="1" w:styleId="3573">
    <w:name w:val="splatinname1"/>
    <w:qFormat/>
    <w:uiPriority w:val="0"/>
    <w:rPr>
      <w:b/>
      <w:bCs/>
      <w:color w:val="006600"/>
    </w:rPr>
  </w:style>
  <w:style w:type="paragraph" w:customStyle="1" w:styleId="3574">
    <w:name w:val="bh"/>
    <w:basedOn w:val="1"/>
    <w:qFormat/>
    <w:uiPriority w:val="0"/>
    <w:pPr>
      <w:widowControl/>
      <w:tabs>
        <w:tab w:val="clear" w:pos="480"/>
      </w:tabs>
      <w:spacing w:before="100" w:beforeAutospacing="1" w:after="100" w:afterAutospacing="1" w:line="240" w:lineRule="auto"/>
      <w:jc w:val="left"/>
    </w:pPr>
    <w:rPr>
      <w:rFonts w:ascii="宋体" w:hAnsi="宋体" w:cs="宋体"/>
      <w:kern w:val="0"/>
    </w:rPr>
  </w:style>
  <w:style w:type="character" w:customStyle="1" w:styleId="3575">
    <w:name w:val="正文段落 Char"/>
    <w:qFormat/>
    <w:uiPriority w:val="0"/>
    <w:rPr>
      <w:rFonts w:ascii="Times New Roman" w:hAnsi="Times New Roman" w:eastAsia="宋体" w:cs="Times New Roman"/>
      <w:bCs/>
      <w:sz w:val="24"/>
      <w:szCs w:val="24"/>
    </w:rPr>
  </w:style>
  <w:style w:type="table" w:customStyle="1" w:styleId="3576">
    <w:name w:val="网格型6"/>
    <w:basedOn w:val="87"/>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7">
    <w:name w:val="网格型12"/>
    <w:basedOn w:val="87"/>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8">
    <w:name w:val="网格型21"/>
    <w:basedOn w:val="87"/>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9">
    <w:name w:val="网格型31"/>
    <w:basedOn w:val="87"/>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0">
    <w:name w:val="网格型41"/>
    <w:basedOn w:val="87"/>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1">
    <w:name w:val="网格型51"/>
    <w:basedOn w:val="87"/>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582">
    <w:name w:val="不明显参考1"/>
    <w:qFormat/>
    <w:uiPriority w:val="31"/>
    <w:rPr>
      <w:smallCaps/>
      <w:color w:val="5A5A5A"/>
    </w:rPr>
  </w:style>
  <w:style w:type="paragraph" w:customStyle="1" w:styleId="3583">
    <w:name w:val="ZX 3 表标题"/>
    <w:basedOn w:val="1"/>
    <w:link w:val="3585"/>
    <w:qFormat/>
    <w:uiPriority w:val="0"/>
    <w:pPr>
      <w:numPr>
        <w:ilvl w:val="0"/>
        <w:numId w:val="41"/>
      </w:numPr>
      <w:adjustRightInd w:val="0"/>
      <w:snapToGrid w:val="0"/>
      <w:ind w:firstLine="0" w:firstLineChars="0"/>
      <w:jc w:val="center"/>
    </w:pPr>
    <w:rPr>
      <w:b/>
      <w:sz w:val="21"/>
    </w:rPr>
  </w:style>
  <w:style w:type="paragraph" w:customStyle="1" w:styleId="3584">
    <w:name w:val="ZX 4 表标题"/>
    <w:basedOn w:val="619"/>
    <w:link w:val="3587"/>
    <w:qFormat/>
    <w:uiPriority w:val="0"/>
    <w:pPr>
      <w:numPr>
        <w:numId w:val="42"/>
      </w:numPr>
    </w:pPr>
    <w:rPr>
      <w:rFonts w:cs="Times New Roman"/>
    </w:rPr>
  </w:style>
  <w:style w:type="character" w:customStyle="1" w:styleId="3585">
    <w:name w:val="ZX 3 表标题 Char"/>
    <w:link w:val="3583"/>
    <w:qFormat/>
    <w:uiPriority w:val="0"/>
    <w:rPr>
      <w:b/>
      <w:kern w:val="2"/>
      <w:sz w:val="21"/>
      <w:szCs w:val="24"/>
    </w:rPr>
  </w:style>
  <w:style w:type="paragraph" w:customStyle="1" w:styleId="3586">
    <w:name w:val="ZX 5 表标题"/>
    <w:basedOn w:val="3228"/>
    <w:link w:val="3589"/>
    <w:qFormat/>
    <w:uiPriority w:val="0"/>
    <w:pPr>
      <w:numPr>
        <w:ilvl w:val="0"/>
        <w:numId w:val="43"/>
      </w:numPr>
      <w:ind w:firstLine="0" w:firstLineChars="0"/>
    </w:pPr>
    <w:rPr>
      <w:rFonts w:cs="Times New Roman"/>
      <w:sz w:val="21"/>
    </w:rPr>
  </w:style>
  <w:style w:type="character" w:customStyle="1" w:styleId="3587">
    <w:name w:val="ZX 4 表标题 Char"/>
    <w:basedOn w:val="618"/>
    <w:link w:val="3584"/>
    <w:qFormat/>
    <w:uiPriority w:val="0"/>
    <w:rPr>
      <w:rFonts w:cs="宋体"/>
      <w:kern w:val="2"/>
      <w:sz w:val="21"/>
    </w:rPr>
  </w:style>
  <w:style w:type="paragraph" w:customStyle="1" w:styleId="3588">
    <w:name w:val="ZX 8表标题"/>
    <w:basedOn w:val="619"/>
    <w:link w:val="3591"/>
    <w:qFormat/>
    <w:uiPriority w:val="0"/>
    <w:pPr>
      <w:numPr>
        <w:numId w:val="44"/>
      </w:numPr>
    </w:pPr>
    <w:rPr>
      <w:rFonts w:cs="Times New Roman"/>
    </w:rPr>
  </w:style>
  <w:style w:type="character" w:customStyle="1" w:styleId="3589">
    <w:name w:val="ZX 5 表标题 Char"/>
    <w:link w:val="3586"/>
    <w:qFormat/>
    <w:uiPriority w:val="0"/>
    <w:rPr>
      <w:b/>
      <w:bCs/>
      <w:kern w:val="2"/>
      <w:sz w:val="21"/>
    </w:rPr>
  </w:style>
  <w:style w:type="paragraph" w:customStyle="1" w:styleId="3590">
    <w:name w:val="ZX 7 表标题"/>
    <w:basedOn w:val="619"/>
    <w:link w:val="3593"/>
    <w:qFormat/>
    <w:uiPriority w:val="0"/>
    <w:pPr>
      <w:numPr>
        <w:numId w:val="45"/>
      </w:numPr>
    </w:pPr>
    <w:rPr>
      <w:rFonts w:cs="Times New Roman"/>
    </w:rPr>
  </w:style>
  <w:style w:type="character" w:customStyle="1" w:styleId="3591">
    <w:name w:val="ZX 8表标题 Char"/>
    <w:basedOn w:val="618"/>
    <w:link w:val="3588"/>
    <w:qFormat/>
    <w:uiPriority w:val="0"/>
    <w:rPr>
      <w:rFonts w:cs="宋体"/>
      <w:kern w:val="2"/>
      <w:sz w:val="21"/>
    </w:rPr>
  </w:style>
  <w:style w:type="character" w:customStyle="1" w:styleId="3592">
    <w:name w:val="批注框文本 字符"/>
    <w:qFormat/>
    <w:uiPriority w:val="0"/>
    <w:rPr>
      <w:kern w:val="2"/>
      <w:sz w:val="18"/>
      <w:szCs w:val="18"/>
    </w:rPr>
  </w:style>
  <w:style w:type="character" w:customStyle="1" w:styleId="3593">
    <w:name w:val="ZX 7 表标题 Char"/>
    <w:basedOn w:val="618"/>
    <w:link w:val="3590"/>
    <w:qFormat/>
    <w:uiPriority w:val="0"/>
    <w:rPr>
      <w:rFonts w:cs="宋体"/>
      <w:kern w:val="2"/>
      <w:sz w:val="21"/>
    </w:rPr>
  </w:style>
  <w:style w:type="character" w:customStyle="1" w:styleId="3594">
    <w:name w:val="环科院正文 Char Char"/>
    <w:link w:val="3296"/>
    <w:qFormat/>
    <w:uiPriority w:val="0"/>
    <w:rPr>
      <w:rFonts w:ascii="宋体" w:hAnsi="宋体"/>
      <w:bCs/>
      <w:kern w:val="10"/>
      <w:sz w:val="24"/>
      <w:szCs w:val="24"/>
    </w:rPr>
  </w:style>
  <w:style w:type="character" w:customStyle="1" w:styleId="3595">
    <w:name w:val="报告表正文 Char Char"/>
    <w:link w:val="2867"/>
    <w:qFormat/>
    <w:uiPriority w:val="0"/>
    <w:rPr>
      <w:sz w:val="24"/>
    </w:rPr>
  </w:style>
  <w:style w:type="table" w:customStyle="1" w:styleId="3596">
    <w:name w:val="样式26"/>
    <w:basedOn w:val="87"/>
    <w:qFormat/>
    <w:uiPriority w:val="99"/>
    <w:rPr>
      <w:sz w:val="21"/>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vAlign w:val="center"/>
    </w:tcPr>
  </w:style>
  <w:style w:type="table" w:customStyle="1" w:styleId="3597">
    <w:name w:val="样式261"/>
    <w:basedOn w:val="87"/>
    <w:qFormat/>
    <w:uiPriority w:val="99"/>
    <w:rPr>
      <w:sz w:val="21"/>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vAlign w:val="center"/>
    </w:tcPr>
  </w:style>
  <w:style w:type="character" w:customStyle="1" w:styleId="3598">
    <w:name w:val="正文缩进 Char Char Char Char1"/>
    <w:qFormat/>
    <w:uiPriority w:val="0"/>
    <w:rPr>
      <w:rFonts w:ascii="Calibri" w:hAnsi="Calibri" w:eastAsia="宋体" w:cs="Times New Roman"/>
      <w:szCs w:val="21"/>
    </w:rPr>
  </w:style>
  <w:style w:type="character" w:customStyle="1" w:styleId="3599">
    <w:name w:val="font51"/>
    <w:qFormat/>
    <w:uiPriority w:val="0"/>
    <w:rPr>
      <w:rFonts w:hint="eastAsia" w:ascii="仿宋_GB2312" w:eastAsia="仿宋_GB2312"/>
      <w:color w:val="000000"/>
      <w:sz w:val="20"/>
      <w:szCs w:val="20"/>
      <w:u w:val="none"/>
    </w:rPr>
  </w:style>
  <w:style w:type="character" w:customStyle="1" w:styleId="3600">
    <w:name w:val="font121"/>
    <w:basedOn w:val="132"/>
    <w:qFormat/>
    <w:uiPriority w:val="0"/>
    <w:rPr>
      <w:rFonts w:hint="eastAsia" w:ascii="宋体" w:hAnsi="宋体" w:eastAsia="宋体" w:cs="宋体"/>
      <w:color w:val="000000"/>
      <w:sz w:val="22"/>
      <w:szCs w:val="22"/>
      <w:u w:val="none"/>
    </w:rPr>
  </w:style>
  <w:style w:type="character" w:customStyle="1" w:styleId="3601">
    <w:name w:val="font91"/>
    <w:basedOn w:val="132"/>
    <w:qFormat/>
    <w:uiPriority w:val="0"/>
    <w:rPr>
      <w:rFonts w:hint="default" w:ascii="Times New Roman" w:hAnsi="Times New Roman" w:cs="Times New Roman"/>
      <w:b/>
      <w:color w:val="000000"/>
      <w:sz w:val="22"/>
      <w:szCs w:val="22"/>
      <w:u w:val="none"/>
    </w:rPr>
  </w:style>
  <w:style w:type="character" w:customStyle="1" w:styleId="3602">
    <w:name w:val="font101"/>
    <w:basedOn w:val="132"/>
    <w:qFormat/>
    <w:uiPriority w:val="0"/>
    <w:rPr>
      <w:rFonts w:hint="eastAsia" w:ascii="宋体" w:hAnsi="宋体" w:eastAsia="宋体" w:cs="宋体"/>
      <w:color w:val="000000"/>
      <w:sz w:val="36"/>
      <w:szCs w:val="36"/>
      <w:u w:val="none"/>
    </w:rPr>
  </w:style>
  <w:style w:type="table" w:customStyle="1" w:styleId="3603">
    <w:name w:val="网格型刘1"/>
    <w:basedOn w:val="87"/>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604">
    <w:name w:val="市环科院正文 Char"/>
    <w:link w:val="3605"/>
    <w:qFormat/>
    <w:uiPriority w:val="0"/>
    <w:rPr>
      <w:rFonts w:ascii="宋体" w:hAnsi="宋体" w:cs="宋体"/>
    </w:rPr>
  </w:style>
  <w:style w:type="paragraph" w:customStyle="1" w:styleId="3605">
    <w:name w:val="市环科院正文"/>
    <w:basedOn w:val="1"/>
    <w:link w:val="3604"/>
    <w:qFormat/>
    <w:uiPriority w:val="0"/>
    <w:pPr>
      <w:widowControl/>
      <w:tabs>
        <w:tab w:val="clear" w:pos="480"/>
      </w:tabs>
      <w:spacing w:line="300" w:lineRule="auto"/>
      <w:ind w:firstLine="480"/>
    </w:pPr>
    <w:rPr>
      <w:rFonts w:ascii="宋体" w:hAnsi="宋体" w:cs="宋体"/>
    </w:rPr>
  </w:style>
  <w:style w:type="table" w:customStyle="1" w:styleId="3606">
    <w:name w:val="网格型刘2"/>
    <w:basedOn w:val="87"/>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607">
    <w:name w:val="表文字 Char"/>
    <w:link w:val="184"/>
    <w:qFormat/>
    <w:uiPriority w:val="0"/>
    <w:rPr>
      <w:kern w:val="0"/>
      <w:szCs w:val="20"/>
    </w:rPr>
  </w:style>
  <w:style w:type="character" w:customStyle="1" w:styleId="3608">
    <w:name w:val="报告书正文 Char2"/>
    <w:link w:val="1795"/>
    <w:qFormat/>
    <w:uiPriority w:val="0"/>
    <w:rPr>
      <w:rFonts w:ascii="宋体"/>
      <w:sz w:val="28"/>
    </w:rPr>
  </w:style>
  <w:style w:type="paragraph" w:customStyle="1" w:styleId="3609">
    <w:name w:val="ZX 0-表/图名"/>
    <w:basedOn w:val="1"/>
    <w:link w:val="3610"/>
    <w:qFormat/>
    <w:uiPriority w:val="0"/>
    <w:pPr>
      <w:widowControl/>
      <w:numPr>
        <w:ilvl w:val="0"/>
        <w:numId w:val="46"/>
      </w:numPr>
      <w:tabs>
        <w:tab w:val="clear" w:pos="480"/>
      </w:tabs>
      <w:spacing w:line="460" w:lineRule="exact"/>
      <w:ind w:firstLine="0" w:firstLineChars="0"/>
      <w:jc w:val="center"/>
    </w:pPr>
    <w:rPr>
      <w:b/>
      <w:sz w:val="21"/>
      <w:szCs w:val="22"/>
    </w:rPr>
  </w:style>
  <w:style w:type="character" w:customStyle="1" w:styleId="3610">
    <w:name w:val="ZX 0-表/图名 Char"/>
    <w:basedOn w:val="132"/>
    <w:link w:val="3609"/>
    <w:qFormat/>
    <w:uiPriority w:val="0"/>
    <w:rPr>
      <w:b/>
      <w:kern w:val="2"/>
      <w:sz w:val="21"/>
      <w:szCs w:val="22"/>
    </w:rPr>
  </w:style>
  <w:style w:type="paragraph" w:customStyle="1" w:styleId="3611">
    <w:name w:val="ZX 0-表内/图"/>
    <w:basedOn w:val="3609"/>
    <w:qFormat/>
    <w:uiPriority w:val="0"/>
    <w:pPr>
      <w:numPr>
        <w:numId w:val="0"/>
      </w:numPr>
      <w:spacing w:line="240" w:lineRule="auto"/>
    </w:pPr>
    <w:rPr>
      <w:sz w:val="18"/>
    </w:rPr>
  </w:style>
  <w:style w:type="character" w:customStyle="1" w:styleId="3612">
    <w:name w:val="公式 字符"/>
    <w:basedOn w:val="3610"/>
    <w:qFormat/>
    <w:uiPriority w:val="0"/>
    <w:rPr>
      <w:rFonts w:ascii="Times New Roman" w:hAnsi="Times New Roman" w:cs="Times New Roman"/>
      <w:kern w:val="2"/>
      <w:sz w:val="24"/>
      <w:szCs w:val="22"/>
    </w:rPr>
  </w:style>
  <w:style w:type="character" w:customStyle="1" w:styleId="3613">
    <w:name w:val="正文（布） Char"/>
    <w:link w:val="3614"/>
    <w:qFormat/>
    <w:uiPriority w:val="0"/>
    <w:rPr>
      <w:rFonts w:eastAsia="仿宋_GB2312"/>
      <w:sz w:val="28"/>
      <w:szCs w:val="28"/>
    </w:rPr>
  </w:style>
  <w:style w:type="paragraph" w:customStyle="1" w:styleId="3614">
    <w:name w:val="正文（布）"/>
    <w:basedOn w:val="1"/>
    <w:link w:val="3613"/>
    <w:qFormat/>
    <w:uiPriority w:val="0"/>
    <w:pPr>
      <w:tabs>
        <w:tab w:val="clear" w:pos="480"/>
      </w:tabs>
      <w:spacing w:line="520" w:lineRule="exact"/>
      <w:ind w:firstLine="560"/>
    </w:pPr>
    <w:rPr>
      <w:rFonts w:eastAsia="仿宋_GB2312"/>
      <w:kern w:val="0"/>
      <w:sz w:val="28"/>
      <w:szCs w:val="28"/>
    </w:rPr>
  </w:style>
  <w:style w:type="paragraph" w:customStyle="1" w:styleId="3615">
    <w:name w:val="修订2"/>
    <w:hidden/>
    <w:semiHidden/>
    <w:qFormat/>
    <w:uiPriority w:val="99"/>
    <w:rPr>
      <w:rFonts w:ascii="Times New Roman" w:hAnsi="Times New Roman" w:eastAsia="宋体" w:cs="Times New Roman"/>
      <w:kern w:val="2"/>
      <w:sz w:val="24"/>
      <w:szCs w:val="24"/>
      <w:lang w:val="en-US" w:eastAsia="zh-CN" w:bidi="ar-SA"/>
    </w:rPr>
  </w:style>
  <w:style w:type="paragraph" w:customStyle="1" w:styleId="3616">
    <w:name w:val="【正文】"/>
    <w:basedOn w:val="1"/>
    <w:link w:val="3617"/>
    <w:qFormat/>
    <w:uiPriority w:val="0"/>
    <w:pPr>
      <w:tabs>
        <w:tab w:val="clear" w:pos="480"/>
      </w:tabs>
      <w:ind w:firstLine="480"/>
    </w:pPr>
    <w:rPr>
      <w:rFonts w:ascii="宋体"/>
      <w:kern w:val="0"/>
      <w:lang w:val="zh-CN"/>
    </w:rPr>
  </w:style>
  <w:style w:type="character" w:customStyle="1" w:styleId="3617">
    <w:name w:val="【正文】 Char"/>
    <w:link w:val="3616"/>
    <w:qFormat/>
    <w:uiPriority w:val="0"/>
    <w:rPr>
      <w:rFonts w:ascii="宋体"/>
      <w:sz w:val="24"/>
      <w:szCs w:val="24"/>
      <w:lang w:val="zh-CN" w:eastAsia="zh-CN"/>
    </w:rPr>
  </w:style>
  <w:style w:type="paragraph" w:customStyle="1" w:styleId="3618">
    <w:name w:val="17"/>
    <w:basedOn w:val="3616"/>
    <w:link w:val="3619"/>
    <w:qFormat/>
    <w:uiPriority w:val="0"/>
    <w:pPr>
      <w:ind w:firstLine="0" w:firstLineChars="0"/>
      <w:jc w:val="center"/>
    </w:pPr>
    <w:rPr>
      <w:b/>
      <w:szCs w:val="21"/>
    </w:rPr>
  </w:style>
  <w:style w:type="character" w:customStyle="1" w:styleId="3619">
    <w:name w:val="17 Char"/>
    <w:basedOn w:val="3617"/>
    <w:link w:val="3618"/>
    <w:qFormat/>
    <w:uiPriority w:val="0"/>
    <w:rPr>
      <w:rFonts w:ascii="宋体"/>
      <w:b/>
      <w:sz w:val="24"/>
      <w:szCs w:val="21"/>
      <w:lang w:val="zh-CN" w:eastAsia="zh-CN"/>
    </w:rPr>
  </w:style>
  <w:style w:type="character" w:customStyle="1" w:styleId="3620">
    <w:name w:val="报告表正文 Char Char Char"/>
    <w:qFormat/>
    <w:uiPriority w:val="0"/>
    <w:rPr>
      <w:rFonts w:eastAsia="楷体_GB2312"/>
      <w:kern w:val="2"/>
      <w:sz w:val="24"/>
      <w:lang w:val="en-US" w:eastAsia="zh-CN"/>
    </w:rPr>
  </w:style>
  <w:style w:type="table" w:customStyle="1" w:styleId="3621">
    <w:name w:val="网格型7"/>
    <w:basedOn w:val="8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2">
    <w:name w:val="网格型刘3"/>
    <w:basedOn w:val="87"/>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3">
    <w:name w:val="网格型刘4"/>
    <w:basedOn w:val="87"/>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4">
    <w:name w:val="网格型8"/>
    <w:basedOn w:val="87"/>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625">
    <w:name w:val="6级cxy"/>
    <w:basedOn w:val="600"/>
    <w:qFormat/>
    <w:uiPriority w:val="0"/>
    <w:pPr>
      <w:widowControl/>
      <w:tabs>
        <w:tab w:val="left" w:pos="1620"/>
      </w:tabs>
      <w:autoSpaceDE w:val="0"/>
      <w:autoSpaceDN w:val="0"/>
      <w:adjustRightInd w:val="0"/>
      <w:spacing w:line="360" w:lineRule="auto"/>
      <w:ind w:left="1620" w:leftChars="600" w:firstLine="0" w:firstLineChars="0"/>
      <w:jc w:val="left"/>
    </w:pPr>
    <w:rPr>
      <w:rFonts w:ascii="Times New Roman" w:hAnsi="Times New Roman"/>
      <w:kern w:val="0"/>
      <w:sz w:val="24"/>
      <w:szCs w:val="20"/>
    </w:rPr>
  </w:style>
  <w:style w:type="character" w:customStyle="1" w:styleId="3626">
    <w:name w:val="图表 字符"/>
    <w:basedOn w:val="132"/>
    <w:link w:val="2057"/>
    <w:qFormat/>
    <w:uiPriority w:val="0"/>
    <w:rPr>
      <w:bCs/>
      <w:kern w:val="2"/>
      <w:sz w:val="24"/>
      <w:szCs w:val="24"/>
    </w:rPr>
  </w:style>
  <w:style w:type="table" w:customStyle="1" w:styleId="3627">
    <w:name w:val="网格型9"/>
    <w:basedOn w:val="87"/>
    <w:qFormat/>
    <w:uiPriority w:val="9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628">
    <w:name w:val="15"/>
    <w:basedOn w:val="132"/>
    <w:qFormat/>
    <w:uiPriority w:val="0"/>
    <w:rPr>
      <w:rFonts w:hint="default" w:ascii="Times New Roman" w:hAnsi="Times New Roman" w:cs="Times New Roman"/>
      <w:color w:val="0000FF"/>
    </w:rPr>
  </w:style>
  <w:style w:type="character" w:customStyle="1" w:styleId="3629">
    <w:name w:val="页眉 字符"/>
    <w:basedOn w:val="132"/>
    <w:link w:val="57"/>
    <w:qFormat/>
    <w:uiPriority w:val="0"/>
    <w:rPr>
      <w:rFonts w:hint="eastAsia" w:ascii="仿宋" w:hAnsi="仿宋" w:eastAsia="仿宋" w:cs="仿宋"/>
    </w:rPr>
  </w:style>
  <w:style w:type="character" w:customStyle="1" w:styleId="3630">
    <w:name w:val="页脚 字符"/>
    <w:basedOn w:val="132"/>
    <w:link w:val="55"/>
    <w:qFormat/>
    <w:uiPriority w:val="0"/>
    <w:rPr>
      <w:rFonts w:hint="eastAsia" w:ascii="仿宋" w:hAnsi="仿宋" w:eastAsia="仿宋" w:cs="仿宋"/>
    </w:rPr>
  </w:style>
  <w:style w:type="paragraph" w:customStyle="1" w:styleId="3631">
    <w:name w:val="图名表名"/>
    <w:basedOn w:val="1"/>
    <w:qFormat/>
    <w:uiPriority w:val="0"/>
    <w:pPr>
      <w:ind w:firstLine="0" w:firstLineChars="0"/>
      <w:jc w:val="center"/>
    </w:pPr>
    <w:rPr>
      <w:b/>
      <w:bCs/>
      <w:sz w:val="21"/>
    </w:rPr>
  </w:style>
  <w:style w:type="paragraph" w:customStyle="1" w:styleId="3632">
    <w:name w:val="样式262"/>
    <w:basedOn w:val="3228"/>
    <w:next w:val="975"/>
    <w:qFormat/>
    <w:uiPriority w:val="0"/>
    <w:pPr>
      <w:tabs>
        <w:tab w:val="clear" w:pos="480"/>
      </w:tabs>
      <w:ind w:firstLine="0" w:firstLineChars="0"/>
    </w:pPr>
    <w:rPr>
      <w:rFonts w:hint="eastAsia"/>
      <w:sz w:val="21"/>
    </w:rPr>
  </w:style>
</w:style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99" Type="http://schemas.openxmlformats.org/officeDocument/2006/relationships/image" Target="media/image78.png"/><Relationship Id="rId98" Type="http://schemas.openxmlformats.org/officeDocument/2006/relationships/image" Target="media/image77.png"/><Relationship Id="rId97" Type="http://schemas.openxmlformats.org/officeDocument/2006/relationships/image" Target="media/image76.jpeg"/><Relationship Id="rId96" Type="http://schemas.openxmlformats.org/officeDocument/2006/relationships/image" Target="media/image75.jpeg"/><Relationship Id="rId95" Type="http://schemas.openxmlformats.org/officeDocument/2006/relationships/image" Target="media/image74.jpeg"/><Relationship Id="rId94" Type="http://schemas.openxmlformats.org/officeDocument/2006/relationships/image" Target="media/image73.jpeg"/><Relationship Id="rId93" Type="http://schemas.openxmlformats.org/officeDocument/2006/relationships/image" Target="media/image72.jpeg"/><Relationship Id="rId92" Type="http://schemas.openxmlformats.org/officeDocument/2006/relationships/image" Target="media/image71.jpeg"/><Relationship Id="rId91" Type="http://schemas.openxmlformats.org/officeDocument/2006/relationships/image" Target="media/image70.jpeg"/><Relationship Id="rId90" Type="http://schemas.openxmlformats.org/officeDocument/2006/relationships/image" Target="media/image69.jpeg"/><Relationship Id="rId9" Type="http://schemas.openxmlformats.org/officeDocument/2006/relationships/footer" Target="footer2.xml"/><Relationship Id="rId89" Type="http://schemas.openxmlformats.org/officeDocument/2006/relationships/image" Target="media/image68.jpeg"/><Relationship Id="rId88" Type="http://schemas.openxmlformats.org/officeDocument/2006/relationships/image" Target="media/image67.jpeg"/><Relationship Id="rId87" Type="http://schemas.openxmlformats.org/officeDocument/2006/relationships/image" Target="media/image66.jpeg"/><Relationship Id="rId86" Type="http://schemas.openxmlformats.org/officeDocument/2006/relationships/image" Target="media/image65.jpeg"/><Relationship Id="rId85" Type="http://schemas.openxmlformats.org/officeDocument/2006/relationships/image" Target="media/image64.jpeg"/><Relationship Id="rId84" Type="http://schemas.openxmlformats.org/officeDocument/2006/relationships/image" Target="media/image63.jpeg"/><Relationship Id="rId83" Type="http://schemas.openxmlformats.org/officeDocument/2006/relationships/image" Target="media/image62.jpeg"/><Relationship Id="rId82" Type="http://schemas.openxmlformats.org/officeDocument/2006/relationships/image" Target="media/image61.jpeg"/><Relationship Id="rId81" Type="http://schemas.openxmlformats.org/officeDocument/2006/relationships/image" Target="media/image60.jpeg"/><Relationship Id="rId80" Type="http://schemas.openxmlformats.org/officeDocument/2006/relationships/image" Target="media/image59.jpeg"/><Relationship Id="rId8" Type="http://schemas.openxmlformats.org/officeDocument/2006/relationships/footer" Target="footer1.xml"/><Relationship Id="rId79" Type="http://schemas.openxmlformats.org/officeDocument/2006/relationships/image" Target="media/image58.jpeg"/><Relationship Id="rId78" Type="http://schemas.openxmlformats.org/officeDocument/2006/relationships/image" Target="media/image57.png"/><Relationship Id="rId77" Type="http://schemas.openxmlformats.org/officeDocument/2006/relationships/image" Target="media/image56.png"/><Relationship Id="rId76" Type="http://schemas.openxmlformats.org/officeDocument/2006/relationships/image" Target="media/image55.png"/><Relationship Id="rId75" Type="http://schemas.openxmlformats.org/officeDocument/2006/relationships/image" Target="media/image54.png"/><Relationship Id="rId74" Type="http://schemas.openxmlformats.org/officeDocument/2006/relationships/image" Target="media/image53.jpeg"/><Relationship Id="rId73" Type="http://schemas.openxmlformats.org/officeDocument/2006/relationships/image" Target="media/image52.png"/><Relationship Id="rId72" Type="http://schemas.openxmlformats.org/officeDocument/2006/relationships/image" Target="media/image51.wmf"/><Relationship Id="rId71" Type="http://schemas.openxmlformats.org/officeDocument/2006/relationships/oleObject" Target="embeddings/oleObject2.bin"/><Relationship Id="rId70" Type="http://schemas.openxmlformats.org/officeDocument/2006/relationships/image" Target="media/image50.jpeg"/><Relationship Id="rId7" Type="http://schemas.openxmlformats.org/officeDocument/2006/relationships/header" Target="header3.xml"/><Relationship Id="rId69" Type="http://schemas.openxmlformats.org/officeDocument/2006/relationships/image" Target="media/image49.jpeg"/><Relationship Id="rId68" Type="http://schemas.openxmlformats.org/officeDocument/2006/relationships/image" Target="media/image48.png"/><Relationship Id="rId67" Type="http://schemas.openxmlformats.org/officeDocument/2006/relationships/image" Target="media/image47.png"/><Relationship Id="rId66" Type="http://schemas.openxmlformats.org/officeDocument/2006/relationships/image" Target="media/image46.png"/><Relationship Id="rId65" Type="http://schemas.openxmlformats.org/officeDocument/2006/relationships/image" Target="media/image45.png"/><Relationship Id="rId64" Type="http://schemas.openxmlformats.org/officeDocument/2006/relationships/image" Target="media/image44.png"/><Relationship Id="rId63" Type="http://schemas.openxmlformats.org/officeDocument/2006/relationships/image" Target="media/image43.png"/><Relationship Id="rId62" Type="http://schemas.openxmlformats.org/officeDocument/2006/relationships/image" Target="media/image42.png"/><Relationship Id="rId61" Type="http://schemas.openxmlformats.org/officeDocument/2006/relationships/image" Target="media/image41.png"/><Relationship Id="rId60" Type="http://schemas.openxmlformats.org/officeDocument/2006/relationships/image" Target="media/image40.png"/><Relationship Id="rId6" Type="http://schemas.openxmlformats.org/officeDocument/2006/relationships/header" Target="header2.xml"/><Relationship Id="rId59" Type="http://schemas.openxmlformats.org/officeDocument/2006/relationships/image" Target="media/image39.png"/><Relationship Id="rId58" Type="http://schemas.openxmlformats.org/officeDocument/2006/relationships/image" Target="media/image38.png"/><Relationship Id="rId57" Type="http://schemas.openxmlformats.org/officeDocument/2006/relationships/image" Target="media/image37.jpeg"/><Relationship Id="rId56" Type="http://schemas.openxmlformats.org/officeDocument/2006/relationships/image" Target="media/image36.png"/><Relationship Id="rId55" Type="http://schemas.openxmlformats.org/officeDocument/2006/relationships/image" Target="media/image35.wmf"/><Relationship Id="rId54" Type="http://schemas.openxmlformats.org/officeDocument/2006/relationships/oleObject" Target="embeddings/oleObject1.bin"/><Relationship Id="rId53" Type="http://schemas.openxmlformats.org/officeDocument/2006/relationships/image" Target="media/image34.jpeg"/><Relationship Id="rId52" Type="http://schemas.openxmlformats.org/officeDocument/2006/relationships/image" Target="media/image33.png"/><Relationship Id="rId51" Type="http://schemas.openxmlformats.org/officeDocument/2006/relationships/image" Target="media/image32.png"/><Relationship Id="rId50" Type="http://schemas.openxmlformats.org/officeDocument/2006/relationships/image" Target="media/image31.png"/><Relationship Id="rId5" Type="http://schemas.openxmlformats.org/officeDocument/2006/relationships/header" Target="header1.xml"/><Relationship Id="rId49" Type="http://schemas.openxmlformats.org/officeDocument/2006/relationships/image" Target="media/image30.png"/><Relationship Id="rId48" Type="http://schemas.openxmlformats.org/officeDocument/2006/relationships/image" Target="media/image29.emf"/><Relationship Id="rId47" Type="http://schemas.openxmlformats.org/officeDocument/2006/relationships/image" Target="media/image28.emf"/><Relationship Id="rId46" Type="http://schemas.openxmlformats.org/officeDocument/2006/relationships/package" Target="embeddings/Microsoft_Visio___2.vsdx"/><Relationship Id="rId45" Type="http://schemas.openxmlformats.org/officeDocument/2006/relationships/image" Target="media/image27.emf"/><Relationship Id="rId44" Type="http://schemas.openxmlformats.org/officeDocument/2006/relationships/package" Target="embeddings/Microsoft_Visio___1.vsdx"/><Relationship Id="rId43" Type="http://schemas.openxmlformats.org/officeDocument/2006/relationships/image" Target="media/image26.emf"/><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endnotes" Target="endnotes.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footnotes" Target="footnotes.xml"/><Relationship Id="rId290" Type="http://schemas.openxmlformats.org/officeDocument/2006/relationships/fontTable" Target="fontTable.xml"/><Relationship Id="rId29" Type="http://schemas.openxmlformats.org/officeDocument/2006/relationships/image" Target="media/image12.png"/><Relationship Id="rId289" Type="http://schemas.microsoft.com/office/2006/relationships/keyMapCustomizations" Target="customizations.xml"/><Relationship Id="rId288" Type="http://schemas.openxmlformats.org/officeDocument/2006/relationships/customXml" Target="../customXml/item2.xml"/><Relationship Id="rId287" Type="http://schemas.openxmlformats.org/officeDocument/2006/relationships/numbering" Target="numbering.xml"/><Relationship Id="rId286" Type="http://schemas.openxmlformats.org/officeDocument/2006/relationships/customXml" Target="../customXml/item1.xml"/><Relationship Id="rId285" Type="http://schemas.openxmlformats.org/officeDocument/2006/relationships/image" Target="media/image210.jpeg"/><Relationship Id="rId284" Type="http://schemas.openxmlformats.org/officeDocument/2006/relationships/image" Target="media/image209.emf"/><Relationship Id="rId283" Type="http://schemas.openxmlformats.org/officeDocument/2006/relationships/oleObject" Target="embeddings/Microsoft_Visio_2003-2010___3.vsd"/><Relationship Id="rId282" Type="http://schemas.openxmlformats.org/officeDocument/2006/relationships/image" Target="media/image208.png"/><Relationship Id="rId281" Type="http://schemas.openxmlformats.org/officeDocument/2006/relationships/image" Target="media/image207.png"/><Relationship Id="rId280" Type="http://schemas.openxmlformats.org/officeDocument/2006/relationships/image" Target="media/image206.jpeg"/><Relationship Id="rId28" Type="http://schemas.openxmlformats.org/officeDocument/2006/relationships/image" Target="media/image11.png"/><Relationship Id="rId279" Type="http://schemas.openxmlformats.org/officeDocument/2006/relationships/image" Target="media/image205.jpeg"/><Relationship Id="rId278" Type="http://schemas.openxmlformats.org/officeDocument/2006/relationships/image" Target="media/image204.png"/><Relationship Id="rId277" Type="http://schemas.openxmlformats.org/officeDocument/2006/relationships/image" Target="media/image203.png"/><Relationship Id="rId276" Type="http://schemas.openxmlformats.org/officeDocument/2006/relationships/image" Target="media/image202.png"/><Relationship Id="rId275" Type="http://schemas.openxmlformats.org/officeDocument/2006/relationships/image" Target="media/image201.png"/><Relationship Id="rId274" Type="http://schemas.openxmlformats.org/officeDocument/2006/relationships/image" Target="media/image200.png"/><Relationship Id="rId273" Type="http://schemas.openxmlformats.org/officeDocument/2006/relationships/image" Target="media/image199.png"/><Relationship Id="rId272" Type="http://schemas.openxmlformats.org/officeDocument/2006/relationships/image" Target="media/image198.png"/><Relationship Id="rId271" Type="http://schemas.openxmlformats.org/officeDocument/2006/relationships/image" Target="media/image197.png"/><Relationship Id="rId270" Type="http://schemas.openxmlformats.org/officeDocument/2006/relationships/image" Target="media/image196.png"/><Relationship Id="rId27" Type="http://schemas.openxmlformats.org/officeDocument/2006/relationships/image" Target="media/image10.png"/><Relationship Id="rId269" Type="http://schemas.openxmlformats.org/officeDocument/2006/relationships/image" Target="media/image195.png"/><Relationship Id="rId268" Type="http://schemas.openxmlformats.org/officeDocument/2006/relationships/image" Target="media/image194.png"/><Relationship Id="rId267" Type="http://schemas.openxmlformats.org/officeDocument/2006/relationships/image" Target="media/image193.png"/><Relationship Id="rId266" Type="http://schemas.openxmlformats.org/officeDocument/2006/relationships/image" Target="media/image192.wmf"/><Relationship Id="rId265" Type="http://schemas.openxmlformats.org/officeDocument/2006/relationships/oleObject" Target="embeddings/oleObject52.bin"/><Relationship Id="rId264" Type="http://schemas.openxmlformats.org/officeDocument/2006/relationships/oleObject" Target="embeddings/oleObject51.bin"/><Relationship Id="rId263" Type="http://schemas.openxmlformats.org/officeDocument/2006/relationships/image" Target="media/image191.wmf"/><Relationship Id="rId262" Type="http://schemas.openxmlformats.org/officeDocument/2006/relationships/oleObject" Target="embeddings/oleObject50.bin"/><Relationship Id="rId261" Type="http://schemas.openxmlformats.org/officeDocument/2006/relationships/image" Target="media/image190.wmf"/><Relationship Id="rId260" Type="http://schemas.openxmlformats.org/officeDocument/2006/relationships/oleObject" Target="embeddings/oleObject49.bin"/><Relationship Id="rId26" Type="http://schemas.openxmlformats.org/officeDocument/2006/relationships/image" Target="media/image9.png"/><Relationship Id="rId259" Type="http://schemas.openxmlformats.org/officeDocument/2006/relationships/image" Target="media/image189.wmf"/><Relationship Id="rId258" Type="http://schemas.openxmlformats.org/officeDocument/2006/relationships/oleObject" Target="embeddings/oleObject48.bin"/><Relationship Id="rId257" Type="http://schemas.openxmlformats.org/officeDocument/2006/relationships/image" Target="media/image188.wmf"/><Relationship Id="rId256" Type="http://schemas.openxmlformats.org/officeDocument/2006/relationships/oleObject" Target="embeddings/oleObject47.bin"/><Relationship Id="rId255" Type="http://schemas.openxmlformats.org/officeDocument/2006/relationships/image" Target="media/image187.wmf"/><Relationship Id="rId254" Type="http://schemas.openxmlformats.org/officeDocument/2006/relationships/oleObject" Target="embeddings/oleObject46.bin"/><Relationship Id="rId253" Type="http://schemas.openxmlformats.org/officeDocument/2006/relationships/image" Target="media/image186.wmf"/><Relationship Id="rId252" Type="http://schemas.openxmlformats.org/officeDocument/2006/relationships/oleObject" Target="embeddings/oleObject45.bin"/><Relationship Id="rId251" Type="http://schemas.openxmlformats.org/officeDocument/2006/relationships/image" Target="media/image185.wmf"/><Relationship Id="rId250" Type="http://schemas.openxmlformats.org/officeDocument/2006/relationships/oleObject" Target="embeddings/oleObject44.bin"/><Relationship Id="rId25" Type="http://schemas.openxmlformats.org/officeDocument/2006/relationships/image" Target="media/image8.png"/><Relationship Id="rId249" Type="http://schemas.openxmlformats.org/officeDocument/2006/relationships/image" Target="media/image184.wmf"/><Relationship Id="rId248" Type="http://schemas.openxmlformats.org/officeDocument/2006/relationships/oleObject" Target="embeddings/oleObject43.bin"/><Relationship Id="rId247" Type="http://schemas.openxmlformats.org/officeDocument/2006/relationships/image" Target="media/image183.wmf"/><Relationship Id="rId246" Type="http://schemas.openxmlformats.org/officeDocument/2006/relationships/oleObject" Target="embeddings/oleObject42.bin"/><Relationship Id="rId245" Type="http://schemas.openxmlformats.org/officeDocument/2006/relationships/image" Target="media/image182.wmf"/><Relationship Id="rId244" Type="http://schemas.openxmlformats.org/officeDocument/2006/relationships/oleObject" Target="embeddings/oleObject41.bin"/><Relationship Id="rId243" Type="http://schemas.openxmlformats.org/officeDocument/2006/relationships/image" Target="media/image181.wmf"/><Relationship Id="rId242" Type="http://schemas.openxmlformats.org/officeDocument/2006/relationships/oleObject" Target="embeddings/oleObject40.bin"/><Relationship Id="rId241" Type="http://schemas.openxmlformats.org/officeDocument/2006/relationships/image" Target="media/image180.wmf"/><Relationship Id="rId240" Type="http://schemas.openxmlformats.org/officeDocument/2006/relationships/oleObject" Target="embeddings/oleObject39.bin"/><Relationship Id="rId24" Type="http://schemas.openxmlformats.org/officeDocument/2006/relationships/image" Target="media/image7.png"/><Relationship Id="rId239" Type="http://schemas.openxmlformats.org/officeDocument/2006/relationships/image" Target="media/image179.wmf"/><Relationship Id="rId238" Type="http://schemas.openxmlformats.org/officeDocument/2006/relationships/oleObject" Target="embeddings/oleObject38.bin"/><Relationship Id="rId237" Type="http://schemas.openxmlformats.org/officeDocument/2006/relationships/image" Target="media/image178.wmf"/><Relationship Id="rId236" Type="http://schemas.openxmlformats.org/officeDocument/2006/relationships/oleObject" Target="embeddings/oleObject37.bin"/><Relationship Id="rId235" Type="http://schemas.openxmlformats.org/officeDocument/2006/relationships/image" Target="media/image177.wmf"/><Relationship Id="rId234" Type="http://schemas.openxmlformats.org/officeDocument/2006/relationships/oleObject" Target="embeddings/oleObject36.bin"/><Relationship Id="rId233" Type="http://schemas.openxmlformats.org/officeDocument/2006/relationships/image" Target="media/image176.wmf"/><Relationship Id="rId232" Type="http://schemas.openxmlformats.org/officeDocument/2006/relationships/image" Target="media/image175.png"/><Relationship Id="rId231" Type="http://schemas.openxmlformats.org/officeDocument/2006/relationships/image" Target="media/image174.wmf"/><Relationship Id="rId230" Type="http://schemas.openxmlformats.org/officeDocument/2006/relationships/oleObject" Target="embeddings/oleObject35.bin"/><Relationship Id="rId23" Type="http://schemas.openxmlformats.org/officeDocument/2006/relationships/image" Target="media/image6.png"/><Relationship Id="rId229" Type="http://schemas.openxmlformats.org/officeDocument/2006/relationships/image" Target="media/image173.png"/><Relationship Id="rId228" Type="http://schemas.openxmlformats.org/officeDocument/2006/relationships/image" Target="media/image172.png"/><Relationship Id="rId227" Type="http://schemas.openxmlformats.org/officeDocument/2006/relationships/image" Target="media/image171.png"/><Relationship Id="rId226" Type="http://schemas.openxmlformats.org/officeDocument/2006/relationships/image" Target="media/image170.png"/><Relationship Id="rId225" Type="http://schemas.openxmlformats.org/officeDocument/2006/relationships/image" Target="media/image169.png"/><Relationship Id="rId224" Type="http://schemas.openxmlformats.org/officeDocument/2006/relationships/image" Target="media/image168.png"/><Relationship Id="rId223" Type="http://schemas.openxmlformats.org/officeDocument/2006/relationships/image" Target="media/image167.png"/><Relationship Id="rId222" Type="http://schemas.openxmlformats.org/officeDocument/2006/relationships/image" Target="media/image166.png"/><Relationship Id="rId221" Type="http://schemas.openxmlformats.org/officeDocument/2006/relationships/image" Target="media/image165.emf"/><Relationship Id="rId220" Type="http://schemas.openxmlformats.org/officeDocument/2006/relationships/chart" Target="charts/chart3.xml"/><Relationship Id="rId22" Type="http://schemas.openxmlformats.org/officeDocument/2006/relationships/image" Target="media/image5.png"/><Relationship Id="rId219" Type="http://schemas.openxmlformats.org/officeDocument/2006/relationships/chart" Target="charts/chart2.xml"/><Relationship Id="rId218" Type="http://schemas.openxmlformats.org/officeDocument/2006/relationships/chart" Target="charts/chart1.xml"/><Relationship Id="rId217" Type="http://schemas.openxmlformats.org/officeDocument/2006/relationships/image" Target="media/image164.png"/><Relationship Id="rId216" Type="http://schemas.openxmlformats.org/officeDocument/2006/relationships/image" Target="media/image163.png"/><Relationship Id="rId215" Type="http://schemas.openxmlformats.org/officeDocument/2006/relationships/image" Target="media/image162.png"/><Relationship Id="rId214" Type="http://schemas.openxmlformats.org/officeDocument/2006/relationships/image" Target="media/image161.png"/><Relationship Id="rId213" Type="http://schemas.openxmlformats.org/officeDocument/2006/relationships/image" Target="media/image160.png"/><Relationship Id="rId212" Type="http://schemas.openxmlformats.org/officeDocument/2006/relationships/image" Target="media/image159.png"/><Relationship Id="rId211" Type="http://schemas.openxmlformats.org/officeDocument/2006/relationships/image" Target="media/image158.png"/><Relationship Id="rId210" Type="http://schemas.openxmlformats.org/officeDocument/2006/relationships/image" Target="media/image157.png"/><Relationship Id="rId21" Type="http://schemas.openxmlformats.org/officeDocument/2006/relationships/image" Target="media/image4.png"/><Relationship Id="rId209" Type="http://schemas.openxmlformats.org/officeDocument/2006/relationships/image" Target="media/image156.png"/><Relationship Id="rId208" Type="http://schemas.openxmlformats.org/officeDocument/2006/relationships/image" Target="media/image155.png"/><Relationship Id="rId207" Type="http://schemas.openxmlformats.org/officeDocument/2006/relationships/image" Target="media/image154.png"/><Relationship Id="rId206" Type="http://schemas.openxmlformats.org/officeDocument/2006/relationships/image" Target="media/image153.png"/><Relationship Id="rId205" Type="http://schemas.openxmlformats.org/officeDocument/2006/relationships/image" Target="media/image152.png"/><Relationship Id="rId204" Type="http://schemas.openxmlformats.org/officeDocument/2006/relationships/image" Target="media/image151.png"/><Relationship Id="rId203" Type="http://schemas.openxmlformats.org/officeDocument/2006/relationships/image" Target="media/image150.png"/><Relationship Id="rId202" Type="http://schemas.openxmlformats.org/officeDocument/2006/relationships/image" Target="media/image149.png"/><Relationship Id="rId201" Type="http://schemas.openxmlformats.org/officeDocument/2006/relationships/image" Target="media/image148.png"/><Relationship Id="rId200" Type="http://schemas.openxmlformats.org/officeDocument/2006/relationships/image" Target="media/image147.png"/><Relationship Id="rId20" Type="http://schemas.openxmlformats.org/officeDocument/2006/relationships/image" Target="media/image3.png"/><Relationship Id="rId2" Type="http://schemas.openxmlformats.org/officeDocument/2006/relationships/settings" Target="settings.xml"/><Relationship Id="rId199" Type="http://schemas.openxmlformats.org/officeDocument/2006/relationships/image" Target="media/image146.png"/><Relationship Id="rId198" Type="http://schemas.openxmlformats.org/officeDocument/2006/relationships/image" Target="media/image145.png"/><Relationship Id="rId197" Type="http://schemas.openxmlformats.org/officeDocument/2006/relationships/image" Target="media/image144.png"/><Relationship Id="rId196" Type="http://schemas.openxmlformats.org/officeDocument/2006/relationships/image" Target="media/image143.png"/><Relationship Id="rId195" Type="http://schemas.openxmlformats.org/officeDocument/2006/relationships/image" Target="media/image142.wmf"/><Relationship Id="rId194" Type="http://schemas.openxmlformats.org/officeDocument/2006/relationships/oleObject" Target="embeddings/oleObject34.bin"/><Relationship Id="rId193" Type="http://schemas.openxmlformats.org/officeDocument/2006/relationships/image" Target="media/image141.wmf"/><Relationship Id="rId192" Type="http://schemas.openxmlformats.org/officeDocument/2006/relationships/oleObject" Target="embeddings/oleObject33.bin"/><Relationship Id="rId191" Type="http://schemas.openxmlformats.org/officeDocument/2006/relationships/image" Target="media/image140.wmf"/><Relationship Id="rId190" Type="http://schemas.openxmlformats.org/officeDocument/2006/relationships/oleObject" Target="embeddings/oleObject32.bin"/><Relationship Id="rId19" Type="http://schemas.openxmlformats.org/officeDocument/2006/relationships/image" Target="media/image2.png"/><Relationship Id="rId189" Type="http://schemas.openxmlformats.org/officeDocument/2006/relationships/image" Target="media/image139.wmf"/><Relationship Id="rId188" Type="http://schemas.openxmlformats.org/officeDocument/2006/relationships/oleObject" Target="embeddings/oleObject31.bin"/><Relationship Id="rId187" Type="http://schemas.openxmlformats.org/officeDocument/2006/relationships/image" Target="media/image138.wmf"/><Relationship Id="rId186" Type="http://schemas.openxmlformats.org/officeDocument/2006/relationships/oleObject" Target="embeddings/oleObject30.bin"/><Relationship Id="rId185" Type="http://schemas.openxmlformats.org/officeDocument/2006/relationships/image" Target="media/image137.wmf"/><Relationship Id="rId184" Type="http://schemas.openxmlformats.org/officeDocument/2006/relationships/oleObject" Target="embeddings/oleObject29.bin"/><Relationship Id="rId183" Type="http://schemas.openxmlformats.org/officeDocument/2006/relationships/image" Target="media/image136.wmf"/><Relationship Id="rId182" Type="http://schemas.openxmlformats.org/officeDocument/2006/relationships/oleObject" Target="embeddings/oleObject28.bin"/><Relationship Id="rId181" Type="http://schemas.openxmlformats.org/officeDocument/2006/relationships/image" Target="media/image135.wmf"/><Relationship Id="rId180" Type="http://schemas.openxmlformats.org/officeDocument/2006/relationships/oleObject" Target="embeddings/oleObject27.bin"/><Relationship Id="rId18" Type="http://schemas.openxmlformats.org/officeDocument/2006/relationships/image" Target="media/image1.png"/><Relationship Id="rId179" Type="http://schemas.openxmlformats.org/officeDocument/2006/relationships/image" Target="media/image134.wmf"/><Relationship Id="rId178" Type="http://schemas.openxmlformats.org/officeDocument/2006/relationships/oleObject" Target="embeddings/oleObject26.bin"/><Relationship Id="rId177" Type="http://schemas.openxmlformats.org/officeDocument/2006/relationships/image" Target="media/image133.wmf"/><Relationship Id="rId176" Type="http://schemas.openxmlformats.org/officeDocument/2006/relationships/oleObject" Target="embeddings/oleObject25.bin"/><Relationship Id="rId175" Type="http://schemas.openxmlformats.org/officeDocument/2006/relationships/image" Target="media/image132.wmf"/><Relationship Id="rId174" Type="http://schemas.openxmlformats.org/officeDocument/2006/relationships/oleObject" Target="embeddings/oleObject24.bin"/><Relationship Id="rId173" Type="http://schemas.openxmlformats.org/officeDocument/2006/relationships/image" Target="media/image131.wmf"/><Relationship Id="rId172" Type="http://schemas.openxmlformats.org/officeDocument/2006/relationships/oleObject" Target="embeddings/oleObject23.bin"/><Relationship Id="rId171" Type="http://schemas.openxmlformats.org/officeDocument/2006/relationships/image" Target="media/image130.wmf"/><Relationship Id="rId170" Type="http://schemas.openxmlformats.org/officeDocument/2006/relationships/oleObject" Target="embeddings/oleObject22.bin"/><Relationship Id="rId17" Type="http://schemas.openxmlformats.org/officeDocument/2006/relationships/theme" Target="theme/theme1.xml"/><Relationship Id="rId169" Type="http://schemas.openxmlformats.org/officeDocument/2006/relationships/image" Target="media/image129.wmf"/><Relationship Id="rId168" Type="http://schemas.openxmlformats.org/officeDocument/2006/relationships/oleObject" Target="embeddings/oleObject21.bin"/><Relationship Id="rId167" Type="http://schemas.openxmlformats.org/officeDocument/2006/relationships/image" Target="media/image128.wmf"/><Relationship Id="rId166" Type="http://schemas.openxmlformats.org/officeDocument/2006/relationships/oleObject" Target="embeddings/oleObject20.bin"/><Relationship Id="rId165" Type="http://schemas.openxmlformats.org/officeDocument/2006/relationships/image" Target="media/image127.wmf"/><Relationship Id="rId164" Type="http://schemas.openxmlformats.org/officeDocument/2006/relationships/oleObject" Target="embeddings/oleObject19.bin"/><Relationship Id="rId163" Type="http://schemas.openxmlformats.org/officeDocument/2006/relationships/image" Target="media/image126.wmf"/><Relationship Id="rId162" Type="http://schemas.openxmlformats.org/officeDocument/2006/relationships/oleObject" Target="embeddings/oleObject18.bin"/><Relationship Id="rId161" Type="http://schemas.openxmlformats.org/officeDocument/2006/relationships/image" Target="media/image125.wmf"/><Relationship Id="rId160" Type="http://schemas.openxmlformats.org/officeDocument/2006/relationships/oleObject" Target="embeddings/oleObject17.bin"/><Relationship Id="rId16" Type="http://schemas.openxmlformats.org/officeDocument/2006/relationships/footer" Target="footer9.xml"/><Relationship Id="rId159" Type="http://schemas.openxmlformats.org/officeDocument/2006/relationships/image" Target="media/image124.wmf"/><Relationship Id="rId158" Type="http://schemas.openxmlformats.org/officeDocument/2006/relationships/oleObject" Target="embeddings/oleObject16.bin"/><Relationship Id="rId157" Type="http://schemas.openxmlformats.org/officeDocument/2006/relationships/image" Target="media/image123.wmf"/><Relationship Id="rId156" Type="http://schemas.openxmlformats.org/officeDocument/2006/relationships/oleObject" Target="embeddings/oleObject15.bin"/><Relationship Id="rId155" Type="http://schemas.openxmlformats.org/officeDocument/2006/relationships/image" Target="media/image122.wmf"/><Relationship Id="rId154" Type="http://schemas.openxmlformats.org/officeDocument/2006/relationships/image" Target="media/image121.wmf"/><Relationship Id="rId153" Type="http://schemas.openxmlformats.org/officeDocument/2006/relationships/image" Target="media/image120.wmf"/><Relationship Id="rId152" Type="http://schemas.openxmlformats.org/officeDocument/2006/relationships/image" Target="media/image119.wmf"/><Relationship Id="rId151" Type="http://schemas.openxmlformats.org/officeDocument/2006/relationships/image" Target="media/image118.wmf"/><Relationship Id="rId150" Type="http://schemas.openxmlformats.org/officeDocument/2006/relationships/oleObject" Target="embeddings/oleObject14.bin"/><Relationship Id="rId15" Type="http://schemas.openxmlformats.org/officeDocument/2006/relationships/footer" Target="footer8.xml"/><Relationship Id="rId149" Type="http://schemas.openxmlformats.org/officeDocument/2006/relationships/image" Target="media/image117.wmf"/><Relationship Id="rId148" Type="http://schemas.openxmlformats.org/officeDocument/2006/relationships/oleObject" Target="embeddings/oleObject13.bin"/><Relationship Id="rId147" Type="http://schemas.openxmlformats.org/officeDocument/2006/relationships/image" Target="media/image116.wmf"/><Relationship Id="rId146" Type="http://schemas.openxmlformats.org/officeDocument/2006/relationships/oleObject" Target="embeddings/oleObject12.bin"/><Relationship Id="rId145" Type="http://schemas.openxmlformats.org/officeDocument/2006/relationships/image" Target="media/image115.wmf"/><Relationship Id="rId144" Type="http://schemas.openxmlformats.org/officeDocument/2006/relationships/oleObject" Target="embeddings/oleObject11.bin"/><Relationship Id="rId143" Type="http://schemas.openxmlformats.org/officeDocument/2006/relationships/image" Target="media/image114.wmf"/><Relationship Id="rId142" Type="http://schemas.openxmlformats.org/officeDocument/2006/relationships/oleObject" Target="embeddings/oleObject10.bin"/><Relationship Id="rId141" Type="http://schemas.openxmlformats.org/officeDocument/2006/relationships/image" Target="media/image113.wmf"/><Relationship Id="rId140" Type="http://schemas.openxmlformats.org/officeDocument/2006/relationships/oleObject" Target="embeddings/oleObject9.bin"/><Relationship Id="rId14" Type="http://schemas.openxmlformats.org/officeDocument/2006/relationships/footer" Target="footer7.xml"/><Relationship Id="rId139" Type="http://schemas.openxmlformats.org/officeDocument/2006/relationships/image" Target="media/image112.wmf"/><Relationship Id="rId138" Type="http://schemas.openxmlformats.org/officeDocument/2006/relationships/oleObject" Target="embeddings/oleObject8.bin"/><Relationship Id="rId137" Type="http://schemas.openxmlformats.org/officeDocument/2006/relationships/image" Target="media/image111.wmf"/><Relationship Id="rId136" Type="http://schemas.openxmlformats.org/officeDocument/2006/relationships/oleObject" Target="embeddings/oleObject7.bin"/><Relationship Id="rId135" Type="http://schemas.openxmlformats.org/officeDocument/2006/relationships/image" Target="media/image110.wmf"/><Relationship Id="rId134" Type="http://schemas.openxmlformats.org/officeDocument/2006/relationships/oleObject" Target="embeddings/oleObject6.bin"/><Relationship Id="rId133" Type="http://schemas.openxmlformats.org/officeDocument/2006/relationships/image" Target="media/image109.wmf"/><Relationship Id="rId132" Type="http://schemas.openxmlformats.org/officeDocument/2006/relationships/oleObject" Target="embeddings/oleObject5.bin"/><Relationship Id="rId131" Type="http://schemas.openxmlformats.org/officeDocument/2006/relationships/image" Target="media/image108.wmf"/><Relationship Id="rId130" Type="http://schemas.openxmlformats.org/officeDocument/2006/relationships/oleObject" Target="embeddings/oleObject4.bin"/><Relationship Id="rId13" Type="http://schemas.openxmlformats.org/officeDocument/2006/relationships/footer" Target="footer6.xml"/><Relationship Id="rId129" Type="http://schemas.openxmlformats.org/officeDocument/2006/relationships/image" Target="media/image107.wmf"/><Relationship Id="rId128" Type="http://schemas.openxmlformats.org/officeDocument/2006/relationships/image" Target="media/image106.wmf"/><Relationship Id="rId127" Type="http://schemas.openxmlformats.org/officeDocument/2006/relationships/image" Target="media/image105.wmf"/><Relationship Id="rId126" Type="http://schemas.openxmlformats.org/officeDocument/2006/relationships/image" Target="media/image104.wmf"/><Relationship Id="rId125" Type="http://schemas.openxmlformats.org/officeDocument/2006/relationships/image" Target="media/image103.wmf"/><Relationship Id="rId124" Type="http://schemas.openxmlformats.org/officeDocument/2006/relationships/image" Target="media/image102.wmf"/><Relationship Id="rId123" Type="http://schemas.openxmlformats.org/officeDocument/2006/relationships/image" Target="media/image101.wmf"/><Relationship Id="rId122" Type="http://schemas.openxmlformats.org/officeDocument/2006/relationships/image" Target="media/image100.wmf"/><Relationship Id="rId121" Type="http://schemas.openxmlformats.org/officeDocument/2006/relationships/image" Target="media/image99.wmf"/><Relationship Id="rId120" Type="http://schemas.openxmlformats.org/officeDocument/2006/relationships/image" Target="media/image98.wmf"/><Relationship Id="rId12" Type="http://schemas.openxmlformats.org/officeDocument/2006/relationships/footer" Target="footer5.xml"/><Relationship Id="rId119" Type="http://schemas.openxmlformats.org/officeDocument/2006/relationships/image" Target="media/image97.wmf"/><Relationship Id="rId118" Type="http://schemas.openxmlformats.org/officeDocument/2006/relationships/image" Target="media/image96.wmf"/><Relationship Id="rId117" Type="http://schemas.openxmlformats.org/officeDocument/2006/relationships/image" Target="media/image95.wmf"/><Relationship Id="rId116" Type="http://schemas.openxmlformats.org/officeDocument/2006/relationships/image" Target="media/image94.wmf"/><Relationship Id="rId115" Type="http://schemas.openxmlformats.org/officeDocument/2006/relationships/image" Target="media/image93.wmf"/><Relationship Id="rId114" Type="http://schemas.openxmlformats.org/officeDocument/2006/relationships/image" Target="media/image92.wmf"/><Relationship Id="rId113" Type="http://schemas.openxmlformats.org/officeDocument/2006/relationships/image" Target="media/image91.wmf"/><Relationship Id="rId112" Type="http://schemas.openxmlformats.org/officeDocument/2006/relationships/image" Target="media/image90.wmf"/><Relationship Id="rId111" Type="http://schemas.openxmlformats.org/officeDocument/2006/relationships/image" Target="media/image89.wmf"/><Relationship Id="rId110" Type="http://schemas.openxmlformats.org/officeDocument/2006/relationships/image" Target="media/image88.wmf"/><Relationship Id="rId11" Type="http://schemas.openxmlformats.org/officeDocument/2006/relationships/footer" Target="footer4.xml"/><Relationship Id="rId109" Type="http://schemas.openxmlformats.org/officeDocument/2006/relationships/image" Target="media/image87.wmf"/><Relationship Id="rId108" Type="http://schemas.openxmlformats.org/officeDocument/2006/relationships/image" Target="media/image86.wmf"/><Relationship Id="rId107" Type="http://schemas.openxmlformats.org/officeDocument/2006/relationships/image" Target="media/image85.wmf"/><Relationship Id="rId106" Type="http://schemas.openxmlformats.org/officeDocument/2006/relationships/image" Target="media/image84.wmf"/><Relationship Id="rId105" Type="http://schemas.openxmlformats.org/officeDocument/2006/relationships/oleObject" Target="embeddings/oleObject3.bin"/><Relationship Id="rId104" Type="http://schemas.openxmlformats.org/officeDocument/2006/relationships/image" Target="media/image83.wmf"/><Relationship Id="rId103" Type="http://schemas.openxmlformats.org/officeDocument/2006/relationships/image" Target="media/image82.wmf"/><Relationship Id="rId102" Type="http://schemas.openxmlformats.org/officeDocument/2006/relationships/image" Target="media/image81.wmf"/><Relationship Id="rId101" Type="http://schemas.openxmlformats.org/officeDocument/2006/relationships/image" Target="media/image80.wmf"/><Relationship Id="rId100" Type="http://schemas.openxmlformats.org/officeDocument/2006/relationships/image" Target="media/image79.png"/><Relationship Id="rId10" Type="http://schemas.openxmlformats.org/officeDocument/2006/relationships/footer" Target="footer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E:\02&#39033;&#30446;\02&#23731;&#38451;&#28207;&#36947;&#20161;&#30710;&#36890;&#29992;&#30721;&#22836;&#39033;&#30446;\57584_2021&#23731;&#38451;\6_2021&#24180;&#27668;&#35937;&#25968;&#25454;&#32479;&#35745;&#20998;&#26512;\&#23731;&#38451;&#22522;&#26412;&#31449;2021&#24180;&#27668;&#35937;&#32479;&#35745;&#20998;&#26512;.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02&#39033;&#30446;\02&#23731;&#38451;&#28207;&#36947;&#20161;&#30710;&#36890;&#29992;&#30721;&#22836;&#39033;&#30446;\57584_2021&#23731;&#38451;\6_2021&#24180;&#27668;&#35937;&#25968;&#25454;&#32479;&#35745;&#20998;&#26512;\&#23731;&#38451;&#22522;&#26412;&#31449;2021&#24180;&#27668;&#35937;&#32479;&#35745;&#20998;&#26512;.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02&#39033;&#30446;\02&#23731;&#38451;&#28207;&#36947;&#20161;&#30710;&#36890;&#29992;&#30721;&#22836;&#39033;&#30446;\57584_2021&#23731;&#38451;\6_2021&#24180;&#27668;&#35937;&#25968;&#25454;&#32479;&#35745;&#20998;&#26512;\&#23731;&#38451;&#22522;&#26412;&#31449;2021&#24180;&#27668;&#35937;&#32479;&#35745;&#20998;&#2651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200" b="1"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r>
              <a:rPr lang="zh-CN" altLang="en-US" sz="1200" b="1" i="0" u="none" strike="noStrike" baseline="0">
                <a:solidFill>
                  <a:srgbClr val="000000"/>
                </a:solidFill>
                <a:latin typeface="宋体" panose="02010600030101010101" charset="-122"/>
                <a:ea typeface="宋体" panose="02010600030101010101" charset="-122"/>
                <a:cs typeface="宋体" panose="02010600030101010101" charset="-122"/>
              </a:rPr>
              <a:t>  年平均温度的月变化图  </a:t>
            </a:r>
            <a:endParaRPr lang="zh-CN" altLang="en-US" sz="1200" b="1" i="0" u="none" strike="noStrike" baseline="0">
              <a:solidFill>
                <a:srgbClr val="000000"/>
              </a:solidFill>
              <a:latin typeface="宋体" panose="02010600030101010101" charset="-122"/>
              <a:ea typeface="宋体" panose="02010600030101010101" charset="-122"/>
              <a:cs typeface="宋体" panose="02010600030101010101" charset="-122"/>
            </a:endParaRPr>
          </a:p>
        </c:rich>
      </c:tx>
      <c:layout>
        <c:manualLayout>
          <c:xMode val="edge"/>
          <c:yMode val="edge"/>
          <c:x val="0.35664567870326"/>
          <c:y val="0.0355871886120996"/>
        </c:manualLayout>
      </c:layout>
      <c:overlay val="0"/>
    </c:title>
    <c:autoTitleDeleted val="0"/>
    <c:plotArea>
      <c:layout>
        <c:manualLayout>
          <c:layoutTarget val="inner"/>
          <c:xMode val="edge"/>
          <c:yMode val="edge"/>
          <c:x val="0.139344448194758"/>
          <c:y val="0.213523131672598"/>
          <c:w val="0.800547516099295"/>
          <c:h val="0.619217081850534"/>
        </c:manualLayout>
      </c:layout>
      <c:lineChart>
        <c:grouping val="standard"/>
        <c:varyColors val="0"/>
        <c:ser>
          <c:idx val="0"/>
          <c:order val="0"/>
          <c:tx>
            <c:strRef>
              <c:f>[岳阳基本站2021年气象统计分析.XLS]数据!$A$3</c:f>
              <c:strCache>
                <c:ptCount val="1"/>
                <c:pt idx="0">
                  <c:v>  温度(℃)  </c:v>
                </c:pt>
              </c:strCache>
            </c:strRef>
          </c:tx>
          <c:spPr>
            <a:ln w="12700" cap="rnd" cmpd="sng" algn="ctr">
              <a:solidFill>
                <a:srgbClr val="000080">
                  <a:alpha val="100000"/>
                </a:srgbClr>
              </a:solidFill>
              <a:prstDash val="solid"/>
              <a:round/>
            </a:ln>
          </c:spPr>
          <c:marker>
            <c:symbol val="diamond"/>
            <c:size val="5"/>
            <c:spPr>
              <a:solidFill>
                <a:srgbClr val="000080">
                  <a:alpha val="100000"/>
                </a:srgbClr>
              </a:solidFill>
              <a:ln w="6350" cap="flat" cmpd="sng" algn="ctr">
                <a:solidFill>
                  <a:srgbClr val="000080">
                    <a:alpha val="100000"/>
                  </a:srgbClr>
                </a:solidFill>
                <a:prstDash val="solid"/>
                <a:round/>
              </a:ln>
            </c:spPr>
          </c:marker>
          <c:dLbls>
            <c:delete val="1"/>
          </c:dLbls>
          <c:cat>
            <c:strRef>
              <c:f>[岳阳基本站2021年气象统计分析.XLS]数据!$B$2:$M$2</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[岳阳基本站2021年气象统计分析.XLS]数据!$B$3:$M$3</c:f>
              <c:numCache>
                <c:formatCode>0.00_ </c:formatCode>
                <c:ptCount val="12"/>
                <c:pt idx="0">
                  <c:v>6.96000003814697</c:v>
                </c:pt>
                <c:pt idx="1">
                  <c:v>11.7700004577637</c:v>
                </c:pt>
                <c:pt idx="2">
                  <c:v>13.210000038147</c:v>
                </c:pt>
                <c:pt idx="3">
                  <c:v>16.4599990844727</c:v>
                </c:pt>
                <c:pt idx="4">
                  <c:v>22.1200008392334</c:v>
                </c:pt>
                <c:pt idx="5">
                  <c:v>27.5300006866455</c:v>
                </c:pt>
                <c:pt idx="6">
                  <c:v>29.7800006866455</c:v>
                </c:pt>
                <c:pt idx="7">
                  <c:v>28.3199996948242</c:v>
                </c:pt>
                <c:pt idx="8">
                  <c:v>28.25</c:v>
                </c:pt>
                <c:pt idx="9">
                  <c:v>18.8799991607666</c:v>
                </c:pt>
                <c:pt idx="10">
                  <c:v>14.6800003051758</c:v>
                </c:pt>
                <c:pt idx="11">
                  <c:v>9.14000034332275</c:v>
                </c:pt>
              </c:numCache>
            </c:numRef>
          </c:val>
          <c:smooth val="0"/>
        </c:ser>
        <c:dLbls>
          <c:showLegendKey val="0"/>
          <c:showVal val="0"/>
          <c:showCatName val="0"/>
          <c:showSerName val="0"/>
          <c:showPercent val="0"/>
          <c:showBubbleSize val="0"/>
        </c:dLbls>
        <c:marker val="1"/>
        <c:smooth val="0"/>
        <c:axId val="681883360"/>
        <c:axId val="681869760"/>
      </c:lineChart>
      <c:catAx>
        <c:axId val="681883360"/>
        <c:scaling>
          <c:orientation val="minMax"/>
        </c:scaling>
        <c:delete val="0"/>
        <c:axPos val="b"/>
        <c:numFmt formatCode="General" sourceLinked="0"/>
        <c:majorTickMark val="in"/>
        <c:minorTickMark val="none"/>
        <c:tickLblPos val="nextTo"/>
        <c:spPr>
          <a:ln w="3175" cap="flat" cmpd="sng" algn="ctr">
            <a:solidFill>
              <a:srgbClr val="000000">
                <a:alpha val="100000"/>
              </a:srgbClr>
            </a:solidFill>
            <a:prstDash val="solid"/>
            <a:round/>
          </a:ln>
        </c:spPr>
        <c:txPr>
          <a:bodyPr rot="0" spcFirstLastPara="0" vertOverflow="ellipsis" vert="horz" wrap="square" anchor="ctr" anchorCtr="1"/>
          <a:lstStyle/>
          <a:p>
            <a:pPr>
              <a:defRPr lang="zh-CN" sz="1200" b="1" i="0" u="none" strike="noStrike" kern="1200" baseline="0">
                <a:solidFill>
                  <a:srgbClr val="000000">
                    <a:alpha val="100000"/>
                  </a:srgb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681869760"/>
        <c:crosses val="autoZero"/>
        <c:auto val="1"/>
        <c:lblAlgn val="ctr"/>
        <c:lblOffset val="100"/>
        <c:tickLblSkip val="1"/>
        <c:noMultiLvlLbl val="0"/>
      </c:catAx>
      <c:valAx>
        <c:axId val="681869760"/>
        <c:scaling>
          <c:orientation val="minMax"/>
        </c:scaling>
        <c:delete val="0"/>
        <c:axPos val="l"/>
        <c:majorGridlines>
          <c:spPr>
            <a:ln w="3175" cap="flat" cmpd="sng" algn="ctr">
              <a:solidFill>
                <a:srgbClr val="000000">
                  <a:alpha val="100000"/>
                </a:srgbClr>
              </a:solidFill>
              <a:prstDash val="solid"/>
              <a:round/>
            </a:ln>
          </c:spPr>
        </c:majorGridlines>
        <c:title>
          <c:tx>
            <c:rich>
              <a:bodyPr rot="-5400000" spcFirstLastPara="0" vertOverflow="ellipsis" vert="horz" wrap="square" anchor="ctr" anchorCtr="1"/>
              <a:lstStyle/>
              <a:p>
                <a:pPr defTabSz="914400">
                  <a:defRPr lang="zh-CN" sz="1100" b="1" i="0" u="none" strike="noStrike" kern="1200" baseline="0">
                    <a:solidFill>
                      <a:srgbClr val="000000">
                        <a:alpha val="100000"/>
                      </a:srgbClr>
                    </a:solidFill>
                    <a:latin typeface="Calibri" panose="020F0502020204030204" pitchFamily="2" charset="0"/>
                    <a:ea typeface="Calibri" panose="020F0502020204030204" pitchFamily="2" charset="0"/>
                    <a:cs typeface="Calibri" panose="020F0502020204030204" pitchFamily="2" charset="0"/>
                  </a:defRPr>
                </a:pPr>
                <a:r>
                  <a:rPr lang="zh-CN" altLang="en-US" sz="1200" b="1" i="0" u="none" strike="noStrike" baseline="0">
                    <a:solidFill>
                      <a:srgbClr val="000000"/>
                    </a:solidFill>
                    <a:latin typeface="宋体" panose="02010600030101010101" charset="-122"/>
                    <a:ea typeface="宋体" panose="02010600030101010101" charset="-122"/>
                    <a:cs typeface="宋体" panose="02010600030101010101" charset="-122"/>
                  </a:rPr>
                  <a:t>温度</a:t>
                </a:r>
                <a:r>
                  <a:rPr lang="en-US" altLang="zh-CN" sz="1200" b="1" i="0" u="none" strike="noStrike" baseline="0">
                    <a:solidFill>
                      <a:srgbClr val="000000"/>
                    </a:solidFill>
                    <a:latin typeface="宋体" panose="02010600030101010101" charset="-122"/>
                    <a:ea typeface="宋体" panose="02010600030101010101" charset="-122"/>
                    <a:cs typeface="宋体" panose="02010600030101010101" charset="-122"/>
                  </a:rPr>
                  <a:t>(℃) </a:t>
                </a:r>
                <a:endParaRPr lang="en-US" altLang="zh-CN" sz="1200" b="1" i="0" u="none" strike="noStrike" baseline="0">
                  <a:solidFill>
                    <a:srgbClr val="000000"/>
                  </a:solidFill>
                  <a:latin typeface="宋体" panose="02010600030101010101" charset="-122"/>
                  <a:ea typeface="宋体" panose="02010600030101010101" charset="-122"/>
                  <a:cs typeface="宋体" panose="02010600030101010101" charset="-122"/>
                </a:endParaRPr>
              </a:p>
            </c:rich>
          </c:tx>
          <c:layout>
            <c:manualLayout>
              <c:xMode val="edge"/>
              <c:yMode val="edge"/>
              <c:x val="0.00358166189111748"/>
              <c:y val="0.0732600732600733"/>
            </c:manualLayout>
          </c:layout>
          <c:overlay val="0"/>
        </c:title>
        <c:numFmt formatCode="0.00_ " sourceLinked="1"/>
        <c:majorTickMark val="in"/>
        <c:minorTickMark val="none"/>
        <c:tickLblPos val="nextTo"/>
        <c:spPr>
          <a:ln w="3175" cap="flat" cmpd="sng" algn="ctr">
            <a:solidFill>
              <a:srgbClr val="000000">
                <a:alpha val="100000"/>
              </a:srgbClr>
            </a:solidFill>
            <a:prstDash val="solid"/>
            <a:round/>
          </a:ln>
        </c:spPr>
        <c:txPr>
          <a:bodyPr rot="0" spcFirstLastPara="0" vertOverflow="ellipsis" vert="horz" wrap="square" anchor="ctr" anchorCtr="1"/>
          <a:lstStyle/>
          <a:p>
            <a:pPr>
              <a:defRPr lang="zh-CN" sz="1200" b="1" i="0" u="none" strike="noStrike" kern="1200" baseline="0">
                <a:solidFill>
                  <a:srgbClr val="000000">
                    <a:alpha val="100000"/>
                  </a:srgb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681883360"/>
        <c:crosses val="autoZero"/>
        <c:crossBetween val="between"/>
      </c:valAx>
      <c:spPr>
        <a:solidFill>
          <a:srgbClr val="C0C0C0">
            <a:alpha val="100000"/>
          </a:srgbClr>
        </a:solidFill>
        <a:ln w="12700">
          <a:solidFill>
            <a:srgbClr val="808080">
              <a:alpha val="100000"/>
            </a:srgbClr>
          </a:solidFill>
          <a:prstDash val="solid"/>
        </a:ln>
      </c:spPr>
    </c:plotArea>
    <c:plotVisOnly val="1"/>
    <c:dispBlanksAs val="gap"/>
    <c:showDLblsOverMax val="0"/>
  </c:chart>
  <c:spPr>
    <a:solidFill>
      <a:srgbClr val="FFFFFF">
        <a:alpha val="100000"/>
      </a:srgbClr>
    </a:solidFill>
    <a:ln w="19050" cap="flat" cmpd="sng" algn="ctr">
      <a:solidFill>
        <a:schemeClr val="tx1">
          <a:alpha val="100000"/>
        </a:schemeClr>
      </a:solidFill>
      <a:prstDash val="solid"/>
      <a:round/>
    </a:ln>
  </c:spPr>
  <c:txPr>
    <a:bodyPr rot="0" wrap="square" anchor="ctr" anchorCtr="1"/>
    <a:lstStyle/>
    <a:p>
      <a:pPr>
        <a:defRPr lang="zh-CN" sz="1200" b="1" i="0" u="none" strike="noStrike" baseline="0">
          <a:solidFill>
            <a:srgbClr val="000000">
              <a:alpha val="100000"/>
            </a:srgbClr>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200"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r>
              <a:rPr lang="zh-CN" altLang="en-US" sz="1200" b="0" i="0" u="none" strike="noStrike" baseline="0">
                <a:solidFill>
                  <a:srgbClr val="000000"/>
                </a:solidFill>
                <a:latin typeface="宋体" panose="02010600030101010101" charset="-122"/>
                <a:ea typeface="宋体" panose="02010600030101010101" charset="-122"/>
                <a:cs typeface="宋体" panose="02010600030101010101" charset="-122"/>
              </a:rPr>
              <a:t> </a:t>
            </a:r>
            <a:r>
              <a:rPr lang="zh-CN" altLang="en-US" sz="1200" b="1" i="0" u="none" strike="noStrike" baseline="0">
                <a:solidFill>
                  <a:srgbClr val="000000"/>
                </a:solidFill>
                <a:latin typeface="宋体" panose="02010600030101010101" charset="-122"/>
                <a:ea typeface="宋体" panose="02010600030101010101" charset="-122"/>
                <a:cs typeface="宋体" panose="02010600030101010101" charset="-122"/>
              </a:rPr>
              <a:t> 年平均风速的月变化</a:t>
            </a:r>
            <a:r>
              <a:rPr lang="zh-CN" altLang="en-US" sz="1200" b="0" i="0" u="none" strike="noStrike" baseline="0">
                <a:solidFill>
                  <a:srgbClr val="000000"/>
                </a:solidFill>
                <a:latin typeface="宋体" panose="02010600030101010101" charset="-122"/>
                <a:ea typeface="宋体" panose="02010600030101010101" charset="-122"/>
                <a:cs typeface="宋体" panose="02010600030101010101" charset="-122"/>
              </a:rPr>
              <a:t>  </a:t>
            </a:r>
            <a:endParaRPr lang="zh-CN" altLang="en-US" sz="1200" b="0" i="0" u="none" strike="noStrike" baseline="0">
              <a:solidFill>
                <a:srgbClr val="000000"/>
              </a:solidFill>
              <a:latin typeface="宋体" panose="02010600030101010101" charset="-122"/>
              <a:ea typeface="宋体" panose="02010600030101010101" charset="-122"/>
              <a:cs typeface="宋体" panose="02010600030101010101" charset="-122"/>
            </a:endParaRPr>
          </a:p>
        </c:rich>
      </c:tx>
      <c:layout>
        <c:manualLayout>
          <c:xMode val="edge"/>
          <c:yMode val="edge"/>
          <c:x val="0.376192728632143"/>
          <c:y val="0.0308923529313484"/>
        </c:manualLayout>
      </c:layout>
      <c:overlay val="0"/>
    </c:title>
    <c:autoTitleDeleted val="0"/>
    <c:plotArea>
      <c:layout>
        <c:manualLayout>
          <c:layoutTarget val="inner"/>
          <c:xMode val="edge"/>
          <c:yMode val="edge"/>
          <c:x val="0.127397345487308"/>
          <c:y val="0.213523131672598"/>
          <c:w val="0.820548494052664"/>
          <c:h val="0.619217081850534"/>
        </c:manualLayout>
      </c:layout>
      <c:lineChart>
        <c:grouping val="standard"/>
        <c:varyColors val="0"/>
        <c:ser>
          <c:idx val="0"/>
          <c:order val="0"/>
          <c:tx>
            <c:strRef>
              <c:f>[岳阳基本站2021年气象统计分析.XLS]数据!$A$7</c:f>
              <c:strCache>
                <c:ptCount val="1"/>
                <c:pt idx="0">
                  <c:v> 风速(m/s)  </c:v>
                </c:pt>
              </c:strCache>
            </c:strRef>
          </c:tx>
          <c:spPr>
            <a:ln w="12700" cap="rnd" cmpd="sng" algn="ctr">
              <a:solidFill>
                <a:srgbClr val="000080">
                  <a:alpha val="100000"/>
                </a:srgbClr>
              </a:solidFill>
              <a:prstDash val="solid"/>
              <a:round/>
            </a:ln>
          </c:spPr>
          <c:marker>
            <c:symbol val="diamond"/>
            <c:size val="5"/>
            <c:spPr>
              <a:solidFill>
                <a:srgbClr val="000080">
                  <a:alpha val="100000"/>
                </a:srgbClr>
              </a:solidFill>
              <a:ln w="6350" cap="flat" cmpd="sng" algn="ctr">
                <a:solidFill>
                  <a:srgbClr val="000080">
                    <a:alpha val="100000"/>
                  </a:srgbClr>
                </a:solidFill>
                <a:prstDash val="solid"/>
                <a:round/>
              </a:ln>
            </c:spPr>
          </c:marker>
          <c:dLbls>
            <c:delete val="1"/>
          </c:dLbls>
          <c:cat>
            <c:strRef>
              <c:f>[岳阳基本站2021年气象统计分析.XLS]数据!$B$6:$M$6</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[岳阳基本站2021年气象统计分析.XLS]数据!$B$7:$M$7</c:f>
              <c:numCache>
                <c:formatCode>0.00_ </c:formatCode>
                <c:ptCount val="12"/>
                <c:pt idx="0">
                  <c:v>2.1800000667572</c:v>
                </c:pt>
                <c:pt idx="1">
                  <c:v>2.30999994277954</c:v>
                </c:pt>
                <c:pt idx="2">
                  <c:v>2.29999995231628</c:v>
                </c:pt>
                <c:pt idx="3">
                  <c:v>2.03999996185303</c:v>
                </c:pt>
                <c:pt idx="4">
                  <c:v>2.21000003814697</c:v>
                </c:pt>
                <c:pt idx="5">
                  <c:v>2.17000007629395</c:v>
                </c:pt>
                <c:pt idx="6">
                  <c:v>2.63000011444092</c:v>
                </c:pt>
                <c:pt idx="7">
                  <c:v>2.17000007629395</c:v>
                </c:pt>
                <c:pt idx="8">
                  <c:v>2.30999994277954</c:v>
                </c:pt>
                <c:pt idx="9">
                  <c:v>2.61999988555908</c:v>
                </c:pt>
                <c:pt idx="10">
                  <c:v>2.07999992370605</c:v>
                </c:pt>
                <c:pt idx="11">
                  <c:v>2.08999991416931</c:v>
                </c:pt>
              </c:numCache>
            </c:numRef>
          </c:val>
          <c:smooth val="0"/>
        </c:ser>
        <c:dLbls>
          <c:showLegendKey val="0"/>
          <c:showVal val="0"/>
          <c:showCatName val="0"/>
          <c:showSerName val="0"/>
          <c:showPercent val="0"/>
          <c:showBubbleSize val="0"/>
        </c:dLbls>
        <c:marker val="1"/>
        <c:smooth val="0"/>
        <c:axId val="681870304"/>
        <c:axId val="681871392"/>
      </c:lineChart>
      <c:catAx>
        <c:axId val="681870304"/>
        <c:scaling>
          <c:orientation val="minMax"/>
        </c:scaling>
        <c:delete val="0"/>
        <c:axPos val="b"/>
        <c:numFmt formatCode="General" sourceLinked="0"/>
        <c:majorTickMark val="in"/>
        <c:minorTickMark val="none"/>
        <c:tickLblPos val="nextTo"/>
        <c:spPr>
          <a:ln w="3175" cap="flat" cmpd="sng" algn="ctr">
            <a:solidFill>
              <a:srgbClr val="000000">
                <a:alpha val="100000"/>
              </a:srgbClr>
            </a:solidFill>
            <a:prstDash val="solid"/>
            <a:round/>
          </a:ln>
        </c:spPr>
        <c:txPr>
          <a:bodyPr rot="0" spcFirstLastPara="0" vertOverflow="ellipsis" vert="horz" wrap="square" anchor="ctr" anchorCtr="1"/>
          <a:lstStyle/>
          <a:p>
            <a:pPr>
              <a:defRPr lang="zh-CN" sz="1200" b="0" i="0" u="none" strike="noStrike" kern="1200" baseline="0">
                <a:solidFill>
                  <a:srgbClr val="000000">
                    <a:alpha val="100000"/>
                  </a:srgb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681871392"/>
        <c:crosses val="autoZero"/>
        <c:auto val="1"/>
        <c:lblAlgn val="ctr"/>
        <c:lblOffset val="100"/>
        <c:tickLblSkip val="1"/>
        <c:noMultiLvlLbl val="0"/>
      </c:catAx>
      <c:valAx>
        <c:axId val="681871392"/>
        <c:scaling>
          <c:orientation val="minMax"/>
        </c:scaling>
        <c:delete val="0"/>
        <c:axPos val="l"/>
        <c:majorGridlines>
          <c:spPr>
            <a:ln w="3175" cap="flat" cmpd="sng" algn="ctr">
              <a:solidFill>
                <a:srgbClr val="000000">
                  <a:alpha val="100000"/>
                </a:srgbClr>
              </a:solidFill>
              <a:prstDash val="solid"/>
              <a:round/>
            </a:ln>
          </c:spPr>
        </c:majorGridlines>
        <c:title>
          <c:tx>
            <c:rich>
              <a:bodyPr rot="-5400000" spcFirstLastPara="0" vertOverflow="ellipsis" vert="horz" wrap="square" anchor="ctr" anchorCtr="1"/>
              <a:lstStyle/>
              <a:p>
                <a:pPr defTabSz="914400">
                  <a:defRPr lang="zh-CN" sz="1100" b="0" i="0" u="none" strike="noStrike" kern="1200" baseline="0">
                    <a:solidFill>
                      <a:srgbClr val="000000">
                        <a:alpha val="100000"/>
                      </a:srgb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zh-CN" altLang="en-US" sz="1200" b="0" i="0" u="none" strike="noStrike" baseline="0">
                    <a:solidFill>
                      <a:srgbClr val="000000"/>
                    </a:solidFill>
                    <a:ea typeface="Times New Roman" panose="02020603050405020304" charset="0"/>
                    <a:sym typeface="Times New Roman" panose="02020603050405020304" charset="0"/>
                  </a:rPr>
                  <a:t>风速</a:t>
                </a:r>
                <a:r>
                  <a:rPr lang="en-US" altLang="zh-CN" sz="1200" b="0" i="0" u="none" strike="noStrike" baseline="0">
                    <a:solidFill>
                      <a:srgbClr val="000000"/>
                    </a:solidFill>
                    <a:ea typeface="Times New Roman" panose="02020603050405020304" charset="0"/>
                    <a:sym typeface="Times New Roman" panose="02020603050405020304" charset="0"/>
                  </a:rPr>
                  <a:t>(</a:t>
                </a:r>
                <a:r>
                  <a:rPr lang="en-US" sz="1200" b="0" i="0" u="none" strike="noStrike" baseline="0">
                    <a:solidFill>
                      <a:srgbClr val="000000"/>
                    </a:solidFill>
                    <a:ea typeface="Times New Roman" panose="02020603050405020304" charset="0"/>
                    <a:sym typeface="Times New Roman" panose="02020603050405020304" charset="0"/>
                  </a:rPr>
                  <a:t>m/s</a:t>
                </a:r>
                <a:r>
                  <a:rPr lang="en-US" sz="1200" b="0" i="0" u="none" strike="noStrike" baseline="0">
                    <a:solidFill>
                      <a:srgbClr val="000000"/>
                    </a:solidFill>
                    <a:latin typeface="Times New Roman" panose="02020603050405020304" charset="0"/>
                    <a:ea typeface="Times New Roman" panose="02020603050405020304" charset="0"/>
                    <a:cs typeface="Times New Roman" panose="02020603050405020304" charset="0"/>
                    <a:sym typeface="Times New Roman" panose="02020603050405020304" charset="0"/>
                  </a:rPr>
                  <a:t>) </a:t>
                </a:r>
                <a:endParaRPr lang="en-US" sz="1200" b="0" i="0" u="none" strike="noStrike" baseline="0">
                  <a:solidFill>
                    <a:srgbClr val="000000"/>
                  </a:solidFill>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manualLayout>
              <c:xMode val="edge"/>
              <c:yMode val="edge"/>
              <c:x val="0.00515761676844364"/>
              <c:y val="0.0358712178169848"/>
            </c:manualLayout>
          </c:layout>
          <c:overlay val="0"/>
        </c:title>
        <c:numFmt formatCode="0.00_ " sourceLinked="0"/>
        <c:majorTickMark val="in"/>
        <c:minorTickMark val="none"/>
        <c:tickLblPos val="nextTo"/>
        <c:spPr>
          <a:ln w="3175" cap="flat" cmpd="sng" algn="ctr">
            <a:solidFill>
              <a:srgbClr val="000000">
                <a:alpha val="100000"/>
              </a:srgbClr>
            </a:solidFill>
            <a:prstDash val="solid"/>
            <a:round/>
          </a:ln>
        </c:spPr>
        <c:txPr>
          <a:bodyPr rot="0" spcFirstLastPara="0" vertOverflow="ellipsis" vert="horz" wrap="square" anchor="ctr" anchorCtr="1"/>
          <a:lstStyle/>
          <a:p>
            <a:pPr>
              <a:defRPr lang="zh-CN" sz="1200" b="0" i="0" u="none" strike="noStrike" kern="1200" baseline="0">
                <a:solidFill>
                  <a:srgbClr val="000000">
                    <a:alpha val="100000"/>
                  </a:srgb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681870304"/>
        <c:crosses val="autoZero"/>
        <c:crossBetween val="between"/>
      </c:valAx>
      <c:spPr>
        <a:solidFill>
          <a:srgbClr val="C0C0C0">
            <a:alpha val="100000"/>
          </a:srgbClr>
        </a:solidFill>
        <a:ln w="12700">
          <a:solidFill>
            <a:srgbClr val="808080">
              <a:alpha val="100000"/>
            </a:srgbClr>
          </a:solidFill>
          <a:prstDash val="solid"/>
        </a:ln>
      </c:spPr>
    </c:plotArea>
    <c:plotVisOnly val="1"/>
    <c:dispBlanksAs val="gap"/>
    <c:showDLblsOverMax val="0"/>
  </c:chart>
  <c:spPr>
    <a:solidFill>
      <a:srgbClr val="FFFFFF">
        <a:alpha val="100000"/>
      </a:srgbClr>
    </a:solidFill>
    <a:ln w="19050" cap="flat" cmpd="sng" algn="ctr">
      <a:solidFill>
        <a:srgbClr val="000000">
          <a:alpha val="100000"/>
        </a:srgbClr>
      </a:solidFill>
      <a:prstDash val="solid"/>
      <a:round/>
    </a:ln>
  </c:spPr>
  <c:txPr>
    <a:bodyPr rot="0" wrap="square" anchor="ctr" anchorCtr="1"/>
    <a:lstStyle/>
    <a:p>
      <a:pPr>
        <a:defRPr lang="zh-CN" sz="1200" b="0" i="0" u="none" strike="noStrike" baseline="0">
          <a:solidFill>
            <a:srgbClr val="000000">
              <a:alpha val="100000"/>
            </a:srgbClr>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200" b="0" i="0" u="none" strike="noStrike" kern="1200" baseline="0">
                <a:solidFill>
                  <a:srgbClr val="000000">
                    <a:alpha val="100000"/>
                  </a:srgb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zh-CN" altLang="en-US" sz="1200" b="0" i="0" u="none" strike="noStrike" baseline="0">
                <a:solidFill>
                  <a:srgbClr val="000000"/>
                </a:solidFill>
                <a:latin typeface="Times New Roman" panose="02020603050405020304" charset="0"/>
                <a:ea typeface="Times New Roman" panose="02020603050405020304" charset="0"/>
                <a:cs typeface="Times New Roman" panose="02020603050405020304" charset="0"/>
                <a:sym typeface="Times New Roman" panose="02020603050405020304" charset="0"/>
              </a:rPr>
              <a:t> 季小时平均风速的日变化</a:t>
            </a:r>
            <a:endParaRPr lang="zh-CN" altLang="en-US" sz="1200" b="0" i="0" u="none" strike="noStrike" baseline="0">
              <a:solidFill>
                <a:srgbClr val="000000"/>
              </a:solidFill>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manualLayout>
          <c:xMode val="edge"/>
          <c:yMode val="edge"/>
          <c:x val="0.311901504787962"/>
          <c:y val="0.0360655737704918"/>
        </c:manualLayout>
      </c:layout>
      <c:overlay val="0"/>
    </c:title>
    <c:autoTitleDeleted val="0"/>
    <c:plotArea>
      <c:layout>
        <c:manualLayout>
          <c:layoutTarget val="inner"/>
          <c:xMode val="edge"/>
          <c:yMode val="edge"/>
          <c:x val="0.125854993160055"/>
          <c:y val="0.154098360655738"/>
          <c:w val="0.719562243502052"/>
          <c:h val="0.691803278688525"/>
        </c:manualLayout>
      </c:layout>
      <c:lineChart>
        <c:grouping val="standard"/>
        <c:varyColors val="0"/>
        <c:ser>
          <c:idx val="0"/>
          <c:order val="0"/>
          <c:tx>
            <c:strRef>
              <c:f>[岳阳基本站2021年气象统计分析.XLS]图形!$A$167</c:f>
              <c:strCache>
                <c:ptCount val="1"/>
                <c:pt idx="0">
                  <c:v>春季                </c:v>
                </c:pt>
              </c:strCache>
            </c:strRef>
          </c:tx>
          <c:spPr>
            <a:ln w="12700" cap="rnd" cmpd="sng" algn="ctr">
              <a:solidFill>
                <a:srgbClr val="000080">
                  <a:alpha val="100000"/>
                </a:srgbClr>
              </a:solidFill>
              <a:prstDash val="solid"/>
              <a:round/>
            </a:ln>
          </c:spPr>
          <c:marker>
            <c:symbol val="diamond"/>
            <c:size val="5"/>
            <c:spPr>
              <a:solidFill>
                <a:srgbClr val="000080">
                  <a:alpha val="100000"/>
                </a:srgbClr>
              </a:solidFill>
              <a:ln w="6350" cap="flat" cmpd="sng" algn="ctr">
                <a:solidFill>
                  <a:srgbClr val="000080">
                    <a:alpha val="100000"/>
                  </a:srgbClr>
                </a:solidFill>
                <a:prstDash val="solid"/>
                <a:round/>
              </a:ln>
            </c:spPr>
          </c:marker>
          <c:dLbls>
            <c:delete val="1"/>
          </c:dLbls>
          <c:val>
            <c:numRef>
              <c:f>[岳阳基本站2021年气象统计分析.XLS]图形!$B$167:$Y$167</c:f>
              <c:numCache>
                <c:formatCode>General</c:formatCode>
                <c:ptCount val="24"/>
                <c:pt idx="0">
                  <c:v>1.89999997615814</c:v>
                </c:pt>
                <c:pt idx="1">
                  <c:v>2.01999998092651</c:v>
                </c:pt>
                <c:pt idx="2">
                  <c:v>1.96000003814697</c:v>
                </c:pt>
                <c:pt idx="3">
                  <c:v>1.97000002861023</c:v>
                </c:pt>
                <c:pt idx="4">
                  <c:v>1.97000002861023</c:v>
                </c:pt>
                <c:pt idx="5">
                  <c:v>2.03999996185303</c:v>
                </c:pt>
                <c:pt idx="6">
                  <c:v>1.83000004291534</c:v>
                </c:pt>
                <c:pt idx="7">
                  <c:v>2.02999997138977</c:v>
                </c:pt>
                <c:pt idx="8">
                  <c:v>2.21000003814697</c:v>
                </c:pt>
                <c:pt idx="9">
                  <c:v>2.28999996185303</c:v>
                </c:pt>
                <c:pt idx="10">
                  <c:v>2.60999989509583</c:v>
                </c:pt>
                <c:pt idx="11">
                  <c:v>2.60999989509583</c:v>
                </c:pt>
                <c:pt idx="12">
                  <c:v>2.8199999332428</c:v>
                </c:pt>
                <c:pt idx="13">
                  <c:v>2.83999991416931</c:v>
                </c:pt>
                <c:pt idx="14">
                  <c:v>2.60999989509583</c:v>
                </c:pt>
                <c:pt idx="15">
                  <c:v>2.5</c:v>
                </c:pt>
                <c:pt idx="16">
                  <c:v>2.46000003814697</c:v>
                </c:pt>
                <c:pt idx="17">
                  <c:v>2.16000008583069</c:v>
                </c:pt>
                <c:pt idx="18">
                  <c:v>1.88999998569489</c:v>
                </c:pt>
                <c:pt idx="19">
                  <c:v>1.88999998569489</c:v>
                </c:pt>
                <c:pt idx="20">
                  <c:v>2.09999990463257</c:v>
                </c:pt>
                <c:pt idx="21">
                  <c:v>1.85000002384186</c:v>
                </c:pt>
                <c:pt idx="22">
                  <c:v>1.92999994754791</c:v>
                </c:pt>
                <c:pt idx="23">
                  <c:v>1.99000000953674</c:v>
                </c:pt>
              </c:numCache>
            </c:numRef>
          </c:val>
          <c:smooth val="0"/>
        </c:ser>
        <c:ser>
          <c:idx val="1"/>
          <c:order val="1"/>
          <c:tx>
            <c:strRef>
              <c:f>[岳阳基本站2021年气象统计分析.XLS]图形!$A$168</c:f>
              <c:strCache>
                <c:ptCount val="1"/>
                <c:pt idx="0">
                  <c:v>夏季                </c:v>
                </c:pt>
              </c:strCache>
            </c:strRef>
          </c:tx>
          <c:spPr>
            <a:ln w="12700" cap="rnd" cmpd="sng" algn="ctr">
              <a:solidFill>
                <a:srgbClr val="FF00FF">
                  <a:alpha val="100000"/>
                </a:srgbClr>
              </a:solidFill>
              <a:prstDash val="solid"/>
              <a:round/>
            </a:ln>
          </c:spPr>
          <c:marker>
            <c:symbol val="square"/>
            <c:size val="5"/>
            <c:spPr>
              <a:solidFill>
                <a:srgbClr val="FF00FF">
                  <a:alpha val="100000"/>
                </a:srgbClr>
              </a:solidFill>
              <a:ln w="6350" cap="flat" cmpd="sng" algn="ctr">
                <a:solidFill>
                  <a:srgbClr val="FF00FF">
                    <a:alpha val="100000"/>
                  </a:srgbClr>
                </a:solidFill>
                <a:prstDash val="solid"/>
                <a:round/>
              </a:ln>
            </c:spPr>
          </c:marker>
          <c:dLbls>
            <c:delete val="1"/>
          </c:dLbls>
          <c:val>
            <c:numRef>
              <c:f>[岳阳基本站2021年气象统计分析.XLS]图形!$B$168:$Y$168</c:f>
              <c:numCache>
                <c:formatCode>General</c:formatCode>
                <c:ptCount val="24"/>
                <c:pt idx="0">
                  <c:v>1.74000000953674</c:v>
                </c:pt>
                <c:pt idx="1">
                  <c:v>1.80999994277954</c:v>
                </c:pt>
                <c:pt idx="2">
                  <c:v>1.96000003814697</c:v>
                </c:pt>
                <c:pt idx="3">
                  <c:v>2.01999998092651</c:v>
                </c:pt>
                <c:pt idx="4">
                  <c:v>1.97000002861023</c:v>
                </c:pt>
                <c:pt idx="5">
                  <c:v>2.03999996185303</c:v>
                </c:pt>
                <c:pt idx="6">
                  <c:v>2.02999997138977</c:v>
                </c:pt>
                <c:pt idx="7">
                  <c:v>2.4300000667572</c:v>
                </c:pt>
                <c:pt idx="8">
                  <c:v>2.54999995231628</c:v>
                </c:pt>
                <c:pt idx="9">
                  <c:v>3.01999998092651</c:v>
                </c:pt>
                <c:pt idx="10">
                  <c:v>3.21000003814697</c:v>
                </c:pt>
                <c:pt idx="11">
                  <c:v>3.32999992370605</c:v>
                </c:pt>
                <c:pt idx="12">
                  <c:v>3.25</c:v>
                </c:pt>
                <c:pt idx="13">
                  <c:v>3.30999994277954</c:v>
                </c:pt>
                <c:pt idx="14">
                  <c:v>3.26999998092651</c:v>
                </c:pt>
                <c:pt idx="15">
                  <c:v>2.9300000667572</c:v>
                </c:pt>
                <c:pt idx="16">
                  <c:v>2.61999988555908</c:v>
                </c:pt>
                <c:pt idx="17">
                  <c:v>2.13000011444092</c:v>
                </c:pt>
                <c:pt idx="18">
                  <c:v>1.80999994277954</c:v>
                </c:pt>
                <c:pt idx="19">
                  <c:v>1.77999997138977</c:v>
                </c:pt>
                <c:pt idx="20">
                  <c:v>1.71000003814697</c:v>
                </c:pt>
                <c:pt idx="21">
                  <c:v>1.50999999046326</c:v>
                </c:pt>
                <c:pt idx="22">
                  <c:v>1.5900000333786</c:v>
                </c:pt>
                <c:pt idx="23">
                  <c:v>1.78999996185303</c:v>
                </c:pt>
              </c:numCache>
            </c:numRef>
          </c:val>
          <c:smooth val="0"/>
        </c:ser>
        <c:ser>
          <c:idx val="2"/>
          <c:order val="2"/>
          <c:tx>
            <c:strRef>
              <c:f>[岳阳基本站2021年气象统计分析.XLS]图形!$A$169</c:f>
              <c:strCache>
                <c:ptCount val="1"/>
                <c:pt idx="0">
                  <c:v>秋季                </c:v>
                </c:pt>
              </c:strCache>
            </c:strRef>
          </c:tx>
          <c:spPr>
            <a:ln w="12700" cap="rnd" cmpd="sng" algn="ctr">
              <a:solidFill>
                <a:srgbClr val="FFFF00">
                  <a:alpha val="100000"/>
                </a:srgbClr>
              </a:solidFill>
              <a:prstDash val="solid"/>
              <a:round/>
            </a:ln>
          </c:spPr>
          <c:marker>
            <c:symbol val="triangle"/>
            <c:size val="5"/>
            <c:spPr>
              <a:solidFill>
                <a:srgbClr val="FFFF00">
                  <a:alpha val="100000"/>
                </a:srgbClr>
              </a:solidFill>
              <a:ln w="6350" cap="flat" cmpd="sng" algn="ctr">
                <a:solidFill>
                  <a:srgbClr val="FFFF00">
                    <a:alpha val="100000"/>
                  </a:srgbClr>
                </a:solidFill>
                <a:prstDash val="solid"/>
                <a:round/>
              </a:ln>
            </c:spPr>
          </c:marker>
          <c:dLbls>
            <c:delete val="1"/>
          </c:dLbls>
          <c:val>
            <c:numRef>
              <c:f>[岳阳基本站2021年气象统计分析.XLS]图形!$B$169:$Y$169</c:f>
              <c:numCache>
                <c:formatCode>General</c:formatCode>
                <c:ptCount val="24"/>
                <c:pt idx="0">
                  <c:v>2.07999992370605</c:v>
                </c:pt>
                <c:pt idx="1">
                  <c:v>2.14000010490417</c:v>
                </c:pt>
                <c:pt idx="2">
                  <c:v>2.27999997138977</c:v>
                </c:pt>
                <c:pt idx="3">
                  <c:v>2.11999988555908</c:v>
                </c:pt>
                <c:pt idx="4">
                  <c:v>2.05999994277954</c:v>
                </c:pt>
                <c:pt idx="5">
                  <c:v>2.01999998092651</c:v>
                </c:pt>
                <c:pt idx="6">
                  <c:v>2.13000011444092</c:v>
                </c:pt>
                <c:pt idx="7">
                  <c:v>2.19000005722046</c:v>
                </c:pt>
                <c:pt idx="8">
                  <c:v>2.4300000667572</c:v>
                </c:pt>
                <c:pt idx="9">
                  <c:v>2.70000004768372</c:v>
                </c:pt>
                <c:pt idx="10">
                  <c:v>2.78999996185303</c:v>
                </c:pt>
                <c:pt idx="11">
                  <c:v>3.0699999332428</c:v>
                </c:pt>
                <c:pt idx="12">
                  <c:v>3.13000011444092</c:v>
                </c:pt>
                <c:pt idx="13">
                  <c:v>2.94000005722046</c:v>
                </c:pt>
                <c:pt idx="14">
                  <c:v>2.83999991416931</c:v>
                </c:pt>
                <c:pt idx="15">
                  <c:v>2.54999995231628</c:v>
                </c:pt>
                <c:pt idx="16">
                  <c:v>2.30999994277954</c:v>
                </c:pt>
                <c:pt idx="17">
                  <c:v>2.04999995231628</c:v>
                </c:pt>
                <c:pt idx="18">
                  <c:v>2.10999989509583</c:v>
                </c:pt>
                <c:pt idx="19">
                  <c:v>1.96000003814697</c:v>
                </c:pt>
                <c:pt idx="20">
                  <c:v>2</c:v>
                </c:pt>
                <c:pt idx="21">
                  <c:v>1.94000005722046</c:v>
                </c:pt>
                <c:pt idx="22">
                  <c:v>2.08999991416931</c:v>
                </c:pt>
                <c:pt idx="23">
                  <c:v>2.21000003814697</c:v>
                </c:pt>
              </c:numCache>
            </c:numRef>
          </c:val>
          <c:smooth val="0"/>
        </c:ser>
        <c:ser>
          <c:idx val="3"/>
          <c:order val="3"/>
          <c:tx>
            <c:strRef>
              <c:f>[岳阳基本站2021年气象统计分析.XLS]图形!$A$170</c:f>
              <c:strCache>
                <c:ptCount val="1"/>
                <c:pt idx="0">
                  <c:v>冬季                </c:v>
                </c:pt>
              </c:strCache>
            </c:strRef>
          </c:tx>
          <c:spPr>
            <a:ln w="12700" cap="rnd" cmpd="sng" algn="ctr">
              <a:solidFill>
                <a:srgbClr val="00FFFF">
                  <a:alpha val="100000"/>
                </a:srgbClr>
              </a:solidFill>
              <a:prstDash val="solid"/>
              <a:round/>
            </a:ln>
          </c:spPr>
          <c:marker>
            <c:symbol val="x"/>
            <c:size val="5"/>
            <c:spPr>
              <a:noFill/>
              <a:ln w="6350" cap="flat" cmpd="sng" algn="ctr">
                <a:solidFill>
                  <a:srgbClr val="00FFFF">
                    <a:alpha val="100000"/>
                  </a:srgbClr>
                </a:solidFill>
                <a:prstDash val="solid"/>
                <a:round/>
              </a:ln>
            </c:spPr>
          </c:marker>
          <c:dLbls>
            <c:delete val="1"/>
          </c:dLbls>
          <c:val>
            <c:numRef>
              <c:f>[岳阳基本站2021年气象统计分析.XLS]图形!$B$170:$Y$170</c:f>
              <c:numCache>
                <c:formatCode>General</c:formatCode>
                <c:ptCount val="24"/>
                <c:pt idx="0">
                  <c:v>2.04999995231628</c:v>
                </c:pt>
                <c:pt idx="1">
                  <c:v>2.07999992370605</c:v>
                </c:pt>
                <c:pt idx="2">
                  <c:v>2.03999996185303</c:v>
                </c:pt>
                <c:pt idx="3">
                  <c:v>1.99000000953674</c:v>
                </c:pt>
                <c:pt idx="4">
                  <c:v>2.0699999332428</c:v>
                </c:pt>
                <c:pt idx="5">
                  <c:v>2.07999992370605</c:v>
                </c:pt>
                <c:pt idx="6">
                  <c:v>2.14000010490417</c:v>
                </c:pt>
                <c:pt idx="7">
                  <c:v>1.96000003814697</c:v>
                </c:pt>
                <c:pt idx="8">
                  <c:v>1.97000002861023</c:v>
                </c:pt>
                <c:pt idx="9">
                  <c:v>2.0699999332428</c:v>
                </c:pt>
                <c:pt idx="10">
                  <c:v>2.40000009536743</c:v>
                </c:pt>
                <c:pt idx="11">
                  <c:v>2.66000008583069</c:v>
                </c:pt>
                <c:pt idx="12">
                  <c:v>2.72000002861023</c:v>
                </c:pt>
                <c:pt idx="13">
                  <c:v>2.47000002861023</c:v>
                </c:pt>
                <c:pt idx="14">
                  <c:v>2.6800000667572</c:v>
                </c:pt>
                <c:pt idx="15">
                  <c:v>2.49000000953674</c:v>
                </c:pt>
                <c:pt idx="16">
                  <c:v>2.20000004768372</c:v>
                </c:pt>
                <c:pt idx="17">
                  <c:v>2.00999999046326</c:v>
                </c:pt>
                <c:pt idx="18">
                  <c:v>2.02999997138977</c:v>
                </c:pt>
                <c:pt idx="19">
                  <c:v>2.09999990463257</c:v>
                </c:pt>
                <c:pt idx="20">
                  <c:v>2.13000011444092</c:v>
                </c:pt>
                <c:pt idx="21">
                  <c:v>2.16000008583069</c:v>
                </c:pt>
                <c:pt idx="22">
                  <c:v>2.05999994277954</c:v>
                </c:pt>
                <c:pt idx="23">
                  <c:v>1.91999995708466</c:v>
                </c:pt>
              </c:numCache>
            </c:numRef>
          </c:val>
          <c:smooth val="0"/>
        </c:ser>
        <c:dLbls>
          <c:showLegendKey val="0"/>
          <c:showVal val="0"/>
          <c:showCatName val="0"/>
          <c:showSerName val="0"/>
          <c:showPercent val="0"/>
          <c:showBubbleSize val="0"/>
        </c:dLbls>
        <c:marker val="1"/>
        <c:smooth val="0"/>
        <c:axId val="681873568"/>
        <c:axId val="681881728"/>
      </c:lineChart>
      <c:catAx>
        <c:axId val="681873568"/>
        <c:scaling>
          <c:orientation val="minMax"/>
        </c:scaling>
        <c:delete val="0"/>
        <c:axPos val="b"/>
        <c:majorTickMark val="in"/>
        <c:minorTickMark val="none"/>
        <c:tickLblPos val="nextTo"/>
        <c:spPr>
          <a:ln w="3175" cap="flat" cmpd="sng" algn="ctr">
            <a:solidFill>
              <a:srgbClr val="000000">
                <a:alpha val="100000"/>
              </a:srgbClr>
            </a:solidFill>
            <a:prstDash val="solid"/>
            <a:round/>
          </a:ln>
        </c:spPr>
        <c:txPr>
          <a:bodyPr rot="0" spcFirstLastPara="0" vertOverflow="ellipsis" vert="horz" wrap="square" anchor="ctr" anchorCtr="1"/>
          <a:lstStyle/>
          <a:p>
            <a:pPr>
              <a:defRPr lang="zh-CN" sz="1200" b="0" i="0" u="none" strike="noStrike" kern="1200" baseline="0">
                <a:solidFill>
                  <a:srgbClr val="000000">
                    <a:alpha val="100000"/>
                  </a:srgb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681881728"/>
        <c:crosses val="autoZero"/>
        <c:auto val="1"/>
        <c:lblAlgn val="ctr"/>
        <c:lblOffset val="100"/>
        <c:tickLblSkip val="1"/>
        <c:noMultiLvlLbl val="0"/>
      </c:catAx>
      <c:valAx>
        <c:axId val="681881728"/>
        <c:scaling>
          <c:orientation val="minMax"/>
        </c:scaling>
        <c:delete val="0"/>
        <c:axPos val="l"/>
        <c:majorGridlines>
          <c:spPr>
            <a:ln w="3175" cap="flat" cmpd="sng" algn="ctr">
              <a:solidFill>
                <a:srgbClr val="000000">
                  <a:alpha val="100000"/>
                </a:srgbClr>
              </a:solidFill>
              <a:prstDash val="solid"/>
              <a:round/>
            </a:ln>
          </c:spPr>
        </c:majorGridlines>
        <c:title>
          <c:tx>
            <c:rich>
              <a:bodyPr rot="-5400000" spcFirstLastPara="0" vertOverflow="ellipsis" vert="horz" wrap="square" anchor="ctr" anchorCtr="1"/>
              <a:lstStyle/>
              <a:p>
                <a:pPr defTabSz="914400">
                  <a:defRPr lang="zh-CN" sz="1100" b="0" i="0" u="none" strike="noStrike" kern="1200" baseline="0">
                    <a:solidFill>
                      <a:srgbClr val="000000">
                        <a:alpha val="100000"/>
                      </a:srgb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zh-CN" altLang="en-US" sz="1200" b="0" i="0" u="none" strike="noStrike" baseline="0">
                    <a:solidFill>
                      <a:srgbClr val="000000"/>
                    </a:solidFill>
                    <a:latin typeface="Times New Roman" panose="02020603050405020304" charset="0"/>
                    <a:ea typeface="Times New Roman" panose="02020603050405020304" charset="0"/>
                    <a:cs typeface="Times New Roman" panose="02020603050405020304" charset="0"/>
                    <a:sym typeface="Times New Roman" panose="02020603050405020304" charset="0"/>
                  </a:rPr>
                  <a:t>风速</a:t>
                </a:r>
                <a:r>
                  <a:rPr lang="en-US" altLang="zh-CN" sz="1200" b="0" i="0" u="none" strike="noStrike" baseline="0">
                    <a:solidFill>
                      <a:srgbClr val="000000"/>
                    </a:solidFill>
                    <a:latin typeface="Times New Roman" panose="02020603050405020304" charset="0"/>
                    <a:ea typeface="Times New Roman" panose="02020603050405020304" charset="0"/>
                    <a:cs typeface="Times New Roman" panose="02020603050405020304" charset="0"/>
                    <a:sym typeface="Times New Roman" panose="02020603050405020304" charset="0"/>
                  </a:rPr>
                  <a:t>(</a:t>
                </a:r>
                <a:r>
                  <a:rPr lang="en-US" sz="1200" b="0" i="0" u="none" strike="noStrike" baseline="0">
                    <a:solidFill>
                      <a:srgbClr val="000000"/>
                    </a:solidFill>
                    <a:latin typeface="Times New Roman" panose="02020603050405020304" charset="0"/>
                    <a:ea typeface="Times New Roman" panose="02020603050405020304" charset="0"/>
                    <a:cs typeface="Times New Roman" panose="02020603050405020304" charset="0"/>
                    <a:sym typeface="Times New Roman" panose="02020603050405020304" charset="0"/>
                  </a:rPr>
                  <a:t>m/s)</a:t>
                </a:r>
                <a:endParaRPr lang="en-US" sz="1200" b="0" i="0" u="none" strike="noStrike" baseline="0">
                  <a:solidFill>
                    <a:srgbClr val="000000"/>
                  </a:solidFill>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manualLayout>
              <c:xMode val="edge"/>
              <c:yMode val="edge"/>
              <c:x val="0.00361402240693892"/>
              <c:y val="0.0402446471599062"/>
            </c:manualLayout>
          </c:layout>
          <c:overlay val="0"/>
        </c:title>
        <c:numFmt formatCode="0.00_ " sourceLinked="0"/>
        <c:majorTickMark val="in"/>
        <c:minorTickMark val="none"/>
        <c:tickLblPos val="nextTo"/>
        <c:spPr>
          <a:ln w="3175" cap="flat" cmpd="sng" algn="ctr">
            <a:solidFill>
              <a:srgbClr val="000000">
                <a:alpha val="100000"/>
              </a:srgbClr>
            </a:solidFill>
            <a:prstDash val="solid"/>
            <a:round/>
          </a:ln>
        </c:spPr>
        <c:txPr>
          <a:bodyPr rot="0" spcFirstLastPara="0" vertOverflow="ellipsis" vert="horz" wrap="square" anchor="ctr" anchorCtr="1"/>
          <a:lstStyle/>
          <a:p>
            <a:pPr>
              <a:defRPr lang="zh-CN" sz="1200" b="0" i="0" u="none" strike="noStrike" kern="1200" baseline="0">
                <a:solidFill>
                  <a:srgbClr val="000000">
                    <a:alpha val="100000"/>
                  </a:srgb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681873568"/>
        <c:crosses val="autoZero"/>
        <c:crossBetween val="between"/>
      </c:valAx>
      <c:spPr>
        <a:solidFill>
          <a:srgbClr val="C0C0C0">
            <a:alpha val="100000"/>
          </a:srgbClr>
        </a:solidFill>
        <a:ln w="12700">
          <a:solidFill>
            <a:srgbClr val="808080">
              <a:alpha val="100000"/>
            </a:srgbClr>
          </a:solidFill>
          <a:prstDash val="solid"/>
        </a:ln>
      </c:spPr>
    </c:plotArea>
    <c:legend>
      <c:legendPos val="r"/>
      <c:legendEntry>
        <c:idx val="0"/>
        <c:txPr>
          <a:bodyPr rot="0" spcFirstLastPara="0" vertOverflow="ellipsis" vert="horz" wrap="square" anchor="ctr" anchorCtr="1"/>
          <a:lstStyle/>
          <a:p>
            <a:pPr>
              <a:defRPr lang="zh-CN" sz="1200" b="0" i="0" u="none" strike="noStrike" kern="1200" baseline="0">
                <a:solidFill>
                  <a:srgbClr val="000000">
                    <a:alpha val="100000"/>
                  </a:srgb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1"/>
        <c:txPr>
          <a:bodyPr rot="0" spcFirstLastPara="0" vertOverflow="ellipsis" vert="horz" wrap="square" anchor="ctr" anchorCtr="1"/>
          <a:lstStyle/>
          <a:p>
            <a:pPr>
              <a:defRPr lang="zh-CN" sz="1200" b="0" i="0" u="none" strike="noStrike" kern="1200" baseline="0">
                <a:solidFill>
                  <a:srgbClr val="000000">
                    <a:alpha val="100000"/>
                  </a:srgb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2"/>
        <c:txPr>
          <a:bodyPr rot="0" spcFirstLastPara="0" vertOverflow="ellipsis" vert="horz" wrap="square" anchor="ctr" anchorCtr="1"/>
          <a:lstStyle/>
          <a:p>
            <a:pPr>
              <a:defRPr lang="zh-CN" sz="1200" b="0" i="0" u="none" strike="noStrike" kern="1200" baseline="0">
                <a:solidFill>
                  <a:srgbClr val="000000">
                    <a:alpha val="100000"/>
                  </a:srgb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3"/>
        <c:txPr>
          <a:bodyPr rot="0" spcFirstLastPara="0" vertOverflow="ellipsis" vert="horz" wrap="square" anchor="ctr" anchorCtr="1"/>
          <a:lstStyle/>
          <a:p>
            <a:pPr>
              <a:defRPr lang="zh-CN" sz="1200" b="0" i="0" u="none" strike="noStrike" kern="1200" baseline="0">
                <a:solidFill>
                  <a:srgbClr val="000000">
                    <a:alpha val="100000"/>
                  </a:srgb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ayout>
        <c:manualLayout>
          <c:xMode val="edge"/>
          <c:yMode val="edge"/>
          <c:x val="0.856361149110807"/>
          <c:y val="0.19672131147541"/>
          <c:w val="0.1275"/>
          <c:h val="0.52375"/>
        </c:manualLayout>
      </c:layout>
      <c:overlay val="0"/>
      <c:spPr>
        <a:solidFill>
          <a:srgbClr val="FFFFFF">
            <a:alpha val="100000"/>
          </a:srgbClr>
        </a:solidFill>
        <a:ln w="3175">
          <a:solidFill>
            <a:srgbClr val="000000">
              <a:alpha val="100000"/>
            </a:srgbClr>
          </a:solidFill>
          <a:prstDash val="solid"/>
        </a:ln>
      </c:spPr>
      <c:txPr>
        <a:bodyPr rot="0" spcFirstLastPara="0" vertOverflow="ellipsis" vert="horz" wrap="square" anchor="ctr" anchorCtr="1"/>
        <a:lstStyle/>
        <a:p>
          <a:pPr>
            <a:defRPr lang="zh-CN" sz="1100" b="0" i="0" u="none" strike="noStrike" kern="1200" baseline="0">
              <a:solidFill>
                <a:srgbClr val="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
    <c:plotVisOnly val="1"/>
    <c:dispBlanksAs val="gap"/>
    <c:showDLblsOverMax val="0"/>
  </c:chart>
  <c:spPr>
    <a:solidFill>
      <a:srgbClr val="FFFFFF">
        <a:alpha val="100000"/>
      </a:srgbClr>
    </a:solidFill>
    <a:ln w="19050" cap="flat" cmpd="sng" algn="ctr">
      <a:solidFill>
        <a:srgbClr val="000000">
          <a:alpha val="100000"/>
        </a:srgbClr>
      </a:solidFill>
      <a:prstDash val="solid"/>
      <a:round/>
    </a:ln>
  </c:spPr>
  <c:txPr>
    <a:bodyPr rot="0" wrap="square" anchor="ctr" anchorCtr="1"/>
    <a:lstStyle/>
    <a:p>
      <a:pPr>
        <a:defRPr lang="zh-CN" sz="1200" b="0" i="0" u="none" strike="noStrike" baseline="0">
          <a:solidFill>
            <a:srgbClr val="000000">
              <a:alpha val="100000"/>
            </a:srgb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39CEDE1-F5B5-4F4C-9B93-C5020A9D7CEF}">
  <ds:schemaRefs/>
</ds:datastoreItem>
</file>

<file path=docProps/app.xml><?xml version="1.0" encoding="utf-8"?>
<Properties xmlns="http://schemas.openxmlformats.org/officeDocument/2006/extended-properties" xmlns:vt="http://schemas.openxmlformats.org/officeDocument/2006/docPropsVTypes">
  <Template>Normal.dotm</Template>
  <Company>GZETEI Ltd.</Company>
  <Pages>371</Pages>
  <Words>230591</Words>
  <Characters>271504</Characters>
  <Lines>2014</Lines>
  <Paragraphs>567</Paragraphs>
  <TotalTime>0</TotalTime>
  <ScaleCrop>false</ScaleCrop>
  <LinksUpToDate>false</LinksUpToDate>
  <CharactersWithSpaces>274412</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2022-10-14T00:42:00Z</dcterms:created>
  <dc:creator>clock98</dc:creator>
  <cp:lastModifiedBy>WPS_1659674111</cp:lastModifiedBy>
  <cp:lastPrinted>2021-03-25T08:00:00Z</cp:lastPrinted>
  <dcterms:modified xsi:type="dcterms:W3CDTF">2022-12-26T01:15:11Z</dcterms:modified>
  <dc:title>目录</dc:title>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0BBC65A279EA45F69D37A6FAC4DD6C0B</vt:lpwstr>
  </property>
</Properties>
</file>